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FBF2" w14:textId="77777777" w:rsidR="0028217A" w:rsidRPr="002E42F1" w:rsidRDefault="0028217A" w:rsidP="006C282B">
      <w:pPr>
        <w:pStyle w:val="NoSpacing"/>
        <w:jc w:val="center"/>
        <w:rPr>
          <w:sz w:val="32"/>
          <w:szCs w:val="32"/>
        </w:rPr>
      </w:pPr>
    </w:p>
    <w:p w14:paraId="409461ED" w14:textId="77777777" w:rsidR="0028217A" w:rsidRPr="002E42F1" w:rsidRDefault="0028217A" w:rsidP="006C282B">
      <w:pPr>
        <w:pStyle w:val="NoSpacing"/>
        <w:jc w:val="center"/>
        <w:rPr>
          <w:sz w:val="32"/>
          <w:szCs w:val="32"/>
        </w:rPr>
      </w:pPr>
    </w:p>
    <w:p w14:paraId="100C8E69" w14:textId="1705B388" w:rsidR="0028217A" w:rsidRPr="002E42F1" w:rsidRDefault="0028217A" w:rsidP="006C282B">
      <w:pPr>
        <w:pStyle w:val="NoSpacing"/>
        <w:jc w:val="center"/>
        <w:rPr>
          <w:sz w:val="32"/>
          <w:szCs w:val="32"/>
        </w:rPr>
      </w:pPr>
    </w:p>
    <w:p w14:paraId="50C5398E" w14:textId="606E8009" w:rsidR="0028217A" w:rsidRPr="002E42F1" w:rsidRDefault="0028217A" w:rsidP="006C282B">
      <w:pPr>
        <w:pStyle w:val="NoSpacing"/>
        <w:jc w:val="center"/>
        <w:rPr>
          <w:sz w:val="32"/>
          <w:szCs w:val="32"/>
        </w:rPr>
      </w:pPr>
    </w:p>
    <w:p w14:paraId="0A32C2B2" w14:textId="77777777" w:rsidR="0028217A" w:rsidRDefault="0028217A" w:rsidP="006C282B">
      <w:pPr>
        <w:pStyle w:val="NoSpacing"/>
        <w:jc w:val="center"/>
        <w:rPr>
          <w:sz w:val="32"/>
          <w:szCs w:val="32"/>
        </w:rPr>
      </w:pPr>
    </w:p>
    <w:p w14:paraId="38223887" w14:textId="77777777" w:rsidR="006000C3" w:rsidRDefault="006000C3" w:rsidP="006C282B">
      <w:pPr>
        <w:pStyle w:val="NoSpacing"/>
        <w:jc w:val="center"/>
        <w:rPr>
          <w:sz w:val="32"/>
          <w:szCs w:val="32"/>
        </w:rPr>
      </w:pPr>
    </w:p>
    <w:p w14:paraId="78884E35" w14:textId="77777777" w:rsidR="006000C3" w:rsidRDefault="006000C3" w:rsidP="006C282B">
      <w:pPr>
        <w:pStyle w:val="NoSpacing"/>
        <w:jc w:val="center"/>
        <w:rPr>
          <w:sz w:val="32"/>
          <w:szCs w:val="32"/>
        </w:rPr>
      </w:pPr>
    </w:p>
    <w:p w14:paraId="202D3C5E" w14:textId="77777777" w:rsidR="006000C3" w:rsidRDefault="006000C3" w:rsidP="006C282B">
      <w:pPr>
        <w:pStyle w:val="NoSpacing"/>
        <w:jc w:val="center"/>
        <w:rPr>
          <w:sz w:val="32"/>
          <w:szCs w:val="32"/>
        </w:rPr>
      </w:pPr>
    </w:p>
    <w:p w14:paraId="0271B865" w14:textId="77777777" w:rsidR="006000C3" w:rsidRDefault="006000C3" w:rsidP="006C282B">
      <w:pPr>
        <w:pStyle w:val="NoSpacing"/>
        <w:jc w:val="center"/>
        <w:rPr>
          <w:sz w:val="32"/>
          <w:szCs w:val="32"/>
        </w:rPr>
      </w:pPr>
    </w:p>
    <w:p w14:paraId="5FBBB0CA" w14:textId="77777777" w:rsidR="006000C3" w:rsidRPr="002E42F1" w:rsidRDefault="006000C3" w:rsidP="006C282B">
      <w:pPr>
        <w:pStyle w:val="NoSpacing"/>
        <w:jc w:val="center"/>
        <w:rPr>
          <w:sz w:val="32"/>
          <w:szCs w:val="32"/>
        </w:rPr>
      </w:pPr>
    </w:p>
    <w:p w14:paraId="4044412F" w14:textId="699B90BD" w:rsidR="00600233" w:rsidRPr="002E42F1" w:rsidRDefault="00600233" w:rsidP="006C282B">
      <w:pPr>
        <w:pStyle w:val="NoSpacing"/>
        <w:jc w:val="center"/>
        <w:rPr>
          <w:sz w:val="32"/>
          <w:szCs w:val="32"/>
        </w:rPr>
      </w:pPr>
      <w:r w:rsidRPr="002E42F1">
        <w:rPr>
          <w:sz w:val="32"/>
          <w:szCs w:val="32"/>
        </w:rPr>
        <w:t>Informatīvais ziņojums</w:t>
      </w:r>
    </w:p>
    <w:p w14:paraId="190BE762" w14:textId="21B5C46A" w:rsidR="007C62AC" w:rsidRPr="002E42F1" w:rsidRDefault="00816424" w:rsidP="006C282B">
      <w:pPr>
        <w:pStyle w:val="NoSpacing"/>
        <w:jc w:val="center"/>
        <w:rPr>
          <w:b/>
          <w:sz w:val="32"/>
          <w:szCs w:val="32"/>
        </w:rPr>
      </w:pPr>
      <w:r w:rsidRPr="002E42F1">
        <w:rPr>
          <w:b/>
          <w:sz w:val="32"/>
          <w:szCs w:val="32"/>
        </w:rPr>
        <w:t>“</w:t>
      </w:r>
      <w:r w:rsidR="009E6CB9" w:rsidRPr="002E42F1">
        <w:rPr>
          <w:b/>
          <w:sz w:val="32"/>
          <w:szCs w:val="32"/>
        </w:rPr>
        <w:t>Par zaļā iepirkuma īsteno</w:t>
      </w:r>
      <w:r w:rsidR="00600233" w:rsidRPr="002E42F1">
        <w:rPr>
          <w:b/>
          <w:sz w:val="32"/>
          <w:szCs w:val="32"/>
        </w:rPr>
        <w:t>šanu</w:t>
      </w:r>
      <w:r w:rsidR="008370C3" w:rsidRPr="002E42F1">
        <w:rPr>
          <w:b/>
          <w:sz w:val="32"/>
          <w:szCs w:val="32"/>
        </w:rPr>
        <w:t xml:space="preserve"> valsts pārvaldē 2019</w:t>
      </w:r>
      <w:r w:rsidR="009E6CB9" w:rsidRPr="002E42F1">
        <w:rPr>
          <w:b/>
          <w:sz w:val="32"/>
          <w:szCs w:val="32"/>
        </w:rPr>
        <w:t>. gadā</w:t>
      </w:r>
      <w:r w:rsidRPr="002E42F1">
        <w:rPr>
          <w:b/>
          <w:sz w:val="32"/>
          <w:szCs w:val="32"/>
        </w:rPr>
        <w:t>”</w:t>
      </w:r>
    </w:p>
    <w:p w14:paraId="22F422BE" w14:textId="34F835B8" w:rsidR="00004C80" w:rsidRDefault="00004C80">
      <w:pPr>
        <w:rPr>
          <w:sz w:val="28"/>
          <w:szCs w:val="28"/>
        </w:rPr>
      </w:pPr>
      <w:r>
        <w:rPr>
          <w:sz w:val="28"/>
          <w:szCs w:val="28"/>
        </w:rPr>
        <w:br w:type="page"/>
      </w:r>
    </w:p>
    <w:p w14:paraId="456709CA" w14:textId="26F4B33E" w:rsidR="006C4037" w:rsidRPr="00004C80" w:rsidRDefault="006C4037" w:rsidP="004A33FA">
      <w:pPr>
        <w:pStyle w:val="NoSpacing"/>
        <w:jc w:val="center"/>
        <w:rPr>
          <w:b/>
          <w:sz w:val="28"/>
          <w:szCs w:val="28"/>
        </w:rPr>
      </w:pPr>
      <w:r w:rsidRPr="00004C80">
        <w:rPr>
          <w:b/>
          <w:sz w:val="28"/>
          <w:szCs w:val="28"/>
        </w:rPr>
        <w:lastRenderedPageBreak/>
        <w:t>Satur</w:t>
      </w:r>
      <w:r w:rsidR="003738AB" w:rsidRPr="00004C80">
        <w:rPr>
          <w:b/>
          <w:sz w:val="28"/>
          <w:szCs w:val="28"/>
        </w:rPr>
        <w:t>s</w:t>
      </w:r>
    </w:p>
    <w:sdt>
      <w:sdtPr>
        <w:rPr>
          <w:rFonts w:ascii="Times New Roman" w:eastAsia="Times New Roman" w:hAnsi="Times New Roman" w:cs="Times New Roman"/>
          <w:color w:val="auto"/>
          <w:sz w:val="28"/>
          <w:szCs w:val="28"/>
          <w:lang w:val="lv-LV" w:eastAsia="lv-LV"/>
        </w:rPr>
        <w:id w:val="-241408787"/>
        <w:docPartObj>
          <w:docPartGallery w:val="Table of Contents"/>
          <w:docPartUnique/>
        </w:docPartObj>
      </w:sdtPr>
      <w:sdtEndPr>
        <w:rPr>
          <w:b/>
          <w:bCs/>
          <w:noProof/>
        </w:rPr>
      </w:sdtEndPr>
      <w:sdtContent>
        <w:p w14:paraId="501122E2" w14:textId="17D78C1D" w:rsidR="00F055BC" w:rsidRPr="00F055BC" w:rsidRDefault="00F055BC">
          <w:pPr>
            <w:pStyle w:val="TOCHeading"/>
            <w:rPr>
              <w:rFonts w:ascii="Times New Roman" w:hAnsi="Times New Roman" w:cs="Times New Roman"/>
              <w:color w:val="auto"/>
              <w:sz w:val="28"/>
              <w:szCs w:val="28"/>
            </w:rPr>
          </w:pPr>
        </w:p>
        <w:p w14:paraId="530E4603" w14:textId="77777777" w:rsidR="00F055BC" w:rsidRPr="00F055BC" w:rsidRDefault="00F055BC">
          <w:pPr>
            <w:pStyle w:val="TOC1"/>
            <w:tabs>
              <w:tab w:val="right" w:leader="dot" w:pos="9061"/>
            </w:tabs>
            <w:rPr>
              <w:rFonts w:eastAsiaTheme="minorEastAsia"/>
              <w:noProof/>
              <w:sz w:val="28"/>
              <w:szCs w:val="28"/>
            </w:rPr>
          </w:pPr>
          <w:r w:rsidRPr="00F055BC">
            <w:rPr>
              <w:sz w:val="28"/>
              <w:szCs w:val="28"/>
            </w:rPr>
            <w:fldChar w:fldCharType="begin"/>
          </w:r>
          <w:r w:rsidRPr="00F055BC">
            <w:rPr>
              <w:sz w:val="28"/>
              <w:szCs w:val="28"/>
            </w:rPr>
            <w:instrText xml:space="preserve"> TOC \o "1-3" \h \z \u </w:instrText>
          </w:r>
          <w:r w:rsidRPr="00F055BC">
            <w:rPr>
              <w:sz w:val="28"/>
              <w:szCs w:val="28"/>
            </w:rPr>
            <w:fldChar w:fldCharType="separate"/>
          </w:r>
          <w:hyperlink w:anchor="_Toc37334419" w:history="1">
            <w:r w:rsidRPr="00F055BC">
              <w:rPr>
                <w:rStyle w:val="Hyperlink"/>
                <w:noProof/>
                <w:color w:val="auto"/>
                <w:sz w:val="28"/>
                <w:szCs w:val="28"/>
              </w:rPr>
              <w:t>Ievads</w:t>
            </w:r>
            <w:r w:rsidRPr="00F055BC">
              <w:rPr>
                <w:noProof/>
                <w:webHidden/>
                <w:sz w:val="28"/>
                <w:szCs w:val="28"/>
              </w:rPr>
              <w:tab/>
            </w:r>
            <w:r w:rsidRPr="00F055BC">
              <w:rPr>
                <w:noProof/>
                <w:webHidden/>
                <w:sz w:val="28"/>
                <w:szCs w:val="28"/>
              </w:rPr>
              <w:fldChar w:fldCharType="begin"/>
            </w:r>
            <w:r w:rsidRPr="00F055BC">
              <w:rPr>
                <w:noProof/>
                <w:webHidden/>
                <w:sz w:val="28"/>
                <w:szCs w:val="28"/>
              </w:rPr>
              <w:instrText xml:space="preserve"> PAGEREF _Toc37334419 \h </w:instrText>
            </w:r>
            <w:r w:rsidRPr="00F055BC">
              <w:rPr>
                <w:noProof/>
                <w:webHidden/>
                <w:sz w:val="28"/>
                <w:szCs w:val="28"/>
              </w:rPr>
            </w:r>
            <w:r w:rsidRPr="00F055BC">
              <w:rPr>
                <w:noProof/>
                <w:webHidden/>
                <w:sz w:val="28"/>
                <w:szCs w:val="28"/>
              </w:rPr>
              <w:fldChar w:fldCharType="separate"/>
            </w:r>
            <w:r w:rsidR="00310289">
              <w:rPr>
                <w:noProof/>
                <w:webHidden/>
                <w:sz w:val="28"/>
                <w:szCs w:val="28"/>
              </w:rPr>
              <w:t>3</w:t>
            </w:r>
            <w:r w:rsidRPr="00F055BC">
              <w:rPr>
                <w:noProof/>
                <w:webHidden/>
                <w:sz w:val="28"/>
                <w:szCs w:val="28"/>
              </w:rPr>
              <w:fldChar w:fldCharType="end"/>
            </w:r>
          </w:hyperlink>
        </w:p>
        <w:p w14:paraId="65A0BD8D" w14:textId="77777777" w:rsidR="00F055BC" w:rsidRPr="00F055BC" w:rsidRDefault="007E15E6">
          <w:pPr>
            <w:pStyle w:val="TOC1"/>
            <w:tabs>
              <w:tab w:val="left" w:pos="440"/>
              <w:tab w:val="right" w:leader="dot" w:pos="9061"/>
            </w:tabs>
            <w:rPr>
              <w:rFonts w:eastAsiaTheme="minorEastAsia"/>
              <w:noProof/>
              <w:sz w:val="28"/>
              <w:szCs w:val="28"/>
            </w:rPr>
          </w:pPr>
          <w:hyperlink w:anchor="_Toc37334420" w:history="1">
            <w:r w:rsidR="00F055BC" w:rsidRPr="00F055BC">
              <w:rPr>
                <w:rStyle w:val="Hyperlink"/>
                <w:noProof/>
                <w:color w:val="auto"/>
                <w:sz w:val="28"/>
                <w:szCs w:val="28"/>
              </w:rPr>
              <w:t>1.</w:t>
            </w:r>
            <w:r w:rsidR="00F055BC" w:rsidRPr="00F055BC">
              <w:rPr>
                <w:rFonts w:eastAsiaTheme="minorEastAsia"/>
                <w:noProof/>
                <w:sz w:val="28"/>
                <w:szCs w:val="28"/>
              </w:rPr>
              <w:tab/>
            </w:r>
            <w:r w:rsidR="00F055BC" w:rsidRPr="00F055BC">
              <w:rPr>
                <w:rStyle w:val="Hyperlink"/>
                <w:noProof/>
                <w:color w:val="auto"/>
                <w:sz w:val="28"/>
                <w:szCs w:val="28"/>
              </w:rPr>
              <w:t>Tiesiskais regulējums un politiskās plānošanas dokumenti</w:t>
            </w:r>
            <w:r w:rsidR="00F055BC" w:rsidRPr="00F055BC">
              <w:rPr>
                <w:noProof/>
                <w:webHidden/>
                <w:sz w:val="28"/>
                <w:szCs w:val="28"/>
              </w:rPr>
              <w:tab/>
            </w:r>
            <w:r w:rsidR="00F055BC" w:rsidRPr="00F055BC">
              <w:rPr>
                <w:noProof/>
                <w:webHidden/>
                <w:sz w:val="28"/>
                <w:szCs w:val="28"/>
              </w:rPr>
              <w:fldChar w:fldCharType="begin"/>
            </w:r>
            <w:r w:rsidR="00F055BC" w:rsidRPr="00F055BC">
              <w:rPr>
                <w:noProof/>
                <w:webHidden/>
                <w:sz w:val="28"/>
                <w:szCs w:val="28"/>
              </w:rPr>
              <w:instrText xml:space="preserve"> PAGEREF _Toc37334420 \h </w:instrText>
            </w:r>
            <w:r w:rsidR="00F055BC" w:rsidRPr="00F055BC">
              <w:rPr>
                <w:noProof/>
                <w:webHidden/>
                <w:sz w:val="28"/>
                <w:szCs w:val="28"/>
              </w:rPr>
            </w:r>
            <w:r w:rsidR="00F055BC" w:rsidRPr="00F055BC">
              <w:rPr>
                <w:noProof/>
                <w:webHidden/>
                <w:sz w:val="28"/>
                <w:szCs w:val="28"/>
              </w:rPr>
              <w:fldChar w:fldCharType="separate"/>
            </w:r>
            <w:r w:rsidR="00310289">
              <w:rPr>
                <w:noProof/>
                <w:webHidden/>
                <w:sz w:val="28"/>
                <w:szCs w:val="28"/>
              </w:rPr>
              <w:t>4</w:t>
            </w:r>
            <w:r w:rsidR="00F055BC" w:rsidRPr="00F055BC">
              <w:rPr>
                <w:noProof/>
                <w:webHidden/>
                <w:sz w:val="28"/>
                <w:szCs w:val="28"/>
              </w:rPr>
              <w:fldChar w:fldCharType="end"/>
            </w:r>
          </w:hyperlink>
        </w:p>
        <w:p w14:paraId="6294A99B" w14:textId="77777777" w:rsidR="00F055BC" w:rsidRPr="00F055BC" w:rsidRDefault="007E15E6">
          <w:pPr>
            <w:pStyle w:val="TOC1"/>
            <w:tabs>
              <w:tab w:val="left" w:pos="440"/>
              <w:tab w:val="right" w:leader="dot" w:pos="9061"/>
            </w:tabs>
            <w:rPr>
              <w:rFonts w:eastAsiaTheme="minorEastAsia"/>
              <w:noProof/>
              <w:sz w:val="28"/>
              <w:szCs w:val="28"/>
            </w:rPr>
          </w:pPr>
          <w:hyperlink w:anchor="_Toc37334421" w:history="1">
            <w:r w:rsidR="00F055BC" w:rsidRPr="00F055BC">
              <w:rPr>
                <w:rStyle w:val="Hyperlink"/>
                <w:noProof/>
                <w:color w:val="auto"/>
                <w:sz w:val="28"/>
                <w:szCs w:val="28"/>
              </w:rPr>
              <w:t>2.</w:t>
            </w:r>
            <w:r w:rsidR="00F055BC" w:rsidRPr="00F055BC">
              <w:rPr>
                <w:rFonts w:eastAsiaTheme="minorEastAsia"/>
                <w:noProof/>
                <w:sz w:val="28"/>
                <w:szCs w:val="28"/>
              </w:rPr>
              <w:tab/>
            </w:r>
            <w:r w:rsidR="00F055BC" w:rsidRPr="00F055BC">
              <w:rPr>
                <w:rStyle w:val="Hyperlink"/>
                <w:noProof/>
                <w:color w:val="auto"/>
                <w:sz w:val="28"/>
                <w:szCs w:val="28"/>
              </w:rPr>
              <w:t>Pārskats par zaļā publiskā iepirkuma izmantošanu Latvijā</w:t>
            </w:r>
            <w:r w:rsidR="00F055BC" w:rsidRPr="00F055BC">
              <w:rPr>
                <w:noProof/>
                <w:webHidden/>
                <w:sz w:val="28"/>
                <w:szCs w:val="28"/>
              </w:rPr>
              <w:tab/>
            </w:r>
            <w:r w:rsidR="00F055BC" w:rsidRPr="00F055BC">
              <w:rPr>
                <w:noProof/>
                <w:webHidden/>
                <w:sz w:val="28"/>
                <w:szCs w:val="28"/>
              </w:rPr>
              <w:fldChar w:fldCharType="begin"/>
            </w:r>
            <w:r w:rsidR="00F055BC" w:rsidRPr="00F055BC">
              <w:rPr>
                <w:noProof/>
                <w:webHidden/>
                <w:sz w:val="28"/>
                <w:szCs w:val="28"/>
              </w:rPr>
              <w:instrText xml:space="preserve"> PAGEREF _Toc37334421 \h </w:instrText>
            </w:r>
            <w:r w:rsidR="00F055BC" w:rsidRPr="00F055BC">
              <w:rPr>
                <w:noProof/>
                <w:webHidden/>
                <w:sz w:val="28"/>
                <w:szCs w:val="28"/>
              </w:rPr>
            </w:r>
            <w:r w:rsidR="00F055BC" w:rsidRPr="00F055BC">
              <w:rPr>
                <w:noProof/>
                <w:webHidden/>
                <w:sz w:val="28"/>
                <w:szCs w:val="28"/>
              </w:rPr>
              <w:fldChar w:fldCharType="separate"/>
            </w:r>
            <w:r w:rsidR="00310289">
              <w:rPr>
                <w:noProof/>
                <w:webHidden/>
                <w:sz w:val="28"/>
                <w:szCs w:val="28"/>
              </w:rPr>
              <w:t>5</w:t>
            </w:r>
            <w:r w:rsidR="00F055BC" w:rsidRPr="00F055BC">
              <w:rPr>
                <w:noProof/>
                <w:webHidden/>
                <w:sz w:val="28"/>
                <w:szCs w:val="28"/>
              </w:rPr>
              <w:fldChar w:fldCharType="end"/>
            </w:r>
          </w:hyperlink>
        </w:p>
        <w:p w14:paraId="7C3B81E9" w14:textId="77777777" w:rsidR="00F055BC" w:rsidRPr="00F055BC" w:rsidRDefault="007E15E6">
          <w:pPr>
            <w:pStyle w:val="TOC2"/>
            <w:tabs>
              <w:tab w:val="left" w:pos="880"/>
              <w:tab w:val="right" w:leader="dot" w:pos="9061"/>
            </w:tabs>
            <w:rPr>
              <w:rFonts w:eastAsiaTheme="minorEastAsia"/>
              <w:noProof/>
              <w:sz w:val="28"/>
              <w:szCs w:val="28"/>
            </w:rPr>
          </w:pPr>
          <w:hyperlink w:anchor="_Toc37334422" w:history="1">
            <w:r w:rsidR="00F055BC" w:rsidRPr="00F055BC">
              <w:rPr>
                <w:rStyle w:val="Hyperlink"/>
                <w:noProof/>
                <w:color w:val="auto"/>
                <w:sz w:val="28"/>
                <w:szCs w:val="28"/>
              </w:rPr>
              <w:t>2.1.</w:t>
            </w:r>
            <w:r w:rsidR="00F055BC" w:rsidRPr="00F055BC">
              <w:rPr>
                <w:rFonts w:eastAsiaTheme="minorEastAsia"/>
                <w:noProof/>
                <w:sz w:val="28"/>
                <w:szCs w:val="28"/>
              </w:rPr>
              <w:tab/>
            </w:r>
            <w:r w:rsidR="00F055BC" w:rsidRPr="00F055BC">
              <w:rPr>
                <w:rStyle w:val="Hyperlink"/>
                <w:noProof/>
                <w:color w:val="auto"/>
                <w:sz w:val="28"/>
                <w:szCs w:val="28"/>
              </w:rPr>
              <w:t>Pārskats par Publisko iepirkumu likuma ietvaros veiktajiem zaļajiem publiskiem iepirkumiem</w:t>
            </w:r>
            <w:r w:rsidR="00F055BC" w:rsidRPr="00F055BC">
              <w:rPr>
                <w:noProof/>
                <w:webHidden/>
                <w:sz w:val="28"/>
                <w:szCs w:val="28"/>
              </w:rPr>
              <w:tab/>
            </w:r>
            <w:r w:rsidR="00F055BC" w:rsidRPr="00F055BC">
              <w:rPr>
                <w:noProof/>
                <w:webHidden/>
                <w:sz w:val="28"/>
                <w:szCs w:val="28"/>
              </w:rPr>
              <w:fldChar w:fldCharType="begin"/>
            </w:r>
            <w:r w:rsidR="00F055BC" w:rsidRPr="00F055BC">
              <w:rPr>
                <w:noProof/>
                <w:webHidden/>
                <w:sz w:val="28"/>
                <w:szCs w:val="28"/>
              </w:rPr>
              <w:instrText xml:space="preserve"> PAGEREF _Toc37334422 \h </w:instrText>
            </w:r>
            <w:r w:rsidR="00F055BC" w:rsidRPr="00F055BC">
              <w:rPr>
                <w:noProof/>
                <w:webHidden/>
                <w:sz w:val="28"/>
                <w:szCs w:val="28"/>
              </w:rPr>
            </w:r>
            <w:r w:rsidR="00F055BC" w:rsidRPr="00F055BC">
              <w:rPr>
                <w:noProof/>
                <w:webHidden/>
                <w:sz w:val="28"/>
                <w:szCs w:val="28"/>
              </w:rPr>
              <w:fldChar w:fldCharType="separate"/>
            </w:r>
            <w:r w:rsidR="00310289">
              <w:rPr>
                <w:noProof/>
                <w:webHidden/>
                <w:sz w:val="28"/>
                <w:szCs w:val="28"/>
              </w:rPr>
              <w:t>8</w:t>
            </w:r>
            <w:r w:rsidR="00F055BC" w:rsidRPr="00F055BC">
              <w:rPr>
                <w:noProof/>
                <w:webHidden/>
                <w:sz w:val="28"/>
                <w:szCs w:val="28"/>
              </w:rPr>
              <w:fldChar w:fldCharType="end"/>
            </w:r>
          </w:hyperlink>
        </w:p>
        <w:p w14:paraId="11F3C959" w14:textId="77777777" w:rsidR="00F055BC" w:rsidRPr="00F055BC" w:rsidRDefault="007E15E6">
          <w:pPr>
            <w:pStyle w:val="TOC2"/>
            <w:tabs>
              <w:tab w:val="left" w:pos="880"/>
              <w:tab w:val="right" w:leader="dot" w:pos="9061"/>
            </w:tabs>
            <w:rPr>
              <w:rFonts w:eastAsiaTheme="minorEastAsia"/>
              <w:noProof/>
              <w:sz w:val="28"/>
              <w:szCs w:val="28"/>
            </w:rPr>
          </w:pPr>
          <w:hyperlink w:anchor="_Toc37334423" w:history="1">
            <w:r w:rsidR="00F055BC" w:rsidRPr="00F055BC">
              <w:rPr>
                <w:rStyle w:val="Hyperlink"/>
                <w:noProof/>
                <w:color w:val="auto"/>
                <w:sz w:val="28"/>
                <w:szCs w:val="28"/>
              </w:rPr>
              <w:t>2.2.</w:t>
            </w:r>
            <w:r w:rsidR="00F055BC" w:rsidRPr="00F055BC">
              <w:rPr>
                <w:rFonts w:eastAsiaTheme="minorEastAsia"/>
                <w:noProof/>
                <w:sz w:val="28"/>
                <w:szCs w:val="28"/>
              </w:rPr>
              <w:tab/>
            </w:r>
            <w:r w:rsidR="00F055BC" w:rsidRPr="00F055BC">
              <w:rPr>
                <w:rStyle w:val="Hyperlink"/>
                <w:noProof/>
                <w:color w:val="auto"/>
                <w:sz w:val="28"/>
                <w:szCs w:val="28"/>
              </w:rPr>
              <w:t>Pārskats par Sabiedrisko pakalpojumu sniedzēju iepirkumu likuma ietvaros veiktajiem zaļajiem publiskiem iepirkumiem</w:t>
            </w:r>
            <w:r w:rsidR="00F055BC" w:rsidRPr="00F055BC">
              <w:rPr>
                <w:noProof/>
                <w:webHidden/>
                <w:sz w:val="28"/>
                <w:szCs w:val="28"/>
              </w:rPr>
              <w:tab/>
            </w:r>
            <w:r w:rsidR="00F055BC" w:rsidRPr="00F055BC">
              <w:rPr>
                <w:noProof/>
                <w:webHidden/>
                <w:sz w:val="28"/>
                <w:szCs w:val="28"/>
              </w:rPr>
              <w:fldChar w:fldCharType="begin"/>
            </w:r>
            <w:r w:rsidR="00F055BC" w:rsidRPr="00F055BC">
              <w:rPr>
                <w:noProof/>
                <w:webHidden/>
                <w:sz w:val="28"/>
                <w:szCs w:val="28"/>
              </w:rPr>
              <w:instrText xml:space="preserve"> PAGEREF _Toc37334423 \h </w:instrText>
            </w:r>
            <w:r w:rsidR="00F055BC" w:rsidRPr="00F055BC">
              <w:rPr>
                <w:noProof/>
                <w:webHidden/>
                <w:sz w:val="28"/>
                <w:szCs w:val="28"/>
              </w:rPr>
            </w:r>
            <w:r w:rsidR="00F055BC" w:rsidRPr="00F055BC">
              <w:rPr>
                <w:noProof/>
                <w:webHidden/>
                <w:sz w:val="28"/>
                <w:szCs w:val="28"/>
              </w:rPr>
              <w:fldChar w:fldCharType="separate"/>
            </w:r>
            <w:r w:rsidR="00310289">
              <w:rPr>
                <w:noProof/>
                <w:webHidden/>
                <w:sz w:val="28"/>
                <w:szCs w:val="28"/>
              </w:rPr>
              <w:t>20</w:t>
            </w:r>
            <w:r w:rsidR="00F055BC" w:rsidRPr="00F055BC">
              <w:rPr>
                <w:noProof/>
                <w:webHidden/>
                <w:sz w:val="28"/>
                <w:szCs w:val="28"/>
              </w:rPr>
              <w:fldChar w:fldCharType="end"/>
            </w:r>
          </w:hyperlink>
        </w:p>
        <w:p w14:paraId="50801EFE" w14:textId="77777777" w:rsidR="00F055BC" w:rsidRPr="00F055BC" w:rsidRDefault="007E15E6">
          <w:pPr>
            <w:pStyle w:val="TOC2"/>
            <w:tabs>
              <w:tab w:val="left" w:pos="880"/>
              <w:tab w:val="right" w:leader="dot" w:pos="9061"/>
            </w:tabs>
            <w:rPr>
              <w:rFonts w:eastAsiaTheme="minorEastAsia"/>
              <w:noProof/>
              <w:sz w:val="28"/>
              <w:szCs w:val="28"/>
            </w:rPr>
          </w:pPr>
          <w:hyperlink w:anchor="_Toc37334424" w:history="1">
            <w:r w:rsidR="00F055BC" w:rsidRPr="00F055BC">
              <w:rPr>
                <w:rStyle w:val="Hyperlink"/>
                <w:noProof/>
                <w:color w:val="auto"/>
                <w:sz w:val="28"/>
                <w:szCs w:val="28"/>
              </w:rPr>
              <w:t>2.3.</w:t>
            </w:r>
            <w:r w:rsidR="00F055BC" w:rsidRPr="00F055BC">
              <w:rPr>
                <w:rFonts w:eastAsiaTheme="minorEastAsia"/>
                <w:noProof/>
                <w:sz w:val="28"/>
                <w:szCs w:val="28"/>
              </w:rPr>
              <w:tab/>
            </w:r>
            <w:r w:rsidR="00F055BC" w:rsidRPr="00F055BC">
              <w:rPr>
                <w:rStyle w:val="Hyperlink"/>
                <w:noProof/>
                <w:color w:val="auto"/>
                <w:sz w:val="28"/>
                <w:szCs w:val="28"/>
              </w:rPr>
              <w:t>Pārskats par Elektronisko iepirkumu sistēmā (EIS) veiktajiem zaļajiem publiskiem iepirkumiem</w:t>
            </w:r>
            <w:r w:rsidR="00F055BC" w:rsidRPr="00F055BC">
              <w:rPr>
                <w:noProof/>
                <w:webHidden/>
                <w:sz w:val="28"/>
                <w:szCs w:val="28"/>
              </w:rPr>
              <w:tab/>
            </w:r>
            <w:r w:rsidR="00F055BC" w:rsidRPr="00F055BC">
              <w:rPr>
                <w:noProof/>
                <w:webHidden/>
                <w:sz w:val="28"/>
                <w:szCs w:val="28"/>
              </w:rPr>
              <w:fldChar w:fldCharType="begin"/>
            </w:r>
            <w:r w:rsidR="00F055BC" w:rsidRPr="00F055BC">
              <w:rPr>
                <w:noProof/>
                <w:webHidden/>
                <w:sz w:val="28"/>
                <w:szCs w:val="28"/>
              </w:rPr>
              <w:instrText xml:space="preserve"> PAGEREF _Toc37334424 \h </w:instrText>
            </w:r>
            <w:r w:rsidR="00F055BC" w:rsidRPr="00F055BC">
              <w:rPr>
                <w:noProof/>
                <w:webHidden/>
                <w:sz w:val="28"/>
                <w:szCs w:val="28"/>
              </w:rPr>
            </w:r>
            <w:r w:rsidR="00F055BC" w:rsidRPr="00F055BC">
              <w:rPr>
                <w:noProof/>
                <w:webHidden/>
                <w:sz w:val="28"/>
                <w:szCs w:val="28"/>
              </w:rPr>
              <w:fldChar w:fldCharType="separate"/>
            </w:r>
            <w:r w:rsidR="00310289">
              <w:rPr>
                <w:noProof/>
                <w:webHidden/>
                <w:sz w:val="28"/>
                <w:szCs w:val="28"/>
              </w:rPr>
              <w:t>22</w:t>
            </w:r>
            <w:r w:rsidR="00F055BC" w:rsidRPr="00F055BC">
              <w:rPr>
                <w:noProof/>
                <w:webHidden/>
                <w:sz w:val="28"/>
                <w:szCs w:val="28"/>
              </w:rPr>
              <w:fldChar w:fldCharType="end"/>
            </w:r>
          </w:hyperlink>
        </w:p>
        <w:p w14:paraId="5E31D0EF" w14:textId="77777777" w:rsidR="00F055BC" w:rsidRPr="00F055BC" w:rsidRDefault="007E15E6">
          <w:pPr>
            <w:pStyle w:val="TOC1"/>
            <w:tabs>
              <w:tab w:val="left" w:pos="440"/>
              <w:tab w:val="right" w:leader="dot" w:pos="9061"/>
            </w:tabs>
            <w:rPr>
              <w:rFonts w:eastAsiaTheme="minorEastAsia"/>
              <w:noProof/>
              <w:sz w:val="28"/>
              <w:szCs w:val="28"/>
            </w:rPr>
          </w:pPr>
          <w:hyperlink w:anchor="_Toc37334425" w:history="1">
            <w:r w:rsidR="00F055BC" w:rsidRPr="00F055BC">
              <w:rPr>
                <w:rStyle w:val="Hyperlink"/>
                <w:noProof/>
                <w:color w:val="auto"/>
                <w:sz w:val="28"/>
                <w:szCs w:val="28"/>
              </w:rPr>
              <w:t>3.</w:t>
            </w:r>
            <w:r w:rsidR="00F055BC" w:rsidRPr="00F055BC">
              <w:rPr>
                <w:rFonts w:eastAsiaTheme="minorEastAsia"/>
                <w:noProof/>
                <w:sz w:val="28"/>
                <w:szCs w:val="28"/>
              </w:rPr>
              <w:tab/>
            </w:r>
            <w:r w:rsidR="00F055BC" w:rsidRPr="00F055BC">
              <w:rPr>
                <w:rStyle w:val="Hyperlink"/>
                <w:noProof/>
                <w:color w:val="auto"/>
                <w:sz w:val="28"/>
                <w:szCs w:val="28"/>
              </w:rPr>
              <w:t>Secinājumi un priekšlikumi turpmākai rīcībai</w:t>
            </w:r>
            <w:r w:rsidR="00F055BC" w:rsidRPr="00F055BC">
              <w:rPr>
                <w:noProof/>
                <w:webHidden/>
                <w:sz w:val="28"/>
                <w:szCs w:val="28"/>
              </w:rPr>
              <w:tab/>
            </w:r>
            <w:r w:rsidR="00F055BC" w:rsidRPr="00F055BC">
              <w:rPr>
                <w:noProof/>
                <w:webHidden/>
                <w:sz w:val="28"/>
                <w:szCs w:val="28"/>
              </w:rPr>
              <w:fldChar w:fldCharType="begin"/>
            </w:r>
            <w:r w:rsidR="00F055BC" w:rsidRPr="00F055BC">
              <w:rPr>
                <w:noProof/>
                <w:webHidden/>
                <w:sz w:val="28"/>
                <w:szCs w:val="28"/>
              </w:rPr>
              <w:instrText xml:space="preserve"> PAGEREF _Toc37334425 \h </w:instrText>
            </w:r>
            <w:r w:rsidR="00F055BC" w:rsidRPr="00F055BC">
              <w:rPr>
                <w:noProof/>
                <w:webHidden/>
                <w:sz w:val="28"/>
                <w:szCs w:val="28"/>
              </w:rPr>
            </w:r>
            <w:r w:rsidR="00F055BC" w:rsidRPr="00F055BC">
              <w:rPr>
                <w:noProof/>
                <w:webHidden/>
                <w:sz w:val="28"/>
                <w:szCs w:val="28"/>
              </w:rPr>
              <w:fldChar w:fldCharType="separate"/>
            </w:r>
            <w:r w:rsidR="00310289">
              <w:rPr>
                <w:noProof/>
                <w:webHidden/>
                <w:sz w:val="28"/>
                <w:szCs w:val="28"/>
              </w:rPr>
              <w:t>25</w:t>
            </w:r>
            <w:r w:rsidR="00F055BC" w:rsidRPr="00F055BC">
              <w:rPr>
                <w:noProof/>
                <w:webHidden/>
                <w:sz w:val="28"/>
                <w:szCs w:val="28"/>
              </w:rPr>
              <w:fldChar w:fldCharType="end"/>
            </w:r>
          </w:hyperlink>
        </w:p>
        <w:p w14:paraId="3C741623" w14:textId="18591E95" w:rsidR="00F055BC" w:rsidRPr="00F055BC" w:rsidRDefault="00F055BC">
          <w:pPr>
            <w:rPr>
              <w:sz w:val="28"/>
              <w:szCs w:val="28"/>
            </w:rPr>
          </w:pPr>
          <w:r w:rsidRPr="00F055BC">
            <w:rPr>
              <w:b/>
              <w:bCs/>
              <w:noProof/>
              <w:sz w:val="28"/>
              <w:szCs w:val="28"/>
            </w:rPr>
            <w:fldChar w:fldCharType="end"/>
          </w:r>
        </w:p>
      </w:sdtContent>
    </w:sdt>
    <w:p w14:paraId="76DAE777" w14:textId="3B41B392" w:rsidR="0080767E" w:rsidRPr="002E42F1" w:rsidRDefault="0080767E" w:rsidP="006C282B">
      <w:pPr>
        <w:pStyle w:val="NoSpacing"/>
        <w:jc w:val="both"/>
        <w:rPr>
          <w:sz w:val="28"/>
          <w:szCs w:val="28"/>
        </w:rPr>
      </w:pPr>
      <w:r w:rsidRPr="002E42F1">
        <w:rPr>
          <w:sz w:val="28"/>
          <w:szCs w:val="28"/>
        </w:rPr>
        <w:br w:type="page"/>
      </w:r>
    </w:p>
    <w:p w14:paraId="61545C76" w14:textId="01DF1DFA" w:rsidR="00914A12" w:rsidRPr="000B6F30" w:rsidRDefault="00914A12" w:rsidP="00A55AAE">
      <w:pPr>
        <w:pStyle w:val="Heading1"/>
        <w:ind w:left="0"/>
      </w:pPr>
      <w:bookmarkStart w:id="0" w:name="_Toc37334419"/>
      <w:r w:rsidRPr="000B6F30">
        <w:lastRenderedPageBreak/>
        <w:t>Ievads</w:t>
      </w:r>
      <w:bookmarkEnd w:id="0"/>
    </w:p>
    <w:p w14:paraId="45E06750" w14:textId="77777777" w:rsidR="001733FA" w:rsidRPr="002E42F1" w:rsidRDefault="001733FA" w:rsidP="006C282B">
      <w:pPr>
        <w:pStyle w:val="NoSpacing"/>
        <w:jc w:val="both"/>
        <w:rPr>
          <w:sz w:val="28"/>
          <w:szCs w:val="28"/>
        </w:rPr>
      </w:pPr>
    </w:p>
    <w:p w14:paraId="6A3A4065" w14:textId="70FF78DA" w:rsidR="00BD2DFF" w:rsidRPr="002E42F1" w:rsidRDefault="00716C7F" w:rsidP="00583C90">
      <w:pPr>
        <w:pStyle w:val="NoSpacing"/>
        <w:ind w:firstLine="720"/>
        <w:jc w:val="both"/>
        <w:rPr>
          <w:sz w:val="28"/>
          <w:szCs w:val="28"/>
        </w:rPr>
      </w:pPr>
      <w:r w:rsidRPr="002E42F1">
        <w:rPr>
          <w:sz w:val="28"/>
          <w:szCs w:val="28"/>
        </w:rPr>
        <w:t>Vides aizsardzības un reģionālās attīstības ministrija (turpmāk</w:t>
      </w:r>
      <w:r w:rsidR="00042D6A" w:rsidRPr="002E42F1">
        <w:rPr>
          <w:sz w:val="28"/>
          <w:szCs w:val="28"/>
        </w:rPr>
        <w:t xml:space="preserve"> – </w:t>
      </w:r>
      <w:r w:rsidRPr="002E42F1">
        <w:rPr>
          <w:sz w:val="28"/>
          <w:szCs w:val="28"/>
        </w:rPr>
        <w:t>VARAM) ir sagatavojusi informatīvo ziņojumu</w:t>
      </w:r>
      <w:r w:rsidR="00057B24" w:rsidRPr="002E42F1">
        <w:rPr>
          <w:sz w:val="28"/>
          <w:szCs w:val="28"/>
        </w:rPr>
        <w:t xml:space="preserve"> </w:t>
      </w:r>
      <w:r w:rsidR="00D93C71" w:rsidRPr="002E42F1">
        <w:rPr>
          <w:sz w:val="28"/>
          <w:szCs w:val="28"/>
        </w:rPr>
        <w:t>“Par zaļā iepirkuma īstenošan</w:t>
      </w:r>
      <w:r w:rsidR="00600233" w:rsidRPr="002E42F1">
        <w:rPr>
          <w:sz w:val="28"/>
          <w:szCs w:val="28"/>
        </w:rPr>
        <w:t>u</w:t>
      </w:r>
      <w:r w:rsidR="00D93C71" w:rsidRPr="002E42F1">
        <w:rPr>
          <w:sz w:val="28"/>
          <w:szCs w:val="28"/>
        </w:rPr>
        <w:t xml:space="preserve"> valsts pārvaldē 201</w:t>
      </w:r>
      <w:r w:rsidR="00C276DA" w:rsidRPr="002E42F1">
        <w:rPr>
          <w:sz w:val="28"/>
          <w:szCs w:val="28"/>
        </w:rPr>
        <w:t>9</w:t>
      </w:r>
      <w:r w:rsidR="00D93C71" w:rsidRPr="002E42F1">
        <w:rPr>
          <w:sz w:val="28"/>
          <w:szCs w:val="28"/>
        </w:rPr>
        <w:t xml:space="preserve">. gadā” </w:t>
      </w:r>
      <w:r w:rsidRPr="002E42F1">
        <w:rPr>
          <w:sz w:val="28"/>
          <w:szCs w:val="28"/>
        </w:rPr>
        <w:t xml:space="preserve">(turpmāk </w:t>
      </w:r>
      <w:r w:rsidR="00560F78" w:rsidRPr="002E42F1">
        <w:rPr>
          <w:sz w:val="28"/>
          <w:szCs w:val="28"/>
        </w:rPr>
        <w:t>–</w:t>
      </w:r>
      <w:r w:rsidRPr="002E42F1">
        <w:rPr>
          <w:sz w:val="28"/>
          <w:szCs w:val="28"/>
        </w:rPr>
        <w:t xml:space="preserve"> </w:t>
      </w:r>
      <w:r w:rsidR="00560F78" w:rsidRPr="002E42F1">
        <w:rPr>
          <w:sz w:val="28"/>
          <w:szCs w:val="28"/>
        </w:rPr>
        <w:t>informatīvais ziņojums</w:t>
      </w:r>
      <w:r w:rsidRPr="002E42F1">
        <w:rPr>
          <w:sz w:val="28"/>
          <w:szCs w:val="28"/>
        </w:rPr>
        <w:t xml:space="preserve">). </w:t>
      </w:r>
      <w:r w:rsidR="00560F78" w:rsidRPr="002E42F1">
        <w:rPr>
          <w:sz w:val="28"/>
          <w:szCs w:val="28"/>
        </w:rPr>
        <w:t>Informatīvais ziņojums</w:t>
      </w:r>
      <w:r w:rsidRPr="002E42F1">
        <w:rPr>
          <w:sz w:val="28"/>
          <w:szCs w:val="28"/>
        </w:rPr>
        <w:t xml:space="preserve"> sagatavots, pamatojoties uz Ministru </w:t>
      </w:r>
      <w:r w:rsidR="00560F78" w:rsidRPr="002E42F1">
        <w:rPr>
          <w:sz w:val="28"/>
          <w:szCs w:val="28"/>
        </w:rPr>
        <w:t>k</w:t>
      </w:r>
      <w:r w:rsidRPr="002E42F1">
        <w:rPr>
          <w:sz w:val="28"/>
          <w:szCs w:val="28"/>
        </w:rPr>
        <w:t xml:space="preserve">abineta </w:t>
      </w:r>
      <w:r w:rsidR="0053252E" w:rsidRPr="002E42F1">
        <w:rPr>
          <w:sz w:val="28"/>
          <w:szCs w:val="28"/>
        </w:rPr>
        <w:t xml:space="preserve">2017. gada 20. jūnija </w:t>
      </w:r>
      <w:r w:rsidR="00560F78" w:rsidRPr="002E42F1">
        <w:rPr>
          <w:sz w:val="28"/>
          <w:szCs w:val="28"/>
        </w:rPr>
        <w:t>n</w:t>
      </w:r>
      <w:r w:rsidRPr="002E42F1">
        <w:rPr>
          <w:sz w:val="28"/>
          <w:szCs w:val="28"/>
        </w:rPr>
        <w:t>oteikumu Nr. 353 “Prasības zaļajam publiskajam iepirkumam un to piemērošanas kārtība”</w:t>
      </w:r>
      <w:r w:rsidR="001671F0" w:rsidRPr="002E42F1">
        <w:rPr>
          <w:sz w:val="28"/>
          <w:szCs w:val="28"/>
        </w:rPr>
        <w:t xml:space="preserve"> </w:t>
      </w:r>
      <w:r w:rsidR="0083368F" w:rsidRPr="002E42F1">
        <w:rPr>
          <w:sz w:val="28"/>
          <w:szCs w:val="28"/>
        </w:rPr>
        <w:t>(turpmāk – MK noteikumi)</w:t>
      </w:r>
      <w:r w:rsidR="0083368F">
        <w:rPr>
          <w:sz w:val="28"/>
          <w:szCs w:val="28"/>
        </w:rPr>
        <w:t xml:space="preserve"> </w:t>
      </w:r>
      <w:r w:rsidRPr="002E42F1">
        <w:rPr>
          <w:sz w:val="28"/>
          <w:szCs w:val="28"/>
        </w:rPr>
        <w:t>14.</w:t>
      </w:r>
      <w:r w:rsidR="00560F78" w:rsidRPr="002E42F1">
        <w:rPr>
          <w:sz w:val="28"/>
          <w:szCs w:val="28"/>
        </w:rPr>
        <w:t>5.</w:t>
      </w:r>
      <w:r w:rsidR="0053252E">
        <w:rPr>
          <w:sz w:val="28"/>
          <w:szCs w:val="28"/>
        </w:rPr>
        <w:t xml:space="preserve"> apakš</w:t>
      </w:r>
      <w:r w:rsidR="00560F78" w:rsidRPr="002E42F1">
        <w:rPr>
          <w:sz w:val="28"/>
          <w:szCs w:val="28"/>
        </w:rPr>
        <w:t>punktu</w:t>
      </w:r>
      <w:r w:rsidR="009D030D" w:rsidRPr="002E42F1">
        <w:rPr>
          <w:sz w:val="28"/>
          <w:szCs w:val="28"/>
        </w:rPr>
        <w:t>, kas uzdod</w:t>
      </w:r>
      <w:r w:rsidRPr="002E42F1">
        <w:rPr>
          <w:sz w:val="28"/>
          <w:szCs w:val="28"/>
        </w:rPr>
        <w:t xml:space="preserve"> </w:t>
      </w:r>
      <w:r w:rsidR="00BD2DFF" w:rsidRPr="002E42F1">
        <w:rPr>
          <w:sz w:val="28"/>
          <w:szCs w:val="28"/>
        </w:rPr>
        <w:t>VARAM nodrošināt zaļā iepirkuma īstenošanas gadskārtēju novērtējumu:</w:t>
      </w:r>
    </w:p>
    <w:p w14:paraId="57C5400D" w14:textId="346FC2E5" w:rsidR="00BD2DFF" w:rsidRPr="002E42F1" w:rsidRDefault="00BD2DFF" w:rsidP="006C282B">
      <w:pPr>
        <w:pStyle w:val="NoSpacing"/>
        <w:numPr>
          <w:ilvl w:val="0"/>
          <w:numId w:val="36"/>
        </w:numPr>
        <w:jc w:val="both"/>
        <w:rPr>
          <w:sz w:val="28"/>
          <w:szCs w:val="28"/>
        </w:rPr>
      </w:pPr>
      <w:r w:rsidRPr="002E42F1">
        <w:rPr>
          <w:sz w:val="28"/>
          <w:szCs w:val="28"/>
        </w:rPr>
        <w:t>nosakot zaļā iepirkuma īpatsvaru finansiālā izteiksmē kopējā publisko iepirkumu apjomā;</w:t>
      </w:r>
    </w:p>
    <w:p w14:paraId="45371900" w14:textId="5C95CF5A" w:rsidR="00BD2DFF" w:rsidRPr="002E42F1" w:rsidRDefault="00BD2DFF" w:rsidP="006C282B">
      <w:pPr>
        <w:pStyle w:val="NoSpacing"/>
        <w:numPr>
          <w:ilvl w:val="0"/>
          <w:numId w:val="36"/>
        </w:numPr>
        <w:jc w:val="both"/>
        <w:rPr>
          <w:sz w:val="28"/>
          <w:szCs w:val="28"/>
        </w:rPr>
      </w:pPr>
      <w:r w:rsidRPr="002E42F1">
        <w:rPr>
          <w:sz w:val="28"/>
          <w:szCs w:val="28"/>
        </w:rPr>
        <w:t>apkopojot datus par zaļajā iepirkumā iegādātajām preču un pakalpojumu grupām atsevišķi valsts tiešās pārvaldes iestādēm un pašvaldībām;</w:t>
      </w:r>
    </w:p>
    <w:p w14:paraId="6DC6EC84" w14:textId="4260CB9F" w:rsidR="00BD2DFF" w:rsidRPr="002E42F1" w:rsidRDefault="00BD2DFF" w:rsidP="006C282B">
      <w:pPr>
        <w:pStyle w:val="NoSpacing"/>
        <w:numPr>
          <w:ilvl w:val="0"/>
          <w:numId w:val="36"/>
        </w:numPr>
        <w:jc w:val="both"/>
        <w:rPr>
          <w:sz w:val="28"/>
          <w:szCs w:val="28"/>
        </w:rPr>
      </w:pPr>
      <w:r w:rsidRPr="002E42F1">
        <w:rPr>
          <w:sz w:val="28"/>
          <w:szCs w:val="28"/>
        </w:rPr>
        <w:t>reizi gadā līdz 1. maijam sagatavojot un iesniedzot Ministru kabinetā informatīvo ziņojumu par zaļā iepirkuma īstenošanu valsts pārvaldē.</w:t>
      </w:r>
    </w:p>
    <w:p w14:paraId="58210CB0" w14:textId="1C32713D" w:rsidR="00716C7F" w:rsidRPr="002E42F1" w:rsidRDefault="00716C7F" w:rsidP="00583C90">
      <w:pPr>
        <w:pStyle w:val="NoSpacing"/>
        <w:ind w:firstLine="720"/>
        <w:jc w:val="both"/>
        <w:rPr>
          <w:sz w:val="28"/>
          <w:szCs w:val="28"/>
        </w:rPr>
      </w:pPr>
      <w:r w:rsidRPr="002E42F1">
        <w:rPr>
          <w:sz w:val="28"/>
          <w:szCs w:val="28"/>
        </w:rPr>
        <w:t xml:space="preserve">Informatīvajā ziņojumā sniegta informācija, </w:t>
      </w:r>
      <w:r w:rsidRPr="002E42F1">
        <w:rPr>
          <w:sz w:val="28"/>
          <w:szCs w:val="28"/>
          <w:shd w:val="clear" w:color="auto" w:fill="FFFFFF" w:themeFill="background1"/>
        </w:rPr>
        <w:t xml:space="preserve">apkopojot </w:t>
      </w:r>
      <w:r w:rsidR="00470BF9" w:rsidRPr="002E42F1">
        <w:rPr>
          <w:sz w:val="28"/>
          <w:szCs w:val="28"/>
          <w:shd w:val="clear" w:color="auto" w:fill="FFFFFF" w:themeFill="background1"/>
        </w:rPr>
        <w:t xml:space="preserve">Iepirkumu uzraudzības biroja (turpmāk – IUB) un </w:t>
      </w:r>
      <w:r w:rsidRPr="002E42F1">
        <w:rPr>
          <w:sz w:val="28"/>
          <w:szCs w:val="28"/>
          <w:shd w:val="clear" w:color="auto" w:fill="FFFFFF" w:themeFill="background1"/>
        </w:rPr>
        <w:t xml:space="preserve">Valsts reģionālās attīstības aģentūras (turpmāk </w:t>
      </w:r>
      <w:r w:rsidR="007E15E6" w:rsidRPr="007E15E6">
        <w:rPr>
          <w:sz w:val="28"/>
          <w:szCs w:val="28"/>
          <w:shd w:val="clear" w:color="auto" w:fill="FFFFFF" w:themeFill="background1"/>
        </w:rPr>
        <w:t xml:space="preserve">– </w:t>
      </w:r>
      <w:bookmarkStart w:id="1" w:name="_GoBack"/>
      <w:bookmarkEnd w:id="1"/>
      <w:r w:rsidRPr="002E42F1">
        <w:rPr>
          <w:sz w:val="28"/>
          <w:szCs w:val="28"/>
          <w:shd w:val="clear" w:color="auto" w:fill="FFFFFF" w:themeFill="background1"/>
        </w:rPr>
        <w:t xml:space="preserve"> VRAA), kas pārvalda elektronisko iepirkumu sistēmu (turpmāk </w:t>
      </w:r>
      <w:r w:rsidR="007E15E6" w:rsidRPr="007E15E6">
        <w:rPr>
          <w:sz w:val="28"/>
          <w:szCs w:val="28"/>
          <w:shd w:val="clear" w:color="auto" w:fill="FFFFFF" w:themeFill="background1"/>
        </w:rPr>
        <w:t xml:space="preserve">– </w:t>
      </w:r>
      <w:r w:rsidRPr="002E42F1">
        <w:rPr>
          <w:sz w:val="28"/>
          <w:szCs w:val="28"/>
          <w:shd w:val="clear" w:color="auto" w:fill="FFFFFF" w:themeFill="background1"/>
        </w:rPr>
        <w:t xml:space="preserve"> EIS), sniegtos datus </w:t>
      </w:r>
      <w:r w:rsidRPr="002E42F1">
        <w:rPr>
          <w:sz w:val="28"/>
          <w:szCs w:val="28"/>
        </w:rPr>
        <w:t>pa</w:t>
      </w:r>
      <w:r w:rsidR="00BD2DFF" w:rsidRPr="002E42F1">
        <w:rPr>
          <w:sz w:val="28"/>
          <w:szCs w:val="28"/>
        </w:rPr>
        <w:t xml:space="preserve">r </w:t>
      </w:r>
      <w:r w:rsidRPr="002E42F1">
        <w:rPr>
          <w:sz w:val="28"/>
          <w:szCs w:val="28"/>
        </w:rPr>
        <w:t>veiktajiem publiskajiem iepirkumiem, kuros izmanto vides kritērijus – zaļais</w:t>
      </w:r>
      <w:r w:rsidR="00042D6A" w:rsidRPr="002E42F1">
        <w:rPr>
          <w:sz w:val="28"/>
          <w:szCs w:val="28"/>
        </w:rPr>
        <w:t xml:space="preserve"> publiskais iepirkums (turpmāk –</w:t>
      </w:r>
      <w:r w:rsidRPr="002E42F1">
        <w:rPr>
          <w:sz w:val="28"/>
          <w:szCs w:val="28"/>
        </w:rPr>
        <w:t xml:space="preserve"> ZPI). Informatīv</w:t>
      </w:r>
      <w:r w:rsidR="00560F78" w:rsidRPr="002E42F1">
        <w:rPr>
          <w:sz w:val="28"/>
          <w:szCs w:val="28"/>
        </w:rPr>
        <w:t>ajā</w:t>
      </w:r>
      <w:r w:rsidRPr="002E42F1">
        <w:rPr>
          <w:sz w:val="28"/>
          <w:szCs w:val="28"/>
        </w:rPr>
        <w:t xml:space="preserve"> ziņojumā sniegto informāciju ilustrē </w:t>
      </w:r>
      <w:r w:rsidR="00E61AAD" w:rsidRPr="002E42F1">
        <w:rPr>
          <w:sz w:val="28"/>
          <w:szCs w:val="28"/>
        </w:rPr>
        <w:t>14</w:t>
      </w:r>
      <w:r w:rsidR="003E562F" w:rsidRPr="002E42F1">
        <w:rPr>
          <w:sz w:val="28"/>
          <w:szCs w:val="28"/>
        </w:rPr>
        <w:t xml:space="preserve"> </w:t>
      </w:r>
      <w:r w:rsidRPr="002E42F1">
        <w:rPr>
          <w:sz w:val="28"/>
          <w:szCs w:val="28"/>
        </w:rPr>
        <w:t xml:space="preserve">attēli un </w:t>
      </w:r>
      <w:r w:rsidR="00C16582" w:rsidRPr="002E42F1">
        <w:rPr>
          <w:sz w:val="28"/>
          <w:szCs w:val="28"/>
        </w:rPr>
        <w:t>15</w:t>
      </w:r>
      <w:r w:rsidR="00363F6B" w:rsidRPr="002E42F1">
        <w:rPr>
          <w:sz w:val="28"/>
          <w:szCs w:val="28"/>
        </w:rPr>
        <w:t xml:space="preserve"> </w:t>
      </w:r>
      <w:r w:rsidRPr="002E42F1">
        <w:rPr>
          <w:sz w:val="28"/>
          <w:szCs w:val="28"/>
        </w:rPr>
        <w:t>tabulas.</w:t>
      </w:r>
    </w:p>
    <w:p w14:paraId="143DF8D1" w14:textId="21FCE050" w:rsidR="00EC3CBA" w:rsidRPr="002E42F1" w:rsidRDefault="006862FD" w:rsidP="006862FD">
      <w:pPr>
        <w:pStyle w:val="NoSpacing"/>
        <w:ind w:firstLine="720"/>
        <w:jc w:val="both"/>
        <w:rPr>
          <w:sz w:val="28"/>
          <w:szCs w:val="28"/>
        </w:rPr>
      </w:pPr>
      <w:r w:rsidRPr="002E42F1">
        <w:rPr>
          <w:sz w:val="28"/>
          <w:szCs w:val="28"/>
        </w:rPr>
        <w:t>Informatīvajā ziņojumā</w:t>
      </w:r>
      <w:r w:rsidR="00526E65" w:rsidRPr="002E42F1">
        <w:rPr>
          <w:sz w:val="28"/>
          <w:szCs w:val="28"/>
        </w:rPr>
        <w:t xml:space="preserve"> </w:t>
      </w:r>
      <w:r w:rsidRPr="002E42F1">
        <w:rPr>
          <w:sz w:val="28"/>
          <w:szCs w:val="28"/>
        </w:rPr>
        <w:t>t</w:t>
      </w:r>
      <w:r w:rsidR="00526E65" w:rsidRPr="002E42F1">
        <w:rPr>
          <w:sz w:val="28"/>
          <w:szCs w:val="28"/>
        </w:rPr>
        <w:t xml:space="preserve">iek identificētas tās preču, pakalpojumu un būvdarbu grupas, kas atstāj visbūtiskāko ietekmi uz ZPI īpatsvara izmaiņām. </w:t>
      </w:r>
      <w:r w:rsidRPr="002E42F1">
        <w:rPr>
          <w:sz w:val="28"/>
          <w:szCs w:val="28"/>
        </w:rPr>
        <w:t xml:space="preserve">Kopš 2019. gada </w:t>
      </w:r>
      <w:r w:rsidR="006A229B" w:rsidRPr="002E42F1">
        <w:rPr>
          <w:sz w:val="28"/>
          <w:szCs w:val="28"/>
        </w:rPr>
        <w:t>papildus tiek vērtēts ZPI īpatsvars</w:t>
      </w:r>
      <w:r w:rsidR="00EC3CBA" w:rsidRPr="002E42F1">
        <w:rPr>
          <w:sz w:val="28"/>
          <w:szCs w:val="28"/>
        </w:rPr>
        <w:t xml:space="preserve"> </w:t>
      </w:r>
      <w:r w:rsidR="006A229B" w:rsidRPr="002E42F1">
        <w:rPr>
          <w:sz w:val="28"/>
          <w:szCs w:val="28"/>
        </w:rPr>
        <w:t>obligāti piemērojamajās ZPI grupās</w:t>
      </w:r>
      <w:r w:rsidR="00526E65" w:rsidRPr="002E42F1">
        <w:rPr>
          <w:sz w:val="28"/>
          <w:szCs w:val="28"/>
        </w:rPr>
        <w:t>, lai nodrošin</w:t>
      </w:r>
      <w:r w:rsidR="0063029B" w:rsidRPr="002E42F1">
        <w:rPr>
          <w:sz w:val="28"/>
          <w:szCs w:val="28"/>
        </w:rPr>
        <w:t xml:space="preserve">ātu </w:t>
      </w:r>
      <w:r w:rsidR="003E37C9" w:rsidRPr="002E42F1">
        <w:rPr>
          <w:sz w:val="28"/>
          <w:szCs w:val="28"/>
        </w:rPr>
        <w:t>atbilstošāku</w:t>
      </w:r>
      <w:r w:rsidR="0063029B" w:rsidRPr="002E42F1">
        <w:rPr>
          <w:sz w:val="28"/>
          <w:szCs w:val="28"/>
        </w:rPr>
        <w:t xml:space="preserve"> </w:t>
      </w:r>
      <w:r w:rsidR="00526E65" w:rsidRPr="002E42F1">
        <w:rPr>
          <w:sz w:val="28"/>
          <w:szCs w:val="28"/>
        </w:rPr>
        <w:t xml:space="preserve">īpatsvara izmaiņu </w:t>
      </w:r>
      <w:r w:rsidR="0063029B" w:rsidRPr="002E42F1">
        <w:rPr>
          <w:sz w:val="28"/>
          <w:szCs w:val="28"/>
        </w:rPr>
        <w:t>raksturojumu</w:t>
      </w:r>
      <w:r w:rsidR="003E37C9" w:rsidRPr="002E42F1">
        <w:rPr>
          <w:sz w:val="28"/>
          <w:szCs w:val="28"/>
        </w:rPr>
        <w:t xml:space="preserve"> un attīstības tendenču prognozējamību.</w:t>
      </w:r>
    </w:p>
    <w:p w14:paraId="578EFAE0" w14:textId="4355DF11" w:rsidR="00716C7F" w:rsidRPr="002E42F1" w:rsidRDefault="00716C7F" w:rsidP="00583C90">
      <w:pPr>
        <w:pStyle w:val="NoSpacing"/>
        <w:ind w:firstLine="720"/>
        <w:jc w:val="both"/>
        <w:rPr>
          <w:sz w:val="28"/>
          <w:szCs w:val="28"/>
        </w:rPr>
      </w:pPr>
      <w:r w:rsidRPr="002E42F1">
        <w:rPr>
          <w:sz w:val="28"/>
          <w:szCs w:val="28"/>
        </w:rPr>
        <w:t xml:space="preserve">Informatīvā ziņojuma tematiskajās sadaļās ir apkopota informācija un veikta datu analīze, kas detalizētāk raksturo </w:t>
      </w:r>
      <w:r w:rsidR="0066468C" w:rsidRPr="002E42F1">
        <w:rPr>
          <w:sz w:val="28"/>
          <w:szCs w:val="28"/>
        </w:rPr>
        <w:t>ZPI īpatsvara izmaiņu tendences un noslēgumā tiek sniegti priekšlikumi turpmākajām rīcībām.</w:t>
      </w:r>
    </w:p>
    <w:p w14:paraId="505B79DF" w14:textId="16BE9866" w:rsidR="00A03643" w:rsidRPr="002E42F1" w:rsidRDefault="00A03643" w:rsidP="006C282B">
      <w:pPr>
        <w:pStyle w:val="NoSpacing"/>
        <w:jc w:val="both"/>
        <w:rPr>
          <w:sz w:val="28"/>
          <w:szCs w:val="28"/>
        </w:rPr>
      </w:pPr>
      <w:r w:rsidRPr="002E42F1">
        <w:rPr>
          <w:sz w:val="28"/>
          <w:szCs w:val="28"/>
        </w:rPr>
        <w:br w:type="page"/>
      </w:r>
    </w:p>
    <w:p w14:paraId="233B5498" w14:textId="5D8EB299" w:rsidR="009B508E" w:rsidRPr="002E42F1" w:rsidRDefault="000F3A0C" w:rsidP="000B6F30">
      <w:pPr>
        <w:pStyle w:val="Heading1"/>
        <w:numPr>
          <w:ilvl w:val="0"/>
          <w:numId w:val="44"/>
        </w:numPr>
      </w:pPr>
      <w:bookmarkStart w:id="2" w:name="_Toc37334420"/>
      <w:r w:rsidRPr="002E42F1">
        <w:lastRenderedPageBreak/>
        <w:t>Tiesiskais regulējums</w:t>
      </w:r>
      <w:r w:rsidR="005F17B8" w:rsidRPr="002E42F1">
        <w:t xml:space="preserve"> un politiskās plānošanas dokumenti</w:t>
      </w:r>
      <w:bookmarkEnd w:id="2"/>
    </w:p>
    <w:p w14:paraId="7A217228" w14:textId="77777777" w:rsidR="00F07685" w:rsidRPr="002E42F1" w:rsidRDefault="00F07685" w:rsidP="006C282B">
      <w:pPr>
        <w:pStyle w:val="NoSpacing"/>
        <w:jc w:val="both"/>
        <w:rPr>
          <w:sz w:val="28"/>
          <w:szCs w:val="28"/>
        </w:rPr>
      </w:pPr>
    </w:p>
    <w:p w14:paraId="3669A3DB" w14:textId="34E3FF6F" w:rsidR="00603944" w:rsidRPr="002E42F1" w:rsidRDefault="00716C7F" w:rsidP="006C282B">
      <w:pPr>
        <w:pStyle w:val="NoSpacing"/>
        <w:ind w:firstLine="360"/>
        <w:jc w:val="both"/>
        <w:rPr>
          <w:sz w:val="28"/>
          <w:szCs w:val="28"/>
        </w:rPr>
      </w:pPr>
      <w:r w:rsidRPr="002E42F1">
        <w:rPr>
          <w:sz w:val="28"/>
          <w:szCs w:val="28"/>
        </w:rPr>
        <w:t>E</w:t>
      </w:r>
      <w:r w:rsidR="0066468C" w:rsidRPr="002E42F1">
        <w:rPr>
          <w:sz w:val="28"/>
          <w:szCs w:val="28"/>
        </w:rPr>
        <w:t xml:space="preserve">iropas </w:t>
      </w:r>
      <w:r w:rsidRPr="002E42F1">
        <w:rPr>
          <w:sz w:val="28"/>
          <w:szCs w:val="28"/>
        </w:rPr>
        <w:t>S</w:t>
      </w:r>
      <w:r w:rsidR="0066468C" w:rsidRPr="002E42F1">
        <w:rPr>
          <w:sz w:val="28"/>
          <w:szCs w:val="28"/>
        </w:rPr>
        <w:t>avienībā</w:t>
      </w:r>
      <w:r w:rsidRPr="002E42F1">
        <w:rPr>
          <w:sz w:val="28"/>
          <w:szCs w:val="28"/>
        </w:rPr>
        <w:t xml:space="preserve"> īsteno politiku publisko iepirkumu jomā, pastāvīgi pilnveidojot tiesisko ietvaru publisko iepirkumu jomā</w:t>
      </w:r>
      <w:r w:rsidR="001671F0" w:rsidRPr="002E42F1">
        <w:rPr>
          <w:sz w:val="28"/>
          <w:szCs w:val="28"/>
        </w:rPr>
        <w:t xml:space="preserve"> </w:t>
      </w:r>
      <w:r w:rsidRPr="002E42F1">
        <w:rPr>
          <w:sz w:val="28"/>
          <w:szCs w:val="28"/>
        </w:rPr>
        <w:t>un paredzot tajā vides aizsardzības un energoefektivitātes prasības.</w:t>
      </w:r>
      <w:r w:rsidR="00057B24" w:rsidRPr="002E42F1">
        <w:rPr>
          <w:sz w:val="28"/>
          <w:szCs w:val="28"/>
        </w:rPr>
        <w:t xml:space="preserve"> Uz </w:t>
      </w:r>
      <w:r w:rsidR="0027539A" w:rsidRPr="002E42F1">
        <w:rPr>
          <w:sz w:val="28"/>
          <w:szCs w:val="28"/>
        </w:rPr>
        <w:t>informatīvā z</w:t>
      </w:r>
      <w:r w:rsidR="00057B24" w:rsidRPr="002E42F1">
        <w:rPr>
          <w:sz w:val="28"/>
          <w:szCs w:val="28"/>
        </w:rPr>
        <w:t>iņojuma sagatavošanas brīdi aktuālās direktīvas:</w:t>
      </w:r>
    </w:p>
    <w:p w14:paraId="3A7FE803" w14:textId="10DB5F1D" w:rsidR="00603944" w:rsidRPr="002E42F1" w:rsidRDefault="00603944" w:rsidP="006C282B">
      <w:pPr>
        <w:pStyle w:val="NoSpacing"/>
        <w:numPr>
          <w:ilvl w:val="0"/>
          <w:numId w:val="37"/>
        </w:numPr>
        <w:jc w:val="both"/>
        <w:rPr>
          <w:sz w:val="28"/>
          <w:szCs w:val="28"/>
        </w:rPr>
      </w:pPr>
      <w:r w:rsidRPr="002E42F1">
        <w:rPr>
          <w:sz w:val="28"/>
          <w:szCs w:val="28"/>
        </w:rPr>
        <w:t>Eiropas Parlamenta un Padomes Direktīva</w:t>
      </w:r>
      <w:r w:rsidR="002073D1">
        <w:rPr>
          <w:sz w:val="28"/>
          <w:szCs w:val="28"/>
        </w:rPr>
        <w:t xml:space="preserve"> Nr.</w:t>
      </w:r>
      <w:r w:rsidRPr="002E42F1">
        <w:rPr>
          <w:sz w:val="28"/>
          <w:szCs w:val="28"/>
        </w:rPr>
        <w:t xml:space="preserve"> 2014/24/ES (2014. gada 26. februāris) par publisko iepirkumu</w:t>
      </w:r>
      <w:r w:rsidR="001A362F" w:rsidRPr="002E42F1">
        <w:rPr>
          <w:sz w:val="28"/>
          <w:szCs w:val="28"/>
        </w:rPr>
        <w:t>;</w:t>
      </w:r>
    </w:p>
    <w:p w14:paraId="080B1931" w14:textId="1201F647" w:rsidR="00603944" w:rsidRPr="002E42F1" w:rsidRDefault="00603944" w:rsidP="006C282B">
      <w:pPr>
        <w:pStyle w:val="NoSpacing"/>
        <w:numPr>
          <w:ilvl w:val="0"/>
          <w:numId w:val="37"/>
        </w:numPr>
        <w:jc w:val="both"/>
        <w:rPr>
          <w:sz w:val="28"/>
          <w:szCs w:val="28"/>
        </w:rPr>
      </w:pPr>
      <w:r w:rsidRPr="002E42F1">
        <w:rPr>
          <w:sz w:val="28"/>
          <w:szCs w:val="28"/>
        </w:rPr>
        <w:t xml:space="preserve">Eiropas Parlamenta un Padomes </w:t>
      </w:r>
      <w:r w:rsidR="002073D1" w:rsidRPr="002E42F1">
        <w:rPr>
          <w:sz w:val="28"/>
          <w:szCs w:val="28"/>
        </w:rPr>
        <w:t>Direktīva</w:t>
      </w:r>
      <w:r w:rsidR="002073D1">
        <w:rPr>
          <w:sz w:val="28"/>
          <w:szCs w:val="28"/>
        </w:rPr>
        <w:t xml:space="preserve"> Nr. </w:t>
      </w:r>
      <w:r w:rsidRPr="002E42F1">
        <w:rPr>
          <w:sz w:val="28"/>
          <w:szCs w:val="28"/>
        </w:rPr>
        <w:t>2014/25/ES (2014. gada 26. februāris) par iepirkumu, ko īsteno subjekti, kuri darbojas ūdensapgādes, enerģētikas, transporta un pasta pakalpojumu nozarēs</w:t>
      </w:r>
      <w:r w:rsidR="001A362F" w:rsidRPr="002E42F1">
        <w:rPr>
          <w:sz w:val="28"/>
          <w:szCs w:val="28"/>
        </w:rPr>
        <w:t>.</w:t>
      </w:r>
    </w:p>
    <w:p w14:paraId="7BA6934B" w14:textId="5E2F138A" w:rsidR="009D030D" w:rsidRPr="002E42F1" w:rsidRDefault="00B81D77" w:rsidP="006C282B">
      <w:pPr>
        <w:pStyle w:val="NoSpacing"/>
        <w:ind w:firstLine="360"/>
        <w:jc w:val="both"/>
        <w:rPr>
          <w:sz w:val="28"/>
          <w:szCs w:val="28"/>
        </w:rPr>
      </w:pPr>
      <w:r w:rsidRPr="002E42F1">
        <w:rPr>
          <w:sz w:val="28"/>
          <w:szCs w:val="28"/>
        </w:rPr>
        <w:t>Uz</w:t>
      </w:r>
      <w:r w:rsidR="00716C7F" w:rsidRPr="002E42F1">
        <w:rPr>
          <w:sz w:val="28"/>
          <w:szCs w:val="28"/>
        </w:rPr>
        <w:t xml:space="preserve"> direktīv</w:t>
      </w:r>
      <w:r w:rsidRPr="002E42F1">
        <w:rPr>
          <w:sz w:val="28"/>
          <w:szCs w:val="28"/>
        </w:rPr>
        <w:t>u</w:t>
      </w:r>
      <w:r w:rsidR="00716C7F" w:rsidRPr="002E42F1">
        <w:rPr>
          <w:sz w:val="28"/>
          <w:szCs w:val="28"/>
        </w:rPr>
        <w:t xml:space="preserve"> pamata</w:t>
      </w:r>
      <w:r w:rsidR="008168FE" w:rsidRPr="002E42F1">
        <w:rPr>
          <w:sz w:val="28"/>
          <w:szCs w:val="28"/>
        </w:rPr>
        <w:t xml:space="preserve"> ir izstrādāts un</w:t>
      </w:r>
      <w:r w:rsidR="00716C7F" w:rsidRPr="002E42F1">
        <w:rPr>
          <w:sz w:val="28"/>
          <w:szCs w:val="28"/>
        </w:rPr>
        <w:t xml:space="preserve"> </w:t>
      </w:r>
      <w:r w:rsidRPr="002E42F1">
        <w:rPr>
          <w:sz w:val="28"/>
          <w:szCs w:val="28"/>
        </w:rPr>
        <w:t>pastāvīgi tiek aktualizēts</w:t>
      </w:r>
      <w:r w:rsidR="00716C7F" w:rsidRPr="002E42F1">
        <w:rPr>
          <w:sz w:val="28"/>
          <w:szCs w:val="28"/>
        </w:rPr>
        <w:t xml:space="preserve"> publis</w:t>
      </w:r>
      <w:r w:rsidR="00655287" w:rsidRPr="002E42F1">
        <w:rPr>
          <w:sz w:val="28"/>
          <w:szCs w:val="28"/>
        </w:rPr>
        <w:t>ko iepirkumu regulējums Latvijā, t.sk.</w:t>
      </w:r>
      <w:r w:rsidR="009D030D" w:rsidRPr="002E42F1">
        <w:rPr>
          <w:sz w:val="28"/>
          <w:szCs w:val="28"/>
        </w:rPr>
        <w:t>:</w:t>
      </w:r>
    </w:p>
    <w:p w14:paraId="465739EB" w14:textId="77777777" w:rsidR="009D030D" w:rsidRPr="002E42F1" w:rsidRDefault="00655287" w:rsidP="006C282B">
      <w:pPr>
        <w:pStyle w:val="NoSpacing"/>
        <w:numPr>
          <w:ilvl w:val="0"/>
          <w:numId w:val="38"/>
        </w:numPr>
        <w:jc w:val="both"/>
        <w:rPr>
          <w:rFonts w:eastAsia="Calibri"/>
          <w:sz w:val="28"/>
          <w:szCs w:val="28"/>
        </w:rPr>
      </w:pPr>
      <w:r w:rsidRPr="002E42F1">
        <w:rPr>
          <w:rFonts w:eastAsia="Calibri"/>
          <w:sz w:val="28"/>
          <w:szCs w:val="28"/>
        </w:rPr>
        <w:t>Publisko iepirkumu likums</w:t>
      </w:r>
      <w:r w:rsidR="00710BEE" w:rsidRPr="002E42F1">
        <w:rPr>
          <w:rFonts w:eastAsia="Calibri"/>
          <w:sz w:val="28"/>
          <w:szCs w:val="28"/>
        </w:rPr>
        <w:t xml:space="preserve"> (turpmāk –</w:t>
      </w:r>
      <w:r w:rsidR="008168FE" w:rsidRPr="002E42F1">
        <w:rPr>
          <w:rFonts w:eastAsia="Calibri"/>
          <w:sz w:val="28"/>
          <w:szCs w:val="28"/>
        </w:rPr>
        <w:t xml:space="preserve"> </w:t>
      </w:r>
      <w:r w:rsidR="00710BEE" w:rsidRPr="002E42F1">
        <w:rPr>
          <w:rFonts w:eastAsia="Calibri"/>
          <w:sz w:val="28"/>
          <w:szCs w:val="28"/>
        </w:rPr>
        <w:t>PIL)</w:t>
      </w:r>
      <w:r w:rsidR="0066468C" w:rsidRPr="002E42F1">
        <w:rPr>
          <w:rFonts w:eastAsia="Calibri"/>
          <w:sz w:val="28"/>
          <w:szCs w:val="28"/>
        </w:rPr>
        <w:t xml:space="preserve">, kas </w:t>
      </w:r>
      <w:r w:rsidR="00716C7F" w:rsidRPr="002E42F1">
        <w:rPr>
          <w:rFonts w:eastAsia="Calibri"/>
          <w:sz w:val="28"/>
          <w:szCs w:val="28"/>
        </w:rPr>
        <w:t xml:space="preserve">stājās spēkā 2017. gada 1. </w:t>
      </w:r>
      <w:r w:rsidR="0066468C" w:rsidRPr="002E42F1">
        <w:rPr>
          <w:rFonts w:eastAsia="Calibri"/>
          <w:sz w:val="28"/>
          <w:szCs w:val="28"/>
        </w:rPr>
        <w:t>martā</w:t>
      </w:r>
      <w:r w:rsidR="009D030D" w:rsidRPr="002E42F1">
        <w:rPr>
          <w:rFonts w:eastAsia="Calibri"/>
          <w:sz w:val="28"/>
          <w:szCs w:val="28"/>
        </w:rPr>
        <w:t>;</w:t>
      </w:r>
    </w:p>
    <w:p w14:paraId="41182AAF" w14:textId="7051C9CC" w:rsidR="009D030D" w:rsidRPr="002E42F1" w:rsidRDefault="00716C7F" w:rsidP="006C282B">
      <w:pPr>
        <w:pStyle w:val="NoSpacing"/>
        <w:numPr>
          <w:ilvl w:val="0"/>
          <w:numId w:val="38"/>
        </w:numPr>
        <w:jc w:val="both"/>
        <w:rPr>
          <w:rFonts w:eastAsia="Calibri"/>
          <w:sz w:val="28"/>
          <w:szCs w:val="28"/>
        </w:rPr>
      </w:pPr>
      <w:r w:rsidRPr="002E42F1">
        <w:rPr>
          <w:rFonts w:eastAsia="Calibri"/>
          <w:sz w:val="28"/>
          <w:szCs w:val="28"/>
        </w:rPr>
        <w:t>Sabiedrisko pakalp</w:t>
      </w:r>
      <w:r w:rsidR="004D6460" w:rsidRPr="002E42F1">
        <w:rPr>
          <w:rFonts w:eastAsia="Calibri"/>
          <w:sz w:val="28"/>
          <w:szCs w:val="28"/>
        </w:rPr>
        <w:t>ojumu sniedzēju iepirkumu likums</w:t>
      </w:r>
      <w:r w:rsidR="00710BEE" w:rsidRPr="002E42F1">
        <w:rPr>
          <w:rFonts w:eastAsia="Calibri"/>
          <w:sz w:val="28"/>
          <w:szCs w:val="28"/>
        </w:rPr>
        <w:t xml:space="preserve"> (turpmāk </w:t>
      </w:r>
      <w:r w:rsidR="00266576" w:rsidRPr="002E42F1">
        <w:rPr>
          <w:rFonts w:eastAsia="Calibri"/>
          <w:sz w:val="28"/>
          <w:szCs w:val="28"/>
        </w:rPr>
        <w:t>–</w:t>
      </w:r>
      <w:r w:rsidR="00266576">
        <w:rPr>
          <w:rFonts w:eastAsia="Calibri"/>
          <w:sz w:val="28"/>
          <w:szCs w:val="28"/>
        </w:rPr>
        <w:t xml:space="preserve"> </w:t>
      </w:r>
      <w:r w:rsidR="00CA61E0" w:rsidRPr="002E42F1">
        <w:rPr>
          <w:rFonts w:eastAsia="Calibri"/>
          <w:sz w:val="28"/>
          <w:szCs w:val="28"/>
        </w:rPr>
        <w:t xml:space="preserve"> </w:t>
      </w:r>
      <w:r w:rsidR="00710BEE" w:rsidRPr="002E42F1">
        <w:rPr>
          <w:rFonts w:eastAsia="Calibri"/>
          <w:sz w:val="28"/>
          <w:szCs w:val="28"/>
        </w:rPr>
        <w:t>SPSIL)</w:t>
      </w:r>
      <w:r w:rsidR="0052669D" w:rsidRPr="002E42F1">
        <w:rPr>
          <w:rFonts w:eastAsia="Calibri"/>
          <w:sz w:val="28"/>
          <w:szCs w:val="28"/>
        </w:rPr>
        <w:t xml:space="preserve">, kas </w:t>
      </w:r>
      <w:r w:rsidRPr="002E42F1">
        <w:rPr>
          <w:rFonts w:eastAsia="Calibri"/>
          <w:sz w:val="28"/>
          <w:szCs w:val="28"/>
        </w:rPr>
        <w:t>st</w:t>
      </w:r>
      <w:r w:rsidR="0052669D" w:rsidRPr="002E42F1">
        <w:rPr>
          <w:rFonts w:eastAsia="Calibri"/>
          <w:sz w:val="28"/>
          <w:szCs w:val="28"/>
        </w:rPr>
        <w:t>ājās spēkā 2017. gada 1. aprīlī</w:t>
      </w:r>
      <w:r w:rsidR="009546A2" w:rsidRPr="002E42F1">
        <w:rPr>
          <w:rFonts w:eastAsia="Calibri"/>
          <w:sz w:val="28"/>
          <w:szCs w:val="28"/>
        </w:rPr>
        <w:t>;</w:t>
      </w:r>
    </w:p>
    <w:p w14:paraId="4602E3C9" w14:textId="1A711DC6" w:rsidR="00A03643" w:rsidRPr="002E42F1" w:rsidRDefault="00655287" w:rsidP="006C282B">
      <w:pPr>
        <w:pStyle w:val="NoSpacing"/>
        <w:numPr>
          <w:ilvl w:val="0"/>
          <w:numId w:val="38"/>
        </w:numPr>
        <w:jc w:val="both"/>
        <w:rPr>
          <w:rFonts w:eastAsia="Calibri"/>
          <w:sz w:val="28"/>
          <w:szCs w:val="28"/>
        </w:rPr>
      </w:pPr>
      <w:r w:rsidRPr="002E42F1">
        <w:rPr>
          <w:rFonts w:eastAsia="Calibri"/>
          <w:sz w:val="28"/>
          <w:szCs w:val="28"/>
        </w:rPr>
        <w:t xml:space="preserve">PIL un SPSIL noteiktā deleģējuma ietvaros izstrādātie </w:t>
      </w:r>
      <w:r w:rsidR="009D030D" w:rsidRPr="002E42F1">
        <w:rPr>
          <w:sz w:val="28"/>
          <w:szCs w:val="28"/>
        </w:rPr>
        <w:t>MK noteikumi</w:t>
      </w:r>
      <w:r w:rsidRPr="002E42F1">
        <w:rPr>
          <w:rFonts w:eastAsia="Calibri"/>
          <w:sz w:val="28"/>
          <w:szCs w:val="28"/>
        </w:rPr>
        <w:t xml:space="preserve"> </w:t>
      </w:r>
      <w:r w:rsidR="00716C7F" w:rsidRPr="002E42F1">
        <w:rPr>
          <w:rFonts w:eastAsia="Calibri"/>
          <w:sz w:val="28"/>
          <w:szCs w:val="28"/>
        </w:rPr>
        <w:t xml:space="preserve">stājās spēkā 2017. gada 1. jūlijā. </w:t>
      </w:r>
    </w:p>
    <w:p w14:paraId="563563E0" w14:textId="117ECDFE" w:rsidR="005F17B8" w:rsidRPr="002E42F1" w:rsidRDefault="005F17B8" w:rsidP="005F17B8">
      <w:pPr>
        <w:pStyle w:val="NoSpacing"/>
        <w:ind w:left="360"/>
        <w:jc w:val="both"/>
        <w:rPr>
          <w:sz w:val="28"/>
          <w:szCs w:val="28"/>
        </w:rPr>
      </w:pPr>
      <w:r w:rsidRPr="002E42F1">
        <w:rPr>
          <w:sz w:val="28"/>
          <w:szCs w:val="28"/>
        </w:rPr>
        <w:t>ZPI nostādnes iekļautas Latvijas Nacionālajā enerģētikas un klimata plānā 2021.</w:t>
      </w:r>
      <w:r w:rsidR="002073D1">
        <w:rPr>
          <w:sz w:val="28"/>
          <w:szCs w:val="28"/>
        </w:rPr>
        <w:t xml:space="preserve"> </w:t>
      </w:r>
      <w:r w:rsidR="00290EAC">
        <w:rPr>
          <w:sz w:val="28"/>
          <w:szCs w:val="28"/>
        </w:rPr>
        <w:t>–</w:t>
      </w:r>
      <w:r w:rsidR="002073D1">
        <w:rPr>
          <w:sz w:val="28"/>
          <w:szCs w:val="28"/>
        </w:rPr>
        <w:t xml:space="preserve"> </w:t>
      </w:r>
      <w:r w:rsidRPr="002E42F1">
        <w:rPr>
          <w:sz w:val="28"/>
          <w:szCs w:val="28"/>
        </w:rPr>
        <w:t>2030. gadam.</w:t>
      </w:r>
    </w:p>
    <w:p w14:paraId="70B539CE" w14:textId="1F4B8E1A" w:rsidR="00A03643" w:rsidRPr="002E42F1" w:rsidRDefault="00A03643" w:rsidP="006C282B">
      <w:pPr>
        <w:pStyle w:val="NoSpacing"/>
        <w:jc w:val="both"/>
        <w:rPr>
          <w:rFonts w:eastAsia="Calibri"/>
          <w:sz w:val="28"/>
          <w:szCs w:val="28"/>
        </w:rPr>
      </w:pPr>
      <w:r w:rsidRPr="002E42F1">
        <w:rPr>
          <w:rFonts w:eastAsia="Calibri"/>
          <w:sz w:val="28"/>
          <w:szCs w:val="28"/>
        </w:rPr>
        <w:br w:type="page"/>
      </w:r>
    </w:p>
    <w:p w14:paraId="34705010" w14:textId="04E786AE" w:rsidR="009B508E" w:rsidRPr="002E42F1" w:rsidRDefault="00E35F38" w:rsidP="000B6F30">
      <w:pPr>
        <w:pStyle w:val="Heading1"/>
        <w:numPr>
          <w:ilvl w:val="0"/>
          <w:numId w:val="44"/>
        </w:numPr>
      </w:pPr>
      <w:bookmarkStart w:id="3" w:name="_Toc37334421"/>
      <w:r w:rsidRPr="002E42F1">
        <w:lastRenderedPageBreak/>
        <w:t>Pārskats par zaļā publiskā iepirkuma izmantošanu Latvijā</w:t>
      </w:r>
      <w:bookmarkEnd w:id="3"/>
    </w:p>
    <w:p w14:paraId="7477E1A3" w14:textId="77777777" w:rsidR="00342D76" w:rsidRPr="002E42F1" w:rsidRDefault="00342D76" w:rsidP="006C282B">
      <w:pPr>
        <w:pStyle w:val="NoSpacing"/>
        <w:jc w:val="both"/>
        <w:rPr>
          <w:sz w:val="28"/>
          <w:szCs w:val="28"/>
        </w:rPr>
      </w:pPr>
    </w:p>
    <w:p w14:paraId="1CEEA5AD" w14:textId="7FD4981B" w:rsidR="005C17A2" w:rsidRPr="002E42F1" w:rsidRDefault="005C17A2" w:rsidP="00636AD2">
      <w:pPr>
        <w:pStyle w:val="NoSpacing"/>
        <w:ind w:firstLine="720"/>
        <w:jc w:val="both"/>
        <w:rPr>
          <w:sz w:val="28"/>
          <w:szCs w:val="28"/>
        </w:rPr>
      </w:pPr>
      <w:r w:rsidRPr="002E42F1">
        <w:rPr>
          <w:sz w:val="28"/>
          <w:szCs w:val="28"/>
        </w:rPr>
        <w:t xml:space="preserve">Latvijas iekšzemes kopprodukts 2019. gadā bija 30 476 miljoni eiro (Centrālās statistikas pārvaldes dati – EUR 30 476 087 000). No tiem </w:t>
      </w:r>
      <w:r w:rsidR="002B61AB" w:rsidRPr="002E42F1">
        <w:rPr>
          <w:sz w:val="28"/>
          <w:szCs w:val="28"/>
        </w:rPr>
        <w:t>14,1% tērēti pielietojot publisko iepirkumu. Publisko iepirkumu apjoms ar ZPI prasībām sastāda 2% no IKP. Skatīt 1. attēlu.</w:t>
      </w:r>
    </w:p>
    <w:p w14:paraId="19DC4DC1" w14:textId="0AE12EFD" w:rsidR="002B61AB" w:rsidRPr="002E42F1" w:rsidRDefault="002B61AB" w:rsidP="00636AD2">
      <w:pPr>
        <w:pStyle w:val="NoSpacing"/>
        <w:ind w:firstLine="720"/>
        <w:jc w:val="both"/>
        <w:rPr>
          <w:sz w:val="28"/>
          <w:szCs w:val="28"/>
        </w:rPr>
      </w:pPr>
    </w:p>
    <w:p w14:paraId="7BD45E79" w14:textId="5A7BF2BD" w:rsidR="00A96238" w:rsidRPr="002E42F1" w:rsidRDefault="00CB69A6" w:rsidP="00CB69A6">
      <w:pPr>
        <w:pStyle w:val="NoSpacing"/>
        <w:ind w:left="1080"/>
        <w:jc w:val="right"/>
        <w:rPr>
          <w:sz w:val="28"/>
          <w:szCs w:val="28"/>
        </w:rPr>
      </w:pPr>
      <w:r w:rsidRPr="002E42F1">
        <w:rPr>
          <w:sz w:val="28"/>
          <w:szCs w:val="28"/>
        </w:rPr>
        <w:t xml:space="preserve">1. </w:t>
      </w:r>
      <w:r w:rsidR="00A96238" w:rsidRPr="002E42F1">
        <w:rPr>
          <w:sz w:val="28"/>
          <w:szCs w:val="28"/>
        </w:rPr>
        <w:t>attēls</w:t>
      </w:r>
    </w:p>
    <w:p w14:paraId="7B7330F4" w14:textId="5B285BBE" w:rsidR="00A96238" w:rsidRPr="002E42F1" w:rsidRDefault="0016761E" w:rsidP="00A96238">
      <w:pPr>
        <w:pStyle w:val="NoSpacing"/>
        <w:jc w:val="center"/>
        <w:rPr>
          <w:sz w:val="28"/>
          <w:szCs w:val="28"/>
        </w:rPr>
      </w:pPr>
      <w:r w:rsidRPr="002E42F1">
        <w:rPr>
          <w:sz w:val="28"/>
          <w:szCs w:val="28"/>
        </w:rPr>
        <w:t>IKP, publiskais iepirkums un ZPI</w:t>
      </w:r>
      <w:r w:rsidR="00E65FF2" w:rsidRPr="002E42F1">
        <w:rPr>
          <w:sz w:val="28"/>
          <w:szCs w:val="28"/>
        </w:rPr>
        <w:t xml:space="preserve"> 2019. gadā</w:t>
      </w:r>
    </w:p>
    <w:p w14:paraId="3A490A0F" w14:textId="730A6460" w:rsidR="002B61AB" w:rsidRPr="002E42F1" w:rsidRDefault="00A96238" w:rsidP="002B61AB">
      <w:pPr>
        <w:pStyle w:val="NoSpacing"/>
        <w:ind w:firstLine="720"/>
        <w:jc w:val="center"/>
        <w:rPr>
          <w:sz w:val="28"/>
          <w:szCs w:val="28"/>
        </w:rPr>
      </w:pPr>
      <w:r w:rsidRPr="002E42F1">
        <w:rPr>
          <w:noProof/>
        </w:rPr>
        <w:drawing>
          <wp:inline distT="0" distB="0" distL="0" distR="0" wp14:anchorId="1EB1AA15" wp14:editId="44DBA5B3">
            <wp:extent cx="4572000" cy="25812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8F4CE2" w14:textId="15494220" w:rsidR="002B61AB" w:rsidRPr="002E42F1" w:rsidRDefault="00A96238" w:rsidP="00A96238">
      <w:pPr>
        <w:pStyle w:val="NoSpacing"/>
        <w:jc w:val="both"/>
        <w:rPr>
          <w:sz w:val="28"/>
          <w:szCs w:val="28"/>
        </w:rPr>
      </w:pPr>
      <w:r w:rsidRPr="002E42F1">
        <w:rPr>
          <w:sz w:val="28"/>
          <w:szCs w:val="28"/>
        </w:rPr>
        <w:t>Avots: CSP; IUB; VRAA dati</w:t>
      </w:r>
    </w:p>
    <w:p w14:paraId="6DF64A7E" w14:textId="77777777" w:rsidR="00A96238" w:rsidRPr="002E42F1" w:rsidRDefault="00A96238" w:rsidP="00636AD2">
      <w:pPr>
        <w:pStyle w:val="NoSpacing"/>
        <w:ind w:firstLine="720"/>
        <w:jc w:val="both"/>
        <w:rPr>
          <w:sz w:val="28"/>
          <w:szCs w:val="28"/>
        </w:rPr>
      </w:pPr>
    </w:p>
    <w:p w14:paraId="676F7793" w14:textId="4D6E895A" w:rsidR="00636AD2" w:rsidRPr="002E42F1" w:rsidRDefault="00636AD2" w:rsidP="00636AD2">
      <w:pPr>
        <w:pStyle w:val="NoSpacing"/>
        <w:ind w:firstLine="720"/>
        <w:jc w:val="both"/>
        <w:rPr>
          <w:sz w:val="28"/>
          <w:szCs w:val="28"/>
        </w:rPr>
      </w:pPr>
      <w:r w:rsidRPr="002E42F1">
        <w:rPr>
          <w:sz w:val="28"/>
          <w:szCs w:val="28"/>
        </w:rPr>
        <w:t xml:space="preserve">Informatīvā ziņojuma sagatavošanā nozīmīgākie dati ir par PIL ietvaros veiktajiem iepirkumiem, jo šie iepirkumi veido lielāko daļu no iepirkumiem, t.sk. arī iepirkumus, kuros tiek piemēroti ZPI principi. Salīdzinājumam dati par 2019. gadā veiktajiem iepirkumiem PIL, SPSIL, EIS ietvarā atainoti </w:t>
      </w:r>
      <w:r w:rsidR="00CB69A6" w:rsidRPr="002E42F1">
        <w:rPr>
          <w:sz w:val="28"/>
          <w:szCs w:val="28"/>
        </w:rPr>
        <w:t>1</w:t>
      </w:r>
      <w:r w:rsidRPr="002E42F1">
        <w:rPr>
          <w:sz w:val="28"/>
          <w:szCs w:val="28"/>
        </w:rPr>
        <w:t>. tabulā.</w:t>
      </w:r>
    </w:p>
    <w:p w14:paraId="3A4B2469" w14:textId="77777777" w:rsidR="00636AD2" w:rsidRPr="002E42F1" w:rsidRDefault="00636AD2" w:rsidP="00636AD2">
      <w:pPr>
        <w:pStyle w:val="NoSpacing"/>
        <w:jc w:val="both"/>
        <w:rPr>
          <w:sz w:val="28"/>
          <w:szCs w:val="28"/>
        </w:rPr>
      </w:pPr>
    </w:p>
    <w:p w14:paraId="6FC09A19" w14:textId="054E7FF8" w:rsidR="00636AD2" w:rsidRPr="002E42F1" w:rsidRDefault="00E65FF2" w:rsidP="00636AD2">
      <w:pPr>
        <w:pStyle w:val="NoSpacing"/>
        <w:jc w:val="right"/>
        <w:rPr>
          <w:sz w:val="28"/>
          <w:szCs w:val="28"/>
        </w:rPr>
      </w:pPr>
      <w:r w:rsidRPr="002E42F1">
        <w:rPr>
          <w:sz w:val="28"/>
          <w:szCs w:val="28"/>
        </w:rPr>
        <w:t>1</w:t>
      </w:r>
      <w:r w:rsidR="00636AD2" w:rsidRPr="002E42F1">
        <w:rPr>
          <w:sz w:val="28"/>
          <w:szCs w:val="28"/>
        </w:rPr>
        <w:t>. tabula</w:t>
      </w:r>
    </w:p>
    <w:p w14:paraId="4AE495A3" w14:textId="77777777" w:rsidR="00636AD2" w:rsidRPr="002E42F1" w:rsidRDefault="00636AD2" w:rsidP="00636AD2">
      <w:pPr>
        <w:pStyle w:val="NoSpacing"/>
        <w:jc w:val="center"/>
        <w:rPr>
          <w:sz w:val="28"/>
          <w:szCs w:val="28"/>
        </w:rPr>
      </w:pPr>
      <w:r w:rsidRPr="002E42F1">
        <w:rPr>
          <w:sz w:val="28"/>
          <w:szCs w:val="28"/>
        </w:rPr>
        <w:t>PIL, SPSIL, EIS iepirkumi 2019. gadā</w:t>
      </w:r>
    </w:p>
    <w:p w14:paraId="3E4D5F10" w14:textId="77777777" w:rsidR="00636AD2" w:rsidRPr="002E42F1" w:rsidRDefault="00636AD2" w:rsidP="00636AD2">
      <w:pPr>
        <w:pStyle w:val="NoSpacing"/>
        <w:ind w:firstLine="720"/>
        <w:jc w:val="both"/>
        <w:rPr>
          <w:sz w:val="28"/>
          <w:szCs w:val="28"/>
        </w:rPr>
      </w:pPr>
    </w:p>
    <w:tbl>
      <w:tblPr>
        <w:tblW w:w="9067" w:type="dxa"/>
        <w:tblLayout w:type="fixed"/>
        <w:tblLook w:val="04A0" w:firstRow="1" w:lastRow="0" w:firstColumn="1" w:lastColumn="0" w:noHBand="0" w:noVBand="1"/>
      </w:tblPr>
      <w:tblGrid>
        <w:gridCol w:w="1271"/>
        <w:gridCol w:w="1949"/>
        <w:gridCol w:w="1949"/>
        <w:gridCol w:w="1949"/>
        <w:gridCol w:w="1949"/>
      </w:tblGrid>
      <w:tr w:rsidR="002E42F1" w:rsidRPr="002E42F1" w14:paraId="2B797F14" w14:textId="77777777" w:rsidTr="0036506B">
        <w:trPr>
          <w:trHeight w:val="76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4C247" w14:textId="77777777" w:rsidR="00636AD2" w:rsidRPr="002E42F1" w:rsidRDefault="00636AD2" w:rsidP="0036506B">
            <w:pPr>
              <w:spacing w:after="0" w:line="240" w:lineRule="auto"/>
              <w:jc w:val="center"/>
            </w:pPr>
            <w:r w:rsidRPr="002E42F1">
              <w:t> </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1DDDF2FD" w14:textId="77777777" w:rsidR="00636AD2" w:rsidRPr="002E42F1" w:rsidRDefault="00636AD2" w:rsidP="0036506B">
            <w:pPr>
              <w:spacing w:after="0" w:line="240" w:lineRule="auto"/>
              <w:jc w:val="center"/>
            </w:pPr>
            <w:r w:rsidRPr="002E42F1">
              <w:t>Kopējais iepirkumu skaits</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66BF9B8A" w14:textId="77777777" w:rsidR="00636AD2" w:rsidRPr="002E42F1" w:rsidRDefault="00636AD2" w:rsidP="0036506B">
            <w:pPr>
              <w:spacing w:after="0" w:line="240" w:lineRule="auto"/>
              <w:jc w:val="center"/>
            </w:pPr>
            <w:r w:rsidRPr="002E42F1">
              <w:t>ZPI iepirkumu skaits</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5FBEEFD9" w14:textId="77777777" w:rsidR="00636AD2" w:rsidRPr="002E42F1" w:rsidRDefault="00636AD2" w:rsidP="0036506B">
            <w:pPr>
              <w:spacing w:after="0" w:line="240" w:lineRule="auto"/>
              <w:jc w:val="center"/>
            </w:pPr>
            <w:r w:rsidRPr="002E42F1">
              <w:t>Kopējā līgumcena (milj. EUR bez PVN)</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3B043531" w14:textId="77777777" w:rsidR="00636AD2" w:rsidRPr="002E42F1" w:rsidRDefault="00636AD2" w:rsidP="0036506B">
            <w:pPr>
              <w:spacing w:after="0" w:line="240" w:lineRule="auto"/>
              <w:jc w:val="center"/>
            </w:pPr>
            <w:r w:rsidRPr="002E42F1">
              <w:t>Kopējā ZPI līgumcena (milj. EUR bez PVN)</w:t>
            </w:r>
          </w:p>
        </w:tc>
      </w:tr>
      <w:tr w:rsidR="002E42F1" w:rsidRPr="002E42F1" w14:paraId="29C9641B" w14:textId="77777777" w:rsidTr="0036506B">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0CF9C8" w14:textId="77777777" w:rsidR="00636AD2" w:rsidRPr="002E42F1" w:rsidRDefault="00636AD2" w:rsidP="0036506B">
            <w:pPr>
              <w:spacing w:after="0" w:line="240" w:lineRule="auto"/>
              <w:jc w:val="center"/>
            </w:pPr>
            <w:r w:rsidRPr="002E42F1">
              <w:t>PIL</w:t>
            </w:r>
          </w:p>
        </w:tc>
        <w:tc>
          <w:tcPr>
            <w:tcW w:w="1949" w:type="dxa"/>
            <w:tcBorders>
              <w:top w:val="nil"/>
              <w:left w:val="nil"/>
              <w:bottom w:val="single" w:sz="4" w:space="0" w:color="auto"/>
              <w:right w:val="single" w:sz="4" w:space="0" w:color="auto"/>
            </w:tcBorders>
            <w:shd w:val="clear" w:color="auto" w:fill="auto"/>
            <w:noWrap/>
            <w:vAlign w:val="bottom"/>
            <w:hideMark/>
          </w:tcPr>
          <w:p w14:paraId="5FD74D7D" w14:textId="77777777" w:rsidR="00636AD2" w:rsidRPr="002E42F1" w:rsidRDefault="00636AD2" w:rsidP="0036506B">
            <w:pPr>
              <w:spacing w:after="0" w:line="240" w:lineRule="auto"/>
              <w:jc w:val="right"/>
              <w:rPr>
                <w:iCs/>
              </w:rPr>
            </w:pPr>
            <w:r w:rsidRPr="002E42F1">
              <w:rPr>
                <w:iCs/>
              </w:rPr>
              <w:t>11 331</w:t>
            </w:r>
          </w:p>
        </w:tc>
        <w:tc>
          <w:tcPr>
            <w:tcW w:w="1949" w:type="dxa"/>
            <w:tcBorders>
              <w:top w:val="nil"/>
              <w:left w:val="nil"/>
              <w:bottom w:val="single" w:sz="4" w:space="0" w:color="auto"/>
              <w:right w:val="single" w:sz="4" w:space="0" w:color="auto"/>
            </w:tcBorders>
            <w:shd w:val="clear" w:color="auto" w:fill="auto"/>
            <w:noWrap/>
            <w:vAlign w:val="bottom"/>
            <w:hideMark/>
          </w:tcPr>
          <w:p w14:paraId="61C49A89" w14:textId="77777777" w:rsidR="00636AD2" w:rsidRPr="002E42F1" w:rsidRDefault="00636AD2" w:rsidP="0036506B">
            <w:pPr>
              <w:spacing w:after="0" w:line="240" w:lineRule="auto"/>
              <w:jc w:val="right"/>
              <w:rPr>
                <w:iCs/>
              </w:rPr>
            </w:pPr>
            <w:r w:rsidRPr="002E42F1">
              <w:rPr>
                <w:iCs/>
              </w:rPr>
              <w:t>1 494</w:t>
            </w:r>
          </w:p>
        </w:tc>
        <w:tc>
          <w:tcPr>
            <w:tcW w:w="1949" w:type="dxa"/>
            <w:tcBorders>
              <w:top w:val="nil"/>
              <w:left w:val="nil"/>
              <w:bottom w:val="single" w:sz="4" w:space="0" w:color="auto"/>
              <w:right w:val="single" w:sz="4" w:space="0" w:color="auto"/>
            </w:tcBorders>
            <w:shd w:val="clear" w:color="auto" w:fill="auto"/>
            <w:noWrap/>
            <w:vAlign w:val="bottom"/>
            <w:hideMark/>
          </w:tcPr>
          <w:p w14:paraId="4E6969B6" w14:textId="77777777" w:rsidR="00636AD2" w:rsidRPr="002E42F1" w:rsidRDefault="00636AD2" w:rsidP="0036506B">
            <w:pPr>
              <w:spacing w:after="0" w:line="240" w:lineRule="auto"/>
              <w:jc w:val="right"/>
              <w:rPr>
                <w:iCs/>
              </w:rPr>
            </w:pPr>
            <w:r w:rsidRPr="002E42F1">
              <w:rPr>
                <w:iCs/>
              </w:rPr>
              <w:t>2 986</w:t>
            </w:r>
          </w:p>
        </w:tc>
        <w:tc>
          <w:tcPr>
            <w:tcW w:w="1949" w:type="dxa"/>
            <w:tcBorders>
              <w:top w:val="nil"/>
              <w:left w:val="nil"/>
              <w:bottom w:val="single" w:sz="4" w:space="0" w:color="auto"/>
              <w:right w:val="single" w:sz="4" w:space="0" w:color="auto"/>
            </w:tcBorders>
            <w:shd w:val="clear" w:color="auto" w:fill="auto"/>
            <w:noWrap/>
            <w:vAlign w:val="bottom"/>
            <w:hideMark/>
          </w:tcPr>
          <w:p w14:paraId="3D095331" w14:textId="77777777" w:rsidR="00636AD2" w:rsidRPr="002E42F1" w:rsidRDefault="00636AD2" w:rsidP="0036506B">
            <w:pPr>
              <w:spacing w:after="0" w:line="240" w:lineRule="auto"/>
              <w:jc w:val="right"/>
              <w:rPr>
                <w:iCs/>
              </w:rPr>
            </w:pPr>
            <w:r w:rsidRPr="002E42F1">
              <w:rPr>
                <w:iCs/>
              </w:rPr>
              <w:t>515</w:t>
            </w:r>
          </w:p>
        </w:tc>
      </w:tr>
      <w:tr w:rsidR="002E42F1" w:rsidRPr="002E42F1" w14:paraId="251CC7F8" w14:textId="77777777" w:rsidTr="0036506B">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122977" w14:textId="77777777" w:rsidR="00636AD2" w:rsidRPr="002E42F1" w:rsidRDefault="00636AD2" w:rsidP="0036506B">
            <w:pPr>
              <w:spacing w:after="0" w:line="240" w:lineRule="auto"/>
              <w:jc w:val="center"/>
            </w:pPr>
            <w:r w:rsidRPr="002E42F1">
              <w:t>SPSIL</w:t>
            </w:r>
          </w:p>
        </w:tc>
        <w:tc>
          <w:tcPr>
            <w:tcW w:w="1949" w:type="dxa"/>
            <w:tcBorders>
              <w:top w:val="nil"/>
              <w:left w:val="nil"/>
              <w:bottom w:val="single" w:sz="4" w:space="0" w:color="auto"/>
              <w:right w:val="single" w:sz="4" w:space="0" w:color="auto"/>
            </w:tcBorders>
            <w:shd w:val="clear" w:color="auto" w:fill="auto"/>
            <w:noWrap/>
            <w:vAlign w:val="bottom"/>
            <w:hideMark/>
          </w:tcPr>
          <w:p w14:paraId="09CD82EA" w14:textId="77777777" w:rsidR="00636AD2" w:rsidRPr="002E42F1" w:rsidRDefault="00636AD2" w:rsidP="0036506B">
            <w:pPr>
              <w:spacing w:after="0" w:line="240" w:lineRule="auto"/>
              <w:jc w:val="right"/>
              <w:rPr>
                <w:iCs/>
              </w:rPr>
            </w:pPr>
            <w:r w:rsidRPr="002E42F1">
              <w:rPr>
                <w:iCs/>
              </w:rPr>
              <w:t>138</w:t>
            </w:r>
          </w:p>
        </w:tc>
        <w:tc>
          <w:tcPr>
            <w:tcW w:w="1949" w:type="dxa"/>
            <w:tcBorders>
              <w:top w:val="nil"/>
              <w:left w:val="nil"/>
              <w:bottom w:val="single" w:sz="4" w:space="0" w:color="auto"/>
              <w:right w:val="single" w:sz="4" w:space="0" w:color="auto"/>
            </w:tcBorders>
            <w:shd w:val="clear" w:color="auto" w:fill="auto"/>
            <w:noWrap/>
            <w:vAlign w:val="bottom"/>
            <w:hideMark/>
          </w:tcPr>
          <w:p w14:paraId="2C2405D4" w14:textId="77777777" w:rsidR="00636AD2" w:rsidRPr="002E42F1" w:rsidRDefault="00636AD2" w:rsidP="0036506B">
            <w:pPr>
              <w:spacing w:after="0" w:line="240" w:lineRule="auto"/>
              <w:jc w:val="right"/>
              <w:rPr>
                <w:iCs/>
              </w:rPr>
            </w:pPr>
            <w:r w:rsidRPr="002E42F1">
              <w:rPr>
                <w:iCs/>
              </w:rPr>
              <w:t>16</w:t>
            </w:r>
          </w:p>
        </w:tc>
        <w:tc>
          <w:tcPr>
            <w:tcW w:w="1949" w:type="dxa"/>
            <w:tcBorders>
              <w:top w:val="nil"/>
              <w:left w:val="nil"/>
              <w:bottom w:val="single" w:sz="4" w:space="0" w:color="auto"/>
              <w:right w:val="single" w:sz="4" w:space="0" w:color="auto"/>
            </w:tcBorders>
            <w:shd w:val="clear" w:color="auto" w:fill="auto"/>
            <w:noWrap/>
            <w:vAlign w:val="bottom"/>
            <w:hideMark/>
          </w:tcPr>
          <w:p w14:paraId="7D00600B" w14:textId="77777777" w:rsidR="00636AD2" w:rsidRPr="002E42F1" w:rsidRDefault="00636AD2" w:rsidP="0036506B">
            <w:pPr>
              <w:spacing w:after="0" w:line="240" w:lineRule="auto"/>
              <w:jc w:val="right"/>
              <w:rPr>
                <w:iCs/>
              </w:rPr>
            </w:pPr>
            <w:r w:rsidRPr="002E42F1">
              <w:rPr>
                <w:iCs/>
              </w:rPr>
              <w:t>590</w:t>
            </w:r>
          </w:p>
        </w:tc>
        <w:tc>
          <w:tcPr>
            <w:tcW w:w="1949" w:type="dxa"/>
            <w:tcBorders>
              <w:top w:val="nil"/>
              <w:left w:val="nil"/>
              <w:bottom w:val="single" w:sz="4" w:space="0" w:color="auto"/>
              <w:right w:val="single" w:sz="4" w:space="0" w:color="auto"/>
            </w:tcBorders>
            <w:shd w:val="clear" w:color="auto" w:fill="auto"/>
            <w:noWrap/>
            <w:vAlign w:val="bottom"/>
            <w:hideMark/>
          </w:tcPr>
          <w:p w14:paraId="12717185" w14:textId="77777777" w:rsidR="00636AD2" w:rsidRPr="002E42F1" w:rsidRDefault="00636AD2" w:rsidP="0036506B">
            <w:pPr>
              <w:spacing w:after="0" w:line="240" w:lineRule="auto"/>
              <w:jc w:val="right"/>
              <w:rPr>
                <w:iCs/>
              </w:rPr>
            </w:pPr>
            <w:r w:rsidRPr="002E42F1">
              <w:rPr>
                <w:iCs/>
              </w:rPr>
              <w:t>65</w:t>
            </w:r>
          </w:p>
        </w:tc>
      </w:tr>
      <w:tr w:rsidR="002E42F1" w:rsidRPr="002E42F1" w14:paraId="38583E1E" w14:textId="77777777" w:rsidTr="0036506B">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3047F7" w14:textId="77777777" w:rsidR="00636AD2" w:rsidRPr="002E42F1" w:rsidRDefault="00636AD2" w:rsidP="0036506B">
            <w:pPr>
              <w:spacing w:after="0" w:line="240" w:lineRule="auto"/>
              <w:jc w:val="center"/>
            </w:pPr>
            <w:r w:rsidRPr="002E42F1">
              <w:t>EIS</w:t>
            </w:r>
          </w:p>
        </w:tc>
        <w:tc>
          <w:tcPr>
            <w:tcW w:w="1949" w:type="dxa"/>
            <w:tcBorders>
              <w:top w:val="nil"/>
              <w:left w:val="nil"/>
              <w:bottom w:val="single" w:sz="4" w:space="0" w:color="auto"/>
              <w:right w:val="single" w:sz="4" w:space="0" w:color="auto"/>
            </w:tcBorders>
            <w:shd w:val="clear" w:color="auto" w:fill="auto"/>
            <w:noWrap/>
            <w:vAlign w:val="bottom"/>
            <w:hideMark/>
          </w:tcPr>
          <w:p w14:paraId="4345A486" w14:textId="77777777" w:rsidR="00636AD2" w:rsidRPr="002E42F1" w:rsidRDefault="00636AD2" w:rsidP="0036506B">
            <w:pPr>
              <w:spacing w:after="0" w:line="240" w:lineRule="auto"/>
              <w:jc w:val="right"/>
              <w:rPr>
                <w:iCs/>
              </w:rPr>
            </w:pPr>
            <w:r w:rsidRPr="002E42F1">
              <w:rPr>
                <w:iCs/>
              </w:rPr>
              <w:t>* </w:t>
            </w:r>
          </w:p>
        </w:tc>
        <w:tc>
          <w:tcPr>
            <w:tcW w:w="1949" w:type="dxa"/>
            <w:tcBorders>
              <w:top w:val="nil"/>
              <w:left w:val="nil"/>
              <w:bottom w:val="single" w:sz="4" w:space="0" w:color="auto"/>
              <w:right w:val="single" w:sz="4" w:space="0" w:color="auto"/>
            </w:tcBorders>
            <w:shd w:val="clear" w:color="auto" w:fill="auto"/>
            <w:noWrap/>
            <w:vAlign w:val="bottom"/>
            <w:hideMark/>
          </w:tcPr>
          <w:p w14:paraId="61C581B1" w14:textId="77777777" w:rsidR="00636AD2" w:rsidRPr="002E42F1" w:rsidRDefault="00636AD2" w:rsidP="0036506B">
            <w:pPr>
              <w:spacing w:after="0" w:line="240" w:lineRule="auto"/>
              <w:jc w:val="right"/>
              <w:rPr>
                <w:iCs/>
              </w:rPr>
            </w:pPr>
            <w:r w:rsidRPr="002E42F1">
              <w:rPr>
                <w:iCs/>
              </w:rPr>
              <w:t>* </w:t>
            </w:r>
          </w:p>
        </w:tc>
        <w:tc>
          <w:tcPr>
            <w:tcW w:w="1949" w:type="dxa"/>
            <w:tcBorders>
              <w:top w:val="nil"/>
              <w:left w:val="nil"/>
              <w:bottom w:val="single" w:sz="4" w:space="0" w:color="auto"/>
              <w:right w:val="single" w:sz="4" w:space="0" w:color="auto"/>
            </w:tcBorders>
            <w:shd w:val="clear" w:color="auto" w:fill="auto"/>
            <w:noWrap/>
            <w:vAlign w:val="bottom"/>
            <w:hideMark/>
          </w:tcPr>
          <w:p w14:paraId="710D5B68" w14:textId="77777777" w:rsidR="00636AD2" w:rsidRPr="002E42F1" w:rsidRDefault="00636AD2" w:rsidP="0036506B">
            <w:pPr>
              <w:spacing w:after="0" w:line="240" w:lineRule="auto"/>
              <w:jc w:val="right"/>
              <w:rPr>
                <w:iCs/>
              </w:rPr>
            </w:pPr>
            <w:r w:rsidRPr="002E42F1">
              <w:rPr>
                <w:iCs/>
              </w:rPr>
              <w:t>98</w:t>
            </w:r>
          </w:p>
        </w:tc>
        <w:tc>
          <w:tcPr>
            <w:tcW w:w="1949" w:type="dxa"/>
            <w:tcBorders>
              <w:top w:val="nil"/>
              <w:left w:val="nil"/>
              <w:bottom w:val="single" w:sz="4" w:space="0" w:color="auto"/>
              <w:right w:val="single" w:sz="4" w:space="0" w:color="auto"/>
            </w:tcBorders>
            <w:shd w:val="clear" w:color="auto" w:fill="auto"/>
            <w:noWrap/>
            <w:vAlign w:val="bottom"/>
            <w:hideMark/>
          </w:tcPr>
          <w:p w14:paraId="2878AB81" w14:textId="77777777" w:rsidR="00636AD2" w:rsidRPr="002E42F1" w:rsidRDefault="00636AD2" w:rsidP="0036506B">
            <w:pPr>
              <w:spacing w:after="0" w:line="240" w:lineRule="auto"/>
              <w:jc w:val="right"/>
              <w:rPr>
                <w:iCs/>
              </w:rPr>
            </w:pPr>
            <w:r w:rsidRPr="002E42F1">
              <w:rPr>
                <w:iCs/>
              </w:rPr>
              <w:t>19</w:t>
            </w:r>
          </w:p>
        </w:tc>
      </w:tr>
    </w:tbl>
    <w:p w14:paraId="2C53DEF7" w14:textId="77777777" w:rsidR="00636AD2" w:rsidRPr="002E42F1" w:rsidRDefault="00636AD2" w:rsidP="00636AD2">
      <w:pPr>
        <w:pStyle w:val="NoSpacing"/>
        <w:jc w:val="both"/>
        <w:rPr>
          <w:sz w:val="28"/>
          <w:szCs w:val="28"/>
        </w:rPr>
      </w:pPr>
      <w:r w:rsidRPr="002E42F1">
        <w:rPr>
          <w:sz w:val="28"/>
          <w:szCs w:val="28"/>
        </w:rPr>
        <w:t>* dati nav kontekstā salīdzināmi</w:t>
      </w:r>
    </w:p>
    <w:p w14:paraId="289D69F2" w14:textId="77777777" w:rsidR="00636AD2" w:rsidRPr="002E42F1" w:rsidRDefault="00636AD2" w:rsidP="00636AD2">
      <w:pPr>
        <w:pStyle w:val="NoSpacing"/>
        <w:jc w:val="both"/>
        <w:rPr>
          <w:sz w:val="28"/>
          <w:szCs w:val="28"/>
        </w:rPr>
      </w:pPr>
      <w:r w:rsidRPr="002E42F1">
        <w:rPr>
          <w:sz w:val="28"/>
          <w:szCs w:val="28"/>
        </w:rPr>
        <w:t>Avots: IUB un VRAA dati</w:t>
      </w:r>
    </w:p>
    <w:p w14:paraId="313F7D8D" w14:textId="0E2981F8" w:rsidR="00636AD2" w:rsidRPr="002E42F1" w:rsidRDefault="00636AD2" w:rsidP="00583C90">
      <w:pPr>
        <w:pStyle w:val="NoSpacing"/>
        <w:ind w:firstLine="720"/>
        <w:jc w:val="both"/>
        <w:rPr>
          <w:sz w:val="28"/>
          <w:szCs w:val="28"/>
        </w:rPr>
      </w:pPr>
    </w:p>
    <w:p w14:paraId="5626F574" w14:textId="45C020F4" w:rsidR="00037129" w:rsidRPr="002E42F1" w:rsidRDefault="00037129" w:rsidP="00037129">
      <w:pPr>
        <w:pStyle w:val="NoSpacing"/>
        <w:ind w:firstLine="720"/>
        <w:jc w:val="both"/>
        <w:rPr>
          <w:bCs/>
          <w:iCs/>
          <w:sz w:val="28"/>
          <w:szCs w:val="28"/>
        </w:rPr>
      </w:pPr>
      <w:r w:rsidRPr="002E42F1">
        <w:rPr>
          <w:bCs/>
          <w:iCs/>
          <w:sz w:val="28"/>
          <w:szCs w:val="28"/>
        </w:rPr>
        <w:t>Lai gan EIS gūst arvien plašāku pielietojumu iepirkumos, vienlaikus jāatzīmē, ka EIS izmantošana, salīdzinot ar kopējo iepirkumu līgumcenas apjomu, vēl joprojām ir ļoti neliela un rādītājos procentuālā attiecībā pret PIL</w:t>
      </w:r>
      <w:r w:rsidR="00B52ED4" w:rsidRPr="002E42F1">
        <w:rPr>
          <w:bCs/>
          <w:iCs/>
          <w:sz w:val="28"/>
          <w:szCs w:val="28"/>
        </w:rPr>
        <w:t xml:space="preserve"> un SPSIL</w:t>
      </w:r>
      <w:r w:rsidRPr="002E42F1">
        <w:rPr>
          <w:bCs/>
          <w:iCs/>
          <w:sz w:val="28"/>
          <w:szCs w:val="28"/>
        </w:rPr>
        <w:t xml:space="preserve"> </w:t>
      </w:r>
      <w:r w:rsidRPr="002E42F1">
        <w:rPr>
          <w:bCs/>
          <w:iCs/>
          <w:sz w:val="28"/>
          <w:szCs w:val="28"/>
        </w:rPr>
        <w:lastRenderedPageBreak/>
        <w:t xml:space="preserve">salīdzinoši ar iepriekšējiem gadiem nav būtiski mainījusies. Salīdzinošie rādītāji parādīti 2. tabulā un </w:t>
      </w:r>
      <w:r w:rsidR="00CB69A6" w:rsidRPr="002E42F1">
        <w:rPr>
          <w:bCs/>
          <w:iCs/>
          <w:sz w:val="28"/>
          <w:szCs w:val="28"/>
        </w:rPr>
        <w:t>2</w:t>
      </w:r>
      <w:r w:rsidRPr="002E42F1">
        <w:rPr>
          <w:bCs/>
          <w:iCs/>
          <w:sz w:val="28"/>
          <w:szCs w:val="28"/>
        </w:rPr>
        <w:t xml:space="preserve">. attēlā. </w:t>
      </w:r>
    </w:p>
    <w:p w14:paraId="2FA35542" w14:textId="77777777" w:rsidR="00037129" w:rsidRPr="002E42F1" w:rsidRDefault="00037129" w:rsidP="00037129">
      <w:pPr>
        <w:pStyle w:val="NoSpacing"/>
        <w:jc w:val="both"/>
        <w:rPr>
          <w:bCs/>
          <w:iCs/>
          <w:sz w:val="28"/>
          <w:szCs w:val="28"/>
        </w:rPr>
      </w:pPr>
    </w:p>
    <w:p w14:paraId="280A90F5" w14:textId="31AD9190" w:rsidR="00037129" w:rsidRPr="002E42F1" w:rsidRDefault="00037129" w:rsidP="00037129">
      <w:pPr>
        <w:pStyle w:val="NoSpacing"/>
        <w:jc w:val="right"/>
        <w:rPr>
          <w:sz w:val="28"/>
          <w:szCs w:val="28"/>
        </w:rPr>
      </w:pPr>
      <w:r w:rsidRPr="002E42F1">
        <w:rPr>
          <w:sz w:val="28"/>
          <w:szCs w:val="28"/>
        </w:rPr>
        <w:t>2. tabula</w:t>
      </w:r>
    </w:p>
    <w:p w14:paraId="3867C186" w14:textId="77777777" w:rsidR="00037129" w:rsidRPr="002E42F1" w:rsidRDefault="00037129" w:rsidP="00037129">
      <w:pPr>
        <w:pStyle w:val="NoSpacing"/>
        <w:jc w:val="center"/>
        <w:rPr>
          <w:sz w:val="28"/>
          <w:szCs w:val="28"/>
        </w:rPr>
      </w:pPr>
      <w:r w:rsidRPr="002E42F1">
        <w:rPr>
          <w:sz w:val="28"/>
          <w:szCs w:val="28"/>
        </w:rPr>
        <w:t xml:space="preserve">PIL, SPSIL un EIS iepirkumu </w:t>
      </w:r>
      <w:r w:rsidRPr="002E42F1">
        <w:rPr>
          <w:sz w:val="28"/>
          <w:szCs w:val="28"/>
          <w:u w:val="single"/>
        </w:rPr>
        <w:t>kopējās līgumcenas</w:t>
      </w:r>
      <w:r w:rsidRPr="002E42F1">
        <w:rPr>
          <w:sz w:val="28"/>
          <w:szCs w:val="28"/>
        </w:rPr>
        <w:t xml:space="preserve"> (milj. EUR bez PVN)</w:t>
      </w:r>
    </w:p>
    <w:p w14:paraId="7F780632" w14:textId="77777777" w:rsidR="00037129" w:rsidRPr="002E42F1" w:rsidRDefault="00037129" w:rsidP="00037129">
      <w:pPr>
        <w:pStyle w:val="NoSpacing"/>
        <w:jc w:val="center"/>
        <w:rPr>
          <w:sz w:val="28"/>
          <w:szCs w:val="28"/>
        </w:rPr>
      </w:pPr>
      <w:r w:rsidRPr="002E42F1">
        <w:rPr>
          <w:sz w:val="28"/>
          <w:szCs w:val="28"/>
        </w:rPr>
        <w:t>un īpatsvars (%) 2016. – 2019. gadā</w:t>
      </w:r>
    </w:p>
    <w:p w14:paraId="3A92A82C" w14:textId="77777777" w:rsidR="00037129" w:rsidRPr="002E42F1" w:rsidRDefault="00037129" w:rsidP="00037129">
      <w:pPr>
        <w:pStyle w:val="NoSpacing"/>
        <w:jc w:val="both"/>
        <w:rPr>
          <w:sz w:val="28"/>
          <w:szCs w:val="28"/>
        </w:rPr>
      </w:pPr>
    </w:p>
    <w:tbl>
      <w:tblPr>
        <w:tblW w:w="9067" w:type="dxa"/>
        <w:tblLook w:val="04A0" w:firstRow="1" w:lastRow="0" w:firstColumn="1" w:lastColumn="0" w:noHBand="0" w:noVBand="1"/>
      </w:tblPr>
      <w:tblGrid>
        <w:gridCol w:w="1413"/>
        <w:gridCol w:w="1701"/>
        <w:gridCol w:w="850"/>
        <w:gridCol w:w="1701"/>
        <w:gridCol w:w="851"/>
        <w:gridCol w:w="1722"/>
        <w:gridCol w:w="829"/>
      </w:tblGrid>
      <w:tr w:rsidR="002E42F1" w:rsidRPr="002E42F1" w14:paraId="03E3A483" w14:textId="77777777" w:rsidTr="0036506B">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6B24" w14:textId="77777777" w:rsidR="00037129" w:rsidRPr="002E42F1" w:rsidRDefault="00037129" w:rsidP="0036506B">
            <w:pPr>
              <w:pStyle w:val="NoSpacing"/>
              <w:jc w:val="center"/>
            </w:pPr>
            <w:r w:rsidRPr="002E42F1">
              <w:t>Gads</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FCFEAB" w14:textId="77777777" w:rsidR="00037129" w:rsidRPr="002E42F1" w:rsidRDefault="00037129" w:rsidP="0036506B">
            <w:pPr>
              <w:pStyle w:val="NoSpacing"/>
              <w:jc w:val="center"/>
            </w:pPr>
            <w:r w:rsidRPr="002E42F1">
              <w:t>PIL</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C2E7F9" w14:textId="77777777" w:rsidR="00037129" w:rsidRPr="002E42F1" w:rsidRDefault="00037129" w:rsidP="0036506B">
            <w:pPr>
              <w:pStyle w:val="NoSpacing"/>
              <w:jc w:val="center"/>
            </w:pPr>
            <w:r w:rsidRPr="002E42F1">
              <w:t>SPSIL</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4A0D0F" w14:textId="77777777" w:rsidR="00037129" w:rsidRPr="002E42F1" w:rsidRDefault="00037129" w:rsidP="0036506B">
            <w:pPr>
              <w:pStyle w:val="NoSpacing"/>
              <w:jc w:val="center"/>
            </w:pPr>
            <w:r w:rsidRPr="002E42F1">
              <w:t>EIS</w:t>
            </w:r>
          </w:p>
        </w:tc>
      </w:tr>
      <w:tr w:rsidR="002E42F1" w:rsidRPr="002E42F1" w14:paraId="093476CA" w14:textId="77777777" w:rsidTr="0036506B">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F2AE192" w14:textId="77777777" w:rsidR="00037129" w:rsidRPr="002E42F1" w:rsidRDefault="00037129" w:rsidP="0036506B">
            <w:pPr>
              <w:pStyle w:val="NoSpacing"/>
              <w:jc w:val="center"/>
            </w:pPr>
          </w:p>
        </w:tc>
        <w:tc>
          <w:tcPr>
            <w:tcW w:w="1701" w:type="dxa"/>
            <w:tcBorders>
              <w:top w:val="nil"/>
              <w:left w:val="nil"/>
              <w:bottom w:val="single" w:sz="4" w:space="0" w:color="auto"/>
              <w:right w:val="single" w:sz="4" w:space="0" w:color="auto"/>
            </w:tcBorders>
            <w:shd w:val="clear" w:color="auto" w:fill="auto"/>
            <w:noWrap/>
            <w:vAlign w:val="center"/>
            <w:hideMark/>
          </w:tcPr>
          <w:p w14:paraId="3B1C8FC8" w14:textId="77777777" w:rsidR="00037129" w:rsidRPr="002E42F1" w:rsidRDefault="00037129" w:rsidP="0036506B">
            <w:pPr>
              <w:pStyle w:val="NoSpacing"/>
              <w:jc w:val="center"/>
            </w:pPr>
            <w:r w:rsidRPr="002E42F1">
              <w:t>milj. EUR bez PVN</w:t>
            </w:r>
          </w:p>
        </w:tc>
        <w:tc>
          <w:tcPr>
            <w:tcW w:w="850" w:type="dxa"/>
            <w:tcBorders>
              <w:top w:val="nil"/>
              <w:left w:val="nil"/>
              <w:bottom w:val="single" w:sz="4" w:space="0" w:color="auto"/>
              <w:right w:val="single" w:sz="4" w:space="0" w:color="auto"/>
            </w:tcBorders>
            <w:shd w:val="clear" w:color="auto" w:fill="auto"/>
            <w:noWrap/>
            <w:vAlign w:val="center"/>
            <w:hideMark/>
          </w:tcPr>
          <w:p w14:paraId="51C4BB28" w14:textId="77777777" w:rsidR="00037129" w:rsidRPr="002E42F1" w:rsidRDefault="00037129" w:rsidP="0036506B">
            <w:pPr>
              <w:pStyle w:val="NoSpacing"/>
              <w:jc w:val="center"/>
            </w:pPr>
            <w:r w:rsidRPr="002E42F1">
              <w:t>%</w:t>
            </w:r>
          </w:p>
        </w:tc>
        <w:tc>
          <w:tcPr>
            <w:tcW w:w="1701" w:type="dxa"/>
            <w:tcBorders>
              <w:top w:val="nil"/>
              <w:left w:val="nil"/>
              <w:bottom w:val="single" w:sz="4" w:space="0" w:color="auto"/>
              <w:right w:val="single" w:sz="4" w:space="0" w:color="auto"/>
            </w:tcBorders>
            <w:shd w:val="clear" w:color="auto" w:fill="auto"/>
            <w:noWrap/>
            <w:vAlign w:val="center"/>
            <w:hideMark/>
          </w:tcPr>
          <w:p w14:paraId="034CBCA9" w14:textId="77777777" w:rsidR="00037129" w:rsidRPr="002E42F1" w:rsidRDefault="00037129" w:rsidP="0036506B">
            <w:pPr>
              <w:pStyle w:val="NoSpacing"/>
              <w:jc w:val="center"/>
            </w:pPr>
            <w:r w:rsidRPr="002E42F1">
              <w:t>milj. EUR bez PVN</w:t>
            </w:r>
          </w:p>
        </w:tc>
        <w:tc>
          <w:tcPr>
            <w:tcW w:w="851" w:type="dxa"/>
            <w:tcBorders>
              <w:top w:val="nil"/>
              <w:left w:val="nil"/>
              <w:bottom w:val="single" w:sz="4" w:space="0" w:color="auto"/>
              <w:right w:val="single" w:sz="4" w:space="0" w:color="auto"/>
            </w:tcBorders>
            <w:shd w:val="clear" w:color="auto" w:fill="auto"/>
            <w:noWrap/>
            <w:vAlign w:val="center"/>
            <w:hideMark/>
          </w:tcPr>
          <w:p w14:paraId="31EE4BAE" w14:textId="77777777" w:rsidR="00037129" w:rsidRPr="002E42F1" w:rsidRDefault="00037129" w:rsidP="0036506B">
            <w:pPr>
              <w:pStyle w:val="NoSpacing"/>
              <w:jc w:val="center"/>
            </w:pPr>
            <w:r w:rsidRPr="002E42F1">
              <w:t>%</w:t>
            </w:r>
          </w:p>
        </w:tc>
        <w:tc>
          <w:tcPr>
            <w:tcW w:w="1722" w:type="dxa"/>
            <w:tcBorders>
              <w:top w:val="nil"/>
              <w:left w:val="nil"/>
              <w:bottom w:val="single" w:sz="4" w:space="0" w:color="auto"/>
              <w:right w:val="single" w:sz="4" w:space="0" w:color="auto"/>
            </w:tcBorders>
            <w:shd w:val="clear" w:color="auto" w:fill="auto"/>
            <w:noWrap/>
            <w:vAlign w:val="center"/>
            <w:hideMark/>
          </w:tcPr>
          <w:p w14:paraId="1DDA131B" w14:textId="77777777" w:rsidR="00037129" w:rsidRPr="002E42F1" w:rsidRDefault="00037129" w:rsidP="0036506B">
            <w:pPr>
              <w:pStyle w:val="NoSpacing"/>
              <w:jc w:val="center"/>
            </w:pPr>
            <w:r w:rsidRPr="002E42F1">
              <w:t>milj. EUR bez PVN</w:t>
            </w:r>
          </w:p>
        </w:tc>
        <w:tc>
          <w:tcPr>
            <w:tcW w:w="829" w:type="dxa"/>
            <w:tcBorders>
              <w:top w:val="nil"/>
              <w:left w:val="nil"/>
              <w:bottom w:val="single" w:sz="4" w:space="0" w:color="auto"/>
              <w:right w:val="single" w:sz="4" w:space="0" w:color="auto"/>
            </w:tcBorders>
            <w:shd w:val="clear" w:color="auto" w:fill="auto"/>
            <w:noWrap/>
            <w:vAlign w:val="center"/>
            <w:hideMark/>
          </w:tcPr>
          <w:p w14:paraId="521BA276" w14:textId="77777777" w:rsidR="00037129" w:rsidRPr="002E42F1" w:rsidRDefault="00037129" w:rsidP="0036506B">
            <w:pPr>
              <w:pStyle w:val="NoSpacing"/>
              <w:jc w:val="center"/>
            </w:pPr>
            <w:r w:rsidRPr="002E42F1">
              <w:t>%</w:t>
            </w:r>
          </w:p>
        </w:tc>
      </w:tr>
      <w:tr w:rsidR="002E42F1" w:rsidRPr="002E42F1" w14:paraId="28732213" w14:textId="77777777" w:rsidTr="0036506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CBDE8C4" w14:textId="77777777" w:rsidR="00037129" w:rsidRPr="002E42F1" w:rsidRDefault="00037129" w:rsidP="0036506B">
            <w:pPr>
              <w:pStyle w:val="NoSpacing"/>
              <w:jc w:val="center"/>
            </w:pPr>
            <w:r w:rsidRPr="002E42F1">
              <w:t>2016.</w:t>
            </w:r>
          </w:p>
        </w:tc>
        <w:tc>
          <w:tcPr>
            <w:tcW w:w="1701" w:type="dxa"/>
            <w:tcBorders>
              <w:top w:val="nil"/>
              <w:left w:val="nil"/>
              <w:bottom w:val="single" w:sz="4" w:space="0" w:color="auto"/>
              <w:right w:val="single" w:sz="4" w:space="0" w:color="auto"/>
            </w:tcBorders>
            <w:shd w:val="clear" w:color="auto" w:fill="auto"/>
            <w:noWrap/>
            <w:vAlign w:val="center"/>
            <w:hideMark/>
          </w:tcPr>
          <w:p w14:paraId="5C9788AF" w14:textId="77777777" w:rsidR="00037129" w:rsidRPr="002E42F1" w:rsidRDefault="00037129" w:rsidP="0036506B">
            <w:pPr>
              <w:pStyle w:val="NoSpacing"/>
              <w:jc w:val="center"/>
            </w:pPr>
            <w:r w:rsidRPr="002E42F1">
              <w:t>1 876</w:t>
            </w:r>
          </w:p>
        </w:tc>
        <w:tc>
          <w:tcPr>
            <w:tcW w:w="850" w:type="dxa"/>
            <w:tcBorders>
              <w:top w:val="nil"/>
              <w:left w:val="nil"/>
              <w:bottom w:val="single" w:sz="4" w:space="0" w:color="auto"/>
              <w:right w:val="single" w:sz="4" w:space="0" w:color="auto"/>
            </w:tcBorders>
            <w:shd w:val="clear" w:color="auto" w:fill="auto"/>
            <w:noWrap/>
            <w:vAlign w:val="center"/>
            <w:hideMark/>
          </w:tcPr>
          <w:p w14:paraId="3C63877A" w14:textId="77777777" w:rsidR="00037129" w:rsidRPr="002E42F1" w:rsidRDefault="00037129" w:rsidP="0036506B">
            <w:pPr>
              <w:pStyle w:val="NoSpacing"/>
              <w:jc w:val="center"/>
            </w:pPr>
            <w:r w:rsidRPr="002E42F1">
              <w:t>72,6</w:t>
            </w:r>
          </w:p>
        </w:tc>
        <w:tc>
          <w:tcPr>
            <w:tcW w:w="1701" w:type="dxa"/>
            <w:tcBorders>
              <w:top w:val="nil"/>
              <w:left w:val="nil"/>
              <w:bottom w:val="single" w:sz="4" w:space="0" w:color="auto"/>
              <w:right w:val="single" w:sz="4" w:space="0" w:color="auto"/>
            </w:tcBorders>
            <w:shd w:val="clear" w:color="auto" w:fill="auto"/>
            <w:noWrap/>
            <w:vAlign w:val="center"/>
            <w:hideMark/>
          </w:tcPr>
          <w:p w14:paraId="51512E5C" w14:textId="77777777" w:rsidR="00037129" w:rsidRPr="002E42F1" w:rsidRDefault="00037129" w:rsidP="0036506B">
            <w:pPr>
              <w:pStyle w:val="NoSpacing"/>
              <w:jc w:val="center"/>
            </w:pPr>
            <w:r w:rsidRPr="002E42F1">
              <w:t>655</w:t>
            </w:r>
          </w:p>
        </w:tc>
        <w:tc>
          <w:tcPr>
            <w:tcW w:w="851" w:type="dxa"/>
            <w:tcBorders>
              <w:top w:val="nil"/>
              <w:left w:val="nil"/>
              <w:bottom w:val="single" w:sz="4" w:space="0" w:color="auto"/>
              <w:right w:val="single" w:sz="4" w:space="0" w:color="auto"/>
            </w:tcBorders>
            <w:shd w:val="clear" w:color="auto" w:fill="auto"/>
            <w:noWrap/>
            <w:vAlign w:val="center"/>
            <w:hideMark/>
          </w:tcPr>
          <w:p w14:paraId="326C4D80" w14:textId="77777777" w:rsidR="00037129" w:rsidRPr="002E42F1" w:rsidRDefault="00037129" w:rsidP="0036506B">
            <w:pPr>
              <w:pStyle w:val="NoSpacing"/>
              <w:jc w:val="center"/>
            </w:pPr>
            <w:r w:rsidRPr="002E42F1">
              <w:t>25,4</w:t>
            </w:r>
          </w:p>
        </w:tc>
        <w:tc>
          <w:tcPr>
            <w:tcW w:w="1722" w:type="dxa"/>
            <w:tcBorders>
              <w:top w:val="nil"/>
              <w:left w:val="nil"/>
              <w:bottom w:val="single" w:sz="4" w:space="0" w:color="auto"/>
              <w:right w:val="single" w:sz="4" w:space="0" w:color="auto"/>
            </w:tcBorders>
            <w:shd w:val="clear" w:color="auto" w:fill="auto"/>
            <w:noWrap/>
            <w:vAlign w:val="center"/>
            <w:hideMark/>
          </w:tcPr>
          <w:p w14:paraId="7FE5E550" w14:textId="77777777" w:rsidR="00037129" w:rsidRPr="002E42F1" w:rsidRDefault="00037129" w:rsidP="0036506B">
            <w:pPr>
              <w:pStyle w:val="NoSpacing"/>
              <w:jc w:val="center"/>
            </w:pPr>
            <w:r w:rsidRPr="002E42F1">
              <w:t>53</w:t>
            </w:r>
          </w:p>
        </w:tc>
        <w:tc>
          <w:tcPr>
            <w:tcW w:w="829" w:type="dxa"/>
            <w:tcBorders>
              <w:top w:val="nil"/>
              <w:left w:val="nil"/>
              <w:bottom w:val="single" w:sz="4" w:space="0" w:color="auto"/>
              <w:right w:val="single" w:sz="4" w:space="0" w:color="auto"/>
            </w:tcBorders>
            <w:shd w:val="clear" w:color="auto" w:fill="auto"/>
            <w:noWrap/>
            <w:vAlign w:val="center"/>
            <w:hideMark/>
          </w:tcPr>
          <w:p w14:paraId="319B28A5" w14:textId="77777777" w:rsidR="00037129" w:rsidRPr="002E42F1" w:rsidRDefault="00037129" w:rsidP="0036506B">
            <w:pPr>
              <w:pStyle w:val="NoSpacing"/>
              <w:jc w:val="center"/>
            </w:pPr>
            <w:r w:rsidRPr="002E42F1">
              <w:t>2,0</w:t>
            </w:r>
          </w:p>
        </w:tc>
      </w:tr>
      <w:tr w:rsidR="002E42F1" w:rsidRPr="002E42F1" w14:paraId="5CE36439" w14:textId="77777777" w:rsidTr="0036506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3EF0E76" w14:textId="77777777" w:rsidR="00037129" w:rsidRPr="002E42F1" w:rsidRDefault="00037129" w:rsidP="0036506B">
            <w:pPr>
              <w:pStyle w:val="NoSpacing"/>
              <w:jc w:val="center"/>
            </w:pPr>
            <w:r w:rsidRPr="002E42F1">
              <w:t>2017.</w:t>
            </w:r>
          </w:p>
        </w:tc>
        <w:tc>
          <w:tcPr>
            <w:tcW w:w="1701" w:type="dxa"/>
            <w:tcBorders>
              <w:top w:val="nil"/>
              <w:left w:val="nil"/>
              <w:bottom w:val="single" w:sz="4" w:space="0" w:color="auto"/>
              <w:right w:val="single" w:sz="4" w:space="0" w:color="auto"/>
            </w:tcBorders>
            <w:shd w:val="clear" w:color="auto" w:fill="auto"/>
            <w:noWrap/>
            <w:vAlign w:val="center"/>
            <w:hideMark/>
          </w:tcPr>
          <w:p w14:paraId="650AC3B8" w14:textId="77777777" w:rsidR="00037129" w:rsidRPr="002E42F1" w:rsidRDefault="00037129" w:rsidP="0036506B">
            <w:pPr>
              <w:pStyle w:val="NoSpacing"/>
              <w:jc w:val="center"/>
            </w:pPr>
            <w:r w:rsidRPr="002E42F1">
              <w:t>2 298</w:t>
            </w:r>
          </w:p>
        </w:tc>
        <w:tc>
          <w:tcPr>
            <w:tcW w:w="850" w:type="dxa"/>
            <w:tcBorders>
              <w:top w:val="nil"/>
              <w:left w:val="nil"/>
              <w:bottom w:val="single" w:sz="4" w:space="0" w:color="auto"/>
              <w:right w:val="single" w:sz="4" w:space="0" w:color="auto"/>
            </w:tcBorders>
            <w:shd w:val="clear" w:color="auto" w:fill="auto"/>
            <w:noWrap/>
            <w:vAlign w:val="center"/>
            <w:hideMark/>
          </w:tcPr>
          <w:p w14:paraId="69035789" w14:textId="77777777" w:rsidR="00037129" w:rsidRPr="002E42F1" w:rsidRDefault="00037129" w:rsidP="0036506B">
            <w:pPr>
              <w:pStyle w:val="NoSpacing"/>
              <w:jc w:val="center"/>
            </w:pPr>
            <w:r w:rsidRPr="002E42F1">
              <w:t>88,6</w:t>
            </w:r>
          </w:p>
        </w:tc>
        <w:tc>
          <w:tcPr>
            <w:tcW w:w="1701" w:type="dxa"/>
            <w:tcBorders>
              <w:top w:val="nil"/>
              <w:left w:val="nil"/>
              <w:bottom w:val="single" w:sz="4" w:space="0" w:color="auto"/>
              <w:right w:val="single" w:sz="4" w:space="0" w:color="auto"/>
            </w:tcBorders>
            <w:shd w:val="clear" w:color="auto" w:fill="auto"/>
            <w:noWrap/>
            <w:vAlign w:val="center"/>
            <w:hideMark/>
          </w:tcPr>
          <w:p w14:paraId="40421FFA" w14:textId="77777777" w:rsidR="00037129" w:rsidRPr="002E42F1" w:rsidRDefault="00037129" w:rsidP="0036506B">
            <w:pPr>
              <w:pStyle w:val="NoSpacing"/>
              <w:jc w:val="center"/>
            </w:pPr>
            <w:r w:rsidRPr="002E42F1">
              <w:t>238</w:t>
            </w:r>
          </w:p>
        </w:tc>
        <w:tc>
          <w:tcPr>
            <w:tcW w:w="851" w:type="dxa"/>
            <w:tcBorders>
              <w:top w:val="nil"/>
              <w:left w:val="nil"/>
              <w:bottom w:val="single" w:sz="4" w:space="0" w:color="auto"/>
              <w:right w:val="single" w:sz="4" w:space="0" w:color="auto"/>
            </w:tcBorders>
            <w:shd w:val="clear" w:color="auto" w:fill="auto"/>
            <w:noWrap/>
            <w:vAlign w:val="center"/>
            <w:hideMark/>
          </w:tcPr>
          <w:p w14:paraId="43D1814D" w14:textId="77777777" w:rsidR="00037129" w:rsidRPr="002E42F1" w:rsidRDefault="00037129" w:rsidP="0036506B">
            <w:pPr>
              <w:pStyle w:val="NoSpacing"/>
              <w:jc w:val="center"/>
            </w:pPr>
            <w:r w:rsidRPr="002E42F1">
              <w:t>9,2</w:t>
            </w:r>
          </w:p>
        </w:tc>
        <w:tc>
          <w:tcPr>
            <w:tcW w:w="1722" w:type="dxa"/>
            <w:tcBorders>
              <w:top w:val="nil"/>
              <w:left w:val="nil"/>
              <w:bottom w:val="single" w:sz="4" w:space="0" w:color="auto"/>
              <w:right w:val="single" w:sz="4" w:space="0" w:color="auto"/>
            </w:tcBorders>
            <w:shd w:val="clear" w:color="auto" w:fill="auto"/>
            <w:noWrap/>
            <w:vAlign w:val="center"/>
            <w:hideMark/>
          </w:tcPr>
          <w:p w14:paraId="575A4BC0" w14:textId="77777777" w:rsidR="00037129" w:rsidRPr="002E42F1" w:rsidRDefault="00037129" w:rsidP="0036506B">
            <w:pPr>
              <w:pStyle w:val="NoSpacing"/>
              <w:jc w:val="center"/>
            </w:pPr>
            <w:r w:rsidRPr="002E42F1">
              <w:t>57</w:t>
            </w:r>
          </w:p>
        </w:tc>
        <w:tc>
          <w:tcPr>
            <w:tcW w:w="829" w:type="dxa"/>
            <w:tcBorders>
              <w:top w:val="nil"/>
              <w:left w:val="nil"/>
              <w:bottom w:val="single" w:sz="4" w:space="0" w:color="auto"/>
              <w:right w:val="single" w:sz="4" w:space="0" w:color="auto"/>
            </w:tcBorders>
            <w:shd w:val="clear" w:color="auto" w:fill="auto"/>
            <w:noWrap/>
            <w:vAlign w:val="center"/>
            <w:hideMark/>
          </w:tcPr>
          <w:p w14:paraId="3E18EA5A" w14:textId="77777777" w:rsidR="00037129" w:rsidRPr="002E42F1" w:rsidRDefault="00037129" w:rsidP="0036506B">
            <w:pPr>
              <w:pStyle w:val="NoSpacing"/>
              <w:jc w:val="center"/>
            </w:pPr>
            <w:r w:rsidRPr="002E42F1">
              <w:t>2,2</w:t>
            </w:r>
          </w:p>
        </w:tc>
      </w:tr>
      <w:tr w:rsidR="002E42F1" w:rsidRPr="002E42F1" w14:paraId="62F6130B" w14:textId="77777777" w:rsidTr="0036506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A88BD45" w14:textId="77777777" w:rsidR="00037129" w:rsidRPr="002E42F1" w:rsidRDefault="00037129" w:rsidP="0036506B">
            <w:pPr>
              <w:pStyle w:val="NoSpacing"/>
              <w:jc w:val="center"/>
            </w:pPr>
            <w:r w:rsidRPr="002E42F1">
              <w:t>2018.</w:t>
            </w:r>
          </w:p>
        </w:tc>
        <w:tc>
          <w:tcPr>
            <w:tcW w:w="1701" w:type="dxa"/>
            <w:tcBorders>
              <w:top w:val="nil"/>
              <w:left w:val="nil"/>
              <w:bottom w:val="single" w:sz="4" w:space="0" w:color="auto"/>
              <w:right w:val="single" w:sz="4" w:space="0" w:color="auto"/>
            </w:tcBorders>
            <w:shd w:val="clear" w:color="auto" w:fill="auto"/>
            <w:noWrap/>
            <w:vAlign w:val="center"/>
            <w:hideMark/>
          </w:tcPr>
          <w:p w14:paraId="0AD1BC63" w14:textId="77777777" w:rsidR="00037129" w:rsidRPr="002E42F1" w:rsidRDefault="00037129" w:rsidP="0036506B">
            <w:pPr>
              <w:pStyle w:val="NoSpacing"/>
              <w:jc w:val="center"/>
            </w:pPr>
            <w:r w:rsidRPr="002E42F1">
              <w:t>2 977</w:t>
            </w:r>
          </w:p>
        </w:tc>
        <w:tc>
          <w:tcPr>
            <w:tcW w:w="850" w:type="dxa"/>
            <w:tcBorders>
              <w:top w:val="nil"/>
              <w:left w:val="nil"/>
              <w:bottom w:val="single" w:sz="4" w:space="0" w:color="auto"/>
              <w:right w:val="single" w:sz="4" w:space="0" w:color="auto"/>
            </w:tcBorders>
            <w:shd w:val="clear" w:color="auto" w:fill="auto"/>
            <w:noWrap/>
            <w:vAlign w:val="center"/>
            <w:hideMark/>
          </w:tcPr>
          <w:p w14:paraId="2B34DDE9" w14:textId="77777777" w:rsidR="00037129" w:rsidRPr="002E42F1" w:rsidRDefault="00037129" w:rsidP="0036506B">
            <w:pPr>
              <w:pStyle w:val="NoSpacing"/>
              <w:jc w:val="center"/>
            </w:pPr>
            <w:r w:rsidRPr="002E42F1">
              <w:t>85,4</w:t>
            </w:r>
          </w:p>
        </w:tc>
        <w:tc>
          <w:tcPr>
            <w:tcW w:w="1701" w:type="dxa"/>
            <w:tcBorders>
              <w:top w:val="nil"/>
              <w:left w:val="nil"/>
              <w:bottom w:val="single" w:sz="4" w:space="0" w:color="auto"/>
              <w:right w:val="single" w:sz="4" w:space="0" w:color="auto"/>
            </w:tcBorders>
            <w:shd w:val="clear" w:color="auto" w:fill="auto"/>
            <w:noWrap/>
            <w:vAlign w:val="center"/>
            <w:hideMark/>
          </w:tcPr>
          <w:p w14:paraId="2631F31C" w14:textId="77777777" w:rsidR="00037129" w:rsidRPr="002E42F1" w:rsidRDefault="00037129" w:rsidP="0036506B">
            <w:pPr>
              <w:pStyle w:val="NoSpacing"/>
              <w:jc w:val="center"/>
            </w:pPr>
            <w:r w:rsidRPr="002E42F1">
              <w:t>431</w:t>
            </w:r>
          </w:p>
        </w:tc>
        <w:tc>
          <w:tcPr>
            <w:tcW w:w="851" w:type="dxa"/>
            <w:tcBorders>
              <w:top w:val="nil"/>
              <w:left w:val="nil"/>
              <w:bottom w:val="single" w:sz="4" w:space="0" w:color="auto"/>
              <w:right w:val="single" w:sz="4" w:space="0" w:color="auto"/>
            </w:tcBorders>
            <w:shd w:val="clear" w:color="auto" w:fill="auto"/>
            <w:noWrap/>
            <w:vAlign w:val="center"/>
            <w:hideMark/>
          </w:tcPr>
          <w:p w14:paraId="65484D3D" w14:textId="77777777" w:rsidR="00037129" w:rsidRPr="002E42F1" w:rsidRDefault="00037129" w:rsidP="0036506B">
            <w:pPr>
              <w:pStyle w:val="NoSpacing"/>
              <w:jc w:val="center"/>
            </w:pPr>
            <w:r w:rsidRPr="002E42F1">
              <w:t>12,4</w:t>
            </w:r>
          </w:p>
        </w:tc>
        <w:tc>
          <w:tcPr>
            <w:tcW w:w="1722" w:type="dxa"/>
            <w:tcBorders>
              <w:top w:val="nil"/>
              <w:left w:val="nil"/>
              <w:bottom w:val="single" w:sz="4" w:space="0" w:color="auto"/>
              <w:right w:val="single" w:sz="4" w:space="0" w:color="auto"/>
            </w:tcBorders>
            <w:shd w:val="clear" w:color="auto" w:fill="auto"/>
            <w:noWrap/>
            <w:vAlign w:val="center"/>
            <w:hideMark/>
          </w:tcPr>
          <w:p w14:paraId="21C815B9" w14:textId="77777777" w:rsidR="00037129" w:rsidRPr="002E42F1" w:rsidRDefault="00037129" w:rsidP="0036506B">
            <w:pPr>
              <w:pStyle w:val="NoSpacing"/>
              <w:jc w:val="center"/>
            </w:pPr>
            <w:r w:rsidRPr="002E42F1">
              <w:t>77</w:t>
            </w:r>
          </w:p>
        </w:tc>
        <w:tc>
          <w:tcPr>
            <w:tcW w:w="829" w:type="dxa"/>
            <w:tcBorders>
              <w:top w:val="nil"/>
              <w:left w:val="nil"/>
              <w:bottom w:val="single" w:sz="4" w:space="0" w:color="auto"/>
              <w:right w:val="single" w:sz="4" w:space="0" w:color="auto"/>
            </w:tcBorders>
            <w:shd w:val="clear" w:color="auto" w:fill="auto"/>
            <w:noWrap/>
            <w:vAlign w:val="center"/>
            <w:hideMark/>
          </w:tcPr>
          <w:p w14:paraId="13F617A7" w14:textId="77777777" w:rsidR="00037129" w:rsidRPr="002E42F1" w:rsidRDefault="00037129" w:rsidP="0036506B">
            <w:pPr>
              <w:pStyle w:val="NoSpacing"/>
              <w:jc w:val="center"/>
            </w:pPr>
            <w:r w:rsidRPr="002E42F1">
              <w:t>2,2</w:t>
            </w:r>
          </w:p>
        </w:tc>
      </w:tr>
      <w:tr w:rsidR="002E42F1" w:rsidRPr="002E42F1" w14:paraId="7759265A" w14:textId="77777777" w:rsidTr="0036506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54581BD" w14:textId="77777777" w:rsidR="00037129" w:rsidRPr="002E42F1" w:rsidRDefault="00037129" w:rsidP="0036506B">
            <w:pPr>
              <w:pStyle w:val="NoSpacing"/>
              <w:jc w:val="center"/>
            </w:pPr>
            <w:r w:rsidRPr="002E42F1">
              <w:t>2019.</w:t>
            </w:r>
          </w:p>
        </w:tc>
        <w:tc>
          <w:tcPr>
            <w:tcW w:w="1701" w:type="dxa"/>
            <w:tcBorders>
              <w:top w:val="nil"/>
              <w:left w:val="nil"/>
              <w:bottom w:val="single" w:sz="4" w:space="0" w:color="auto"/>
              <w:right w:val="single" w:sz="4" w:space="0" w:color="auto"/>
            </w:tcBorders>
            <w:shd w:val="clear" w:color="auto" w:fill="auto"/>
            <w:noWrap/>
            <w:vAlign w:val="center"/>
            <w:hideMark/>
          </w:tcPr>
          <w:p w14:paraId="268EE2FD" w14:textId="77777777" w:rsidR="00037129" w:rsidRPr="002E42F1" w:rsidRDefault="00037129" w:rsidP="0036506B">
            <w:pPr>
              <w:pStyle w:val="NoSpacing"/>
              <w:jc w:val="center"/>
            </w:pPr>
            <w:r w:rsidRPr="002E42F1">
              <w:t>2 986</w:t>
            </w:r>
          </w:p>
        </w:tc>
        <w:tc>
          <w:tcPr>
            <w:tcW w:w="850" w:type="dxa"/>
            <w:tcBorders>
              <w:top w:val="nil"/>
              <w:left w:val="nil"/>
              <w:bottom w:val="single" w:sz="4" w:space="0" w:color="auto"/>
              <w:right w:val="single" w:sz="4" w:space="0" w:color="auto"/>
            </w:tcBorders>
            <w:shd w:val="clear" w:color="auto" w:fill="auto"/>
            <w:noWrap/>
            <w:vAlign w:val="center"/>
            <w:hideMark/>
          </w:tcPr>
          <w:p w14:paraId="52A6C7A5" w14:textId="77777777" w:rsidR="00037129" w:rsidRPr="002E42F1" w:rsidRDefault="00037129" w:rsidP="0036506B">
            <w:pPr>
              <w:pStyle w:val="NoSpacing"/>
              <w:jc w:val="center"/>
            </w:pPr>
            <w:r w:rsidRPr="002E42F1">
              <w:t>81,3</w:t>
            </w:r>
          </w:p>
        </w:tc>
        <w:tc>
          <w:tcPr>
            <w:tcW w:w="1701" w:type="dxa"/>
            <w:tcBorders>
              <w:top w:val="nil"/>
              <w:left w:val="nil"/>
              <w:bottom w:val="single" w:sz="4" w:space="0" w:color="auto"/>
              <w:right w:val="single" w:sz="4" w:space="0" w:color="auto"/>
            </w:tcBorders>
            <w:shd w:val="clear" w:color="auto" w:fill="auto"/>
            <w:noWrap/>
            <w:vAlign w:val="center"/>
            <w:hideMark/>
          </w:tcPr>
          <w:p w14:paraId="6345E692" w14:textId="77777777" w:rsidR="00037129" w:rsidRPr="002E42F1" w:rsidRDefault="00037129" w:rsidP="0036506B">
            <w:pPr>
              <w:pStyle w:val="NoSpacing"/>
              <w:jc w:val="center"/>
            </w:pPr>
            <w:r w:rsidRPr="002E42F1">
              <w:t>590</w:t>
            </w:r>
          </w:p>
        </w:tc>
        <w:tc>
          <w:tcPr>
            <w:tcW w:w="851" w:type="dxa"/>
            <w:tcBorders>
              <w:top w:val="nil"/>
              <w:left w:val="nil"/>
              <w:bottom w:val="single" w:sz="4" w:space="0" w:color="auto"/>
              <w:right w:val="single" w:sz="4" w:space="0" w:color="auto"/>
            </w:tcBorders>
            <w:shd w:val="clear" w:color="auto" w:fill="auto"/>
            <w:noWrap/>
            <w:vAlign w:val="center"/>
            <w:hideMark/>
          </w:tcPr>
          <w:p w14:paraId="0BAB62E2" w14:textId="77777777" w:rsidR="00037129" w:rsidRPr="002E42F1" w:rsidRDefault="00037129" w:rsidP="0036506B">
            <w:pPr>
              <w:pStyle w:val="NoSpacing"/>
              <w:jc w:val="center"/>
            </w:pPr>
            <w:r w:rsidRPr="002E42F1">
              <w:t>16,1</w:t>
            </w:r>
          </w:p>
        </w:tc>
        <w:tc>
          <w:tcPr>
            <w:tcW w:w="1722" w:type="dxa"/>
            <w:tcBorders>
              <w:top w:val="nil"/>
              <w:left w:val="nil"/>
              <w:bottom w:val="single" w:sz="4" w:space="0" w:color="auto"/>
              <w:right w:val="single" w:sz="4" w:space="0" w:color="auto"/>
            </w:tcBorders>
            <w:shd w:val="clear" w:color="auto" w:fill="auto"/>
            <w:noWrap/>
            <w:vAlign w:val="center"/>
            <w:hideMark/>
          </w:tcPr>
          <w:p w14:paraId="48FD2489" w14:textId="77777777" w:rsidR="00037129" w:rsidRPr="002E42F1" w:rsidRDefault="00037129" w:rsidP="0036506B">
            <w:pPr>
              <w:pStyle w:val="NoSpacing"/>
              <w:jc w:val="center"/>
            </w:pPr>
            <w:r w:rsidRPr="002E42F1">
              <w:t>98</w:t>
            </w:r>
          </w:p>
        </w:tc>
        <w:tc>
          <w:tcPr>
            <w:tcW w:w="829" w:type="dxa"/>
            <w:tcBorders>
              <w:top w:val="nil"/>
              <w:left w:val="nil"/>
              <w:bottom w:val="single" w:sz="4" w:space="0" w:color="auto"/>
              <w:right w:val="single" w:sz="4" w:space="0" w:color="auto"/>
            </w:tcBorders>
            <w:shd w:val="clear" w:color="auto" w:fill="auto"/>
            <w:noWrap/>
            <w:vAlign w:val="center"/>
            <w:hideMark/>
          </w:tcPr>
          <w:p w14:paraId="326F6A98" w14:textId="77777777" w:rsidR="00037129" w:rsidRPr="002E42F1" w:rsidRDefault="00037129" w:rsidP="0036506B">
            <w:pPr>
              <w:pStyle w:val="NoSpacing"/>
              <w:jc w:val="center"/>
            </w:pPr>
            <w:r w:rsidRPr="002E42F1">
              <w:t>2,7</w:t>
            </w:r>
          </w:p>
        </w:tc>
      </w:tr>
    </w:tbl>
    <w:p w14:paraId="3221426F" w14:textId="77777777" w:rsidR="00037129" w:rsidRPr="002E42F1" w:rsidRDefault="00037129" w:rsidP="00037129">
      <w:pPr>
        <w:pStyle w:val="NoSpacing"/>
        <w:jc w:val="both"/>
        <w:rPr>
          <w:sz w:val="28"/>
          <w:szCs w:val="28"/>
        </w:rPr>
      </w:pPr>
      <w:r w:rsidRPr="002E42F1">
        <w:rPr>
          <w:sz w:val="28"/>
          <w:szCs w:val="28"/>
        </w:rPr>
        <w:t>Avots: VRAA un IUB dati</w:t>
      </w:r>
    </w:p>
    <w:p w14:paraId="40FE59FE" w14:textId="77777777" w:rsidR="00037129" w:rsidRPr="002E42F1" w:rsidRDefault="00037129" w:rsidP="00037129">
      <w:pPr>
        <w:pStyle w:val="NoSpacing"/>
        <w:jc w:val="both"/>
        <w:rPr>
          <w:sz w:val="28"/>
          <w:szCs w:val="28"/>
        </w:rPr>
      </w:pPr>
    </w:p>
    <w:p w14:paraId="78CF2B8E" w14:textId="0EB0575F" w:rsidR="00037129" w:rsidRPr="002E42F1" w:rsidRDefault="0057580F" w:rsidP="00037129">
      <w:pPr>
        <w:pStyle w:val="NoSpacing"/>
        <w:jc w:val="right"/>
        <w:rPr>
          <w:sz w:val="28"/>
          <w:szCs w:val="28"/>
        </w:rPr>
      </w:pPr>
      <w:r w:rsidRPr="002E42F1">
        <w:rPr>
          <w:sz w:val="28"/>
          <w:szCs w:val="28"/>
        </w:rPr>
        <w:t>2</w:t>
      </w:r>
      <w:r w:rsidR="00037129" w:rsidRPr="002E42F1">
        <w:rPr>
          <w:sz w:val="28"/>
          <w:szCs w:val="28"/>
        </w:rPr>
        <w:t>. attēls</w:t>
      </w:r>
    </w:p>
    <w:p w14:paraId="3EC6CEF6" w14:textId="77777777" w:rsidR="00037129" w:rsidRPr="002E42F1" w:rsidRDefault="00037129" w:rsidP="00037129">
      <w:pPr>
        <w:pStyle w:val="NoSpacing"/>
        <w:jc w:val="center"/>
        <w:rPr>
          <w:sz w:val="28"/>
          <w:szCs w:val="28"/>
        </w:rPr>
      </w:pPr>
      <w:r w:rsidRPr="002E42F1">
        <w:rPr>
          <w:sz w:val="28"/>
          <w:szCs w:val="28"/>
        </w:rPr>
        <w:t xml:space="preserve">Iepirkumu sadalījums pēc </w:t>
      </w:r>
      <w:r w:rsidRPr="002E42F1">
        <w:rPr>
          <w:sz w:val="28"/>
          <w:szCs w:val="28"/>
          <w:u w:val="single"/>
        </w:rPr>
        <w:t xml:space="preserve">kopējās līgumcenas </w:t>
      </w:r>
      <w:r w:rsidRPr="002E42F1">
        <w:rPr>
          <w:sz w:val="28"/>
          <w:szCs w:val="28"/>
        </w:rPr>
        <w:t>2019. gadā</w:t>
      </w:r>
    </w:p>
    <w:p w14:paraId="6BFE8E41" w14:textId="77777777" w:rsidR="00037129" w:rsidRPr="002E42F1" w:rsidRDefault="00037129" w:rsidP="00037129">
      <w:pPr>
        <w:pStyle w:val="NoSpacing"/>
        <w:jc w:val="both"/>
        <w:rPr>
          <w:sz w:val="28"/>
          <w:szCs w:val="28"/>
        </w:rPr>
      </w:pPr>
    </w:p>
    <w:p w14:paraId="1FA43A1E" w14:textId="77777777" w:rsidR="00037129" w:rsidRPr="002E42F1" w:rsidRDefault="00037129" w:rsidP="00037129">
      <w:pPr>
        <w:pStyle w:val="NoSpacing"/>
        <w:jc w:val="both"/>
        <w:rPr>
          <w:sz w:val="28"/>
          <w:szCs w:val="28"/>
        </w:rPr>
      </w:pPr>
      <w:r w:rsidRPr="002E42F1">
        <w:rPr>
          <w:noProof/>
          <w:sz w:val="28"/>
          <w:szCs w:val="28"/>
        </w:rPr>
        <w:drawing>
          <wp:anchor distT="0" distB="0" distL="114300" distR="114300" simplePos="0" relativeHeight="251658241" behindDoc="1" locked="0" layoutInCell="1" allowOverlap="1" wp14:anchorId="5A197419" wp14:editId="2F9EC83F">
            <wp:simplePos x="0" y="0"/>
            <wp:positionH relativeFrom="column">
              <wp:posOffset>596265</wp:posOffset>
            </wp:positionH>
            <wp:positionV relativeFrom="paragraph">
              <wp:posOffset>0</wp:posOffset>
            </wp:positionV>
            <wp:extent cx="4572000" cy="274320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E42F1">
        <w:rPr>
          <w:sz w:val="28"/>
          <w:szCs w:val="28"/>
        </w:rPr>
        <w:t>Avots: VRAA un IUB dati</w:t>
      </w:r>
    </w:p>
    <w:p w14:paraId="7A5656F4" w14:textId="77777777" w:rsidR="00037129" w:rsidRPr="002E42F1" w:rsidRDefault="00037129" w:rsidP="00037129">
      <w:pPr>
        <w:pStyle w:val="NoSpacing"/>
        <w:jc w:val="both"/>
        <w:rPr>
          <w:sz w:val="28"/>
          <w:szCs w:val="28"/>
        </w:rPr>
      </w:pPr>
    </w:p>
    <w:p w14:paraId="5D52C879" w14:textId="730F7606" w:rsidR="00037129" w:rsidRPr="002E42F1" w:rsidRDefault="00037129" w:rsidP="00037129">
      <w:pPr>
        <w:pStyle w:val="NoSpacing"/>
        <w:ind w:firstLine="720"/>
        <w:jc w:val="both"/>
        <w:rPr>
          <w:sz w:val="28"/>
          <w:szCs w:val="28"/>
        </w:rPr>
      </w:pPr>
      <w:r w:rsidRPr="002E42F1">
        <w:rPr>
          <w:sz w:val="28"/>
          <w:szCs w:val="28"/>
        </w:rPr>
        <w:t>Lai gan absolūtos skaitļos ZPI iepirkumi EIS sistēmā ir pieauguši, tomēr vērtējot tos kā īpatsvaru salīdzinoši ar ZPI iepirkumiem PIL un SPSIL, kur arī ir bijis ZPI īpatsvara pieaugums, nav vērojam</w:t>
      </w:r>
      <w:r w:rsidR="0069730F" w:rsidRPr="002E42F1">
        <w:rPr>
          <w:sz w:val="28"/>
          <w:szCs w:val="28"/>
        </w:rPr>
        <w:t>as</w:t>
      </w:r>
      <w:r w:rsidRPr="002E42F1">
        <w:rPr>
          <w:sz w:val="28"/>
          <w:szCs w:val="28"/>
        </w:rPr>
        <w:t xml:space="preserve"> izmaiņas no iepriekšējiem gadiem (2018. g. – 2,4%; 2019. g. – 3,2%). 2019. gada dati ilustrēti </w:t>
      </w:r>
      <w:r w:rsidR="00CB69A6" w:rsidRPr="002E42F1">
        <w:rPr>
          <w:sz w:val="28"/>
          <w:szCs w:val="28"/>
        </w:rPr>
        <w:t>3</w:t>
      </w:r>
      <w:r w:rsidRPr="002E42F1">
        <w:rPr>
          <w:bCs/>
          <w:iCs/>
          <w:sz w:val="28"/>
          <w:szCs w:val="28"/>
        </w:rPr>
        <w:t>. attēlā</w:t>
      </w:r>
      <w:r w:rsidRPr="002E42F1">
        <w:rPr>
          <w:sz w:val="28"/>
          <w:szCs w:val="28"/>
        </w:rPr>
        <w:t>.</w:t>
      </w:r>
    </w:p>
    <w:p w14:paraId="4BE1B148" w14:textId="5ADAFFDC" w:rsidR="00037129" w:rsidRPr="002E42F1" w:rsidRDefault="00037129" w:rsidP="00037129">
      <w:pPr>
        <w:pStyle w:val="NoSpacing"/>
        <w:jc w:val="both"/>
        <w:rPr>
          <w:sz w:val="28"/>
          <w:szCs w:val="28"/>
        </w:rPr>
      </w:pPr>
    </w:p>
    <w:p w14:paraId="1E9676B6" w14:textId="504D6E70" w:rsidR="00FB402F" w:rsidRDefault="00FB402F" w:rsidP="00037129">
      <w:pPr>
        <w:pStyle w:val="NoSpacing"/>
        <w:jc w:val="both"/>
        <w:rPr>
          <w:sz w:val="28"/>
          <w:szCs w:val="28"/>
        </w:rPr>
      </w:pPr>
    </w:p>
    <w:p w14:paraId="21CA55F6" w14:textId="77777777" w:rsidR="00F82CB9" w:rsidRDefault="00F82CB9" w:rsidP="00037129">
      <w:pPr>
        <w:pStyle w:val="NoSpacing"/>
        <w:jc w:val="both"/>
        <w:rPr>
          <w:sz w:val="28"/>
          <w:szCs w:val="28"/>
        </w:rPr>
      </w:pPr>
    </w:p>
    <w:p w14:paraId="6A5085B2" w14:textId="77777777" w:rsidR="00F82CB9" w:rsidRDefault="00F82CB9" w:rsidP="00037129">
      <w:pPr>
        <w:pStyle w:val="NoSpacing"/>
        <w:jc w:val="both"/>
        <w:rPr>
          <w:sz w:val="28"/>
          <w:szCs w:val="28"/>
        </w:rPr>
      </w:pPr>
    </w:p>
    <w:p w14:paraId="7974DBB8" w14:textId="77777777" w:rsidR="00BA4929" w:rsidRPr="002E42F1" w:rsidRDefault="00BA4929" w:rsidP="00037129">
      <w:pPr>
        <w:pStyle w:val="NoSpacing"/>
        <w:jc w:val="both"/>
        <w:rPr>
          <w:sz w:val="28"/>
          <w:szCs w:val="28"/>
        </w:rPr>
      </w:pPr>
    </w:p>
    <w:p w14:paraId="4592AB1C" w14:textId="77777777" w:rsidR="00FB402F" w:rsidRPr="002E42F1" w:rsidRDefault="00FB402F" w:rsidP="00037129">
      <w:pPr>
        <w:pStyle w:val="NoSpacing"/>
        <w:jc w:val="both"/>
        <w:rPr>
          <w:sz w:val="28"/>
          <w:szCs w:val="28"/>
        </w:rPr>
      </w:pPr>
    </w:p>
    <w:p w14:paraId="2C5B0381" w14:textId="5E7FC6B9" w:rsidR="00037129" w:rsidRPr="002E42F1" w:rsidRDefault="0057580F" w:rsidP="00037129">
      <w:pPr>
        <w:pStyle w:val="NoSpacing"/>
        <w:jc w:val="right"/>
        <w:rPr>
          <w:sz w:val="28"/>
          <w:szCs w:val="28"/>
        </w:rPr>
      </w:pPr>
      <w:r w:rsidRPr="002E42F1">
        <w:rPr>
          <w:sz w:val="28"/>
          <w:szCs w:val="28"/>
        </w:rPr>
        <w:lastRenderedPageBreak/>
        <w:t>3</w:t>
      </w:r>
      <w:r w:rsidR="00037129" w:rsidRPr="002E42F1">
        <w:rPr>
          <w:sz w:val="28"/>
          <w:szCs w:val="28"/>
        </w:rPr>
        <w:t xml:space="preserve">. attēls </w:t>
      </w:r>
    </w:p>
    <w:p w14:paraId="3AA2385E" w14:textId="77777777" w:rsidR="00037129" w:rsidRPr="002E42F1" w:rsidRDefault="00037129" w:rsidP="00037129">
      <w:pPr>
        <w:pStyle w:val="NoSpacing"/>
        <w:jc w:val="center"/>
        <w:rPr>
          <w:sz w:val="28"/>
          <w:szCs w:val="28"/>
        </w:rPr>
      </w:pPr>
      <w:r w:rsidRPr="002E42F1">
        <w:rPr>
          <w:sz w:val="28"/>
          <w:szCs w:val="28"/>
        </w:rPr>
        <w:t xml:space="preserve">Iepirkumu sadalījums pēc </w:t>
      </w:r>
      <w:r w:rsidRPr="002E42F1">
        <w:rPr>
          <w:sz w:val="28"/>
          <w:szCs w:val="28"/>
          <w:u w:val="single"/>
        </w:rPr>
        <w:t xml:space="preserve">ZPI līgumcenas </w:t>
      </w:r>
      <w:r w:rsidRPr="002E42F1">
        <w:rPr>
          <w:sz w:val="28"/>
          <w:szCs w:val="28"/>
        </w:rPr>
        <w:t>2019. gadā</w:t>
      </w:r>
    </w:p>
    <w:p w14:paraId="7C593314" w14:textId="3835D6CD" w:rsidR="00037129" w:rsidRPr="002E42F1" w:rsidRDefault="00037129" w:rsidP="00037129">
      <w:pPr>
        <w:pStyle w:val="NoSpacing"/>
        <w:jc w:val="center"/>
        <w:rPr>
          <w:sz w:val="28"/>
          <w:szCs w:val="28"/>
        </w:rPr>
      </w:pPr>
      <w:r w:rsidRPr="002E42F1">
        <w:rPr>
          <w:noProof/>
          <w:sz w:val="28"/>
          <w:szCs w:val="28"/>
        </w:rPr>
        <w:drawing>
          <wp:inline distT="0" distB="0" distL="0" distR="0" wp14:anchorId="7C4A9130" wp14:editId="53B0CB8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098AAB" w14:textId="77777777" w:rsidR="00037129" w:rsidRPr="002E42F1" w:rsidRDefault="00037129" w:rsidP="00037129">
      <w:pPr>
        <w:pStyle w:val="NoSpacing"/>
        <w:jc w:val="both"/>
        <w:rPr>
          <w:sz w:val="28"/>
          <w:szCs w:val="28"/>
        </w:rPr>
      </w:pPr>
      <w:r w:rsidRPr="002E42F1">
        <w:rPr>
          <w:sz w:val="28"/>
          <w:szCs w:val="28"/>
        </w:rPr>
        <w:t>Avots: VRAA un IUB dati</w:t>
      </w:r>
    </w:p>
    <w:p w14:paraId="0B1EC39C" w14:textId="655CA063" w:rsidR="00B52ED4" w:rsidRPr="002E42F1" w:rsidRDefault="00B52ED4">
      <w:pPr>
        <w:rPr>
          <w:sz w:val="28"/>
          <w:szCs w:val="28"/>
        </w:rPr>
      </w:pPr>
      <w:r w:rsidRPr="002E42F1">
        <w:rPr>
          <w:sz w:val="28"/>
          <w:szCs w:val="28"/>
        </w:rPr>
        <w:br w:type="page"/>
      </w:r>
    </w:p>
    <w:p w14:paraId="7765CC93" w14:textId="2FF6A02B" w:rsidR="009B508E" w:rsidRPr="002E42F1" w:rsidRDefault="000B58F1" w:rsidP="00BA4929">
      <w:pPr>
        <w:pStyle w:val="Heading2"/>
        <w:numPr>
          <w:ilvl w:val="1"/>
          <w:numId w:val="44"/>
        </w:numPr>
        <w:ind w:left="709" w:hanging="283"/>
        <w:jc w:val="center"/>
      </w:pPr>
      <w:bookmarkStart w:id="4" w:name="_Toc37334422"/>
      <w:r w:rsidRPr="002E42F1">
        <w:lastRenderedPageBreak/>
        <w:t>Pārskats par Publisk</w:t>
      </w:r>
      <w:r w:rsidR="007C62AC" w:rsidRPr="002E42F1">
        <w:t>o</w:t>
      </w:r>
      <w:r w:rsidRPr="002E42F1">
        <w:t xml:space="preserve"> iepirkum</w:t>
      </w:r>
      <w:r w:rsidR="007C62AC" w:rsidRPr="002E42F1">
        <w:t>u</w:t>
      </w:r>
      <w:r w:rsidR="00AB5C3A" w:rsidRPr="002E42F1">
        <w:t xml:space="preserve"> likuma ietvaros </w:t>
      </w:r>
      <w:r w:rsidRPr="002E42F1">
        <w:t>veiktajiem zaļajiem publiskiem iepirkumiem</w:t>
      </w:r>
      <w:bookmarkEnd w:id="4"/>
    </w:p>
    <w:p w14:paraId="02550132" w14:textId="77777777" w:rsidR="00583C90" w:rsidRPr="002E42F1" w:rsidRDefault="00583C90" w:rsidP="00583C90">
      <w:pPr>
        <w:pStyle w:val="NoSpacing"/>
        <w:jc w:val="both"/>
        <w:rPr>
          <w:b/>
          <w:sz w:val="28"/>
          <w:szCs w:val="28"/>
        </w:rPr>
      </w:pPr>
    </w:p>
    <w:p w14:paraId="17661419" w14:textId="05AB7012" w:rsidR="00B867CB" w:rsidRPr="002E42F1" w:rsidRDefault="00733208" w:rsidP="00583C90">
      <w:pPr>
        <w:pStyle w:val="NoSpacing"/>
        <w:ind w:firstLine="720"/>
        <w:jc w:val="both"/>
        <w:rPr>
          <w:sz w:val="28"/>
          <w:szCs w:val="28"/>
        </w:rPr>
      </w:pPr>
      <w:r w:rsidRPr="002E42F1">
        <w:rPr>
          <w:sz w:val="28"/>
          <w:szCs w:val="28"/>
        </w:rPr>
        <w:t xml:space="preserve">Aplūkojot datus laika posmā no </w:t>
      </w:r>
      <w:r w:rsidR="0052669D" w:rsidRPr="002E42F1">
        <w:rPr>
          <w:sz w:val="28"/>
          <w:szCs w:val="28"/>
        </w:rPr>
        <w:t xml:space="preserve">MK noteikumu </w:t>
      </w:r>
      <w:r w:rsidRPr="002E42F1">
        <w:rPr>
          <w:sz w:val="28"/>
          <w:szCs w:val="28"/>
        </w:rPr>
        <w:t>stāšanās spēkā (01.07.2017.)</w:t>
      </w:r>
      <w:r w:rsidR="0052669D" w:rsidRPr="002E42F1">
        <w:rPr>
          <w:sz w:val="28"/>
          <w:szCs w:val="28"/>
        </w:rPr>
        <w:t xml:space="preserve">, </w:t>
      </w:r>
      <w:r w:rsidR="00345189" w:rsidRPr="002E42F1">
        <w:rPr>
          <w:sz w:val="28"/>
          <w:szCs w:val="28"/>
        </w:rPr>
        <w:t xml:space="preserve">var secināt, ka kopā ar citiem ZPI iepirkumus veicinošiem faktoriem ir </w:t>
      </w:r>
      <w:r w:rsidR="00F5071F" w:rsidRPr="002E42F1">
        <w:rPr>
          <w:sz w:val="28"/>
          <w:szCs w:val="28"/>
        </w:rPr>
        <w:t>noticis</w:t>
      </w:r>
      <w:r w:rsidRPr="002E42F1">
        <w:rPr>
          <w:sz w:val="28"/>
          <w:szCs w:val="28"/>
        </w:rPr>
        <w:t xml:space="preserve"> ievērojam</w:t>
      </w:r>
      <w:r w:rsidR="00F5071F" w:rsidRPr="002E42F1">
        <w:rPr>
          <w:sz w:val="28"/>
          <w:szCs w:val="28"/>
        </w:rPr>
        <w:t>s</w:t>
      </w:r>
      <w:r w:rsidRPr="002E42F1">
        <w:rPr>
          <w:sz w:val="28"/>
          <w:szCs w:val="28"/>
        </w:rPr>
        <w:t xml:space="preserve"> ZPI </w:t>
      </w:r>
      <w:r w:rsidR="00F5071F" w:rsidRPr="002E42F1">
        <w:rPr>
          <w:sz w:val="28"/>
          <w:szCs w:val="28"/>
        </w:rPr>
        <w:t xml:space="preserve">pieaugums 2018. gadā un </w:t>
      </w:r>
      <w:r w:rsidR="00183E2B" w:rsidRPr="002E42F1">
        <w:rPr>
          <w:sz w:val="28"/>
          <w:szCs w:val="28"/>
        </w:rPr>
        <w:t>neliels samazinājums 2019. gadā</w:t>
      </w:r>
      <w:r w:rsidR="00F5071F" w:rsidRPr="002E42F1">
        <w:rPr>
          <w:sz w:val="28"/>
          <w:szCs w:val="28"/>
        </w:rPr>
        <w:t>.</w:t>
      </w:r>
      <w:r w:rsidR="00F75F9C" w:rsidRPr="002E42F1">
        <w:rPr>
          <w:sz w:val="28"/>
          <w:szCs w:val="28"/>
        </w:rPr>
        <w:t xml:space="preserve"> 2019. gadā ZPI finanšu apjoms PIL ietvaros sasniedzis 515 miljonus EUR no </w:t>
      </w:r>
      <w:r w:rsidR="008852E6" w:rsidRPr="002E42F1">
        <w:rPr>
          <w:sz w:val="28"/>
          <w:szCs w:val="28"/>
        </w:rPr>
        <w:t xml:space="preserve">PIL </w:t>
      </w:r>
      <w:r w:rsidR="00F75F9C" w:rsidRPr="002E42F1">
        <w:rPr>
          <w:sz w:val="28"/>
          <w:szCs w:val="28"/>
        </w:rPr>
        <w:t xml:space="preserve">kopējās līgumcenu summas </w:t>
      </w:r>
      <w:r w:rsidR="008852E6" w:rsidRPr="002E42F1">
        <w:rPr>
          <w:sz w:val="28"/>
          <w:szCs w:val="28"/>
        </w:rPr>
        <w:t xml:space="preserve">2 986 </w:t>
      </w:r>
      <w:r w:rsidR="002051B9" w:rsidRPr="002E42F1">
        <w:rPr>
          <w:sz w:val="28"/>
          <w:szCs w:val="28"/>
        </w:rPr>
        <w:t>miljoni EUR, kas ir 17,3% (2018. gadā – 18,3%)</w:t>
      </w:r>
      <w:r w:rsidR="007A6340" w:rsidRPr="002E42F1">
        <w:rPr>
          <w:sz w:val="28"/>
          <w:szCs w:val="28"/>
        </w:rPr>
        <w:t>.</w:t>
      </w:r>
      <w:r w:rsidR="005F17B8" w:rsidRPr="002E42F1">
        <w:rPr>
          <w:sz w:val="28"/>
          <w:szCs w:val="28"/>
        </w:rPr>
        <w:t xml:space="preserve"> ZPI procedūru skaits </w:t>
      </w:r>
      <w:r w:rsidR="007A6340" w:rsidRPr="002E42F1">
        <w:rPr>
          <w:sz w:val="28"/>
          <w:szCs w:val="28"/>
        </w:rPr>
        <w:t>sasniedz 13,2% no kopējā iepirkumu procedūru skaita (2018. gadā – 11,4%)</w:t>
      </w:r>
      <w:r w:rsidR="002051B9" w:rsidRPr="002E42F1">
        <w:rPr>
          <w:sz w:val="28"/>
          <w:szCs w:val="28"/>
        </w:rPr>
        <w:t xml:space="preserve">. </w:t>
      </w:r>
      <w:r w:rsidR="00736C48" w:rsidRPr="002E42F1">
        <w:rPr>
          <w:sz w:val="28"/>
          <w:szCs w:val="28"/>
        </w:rPr>
        <w:t>Finansiālā īpatsvara un iepirkumu skaita a</w:t>
      </w:r>
      <w:r w:rsidR="004728BD" w:rsidRPr="002E42F1">
        <w:rPr>
          <w:sz w:val="28"/>
          <w:szCs w:val="28"/>
        </w:rPr>
        <w:t>ttīstības dinamika parādīta</w:t>
      </w:r>
      <w:r w:rsidR="00BD1583" w:rsidRPr="002E42F1">
        <w:rPr>
          <w:sz w:val="28"/>
          <w:szCs w:val="28"/>
        </w:rPr>
        <w:t xml:space="preserve"> </w:t>
      </w:r>
      <w:r w:rsidR="00CB69A6" w:rsidRPr="002E42F1">
        <w:rPr>
          <w:sz w:val="28"/>
          <w:szCs w:val="28"/>
        </w:rPr>
        <w:t>4</w:t>
      </w:r>
      <w:r w:rsidR="005B7A42" w:rsidRPr="002E42F1">
        <w:rPr>
          <w:sz w:val="28"/>
          <w:szCs w:val="28"/>
        </w:rPr>
        <w:t>.</w:t>
      </w:r>
      <w:r w:rsidR="00CB69A6" w:rsidRPr="002E42F1">
        <w:rPr>
          <w:sz w:val="28"/>
          <w:szCs w:val="28"/>
        </w:rPr>
        <w:t xml:space="preserve"> un 5</w:t>
      </w:r>
      <w:r w:rsidR="00114C25" w:rsidRPr="002E42F1">
        <w:rPr>
          <w:sz w:val="28"/>
          <w:szCs w:val="28"/>
        </w:rPr>
        <w:t xml:space="preserve">. </w:t>
      </w:r>
      <w:r w:rsidR="005B7A42" w:rsidRPr="002E42F1">
        <w:rPr>
          <w:sz w:val="28"/>
          <w:szCs w:val="28"/>
        </w:rPr>
        <w:t>a</w:t>
      </w:r>
      <w:r w:rsidR="004728BD" w:rsidRPr="002E42F1">
        <w:rPr>
          <w:sz w:val="28"/>
          <w:szCs w:val="28"/>
        </w:rPr>
        <w:t>ttēlā</w:t>
      </w:r>
      <w:r w:rsidR="00156AB5" w:rsidRPr="002E42F1">
        <w:rPr>
          <w:sz w:val="28"/>
          <w:szCs w:val="28"/>
        </w:rPr>
        <w:t>.</w:t>
      </w:r>
      <w:r w:rsidR="00040F29" w:rsidRPr="002E42F1">
        <w:rPr>
          <w:sz w:val="28"/>
          <w:szCs w:val="28"/>
        </w:rPr>
        <w:t xml:space="preserve"> </w:t>
      </w:r>
    </w:p>
    <w:p w14:paraId="7262E3CA" w14:textId="77777777" w:rsidR="0063029B" w:rsidRPr="002E42F1" w:rsidRDefault="0063029B" w:rsidP="006C282B">
      <w:pPr>
        <w:pStyle w:val="NoSpacing"/>
        <w:jc w:val="both"/>
        <w:rPr>
          <w:sz w:val="28"/>
          <w:szCs w:val="28"/>
        </w:rPr>
      </w:pPr>
    </w:p>
    <w:p w14:paraId="421DBDC0" w14:textId="21DE40AC" w:rsidR="00040F29" w:rsidRPr="002E42F1" w:rsidRDefault="0057580F" w:rsidP="006C282B">
      <w:pPr>
        <w:pStyle w:val="NoSpacing"/>
        <w:jc w:val="right"/>
        <w:rPr>
          <w:sz w:val="28"/>
          <w:szCs w:val="28"/>
        </w:rPr>
      </w:pPr>
      <w:r w:rsidRPr="002E42F1">
        <w:rPr>
          <w:sz w:val="28"/>
          <w:szCs w:val="28"/>
        </w:rPr>
        <w:t>4</w:t>
      </w:r>
      <w:r w:rsidR="005413F1" w:rsidRPr="002E42F1">
        <w:rPr>
          <w:sz w:val="28"/>
          <w:szCs w:val="28"/>
        </w:rPr>
        <w:t>.</w:t>
      </w:r>
      <w:r w:rsidR="00776752" w:rsidRPr="002E42F1">
        <w:rPr>
          <w:sz w:val="28"/>
          <w:szCs w:val="28"/>
        </w:rPr>
        <w:t xml:space="preserve"> attēls</w:t>
      </w:r>
    </w:p>
    <w:p w14:paraId="082E4369" w14:textId="62D27900" w:rsidR="00D87EC0" w:rsidRPr="002E42F1" w:rsidRDefault="005162AB" w:rsidP="006C282B">
      <w:pPr>
        <w:pStyle w:val="NoSpacing"/>
        <w:jc w:val="center"/>
        <w:rPr>
          <w:sz w:val="28"/>
          <w:szCs w:val="28"/>
        </w:rPr>
      </w:pPr>
      <w:r w:rsidRPr="002E42F1">
        <w:rPr>
          <w:sz w:val="28"/>
          <w:szCs w:val="28"/>
        </w:rPr>
        <w:t>ZPI</w:t>
      </w:r>
      <w:r w:rsidR="004B30A1" w:rsidRPr="002E42F1">
        <w:rPr>
          <w:sz w:val="28"/>
          <w:szCs w:val="28"/>
        </w:rPr>
        <w:t xml:space="preserve"> līgumcenu</w:t>
      </w:r>
      <w:r w:rsidRPr="002E42F1">
        <w:rPr>
          <w:sz w:val="28"/>
          <w:szCs w:val="28"/>
        </w:rPr>
        <w:t xml:space="preserve"> </w:t>
      </w:r>
      <w:r w:rsidR="00BA5B41" w:rsidRPr="002E42F1">
        <w:rPr>
          <w:sz w:val="28"/>
          <w:szCs w:val="28"/>
        </w:rPr>
        <w:t>dinamik</w:t>
      </w:r>
      <w:r w:rsidR="00807588" w:rsidRPr="002E42F1">
        <w:rPr>
          <w:sz w:val="28"/>
          <w:szCs w:val="28"/>
        </w:rPr>
        <w:t>a</w:t>
      </w:r>
      <w:r w:rsidR="00BA5B41" w:rsidRPr="002E42F1">
        <w:rPr>
          <w:sz w:val="28"/>
          <w:szCs w:val="28"/>
        </w:rPr>
        <w:t xml:space="preserve"> salīdzinājumā ar kopējo </w:t>
      </w:r>
      <w:r w:rsidR="004B30A1" w:rsidRPr="002E42F1">
        <w:rPr>
          <w:sz w:val="28"/>
          <w:szCs w:val="28"/>
        </w:rPr>
        <w:t>līgumcenu</w:t>
      </w:r>
      <w:r w:rsidR="00BA5B41" w:rsidRPr="002E42F1">
        <w:rPr>
          <w:sz w:val="28"/>
          <w:szCs w:val="28"/>
        </w:rPr>
        <w:t xml:space="preserve"> dinamiku</w:t>
      </w:r>
    </w:p>
    <w:p w14:paraId="0A055136" w14:textId="0F1BFE93" w:rsidR="00C54958" w:rsidRPr="002E42F1" w:rsidRDefault="00BA5B41" w:rsidP="006C282B">
      <w:pPr>
        <w:pStyle w:val="NoSpacing"/>
        <w:jc w:val="center"/>
        <w:rPr>
          <w:sz w:val="28"/>
          <w:szCs w:val="28"/>
        </w:rPr>
      </w:pPr>
      <w:r w:rsidRPr="002E42F1">
        <w:rPr>
          <w:sz w:val="28"/>
          <w:szCs w:val="28"/>
        </w:rPr>
        <w:t xml:space="preserve">PIL ietvarā </w:t>
      </w:r>
      <w:r w:rsidR="00D87EC0" w:rsidRPr="002E42F1">
        <w:rPr>
          <w:sz w:val="28"/>
          <w:szCs w:val="28"/>
        </w:rPr>
        <w:t>2010</w:t>
      </w:r>
      <w:r w:rsidR="00C16966" w:rsidRPr="002E42F1">
        <w:rPr>
          <w:sz w:val="28"/>
          <w:szCs w:val="28"/>
        </w:rPr>
        <w:t>.</w:t>
      </w:r>
      <w:r w:rsidR="00D87EC0" w:rsidRPr="002E42F1">
        <w:rPr>
          <w:sz w:val="28"/>
          <w:szCs w:val="28"/>
        </w:rPr>
        <w:t xml:space="preserve"> – 2019.</w:t>
      </w:r>
      <w:r w:rsidR="00C16966" w:rsidRPr="002E42F1">
        <w:rPr>
          <w:sz w:val="28"/>
          <w:szCs w:val="28"/>
        </w:rPr>
        <w:t xml:space="preserve"> </w:t>
      </w:r>
      <w:r w:rsidR="00D87EC0" w:rsidRPr="002E42F1">
        <w:rPr>
          <w:sz w:val="28"/>
          <w:szCs w:val="28"/>
        </w:rPr>
        <w:t>g</w:t>
      </w:r>
      <w:r w:rsidR="009D5774" w:rsidRPr="002E42F1">
        <w:rPr>
          <w:sz w:val="28"/>
          <w:szCs w:val="28"/>
        </w:rPr>
        <w:t>adā</w:t>
      </w:r>
      <w:r w:rsidR="00D87EC0" w:rsidRPr="002E42F1">
        <w:rPr>
          <w:sz w:val="28"/>
          <w:szCs w:val="28"/>
        </w:rPr>
        <w:t xml:space="preserve"> (milj. EUR un %)</w:t>
      </w:r>
    </w:p>
    <w:p w14:paraId="68DF1016" w14:textId="77777777" w:rsidR="001733FA" w:rsidRPr="002E42F1" w:rsidRDefault="001733FA" w:rsidP="006C282B">
      <w:pPr>
        <w:pStyle w:val="NoSpacing"/>
        <w:jc w:val="both"/>
        <w:rPr>
          <w:sz w:val="28"/>
          <w:szCs w:val="28"/>
        </w:rPr>
      </w:pPr>
    </w:p>
    <w:p w14:paraId="52DB5005" w14:textId="35124856" w:rsidR="00807588" w:rsidRPr="002E42F1" w:rsidRDefault="00807588" w:rsidP="00AE018D">
      <w:pPr>
        <w:pStyle w:val="NoSpacing"/>
        <w:jc w:val="center"/>
        <w:rPr>
          <w:sz w:val="28"/>
          <w:szCs w:val="28"/>
        </w:rPr>
      </w:pPr>
      <w:r w:rsidRPr="002E42F1">
        <w:rPr>
          <w:noProof/>
          <w:sz w:val="28"/>
          <w:szCs w:val="28"/>
        </w:rPr>
        <w:drawing>
          <wp:inline distT="0" distB="0" distL="0" distR="0" wp14:anchorId="67E3C82E" wp14:editId="58A86F8F">
            <wp:extent cx="5760085" cy="338709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BAA5DF" w14:textId="537ACB9B" w:rsidR="00224875" w:rsidRPr="002E42F1" w:rsidRDefault="00067534" w:rsidP="006C282B">
      <w:pPr>
        <w:pStyle w:val="NoSpacing"/>
        <w:jc w:val="both"/>
        <w:rPr>
          <w:bCs/>
          <w:iCs/>
          <w:sz w:val="28"/>
          <w:szCs w:val="28"/>
        </w:rPr>
      </w:pPr>
      <w:r w:rsidRPr="002E42F1">
        <w:rPr>
          <w:bCs/>
          <w:iCs/>
          <w:sz w:val="28"/>
          <w:szCs w:val="28"/>
        </w:rPr>
        <w:t xml:space="preserve">Avots: </w:t>
      </w:r>
      <w:r w:rsidR="00A76D42" w:rsidRPr="002E42F1">
        <w:rPr>
          <w:bCs/>
          <w:iCs/>
          <w:sz w:val="28"/>
          <w:szCs w:val="28"/>
        </w:rPr>
        <w:t>IUB d</w:t>
      </w:r>
      <w:r w:rsidR="00A266E2" w:rsidRPr="002E42F1">
        <w:rPr>
          <w:bCs/>
          <w:iCs/>
          <w:sz w:val="28"/>
          <w:szCs w:val="28"/>
        </w:rPr>
        <w:t>ati</w:t>
      </w:r>
    </w:p>
    <w:p w14:paraId="28E1EAAD" w14:textId="2948D59F" w:rsidR="004216A6" w:rsidRPr="002E42F1" w:rsidRDefault="004216A6" w:rsidP="006C282B">
      <w:pPr>
        <w:pStyle w:val="NoSpacing"/>
        <w:jc w:val="both"/>
        <w:rPr>
          <w:bCs/>
          <w:iCs/>
          <w:sz w:val="28"/>
          <w:szCs w:val="28"/>
        </w:rPr>
      </w:pPr>
    </w:p>
    <w:p w14:paraId="6A37F1C0" w14:textId="1D325039" w:rsidR="00B614CC" w:rsidRPr="002E42F1" w:rsidRDefault="00B614CC" w:rsidP="006C282B">
      <w:pPr>
        <w:pStyle w:val="NoSpacing"/>
        <w:jc w:val="both"/>
        <w:rPr>
          <w:bCs/>
          <w:iCs/>
          <w:sz w:val="28"/>
          <w:szCs w:val="28"/>
        </w:rPr>
      </w:pPr>
    </w:p>
    <w:p w14:paraId="2E3C4E8F" w14:textId="51410B31" w:rsidR="00B614CC" w:rsidRPr="002E42F1" w:rsidRDefault="00B614CC" w:rsidP="006C282B">
      <w:pPr>
        <w:pStyle w:val="NoSpacing"/>
        <w:jc w:val="both"/>
        <w:rPr>
          <w:bCs/>
          <w:iCs/>
          <w:sz w:val="28"/>
          <w:szCs w:val="28"/>
        </w:rPr>
      </w:pPr>
    </w:p>
    <w:p w14:paraId="475739DB" w14:textId="09153B85" w:rsidR="00B614CC" w:rsidRPr="002E42F1" w:rsidRDefault="00B614CC" w:rsidP="006C282B">
      <w:pPr>
        <w:pStyle w:val="NoSpacing"/>
        <w:jc w:val="both"/>
        <w:rPr>
          <w:bCs/>
          <w:iCs/>
          <w:sz w:val="28"/>
          <w:szCs w:val="28"/>
        </w:rPr>
      </w:pPr>
    </w:p>
    <w:p w14:paraId="0E990CE6" w14:textId="78224E3D" w:rsidR="00B614CC" w:rsidRPr="002E42F1" w:rsidRDefault="00B614CC" w:rsidP="006C282B">
      <w:pPr>
        <w:pStyle w:val="NoSpacing"/>
        <w:jc w:val="both"/>
        <w:rPr>
          <w:bCs/>
          <w:iCs/>
          <w:sz w:val="28"/>
          <w:szCs w:val="28"/>
        </w:rPr>
      </w:pPr>
    </w:p>
    <w:p w14:paraId="5720677B" w14:textId="41804311" w:rsidR="00B614CC" w:rsidRDefault="00B614CC" w:rsidP="006C282B">
      <w:pPr>
        <w:pStyle w:val="NoSpacing"/>
        <w:jc w:val="both"/>
        <w:rPr>
          <w:bCs/>
          <w:iCs/>
          <w:sz w:val="28"/>
          <w:szCs w:val="28"/>
        </w:rPr>
      </w:pPr>
    </w:p>
    <w:p w14:paraId="2E25FADF" w14:textId="77777777" w:rsidR="00F82CB9" w:rsidRDefault="00F82CB9" w:rsidP="006C282B">
      <w:pPr>
        <w:pStyle w:val="NoSpacing"/>
        <w:jc w:val="both"/>
        <w:rPr>
          <w:bCs/>
          <w:iCs/>
          <w:sz w:val="28"/>
          <w:szCs w:val="28"/>
        </w:rPr>
      </w:pPr>
    </w:p>
    <w:p w14:paraId="0216047F" w14:textId="77777777" w:rsidR="00F82CB9" w:rsidRPr="002E42F1" w:rsidRDefault="00F82CB9" w:rsidP="006C282B">
      <w:pPr>
        <w:pStyle w:val="NoSpacing"/>
        <w:jc w:val="both"/>
        <w:rPr>
          <w:bCs/>
          <w:iCs/>
          <w:sz w:val="28"/>
          <w:szCs w:val="28"/>
        </w:rPr>
      </w:pPr>
    </w:p>
    <w:p w14:paraId="7099AE1A" w14:textId="6AD994ED" w:rsidR="00B614CC" w:rsidRPr="002E42F1" w:rsidRDefault="00B614CC" w:rsidP="006C282B">
      <w:pPr>
        <w:pStyle w:val="NoSpacing"/>
        <w:jc w:val="both"/>
        <w:rPr>
          <w:bCs/>
          <w:iCs/>
          <w:sz w:val="28"/>
          <w:szCs w:val="28"/>
        </w:rPr>
      </w:pPr>
    </w:p>
    <w:p w14:paraId="38333545" w14:textId="77777777" w:rsidR="00B614CC" w:rsidRPr="002E42F1" w:rsidRDefault="00B614CC" w:rsidP="006C282B">
      <w:pPr>
        <w:pStyle w:val="NoSpacing"/>
        <w:jc w:val="both"/>
        <w:rPr>
          <w:bCs/>
          <w:iCs/>
          <w:sz w:val="28"/>
          <w:szCs w:val="28"/>
        </w:rPr>
      </w:pPr>
    </w:p>
    <w:p w14:paraId="3D62CA4B" w14:textId="64468344" w:rsidR="00736C48" w:rsidRPr="002E42F1" w:rsidRDefault="0057580F" w:rsidP="006C282B">
      <w:pPr>
        <w:pStyle w:val="NoSpacing"/>
        <w:jc w:val="right"/>
        <w:rPr>
          <w:sz w:val="28"/>
          <w:szCs w:val="28"/>
        </w:rPr>
      </w:pPr>
      <w:r w:rsidRPr="002E42F1">
        <w:rPr>
          <w:sz w:val="28"/>
          <w:szCs w:val="28"/>
        </w:rPr>
        <w:lastRenderedPageBreak/>
        <w:t>5</w:t>
      </w:r>
      <w:r w:rsidR="00736C48" w:rsidRPr="002E42F1">
        <w:rPr>
          <w:sz w:val="28"/>
          <w:szCs w:val="28"/>
        </w:rPr>
        <w:t>.</w:t>
      </w:r>
      <w:r w:rsidR="00776752" w:rsidRPr="002E42F1">
        <w:rPr>
          <w:sz w:val="28"/>
          <w:szCs w:val="28"/>
        </w:rPr>
        <w:t xml:space="preserve"> attēls</w:t>
      </w:r>
    </w:p>
    <w:p w14:paraId="5569F16B" w14:textId="369CCF95" w:rsidR="00416E89" w:rsidRPr="002E42F1" w:rsidRDefault="00736C48" w:rsidP="00CE348F">
      <w:pPr>
        <w:pStyle w:val="NoSpacing"/>
        <w:jc w:val="center"/>
        <w:rPr>
          <w:sz w:val="28"/>
          <w:szCs w:val="28"/>
        </w:rPr>
      </w:pPr>
      <w:r w:rsidRPr="002E42F1">
        <w:rPr>
          <w:sz w:val="28"/>
          <w:szCs w:val="28"/>
        </w:rPr>
        <w:t>ZPI</w:t>
      </w:r>
      <w:r w:rsidR="004B30A1" w:rsidRPr="002E42F1">
        <w:rPr>
          <w:sz w:val="28"/>
          <w:szCs w:val="28"/>
        </w:rPr>
        <w:t xml:space="preserve"> skaita</w:t>
      </w:r>
      <w:r w:rsidRPr="002E42F1">
        <w:rPr>
          <w:sz w:val="28"/>
          <w:szCs w:val="28"/>
        </w:rPr>
        <w:t xml:space="preserve"> dinamik</w:t>
      </w:r>
      <w:r w:rsidR="004B30A1" w:rsidRPr="002E42F1">
        <w:rPr>
          <w:sz w:val="28"/>
          <w:szCs w:val="28"/>
        </w:rPr>
        <w:t>a</w:t>
      </w:r>
      <w:r w:rsidRPr="002E42F1">
        <w:rPr>
          <w:sz w:val="28"/>
          <w:szCs w:val="28"/>
        </w:rPr>
        <w:t xml:space="preserve"> salīdzinājumā ar kopējo iepirkumu skaita dinamiku</w:t>
      </w:r>
    </w:p>
    <w:p w14:paraId="65C6B396" w14:textId="0BE44CB8" w:rsidR="00736C48" w:rsidRPr="002E42F1" w:rsidRDefault="00736C48" w:rsidP="00CE348F">
      <w:pPr>
        <w:pStyle w:val="NoSpacing"/>
        <w:jc w:val="center"/>
        <w:rPr>
          <w:sz w:val="28"/>
          <w:szCs w:val="28"/>
        </w:rPr>
      </w:pPr>
      <w:r w:rsidRPr="002E42F1">
        <w:rPr>
          <w:sz w:val="28"/>
          <w:szCs w:val="28"/>
        </w:rPr>
        <w:t xml:space="preserve">PIL ietvarā </w:t>
      </w:r>
      <w:r w:rsidR="004B30A1" w:rsidRPr="002E42F1">
        <w:rPr>
          <w:sz w:val="28"/>
          <w:szCs w:val="28"/>
        </w:rPr>
        <w:t>2010</w:t>
      </w:r>
      <w:r w:rsidR="00C16966" w:rsidRPr="002E42F1">
        <w:rPr>
          <w:sz w:val="28"/>
          <w:szCs w:val="28"/>
        </w:rPr>
        <w:t>.</w:t>
      </w:r>
      <w:r w:rsidR="007A2FD2" w:rsidRPr="002E42F1">
        <w:rPr>
          <w:sz w:val="28"/>
          <w:szCs w:val="28"/>
        </w:rPr>
        <w:t xml:space="preserve"> – </w:t>
      </w:r>
      <w:r w:rsidR="004B30A1" w:rsidRPr="002E42F1">
        <w:rPr>
          <w:sz w:val="28"/>
          <w:szCs w:val="28"/>
        </w:rPr>
        <w:t>2019.g</w:t>
      </w:r>
      <w:r w:rsidR="009D5774" w:rsidRPr="002E42F1">
        <w:rPr>
          <w:sz w:val="28"/>
          <w:szCs w:val="28"/>
        </w:rPr>
        <w:t>adā</w:t>
      </w:r>
      <w:r w:rsidR="004B30A1" w:rsidRPr="002E42F1">
        <w:rPr>
          <w:sz w:val="28"/>
          <w:szCs w:val="28"/>
        </w:rPr>
        <w:t xml:space="preserve"> (skaits un %)</w:t>
      </w:r>
    </w:p>
    <w:p w14:paraId="1D523350" w14:textId="77777777" w:rsidR="001733FA" w:rsidRPr="002E42F1" w:rsidRDefault="001733FA" w:rsidP="006C282B">
      <w:pPr>
        <w:pStyle w:val="NoSpacing"/>
        <w:jc w:val="both"/>
        <w:rPr>
          <w:sz w:val="28"/>
          <w:szCs w:val="28"/>
        </w:rPr>
      </w:pPr>
    </w:p>
    <w:p w14:paraId="410A9BCA" w14:textId="54915B55" w:rsidR="00807588" w:rsidRPr="002E42F1" w:rsidRDefault="00807588" w:rsidP="00AE018D">
      <w:pPr>
        <w:pStyle w:val="NoSpacing"/>
        <w:jc w:val="center"/>
        <w:rPr>
          <w:bCs/>
          <w:iCs/>
          <w:sz w:val="28"/>
          <w:szCs w:val="28"/>
        </w:rPr>
      </w:pPr>
      <w:r w:rsidRPr="002E42F1">
        <w:rPr>
          <w:noProof/>
          <w:sz w:val="28"/>
          <w:szCs w:val="28"/>
        </w:rPr>
        <w:drawing>
          <wp:inline distT="0" distB="0" distL="0" distR="0" wp14:anchorId="6A028B5F" wp14:editId="1193FEA7">
            <wp:extent cx="5760085" cy="3124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505B56" w14:textId="0D0A5EE0" w:rsidR="00736C48" w:rsidRPr="002E42F1" w:rsidRDefault="00736C48" w:rsidP="006C282B">
      <w:pPr>
        <w:pStyle w:val="NoSpacing"/>
        <w:jc w:val="both"/>
        <w:rPr>
          <w:bCs/>
          <w:iCs/>
          <w:sz w:val="28"/>
          <w:szCs w:val="28"/>
        </w:rPr>
      </w:pPr>
      <w:r w:rsidRPr="002E42F1">
        <w:rPr>
          <w:bCs/>
          <w:iCs/>
          <w:sz w:val="28"/>
          <w:szCs w:val="28"/>
        </w:rPr>
        <w:t xml:space="preserve">Avots: IUB </w:t>
      </w:r>
      <w:r w:rsidR="00A76D42" w:rsidRPr="002E42F1">
        <w:rPr>
          <w:bCs/>
          <w:iCs/>
          <w:sz w:val="28"/>
          <w:szCs w:val="28"/>
        </w:rPr>
        <w:t>d</w:t>
      </w:r>
      <w:r w:rsidRPr="002E42F1">
        <w:rPr>
          <w:bCs/>
          <w:iCs/>
          <w:sz w:val="28"/>
          <w:szCs w:val="28"/>
        </w:rPr>
        <w:t>ati</w:t>
      </w:r>
    </w:p>
    <w:p w14:paraId="61E67E55" w14:textId="77777777" w:rsidR="00416E89" w:rsidRPr="002E42F1" w:rsidRDefault="00416E89" w:rsidP="006C282B">
      <w:pPr>
        <w:pStyle w:val="NoSpacing"/>
        <w:jc w:val="both"/>
        <w:rPr>
          <w:bCs/>
          <w:iCs/>
          <w:sz w:val="28"/>
          <w:szCs w:val="28"/>
        </w:rPr>
      </w:pPr>
    </w:p>
    <w:p w14:paraId="25467058" w14:textId="59AA87BE" w:rsidR="00126171" w:rsidRPr="002E42F1" w:rsidRDefault="004728BD" w:rsidP="00CE348F">
      <w:pPr>
        <w:pStyle w:val="NoSpacing"/>
        <w:ind w:firstLine="720"/>
        <w:jc w:val="both"/>
        <w:rPr>
          <w:bCs/>
          <w:iCs/>
          <w:sz w:val="28"/>
          <w:szCs w:val="28"/>
        </w:rPr>
      </w:pPr>
      <w:r w:rsidRPr="002E42F1">
        <w:rPr>
          <w:bCs/>
          <w:iCs/>
          <w:sz w:val="28"/>
          <w:szCs w:val="28"/>
        </w:rPr>
        <w:t>Izvērtējot</w:t>
      </w:r>
      <w:r w:rsidR="004E5489" w:rsidRPr="002E42F1">
        <w:rPr>
          <w:bCs/>
          <w:iCs/>
          <w:sz w:val="28"/>
          <w:szCs w:val="28"/>
        </w:rPr>
        <w:t xml:space="preserve"> ZPI</w:t>
      </w:r>
      <w:r w:rsidRPr="002E42F1">
        <w:rPr>
          <w:bCs/>
          <w:iCs/>
          <w:sz w:val="28"/>
          <w:szCs w:val="28"/>
        </w:rPr>
        <w:t xml:space="preserve"> </w:t>
      </w:r>
      <w:r w:rsidR="007A2C66" w:rsidRPr="002E42F1">
        <w:rPr>
          <w:bCs/>
          <w:iCs/>
          <w:sz w:val="28"/>
          <w:szCs w:val="28"/>
        </w:rPr>
        <w:t>finansiālo</w:t>
      </w:r>
      <w:r w:rsidR="00BA2365" w:rsidRPr="002E42F1">
        <w:rPr>
          <w:bCs/>
          <w:iCs/>
          <w:sz w:val="28"/>
          <w:szCs w:val="28"/>
        </w:rPr>
        <w:t xml:space="preserve"> </w:t>
      </w:r>
      <w:r w:rsidRPr="002E42F1">
        <w:rPr>
          <w:bCs/>
          <w:iCs/>
          <w:sz w:val="28"/>
          <w:szCs w:val="28"/>
        </w:rPr>
        <w:t>īpatsvaru pēc iepirkumu veida</w:t>
      </w:r>
      <w:r w:rsidR="00E8491E" w:rsidRPr="002E42F1">
        <w:rPr>
          <w:bCs/>
          <w:iCs/>
          <w:sz w:val="28"/>
          <w:szCs w:val="28"/>
        </w:rPr>
        <w:t xml:space="preserve"> (preces, pakalpojumi, būvdarbi)</w:t>
      </w:r>
      <w:r w:rsidRPr="002E42F1">
        <w:rPr>
          <w:bCs/>
          <w:iCs/>
          <w:sz w:val="28"/>
          <w:szCs w:val="28"/>
        </w:rPr>
        <w:t>,</w:t>
      </w:r>
      <w:r w:rsidR="004E5489" w:rsidRPr="002E42F1">
        <w:rPr>
          <w:bCs/>
          <w:iCs/>
          <w:sz w:val="28"/>
          <w:szCs w:val="28"/>
        </w:rPr>
        <w:t xml:space="preserve"> iepirkumos, kas veikti Publisko iepirkumu likuma ietvarā,</w:t>
      </w:r>
      <w:r w:rsidR="001671F0" w:rsidRPr="002E42F1">
        <w:rPr>
          <w:bCs/>
          <w:iCs/>
          <w:sz w:val="28"/>
          <w:szCs w:val="28"/>
        </w:rPr>
        <w:t xml:space="preserve"> </w:t>
      </w:r>
      <w:r w:rsidR="00BD1583" w:rsidRPr="002E42F1">
        <w:rPr>
          <w:bCs/>
          <w:iCs/>
          <w:sz w:val="28"/>
          <w:szCs w:val="28"/>
        </w:rPr>
        <w:t>konstatējam</w:t>
      </w:r>
      <w:r w:rsidRPr="002E42F1">
        <w:rPr>
          <w:bCs/>
          <w:iCs/>
          <w:sz w:val="28"/>
          <w:szCs w:val="28"/>
        </w:rPr>
        <w:t xml:space="preserve">, ka lielāko īpatsvaru ZPI veido </w:t>
      </w:r>
      <w:r w:rsidR="00371E0E" w:rsidRPr="002E42F1">
        <w:rPr>
          <w:bCs/>
          <w:iCs/>
          <w:sz w:val="28"/>
          <w:szCs w:val="28"/>
        </w:rPr>
        <w:t>būvdarbu iepirkumi</w:t>
      </w:r>
      <w:r w:rsidR="00E8452C" w:rsidRPr="002E42F1">
        <w:rPr>
          <w:bCs/>
          <w:iCs/>
          <w:sz w:val="28"/>
          <w:szCs w:val="28"/>
        </w:rPr>
        <w:t>.</w:t>
      </w:r>
      <w:r w:rsidR="00113832" w:rsidRPr="002E42F1">
        <w:rPr>
          <w:bCs/>
          <w:iCs/>
          <w:sz w:val="28"/>
          <w:szCs w:val="28"/>
        </w:rPr>
        <w:t xml:space="preserve"> </w:t>
      </w:r>
      <w:r w:rsidR="00B505AE" w:rsidRPr="002E42F1">
        <w:rPr>
          <w:bCs/>
          <w:iCs/>
          <w:sz w:val="28"/>
          <w:szCs w:val="28"/>
        </w:rPr>
        <w:t>Ja iepirkumu</w:t>
      </w:r>
      <w:r w:rsidR="00917AB3" w:rsidRPr="002E42F1">
        <w:rPr>
          <w:bCs/>
          <w:iCs/>
          <w:sz w:val="28"/>
          <w:szCs w:val="28"/>
        </w:rPr>
        <w:t xml:space="preserve"> skaits</w:t>
      </w:r>
      <w:r w:rsidR="00B505AE" w:rsidRPr="002E42F1">
        <w:rPr>
          <w:bCs/>
          <w:iCs/>
          <w:sz w:val="28"/>
          <w:szCs w:val="28"/>
        </w:rPr>
        <w:t xml:space="preserve"> </w:t>
      </w:r>
      <w:r w:rsidR="004E5489" w:rsidRPr="002E42F1">
        <w:rPr>
          <w:bCs/>
          <w:iCs/>
          <w:sz w:val="28"/>
          <w:szCs w:val="28"/>
        </w:rPr>
        <w:t>ar norādi par ZPI piemērošanu</w:t>
      </w:r>
      <w:r w:rsidR="00B505AE" w:rsidRPr="002E42F1">
        <w:rPr>
          <w:bCs/>
          <w:iCs/>
          <w:sz w:val="28"/>
          <w:szCs w:val="28"/>
        </w:rPr>
        <w:t xml:space="preserve"> </w:t>
      </w:r>
      <w:r w:rsidR="000E1731" w:rsidRPr="002E42F1">
        <w:rPr>
          <w:bCs/>
          <w:iCs/>
          <w:sz w:val="28"/>
          <w:szCs w:val="28"/>
        </w:rPr>
        <w:t>būvdarbos</w:t>
      </w:r>
      <w:r w:rsidR="004E5489" w:rsidRPr="002E42F1">
        <w:rPr>
          <w:bCs/>
          <w:iCs/>
          <w:sz w:val="28"/>
          <w:szCs w:val="28"/>
        </w:rPr>
        <w:t xml:space="preserve"> ir bijis mazāks</w:t>
      </w:r>
      <w:r w:rsidR="00917AB3" w:rsidRPr="002E42F1">
        <w:rPr>
          <w:bCs/>
          <w:iCs/>
          <w:sz w:val="28"/>
          <w:szCs w:val="28"/>
        </w:rPr>
        <w:t xml:space="preserve"> (21%)</w:t>
      </w:r>
      <w:r w:rsidR="004E5489" w:rsidRPr="002E42F1">
        <w:rPr>
          <w:bCs/>
          <w:iCs/>
          <w:sz w:val="28"/>
          <w:szCs w:val="28"/>
        </w:rPr>
        <w:t>, tad finansiālā izteiksmē tas veido lielāko īpatsvaru</w:t>
      </w:r>
      <w:r w:rsidR="00917AB3" w:rsidRPr="002E42F1">
        <w:rPr>
          <w:bCs/>
          <w:iCs/>
          <w:sz w:val="28"/>
          <w:szCs w:val="28"/>
        </w:rPr>
        <w:t xml:space="preserve"> (53%)</w:t>
      </w:r>
      <w:r w:rsidR="004E5489" w:rsidRPr="002E42F1">
        <w:rPr>
          <w:bCs/>
          <w:iCs/>
          <w:sz w:val="28"/>
          <w:szCs w:val="28"/>
        </w:rPr>
        <w:t>.</w:t>
      </w:r>
      <w:r w:rsidR="000E1731" w:rsidRPr="002E42F1">
        <w:rPr>
          <w:bCs/>
          <w:iCs/>
          <w:sz w:val="28"/>
          <w:szCs w:val="28"/>
        </w:rPr>
        <w:t xml:space="preserve"> Skatīt </w:t>
      </w:r>
      <w:r w:rsidR="00CB69A6" w:rsidRPr="002E42F1">
        <w:rPr>
          <w:bCs/>
          <w:iCs/>
          <w:sz w:val="28"/>
          <w:szCs w:val="28"/>
        </w:rPr>
        <w:t>6</w:t>
      </w:r>
      <w:r w:rsidR="000E1731" w:rsidRPr="002E42F1">
        <w:rPr>
          <w:bCs/>
          <w:iCs/>
          <w:sz w:val="28"/>
          <w:szCs w:val="28"/>
        </w:rPr>
        <w:t>. attēlu.</w:t>
      </w:r>
    </w:p>
    <w:p w14:paraId="2AD1D701" w14:textId="77777777" w:rsidR="00233E3E" w:rsidRPr="002E42F1" w:rsidRDefault="00233E3E" w:rsidP="006C282B">
      <w:pPr>
        <w:pStyle w:val="NoSpacing"/>
        <w:jc w:val="both"/>
        <w:rPr>
          <w:bCs/>
          <w:iCs/>
          <w:sz w:val="28"/>
          <w:szCs w:val="28"/>
        </w:rPr>
      </w:pPr>
    </w:p>
    <w:p w14:paraId="588E169E" w14:textId="60656439" w:rsidR="00126171" w:rsidRPr="002E42F1" w:rsidRDefault="0057580F" w:rsidP="00CE348F">
      <w:pPr>
        <w:pStyle w:val="NoSpacing"/>
        <w:jc w:val="right"/>
        <w:rPr>
          <w:bCs/>
          <w:iCs/>
          <w:sz w:val="28"/>
          <w:szCs w:val="28"/>
        </w:rPr>
      </w:pPr>
      <w:r w:rsidRPr="002E42F1">
        <w:rPr>
          <w:bCs/>
          <w:iCs/>
          <w:sz w:val="28"/>
          <w:szCs w:val="28"/>
        </w:rPr>
        <w:t>6</w:t>
      </w:r>
      <w:r w:rsidR="00126171" w:rsidRPr="002E42F1">
        <w:rPr>
          <w:bCs/>
          <w:iCs/>
          <w:sz w:val="28"/>
          <w:szCs w:val="28"/>
        </w:rPr>
        <w:t>. attēls</w:t>
      </w:r>
    </w:p>
    <w:p w14:paraId="1B3A2030" w14:textId="11C846F2" w:rsidR="00126171" w:rsidRPr="002E42F1" w:rsidRDefault="008546FA" w:rsidP="00CE348F">
      <w:pPr>
        <w:pStyle w:val="NoSpacing"/>
        <w:jc w:val="center"/>
        <w:rPr>
          <w:bCs/>
          <w:iCs/>
          <w:sz w:val="28"/>
          <w:szCs w:val="28"/>
        </w:rPr>
      </w:pPr>
      <w:r w:rsidRPr="002E42F1">
        <w:rPr>
          <w:bCs/>
          <w:iCs/>
          <w:sz w:val="28"/>
          <w:szCs w:val="28"/>
        </w:rPr>
        <w:t>ZPI sadalījums pa iepirkumu veidiem 2019. gadā</w:t>
      </w:r>
    </w:p>
    <w:p w14:paraId="169A6CE6" w14:textId="1926EF70" w:rsidR="00126171" w:rsidRPr="002E42F1" w:rsidRDefault="00126171" w:rsidP="00AE018D">
      <w:pPr>
        <w:pStyle w:val="NoSpacing"/>
        <w:jc w:val="center"/>
        <w:rPr>
          <w:bCs/>
          <w:iCs/>
          <w:sz w:val="28"/>
          <w:szCs w:val="28"/>
        </w:rPr>
      </w:pPr>
      <w:r w:rsidRPr="002E42F1">
        <w:rPr>
          <w:noProof/>
          <w:sz w:val="28"/>
          <w:szCs w:val="28"/>
        </w:rPr>
        <w:drawing>
          <wp:inline distT="0" distB="0" distL="0" distR="0" wp14:anchorId="5CC0D517" wp14:editId="5034DDB9">
            <wp:extent cx="2819400" cy="25336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E42F1">
        <w:rPr>
          <w:noProof/>
          <w:sz w:val="28"/>
          <w:szCs w:val="28"/>
        </w:rPr>
        <w:drawing>
          <wp:inline distT="0" distB="0" distL="0" distR="0" wp14:anchorId="25521AC2" wp14:editId="6AD0099F">
            <wp:extent cx="2819400" cy="25241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F61287" w14:textId="77777777" w:rsidR="00126171" w:rsidRPr="002E42F1" w:rsidRDefault="00126171" w:rsidP="006C282B">
      <w:pPr>
        <w:pStyle w:val="NoSpacing"/>
        <w:jc w:val="both"/>
        <w:rPr>
          <w:bCs/>
          <w:iCs/>
          <w:sz w:val="28"/>
          <w:szCs w:val="28"/>
        </w:rPr>
      </w:pPr>
      <w:r w:rsidRPr="002E42F1">
        <w:rPr>
          <w:bCs/>
          <w:iCs/>
          <w:sz w:val="28"/>
          <w:szCs w:val="28"/>
        </w:rPr>
        <w:t>Avots: IUB dati</w:t>
      </w:r>
    </w:p>
    <w:p w14:paraId="7B2387CC" w14:textId="77777777" w:rsidR="00126171" w:rsidRPr="002E42F1" w:rsidRDefault="00126171" w:rsidP="006C282B">
      <w:pPr>
        <w:pStyle w:val="NoSpacing"/>
        <w:jc w:val="both"/>
        <w:rPr>
          <w:bCs/>
          <w:iCs/>
          <w:sz w:val="28"/>
          <w:szCs w:val="28"/>
        </w:rPr>
      </w:pPr>
    </w:p>
    <w:p w14:paraId="6F7A1268" w14:textId="1B407689" w:rsidR="00E8452C" w:rsidRPr="002E42F1" w:rsidRDefault="00B658DC" w:rsidP="00CE348F">
      <w:pPr>
        <w:pStyle w:val="NoSpacing"/>
        <w:ind w:firstLine="720"/>
        <w:jc w:val="both"/>
        <w:rPr>
          <w:bCs/>
          <w:iCs/>
          <w:sz w:val="28"/>
          <w:szCs w:val="28"/>
        </w:rPr>
      </w:pPr>
      <w:r w:rsidRPr="002E42F1">
        <w:rPr>
          <w:bCs/>
          <w:iCs/>
          <w:sz w:val="28"/>
          <w:szCs w:val="28"/>
        </w:rPr>
        <w:lastRenderedPageBreak/>
        <w:t>Pieaugoša tendence z</w:t>
      </w:r>
      <w:r w:rsidR="00917AB3" w:rsidRPr="002E42F1">
        <w:rPr>
          <w:bCs/>
          <w:iCs/>
          <w:sz w:val="28"/>
          <w:szCs w:val="28"/>
        </w:rPr>
        <w:t>aļā iepirkuma</w:t>
      </w:r>
      <w:r w:rsidR="00113832" w:rsidRPr="002E42F1">
        <w:rPr>
          <w:bCs/>
          <w:iCs/>
          <w:sz w:val="28"/>
          <w:szCs w:val="28"/>
        </w:rPr>
        <w:t xml:space="preserve"> arvien plašāk</w:t>
      </w:r>
      <w:r w:rsidRPr="002E42F1">
        <w:rPr>
          <w:bCs/>
          <w:iCs/>
          <w:sz w:val="28"/>
          <w:szCs w:val="28"/>
        </w:rPr>
        <w:t>ā</w:t>
      </w:r>
      <w:r w:rsidR="00113832" w:rsidRPr="002E42F1">
        <w:rPr>
          <w:bCs/>
          <w:iCs/>
          <w:sz w:val="28"/>
          <w:szCs w:val="28"/>
        </w:rPr>
        <w:t xml:space="preserve"> </w:t>
      </w:r>
      <w:r w:rsidRPr="002E42F1">
        <w:rPr>
          <w:bCs/>
          <w:iCs/>
          <w:sz w:val="28"/>
          <w:szCs w:val="28"/>
        </w:rPr>
        <w:t>pielietojumā</w:t>
      </w:r>
      <w:r w:rsidR="00113832" w:rsidRPr="002E42F1">
        <w:rPr>
          <w:bCs/>
          <w:iCs/>
          <w:sz w:val="28"/>
          <w:szCs w:val="28"/>
        </w:rPr>
        <w:t xml:space="preserve"> būvniecības sektorā</w:t>
      </w:r>
      <w:r w:rsidRPr="002E42F1">
        <w:rPr>
          <w:bCs/>
          <w:iCs/>
          <w:sz w:val="28"/>
          <w:szCs w:val="28"/>
        </w:rPr>
        <w:t xml:space="preserve"> vērojama kopš 2017. gada</w:t>
      </w:r>
      <w:r w:rsidR="00113832" w:rsidRPr="002E42F1">
        <w:rPr>
          <w:bCs/>
          <w:iCs/>
          <w:sz w:val="28"/>
          <w:szCs w:val="28"/>
        </w:rPr>
        <w:t>.</w:t>
      </w:r>
      <w:r w:rsidR="00FA688F" w:rsidRPr="002E42F1">
        <w:rPr>
          <w:bCs/>
          <w:iCs/>
          <w:sz w:val="28"/>
          <w:szCs w:val="28"/>
        </w:rPr>
        <w:t xml:space="preserve"> Iepirkumu, t.sk. arī ZPI salīdzinošais sadalījums pēc i</w:t>
      </w:r>
      <w:r w:rsidR="00F201CC" w:rsidRPr="002E42F1">
        <w:rPr>
          <w:bCs/>
          <w:iCs/>
          <w:sz w:val="28"/>
          <w:szCs w:val="28"/>
        </w:rPr>
        <w:t xml:space="preserve">epirkumu veida ir apskatāms </w:t>
      </w:r>
      <w:r w:rsidR="004400C4" w:rsidRPr="002E42F1">
        <w:rPr>
          <w:bCs/>
          <w:iCs/>
          <w:sz w:val="28"/>
          <w:szCs w:val="28"/>
        </w:rPr>
        <w:t>3</w:t>
      </w:r>
      <w:r w:rsidR="00F201CC" w:rsidRPr="002E42F1">
        <w:rPr>
          <w:bCs/>
          <w:iCs/>
          <w:sz w:val="28"/>
          <w:szCs w:val="28"/>
        </w:rPr>
        <w:t>. t</w:t>
      </w:r>
      <w:r w:rsidR="00FA688F" w:rsidRPr="002E42F1">
        <w:rPr>
          <w:bCs/>
          <w:iCs/>
          <w:sz w:val="28"/>
          <w:szCs w:val="28"/>
        </w:rPr>
        <w:t>abulā</w:t>
      </w:r>
      <w:r w:rsidRPr="002E42F1">
        <w:rPr>
          <w:bCs/>
          <w:iCs/>
          <w:sz w:val="28"/>
          <w:szCs w:val="28"/>
        </w:rPr>
        <w:t xml:space="preserve"> un </w:t>
      </w:r>
      <w:r w:rsidR="004400C4" w:rsidRPr="002E42F1">
        <w:rPr>
          <w:bCs/>
          <w:iCs/>
          <w:sz w:val="28"/>
          <w:szCs w:val="28"/>
        </w:rPr>
        <w:t>7</w:t>
      </w:r>
      <w:r w:rsidRPr="002E42F1">
        <w:rPr>
          <w:bCs/>
          <w:iCs/>
          <w:sz w:val="28"/>
          <w:szCs w:val="28"/>
        </w:rPr>
        <w:t>. attēlā</w:t>
      </w:r>
      <w:r w:rsidR="00FA688F" w:rsidRPr="002E42F1">
        <w:rPr>
          <w:bCs/>
          <w:iCs/>
          <w:sz w:val="28"/>
          <w:szCs w:val="28"/>
        </w:rPr>
        <w:t>.</w:t>
      </w:r>
    </w:p>
    <w:p w14:paraId="2E5575B1" w14:textId="77777777" w:rsidR="00B658DC" w:rsidRPr="002E42F1" w:rsidRDefault="00B658DC" w:rsidP="006C282B">
      <w:pPr>
        <w:pStyle w:val="NoSpacing"/>
        <w:jc w:val="both"/>
        <w:rPr>
          <w:bCs/>
          <w:iCs/>
          <w:sz w:val="28"/>
          <w:szCs w:val="28"/>
        </w:rPr>
      </w:pPr>
    </w:p>
    <w:p w14:paraId="03929949" w14:textId="18F61BAE" w:rsidR="00E8452C" w:rsidRPr="002E42F1" w:rsidRDefault="00E65FF2" w:rsidP="00CE348F">
      <w:pPr>
        <w:pStyle w:val="NoSpacing"/>
        <w:jc w:val="right"/>
        <w:rPr>
          <w:bCs/>
          <w:iCs/>
          <w:sz w:val="28"/>
          <w:szCs w:val="28"/>
        </w:rPr>
      </w:pPr>
      <w:r w:rsidRPr="002E42F1">
        <w:rPr>
          <w:bCs/>
          <w:iCs/>
          <w:sz w:val="28"/>
          <w:szCs w:val="28"/>
        </w:rPr>
        <w:t>3</w:t>
      </w:r>
      <w:r w:rsidR="00FA688F" w:rsidRPr="002E42F1">
        <w:rPr>
          <w:bCs/>
          <w:iCs/>
          <w:sz w:val="28"/>
          <w:szCs w:val="28"/>
        </w:rPr>
        <w:t>.</w:t>
      </w:r>
      <w:r w:rsidR="00AB10F2" w:rsidRPr="002E42F1">
        <w:rPr>
          <w:bCs/>
          <w:iCs/>
          <w:sz w:val="28"/>
          <w:szCs w:val="28"/>
        </w:rPr>
        <w:t xml:space="preserve"> tabula</w:t>
      </w:r>
    </w:p>
    <w:p w14:paraId="1D7D8048" w14:textId="6E9720BC" w:rsidR="008447C1" w:rsidRPr="002E42F1" w:rsidRDefault="004E5489" w:rsidP="00CE348F">
      <w:pPr>
        <w:pStyle w:val="NoSpacing"/>
        <w:jc w:val="center"/>
        <w:rPr>
          <w:bCs/>
          <w:iCs/>
          <w:sz w:val="28"/>
          <w:szCs w:val="28"/>
        </w:rPr>
      </w:pPr>
      <w:r w:rsidRPr="002E42F1">
        <w:rPr>
          <w:bCs/>
          <w:iCs/>
          <w:sz w:val="28"/>
          <w:szCs w:val="28"/>
        </w:rPr>
        <w:t>PIL</w:t>
      </w:r>
      <w:r w:rsidR="00B25941" w:rsidRPr="002E42F1">
        <w:rPr>
          <w:bCs/>
          <w:iCs/>
          <w:sz w:val="28"/>
          <w:szCs w:val="28"/>
        </w:rPr>
        <w:t xml:space="preserve"> ietvaros veiktās </w:t>
      </w:r>
      <w:r w:rsidR="008447C1" w:rsidRPr="002E42F1">
        <w:rPr>
          <w:bCs/>
          <w:iCs/>
          <w:sz w:val="28"/>
          <w:szCs w:val="28"/>
        </w:rPr>
        <w:t xml:space="preserve">iegādes </w:t>
      </w:r>
      <w:r w:rsidRPr="002E42F1">
        <w:rPr>
          <w:bCs/>
          <w:iCs/>
          <w:sz w:val="28"/>
          <w:szCs w:val="28"/>
        </w:rPr>
        <w:t>pēc iepirkumu veida</w:t>
      </w:r>
    </w:p>
    <w:p w14:paraId="2A0F4737" w14:textId="6C63C9E0" w:rsidR="00E8452C" w:rsidRPr="002E42F1" w:rsidRDefault="004D6660" w:rsidP="00CE348F">
      <w:pPr>
        <w:pStyle w:val="NoSpacing"/>
        <w:jc w:val="center"/>
        <w:rPr>
          <w:bCs/>
          <w:iCs/>
          <w:sz w:val="28"/>
          <w:szCs w:val="28"/>
        </w:rPr>
      </w:pPr>
      <w:r w:rsidRPr="002E42F1">
        <w:rPr>
          <w:bCs/>
          <w:iCs/>
          <w:sz w:val="28"/>
          <w:szCs w:val="28"/>
        </w:rPr>
        <w:t>2015</w:t>
      </w:r>
      <w:r w:rsidR="008447C1" w:rsidRPr="002E42F1">
        <w:rPr>
          <w:bCs/>
          <w:iCs/>
          <w:sz w:val="28"/>
          <w:szCs w:val="28"/>
        </w:rPr>
        <w:t>.</w:t>
      </w:r>
      <w:r w:rsidR="00B25941" w:rsidRPr="002E42F1">
        <w:rPr>
          <w:bCs/>
          <w:iCs/>
          <w:sz w:val="28"/>
          <w:szCs w:val="28"/>
        </w:rPr>
        <w:t xml:space="preserve"> – 2019.</w:t>
      </w:r>
      <w:r w:rsidRPr="002E42F1">
        <w:rPr>
          <w:bCs/>
          <w:iCs/>
          <w:sz w:val="28"/>
          <w:szCs w:val="28"/>
        </w:rPr>
        <w:t xml:space="preserve"> </w:t>
      </w:r>
      <w:r w:rsidR="008447C1" w:rsidRPr="002E42F1">
        <w:rPr>
          <w:bCs/>
          <w:iCs/>
          <w:sz w:val="28"/>
          <w:szCs w:val="28"/>
        </w:rPr>
        <w:t>gad</w:t>
      </w:r>
      <w:r w:rsidR="009D5774" w:rsidRPr="002E42F1">
        <w:rPr>
          <w:bCs/>
          <w:iCs/>
          <w:sz w:val="28"/>
          <w:szCs w:val="28"/>
        </w:rPr>
        <w:t>ā</w:t>
      </w:r>
      <w:r w:rsidR="008447C1" w:rsidRPr="002E42F1">
        <w:rPr>
          <w:bCs/>
          <w:iCs/>
          <w:sz w:val="28"/>
          <w:szCs w:val="28"/>
        </w:rPr>
        <w:t xml:space="preserve"> (milj. EUR bez PVN)</w:t>
      </w:r>
    </w:p>
    <w:p w14:paraId="66DFEAF3" w14:textId="77777777" w:rsidR="0000187A" w:rsidRPr="002E42F1" w:rsidRDefault="0000187A" w:rsidP="006C282B">
      <w:pPr>
        <w:pStyle w:val="NoSpacing"/>
        <w:jc w:val="both"/>
        <w:rPr>
          <w:bCs/>
          <w:iCs/>
          <w:sz w:val="28"/>
          <w:szCs w:val="28"/>
        </w:rPr>
      </w:pPr>
    </w:p>
    <w:tbl>
      <w:tblPr>
        <w:tblW w:w="9067" w:type="dxa"/>
        <w:jc w:val="center"/>
        <w:tblLayout w:type="fixed"/>
        <w:tblLook w:val="04A0" w:firstRow="1" w:lastRow="0" w:firstColumn="1" w:lastColumn="0" w:noHBand="0" w:noVBand="1"/>
      </w:tblPr>
      <w:tblGrid>
        <w:gridCol w:w="1838"/>
        <w:gridCol w:w="1788"/>
        <w:gridCol w:w="1814"/>
        <w:gridCol w:w="1813"/>
        <w:gridCol w:w="1814"/>
      </w:tblGrid>
      <w:tr w:rsidR="002E42F1" w:rsidRPr="002E42F1" w14:paraId="0C49F287" w14:textId="77777777" w:rsidTr="00CE348F">
        <w:trPr>
          <w:trHeight w:val="30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5B00F" w14:textId="77777777" w:rsidR="00B25941" w:rsidRPr="002E42F1" w:rsidRDefault="00B25941" w:rsidP="00CE348F">
            <w:pPr>
              <w:pStyle w:val="NoSpacing"/>
              <w:jc w:val="center"/>
            </w:pPr>
            <w:r w:rsidRPr="002E42F1">
              <w:t>Gads</w:t>
            </w:r>
          </w:p>
        </w:tc>
        <w:tc>
          <w:tcPr>
            <w:tcW w:w="72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8018F3" w14:textId="0ED940F8" w:rsidR="00B25941" w:rsidRPr="002E42F1" w:rsidRDefault="00B25941" w:rsidP="00CE348F">
            <w:pPr>
              <w:pStyle w:val="NoSpacing"/>
              <w:jc w:val="center"/>
            </w:pPr>
            <w:r w:rsidRPr="002E42F1">
              <w:t>Kopējā līgumcena (milj. EUR bez PVN)</w:t>
            </w:r>
          </w:p>
        </w:tc>
      </w:tr>
      <w:tr w:rsidR="002E42F1" w:rsidRPr="002E42F1" w14:paraId="551DD359" w14:textId="77777777" w:rsidTr="00CE348F">
        <w:trPr>
          <w:trHeight w:val="255"/>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BE9ED21" w14:textId="77777777" w:rsidR="00DC1A6E" w:rsidRPr="002E42F1" w:rsidRDefault="00DC1A6E" w:rsidP="00CE348F">
            <w:pPr>
              <w:pStyle w:val="NoSpacing"/>
              <w:jc w:val="center"/>
            </w:pPr>
          </w:p>
        </w:tc>
        <w:tc>
          <w:tcPr>
            <w:tcW w:w="1788" w:type="dxa"/>
            <w:tcBorders>
              <w:top w:val="nil"/>
              <w:left w:val="nil"/>
              <w:bottom w:val="single" w:sz="4" w:space="0" w:color="auto"/>
              <w:right w:val="single" w:sz="4" w:space="0" w:color="auto"/>
            </w:tcBorders>
            <w:shd w:val="clear" w:color="auto" w:fill="auto"/>
            <w:vAlign w:val="bottom"/>
            <w:hideMark/>
          </w:tcPr>
          <w:p w14:paraId="283AB46D" w14:textId="77777777" w:rsidR="00DC1A6E" w:rsidRPr="002E42F1" w:rsidRDefault="00DC1A6E" w:rsidP="00CE348F">
            <w:pPr>
              <w:pStyle w:val="NoSpacing"/>
              <w:jc w:val="center"/>
            </w:pPr>
            <w:r w:rsidRPr="002E42F1">
              <w:t>Būvdarbi</w:t>
            </w:r>
          </w:p>
        </w:tc>
        <w:tc>
          <w:tcPr>
            <w:tcW w:w="1814" w:type="dxa"/>
            <w:tcBorders>
              <w:top w:val="nil"/>
              <w:left w:val="nil"/>
              <w:bottom w:val="single" w:sz="4" w:space="0" w:color="auto"/>
              <w:right w:val="single" w:sz="4" w:space="0" w:color="auto"/>
            </w:tcBorders>
            <w:shd w:val="clear" w:color="auto" w:fill="auto"/>
            <w:vAlign w:val="bottom"/>
            <w:hideMark/>
          </w:tcPr>
          <w:p w14:paraId="6F287E3B" w14:textId="77777777" w:rsidR="00DC1A6E" w:rsidRPr="002E42F1" w:rsidRDefault="00DC1A6E" w:rsidP="00CE348F">
            <w:pPr>
              <w:pStyle w:val="NoSpacing"/>
              <w:jc w:val="center"/>
            </w:pPr>
            <w:r w:rsidRPr="002E42F1">
              <w:t>Piegāde</w:t>
            </w:r>
          </w:p>
        </w:tc>
        <w:tc>
          <w:tcPr>
            <w:tcW w:w="1813" w:type="dxa"/>
            <w:tcBorders>
              <w:top w:val="nil"/>
              <w:left w:val="nil"/>
              <w:bottom w:val="single" w:sz="4" w:space="0" w:color="auto"/>
              <w:right w:val="single" w:sz="4" w:space="0" w:color="auto"/>
            </w:tcBorders>
            <w:shd w:val="clear" w:color="auto" w:fill="auto"/>
            <w:vAlign w:val="bottom"/>
            <w:hideMark/>
          </w:tcPr>
          <w:p w14:paraId="7F7F85F4" w14:textId="77777777" w:rsidR="00DC1A6E" w:rsidRPr="002E42F1" w:rsidRDefault="00DC1A6E" w:rsidP="00CE348F">
            <w:pPr>
              <w:pStyle w:val="NoSpacing"/>
              <w:jc w:val="center"/>
            </w:pPr>
            <w:r w:rsidRPr="002E42F1">
              <w:t>Pakalpojumi</w:t>
            </w:r>
          </w:p>
        </w:tc>
        <w:tc>
          <w:tcPr>
            <w:tcW w:w="1814" w:type="dxa"/>
            <w:tcBorders>
              <w:top w:val="nil"/>
              <w:left w:val="nil"/>
              <w:bottom w:val="single" w:sz="4" w:space="0" w:color="auto"/>
              <w:right w:val="single" w:sz="4" w:space="0" w:color="auto"/>
            </w:tcBorders>
            <w:shd w:val="clear" w:color="auto" w:fill="auto"/>
            <w:vAlign w:val="bottom"/>
            <w:hideMark/>
          </w:tcPr>
          <w:p w14:paraId="5A42F0D4" w14:textId="77777777" w:rsidR="00DC1A6E" w:rsidRPr="002E42F1" w:rsidRDefault="00DC1A6E" w:rsidP="00CE348F">
            <w:pPr>
              <w:pStyle w:val="NoSpacing"/>
              <w:jc w:val="center"/>
            </w:pPr>
            <w:r w:rsidRPr="002E42F1">
              <w:t>Kopā</w:t>
            </w:r>
          </w:p>
        </w:tc>
      </w:tr>
      <w:tr w:rsidR="002E42F1" w:rsidRPr="002E42F1" w14:paraId="0BBE852E"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41F178" w14:textId="77777777" w:rsidR="00DC1A6E" w:rsidRPr="002E42F1" w:rsidRDefault="00DC1A6E" w:rsidP="00CE348F">
            <w:pPr>
              <w:pStyle w:val="NoSpacing"/>
              <w:jc w:val="center"/>
            </w:pPr>
            <w:r w:rsidRPr="002E42F1">
              <w:t>2015</w:t>
            </w:r>
          </w:p>
        </w:tc>
        <w:tc>
          <w:tcPr>
            <w:tcW w:w="1788" w:type="dxa"/>
            <w:tcBorders>
              <w:top w:val="nil"/>
              <w:left w:val="nil"/>
              <w:bottom w:val="single" w:sz="4" w:space="0" w:color="auto"/>
              <w:right w:val="single" w:sz="4" w:space="0" w:color="auto"/>
            </w:tcBorders>
            <w:shd w:val="clear" w:color="auto" w:fill="auto"/>
            <w:noWrap/>
            <w:vAlign w:val="bottom"/>
            <w:hideMark/>
          </w:tcPr>
          <w:p w14:paraId="20D97744" w14:textId="77777777" w:rsidR="00DC1A6E" w:rsidRPr="002E42F1" w:rsidRDefault="00DC1A6E" w:rsidP="00AE018D">
            <w:pPr>
              <w:pStyle w:val="NoSpacing"/>
              <w:jc w:val="right"/>
            </w:pPr>
            <w:r w:rsidRPr="002E42F1">
              <w:t>522</w:t>
            </w:r>
          </w:p>
        </w:tc>
        <w:tc>
          <w:tcPr>
            <w:tcW w:w="1814" w:type="dxa"/>
            <w:tcBorders>
              <w:top w:val="nil"/>
              <w:left w:val="nil"/>
              <w:bottom w:val="single" w:sz="4" w:space="0" w:color="auto"/>
              <w:right w:val="single" w:sz="4" w:space="0" w:color="auto"/>
            </w:tcBorders>
            <w:shd w:val="clear" w:color="auto" w:fill="auto"/>
            <w:noWrap/>
            <w:vAlign w:val="bottom"/>
            <w:hideMark/>
          </w:tcPr>
          <w:p w14:paraId="51C12A1E" w14:textId="77777777" w:rsidR="00DC1A6E" w:rsidRPr="002E42F1" w:rsidRDefault="00DC1A6E" w:rsidP="00AE018D">
            <w:pPr>
              <w:pStyle w:val="NoSpacing"/>
              <w:jc w:val="right"/>
            </w:pPr>
            <w:r w:rsidRPr="002E42F1">
              <w:t>638</w:t>
            </w:r>
          </w:p>
        </w:tc>
        <w:tc>
          <w:tcPr>
            <w:tcW w:w="1813" w:type="dxa"/>
            <w:tcBorders>
              <w:top w:val="nil"/>
              <w:left w:val="nil"/>
              <w:bottom w:val="single" w:sz="4" w:space="0" w:color="auto"/>
              <w:right w:val="single" w:sz="4" w:space="0" w:color="auto"/>
            </w:tcBorders>
            <w:shd w:val="clear" w:color="auto" w:fill="auto"/>
            <w:noWrap/>
            <w:vAlign w:val="bottom"/>
            <w:hideMark/>
          </w:tcPr>
          <w:p w14:paraId="7A79A67F" w14:textId="77777777" w:rsidR="00DC1A6E" w:rsidRPr="002E42F1" w:rsidRDefault="00DC1A6E" w:rsidP="00AE018D">
            <w:pPr>
              <w:pStyle w:val="NoSpacing"/>
              <w:jc w:val="right"/>
            </w:pPr>
            <w:r w:rsidRPr="002E42F1">
              <w:t>706</w:t>
            </w:r>
          </w:p>
        </w:tc>
        <w:tc>
          <w:tcPr>
            <w:tcW w:w="1814" w:type="dxa"/>
            <w:tcBorders>
              <w:top w:val="nil"/>
              <w:left w:val="nil"/>
              <w:bottom w:val="single" w:sz="4" w:space="0" w:color="auto"/>
              <w:right w:val="single" w:sz="4" w:space="0" w:color="auto"/>
            </w:tcBorders>
            <w:shd w:val="clear" w:color="auto" w:fill="auto"/>
            <w:noWrap/>
            <w:vAlign w:val="bottom"/>
            <w:hideMark/>
          </w:tcPr>
          <w:p w14:paraId="27F56208" w14:textId="77777777" w:rsidR="00DC1A6E" w:rsidRPr="002E42F1" w:rsidRDefault="00DC1A6E" w:rsidP="00AE018D">
            <w:pPr>
              <w:pStyle w:val="NoSpacing"/>
              <w:jc w:val="right"/>
            </w:pPr>
            <w:r w:rsidRPr="002E42F1">
              <w:t>1 866</w:t>
            </w:r>
          </w:p>
        </w:tc>
      </w:tr>
      <w:tr w:rsidR="002E42F1" w:rsidRPr="002E42F1" w14:paraId="29D73BDA"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07F900" w14:textId="77777777" w:rsidR="00DC1A6E" w:rsidRPr="002E42F1" w:rsidRDefault="00DC1A6E" w:rsidP="00CE348F">
            <w:pPr>
              <w:pStyle w:val="NoSpacing"/>
              <w:jc w:val="center"/>
            </w:pPr>
            <w:r w:rsidRPr="002E42F1">
              <w:t>2016</w:t>
            </w:r>
          </w:p>
        </w:tc>
        <w:tc>
          <w:tcPr>
            <w:tcW w:w="1788" w:type="dxa"/>
            <w:tcBorders>
              <w:top w:val="nil"/>
              <w:left w:val="nil"/>
              <w:bottom w:val="single" w:sz="4" w:space="0" w:color="auto"/>
              <w:right w:val="single" w:sz="4" w:space="0" w:color="auto"/>
            </w:tcBorders>
            <w:shd w:val="clear" w:color="auto" w:fill="auto"/>
            <w:noWrap/>
            <w:vAlign w:val="bottom"/>
            <w:hideMark/>
          </w:tcPr>
          <w:p w14:paraId="77E82CD2" w14:textId="77777777" w:rsidR="00DC1A6E" w:rsidRPr="002E42F1" w:rsidRDefault="00DC1A6E" w:rsidP="00AE018D">
            <w:pPr>
              <w:pStyle w:val="NoSpacing"/>
              <w:jc w:val="right"/>
            </w:pPr>
            <w:r w:rsidRPr="002E42F1">
              <w:t>713</w:t>
            </w:r>
          </w:p>
        </w:tc>
        <w:tc>
          <w:tcPr>
            <w:tcW w:w="1814" w:type="dxa"/>
            <w:tcBorders>
              <w:top w:val="nil"/>
              <w:left w:val="nil"/>
              <w:bottom w:val="single" w:sz="4" w:space="0" w:color="auto"/>
              <w:right w:val="single" w:sz="4" w:space="0" w:color="auto"/>
            </w:tcBorders>
            <w:shd w:val="clear" w:color="auto" w:fill="auto"/>
            <w:noWrap/>
            <w:vAlign w:val="bottom"/>
            <w:hideMark/>
          </w:tcPr>
          <w:p w14:paraId="210C5A7E" w14:textId="77777777" w:rsidR="00DC1A6E" w:rsidRPr="002E42F1" w:rsidRDefault="00DC1A6E" w:rsidP="00AE018D">
            <w:pPr>
              <w:pStyle w:val="NoSpacing"/>
              <w:jc w:val="right"/>
            </w:pPr>
            <w:r w:rsidRPr="002E42F1">
              <w:t>600</w:t>
            </w:r>
          </w:p>
        </w:tc>
        <w:tc>
          <w:tcPr>
            <w:tcW w:w="1813" w:type="dxa"/>
            <w:tcBorders>
              <w:top w:val="nil"/>
              <w:left w:val="nil"/>
              <w:bottom w:val="single" w:sz="4" w:space="0" w:color="auto"/>
              <w:right w:val="single" w:sz="4" w:space="0" w:color="auto"/>
            </w:tcBorders>
            <w:shd w:val="clear" w:color="auto" w:fill="auto"/>
            <w:noWrap/>
            <w:vAlign w:val="bottom"/>
            <w:hideMark/>
          </w:tcPr>
          <w:p w14:paraId="71F86452" w14:textId="77777777" w:rsidR="00DC1A6E" w:rsidRPr="002E42F1" w:rsidRDefault="00DC1A6E" w:rsidP="00AE018D">
            <w:pPr>
              <w:pStyle w:val="NoSpacing"/>
              <w:jc w:val="right"/>
            </w:pPr>
            <w:r w:rsidRPr="002E42F1">
              <w:t>563</w:t>
            </w:r>
          </w:p>
        </w:tc>
        <w:tc>
          <w:tcPr>
            <w:tcW w:w="1814" w:type="dxa"/>
            <w:tcBorders>
              <w:top w:val="nil"/>
              <w:left w:val="nil"/>
              <w:bottom w:val="single" w:sz="4" w:space="0" w:color="auto"/>
              <w:right w:val="single" w:sz="4" w:space="0" w:color="auto"/>
            </w:tcBorders>
            <w:shd w:val="clear" w:color="auto" w:fill="auto"/>
            <w:noWrap/>
            <w:vAlign w:val="bottom"/>
            <w:hideMark/>
          </w:tcPr>
          <w:p w14:paraId="612D81BE" w14:textId="77777777" w:rsidR="00DC1A6E" w:rsidRPr="002E42F1" w:rsidRDefault="00DC1A6E" w:rsidP="00AE018D">
            <w:pPr>
              <w:pStyle w:val="NoSpacing"/>
              <w:jc w:val="right"/>
            </w:pPr>
            <w:r w:rsidRPr="002E42F1">
              <w:t>1 876</w:t>
            </w:r>
          </w:p>
        </w:tc>
      </w:tr>
      <w:tr w:rsidR="002E42F1" w:rsidRPr="002E42F1" w14:paraId="013C99B2"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1FEE44" w14:textId="77777777" w:rsidR="00DC1A6E" w:rsidRPr="002E42F1" w:rsidRDefault="00DC1A6E" w:rsidP="00CE348F">
            <w:pPr>
              <w:pStyle w:val="NoSpacing"/>
              <w:jc w:val="center"/>
            </w:pPr>
            <w:r w:rsidRPr="002E42F1">
              <w:t>2017</w:t>
            </w:r>
          </w:p>
        </w:tc>
        <w:tc>
          <w:tcPr>
            <w:tcW w:w="1788" w:type="dxa"/>
            <w:tcBorders>
              <w:top w:val="nil"/>
              <w:left w:val="nil"/>
              <w:bottom w:val="single" w:sz="4" w:space="0" w:color="auto"/>
              <w:right w:val="single" w:sz="4" w:space="0" w:color="auto"/>
            </w:tcBorders>
            <w:shd w:val="clear" w:color="auto" w:fill="auto"/>
            <w:noWrap/>
            <w:vAlign w:val="bottom"/>
            <w:hideMark/>
          </w:tcPr>
          <w:p w14:paraId="010478E7" w14:textId="77777777" w:rsidR="00DC1A6E" w:rsidRPr="002E42F1" w:rsidRDefault="00DC1A6E" w:rsidP="00AE018D">
            <w:pPr>
              <w:pStyle w:val="NoSpacing"/>
              <w:jc w:val="right"/>
            </w:pPr>
            <w:r w:rsidRPr="002E42F1">
              <w:t>797</w:t>
            </w:r>
          </w:p>
        </w:tc>
        <w:tc>
          <w:tcPr>
            <w:tcW w:w="1814" w:type="dxa"/>
            <w:tcBorders>
              <w:top w:val="nil"/>
              <w:left w:val="nil"/>
              <w:bottom w:val="single" w:sz="4" w:space="0" w:color="auto"/>
              <w:right w:val="single" w:sz="4" w:space="0" w:color="auto"/>
            </w:tcBorders>
            <w:shd w:val="clear" w:color="auto" w:fill="auto"/>
            <w:noWrap/>
            <w:vAlign w:val="bottom"/>
            <w:hideMark/>
          </w:tcPr>
          <w:p w14:paraId="239EF35C" w14:textId="77777777" w:rsidR="00DC1A6E" w:rsidRPr="002E42F1" w:rsidRDefault="00DC1A6E" w:rsidP="00AE018D">
            <w:pPr>
              <w:pStyle w:val="NoSpacing"/>
              <w:jc w:val="right"/>
            </w:pPr>
            <w:r w:rsidRPr="002E42F1">
              <w:t>584</w:t>
            </w:r>
          </w:p>
        </w:tc>
        <w:tc>
          <w:tcPr>
            <w:tcW w:w="1813" w:type="dxa"/>
            <w:tcBorders>
              <w:top w:val="nil"/>
              <w:left w:val="nil"/>
              <w:bottom w:val="single" w:sz="4" w:space="0" w:color="auto"/>
              <w:right w:val="single" w:sz="4" w:space="0" w:color="auto"/>
            </w:tcBorders>
            <w:shd w:val="clear" w:color="auto" w:fill="auto"/>
            <w:noWrap/>
            <w:vAlign w:val="bottom"/>
            <w:hideMark/>
          </w:tcPr>
          <w:p w14:paraId="23EAE82B" w14:textId="77777777" w:rsidR="00DC1A6E" w:rsidRPr="002E42F1" w:rsidRDefault="00DC1A6E" w:rsidP="00AE018D">
            <w:pPr>
              <w:pStyle w:val="NoSpacing"/>
              <w:jc w:val="right"/>
            </w:pPr>
            <w:r w:rsidRPr="002E42F1">
              <w:t>918</w:t>
            </w:r>
          </w:p>
        </w:tc>
        <w:tc>
          <w:tcPr>
            <w:tcW w:w="1814" w:type="dxa"/>
            <w:tcBorders>
              <w:top w:val="nil"/>
              <w:left w:val="nil"/>
              <w:bottom w:val="single" w:sz="4" w:space="0" w:color="auto"/>
              <w:right w:val="single" w:sz="4" w:space="0" w:color="auto"/>
            </w:tcBorders>
            <w:shd w:val="clear" w:color="auto" w:fill="auto"/>
            <w:noWrap/>
            <w:vAlign w:val="bottom"/>
            <w:hideMark/>
          </w:tcPr>
          <w:p w14:paraId="05D96D23" w14:textId="77777777" w:rsidR="00DC1A6E" w:rsidRPr="002E42F1" w:rsidRDefault="00DC1A6E" w:rsidP="00AE018D">
            <w:pPr>
              <w:pStyle w:val="NoSpacing"/>
              <w:jc w:val="right"/>
            </w:pPr>
            <w:r w:rsidRPr="002E42F1">
              <w:t>2 298</w:t>
            </w:r>
          </w:p>
        </w:tc>
      </w:tr>
      <w:tr w:rsidR="002E42F1" w:rsidRPr="002E42F1" w14:paraId="1ABAC50C"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E0DF74" w14:textId="77777777" w:rsidR="00DC1A6E" w:rsidRPr="002E42F1" w:rsidRDefault="00DC1A6E" w:rsidP="00CE348F">
            <w:pPr>
              <w:pStyle w:val="NoSpacing"/>
              <w:jc w:val="center"/>
            </w:pPr>
            <w:r w:rsidRPr="002E42F1">
              <w:t>2018</w:t>
            </w:r>
          </w:p>
        </w:tc>
        <w:tc>
          <w:tcPr>
            <w:tcW w:w="1788" w:type="dxa"/>
            <w:tcBorders>
              <w:top w:val="nil"/>
              <w:left w:val="nil"/>
              <w:bottom w:val="single" w:sz="4" w:space="0" w:color="auto"/>
              <w:right w:val="single" w:sz="4" w:space="0" w:color="auto"/>
            </w:tcBorders>
            <w:shd w:val="clear" w:color="auto" w:fill="auto"/>
            <w:noWrap/>
            <w:vAlign w:val="bottom"/>
            <w:hideMark/>
          </w:tcPr>
          <w:p w14:paraId="29E90D31" w14:textId="77777777" w:rsidR="00DC1A6E" w:rsidRPr="002E42F1" w:rsidRDefault="00DC1A6E" w:rsidP="00AE018D">
            <w:pPr>
              <w:pStyle w:val="NoSpacing"/>
              <w:jc w:val="right"/>
            </w:pPr>
            <w:r w:rsidRPr="002E42F1">
              <w:t>1 106</w:t>
            </w:r>
          </w:p>
        </w:tc>
        <w:tc>
          <w:tcPr>
            <w:tcW w:w="1814" w:type="dxa"/>
            <w:tcBorders>
              <w:top w:val="nil"/>
              <w:left w:val="nil"/>
              <w:bottom w:val="single" w:sz="4" w:space="0" w:color="auto"/>
              <w:right w:val="single" w:sz="4" w:space="0" w:color="auto"/>
            </w:tcBorders>
            <w:shd w:val="clear" w:color="auto" w:fill="auto"/>
            <w:noWrap/>
            <w:vAlign w:val="bottom"/>
            <w:hideMark/>
          </w:tcPr>
          <w:p w14:paraId="6CABE64B" w14:textId="77777777" w:rsidR="00DC1A6E" w:rsidRPr="002E42F1" w:rsidRDefault="00DC1A6E" w:rsidP="00AE018D">
            <w:pPr>
              <w:pStyle w:val="NoSpacing"/>
              <w:jc w:val="right"/>
            </w:pPr>
            <w:r w:rsidRPr="002E42F1">
              <w:t>680</w:t>
            </w:r>
          </w:p>
        </w:tc>
        <w:tc>
          <w:tcPr>
            <w:tcW w:w="1813" w:type="dxa"/>
            <w:tcBorders>
              <w:top w:val="nil"/>
              <w:left w:val="nil"/>
              <w:bottom w:val="single" w:sz="4" w:space="0" w:color="auto"/>
              <w:right w:val="single" w:sz="4" w:space="0" w:color="auto"/>
            </w:tcBorders>
            <w:shd w:val="clear" w:color="auto" w:fill="auto"/>
            <w:noWrap/>
            <w:vAlign w:val="bottom"/>
            <w:hideMark/>
          </w:tcPr>
          <w:p w14:paraId="19AEAEC1" w14:textId="77777777" w:rsidR="00DC1A6E" w:rsidRPr="002E42F1" w:rsidRDefault="00DC1A6E" w:rsidP="00AE018D">
            <w:pPr>
              <w:pStyle w:val="NoSpacing"/>
              <w:jc w:val="right"/>
            </w:pPr>
            <w:r w:rsidRPr="002E42F1">
              <w:t>1 191</w:t>
            </w:r>
          </w:p>
        </w:tc>
        <w:tc>
          <w:tcPr>
            <w:tcW w:w="1814" w:type="dxa"/>
            <w:tcBorders>
              <w:top w:val="nil"/>
              <w:left w:val="nil"/>
              <w:bottom w:val="single" w:sz="4" w:space="0" w:color="auto"/>
              <w:right w:val="single" w:sz="4" w:space="0" w:color="auto"/>
            </w:tcBorders>
            <w:shd w:val="clear" w:color="auto" w:fill="auto"/>
            <w:noWrap/>
            <w:vAlign w:val="bottom"/>
            <w:hideMark/>
          </w:tcPr>
          <w:p w14:paraId="5D72DDFB" w14:textId="77777777" w:rsidR="00DC1A6E" w:rsidRPr="002E42F1" w:rsidRDefault="00DC1A6E" w:rsidP="00AE018D">
            <w:pPr>
              <w:pStyle w:val="NoSpacing"/>
              <w:jc w:val="right"/>
            </w:pPr>
            <w:r w:rsidRPr="002E42F1">
              <w:t>2 977</w:t>
            </w:r>
          </w:p>
        </w:tc>
      </w:tr>
      <w:tr w:rsidR="002E42F1" w:rsidRPr="002E42F1" w14:paraId="33E75D12" w14:textId="77777777" w:rsidTr="00CE348F">
        <w:trPr>
          <w:trHeight w:val="255"/>
          <w:jc w:val="center"/>
        </w:trPr>
        <w:tc>
          <w:tcPr>
            <w:tcW w:w="183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0A260F31" w14:textId="77777777" w:rsidR="00DC1A6E" w:rsidRPr="002E42F1" w:rsidRDefault="00DC1A6E" w:rsidP="00CE348F">
            <w:pPr>
              <w:pStyle w:val="NoSpacing"/>
              <w:jc w:val="center"/>
            </w:pPr>
            <w:r w:rsidRPr="002E42F1">
              <w:t>2019</w:t>
            </w:r>
          </w:p>
        </w:tc>
        <w:tc>
          <w:tcPr>
            <w:tcW w:w="1788" w:type="dxa"/>
            <w:tcBorders>
              <w:top w:val="single" w:sz="4" w:space="0" w:color="auto"/>
              <w:left w:val="nil"/>
              <w:bottom w:val="double" w:sz="4" w:space="0" w:color="auto"/>
              <w:right w:val="single" w:sz="4" w:space="0" w:color="auto"/>
            </w:tcBorders>
            <w:shd w:val="clear" w:color="auto" w:fill="auto"/>
            <w:noWrap/>
            <w:vAlign w:val="bottom"/>
            <w:hideMark/>
          </w:tcPr>
          <w:p w14:paraId="71217642" w14:textId="77777777" w:rsidR="00DC1A6E" w:rsidRPr="002E42F1" w:rsidRDefault="00DC1A6E" w:rsidP="00AE018D">
            <w:pPr>
              <w:pStyle w:val="NoSpacing"/>
              <w:jc w:val="right"/>
            </w:pPr>
            <w:r w:rsidRPr="002E42F1">
              <w:t>1 182</w:t>
            </w:r>
          </w:p>
        </w:tc>
        <w:tc>
          <w:tcPr>
            <w:tcW w:w="1814" w:type="dxa"/>
            <w:tcBorders>
              <w:top w:val="single" w:sz="4" w:space="0" w:color="auto"/>
              <w:left w:val="nil"/>
              <w:bottom w:val="double" w:sz="4" w:space="0" w:color="auto"/>
              <w:right w:val="single" w:sz="4" w:space="0" w:color="auto"/>
            </w:tcBorders>
            <w:shd w:val="clear" w:color="auto" w:fill="auto"/>
            <w:noWrap/>
            <w:vAlign w:val="bottom"/>
            <w:hideMark/>
          </w:tcPr>
          <w:p w14:paraId="2BC2A94E" w14:textId="77777777" w:rsidR="00DC1A6E" w:rsidRPr="002E42F1" w:rsidRDefault="00DC1A6E" w:rsidP="00AE018D">
            <w:pPr>
              <w:pStyle w:val="NoSpacing"/>
              <w:jc w:val="right"/>
            </w:pPr>
            <w:r w:rsidRPr="002E42F1">
              <w:t>871</w:t>
            </w:r>
          </w:p>
        </w:tc>
        <w:tc>
          <w:tcPr>
            <w:tcW w:w="1813" w:type="dxa"/>
            <w:tcBorders>
              <w:top w:val="single" w:sz="4" w:space="0" w:color="auto"/>
              <w:left w:val="nil"/>
              <w:bottom w:val="double" w:sz="4" w:space="0" w:color="auto"/>
              <w:right w:val="single" w:sz="4" w:space="0" w:color="auto"/>
            </w:tcBorders>
            <w:shd w:val="clear" w:color="auto" w:fill="auto"/>
            <w:noWrap/>
            <w:vAlign w:val="bottom"/>
            <w:hideMark/>
          </w:tcPr>
          <w:p w14:paraId="65E5DB64" w14:textId="77777777" w:rsidR="00DC1A6E" w:rsidRPr="002E42F1" w:rsidRDefault="00DC1A6E" w:rsidP="00AE018D">
            <w:pPr>
              <w:pStyle w:val="NoSpacing"/>
              <w:jc w:val="right"/>
            </w:pPr>
            <w:r w:rsidRPr="002E42F1">
              <w:t>933</w:t>
            </w:r>
          </w:p>
        </w:tc>
        <w:tc>
          <w:tcPr>
            <w:tcW w:w="1814" w:type="dxa"/>
            <w:tcBorders>
              <w:top w:val="single" w:sz="4" w:space="0" w:color="auto"/>
              <w:left w:val="nil"/>
              <w:bottom w:val="double" w:sz="4" w:space="0" w:color="auto"/>
              <w:right w:val="single" w:sz="4" w:space="0" w:color="auto"/>
            </w:tcBorders>
            <w:shd w:val="clear" w:color="auto" w:fill="auto"/>
            <w:noWrap/>
            <w:vAlign w:val="bottom"/>
            <w:hideMark/>
          </w:tcPr>
          <w:p w14:paraId="3E1E8529" w14:textId="77777777" w:rsidR="00DC1A6E" w:rsidRPr="002E42F1" w:rsidRDefault="00DC1A6E" w:rsidP="00AE018D">
            <w:pPr>
              <w:pStyle w:val="NoSpacing"/>
              <w:jc w:val="right"/>
            </w:pPr>
            <w:r w:rsidRPr="002E42F1">
              <w:t>2 986</w:t>
            </w:r>
          </w:p>
        </w:tc>
      </w:tr>
      <w:tr w:rsidR="002E42F1" w:rsidRPr="002E42F1" w14:paraId="63006E5D" w14:textId="77777777" w:rsidTr="00CE348F">
        <w:trPr>
          <w:trHeight w:val="300"/>
          <w:jc w:val="center"/>
        </w:trPr>
        <w:tc>
          <w:tcPr>
            <w:tcW w:w="1838" w:type="dxa"/>
            <w:vMerge w:val="restart"/>
            <w:tcBorders>
              <w:top w:val="double" w:sz="4" w:space="0" w:color="auto"/>
              <w:left w:val="single" w:sz="4" w:space="0" w:color="auto"/>
              <w:right w:val="single" w:sz="4" w:space="0" w:color="auto"/>
            </w:tcBorders>
            <w:shd w:val="clear" w:color="auto" w:fill="auto"/>
            <w:vAlign w:val="center"/>
            <w:hideMark/>
          </w:tcPr>
          <w:p w14:paraId="4DEA59F3" w14:textId="77777777" w:rsidR="00B25941" w:rsidRPr="002E42F1" w:rsidRDefault="00B25941" w:rsidP="00CE348F">
            <w:pPr>
              <w:pStyle w:val="NoSpacing"/>
              <w:jc w:val="center"/>
            </w:pPr>
            <w:r w:rsidRPr="002E42F1">
              <w:t>Gads</w:t>
            </w:r>
          </w:p>
        </w:tc>
        <w:tc>
          <w:tcPr>
            <w:tcW w:w="7229" w:type="dxa"/>
            <w:gridSpan w:val="4"/>
            <w:tcBorders>
              <w:top w:val="double" w:sz="4" w:space="0" w:color="auto"/>
              <w:left w:val="nil"/>
              <w:bottom w:val="single" w:sz="4" w:space="0" w:color="auto"/>
              <w:right w:val="single" w:sz="4" w:space="0" w:color="auto"/>
            </w:tcBorders>
            <w:shd w:val="clear" w:color="auto" w:fill="auto"/>
            <w:noWrap/>
            <w:vAlign w:val="bottom"/>
            <w:hideMark/>
          </w:tcPr>
          <w:p w14:paraId="32899406" w14:textId="77777777" w:rsidR="00B25941" w:rsidRPr="002E42F1" w:rsidRDefault="00B25941" w:rsidP="00CE348F">
            <w:pPr>
              <w:pStyle w:val="NoSpacing"/>
              <w:jc w:val="center"/>
            </w:pPr>
            <w:r w:rsidRPr="002E42F1">
              <w:t>ZPI kopējā līgumcena (milj. EUR bez PVN)</w:t>
            </w:r>
          </w:p>
        </w:tc>
      </w:tr>
      <w:tr w:rsidR="002E42F1" w:rsidRPr="002E42F1" w14:paraId="6255CFD6" w14:textId="77777777" w:rsidTr="00CE348F">
        <w:trPr>
          <w:trHeight w:val="255"/>
          <w:jc w:val="center"/>
        </w:trPr>
        <w:tc>
          <w:tcPr>
            <w:tcW w:w="1838" w:type="dxa"/>
            <w:vMerge/>
            <w:tcBorders>
              <w:left w:val="single" w:sz="4" w:space="0" w:color="auto"/>
              <w:bottom w:val="single" w:sz="4" w:space="0" w:color="auto"/>
              <w:right w:val="single" w:sz="4" w:space="0" w:color="auto"/>
            </w:tcBorders>
            <w:vAlign w:val="center"/>
            <w:hideMark/>
          </w:tcPr>
          <w:p w14:paraId="2296CADE" w14:textId="77777777" w:rsidR="00B25941" w:rsidRPr="002E42F1" w:rsidRDefault="00B25941" w:rsidP="00CE348F">
            <w:pPr>
              <w:pStyle w:val="NoSpacing"/>
              <w:jc w:val="center"/>
            </w:pPr>
          </w:p>
        </w:tc>
        <w:tc>
          <w:tcPr>
            <w:tcW w:w="1788" w:type="dxa"/>
            <w:tcBorders>
              <w:top w:val="nil"/>
              <w:left w:val="nil"/>
              <w:bottom w:val="single" w:sz="4" w:space="0" w:color="auto"/>
              <w:right w:val="single" w:sz="4" w:space="0" w:color="auto"/>
            </w:tcBorders>
            <w:shd w:val="clear" w:color="auto" w:fill="auto"/>
            <w:vAlign w:val="bottom"/>
            <w:hideMark/>
          </w:tcPr>
          <w:p w14:paraId="0DF15B67" w14:textId="77777777" w:rsidR="00B25941" w:rsidRPr="002E42F1" w:rsidRDefault="00B25941" w:rsidP="00CE348F">
            <w:pPr>
              <w:pStyle w:val="NoSpacing"/>
              <w:jc w:val="center"/>
            </w:pPr>
            <w:r w:rsidRPr="002E42F1">
              <w:t>Būvdarbi</w:t>
            </w:r>
          </w:p>
        </w:tc>
        <w:tc>
          <w:tcPr>
            <w:tcW w:w="1814" w:type="dxa"/>
            <w:tcBorders>
              <w:top w:val="nil"/>
              <w:left w:val="nil"/>
              <w:bottom w:val="single" w:sz="4" w:space="0" w:color="auto"/>
              <w:right w:val="single" w:sz="4" w:space="0" w:color="auto"/>
            </w:tcBorders>
            <w:shd w:val="clear" w:color="auto" w:fill="auto"/>
            <w:vAlign w:val="bottom"/>
            <w:hideMark/>
          </w:tcPr>
          <w:p w14:paraId="7F4C2D18" w14:textId="77777777" w:rsidR="00B25941" w:rsidRPr="002E42F1" w:rsidRDefault="00B25941" w:rsidP="00CE348F">
            <w:pPr>
              <w:pStyle w:val="NoSpacing"/>
              <w:jc w:val="center"/>
            </w:pPr>
            <w:r w:rsidRPr="002E42F1">
              <w:t>Piegāde</w:t>
            </w:r>
          </w:p>
        </w:tc>
        <w:tc>
          <w:tcPr>
            <w:tcW w:w="1813" w:type="dxa"/>
            <w:tcBorders>
              <w:top w:val="nil"/>
              <w:left w:val="nil"/>
              <w:bottom w:val="single" w:sz="4" w:space="0" w:color="auto"/>
              <w:right w:val="single" w:sz="4" w:space="0" w:color="auto"/>
            </w:tcBorders>
            <w:shd w:val="clear" w:color="auto" w:fill="auto"/>
            <w:vAlign w:val="bottom"/>
            <w:hideMark/>
          </w:tcPr>
          <w:p w14:paraId="286AF824" w14:textId="77777777" w:rsidR="00B25941" w:rsidRPr="002E42F1" w:rsidRDefault="00B25941" w:rsidP="00CE348F">
            <w:pPr>
              <w:pStyle w:val="NoSpacing"/>
              <w:jc w:val="center"/>
            </w:pPr>
            <w:r w:rsidRPr="002E42F1">
              <w:t>Pakalpojumi</w:t>
            </w:r>
          </w:p>
        </w:tc>
        <w:tc>
          <w:tcPr>
            <w:tcW w:w="1814" w:type="dxa"/>
            <w:tcBorders>
              <w:top w:val="nil"/>
              <w:left w:val="nil"/>
              <w:bottom w:val="single" w:sz="4" w:space="0" w:color="auto"/>
              <w:right w:val="single" w:sz="4" w:space="0" w:color="auto"/>
            </w:tcBorders>
            <w:shd w:val="clear" w:color="auto" w:fill="auto"/>
            <w:vAlign w:val="bottom"/>
            <w:hideMark/>
          </w:tcPr>
          <w:p w14:paraId="2ABE51D3" w14:textId="77777777" w:rsidR="00B25941" w:rsidRPr="002E42F1" w:rsidRDefault="00B25941" w:rsidP="00CE348F">
            <w:pPr>
              <w:pStyle w:val="NoSpacing"/>
              <w:jc w:val="center"/>
            </w:pPr>
            <w:r w:rsidRPr="002E42F1">
              <w:t>Kopā</w:t>
            </w:r>
          </w:p>
        </w:tc>
      </w:tr>
      <w:tr w:rsidR="002E42F1" w:rsidRPr="002E42F1" w14:paraId="40B5E4EA"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1329D3" w14:textId="77777777" w:rsidR="00DC1A6E" w:rsidRPr="002E42F1" w:rsidRDefault="00DC1A6E" w:rsidP="00CE348F">
            <w:pPr>
              <w:pStyle w:val="NoSpacing"/>
              <w:jc w:val="center"/>
            </w:pPr>
            <w:r w:rsidRPr="002E42F1">
              <w:t>2015</w:t>
            </w:r>
          </w:p>
        </w:tc>
        <w:tc>
          <w:tcPr>
            <w:tcW w:w="1788" w:type="dxa"/>
            <w:tcBorders>
              <w:top w:val="nil"/>
              <w:left w:val="nil"/>
              <w:bottom w:val="single" w:sz="4" w:space="0" w:color="auto"/>
              <w:right w:val="single" w:sz="4" w:space="0" w:color="auto"/>
            </w:tcBorders>
            <w:shd w:val="clear" w:color="auto" w:fill="auto"/>
            <w:noWrap/>
            <w:vAlign w:val="bottom"/>
            <w:hideMark/>
          </w:tcPr>
          <w:p w14:paraId="27383867" w14:textId="77777777" w:rsidR="00DC1A6E" w:rsidRPr="002E42F1" w:rsidRDefault="00DC1A6E" w:rsidP="00AE018D">
            <w:pPr>
              <w:pStyle w:val="NoSpacing"/>
              <w:jc w:val="right"/>
            </w:pPr>
            <w:r w:rsidRPr="002E42F1">
              <w:t>59</w:t>
            </w:r>
          </w:p>
        </w:tc>
        <w:tc>
          <w:tcPr>
            <w:tcW w:w="1814" w:type="dxa"/>
            <w:tcBorders>
              <w:top w:val="nil"/>
              <w:left w:val="nil"/>
              <w:bottom w:val="single" w:sz="4" w:space="0" w:color="auto"/>
              <w:right w:val="single" w:sz="4" w:space="0" w:color="auto"/>
            </w:tcBorders>
            <w:shd w:val="clear" w:color="auto" w:fill="auto"/>
            <w:noWrap/>
            <w:vAlign w:val="bottom"/>
            <w:hideMark/>
          </w:tcPr>
          <w:p w14:paraId="32D89C76" w14:textId="77777777" w:rsidR="00DC1A6E" w:rsidRPr="002E42F1" w:rsidRDefault="00DC1A6E" w:rsidP="00AE018D">
            <w:pPr>
              <w:pStyle w:val="NoSpacing"/>
              <w:jc w:val="right"/>
            </w:pPr>
            <w:r w:rsidRPr="002E42F1">
              <w:t>95</w:t>
            </w:r>
          </w:p>
        </w:tc>
        <w:tc>
          <w:tcPr>
            <w:tcW w:w="1813" w:type="dxa"/>
            <w:tcBorders>
              <w:top w:val="nil"/>
              <w:left w:val="nil"/>
              <w:bottom w:val="single" w:sz="4" w:space="0" w:color="auto"/>
              <w:right w:val="single" w:sz="4" w:space="0" w:color="auto"/>
            </w:tcBorders>
            <w:shd w:val="clear" w:color="auto" w:fill="auto"/>
            <w:noWrap/>
            <w:vAlign w:val="bottom"/>
            <w:hideMark/>
          </w:tcPr>
          <w:p w14:paraId="3AF73AED" w14:textId="77777777" w:rsidR="00DC1A6E" w:rsidRPr="002E42F1" w:rsidRDefault="00DC1A6E" w:rsidP="00AE018D">
            <w:pPr>
              <w:pStyle w:val="NoSpacing"/>
              <w:jc w:val="right"/>
            </w:pPr>
            <w:r w:rsidRPr="002E42F1">
              <w:t>198</w:t>
            </w:r>
          </w:p>
        </w:tc>
        <w:tc>
          <w:tcPr>
            <w:tcW w:w="1814" w:type="dxa"/>
            <w:tcBorders>
              <w:top w:val="nil"/>
              <w:left w:val="nil"/>
              <w:bottom w:val="single" w:sz="4" w:space="0" w:color="auto"/>
              <w:right w:val="single" w:sz="4" w:space="0" w:color="auto"/>
            </w:tcBorders>
            <w:shd w:val="clear" w:color="auto" w:fill="auto"/>
            <w:noWrap/>
            <w:vAlign w:val="bottom"/>
            <w:hideMark/>
          </w:tcPr>
          <w:p w14:paraId="399C6AB1" w14:textId="77777777" w:rsidR="00DC1A6E" w:rsidRPr="002E42F1" w:rsidRDefault="00DC1A6E" w:rsidP="00AE018D">
            <w:pPr>
              <w:pStyle w:val="NoSpacing"/>
              <w:jc w:val="right"/>
            </w:pPr>
            <w:r w:rsidRPr="002E42F1">
              <w:t>352</w:t>
            </w:r>
          </w:p>
        </w:tc>
      </w:tr>
      <w:tr w:rsidR="002E42F1" w:rsidRPr="002E42F1" w14:paraId="3C07237A"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1BABF8" w14:textId="77777777" w:rsidR="00DC1A6E" w:rsidRPr="002E42F1" w:rsidRDefault="00DC1A6E" w:rsidP="00CE348F">
            <w:pPr>
              <w:pStyle w:val="NoSpacing"/>
              <w:jc w:val="center"/>
            </w:pPr>
            <w:r w:rsidRPr="002E42F1">
              <w:t>2016</w:t>
            </w:r>
          </w:p>
        </w:tc>
        <w:tc>
          <w:tcPr>
            <w:tcW w:w="1788" w:type="dxa"/>
            <w:tcBorders>
              <w:top w:val="nil"/>
              <w:left w:val="nil"/>
              <w:bottom w:val="single" w:sz="4" w:space="0" w:color="auto"/>
              <w:right w:val="single" w:sz="4" w:space="0" w:color="auto"/>
            </w:tcBorders>
            <w:shd w:val="clear" w:color="auto" w:fill="auto"/>
            <w:noWrap/>
            <w:vAlign w:val="bottom"/>
            <w:hideMark/>
          </w:tcPr>
          <w:p w14:paraId="49A0FD18" w14:textId="77777777" w:rsidR="00DC1A6E" w:rsidRPr="002E42F1" w:rsidRDefault="00DC1A6E" w:rsidP="00AE018D">
            <w:pPr>
              <w:pStyle w:val="NoSpacing"/>
              <w:jc w:val="right"/>
            </w:pPr>
            <w:r w:rsidRPr="002E42F1">
              <w:t>89</w:t>
            </w:r>
          </w:p>
        </w:tc>
        <w:tc>
          <w:tcPr>
            <w:tcW w:w="1814" w:type="dxa"/>
            <w:tcBorders>
              <w:top w:val="nil"/>
              <w:left w:val="nil"/>
              <w:bottom w:val="single" w:sz="4" w:space="0" w:color="auto"/>
              <w:right w:val="single" w:sz="4" w:space="0" w:color="auto"/>
            </w:tcBorders>
            <w:shd w:val="clear" w:color="auto" w:fill="auto"/>
            <w:noWrap/>
            <w:vAlign w:val="bottom"/>
            <w:hideMark/>
          </w:tcPr>
          <w:p w14:paraId="401A5DCE" w14:textId="77777777" w:rsidR="00DC1A6E" w:rsidRPr="002E42F1" w:rsidRDefault="00DC1A6E" w:rsidP="00AE018D">
            <w:pPr>
              <w:pStyle w:val="NoSpacing"/>
              <w:jc w:val="right"/>
            </w:pPr>
            <w:r w:rsidRPr="002E42F1">
              <w:t>63</w:t>
            </w:r>
          </w:p>
        </w:tc>
        <w:tc>
          <w:tcPr>
            <w:tcW w:w="1813" w:type="dxa"/>
            <w:tcBorders>
              <w:top w:val="nil"/>
              <w:left w:val="nil"/>
              <w:bottom w:val="single" w:sz="4" w:space="0" w:color="auto"/>
              <w:right w:val="single" w:sz="4" w:space="0" w:color="auto"/>
            </w:tcBorders>
            <w:shd w:val="clear" w:color="auto" w:fill="auto"/>
            <w:noWrap/>
            <w:vAlign w:val="bottom"/>
            <w:hideMark/>
          </w:tcPr>
          <w:p w14:paraId="4E8D8ABE" w14:textId="77777777" w:rsidR="00DC1A6E" w:rsidRPr="002E42F1" w:rsidRDefault="00DC1A6E" w:rsidP="00AE018D">
            <w:pPr>
              <w:pStyle w:val="NoSpacing"/>
              <w:jc w:val="right"/>
            </w:pPr>
            <w:r w:rsidRPr="002E42F1">
              <w:t>81</w:t>
            </w:r>
          </w:p>
        </w:tc>
        <w:tc>
          <w:tcPr>
            <w:tcW w:w="1814" w:type="dxa"/>
            <w:tcBorders>
              <w:top w:val="nil"/>
              <w:left w:val="nil"/>
              <w:bottom w:val="single" w:sz="4" w:space="0" w:color="auto"/>
              <w:right w:val="single" w:sz="4" w:space="0" w:color="auto"/>
            </w:tcBorders>
            <w:shd w:val="clear" w:color="auto" w:fill="auto"/>
            <w:noWrap/>
            <w:vAlign w:val="bottom"/>
            <w:hideMark/>
          </w:tcPr>
          <w:p w14:paraId="27106BDF" w14:textId="77777777" w:rsidR="00DC1A6E" w:rsidRPr="002E42F1" w:rsidRDefault="00DC1A6E" w:rsidP="00AE018D">
            <w:pPr>
              <w:pStyle w:val="NoSpacing"/>
              <w:jc w:val="right"/>
            </w:pPr>
            <w:r w:rsidRPr="002E42F1">
              <w:t>233</w:t>
            </w:r>
          </w:p>
        </w:tc>
      </w:tr>
      <w:tr w:rsidR="002E42F1" w:rsidRPr="002E42F1" w14:paraId="4680E7C3"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8E8D483" w14:textId="77777777" w:rsidR="00DC1A6E" w:rsidRPr="002E42F1" w:rsidRDefault="00DC1A6E" w:rsidP="00CE348F">
            <w:pPr>
              <w:pStyle w:val="NoSpacing"/>
              <w:jc w:val="center"/>
            </w:pPr>
            <w:r w:rsidRPr="002E42F1">
              <w:t>2017</w:t>
            </w:r>
          </w:p>
        </w:tc>
        <w:tc>
          <w:tcPr>
            <w:tcW w:w="1788" w:type="dxa"/>
            <w:tcBorders>
              <w:top w:val="nil"/>
              <w:left w:val="nil"/>
              <w:bottom w:val="single" w:sz="4" w:space="0" w:color="auto"/>
              <w:right w:val="single" w:sz="4" w:space="0" w:color="auto"/>
            </w:tcBorders>
            <w:shd w:val="clear" w:color="auto" w:fill="auto"/>
            <w:noWrap/>
            <w:vAlign w:val="bottom"/>
            <w:hideMark/>
          </w:tcPr>
          <w:p w14:paraId="172D9396" w14:textId="77777777" w:rsidR="00DC1A6E" w:rsidRPr="002E42F1" w:rsidRDefault="00DC1A6E" w:rsidP="00AE018D">
            <w:pPr>
              <w:pStyle w:val="NoSpacing"/>
              <w:jc w:val="right"/>
            </w:pPr>
            <w:r w:rsidRPr="002E42F1">
              <w:t>81</w:t>
            </w:r>
          </w:p>
        </w:tc>
        <w:tc>
          <w:tcPr>
            <w:tcW w:w="1814" w:type="dxa"/>
            <w:tcBorders>
              <w:top w:val="nil"/>
              <w:left w:val="nil"/>
              <w:bottom w:val="single" w:sz="4" w:space="0" w:color="auto"/>
              <w:right w:val="single" w:sz="4" w:space="0" w:color="auto"/>
            </w:tcBorders>
            <w:shd w:val="clear" w:color="auto" w:fill="auto"/>
            <w:noWrap/>
            <w:vAlign w:val="bottom"/>
            <w:hideMark/>
          </w:tcPr>
          <w:p w14:paraId="4A83ADD8" w14:textId="77777777" w:rsidR="00DC1A6E" w:rsidRPr="002E42F1" w:rsidRDefault="00DC1A6E" w:rsidP="00AE018D">
            <w:pPr>
              <w:pStyle w:val="NoSpacing"/>
              <w:jc w:val="right"/>
            </w:pPr>
            <w:r w:rsidRPr="002E42F1">
              <w:t>113</w:t>
            </w:r>
          </w:p>
        </w:tc>
        <w:tc>
          <w:tcPr>
            <w:tcW w:w="1813" w:type="dxa"/>
            <w:tcBorders>
              <w:top w:val="nil"/>
              <w:left w:val="nil"/>
              <w:bottom w:val="single" w:sz="4" w:space="0" w:color="auto"/>
              <w:right w:val="single" w:sz="4" w:space="0" w:color="auto"/>
            </w:tcBorders>
            <w:shd w:val="clear" w:color="auto" w:fill="auto"/>
            <w:noWrap/>
            <w:vAlign w:val="bottom"/>
            <w:hideMark/>
          </w:tcPr>
          <w:p w14:paraId="38B114D5" w14:textId="77777777" w:rsidR="00DC1A6E" w:rsidRPr="002E42F1" w:rsidRDefault="00DC1A6E" w:rsidP="00AE018D">
            <w:pPr>
              <w:pStyle w:val="NoSpacing"/>
              <w:jc w:val="right"/>
            </w:pPr>
            <w:r w:rsidRPr="002E42F1">
              <w:t>77</w:t>
            </w:r>
          </w:p>
        </w:tc>
        <w:tc>
          <w:tcPr>
            <w:tcW w:w="1814" w:type="dxa"/>
            <w:tcBorders>
              <w:top w:val="nil"/>
              <w:left w:val="nil"/>
              <w:bottom w:val="single" w:sz="4" w:space="0" w:color="auto"/>
              <w:right w:val="single" w:sz="4" w:space="0" w:color="auto"/>
            </w:tcBorders>
            <w:shd w:val="clear" w:color="auto" w:fill="auto"/>
            <w:noWrap/>
            <w:vAlign w:val="bottom"/>
            <w:hideMark/>
          </w:tcPr>
          <w:p w14:paraId="7C78EF4A" w14:textId="77777777" w:rsidR="00DC1A6E" w:rsidRPr="002E42F1" w:rsidRDefault="00DC1A6E" w:rsidP="00AE018D">
            <w:pPr>
              <w:pStyle w:val="NoSpacing"/>
              <w:jc w:val="right"/>
            </w:pPr>
            <w:r w:rsidRPr="002E42F1">
              <w:t>271</w:t>
            </w:r>
          </w:p>
        </w:tc>
      </w:tr>
      <w:tr w:rsidR="002E42F1" w:rsidRPr="002E42F1" w14:paraId="0A867F9C"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4803AC" w14:textId="77777777" w:rsidR="00DC1A6E" w:rsidRPr="002E42F1" w:rsidRDefault="00DC1A6E" w:rsidP="00CE348F">
            <w:pPr>
              <w:pStyle w:val="NoSpacing"/>
              <w:jc w:val="center"/>
            </w:pPr>
            <w:r w:rsidRPr="002E42F1">
              <w:t>2018</w:t>
            </w:r>
          </w:p>
        </w:tc>
        <w:tc>
          <w:tcPr>
            <w:tcW w:w="1788" w:type="dxa"/>
            <w:tcBorders>
              <w:top w:val="nil"/>
              <w:left w:val="nil"/>
              <w:bottom w:val="single" w:sz="4" w:space="0" w:color="auto"/>
              <w:right w:val="single" w:sz="4" w:space="0" w:color="auto"/>
            </w:tcBorders>
            <w:shd w:val="clear" w:color="auto" w:fill="auto"/>
            <w:noWrap/>
            <w:vAlign w:val="bottom"/>
            <w:hideMark/>
          </w:tcPr>
          <w:p w14:paraId="17C1C38A" w14:textId="77777777" w:rsidR="00DC1A6E" w:rsidRPr="002E42F1" w:rsidRDefault="00DC1A6E" w:rsidP="00AE018D">
            <w:pPr>
              <w:pStyle w:val="NoSpacing"/>
              <w:jc w:val="right"/>
            </w:pPr>
            <w:r w:rsidRPr="002E42F1">
              <w:t>234</w:t>
            </w:r>
          </w:p>
        </w:tc>
        <w:tc>
          <w:tcPr>
            <w:tcW w:w="1814" w:type="dxa"/>
            <w:tcBorders>
              <w:top w:val="nil"/>
              <w:left w:val="nil"/>
              <w:bottom w:val="single" w:sz="4" w:space="0" w:color="auto"/>
              <w:right w:val="single" w:sz="4" w:space="0" w:color="auto"/>
            </w:tcBorders>
            <w:shd w:val="clear" w:color="auto" w:fill="auto"/>
            <w:noWrap/>
            <w:vAlign w:val="bottom"/>
            <w:hideMark/>
          </w:tcPr>
          <w:p w14:paraId="7F7747BE" w14:textId="77777777" w:rsidR="00DC1A6E" w:rsidRPr="002E42F1" w:rsidRDefault="00DC1A6E" w:rsidP="00AE018D">
            <w:pPr>
              <w:pStyle w:val="NoSpacing"/>
              <w:jc w:val="right"/>
            </w:pPr>
            <w:r w:rsidRPr="002E42F1">
              <w:t>91</w:t>
            </w:r>
          </w:p>
        </w:tc>
        <w:tc>
          <w:tcPr>
            <w:tcW w:w="1813" w:type="dxa"/>
            <w:tcBorders>
              <w:top w:val="nil"/>
              <w:left w:val="nil"/>
              <w:bottom w:val="single" w:sz="4" w:space="0" w:color="auto"/>
              <w:right w:val="single" w:sz="4" w:space="0" w:color="auto"/>
            </w:tcBorders>
            <w:shd w:val="clear" w:color="auto" w:fill="auto"/>
            <w:noWrap/>
            <w:vAlign w:val="bottom"/>
            <w:hideMark/>
          </w:tcPr>
          <w:p w14:paraId="1E083039" w14:textId="77777777" w:rsidR="00DC1A6E" w:rsidRPr="002E42F1" w:rsidRDefault="00DC1A6E" w:rsidP="00AE018D">
            <w:pPr>
              <w:pStyle w:val="NoSpacing"/>
              <w:jc w:val="right"/>
            </w:pPr>
            <w:r w:rsidRPr="002E42F1">
              <w:t>218</w:t>
            </w:r>
          </w:p>
        </w:tc>
        <w:tc>
          <w:tcPr>
            <w:tcW w:w="1814" w:type="dxa"/>
            <w:tcBorders>
              <w:top w:val="nil"/>
              <w:left w:val="nil"/>
              <w:bottom w:val="single" w:sz="4" w:space="0" w:color="auto"/>
              <w:right w:val="single" w:sz="4" w:space="0" w:color="auto"/>
            </w:tcBorders>
            <w:shd w:val="clear" w:color="auto" w:fill="auto"/>
            <w:noWrap/>
            <w:vAlign w:val="bottom"/>
            <w:hideMark/>
          </w:tcPr>
          <w:p w14:paraId="3B2EB946" w14:textId="77777777" w:rsidR="00DC1A6E" w:rsidRPr="002E42F1" w:rsidRDefault="00DC1A6E" w:rsidP="00AE018D">
            <w:pPr>
              <w:pStyle w:val="NoSpacing"/>
              <w:jc w:val="right"/>
            </w:pPr>
            <w:r w:rsidRPr="002E42F1">
              <w:t>544</w:t>
            </w:r>
          </w:p>
        </w:tc>
      </w:tr>
      <w:tr w:rsidR="002E42F1" w:rsidRPr="002E42F1" w14:paraId="2014F0E2" w14:textId="77777777" w:rsidTr="00CE348F">
        <w:trPr>
          <w:trHeight w:val="255"/>
          <w:jc w:val="center"/>
        </w:trPr>
        <w:tc>
          <w:tcPr>
            <w:tcW w:w="183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4DA3A98" w14:textId="77777777" w:rsidR="00DC1A6E" w:rsidRPr="002E42F1" w:rsidRDefault="00DC1A6E" w:rsidP="00CE348F">
            <w:pPr>
              <w:pStyle w:val="NoSpacing"/>
              <w:jc w:val="center"/>
            </w:pPr>
            <w:r w:rsidRPr="002E42F1">
              <w:t>2019</w:t>
            </w:r>
          </w:p>
        </w:tc>
        <w:tc>
          <w:tcPr>
            <w:tcW w:w="1788" w:type="dxa"/>
            <w:tcBorders>
              <w:top w:val="single" w:sz="4" w:space="0" w:color="auto"/>
              <w:left w:val="nil"/>
              <w:bottom w:val="double" w:sz="4" w:space="0" w:color="auto"/>
              <w:right w:val="single" w:sz="4" w:space="0" w:color="auto"/>
            </w:tcBorders>
            <w:shd w:val="clear" w:color="auto" w:fill="auto"/>
            <w:noWrap/>
            <w:vAlign w:val="bottom"/>
            <w:hideMark/>
          </w:tcPr>
          <w:p w14:paraId="2306B888" w14:textId="77777777" w:rsidR="00DC1A6E" w:rsidRPr="002E42F1" w:rsidRDefault="00DC1A6E" w:rsidP="00AE018D">
            <w:pPr>
              <w:pStyle w:val="NoSpacing"/>
              <w:jc w:val="right"/>
            </w:pPr>
            <w:r w:rsidRPr="002E42F1">
              <w:t>273</w:t>
            </w:r>
          </w:p>
        </w:tc>
        <w:tc>
          <w:tcPr>
            <w:tcW w:w="1814" w:type="dxa"/>
            <w:tcBorders>
              <w:top w:val="single" w:sz="4" w:space="0" w:color="auto"/>
              <w:left w:val="nil"/>
              <w:bottom w:val="double" w:sz="4" w:space="0" w:color="auto"/>
              <w:right w:val="single" w:sz="4" w:space="0" w:color="auto"/>
            </w:tcBorders>
            <w:shd w:val="clear" w:color="auto" w:fill="auto"/>
            <w:noWrap/>
            <w:vAlign w:val="bottom"/>
            <w:hideMark/>
          </w:tcPr>
          <w:p w14:paraId="53E1EEAE" w14:textId="77777777" w:rsidR="00DC1A6E" w:rsidRPr="002E42F1" w:rsidRDefault="00DC1A6E" w:rsidP="00AE018D">
            <w:pPr>
              <w:pStyle w:val="NoSpacing"/>
              <w:jc w:val="right"/>
            </w:pPr>
            <w:r w:rsidRPr="002E42F1">
              <w:t>122</w:t>
            </w:r>
          </w:p>
        </w:tc>
        <w:tc>
          <w:tcPr>
            <w:tcW w:w="1813" w:type="dxa"/>
            <w:tcBorders>
              <w:top w:val="single" w:sz="4" w:space="0" w:color="auto"/>
              <w:left w:val="nil"/>
              <w:bottom w:val="double" w:sz="4" w:space="0" w:color="auto"/>
              <w:right w:val="single" w:sz="4" w:space="0" w:color="auto"/>
            </w:tcBorders>
            <w:shd w:val="clear" w:color="auto" w:fill="auto"/>
            <w:noWrap/>
            <w:vAlign w:val="bottom"/>
            <w:hideMark/>
          </w:tcPr>
          <w:p w14:paraId="1D8E68AC" w14:textId="77777777" w:rsidR="00DC1A6E" w:rsidRPr="002E42F1" w:rsidRDefault="00DC1A6E" w:rsidP="00AE018D">
            <w:pPr>
              <w:pStyle w:val="NoSpacing"/>
              <w:jc w:val="right"/>
            </w:pPr>
            <w:r w:rsidRPr="002E42F1">
              <w:t>121</w:t>
            </w:r>
          </w:p>
        </w:tc>
        <w:tc>
          <w:tcPr>
            <w:tcW w:w="1814" w:type="dxa"/>
            <w:tcBorders>
              <w:top w:val="single" w:sz="4" w:space="0" w:color="auto"/>
              <w:left w:val="nil"/>
              <w:bottom w:val="double" w:sz="4" w:space="0" w:color="auto"/>
              <w:right w:val="single" w:sz="4" w:space="0" w:color="auto"/>
            </w:tcBorders>
            <w:shd w:val="clear" w:color="auto" w:fill="auto"/>
            <w:noWrap/>
            <w:vAlign w:val="bottom"/>
            <w:hideMark/>
          </w:tcPr>
          <w:p w14:paraId="7B5251B1" w14:textId="77777777" w:rsidR="00DC1A6E" w:rsidRPr="002E42F1" w:rsidRDefault="00DC1A6E" w:rsidP="00AE018D">
            <w:pPr>
              <w:pStyle w:val="NoSpacing"/>
              <w:jc w:val="right"/>
            </w:pPr>
            <w:r w:rsidRPr="002E42F1">
              <w:t>515</w:t>
            </w:r>
          </w:p>
        </w:tc>
      </w:tr>
      <w:tr w:rsidR="002E42F1" w:rsidRPr="002E42F1" w14:paraId="20B6CE06" w14:textId="77777777" w:rsidTr="00CE348F">
        <w:trPr>
          <w:trHeight w:val="300"/>
          <w:jc w:val="center"/>
        </w:trPr>
        <w:tc>
          <w:tcPr>
            <w:tcW w:w="1838" w:type="dxa"/>
            <w:vMerge w:val="restart"/>
            <w:tcBorders>
              <w:top w:val="double" w:sz="4" w:space="0" w:color="auto"/>
              <w:left w:val="single" w:sz="4" w:space="0" w:color="auto"/>
              <w:right w:val="single" w:sz="4" w:space="0" w:color="auto"/>
            </w:tcBorders>
            <w:shd w:val="clear" w:color="auto" w:fill="auto"/>
            <w:vAlign w:val="center"/>
            <w:hideMark/>
          </w:tcPr>
          <w:p w14:paraId="5E69D20F" w14:textId="77777777" w:rsidR="00B25941" w:rsidRPr="002E42F1" w:rsidRDefault="00B25941" w:rsidP="00CE348F">
            <w:pPr>
              <w:pStyle w:val="NoSpacing"/>
              <w:jc w:val="center"/>
            </w:pPr>
            <w:r w:rsidRPr="002E42F1">
              <w:t>Gads</w:t>
            </w:r>
          </w:p>
        </w:tc>
        <w:tc>
          <w:tcPr>
            <w:tcW w:w="7229" w:type="dxa"/>
            <w:gridSpan w:val="4"/>
            <w:tcBorders>
              <w:top w:val="double" w:sz="4" w:space="0" w:color="auto"/>
              <w:left w:val="nil"/>
              <w:bottom w:val="single" w:sz="4" w:space="0" w:color="auto"/>
              <w:right w:val="single" w:sz="4" w:space="0" w:color="auto"/>
            </w:tcBorders>
            <w:shd w:val="clear" w:color="auto" w:fill="auto"/>
            <w:noWrap/>
            <w:vAlign w:val="bottom"/>
            <w:hideMark/>
          </w:tcPr>
          <w:p w14:paraId="1CAC7FFD" w14:textId="77777777" w:rsidR="00B25941" w:rsidRPr="002E42F1" w:rsidRDefault="00B25941" w:rsidP="00CE348F">
            <w:pPr>
              <w:pStyle w:val="NoSpacing"/>
              <w:jc w:val="center"/>
            </w:pPr>
            <w:r w:rsidRPr="002E42F1">
              <w:t>ZPI īpatsvars (%)</w:t>
            </w:r>
          </w:p>
        </w:tc>
      </w:tr>
      <w:tr w:rsidR="002E42F1" w:rsidRPr="002E42F1" w14:paraId="322BDE07" w14:textId="77777777" w:rsidTr="00CE348F">
        <w:trPr>
          <w:trHeight w:val="255"/>
          <w:jc w:val="center"/>
        </w:trPr>
        <w:tc>
          <w:tcPr>
            <w:tcW w:w="1838" w:type="dxa"/>
            <w:vMerge/>
            <w:tcBorders>
              <w:left w:val="single" w:sz="4" w:space="0" w:color="auto"/>
              <w:bottom w:val="single" w:sz="4" w:space="0" w:color="auto"/>
              <w:right w:val="single" w:sz="4" w:space="0" w:color="auto"/>
            </w:tcBorders>
            <w:vAlign w:val="center"/>
            <w:hideMark/>
          </w:tcPr>
          <w:p w14:paraId="200A901A" w14:textId="77777777" w:rsidR="00B25941" w:rsidRPr="002E42F1" w:rsidRDefault="00B25941" w:rsidP="00CE348F">
            <w:pPr>
              <w:pStyle w:val="NoSpacing"/>
              <w:jc w:val="center"/>
            </w:pPr>
          </w:p>
        </w:tc>
        <w:tc>
          <w:tcPr>
            <w:tcW w:w="1788" w:type="dxa"/>
            <w:tcBorders>
              <w:top w:val="nil"/>
              <w:left w:val="nil"/>
              <w:bottom w:val="single" w:sz="4" w:space="0" w:color="auto"/>
              <w:right w:val="single" w:sz="4" w:space="0" w:color="auto"/>
            </w:tcBorders>
            <w:shd w:val="clear" w:color="auto" w:fill="auto"/>
            <w:vAlign w:val="bottom"/>
            <w:hideMark/>
          </w:tcPr>
          <w:p w14:paraId="5046F9B4" w14:textId="77777777" w:rsidR="00B25941" w:rsidRPr="002E42F1" w:rsidRDefault="00B25941" w:rsidP="00CE348F">
            <w:pPr>
              <w:pStyle w:val="NoSpacing"/>
              <w:jc w:val="center"/>
            </w:pPr>
            <w:r w:rsidRPr="002E42F1">
              <w:t>Būvdarbi</w:t>
            </w:r>
          </w:p>
        </w:tc>
        <w:tc>
          <w:tcPr>
            <w:tcW w:w="1814" w:type="dxa"/>
            <w:tcBorders>
              <w:top w:val="nil"/>
              <w:left w:val="nil"/>
              <w:bottom w:val="single" w:sz="4" w:space="0" w:color="auto"/>
              <w:right w:val="single" w:sz="4" w:space="0" w:color="auto"/>
            </w:tcBorders>
            <w:shd w:val="clear" w:color="auto" w:fill="auto"/>
            <w:vAlign w:val="bottom"/>
            <w:hideMark/>
          </w:tcPr>
          <w:p w14:paraId="4DE65A70" w14:textId="77777777" w:rsidR="00B25941" w:rsidRPr="002E42F1" w:rsidRDefault="00B25941" w:rsidP="00CE348F">
            <w:pPr>
              <w:pStyle w:val="NoSpacing"/>
              <w:jc w:val="center"/>
            </w:pPr>
            <w:r w:rsidRPr="002E42F1">
              <w:t>Piegāde</w:t>
            </w:r>
          </w:p>
        </w:tc>
        <w:tc>
          <w:tcPr>
            <w:tcW w:w="1813" w:type="dxa"/>
            <w:tcBorders>
              <w:top w:val="nil"/>
              <w:left w:val="nil"/>
              <w:bottom w:val="single" w:sz="4" w:space="0" w:color="auto"/>
              <w:right w:val="single" w:sz="4" w:space="0" w:color="auto"/>
            </w:tcBorders>
            <w:shd w:val="clear" w:color="auto" w:fill="auto"/>
            <w:vAlign w:val="bottom"/>
            <w:hideMark/>
          </w:tcPr>
          <w:p w14:paraId="192851AF" w14:textId="77777777" w:rsidR="00B25941" w:rsidRPr="002E42F1" w:rsidRDefault="00B25941" w:rsidP="00CE348F">
            <w:pPr>
              <w:pStyle w:val="NoSpacing"/>
              <w:jc w:val="center"/>
            </w:pPr>
            <w:r w:rsidRPr="002E42F1">
              <w:t>Pakalpojumi</w:t>
            </w:r>
          </w:p>
        </w:tc>
        <w:tc>
          <w:tcPr>
            <w:tcW w:w="1814" w:type="dxa"/>
            <w:tcBorders>
              <w:top w:val="nil"/>
              <w:left w:val="nil"/>
              <w:bottom w:val="single" w:sz="4" w:space="0" w:color="auto"/>
              <w:right w:val="single" w:sz="4" w:space="0" w:color="auto"/>
            </w:tcBorders>
            <w:shd w:val="clear" w:color="auto" w:fill="auto"/>
            <w:vAlign w:val="bottom"/>
            <w:hideMark/>
          </w:tcPr>
          <w:p w14:paraId="3AD255A1" w14:textId="3A09C022" w:rsidR="00B25941" w:rsidRPr="002E42F1" w:rsidRDefault="006D5A15" w:rsidP="00CE348F">
            <w:pPr>
              <w:pStyle w:val="NoSpacing"/>
              <w:jc w:val="center"/>
            </w:pPr>
            <w:r w:rsidRPr="002E42F1">
              <w:t>Vidēji</w:t>
            </w:r>
          </w:p>
        </w:tc>
      </w:tr>
      <w:tr w:rsidR="002E42F1" w:rsidRPr="002E42F1" w14:paraId="65DEB902"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F17288" w14:textId="77777777" w:rsidR="00DC1A6E" w:rsidRPr="002E42F1" w:rsidRDefault="00DC1A6E" w:rsidP="00CE348F">
            <w:pPr>
              <w:pStyle w:val="NoSpacing"/>
              <w:jc w:val="center"/>
            </w:pPr>
            <w:r w:rsidRPr="002E42F1">
              <w:t>2015</w:t>
            </w:r>
          </w:p>
        </w:tc>
        <w:tc>
          <w:tcPr>
            <w:tcW w:w="1788" w:type="dxa"/>
            <w:tcBorders>
              <w:top w:val="nil"/>
              <w:left w:val="nil"/>
              <w:bottom w:val="single" w:sz="4" w:space="0" w:color="auto"/>
              <w:right w:val="single" w:sz="4" w:space="0" w:color="auto"/>
            </w:tcBorders>
            <w:shd w:val="clear" w:color="auto" w:fill="auto"/>
            <w:noWrap/>
            <w:vAlign w:val="bottom"/>
            <w:hideMark/>
          </w:tcPr>
          <w:p w14:paraId="64C3A9E4" w14:textId="77777777" w:rsidR="00DC1A6E" w:rsidRPr="002E42F1" w:rsidRDefault="00DC1A6E" w:rsidP="00AE018D">
            <w:pPr>
              <w:pStyle w:val="NoSpacing"/>
              <w:jc w:val="right"/>
            </w:pPr>
            <w:r w:rsidRPr="002E42F1">
              <w:t>11,2</w:t>
            </w:r>
          </w:p>
        </w:tc>
        <w:tc>
          <w:tcPr>
            <w:tcW w:w="1814" w:type="dxa"/>
            <w:tcBorders>
              <w:top w:val="nil"/>
              <w:left w:val="nil"/>
              <w:bottom w:val="single" w:sz="4" w:space="0" w:color="auto"/>
              <w:right w:val="single" w:sz="4" w:space="0" w:color="auto"/>
            </w:tcBorders>
            <w:shd w:val="clear" w:color="auto" w:fill="auto"/>
            <w:noWrap/>
            <w:vAlign w:val="bottom"/>
            <w:hideMark/>
          </w:tcPr>
          <w:p w14:paraId="41596B8A" w14:textId="77777777" w:rsidR="00DC1A6E" w:rsidRPr="002E42F1" w:rsidRDefault="00DC1A6E" w:rsidP="00AE018D">
            <w:pPr>
              <w:pStyle w:val="NoSpacing"/>
              <w:jc w:val="right"/>
            </w:pPr>
            <w:r w:rsidRPr="002E42F1">
              <w:t>14,9</w:t>
            </w:r>
          </w:p>
        </w:tc>
        <w:tc>
          <w:tcPr>
            <w:tcW w:w="1813" w:type="dxa"/>
            <w:tcBorders>
              <w:top w:val="nil"/>
              <w:left w:val="nil"/>
              <w:bottom w:val="single" w:sz="4" w:space="0" w:color="auto"/>
              <w:right w:val="single" w:sz="4" w:space="0" w:color="auto"/>
            </w:tcBorders>
            <w:shd w:val="clear" w:color="auto" w:fill="auto"/>
            <w:noWrap/>
            <w:vAlign w:val="bottom"/>
            <w:hideMark/>
          </w:tcPr>
          <w:p w14:paraId="1E7F7390" w14:textId="77777777" w:rsidR="00DC1A6E" w:rsidRPr="002E42F1" w:rsidRDefault="00DC1A6E" w:rsidP="00AE018D">
            <w:pPr>
              <w:pStyle w:val="NoSpacing"/>
              <w:jc w:val="right"/>
            </w:pPr>
            <w:r w:rsidRPr="002E42F1">
              <w:t>28,1</w:t>
            </w:r>
          </w:p>
        </w:tc>
        <w:tc>
          <w:tcPr>
            <w:tcW w:w="1814" w:type="dxa"/>
            <w:tcBorders>
              <w:top w:val="nil"/>
              <w:left w:val="nil"/>
              <w:bottom w:val="single" w:sz="4" w:space="0" w:color="auto"/>
              <w:right w:val="single" w:sz="4" w:space="0" w:color="auto"/>
            </w:tcBorders>
            <w:shd w:val="clear" w:color="auto" w:fill="auto"/>
            <w:noWrap/>
            <w:vAlign w:val="bottom"/>
            <w:hideMark/>
          </w:tcPr>
          <w:p w14:paraId="1A811A68" w14:textId="77777777" w:rsidR="00DC1A6E" w:rsidRPr="002E42F1" w:rsidRDefault="00DC1A6E" w:rsidP="00AE018D">
            <w:pPr>
              <w:pStyle w:val="NoSpacing"/>
              <w:jc w:val="right"/>
            </w:pPr>
            <w:r w:rsidRPr="002E42F1">
              <w:t>18,9</w:t>
            </w:r>
          </w:p>
        </w:tc>
      </w:tr>
      <w:tr w:rsidR="002E42F1" w:rsidRPr="002E42F1" w14:paraId="0B946D10"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C6C6888" w14:textId="77777777" w:rsidR="00DC1A6E" w:rsidRPr="002E42F1" w:rsidRDefault="00DC1A6E" w:rsidP="00CE348F">
            <w:pPr>
              <w:pStyle w:val="NoSpacing"/>
              <w:jc w:val="center"/>
            </w:pPr>
            <w:r w:rsidRPr="002E42F1">
              <w:t>2016</w:t>
            </w:r>
          </w:p>
        </w:tc>
        <w:tc>
          <w:tcPr>
            <w:tcW w:w="1788" w:type="dxa"/>
            <w:tcBorders>
              <w:top w:val="nil"/>
              <w:left w:val="nil"/>
              <w:bottom w:val="single" w:sz="4" w:space="0" w:color="auto"/>
              <w:right w:val="single" w:sz="4" w:space="0" w:color="auto"/>
            </w:tcBorders>
            <w:shd w:val="clear" w:color="auto" w:fill="auto"/>
            <w:noWrap/>
            <w:vAlign w:val="bottom"/>
            <w:hideMark/>
          </w:tcPr>
          <w:p w14:paraId="55F2E4F9" w14:textId="77777777" w:rsidR="00DC1A6E" w:rsidRPr="002E42F1" w:rsidRDefault="00DC1A6E" w:rsidP="00AE018D">
            <w:pPr>
              <w:pStyle w:val="NoSpacing"/>
              <w:jc w:val="right"/>
            </w:pPr>
            <w:r w:rsidRPr="002E42F1">
              <w:t>12,5</w:t>
            </w:r>
          </w:p>
        </w:tc>
        <w:tc>
          <w:tcPr>
            <w:tcW w:w="1814" w:type="dxa"/>
            <w:tcBorders>
              <w:top w:val="nil"/>
              <w:left w:val="nil"/>
              <w:bottom w:val="single" w:sz="4" w:space="0" w:color="auto"/>
              <w:right w:val="single" w:sz="4" w:space="0" w:color="auto"/>
            </w:tcBorders>
            <w:shd w:val="clear" w:color="auto" w:fill="auto"/>
            <w:noWrap/>
            <w:vAlign w:val="bottom"/>
            <w:hideMark/>
          </w:tcPr>
          <w:p w14:paraId="62470DCE" w14:textId="77777777" w:rsidR="00DC1A6E" w:rsidRPr="002E42F1" w:rsidRDefault="00DC1A6E" w:rsidP="00AE018D">
            <w:pPr>
              <w:pStyle w:val="NoSpacing"/>
              <w:jc w:val="right"/>
            </w:pPr>
            <w:r w:rsidRPr="002E42F1">
              <w:t>10,5</w:t>
            </w:r>
          </w:p>
        </w:tc>
        <w:tc>
          <w:tcPr>
            <w:tcW w:w="1813" w:type="dxa"/>
            <w:tcBorders>
              <w:top w:val="nil"/>
              <w:left w:val="nil"/>
              <w:bottom w:val="single" w:sz="4" w:space="0" w:color="auto"/>
              <w:right w:val="single" w:sz="4" w:space="0" w:color="auto"/>
            </w:tcBorders>
            <w:shd w:val="clear" w:color="auto" w:fill="auto"/>
            <w:noWrap/>
            <w:vAlign w:val="bottom"/>
            <w:hideMark/>
          </w:tcPr>
          <w:p w14:paraId="5AE98082" w14:textId="77777777" w:rsidR="00DC1A6E" w:rsidRPr="002E42F1" w:rsidRDefault="00DC1A6E" w:rsidP="00AE018D">
            <w:pPr>
              <w:pStyle w:val="NoSpacing"/>
              <w:jc w:val="right"/>
            </w:pPr>
            <w:r w:rsidRPr="002E42F1">
              <w:t>14,3</w:t>
            </w:r>
          </w:p>
        </w:tc>
        <w:tc>
          <w:tcPr>
            <w:tcW w:w="1814" w:type="dxa"/>
            <w:tcBorders>
              <w:top w:val="nil"/>
              <w:left w:val="nil"/>
              <w:bottom w:val="single" w:sz="4" w:space="0" w:color="auto"/>
              <w:right w:val="single" w:sz="4" w:space="0" w:color="auto"/>
            </w:tcBorders>
            <w:shd w:val="clear" w:color="auto" w:fill="auto"/>
            <w:noWrap/>
            <w:vAlign w:val="bottom"/>
            <w:hideMark/>
          </w:tcPr>
          <w:p w14:paraId="4AF3F1EA" w14:textId="77777777" w:rsidR="00DC1A6E" w:rsidRPr="002E42F1" w:rsidRDefault="00DC1A6E" w:rsidP="00AE018D">
            <w:pPr>
              <w:pStyle w:val="NoSpacing"/>
              <w:jc w:val="right"/>
            </w:pPr>
            <w:r w:rsidRPr="002E42F1">
              <w:t>12,4</w:t>
            </w:r>
          </w:p>
        </w:tc>
      </w:tr>
      <w:tr w:rsidR="002E42F1" w:rsidRPr="002E42F1" w14:paraId="62C3F631"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28A420" w14:textId="77777777" w:rsidR="00DC1A6E" w:rsidRPr="002E42F1" w:rsidRDefault="00DC1A6E" w:rsidP="00CE348F">
            <w:pPr>
              <w:pStyle w:val="NoSpacing"/>
              <w:jc w:val="center"/>
            </w:pPr>
            <w:r w:rsidRPr="002E42F1">
              <w:t>2017</w:t>
            </w:r>
          </w:p>
        </w:tc>
        <w:tc>
          <w:tcPr>
            <w:tcW w:w="1788" w:type="dxa"/>
            <w:tcBorders>
              <w:top w:val="nil"/>
              <w:left w:val="nil"/>
              <w:bottom w:val="single" w:sz="4" w:space="0" w:color="auto"/>
              <w:right w:val="single" w:sz="4" w:space="0" w:color="auto"/>
            </w:tcBorders>
            <w:shd w:val="clear" w:color="auto" w:fill="auto"/>
            <w:noWrap/>
            <w:vAlign w:val="bottom"/>
            <w:hideMark/>
          </w:tcPr>
          <w:p w14:paraId="2A2D4B00" w14:textId="77777777" w:rsidR="00DC1A6E" w:rsidRPr="002E42F1" w:rsidRDefault="00DC1A6E" w:rsidP="00AE018D">
            <w:pPr>
              <w:pStyle w:val="NoSpacing"/>
              <w:jc w:val="right"/>
            </w:pPr>
            <w:r w:rsidRPr="002E42F1">
              <w:t>10,2</w:t>
            </w:r>
          </w:p>
        </w:tc>
        <w:tc>
          <w:tcPr>
            <w:tcW w:w="1814" w:type="dxa"/>
            <w:tcBorders>
              <w:top w:val="nil"/>
              <w:left w:val="nil"/>
              <w:bottom w:val="single" w:sz="4" w:space="0" w:color="auto"/>
              <w:right w:val="single" w:sz="4" w:space="0" w:color="auto"/>
            </w:tcBorders>
            <w:shd w:val="clear" w:color="auto" w:fill="auto"/>
            <w:noWrap/>
            <w:vAlign w:val="bottom"/>
            <w:hideMark/>
          </w:tcPr>
          <w:p w14:paraId="26A2FDA4" w14:textId="77777777" w:rsidR="00DC1A6E" w:rsidRPr="002E42F1" w:rsidRDefault="00DC1A6E" w:rsidP="00AE018D">
            <w:pPr>
              <w:pStyle w:val="NoSpacing"/>
              <w:jc w:val="right"/>
            </w:pPr>
            <w:r w:rsidRPr="002E42F1">
              <w:t>19,5</w:t>
            </w:r>
          </w:p>
        </w:tc>
        <w:tc>
          <w:tcPr>
            <w:tcW w:w="1813" w:type="dxa"/>
            <w:tcBorders>
              <w:top w:val="nil"/>
              <w:left w:val="nil"/>
              <w:bottom w:val="single" w:sz="4" w:space="0" w:color="auto"/>
              <w:right w:val="single" w:sz="4" w:space="0" w:color="auto"/>
            </w:tcBorders>
            <w:shd w:val="clear" w:color="auto" w:fill="auto"/>
            <w:noWrap/>
            <w:vAlign w:val="bottom"/>
            <w:hideMark/>
          </w:tcPr>
          <w:p w14:paraId="55E950B9" w14:textId="77777777" w:rsidR="00DC1A6E" w:rsidRPr="002E42F1" w:rsidRDefault="00DC1A6E" w:rsidP="00AE018D">
            <w:pPr>
              <w:pStyle w:val="NoSpacing"/>
              <w:jc w:val="right"/>
            </w:pPr>
            <w:r w:rsidRPr="002E42F1">
              <w:t>8,4</w:t>
            </w:r>
          </w:p>
        </w:tc>
        <w:tc>
          <w:tcPr>
            <w:tcW w:w="1814" w:type="dxa"/>
            <w:tcBorders>
              <w:top w:val="nil"/>
              <w:left w:val="nil"/>
              <w:bottom w:val="single" w:sz="4" w:space="0" w:color="auto"/>
              <w:right w:val="single" w:sz="4" w:space="0" w:color="auto"/>
            </w:tcBorders>
            <w:shd w:val="clear" w:color="auto" w:fill="auto"/>
            <w:noWrap/>
            <w:vAlign w:val="bottom"/>
            <w:hideMark/>
          </w:tcPr>
          <w:p w14:paraId="72CAA25E" w14:textId="77777777" w:rsidR="00DC1A6E" w:rsidRPr="002E42F1" w:rsidRDefault="00DC1A6E" w:rsidP="00AE018D">
            <w:pPr>
              <w:pStyle w:val="NoSpacing"/>
              <w:jc w:val="right"/>
            </w:pPr>
            <w:r w:rsidRPr="002E42F1">
              <w:t>11,8</w:t>
            </w:r>
          </w:p>
        </w:tc>
      </w:tr>
      <w:tr w:rsidR="002E42F1" w:rsidRPr="002E42F1" w14:paraId="63B96FFD"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C8B45C" w14:textId="77777777" w:rsidR="00DC1A6E" w:rsidRPr="002E42F1" w:rsidRDefault="00DC1A6E" w:rsidP="00CE348F">
            <w:pPr>
              <w:pStyle w:val="NoSpacing"/>
              <w:jc w:val="center"/>
            </w:pPr>
            <w:r w:rsidRPr="002E42F1">
              <w:t>2018</w:t>
            </w:r>
          </w:p>
        </w:tc>
        <w:tc>
          <w:tcPr>
            <w:tcW w:w="1788" w:type="dxa"/>
            <w:tcBorders>
              <w:top w:val="nil"/>
              <w:left w:val="nil"/>
              <w:bottom w:val="single" w:sz="4" w:space="0" w:color="auto"/>
              <w:right w:val="single" w:sz="4" w:space="0" w:color="auto"/>
            </w:tcBorders>
            <w:shd w:val="clear" w:color="auto" w:fill="auto"/>
            <w:noWrap/>
            <w:vAlign w:val="bottom"/>
            <w:hideMark/>
          </w:tcPr>
          <w:p w14:paraId="38BBD8E2" w14:textId="77777777" w:rsidR="00DC1A6E" w:rsidRPr="002E42F1" w:rsidRDefault="00DC1A6E" w:rsidP="00AE018D">
            <w:pPr>
              <w:pStyle w:val="NoSpacing"/>
              <w:jc w:val="right"/>
            </w:pPr>
            <w:r w:rsidRPr="002E42F1">
              <w:t>21,2</w:t>
            </w:r>
          </w:p>
        </w:tc>
        <w:tc>
          <w:tcPr>
            <w:tcW w:w="1814" w:type="dxa"/>
            <w:tcBorders>
              <w:top w:val="nil"/>
              <w:left w:val="nil"/>
              <w:bottom w:val="single" w:sz="4" w:space="0" w:color="auto"/>
              <w:right w:val="single" w:sz="4" w:space="0" w:color="auto"/>
            </w:tcBorders>
            <w:shd w:val="clear" w:color="auto" w:fill="auto"/>
            <w:noWrap/>
            <w:vAlign w:val="bottom"/>
            <w:hideMark/>
          </w:tcPr>
          <w:p w14:paraId="197C1711" w14:textId="77777777" w:rsidR="00DC1A6E" w:rsidRPr="002E42F1" w:rsidRDefault="00DC1A6E" w:rsidP="00AE018D">
            <w:pPr>
              <w:pStyle w:val="NoSpacing"/>
              <w:jc w:val="right"/>
            </w:pPr>
            <w:r w:rsidRPr="002E42F1">
              <w:t>13,4</w:t>
            </w:r>
          </w:p>
        </w:tc>
        <w:tc>
          <w:tcPr>
            <w:tcW w:w="1813" w:type="dxa"/>
            <w:tcBorders>
              <w:top w:val="nil"/>
              <w:left w:val="nil"/>
              <w:bottom w:val="single" w:sz="4" w:space="0" w:color="auto"/>
              <w:right w:val="single" w:sz="4" w:space="0" w:color="auto"/>
            </w:tcBorders>
            <w:shd w:val="clear" w:color="auto" w:fill="auto"/>
            <w:noWrap/>
            <w:vAlign w:val="bottom"/>
            <w:hideMark/>
          </w:tcPr>
          <w:p w14:paraId="488DAD29" w14:textId="77777777" w:rsidR="00DC1A6E" w:rsidRPr="002E42F1" w:rsidRDefault="00DC1A6E" w:rsidP="00AE018D">
            <w:pPr>
              <w:pStyle w:val="NoSpacing"/>
              <w:jc w:val="right"/>
            </w:pPr>
            <w:r w:rsidRPr="002E42F1">
              <w:t>18,3</w:t>
            </w:r>
          </w:p>
        </w:tc>
        <w:tc>
          <w:tcPr>
            <w:tcW w:w="1814" w:type="dxa"/>
            <w:tcBorders>
              <w:top w:val="nil"/>
              <w:left w:val="nil"/>
              <w:bottom w:val="single" w:sz="4" w:space="0" w:color="auto"/>
              <w:right w:val="single" w:sz="4" w:space="0" w:color="auto"/>
            </w:tcBorders>
            <w:shd w:val="clear" w:color="auto" w:fill="auto"/>
            <w:noWrap/>
            <w:vAlign w:val="bottom"/>
            <w:hideMark/>
          </w:tcPr>
          <w:p w14:paraId="7E38CA65" w14:textId="77777777" w:rsidR="00DC1A6E" w:rsidRPr="002E42F1" w:rsidRDefault="00DC1A6E" w:rsidP="00AE018D">
            <w:pPr>
              <w:pStyle w:val="NoSpacing"/>
              <w:jc w:val="right"/>
            </w:pPr>
            <w:r w:rsidRPr="002E42F1">
              <w:t>18,3</w:t>
            </w:r>
          </w:p>
        </w:tc>
      </w:tr>
      <w:tr w:rsidR="002E42F1" w:rsidRPr="002E42F1" w14:paraId="0846A798" w14:textId="77777777" w:rsidTr="00CE348F">
        <w:trPr>
          <w:trHeight w:val="255"/>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C0A1AF2" w14:textId="77777777" w:rsidR="00DC1A6E" w:rsidRPr="002E42F1" w:rsidRDefault="00DC1A6E" w:rsidP="00CE348F">
            <w:pPr>
              <w:pStyle w:val="NoSpacing"/>
              <w:jc w:val="center"/>
            </w:pPr>
            <w:r w:rsidRPr="002E42F1">
              <w:t>2019</w:t>
            </w:r>
          </w:p>
        </w:tc>
        <w:tc>
          <w:tcPr>
            <w:tcW w:w="1788" w:type="dxa"/>
            <w:tcBorders>
              <w:top w:val="nil"/>
              <w:left w:val="nil"/>
              <w:bottom w:val="single" w:sz="4" w:space="0" w:color="auto"/>
              <w:right w:val="single" w:sz="4" w:space="0" w:color="auto"/>
            </w:tcBorders>
            <w:shd w:val="clear" w:color="auto" w:fill="auto"/>
            <w:noWrap/>
            <w:vAlign w:val="bottom"/>
            <w:hideMark/>
          </w:tcPr>
          <w:p w14:paraId="0AB88E2F" w14:textId="77777777" w:rsidR="00DC1A6E" w:rsidRPr="002E42F1" w:rsidRDefault="00DC1A6E" w:rsidP="00AE018D">
            <w:pPr>
              <w:pStyle w:val="NoSpacing"/>
              <w:jc w:val="right"/>
            </w:pPr>
            <w:r w:rsidRPr="002E42F1">
              <w:t>23,0</w:t>
            </w:r>
          </w:p>
        </w:tc>
        <w:tc>
          <w:tcPr>
            <w:tcW w:w="1814" w:type="dxa"/>
            <w:tcBorders>
              <w:top w:val="nil"/>
              <w:left w:val="nil"/>
              <w:bottom w:val="single" w:sz="4" w:space="0" w:color="auto"/>
              <w:right w:val="single" w:sz="4" w:space="0" w:color="auto"/>
            </w:tcBorders>
            <w:shd w:val="clear" w:color="auto" w:fill="auto"/>
            <w:noWrap/>
            <w:vAlign w:val="bottom"/>
            <w:hideMark/>
          </w:tcPr>
          <w:p w14:paraId="65335380" w14:textId="77777777" w:rsidR="00DC1A6E" w:rsidRPr="002E42F1" w:rsidRDefault="00DC1A6E" w:rsidP="00AE018D">
            <w:pPr>
              <w:pStyle w:val="NoSpacing"/>
              <w:jc w:val="right"/>
            </w:pPr>
            <w:r w:rsidRPr="002E42F1">
              <w:t>14,0</w:t>
            </w:r>
          </w:p>
        </w:tc>
        <w:tc>
          <w:tcPr>
            <w:tcW w:w="1813" w:type="dxa"/>
            <w:tcBorders>
              <w:top w:val="nil"/>
              <w:left w:val="nil"/>
              <w:bottom w:val="single" w:sz="4" w:space="0" w:color="auto"/>
              <w:right w:val="single" w:sz="4" w:space="0" w:color="auto"/>
            </w:tcBorders>
            <w:shd w:val="clear" w:color="auto" w:fill="auto"/>
            <w:noWrap/>
            <w:vAlign w:val="bottom"/>
            <w:hideMark/>
          </w:tcPr>
          <w:p w14:paraId="7D1738B4" w14:textId="77777777" w:rsidR="00DC1A6E" w:rsidRPr="002E42F1" w:rsidRDefault="00DC1A6E" w:rsidP="00AE018D">
            <w:pPr>
              <w:pStyle w:val="NoSpacing"/>
              <w:jc w:val="right"/>
            </w:pPr>
            <w:r w:rsidRPr="002E42F1">
              <w:t>13,0</w:t>
            </w:r>
          </w:p>
        </w:tc>
        <w:tc>
          <w:tcPr>
            <w:tcW w:w="1814" w:type="dxa"/>
            <w:tcBorders>
              <w:top w:val="nil"/>
              <w:left w:val="nil"/>
              <w:bottom w:val="single" w:sz="4" w:space="0" w:color="auto"/>
              <w:right w:val="single" w:sz="4" w:space="0" w:color="auto"/>
            </w:tcBorders>
            <w:shd w:val="clear" w:color="auto" w:fill="auto"/>
            <w:noWrap/>
            <w:vAlign w:val="bottom"/>
            <w:hideMark/>
          </w:tcPr>
          <w:p w14:paraId="7EE73E1C" w14:textId="77777777" w:rsidR="00DC1A6E" w:rsidRPr="002E42F1" w:rsidRDefault="00DC1A6E" w:rsidP="00AE018D">
            <w:pPr>
              <w:pStyle w:val="NoSpacing"/>
              <w:jc w:val="right"/>
            </w:pPr>
            <w:r w:rsidRPr="002E42F1">
              <w:t>17,3</w:t>
            </w:r>
          </w:p>
        </w:tc>
      </w:tr>
    </w:tbl>
    <w:p w14:paraId="4FF2A39C" w14:textId="64E372E8" w:rsidR="008B2B9B" w:rsidRPr="002E42F1" w:rsidRDefault="00A76D42" w:rsidP="006C282B">
      <w:pPr>
        <w:pStyle w:val="NoSpacing"/>
        <w:jc w:val="both"/>
        <w:rPr>
          <w:bCs/>
          <w:iCs/>
          <w:sz w:val="28"/>
          <w:szCs w:val="28"/>
        </w:rPr>
      </w:pPr>
      <w:r w:rsidRPr="002E42F1">
        <w:rPr>
          <w:bCs/>
          <w:iCs/>
          <w:sz w:val="28"/>
          <w:szCs w:val="28"/>
        </w:rPr>
        <w:t>Avots: IUB d</w:t>
      </w:r>
      <w:r w:rsidR="008B2B9B" w:rsidRPr="002E42F1">
        <w:rPr>
          <w:bCs/>
          <w:iCs/>
          <w:sz w:val="28"/>
          <w:szCs w:val="28"/>
        </w:rPr>
        <w:t>ati</w:t>
      </w:r>
    </w:p>
    <w:p w14:paraId="09E72805" w14:textId="2A53F6D2" w:rsidR="0063029B" w:rsidRPr="002E42F1" w:rsidRDefault="0063029B" w:rsidP="006C282B">
      <w:pPr>
        <w:pStyle w:val="NoSpacing"/>
        <w:jc w:val="both"/>
        <w:rPr>
          <w:bCs/>
          <w:iCs/>
          <w:sz w:val="28"/>
          <w:szCs w:val="28"/>
        </w:rPr>
      </w:pPr>
    </w:p>
    <w:p w14:paraId="7230AAF5" w14:textId="0F35C7A5" w:rsidR="00B614CC" w:rsidRPr="002E42F1" w:rsidRDefault="00B614CC" w:rsidP="006C282B">
      <w:pPr>
        <w:pStyle w:val="NoSpacing"/>
        <w:jc w:val="both"/>
        <w:rPr>
          <w:bCs/>
          <w:iCs/>
          <w:sz w:val="28"/>
          <w:szCs w:val="28"/>
        </w:rPr>
      </w:pPr>
    </w:p>
    <w:p w14:paraId="1D38C828" w14:textId="071D958B" w:rsidR="00B614CC" w:rsidRPr="002E42F1" w:rsidRDefault="00B614CC" w:rsidP="006C282B">
      <w:pPr>
        <w:pStyle w:val="NoSpacing"/>
        <w:jc w:val="both"/>
        <w:rPr>
          <w:bCs/>
          <w:iCs/>
          <w:sz w:val="28"/>
          <w:szCs w:val="28"/>
        </w:rPr>
      </w:pPr>
    </w:p>
    <w:p w14:paraId="705376B4" w14:textId="59B8C902" w:rsidR="00B614CC" w:rsidRDefault="00B614CC" w:rsidP="006C282B">
      <w:pPr>
        <w:pStyle w:val="NoSpacing"/>
        <w:jc w:val="both"/>
        <w:rPr>
          <w:bCs/>
          <w:iCs/>
          <w:sz w:val="28"/>
          <w:szCs w:val="28"/>
        </w:rPr>
      </w:pPr>
    </w:p>
    <w:p w14:paraId="3332D55C" w14:textId="77777777" w:rsidR="00BA4929" w:rsidRDefault="00BA4929" w:rsidP="006C282B">
      <w:pPr>
        <w:pStyle w:val="NoSpacing"/>
        <w:jc w:val="both"/>
        <w:rPr>
          <w:bCs/>
          <w:iCs/>
          <w:sz w:val="28"/>
          <w:szCs w:val="28"/>
        </w:rPr>
      </w:pPr>
    </w:p>
    <w:p w14:paraId="402FEAEF" w14:textId="77777777" w:rsidR="00BA4929" w:rsidRPr="002E42F1" w:rsidRDefault="00BA4929" w:rsidP="006C282B">
      <w:pPr>
        <w:pStyle w:val="NoSpacing"/>
        <w:jc w:val="both"/>
        <w:rPr>
          <w:bCs/>
          <w:iCs/>
          <w:sz w:val="28"/>
          <w:szCs w:val="28"/>
        </w:rPr>
      </w:pPr>
    </w:p>
    <w:p w14:paraId="72899E9B" w14:textId="08398247" w:rsidR="00B614CC" w:rsidRDefault="00B614CC" w:rsidP="006C282B">
      <w:pPr>
        <w:pStyle w:val="NoSpacing"/>
        <w:jc w:val="both"/>
        <w:rPr>
          <w:bCs/>
          <w:iCs/>
          <w:sz w:val="28"/>
          <w:szCs w:val="28"/>
        </w:rPr>
      </w:pPr>
    </w:p>
    <w:p w14:paraId="21B73A8E" w14:textId="77777777" w:rsidR="00F82CB9" w:rsidRDefault="00F82CB9" w:rsidP="006C282B">
      <w:pPr>
        <w:pStyle w:val="NoSpacing"/>
        <w:jc w:val="both"/>
        <w:rPr>
          <w:bCs/>
          <w:iCs/>
          <w:sz w:val="28"/>
          <w:szCs w:val="28"/>
        </w:rPr>
      </w:pPr>
    </w:p>
    <w:p w14:paraId="0D4E18D5" w14:textId="77777777" w:rsidR="00F82CB9" w:rsidRDefault="00F82CB9" w:rsidP="006C282B">
      <w:pPr>
        <w:pStyle w:val="NoSpacing"/>
        <w:jc w:val="both"/>
        <w:rPr>
          <w:bCs/>
          <w:iCs/>
          <w:sz w:val="28"/>
          <w:szCs w:val="28"/>
        </w:rPr>
      </w:pPr>
    </w:p>
    <w:p w14:paraId="081B5330" w14:textId="77777777" w:rsidR="00F82CB9" w:rsidRDefault="00F82CB9" w:rsidP="006C282B">
      <w:pPr>
        <w:pStyle w:val="NoSpacing"/>
        <w:jc w:val="both"/>
        <w:rPr>
          <w:bCs/>
          <w:iCs/>
          <w:sz w:val="28"/>
          <w:szCs w:val="28"/>
        </w:rPr>
      </w:pPr>
    </w:p>
    <w:p w14:paraId="1B530792" w14:textId="77777777" w:rsidR="00F82CB9" w:rsidRPr="002E42F1" w:rsidRDefault="00F82CB9" w:rsidP="006C282B">
      <w:pPr>
        <w:pStyle w:val="NoSpacing"/>
        <w:jc w:val="both"/>
        <w:rPr>
          <w:bCs/>
          <w:iCs/>
          <w:sz w:val="28"/>
          <w:szCs w:val="28"/>
        </w:rPr>
      </w:pPr>
    </w:p>
    <w:p w14:paraId="2147A0EE" w14:textId="21EF8FFF" w:rsidR="00B614CC" w:rsidRPr="002E42F1" w:rsidRDefault="00B614CC" w:rsidP="006C282B">
      <w:pPr>
        <w:pStyle w:val="NoSpacing"/>
        <w:jc w:val="both"/>
        <w:rPr>
          <w:bCs/>
          <w:iCs/>
          <w:sz w:val="28"/>
          <w:szCs w:val="28"/>
        </w:rPr>
      </w:pPr>
    </w:p>
    <w:p w14:paraId="7E73F490" w14:textId="3979BF89" w:rsidR="00B614CC" w:rsidRPr="002E42F1" w:rsidRDefault="00B614CC" w:rsidP="006C282B">
      <w:pPr>
        <w:pStyle w:val="NoSpacing"/>
        <w:jc w:val="both"/>
        <w:rPr>
          <w:bCs/>
          <w:iCs/>
          <w:sz w:val="28"/>
          <w:szCs w:val="28"/>
        </w:rPr>
      </w:pPr>
    </w:p>
    <w:p w14:paraId="0EB5B2DB" w14:textId="25B1AE0E" w:rsidR="00B614CC" w:rsidRPr="002E42F1" w:rsidRDefault="00B614CC" w:rsidP="006C282B">
      <w:pPr>
        <w:pStyle w:val="NoSpacing"/>
        <w:jc w:val="both"/>
        <w:rPr>
          <w:bCs/>
          <w:iCs/>
          <w:sz w:val="28"/>
          <w:szCs w:val="28"/>
        </w:rPr>
      </w:pPr>
    </w:p>
    <w:p w14:paraId="2C6F1D3D" w14:textId="3FF12EA0" w:rsidR="00B614CC" w:rsidRPr="002E42F1" w:rsidRDefault="00B614CC" w:rsidP="006C282B">
      <w:pPr>
        <w:pStyle w:val="NoSpacing"/>
        <w:jc w:val="both"/>
        <w:rPr>
          <w:bCs/>
          <w:iCs/>
          <w:sz w:val="28"/>
          <w:szCs w:val="28"/>
        </w:rPr>
      </w:pPr>
    </w:p>
    <w:p w14:paraId="2296913C" w14:textId="77777777" w:rsidR="00B614CC" w:rsidRPr="002E42F1" w:rsidRDefault="00B614CC" w:rsidP="006C282B">
      <w:pPr>
        <w:pStyle w:val="NoSpacing"/>
        <w:jc w:val="both"/>
        <w:rPr>
          <w:bCs/>
          <w:iCs/>
          <w:sz w:val="28"/>
          <w:szCs w:val="28"/>
        </w:rPr>
      </w:pPr>
    </w:p>
    <w:p w14:paraId="7CEFC6CA" w14:textId="04EE324B" w:rsidR="00A21D0F" w:rsidRPr="002E42F1" w:rsidRDefault="0057580F" w:rsidP="00CE348F">
      <w:pPr>
        <w:pStyle w:val="NoSpacing"/>
        <w:jc w:val="right"/>
        <w:rPr>
          <w:bCs/>
          <w:iCs/>
          <w:sz w:val="28"/>
          <w:szCs w:val="28"/>
        </w:rPr>
      </w:pPr>
      <w:r w:rsidRPr="002E42F1">
        <w:rPr>
          <w:bCs/>
          <w:iCs/>
          <w:sz w:val="28"/>
          <w:szCs w:val="28"/>
        </w:rPr>
        <w:lastRenderedPageBreak/>
        <w:t>7</w:t>
      </w:r>
      <w:r w:rsidR="00353FC9" w:rsidRPr="002E42F1">
        <w:rPr>
          <w:bCs/>
          <w:iCs/>
          <w:sz w:val="28"/>
          <w:szCs w:val="28"/>
        </w:rPr>
        <w:t>.</w:t>
      </w:r>
      <w:r w:rsidR="00776752" w:rsidRPr="002E42F1">
        <w:rPr>
          <w:bCs/>
          <w:iCs/>
          <w:sz w:val="28"/>
          <w:szCs w:val="28"/>
        </w:rPr>
        <w:t xml:space="preserve"> attēls</w:t>
      </w:r>
    </w:p>
    <w:p w14:paraId="20B4657C" w14:textId="31C709FB" w:rsidR="009D5774" w:rsidRPr="002E42F1" w:rsidRDefault="003830A7" w:rsidP="00CE348F">
      <w:pPr>
        <w:pStyle w:val="NoSpacing"/>
        <w:jc w:val="center"/>
        <w:rPr>
          <w:bCs/>
          <w:iCs/>
          <w:sz w:val="28"/>
          <w:szCs w:val="28"/>
        </w:rPr>
      </w:pPr>
      <w:r w:rsidRPr="002E42F1">
        <w:rPr>
          <w:bCs/>
          <w:iCs/>
          <w:sz w:val="28"/>
          <w:szCs w:val="28"/>
        </w:rPr>
        <w:t>ZPI īpatsvars</w:t>
      </w:r>
      <w:r w:rsidR="002C5B20" w:rsidRPr="002E42F1">
        <w:rPr>
          <w:bCs/>
          <w:iCs/>
          <w:sz w:val="28"/>
          <w:szCs w:val="28"/>
        </w:rPr>
        <w:t xml:space="preserve"> </w:t>
      </w:r>
      <w:r w:rsidR="0052669D" w:rsidRPr="002E42F1">
        <w:rPr>
          <w:bCs/>
          <w:iCs/>
          <w:sz w:val="28"/>
          <w:szCs w:val="28"/>
        </w:rPr>
        <w:t xml:space="preserve">pret kopējo iepirkumu apjomu </w:t>
      </w:r>
      <w:r w:rsidR="00C63DC6" w:rsidRPr="002E42F1">
        <w:rPr>
          <w:bCs/>
          <w:iCs/>
          <w:sz w:val="28"/>
          <w:szCs w:val="28"/>
        </w:rPr>
        <w:t>finansiālā</w:t>
      </w:r>
      <w:r w:rsidR="0052669D" w:rsidRPr="002E42F1">
        <w:rPr>
          <w:bCs/>
          <w:iCs/>
          <w:sz w:val="28"/>
          <w:szCs w:val="28"/>
        </w:rPr>
        <w:t xml:space="preserve"> izteiksmē</w:t>
      </w:r>
    </w:p>
    <w:p w14:paraId="064849B7" w14:textId="02B21D1B" w:rsidR="00D50C7A" w:rsidRPr="002E42F1" w:rsidRDefault="002C5B20" w:rsidP="00CE348F">
      <w:pPr>
        <w:pStyle w:val="NoSpacing"/>
        <w:jc w:val="center"/>
        <w:rPr>
          <w:bCs/>
          <w:iCs/>
          <w:sz w:val="28"/>
          <w:szCs w:val="28"/>
        </w:rPr>
      </w:pPr>
      <w:r w:rsidRPr="002E42F1">
        <w:rPr>
          <w:bCs/>
          <w:iCs/>
          <w:sz w:val="28"/>
          <w:szCs w:val="28"/>
        </w:rPr>
        <w:t xml:space="preserve">pēc iepirkuma veida </w:t>
      </w:r>
      <w:r w:rsidR="00D50C7A" w:rsidRPr="002E42F1">
        <w:rPr>
          <w:bCs/>
          <w:iCs/>
          <w:sz w:val="28"/>
          <w:szCs w:val="28"/>
        </w:rPr>
        <w:t>2015</w:t>
      </w:r>
      <w:r w:rsidRPr="002E42F1">
        <w:rPr>
          <w:bCs/>
          <w:iCs/>
          <w:sz w:val="28"/>
          <w:szCs w:val="28"/>
        </w:rPr>
        <w:t>.</w:t>
      </w:r>
      <w:r w:rsidR="00C16966" w:rsidRPr="002E42F1">
        <w:rPr>
          <w:bCs/>
          <w:iCs/>
          <w:sz w:val="28"/>
          <w:szCs w:val="28"/>
        </w:rPr>
        <w:t xml:space="preserve"> – </w:t>
      </w:r>
      <w:r w:rsidR="00D50C7A" w:rsidRPr="002E42F1">
        <w:rPr>
          <w:bCs/>
          <w:iCs/>
          <w:sz w:val="28"/>
          <w:szCs w:val="28"/>
        </w:rPr>
        <w:t>201</w:t>
      </w:r>
      <w:r w:rsidR="008F55C3" w:rsidRPr="002E42F1">
        <w:rPr>
          <w:bCs/>
          <w:iCs/>
          <w:sz w:val="28"/>
          <w:szCs w:val="28"/>
        </w:rPr>
        <w:t>9</w:t>
      </w:r>
      <w:r w:rsidRPr="002E42F1">
        <w:rPr>
          <w:bCs/>
          <w:iCs/>
          <w:sz w:val="28"/>
          <w:szCs w:val="28"/>
        </w:rPr>
        <w:t>. gadā</w:t>
      </w:r>
    </w:p>
    <w:p w14:paraId="2E7CAEE6" w14:textId="77777777" w:rsidR="001733FA" w:rsidRPr="002E42F1" w:rsidRDefault="001733FA" w:rsidP="006C282B">
      <w:pPr>
        <w:pStyle w:val="NoSpacing"/>
        <w:jc w:val="both"/>
        <w:rPr>
          <w:bCs/>
          <w:iCs/>
          <w:sz w:val="28"/>
          <w:szCs w:val="28"/>
        </w:rPr>
      </w:pPr>
    </w:p>
    <w:p w14:paraId="76F0480E" w14:textId="0951323F" w:rsidR="002B1B5E" w:rsidRPr="002E42F1" w:rsidRDefault="002B1B5E" w:rsidP="00AE018D">
      <w:pPr>
        <w:pStyle w:val="NoSpacing"/>
        <w:jc w:val="center"/>
        <w:rPr>
          <w:bCs/>
          <w:iCs/>
          <w:sz w:val="28"/>
          <w:szCs w:val="28"/>
        </w:rPr>
      </w:pPr>
      <w:r w:rsidRPr="002E42F1">
        <w:rPr>
          <w:noProof/>
          <w:sz w:val="28"/>
          <w:szCs w:val="28"/>
        </w:rPr>
        <w:drawing>
          <wp:inline distT="0" distB="0" distL="0" distR="0" wp14:anchorId="12A39276" wp14:editId="59AE4874">
            <wp:extent cx="5210175" cy="3195638"/>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D42E2C" w14:textId="4F311035" w:rsidR="00FB0AD8" w:rsidRPr="002E42F1" w:rsidRDefault="00A76D42" w:rsidP="006C282B">
      <w:pPr>
        <w:pStyle w:val="NoSpacing"/>
        <w:jc w:val="both"/>
        <w:rPr>
          <w:bCs/>
          <w:iCs/>
          <w:sz w:val="28"/>
          <w:szCs w:val="28"/>
        </w:rPr>
      </w:pPr>
      <w:r w:rsidRPr="002E42F1">
        <w:rPr>
          <w:bCs/>
          <w:iCs/>
          <w:sz w:val="28"/>
          <w:szCs w:val="28"/>
        </w:rPr>
        <w:t>Avots: IUB d</w:t>
      </w:r>
      <w:r w:rsidR="00D50C7A" w:rsidRPr="002E42F1">
        <w:rPr>
          <w:bCs/>
          <w:iCs/>
          <w:sz w:val="28"/>
          <w:szCs w:val="28"/>
        </w:rPr>
        <w:t>ati</w:t>
      </w:r>
    </w:p>
    <w:p w14:paraId="2847A8CE" w14:textId="77777777" w:rsidR="002B1B5E" w:rsidRPr="002E42F1" w:rsidRDefault="002B1B5E" w:rsidP="006C282B">
      <w:pPr>
        <w:pStyle w:val="NoSpacing"/>
        <w:jc w:val="both"/>
        <w:rPr>
          <w:bCs/>
          <w:iCs/>
          <w:sz w:val="28"/>
          <w:szCs w:val="28"/>
        </w:rPr>
      </w:pPr>
    </w:p>
    <w:p w14:paraId="072C2AD8" w14:textId="6E4F630A" w:rsidR="002F3140" w:rsidRPr="002E42F1" w:rsidRDefault="00E04044" w:rsidP="00CE348F">
      <w:pPr>
        <w:pStyle w:val="NoSpacing"/>
        <w:ind w:firstLine="720"/>
        <w:jc w:val="both"/>
        <w:rPr>
          <w:bCs/>
          <w:iCs/>
          <w:sz w:val="28"/>
          <w:szCs w:val="28"/>
        </w:rPr>
      </w:pPr>
      <w:r w:rsidRPr="002E42F1">
        <w:rPr>
          <w:bCs/>
          <w:iCs/>
          <w:sz w:val="28"/>
          <w:szCs w:val="28"/>
        </w:rPr>
        <w:t>Analizējot iepirkumu veidu dinamiku</w:t>
      </w:r>
      <w:r w:rsidR="00AB0A67" w:rsidRPr="002E42F1">
        <w:rPr>
          <w:bCs/>
          <w:iCs/>
          <w:sz w:val="28"/>
          <w:szCs w:val="28"/>
        </w:rPr>
        <w:t xml:space="preserve"> pa sfērām</w:t>
      </w:r>
      <w:r w:rsidR="0005012C" w:rsidRPr="002E42F1">
        <w:rPr>
          <w:bCs/>
          <w:iCs/>
          <w:sz w:val="28"/>
          <w:szCs w:val="28"/>
        </w:rPr>
        <w:t>,</w:t>
      </w:r>
      <w:r w:rsidRPr="002E42F1">
        <w:rPr>
          <w:bCs/>
          <w:iCs/>
          <w:sz w:val="28"/>
          <w:szCs w:val="28"/>
        </w:rPr>
        <w:t xml:space="preserve"> secinā</w:t>
      </w:r>
      <w:r w:rsidR="00CB1257" w:rsidRPr="002E42F1">
        <w:rPr>
          <w:bCs/>
          <w:iCs/>
          <w:sz w:val="28"/>
          <w:szCs w:val="28"/>
        </w:rPr>
        <w:t>m</w:t>
      </w:r>
      <w:r w:rsidRPr="002E42F1">
        <w:rPr>
          <w:bCs/>
          <w:iCs/>
          <w:sz w:val="28"/>
          <w:szCs w:val="28"/>
        </w:rPr>
        <w:t>,</w:t>
      </w:r>
      <w:r w:rsidR="003B319F" w:rsidRPr="002E42F1">
        <w:rPr>
          <w:bCs/>
          <w:iCs/>
          <w:sz w:val="28"/>
          <w:szCs w:val="28"/>
        </w:rPr>
        <w:t xml:space="preserve"> ka</w:t>
      </w:r>
      <w:r w:rsidRPr="002E42F1">
        <w:rPr>
          <w:bCs/>
          <w:iCs/>
          <w:sz w:val="28"/>
          <w:szCs w:val="28"/>
        </w:rPr>
        <w:t xml:space="preserve"> </w:t>
      </w:r>
      <w:r w:rsidR="000468A0" w:rsidRPr="002E42F1">
        <w:rPr>
          <w:bCs/>
          <w:iCs/>
          <w:sz w:val="28"/>
          <w:szCs w:val="28"/>
        </w:rPr>
        <w:t>201</w:t>
      </w:r>
      <w:r w:rsidR="002F3140" w:rsidRPr="002E42F1">
        <w:rPr>
          <w:bCs/>
          <w:iCs/>
          <w:sz w:val="28"/>
          <w:szCs w:val="28"/>
        </w:rPr>
        <w:t>9</w:t>
      </w:r>
      <w:r w:rsidR="000468A0" w:rsidRPr="002E42F1">
        <w:rPr>
          <w:bCs/>
          <w:iCs/>
          <w:sz w:val="28"/>
          <w:szCs w:val="28"/>
        </w:rPr>
        <w:t>. gadā</w:t>
      </w:r>
      <w:r w:rsidR="003B319F" w:rsidRPr="002E42F1">
        <w:rPr>
          <w:bCs/>
          <w:iCs/>
          <w:sz w:val="28"/>
          <w:szCs w:val="28"/>
        </w:rPr>
        <w:t xml:space="preserve"> </w:t>
      </w:r>
      <w:r w:rsidR="002F3140" w:rsidRPr="002E42F1">
        <w:rPr>
          <w:bCs/>
          <w:iCs/>
          <w:sz w:val="28"/>
          <w:szCs w:val="28"/>
        </w:rPr>
        <w:t>turpinājies ZPI pieaugums – gan finanšu izteiksmē, gan procentuāli – tādās sfērās kā pārtika un ēdināšanas pakalpojumi, tīrīšanas līdzekļi un pakalpojumi, ielu apgaismojums un satiksmes signāli, b</w:t>
      </w:r>
      <w:r w:rsidR="00B74654" w:rsidRPr="002E42F1">
        <w:rPr>
          <w:bCs/>
          <w:iCs/>
          <w:sz w:val="28"/>
          <w:szCs w:val="28"/>
        </w:rPr>
        <w:t>ūvdarbi</w:t>
      </w:r>
      <w:r w:rsidR="002F3140" w:rsidRPr="002E42F1">
        <w:rPr>
          <w:bCs/>
          <w:iCs/>
          <w:sz w:val="28"/>
          <w:szCs w:val="28"/>
        </w:rPr>
        <w:t>, veselības aprūpes tehnoloģijas</w:t>
      </w:r>
      <w:r w:rsidR="00590FE2" w:rsidRPr="002E42F1">
        <w:rPr>
          <w:bCs/>
          <w:iCs/>
          <w:sz w:val="28"/>
          <w:szCs w:val="28"/>
        </w:rPr>
        <w:t xml:space="preserve">. </w:t>
      </w:r>
      <w:r w:rsidR="004400C4" w:rsidRPr="002E42F1">
        <w:rPr>
          <w:bCs/>
          <w:iCs/>
          <w:sz w:val="28"/>
          <w:szCs w:val="28"/>
        </w:rPr>
        <w:t>Skatīt 4. un 5</w:t>
      </w:r>
      <w:r w:rsidR="00590FE2" w:rsidRPr="002E42F1">
        <w:rPr>
          <w:bCs/>
          <w:iCs/>
          <w:sz w:val="28"/>
          <w:szCs w:val="28"/>
        </w:rPr>
        <w:t>. tabulu</w:t>
      </w:r>
      <w:r w:rsidR="002F3140" w:rsidRPr="002E42F1">
        <w:rPr>
          <w:bCs/>
          <w:iCs/>
          <w:sz w:val="28"/>
          <w:szCs w:val="28"/>
        </w:rPr>
        <w:t>. Galvenie s</w:t>
      </w:r>
      <w:r w:rsidR="00C90176" w:rsidRPr="002E42F1">
        <w:rPr>
          <w:bCs/>
          <w:iCs/>
          <w:sz w:val="28"/>
          <w:szCs w:val="28"/>
        </w:rPr>
        <w:t>kaidrojumi:</w:t>
      </w:r>
    </w:p>
    <w:p w14:paraId="33F2589E" w14:textId="06C836D9" w:rsidR="00C90176" w:rsidRPr="002E42F1" w:rsidRDefault="00C90176" w:rsidP="00CE348F">
      <w:pPr>
        <w:pStyle w:val="NoSpacing"/>
        <w:ind w:firstLine="720"/>
        <w:jc w:val="both"/>
        <w:rPr>
          <w:bCs/>
          <w:iCs/>
          <w:sz w:val="28"/>
          <w:szCs w:val="28"/>
        </w:rPr>
      </w:pPr>
      <w:r w:rsidRPr="002E42F1">
        <w:rPr>
          <w:bCs/>
          <w:iCs/>
          <w:sz w:val="28"/>
          <w:szCs w:val="28"/>
        </w:rPr>
        <w:t xml:space="preserve">Pārtika un ēdināšanas </w:t>
      </w:r>
      <w:r w:rsidR="008410D0" w:rsidRPr="002E42F1">
        <w:rPr>
          <w:bCs/>
          <w:iCs/>
          <w:sz w:val="28"/>
          <w:szCs w:val="28"/>
        </w:rPr>
        <w:t>pakalpojumi</w:t>
      </w:r>
      <w:r w:rsidR="00675FCA" w:rsidRPr="002E42F1">
        <w:rPr>
          <w:bCs/>
          <w:iCs/>
          <w:sz w:val="28"/>
          <w:szCs w:val="28"/>
        </w:rPr>
        <w:t xml:space="preserve"> (ZPI – 96,9%)</w:t>
      </w:r>
      <w:r w:rsidR="008410D0" w:rsidRPr="002E42F1">
        <w:rPr>
          <w:bCs/>
          <w:iCs/>
          <w:sz w:val="28"/>
          <w:szCs w:val="28"/>
        </w:rPr>
        <w:t xml:space="preserve"> – </w:t>
      </w:r>
      <w:r w:rsidR="00B74654" w:rsidRPr="002E42F1">
        <w:rPr>
          <w:bCs/>
          <w:iCs/>
          <w:sz w:val="28"/>
          <w:szCs w:val="28"/>
        </w:rPr>
        <w:t xml:space="preserve">galvenās patērētāju grupas ir pašvaldību iestādes (bērnudārzi, skolas u.c. sociālas iestādes), kurās ekoloģisku produktu un </w:t>
      </w:r>
      <w:r w:rsidR="00F814E9" w:rsidRPr="002E42F1">
        <w:rPr>
          <w:bCs/>
          <w:iCs/>
          <w:sz w:val="28"/>
          <w:szCs w:val="28"/>
        </w:rPr>
        <w:t>“</w:t>
      </w:r>
      <w:r w:rsidR="00B74654" w:rsidRPr="002E42F1">
        <w:rPr>
          <w:bCs/>
          <w:iCs/>
          <w:sz w:val="28"/>
          <w:szCs w:val="28"/>
        </w:rPr>
        <w:t>īso piegāžu ķēžu</w:t>
      </w:r>
      <w:r w:rsidR="00F814E9" w:rsidRPr="002E42F1">
        <w:rPr>
          <w:bCs/>
          <w:iCs/>
          <w:sz w:val="28"/>
          <w:szCs w:val="28"/>
        </w:rPr>
        <w:t>”</w:t>
      </w:r>
      <w:r w:rsidR="00B74654" w:rsidRPr="002E42F1">
        <w:rPr>
          <w:bCs/>
          <w:iCs/>
          <w:sz w:val="28"/>
          <w:szCs w:val="28"/>
        </w:rPr>
        <w:t xml:space="preserve"> prasības ir </w:t>
      </w:r>
      <w:r w:rsidR="00897B6E" w:rsidRPr="002E42F1">
        <w:rPr>
          <w:bCs/>
          <w:iCs/>
          <w:sz w:val="28"/>
          <w:szCs w:val="28"/>
        </w:rPr>
        <w:t>sabiedrībā</w:t>
      </w:r>
      <w:r w:rsidR="00416469" w:rsidRPr="002E42F1">
        <w:rPr>
          <w:bCs/>
          <w:iCs/>
          <w:sz w:val="28"/>
          <w:szCs w:val="28"/>
        </w:rPr>
        <w:t xml:space="preserve"> izprastas,</w:t>
      </w:r>
      <w:r w:rsidR="00B74654" w:rsidRPr="002E42F1">
        <w:rPr>
          <w:bCs/>
          <w:iCs/>
          <w:sz w:val="28"/>
          <w:szCs w:val="28"/>
        </w:rPr>
        <w:t xml:space="preserve"> populāras</w:t>
      </w:r>
      <w:r w:rsidR="00897B6E" w:rsidRPr="002E42F1">
        <w:rPr>
          <w:bCs/>
          <w:iCs/>
          <w:sz w:val="28"/>
          <w:szCs w:val="28"/>
        </w:rPr>
        <w:t xml:space="preserve"> un pieprasītas</w:t>
      </w:r>
      <w:r w:rsidR="00675FCA" w:rsidRPr="002E42F1">
        <w:rPr>
          <w:bCs/>
          <w:iCs/>
          <w:sz w:val="28"/>
          <w:szCs w:val="28"/>
        </w:rPr>
        <w:t xml:space="preserve">, </w:t>
      </w:r>
      <w:r w:rsidR="00897B6E" w:rsidRPr="002E42F1">
        <w:rPr>
          <w:bCs/>
          <w:iCs/>
          <w:sz w:val="28"/>
          <w:szCs w:val="28"/>
        </w:rPr>
        <w:t>tās arī ir</w:t>
      </w:r>
      <w:r w:rsidR="00675FCA" w:rsidRPr="002E42F1">
        <w:rPr>
          <w:bCs/>
          <w:iCs/>
          <w:sz w:val="28"/>
          <w:szCs w:val="28"/>
        </w:rPr>
        <w:t xml:space="preserve"> salīdzinoši </w:t>
      </w:r>
      <w:r w:rsidR="00AB1889" w:rsidRPr="002E42F1">
        <w:rPr>
          <w:bCs/>
          <w:iCs/>
          <w:sz w:val="28"/>
          <w:szCs w:val="28"/>
        </w:rPr>
        <w:t>vienkārši</w:t>
      </w:r>
      <w:r w:rsidR="00675FCA" w:rsidRPr="002E42F1">
        <w:rPr>
          <w:bCs/>
          <w:iCs/>
          <w:sz w:val="28"/>
          <w:szCs w:val="28"/>
        </w:rPr>
        <w:t xml:space="preserve"> realiz</w:t>
      </w:r>
      <w:r w:rsidR="00897B6E" w:rsidRPr="002E42F1">
        <w:rPr>
          <w:bCs/>
          <w:iCs/>
          <w:sz w:val="28"/>
          <w:szCs w:val="28"/>
        </w:rPr>
        <w:t>ējamas</w:t>
      </w:r>
      <w:r w:rsidR="00675FCA" w:rsidRPr="002E42F1">
        <w:rPr>
          <w:bCs/>
          <w:iCs/>
          <w:sz w:val="28"/>
          <w:szCs w:val="28"/>
        </w:rPr>
        <w:t>.</w:t>
      </w:r>
      <w:r w:rsidR="00B74654" w:rsidRPr="002E42F1">
        <w:rPr>
          <w:bCs/>
          <w:iCs/>
          <w:sz w:val="28"/>
          <w:szCs w:val="28"/>
        </w:rPr>
        <w:t xml:space="preserve"> </w:t>
      </w:r>
    </w:p>
    <w:p w14:paraId="41FDB8C9" w14:textId="5591F7EB" w:rsidR="008410D0" w:rsidRPr="002E42F1" w:rsidRDefault="008410D0" w:rsidP="00CE348F">
      <w:pPr>
        <w:pStyle w:val="NoSpacing"/>
        <w:ind w:firstLine="720"/>
        <w:jc w:val="both"/>
        <w:rPr>
          <w:bCs/>
          <w:iCs/>
          <w:sz w:val="28"/>
          <w:szCs w:val="28"/>
        </w:rPr>
      </w:pPr>
      <w:r w:rsidRPr="002E42F1">
        <w:rPr>
          <w:bCs/>
          <w:iCs/>
          <w:sz w:val="28"/>
          <w:szCs w:val="28"/>
        </w:rPr>
        <w:t>Tīrīšanas līdzekļi un pakalpojumi</w:t>
      </w:r>
      <w:r w:rsidR="00675FCA" w:rsidRPr="002E42F1">
        <w:rPr>
          <w:bCs/>
          <w:iCs/>
          <w:sz w:val="28"/>
          <w:szCs w:val="28"/>
        </w:rPr>
        <w:t xml:space="preserve"> (ZPI – 59,7%)</w:t>
      </w:r>
      <w:r w:rsidRPr="002E42F1">
        <w:rPr>
          <w:bCs/>
          <w:iCs/>
          <w:sz w:val="28"/>
          <w:szCs w:val="28"/>
        </w:rPr>
        <w:t xml:space="preserve"> – </w:t>
      </w:r>
      <w:r w:rsidR="00416469" w:rsidRPr="002E42F1">
        <w:rPr>
          <w:bCs/>
          <w:iCs/>
          <w:sz w:val="28"/>
          <w:szCs w:val="28"/>
        </w:rPr>
        <w:t>ciešais</w:t>
      </w:r>
      <w:r w:rsidR="00675FCA" w:rsidRPr="002E42F1">
        <w:rPr>
          <w:bCs/>
          <w:iCs/>
          <w:sz w:val="28"/>
          <w:szCs w:val="28"/>
        </w:rPr>
        <w:t xml:space="preserve"> normatīvais regulējums rada apstākļus, kuros tirgū aizvien lielāku daļu sadzīves</w:t>
      </w:r>
      <w:r w:rsidR="00416469" w:rsidRPr="002E42F1">
        <w:rPr>
          <w:bCs/>
          <w:iCs/>
          <w:sz w:val="28"/>
          <w:szCs w:val="28"/>
        </w:rPr>
        <w:t xml:space="preserve"> un profesionālās tīrīšanas</w:t>
      </w:r>
      <w:r w:rsidR="00675FCA" w:rsidRPr="002E42F1">
        <w:rPr>
          <w:bCs/>
          <w:iCs/>
          <w:sz w:val="28"/>
          <w:szCs w:val="28"/>
        </w:rPr>
        <w:t xml:space="preserve"> ķīmijas veido </w:t>
      </w:r>
      <w:r w:rsidR="00C67098" w:rsidRPr="002E42F1">
        <w:rPr>
          <w:bCs/>
          <w:iCs/>
          <w:sz w:val="28"/>
          <w:szCs w:val="28"/>
        </w:rPr>
        <w:t>videi draudzīgāki</w:t>
      </w:r>
      <w:r w:rsidR="00675FCA" w:rsidRPr="002E42F1">
        <w:rPr>
          <w:bCs/>
          <w:iCs/>
          <w:sz w:val="28"/>
          <w:szCs w:val="28"/>
        </w:rPr>
        <w:t xml:space="preserve"> produkti</w:t>
      </w:r>
      <w:r w:rsidR="00416469" w:rsidRPr="002E42F1">
        <w:rPr>
          <w:bCs/>
          <w:iCs/>
          <w:sz w:val="28"/>
          <w:szCs w:val="28"/>
        </w:rPr>
        <w:t>.</w:t>
      </w:r>
      <w:r w:rsidR="00675FCA" w:rsidRPr="002E42F1">
        <w:rPr>
          <w:bCs/>
          <w:iCs/>
          <w:sz w:val="28"/>
          <w:szCs w:val="28"/>
        </w:rPr>
        <w:t xml:space="preserve"> </w:t>
      </w:r>
      <w:r w:rsidR="00416469" w:rsidRPr="002E42F1">
        <w:rPr>
          <w:bCs/>
          <w:iCs/>
          <w:sz w:val="28"/>
          <w:szCs w:val="28"/>
        </w:rPr>
        <w:t>A</w:t>
      </w:r>
      <w:r w:rsidR="00675FCA" w:rsidRPr="002E42F1">
        <w:rPr>
          <w:bCs/>
          <w:iCs/>
          <w:sz w:val="28"/>
          <w:szCs w:val="28"/>
        </w:rPr>
        <w:t xml:space="preserve">rī sabiedrības informētība </w:t>
      </w:r>
      <w:r w:rsidR="00F814E9" w:rsidRPr="002E42F1">
        <w:rPr>
          <w:bCs/>
          <w:iCs/>
          <w:sz w:val="28"/>
          <w:szCs w:val="28"/>
        </w:rPr>
        <w:t>un</w:t>
      </w:r>
      <w:r w:rsidR="00416469" w:rsidRPr="002E42F1">
        <w:rPr>
          <w:bCs/>
          <w:iCs/>
          <w:sz w:val="28"/>
          <w:szCs w:val="28"/>
        </w:rPr>
        <w:t xml:space="preserve"> pieaugošās </w:t>
      </w:r>
      <w:r w:rsidR="00F814E9" w:rsidRPr="002E42F1">
        <w:rPr>
          <w:bCs/>
          <w:iCs/>
          <w:sz w:val="28"/>
          <w:szCs w:val="28"/>
        </w:rPr>
        <w:t>prasības</w:t>
      </w:r>
      <w:r w:rsidR="00416469" w:rsidRPr="002E42F1">
        <w:rPr>
          <w:bCs/>
          <w:iCs/>
          <w:sz w:val="28"/>
          <w:szCs w:val="28"/>
        </w:rPr>
        <w:t xml:space="preserve"> vides drošībai </w:t>
      </w:r>
      <w:r w:rsidR="00DA01B6" w:rsidRPr="002E42F1">
        <w:rPr>
          <w:bCs/>
          <w:iCs/>
          <w:sz w:val="28"/>
          <w:szCs w:val="28"/>
        </w:rPr>
        <w:t>veicina</w:t>
      </w:r>
      <w:r w:rsidR="00416469" w:rsidRPr="002E42F1">
        <w:rPr>
          <w:bCs/>
          <w:iCs/>
          <w:sz w:val="28"/>
          <w:szCs w:val="28"/>
        </w:rPr>
        <w:t xml:space="preserve"> preču ar samazinātu ietekmi uz </w:t>
      </w:r>
      <w:r w:rsidR="00C67098" w:rsidRPr="002E42F1">
        <w:rPr>
          <w:bCs/>
          <w:iCs/>
          <w:sz w:val="28"/>
          <w:szCs w:val="28"/>
        </w:rPr>
        <w:t>vidi</w:t>
      </w:r>
      <w:r w:rsidR="00416469" w:rsidRPr="002E42F1">
        <w:rPr>
          <w:bCs/>
          <w:iCs/>
          <w:sz w:val="28"/>
          <w:szCs w:val="28"/>
        </w:rPr>
        <w:t xml:space="preserve"> plaš</w:t>
      </w:r>
      <w:r w:rsidR="00F814E9" w:rsidRPr="002E42F1">
        <w:rPr>
          <w:bCs/>
          <w:iCs/>
          <w:sz w:val="28"/>
          <w:szCs w:val="28"/>
        </w:rPr>
        <w:t>u pielietojumu.</w:t>
      </w:r>
    </w:p>
    <w:p w14:paraId="61D6055B" w14:textId="34ADD66F" w:rsidR="008410D0" w:rsidRPr="002E42F1" w:rsidRDefault="008410D0" w:rsidP="00CE348F">
      <w:pPr>
        <w:pStyle w:val="NoSpacing"/>
        <w:ind w:firstLine="720"/>
        <w:jc w:val="both"/>
        <w:rPr>
          <w:bCs/>
          <w:iCs/>
          <w:sz w:val="28"/>
          <w:szCs w:val="28"/>
        </w:rPr>
      </w:pPr>
      <w:r w:rsidRPr="002E42F1">
        <w:rPr>
          <w:bCs/>
          <w:iCs/>
          <w:sz w:val="28"/>
          <w:szCs w:val="28"/>
        </w:rPr>
        <w:t>Ielu apgaismojums un satiksmes signāli</w:t>
      </w:r>
      <w:r w:rsidR="00F814E9" w:rsidRPr="002E42F1">
        <w:rPr>
          <w:bCs/>
          <w:iCs/>
          <w:sz w:val="28"/>
          <w:szCs w:val="28"/>
        </w:rPr>
        <w:t xml:space="preserve"> (ZPI – 55,8%)</w:t>
      </w:r>
      <w:r w:rsidRPr="002E42F1">
        <w:rPr>
          <w:bCs/>
          <w:iCs/>
          <w:sz w:val="28"/>
          <w:szCs w:val="28"/>
        </w:rPr>
        <w:t xml:space="preserve"> – </w:t>
      </w:r>
      <w:r w:rsidR="00F814E9" w:rsidRPr="002E42F1">
        <w:rPr>
          <w:bCs/>
          <w:iCs/>
          <w:sz w:val="28"/>
          <w:szCs w:val="28"/>
        </w:rPr>
        <w:t xml:space="preserve">tehnoloģiju straujā attīstība nosaka energoefektivitātes kritēriju popularitāti un plašu pieprasījumu pēc tām. Faktiski tirgū </w:t>
      </w:r>
      <w:r w:rsidR="00440EB4" w:rsidRPr="002E42F1">
        <w:rPr>
          <w:bCs/>
          <w:iCs/>
          <w:sz w:val="28"/>
          <w:szCs w:val="28"/>
        </w:rPr>
        <w:t>gandrīz</w:t>
      </w:r>
      <w:r w:rsidR="00F814E9" w:rsidRPr="002E42F1">
        <w:rPr>
          <w:bCs/>
          <w:iCs/>
          <w:sz w:val="28"/>
          <w:szCs w:val="28"/>
        </w:rPr>
        <w:t xml:space="preserve"> </w:t>
      </w:r>
      <w:r w:rsidR="00440EB4" w:rsidRPr="002E42F1">
        <w:rPr>
          <w:bCs/>
          <w:iCs/>
          <w:sz w:val="28"/>
          <w:szCs w:val="28"/>
        </w:rPr>
        <w:t>vairs</w:t>
      </w:r>
      <w:r w:rsidR="00F814E9" w:rsidRPr="002E42F1">
        <w:rPr>
          <w:bCs/>
          <w:iCs/>
          <w:sz w:val="28"/>
          <w:szCs w:val="28"/>
        </w:rPr>
        <w:t xml:space="preserve"> nav pieejami iepriekšējās paaudzes tehnoloģiskie risinājumi.</w:t>
      </w:r>
    </w:p>
    <w:p w14:paraId="505CA73E" w14:textId="2BFB473E" w:rsidR="008410D0" w:rsidRPr="002E42F1" w:rsidRDefault="00B74654" w:rsidP="00DA01B6">
      <w:pPr>
        <w:pStyle w:val="NoSpacing"/>
        <w:ind w:firstLine="720"/>
        <w:jc w:val="both"/>
        <w:rPr>
          <w:bCs/>
          <w:iCs/>
          <w:sz w:val="28"/>
          <w:szCs w:val="28"/>
        </w:rPr>
      </w:pPr>
      <w:r w:rsidRPr="002E42F1">
        <w:rPr>
          <w:bCs/>
          <w:iCs/>
          <w:sz w:val="28"/>
          <w:szCs w:val="28"/>
        </w:rPr>
        <w:t>Būvdarbi</w:t>
      </w:r>
      <w:r w:rsidR="00F814E9" w:rsidRPr="002E42F1">
        <w:rPr>
          <w:bCs/>
          <w:iCs/>
          <w:sz w:val="28"/>
          <w:szCs w:val="28"/>
        </w:rPr>
        <w:t xml:space="preserve"> (ZPI – 23%)</w:t>
      </w:r>
      <w:r w:rsidRPr="002E42F1">
        <w:rPr>
          <w:bCs/>
          <w:iCs/>
          <w:sz w:val="28"/>
          <w:szCs w:val="28"/>
        </w:rPr>
        <w:t xml:space="preserve"> – </w:t>
      </w:r>
      <w:r w:rsidR="00897B6E" w:rsidRPr="002E42F1">
        <w:rPr>
          <w:bCs/>
          <w:iCs/>
          <w:sz w:val="28"/>
          <w:szCs w:val="28"/>
        </w:rPr>
        <w:t xml:space="preserve">lai gan ZPI īpatsvars nav augsts, tas uzrāda stabili pieaugošu tendenci pēdējos </w:t>
      </w:r>
      <w:r w:rsidR="00770191" w:rsidRPr="002E42F1">
        <w:rPr>
          <w:bCs/>
          <w:iCs/>
          <w:sz w:val="28"/>
          <w:szCs w:val="28"/>
        </w:rPr>
        <w:t>gados. Būtisku pienesumu tajā deva ZPI prasību noteikšan</w:t>
      </w:r>
      <w:r w:rsidR="0069730F" w:rsidRPr="002E42F1">
        <w:rPr>
          <w:bCs/>
          <w:iCs/>
          <w:sz w:val="28"/>
          <w:szCs w:val="28"/>
        </w:rPr>
        <w:t>a</w:t>
      </w:r>
      <w:r w:rsidR="00770191" w:rsidRPr="002E42F1">
        <w:rPr>
          <w:bCs/>
          <w:iCs/>
          <w:sz w:val="28"/>
          <w:szCs w:val="28"/>
        </w:rPr>
        <w:t xml:space="preserve"> par obligātām </w:t>
      </w:r>
      <w:r w:rsidR="0026777E" w:rsidRPr="002E42F1">
        <w:rPr>
          <w:bCs/>
          <w:iCs/>
          <w:sz w:val="28"/>
          <w:szCs w:val="28"/>
        </w:rPr>
        <w:t>realizējot</w:t>
      </w:r>
      <w:r w:rsidR="00770191" w:rsidRPr="002E42F1">
        <w:rPr>
          <w:bCs/>
          <w:iCs/>
          <w:sz w:val="28"/>
          <w:szCs w:val="28"/>
        </w:rPr>
        <w:t xml:space="preserve"> būvdarbus par Eiropas</w:t>
      </w:r>
      <w:r w:rsidR="0069730F" w:rsidRPr="002E42F1">
        <w:rPr>
          <w:bCs/>
          <w:iCs/>
          <w:sz w:val="28"/>
          <w:szCs w:val="28"/>
        </w:rPr>
        <w:t xml:space="preserve"> Savienības</w:t>
      </w:r>
      <w:r w:rsidR="00770191" w:rsidRPr="002E42F1">
        <w:rPr>
          <w:bCs/>
          <w:iCs/>
          <w:sz w:val="28"/>
          <w:szCs w:val="28"/>
        </w:rPr>
        <w:t xml:space="preserve"> </w:t>
      </w:r>
      <w:r w:rsidR="0069730F" w:rsidRPr="002E42F1">
        <w:rPr>
          <w:bCs/>
          <w:iCs/>
          <w:sz w:val="28"/>
          <w:szCs w:val="28"/>
        </w:rPr>
        <w:t>struktūr</w:t>
      </w:r>
      <w:r w:rsidR="00770191" w:rsidRPr="002E42F1">
        <w:rPr>
          <w:bCs/>
          <w:iCs/>
          <w:sz w:val="28"/>
          <w:szCs w:val="28"/>
        </w:rPr>
        <w:t xml:space="preserve">fondu </w:t>
      </w:r>
      <w:r w:rsidR="0026777E" w:rsidRPr="002E42F1">
        <w:rPr>
          <w:bCs/>
          <w:iCs/>
          <w:sz w:val="28"/>
          <w:szCs w:val="28"/>
        </w:rPr>
        <w:t>līdzekļiem</w:t>
      </w:r>
      <w:r w:rsidR="00770191" w:rsidRPr="002E42F1">
        <w:rPr>
          <w:bCs/>
          <w:iCs/>
          <w:sz w:val="28"/>
          <w:szCs w:val="28"/>
        </w:rPr>
        <w:t>.</w:t>
      </w:r>
      <w:r w:rsidR="00286A05" w:rsidRPr="002E42F1">
        <w:rPr>
          <w:bCs/>
          <w:iCs/>
          <w:sz w:val="28"/>
          <w:szCs w:val="28"/>
        </w:rPr>
        <w:t xml:space="preserve"> Taču novērojama arī nozares pielāgošanās statistikas </w:t>
      </w:r>
      <w:r w:rsidR="00286A05" w:rsidRPr="002E42F1">
        <w:rPr>
          <w:bCs/>
          <w:iCs/>
          <w:sz w:val="28"/>
          <w:szCs w:val="28"/>
        </w:rPr>
        <w:lastRenderedPageBreak/>
        <w:t xml:space="preserve">datu </w:t>
      </w:r>
      <w:r w:rsidR="00DA01B6" w:rsidRPr="001674FA">
        <w:rPr>
          <w:bCs/>
          <w:iCs/>
          <w:sz w:val="28"/>
          <w:szCs w:val="28"/>
        </w:rPr>
        <w:t>“</w:t>
      </w:r>
      <w:r w:rsidR="001674FA" w:rsidRPr="001674FA">
        <w:rPr>
          <w:bCs/>
          <w:iCs/>
          <w:sz w:val="28"/>
          <w:szCs w:val="28"/>
        </w:rPr>
        <w:t>zaļināšana</w:t>
      </w:r>
      <w:r w:rsidR="00286A05" w:rsidRPr="001674FA">
        <w:rPr>
          <w:bCs/>
          <w:iCs/>
          <w:sz w:val="28"/>
          <w:szCs w:val="28"/>
        </w:rPr>
        <w:t>”,</w:t>
      </w:r>
      <w:r w:rsidR="00286A05" w:rsidRPr="002E42F1">
        <w:rPr>
          <w:bCs/>
          <w:iCs/>
          <w:sz w:val="28"/>
          <w:szCs w:val="28"/>
        </w:rPr>
        <w:t xml:space="preserve"> jo pietiek ar vienas</w:t>
      </w:r>
      <w:r w:rsidR="0036506B" w:rsidRPr="002E42F1">
        <w:rPr>
          <w:bCs/>
          <w:iCs/>
          <w:sz w:val="28"/>
          <w:szCs w:val="28"/>
        </w:rPr>
        <w:t>,</w:t>
      </w:r>
      <w:r w:rsidR="00286A05" w:rsidRPr="002E42F1">
        <w:rPr>
          <w:bCs/>
          <w:iCs/>
          <w:sz w:val="28"/>
          <w:szCs w:val="28"/>
        </w:rPr>
        <w:t xml:space="preserve"> nebūtiskas sastāvdaļas iekļaušanu objektā </w:t>
      </w:r>
      <w:r w:rsidR="00977927" w:rsidRPr="002E42F1">
        <w:rPr>
          <w:bCs/>
          <w:iCs/>
          <w:sz w:val="28"/>
          <w:szCs w:val="28"/>
        </w:rPr>
        <w:t>(</w:t>
      </w:r>
      <w:r w:rsidR="00286A05" w:rsidRPr="002E42F1">
        <w:rPr>
          <w:bCs/>
          <w:iCs/>
          <w:sz w:val="28"/>
          <w:szCs w:val="28"/>
        </w:rPr>
        <w:t>piemēram: ene</w:t>
      </w:r>
      <w:r w:rsidR="00977927" w:rsidRPr="002E42F1">
        <w:rPr>
          <w:bCs/>
          <w:iCs/>
          <w:sz w:val="28"/>
          <w:szCs w:val="28"/>
        </w:rPr>
        <w:t>rgotaupīgas apgaismes iekārtas),</w:t>
      </w:r>
      <w:r w:rsidR="00286A05" w:rsidRPr="002E42F1">
        <w:rPr>
          <w:bCs/>
          <w:iCs/>
          <w:sz w:val="28"/>
          <w:szCs w:val="28"/>
        </w:rPr>
        <w:t xml:space="preserve"> lai </w:t>
      </w:r>
      <w:r w:rsidR="006B1FA2" w:rsidRPr="002E42F1">
        <w:rPr>
          <w:bCs/>
          <w:iCs/>
          <w:sz w:val="28"/>
          <w:szCs w:val="28"/>
        </w:rPr>
        <w:t>IUB informatīvajā sistēmā varētu šo pasūtījumu noformēt kā tādu, kam piemērotas ZPI</w:t>
      </w:r>
      <w:r w:rsidR="0069730F" w:rsidRPr="002E42F1">
        <w:rPr>
          <w:bCs/>
          <w:iCs/>
          <w:sz w:val="28"/>
          <w:szCs w:val="28"/>
        </w:rPr>
        <w:t xml:space="preserve"> prasības</w:t>
      </w:r>
      <w:r w:rsidR="006B1FA2" w:rsidRPr="002E42F1">
        <w:rPr>
          <w:bCs/>
          <w:iCs/>
          <w:sz w:val="28"/>
          <w:szCs w:val="28"/>
        </w:rPr>
        <w:t xml:space="preserve">. </w:t>
      </w:r>
      <w:r w:rsidR="00DA01B6" w:rsidRPr="002E42F1">
        <w:rPr>
          <w:bCs/>
          <w:iCs/>
          <w:sz w:val="28"/>
          <w:szCs w:val="28"/>
        </w:rPr>
        <w:t xml:space="preserve">Nākotnē jāmeklē risinājumi, kā ierobežot šādu datu </w:t>
      </w:r>
      <w:r w:rsidR="00DA01B6" w:rsidRPr="001674FA">
        <w:rPr>
          <w:bCs/>
          <w:iCs/>
          <w:sz w:val="28"/>
          <w:szCs w:val="28"/>
        </w:rPr>
        <w:t>“</w:t>
      </w:r>
      <w:r w:rsidR="001674FA" w:rsidRPr="001674FA">
        <w:rPr>
          <w:bCs/>
          <w:iCs/>
          <w:sz w:val="28"/>
          <w:szCs w:val="28"/>
        </w:rPr>
        <w:t>zaļināšanu</w:t>
      </w:r>
      <w:r w:rsidR="00DA01B6" w:rsidRPr="001674FA">
        <w:rPr>
          <w:bCs/>
          <w:iCs/>
          <w:sz w:val="28"/>
          <w:szCs w:val="28"/>
        </w:rPr>
        <w:t>”,</w:t>
      </w:r>
      <w:r w:rsidR="00DA01B6" w:rsidRPr="002E42F1">
        <w:rPr>
          <w:bCs/>
          <w:iCs/>
          <w:sz w:val="28"/>
          <w:szCs w:val="28"/>
        </w:rPr>
        <w:t xml:space="preserve"> piemēram nosakot konkrētu procent</w:t>
      </w:r>
      <w:r w:rsidR="00C67098" w:rsidRPr="002E42F1">
        <w:rPr>
          <w:bCs/>
          <w:iCs/>
          <w:sz w:val="28"/>
          <w:szCs w:val="28"/>
        </w:rPr>
        <w:t>u</w:t>
      </w:r>
      <w:r w:rsidR="00DA01B6" w:rsidRPr="002E42F1">
        <w:rPr>
          <w:bCs/>
          <w:iCs/>
          <w:sz w:val="28"/>
          <w:szCs w:val="28"/>
        </w:rPr>
        <w:t xml:space="preserve"> no kopējā būvapjoma, kam būtu jāizpi</w:t>
      </w:r>
      <w:r w:rsidR="00F82CB9">
        <w:rPr>
          <w:bCs/>
          <w:iCs/>
          <w:sz w:val="28"/>
          <w:szCs w:val="28"/>
        </w:rPr>
        <w:t>lda “zaļās būvniecības” prasības</w:t>
      </w:r>
      <w:r w:rsidR="00DA01B6" w:rsidRPr="002E42F1">
        <w:rPr>
          <w:bCs/>
          <w:iCs/>
          <w:sz w:val="28"/>
          <w:szCs w:val="28"/>
        </w:rPr>
        <w:t>.</w:t>
      </w:r>
    </w:p>
    <w:p w14:paraId="2A07D7F8" w14:textId="2908A89F" w:rsidR="00B74654" w:rsidRPr="002E42F1" w:rsidRDefault="00B74654" w:rsidP="00CE348F">
      <w:pPr>
        <w:pStyle w:val="NoSpacing"/>
        <w:ind w:firstLine="720"/>
        <w:jc w:val="both"/>
        <w:rPr>
          <w:bCs/>
          <w:iCs/>
          <w:sz w:val="28"/>
          <w:szCs w:val="28"/>
        </w:rPr>
      </w:pPr>
      <w:r w:rsidRPr="002E42F1">
        <w:rPr>
          <w:bCs/>
          <w:iCs/>
          <w:sz w:val="28"/>
          <w:szCs w:val="28"/>
        </w:rPr>
        <w:t>Veselības aprūpes tehnoloģijas</w:t>
      </w:r>
      <w:r w:rsidR="00886738" w:rsidRPr="002E42F1">
        <w:rPr>
          <w:bCs/>
          <w:iCs/>
          <w:sz w:val="28"/>
          <w:szCs w:val="28"/>
        </w:rPr>
        <w:t xml:space="preserve"> (ZPI – 0,8%)</w:t>
      </w:r>
      <w:r w:rsidRPr="002E42F1">
        <w:rPr>
          <w:bCs/>
          <w:iCs/>
          <w:sz w:val="28"/>
          <w:szCs w:val="28"/>
        </w:rPr>
        <w:t xml:space="preserve"> –</w:t>
      </w:r>
      <w:r w:rsidR="00886738" w:rsidRPr="002E42F1">
        <w:rPr>
          <w:bCs/>
          <w:iCs/>
          <w:sz w:val="28"/>
          <w:szCs w:val="28"/>
        </w:rPr>
        <w:t xml:space="preserve"> lai gan</w:t>
      </w:r>
      <w:r w:rsidRPr="002E42F1">
        <w:rPr>
          <w:bCs/>
          <w:iCs/>
          <w:sz w:val="28"/>
          <w:szCs w:val="28"/>
        </w:rPr>
        <w:t xml:space="preserve"> </w:t>
      </w:r>
      <w:r w:rsidR="00886738" w:rsidRPr="002E42F1">
        <w:rPr>
          <w:bCs/>
          <w:iCs/>
          <w:sz w:val="28"/>
          <w:szCs w:val="28"/>
        </w:rPr>
        <w:t xml:space="preserve">ZPI īpatsvars ir niecīgs, tas turpina pieaugt pēdējo 3 gadu laikā un skaidrojams ar medicīnas tehnoloģiju lielo energopatēriņu, kas aizvien vairāk mudina pircējus izvērtēt iegādāto iekārtu </w:t>
      </w:r>
      <w:r w:rsidR="0026777E" w:rsidRPr="002E42F1">
        <w:rPr>
          <w:bCs/>
          <w:iCs/>
          <w:sz w:val="28"/>
          <w:szCs w:val="28"/>
        </w:rPr>
        <w:t>energoefektivitātes</w:t>
      </w:r>
      <w:r w:rsidR="00886738" w:rsidRPr="002E42F1">
        <w:rPr>
          <w:bCs/>
          <w:iCs/>
          <w:sz w:val="28"/>
          <w:szCs w:val="28"/>
        </w:rPr>
        <w:t xml:space="preserve"> kritērijus. Šai grupai ir izaugsmes potenciāls nākotnē.</w:t>
      </w:r>
    </w:p>
    <w:p w14:paraId="1F50E40D" w14:textId="1522DB6C" w:rsidR="006B1FA2" w:rsidRPr="002E42F1" w:rsidRDefault="00590FE2" w:rsidP="00CE348F">
      <w:pPr>
        <w:pStyle w:val="NoSpacing"/>
        <w:ind w:firstLine="720"/>
        <w:jc w:val="both"/>
        <w:rPr>
          <w:bCs/>
          <w:iCs/>
          <w:sz w:val="28"/>
          <w:szCs w:val="28"/>
        </w:rPr>
      </w:pPr>
      <w:r w:rsidRPr="002E42F1">
        <w:rPr>
          <w:bCs/>
          <w:iCs/>
          <w:sz w:val="28"/>
          <w:szCs w:val="28"/>
        </w:rPr>
        <w:t xml:space="preserve">Kritums ZPI apjomā 2019. gadā novērots tādās grupās kā </w:t>
      </w:r>
      <w:r w:rsidR="006B1FA2" w:rsidRPr="002E42F1">
        <w:rPr>
          <w:bCs/>
          <w:iCs/>
          <w:sz w:val="28"/>
          <w:szCs w:val="28"/>
        </w:rPr>
        <w:t>biroja papīrs, datortehnika un</w:t>
      </w:r>
      <w:r w:rsidR="00977927" w:rsidRPr="002E42F1">
        <w:rPr>
          <w:bCs/>
          <w:iCs/>
          <w:sz w:val="28"/>
          <w:szCs w:val="28"/>
        </w:rPr>
        <w:t xml:space="preserve"> informācijas un</w:t>
      </w:r>
      <w:r w:rsidR="006B1FA2" w:rsidRPr="002E42F1">
        <w:rPr>
          <w:bCs/>
          <w:iCs/>
          <w:sz w:val="28"/>
          <w:szCs w:val="28"/>
        </w:rPr>
        <w:t xml:space="preserve"> komunikāciju tehnoloģijas</w:t>
      </w:r>
      <w:r w:rsidR="00977927" w:rsidRPr="002E42F1">
        <w:rPr>
          <w:bCs/>
          <w:iCs/>
          <w:sz w:val="28"/>
          <w:szCs w:val="28"/>
        </w:rPr>
        <w:t xml:space="preserve"> (IKT)</w:t>
      </w:r>
      <w:r w:rsidR="006B1FA2" w:rsidRPr="002E42F1">
        <w:rPr>
          <w:bCs/>
          <w:iCs/>
          <w:sz w:val="28"/>
          <w:szCs w:val="28"/>
        </w:rPr>
        <w:t xml:space="preserve">, iekštelpu apgaismojums, elektroenerģija, transports, mežsaimniecība. Skatīt </w:t>
      </w:r>
      <w:r w:rsidR="004400C4" w:rsidRPr="002E42F1">
        <w:rPr>
          <w:bCs/>
          <w:iCs/>
          <w:sz w:val="28"/>
          <w:szCs w:val="28"/>
        </w:rPr>
        <w:t>4</w:t>
      </w:r>
      <w:r w:rsidR="006B1FA2" w:rsidRPr="002E42F1">
        <w:rPr>
          <w:bCs/>
          <w:iCs/>
          <w:sz w:val="28"/>
          <w:szCs w:val="28"/>
        </w:rPr>
        <w:t xml:space="preserve">. un </w:t>
      </w:r>
      <w:r w:rsidR="004400C4" w:rsidRPr="002E42F1">
        <w:rPr>
          <w:bCs/>
          <w:iCs/>
          <w:sz w:val="28"/>
          <w:szCs w:val="28"/>
        </w:rPr>
        <w:t>5</w:t>
      </w:r>
      <w:r w:rsidR="006B1FA2" w:rsidRPr="002E42F1">
        <w:rPr>
          <w:bCs/>
          <w:iCs/>
          <w:sz w:val="28"/>
          <w:szCs w:val="28"/>
        </w:rPr>
        <w:t>. tabulu. Galvenie skaidrojumi:</w:t>
      </w:r>
    </w:p>
    <w:p w14:paraId="30CEE667" w14:textId="6852DF02" w:rsidR="006B1FA2" w:rsidRPr="002E42F1" w:rsidRDefault="006B1FA2" w:rsidP="00CE348F">
      <w:pPr>
        <w:pStyle w:val="NoSpacing"/>
        <w:ind w:firstLine="720"/>
        <w:jc w:val="both"/>
        <w:rPr>
          <w:bCs/>
          <w:iCs/>
          <w:sz w:val="28"/>
          <w:szCs w:val="28"/>
        </w:rPr>
      </w:pPr>
      <w:r w:rsidRPr="002E42F1">
        <w:rPr>
          <w:bCs/>
          <w:iCs/>
          <w:sz w:val="28"/>
          <w:szCs w:val="28"/>
        </w:rPr>
        <w:t>Biroja papīrs –</w:t>
      </w:r>
      <w:r w:rsidR="00C83E87" w:rsidRPr="002E42F1">
        <w:rPr>
          <w:bCs/>
          <w:iCs/>
          <w:sz w:val="28"/>
          <w:szCs w:val="28"/>
        </w:rPr>
        <w:t xml:space="preserve"> pāreja uz elektronisku </w:t>
      </w:r>
      <w:r w:rsidR="0026777E" w:rsidRPr="002E42F1">
        <w:rPr>
          <w:bCs/>
          <w:iCs/>
          <w:sz w:val="28"/>
          <w:szCs w:val="28"/>
        </w:rPr>
        <w:t>komunikāciju</w:t>
      </w:r>
      <w:r w:rsidR="00C83E87" w:rsidRPr="002E42F1">
        <w:rPr>
          <w:bCs/>
          <w:iCs/>
          <w:sz w:val="28"/>
          <w:szCs w:val="28"/>
        </w:rPr>
        <w:t xml:space="preserve"> un informācijas apriti ir mazinājusi biroja papīra kopējo patērēto apjomu, kā arī pasūtītāji aizvien biežāk biroja papīru iegādājas EIS sistēmā (skatīt ziņojums 3.3. daļu)</w:t>
      </w:r>
      <w:r w:rsidR="004E239E" w:rsidRPr="002E42F1">
        <w:rPr>
          <w:bCs/>
          <w:iCs/>
          <w:sz w:val="28"/>
          <w:szCs w:val="28"/>
        </w:rPr>
        <w:t>, kas lieci</w:t>
      </w:r>
      <w:r w:rsidR="008303CF" w:rsidRPr="002E42F1">
        <w:rPr>
          <w:bCs/>
          <w:iCs/>
          <w:sz w:val="28"/>
          <w:szCs w:val="28"/>
        </w:rPr>
        <w:t>n</w:t>
      </w:r>
      <w:r w:rsidR="004E239E" w:rsidRPr="002E42F1">
        <w:rPr>
          <w:bCs/>
          <w:iCs/>
          <w:sz w:val="28"/>
          <w:szCs w:val="28"/>
        </w:rPr>
        <w:t>a par pircēju paradumu izmaiņām.</w:t>
      </w:r>
      <w:r w:rsidR="006C1E1E" w:rsidRPr="002E42F1">
        <w:rPr>
          <w:bCs/>
          <w:iCs/>
          <w:sz w:val="28"/>
          <w:szCs w:val="28"/>
        </w:rPr>
        <w:t xml:space="preserve"> Šīs grupas īpatsvara rādītāju izmaiņa jāturpina vērot ilgtermiņā, uz šī brīža datiem izdarīt</w:t>
      </w:r>
      <w:r w:rsidR="00977927" w:rsidRPr="002E42F1">
        <w:rPr>
          <w:bCs/>
          <w:iCs/>
          <w:sz w:val="28"/>
          <w:szCs w:val="28"/>
        </w:rPr>
        <w:t xml:space="preserve"> vispārējus</w:t>
      </w:r>
      <w:r w:rsidR="006C1E1E" w:rsidRPr="002E42F1">
        <w:rPr>
          <w:bCs/>
          <w:iCs/>
          <w:sz w:val="28"/>
          <w:szCs w:val="28"/>
        </w:rPr>
        <w:t xml:space="preserve"> secinājumus būtu pārsteidzīgi.</w:t>
      </w:r>
    </w:p>
    <w:p w14:paraId="627D9DFE" w14:textId="6AF2618C" w:rsidR="006B1FA2" w:rsidRPr="002E42F1" w:rsidRDefault="00C83E87" w:rsidP="00CE348F">
      <w:pPr>
        <w:pStyle w:val="NoSpacing"/>
        <w:ind w:firstLine="720"/>
        <w:jc w:val="both"/>
        <w:rPr>
          <w:bCs/>
          <w:iCs/>
          <w:sz w:val="28"/>
          <w:szCs w:val="28"/>
        </w:rPr>
      </w:pPr>
      <w:r w:rsidRPr="002E42F1">
        <w:rPr>
          <w:bCs/>
          <w:iCs/>
          <w:sz w:val="28"/>
          <w:szCs w:val="28"/>
        </w:rPr>
        <w:t>D</w:t>
      </w:r>
      <w:r w:rsidR="006B1FA2" w:rsidRPr="002E42F1">
        <w:rPr>
          <w:bCs/>
          <w:iCs/>
          <w:sz w:val="28"/>
          <w:szCs w:val="28"/>
        </w:rPr>
        <w:t>atortehnika un</w:t>
      </w:r>
      <w:r w:rsidR="00544387" w:rsidRPr="002E42F1">
        <w:rPr>
          <w:bCs/>
          <w:iCs/>
          <w:sz w:val="28"/>
          <w:szCs w:val="28"/>
        </w:rPr>
        <w:t xml:space="preserve"> </w:t>
      </w:r>
      <w:r w:rsidR="00977927" w:rsidRPr="002E42F1">
        <w:rPr>
          <w:bCs/>
          <w:iCs/>
          <w:sz w:val="28"/>
          <w:szCs w:val="28"/>
        </w:rPr>
        <w:t>IKT</w:t>
      </w:r>
      <w:r w:rsidR="006B1FA2" w:rsidRPr="002E42F1">
        <w:rPr>
          <w:bCs/>
          <w:iCs/>
          <w:sz w:val="28"/>
          <w:szCs w:val="28"/>
        </w:rPr>
        <w:t xml:space="preserve"> – </w:t>
      </w:r>
      <w:r w:rsidR="006C1E1E" w:rsidRPr="002E42F1">
        <w:rPr>
          <w:bCs/>
          <w:iCs/>
          <w:sz w:val="28"/>
          <w:szCs w:val="28"/>
        </w:rPr>
        <w:t xml:space="preserve">2019. gadā samazinājies kopējais publiskā pasūtījuma </w:t>
      </w:r>
      <w:r w:rsidR="0026777E" w:rsidRPr="002E42F1">
        <w:rPr>
          <w:bCs/>
          <w:iCs/>
          <w:sz w:val="28"/>
          <w:szCs w:val="28"/>
        </w:rPr>
        <w:t>apjoms</w:t>
      </w:r>
      <w:r w:rsidR="006C1E1E" w:rsidRPr="002E42F1">
        <w:rPr>
          <w:bCs/>
          <w:iCs/>
          <w:sz w:val="28"/>
          <w:szCs w:val="28"/>
        </w:rPr>
        <w:t xml:space="preserve"> šajā grupā, kā arī pasūtītāji aizvien biežāk </w:t>
      </w:r>
      <w:r w:rsidR="004846E1" w:rsidRPr="002E42F1">
        <w:rPr>
          <w:bCs/>
          <w:iCs/>
          <w:sz w:val="28"/>
          <w:szCs w:val="28"/>
        </w:rPr>
        <w:t>IKT</w:t>
      </w:r>
      <w:r w:rsidR="006C1E1E" w:rsidRPr="002E42F1">
        <w:rPr>
          <w:bCs/>
          <w:iCs/>
          <w:sz w:val="28"/>
          <w:szCs w:val="28"/>
        </w:rPr>
        <w:t xml:space="preserve"> iegādājas EIS sistēmā (skatīt ziņojum</w:t>
      </w:r>
      <w:r w:rsidR="004E239E" w:rsidRPr="002E42F1">
        <w:rPr>
          <w:bCs/>
          <w:iCs/>
          <w:sz w:val="28"/>
          <w:szCs w:val="28"/>
        </w:rPr>
        <w:t>a</w:t>
      </w:r>
      <w:r w:rsidR="006C1E1E" w:rsidRPr="002E42F1">
        <w:rPr>
          <w:bCs/>
          <w:iCs/>
          <w:sz w:val="28"/>
          <w:szCs w:val="28"/>
        </w:rPr>
        <w:t xml:space="preserve"> 3.3. daļu)</w:t>
      </w:r>
      <w:r w:rsidR="0026777E" w:rsidRPr="002E42F1">
        <w:rPr>
          <w:bCs/>
          <w:iCs/>
          <w:sz w:val="28"/>
          <w:szCs w:val="28"/>
        </w:rPr>
        <w:t>, kas liecin</w:t>
      </w:r>
      <w:r w:rsidR="004E239E" w:rsidRPr="002E42F1">
        <w:rPr>
          <w:bCs/>
          <w:iCs/>
          <w:sz w:val="28"/>
          <w:szCs w:val="28"/>
        </w:rPr>
        <w:t>a par pircēju paradumu izmaiņām. EIS sistēmā</w:t>
      </w:r>
      <w:r w:rsidR="00954282" w:rsidRPr="002E42F1">
        <w:rPr>
          <w:bCs/>
          <w:iCs/>
          <w:sz w:val="28"/>
          <w:szCs w:val="28"/>
        </w:rPr>
        <w:t xml:space="preserve"> ir pieaudzis gan </w:t>
      </w:r>
      <w:r w:rsidR="004E239E" w:rsidRPr="002E42F1">
        <w:rPr>
          <w:bCs/>
          <w:iCs/>
          <w:sz w:val="28"/>
          <w:szCs w:val="28"/>
        </w:rPr>
        <w:t>IKT</w:t>
      </w:r>
      <w:r w:rsidR="00954282" w:rsidRPr="002E42F1">
        <w:rPr>
          <w:bCs/>
          <w:iCs/>
          <w:sz w:val="28"/>
          <w:szCs w:val="28"/>
        </w:rPr>
        <w:t xml:space="preserve"> iegāžu kopējais</w:t>
      </w:r>
      <w:r w:rsidR="004E239E" w:rsidRPr="002E42F1">
        <w:rPr>
          <w:bCs/>
          <w:iCs/>
          <w:sz w:val="28"/>
          <w:szCs w:val="28"/>
        </w:rPr>
        <w:t xml:space="preserve"> apjoms </w:t>
      </w:r>
      <w:r w:rsidR="00954282" w:rsidRPr="002E42F1">
        <w:rPr>
          <w:bCs/>
          <w:iCs/>
          <w:sz w:val="28"/>
          <w:szCs w:val="28"/>
        </w:rPr>
        <w:t xml:space="preserve">gan </w:t>
      </w:r>
      <w:r w:rsidR="004E239E" w:rsidRPr="002E42F1">
        <w:rPr>
          <w:bCs/>
          <w:iCs/>
          <w:sz w:val="28"/>
          <w:szCs w:val="28"/>
        </w:rPr>
        <w:t>ZPI īpatsvars.</w:t>
      </w:r>
    </w:p>
    <w:p w14:paraId="2370D2F8" w14:textId="10BA2B66" w:rsidR="006B1FA2" w:rsidRPr="002E42F1" w:rsidRDefault="00C83E87" w:rsidP="00CE348F">
      <w:pPr>
        <w:pStyle w:val="NoSpacing"/>
        <w:ind w:firstLine="720"/>
        <w:jc w:val="both"/>
        <w:rPr>
          <w:bCs/>
          <w:iCs/>
          <w:sz w:val="28"/>
          <w:szCs w:val="28"/>
        </w:rPr>
      </w:pPr>
      <w:r w:rsidRPr="002E42F1">
        <w:rPr>
          <w:bCs/>
          <w:iCs/>
          <w:sz w:val="28"/>
          <w:szCs w:val="28"/>
        </w:rPr>
        <w:t>Iekštelpu apgaismojums –</w:t>
      </w:r>
      <w:r w:rsidR="00732057" w:rsidRPr="002E42F1">
        <w:rPr>
          <w:bCs/>
          <w:iCs/>
          <w:sz w:val="28"/>
          <w:szCs w:val="28"/>
        </w:rPr>
        <w:t xml:space="preserve"> </w:t>
      </w:r>
      <w:r w:rsidR="00DE550B" w:rsidRPr="002E42F1">
        <w:rPr>
          <w:bCs/>
          <w:iCs/>
          <w:sz w:val="28"/>
          <w:szCs w:val="28"/>
        </w:rPr>
        <w:t>šī</w:t>
      </w:r>
      <w:r w:rsidR="005B7988" w:rsidRPr="002E42F1">
        <w:rPr>
          <w:bCs/>
          <w:iCs/>
          <w:sz w:val="28"/>
          <w:szCs w:val="28"/>
        </w:rPr>
        <w:t>s grupas preces</w:t>
      </w:r>
      <w:r w:rsidR="00C67098" w:rsidRPr="002E42F1">
        <w:rPr>
          <w:bCs/>
          <w:iCs/>
          <w:sz w:val="28"/>
          <w:szCs w:val="28"/>
        </w:rPr>
        <w:t xml:space="preserve"> pārsvarā</w:t>
      </w:r>
      <w:r w:rsidR="005B7988" w:rsidRPr="002E42F1">
        <w:rPr>
          <w:bCs/>
          <w:iCs/>
          <w:sz w:val="28"/>
          <w:szCs w:val="28"/>
        </w:rPr>
        <w:t xml:space="preserve"> tiek iegādātas kā būvniecības sastāvdaļa un atsevišķu iegāžu apjoms ir niecīgs un biežums </w:t>
      </w:r>
      <w:r w:rsidR="0089575E" w:rsidRPr="002E42F1">
        <w:rPr>
          <w:bCs/>
          <w:iCs/>
          <w:sz w:val="28"/>
          <w:szCs w:val="28"/>
        </w:rPr>
        <w:t>ir</w:t>
      </w:r>
      <w:r w:rsidR="005B7988" w:rsidRPr="002E42F1">
        <w:rPr>
          <w:bCs/>
          <w:iCs/>
          <w:sz w:val="28"/>
          <w:szCs w:val="28"/>
        </w:rPr>
        <w:t xml:space="preserve"> neregulārs.</w:t>
      </w:r>
    </w:p>
    <w:p w14:paraId="2289D3C2" w14:textId="462B0434" w:rsidR="00C83E87" w:rsidRPr="002E42F1" w:rsidRDefault="00C83E87" w:rsidP="00CE348F">
      <w:pPr>
        <w:pStyle w:val="NoSpacing"/>
        <w:ind w:firstLine="720"/>
        <w:jc w:val="both"/>
        <w:rPr>
          <w:bCs/>
          <w:iCs/>
          <w:sz w:val="28"/>
          <w:szCs w:val="28"/>
        </w:rPr>
      </w:pPr>
      <w:r w:rsidRPr="002E42F1">
        <w:rPr>
          <w:bCs/>
          <w:iCs/>
          <w:sz w:val="28"/>
          <w:szCs w:val="28"/>
        </w:rPr>
        <w:t xml:space="preserve">Elektroenerģija – </w:t>
      </w:r>
      <w:r w:rsidR="00293A9B" w:rsidRPr="002E42F1">
        <w:rPr>
          <w:bCs/>
          <w:iCs/>
          <w:sz w:val="28"/>
          <w:szCs w:val="28"/>
        </w:rPr>
        <w:t>ZPI īpatsvars elektroenerģijas iepirkumu kopējā apjomā ir bijis svārstīgs pēdējo četru gadu laik</w:t>
      </w:r>
      <w:r w:rsidR="00904152" w:rsidRPr="002E42F1">
        <w:rPr>
          <w:bCs/>
          <w:iCs/>
          <w:sz w:val="28"/>
          <w:szCs w:val="28"/>
        </w:rPr>
        <w:t>ā. Ņemot vērā produkta – elektroenerģija – tehnisko raksturu, manipulāciju iespējas ar iepirkumu procedūru prasībām veicot iepirkumu procedūras ir ierobežotas.</w:t>
      </w:r>
      <w:r w:rsidR="0089575E" w:rsidRPr="002E42F1">
        <w:rPr>
          <w:bCs/>
          <w:iCs/>
          <w:sz w:val="28"/>
          <w:szCs w:val="28"/>
        </w:rPr>
        <w:t xml:space="preserve"> Latvijas teritorijā saražotā un piedāvātā elekt</w:t>
      </w:r>
      <w:r w:rsidR="0026777E" w:rsidRPr="002E42F1">
        <w:rPr>
          <w:bCs/>
          <w:iCs/>
          <w:sz w:val="28"/>
          <w:szCs w:val="28"/>
        </w:rPr>
        <w:t>r</w:t>
      </w:r>
      <w:r w:rsidR="0089575E" w:rsidRPr="002E42F1">
        <w:rPr>
          <w:bCs/>
          <w:iCs/>
          <w:sz w:val="28"/>
          <w:szCs w:val="28"/>
        </w:rPr>
        <w:t>oenerģija gandrīz vienmēr satur no atjaunojamiem resursiem iegūtu elektr</w:t>
      </w:r>
      <w:r w:rsidR="0026777E" w:rsidRPr="002E42F1">
        <w:rPr>
          <w:bCs/>
          <w:iCs/>
          <w:sz w:val="28"/>
          <w:szCs w:val="28"/>
        </w:rPr>
        <w:t>o</w:t>
      </w:r>
      <w:r w:rsidR="0089575E" w:rsidRPr="002E42F1">
        <w:rPr>
          <w:bCs/>
          <w:iCs/>
          <w:sz w:val="28"/>
          <w:szCs w:val="28"/>
        </w:rPr>
        <w:t>enerģiju (hidroenerģija, vēja enerģija</w:t>
      </w:r>
      <w:r w:rsidR="004D0EF0" w:rsidRPr="002E42F1">
        <w:rPr>
          <w:bCs/>
          <w:iCs/>
          <w:sz w:val="28"/>
          <w:szCs w:val="28"/>
        </w:rPr>
        <w:t>, u.c.</w:t>
      </w:r>
      <w:r w:rsidR="0089575E" w:rsidRPr="002E42F1">
        <w:rPr>
          <w:bCs/>
          <w:iCs/>
          <w:sz w:val="28"/>
          <w:szCs w:val="28"/>
        </w:rPr>
        <w:t>)</w:t>
      </w:r>
      <w:r w:rsidR="004D0EF0" w:rsidRPr="002E42F1">
        <w:rPr>
          <w:bCs/>
          <w:iCs/>
          <w:sz w:val="28"/>
          <w:szCs w:val="28"/>
        </w:rPr>
        <w:t xml:space="preserve"> līdz ar to tā satur “zaļās enerģijas” komponenti. Tātad ZPI </w:t>
      </w:r>
      <w:r w:rsidR="0026777E" w:rsidRPr="002E42F1">
        <w:rPr>
          <w:bCs/>
          <w:iCs/>
          <w:sz w:val="28"/>
          <w:szCs w:val="28"/>
        </w:rPr>
        <w:t>atainojums</w:t>
      </w:r>
      <w:r w:rsidR="004D0EF0" w:rsidRPr="002E42F1">
        <w:rPr>
          <w:bCs/>
          <w:iCs/>
          <w:sz w:val="28"/>
          <w:szCs w:val="28"/>
        </w:rPr>
        <w:t xml:space="preserve"> iepirkumu statistikā nav tieši saistām</w:t>
      </w:r>
      <w:r w:rsidR="00C67098" w:rsidRPr="002E42F1">
        <w:rPr>
          <w:bCs/>
          <w:iCs/>
          <w:sz w:val="28"/>
          <w:szCs w:val="28"/>
        </w:rPr>
        <w:t>s</w:t>
      </w:r>
      <w:r w:rsidR="004D0EF0" w:rsidRPr="002E42F1">
        <w:rPr>
          <w:bCs/>
          <w:iCs/>
          <w:sz w:val="28"/>
          <w:szCs w:val="28"/>
        </w:rPr>
        <w:t xml:space="preserve"> ar “zaļās enerģija</w:t>
      </w:r>
      <w:r w:rsidR="001370C0" w:rsidRPr="002E42F1">
        <w:rPr>
          <w:bCs/>
          <w:iCs/>
          <w:sz w:val="28"/>
          <w:szCs w:val="28"/>
        </w:rPr>
        <w:t>s</w:t>
      </w:r>
      <w:r w:rsidR="004D0EF0" w:rsidRPr="002E42F1">
        <w:rPr>
          <w:bCs/>
          <w:iCs/>
          <w:sz w:val="28"/>
          <w:szCs w:val="28"/>
        </w:rPr>
        <w:t>” faktisko patēriņu un konkrētajā gadījumā</w:t>
      </w:r>
      <w:r w:rsidR="00E448CE" w:rsidRPr="002E42F1">
        <w:rPr>
          <w:bCs/>
          <w:iCs/>
          <w:sz w:val="28"/>
          <w:szCs w:val="28"/>
        </w:rPr>
        <w:t xml:space="preserve"> ilustrē kopainu par sliktu realitātei (pretēji ZPI būvdarbiem).</w:t>
      </w:r>
      <w:r w:rsidR="004D0EF0" w:rsidRPr="002E42F1">
        <w:rPr>
          <w:bCs/>
          <w:iCs/>
          <w:sz w:val="28"/>
          <w:szCs w:val="28"/>
        </w:rPr>
        <w:t xml:space="preserve"> </w:t>
      </w:r>
      <w:r w:rsidR="00904152" w:rsidRPr="002E42F1">
        <w:rPr>
          <w:bCs/>
          <w:iCs/>
          <w:sz w:val="28"/>
          <w:szCs w:val="28"/>
        </w:rPr>
        <w:t xml:space="preserve"> </w:t>
      </w:r>
      <w:r w:rsidR="00E448CE" w:rsidRPr="002E42F1">
        <w:rPr>
          <w:bCs/>
          <w:iCs/>
          <w:sz w:val="28"/>
          <w:szCs w:val="28"/>
        </w:rPr>
        <w:t>R</w:t>
      </w:r>
      <w:r w:rsidR="00904152" w:rsidRPr="002E42F1">
        <w:rPr>
          <w:bCs/>
          <w:iCs/>
          <w:sz w:val="28"/>
          <w:szCs w:val="28"/>
        </w:rPr>
        <w:t>ādītāju izmaiņa</w:t>
      </w:r>
      <w:r w:rsidR="00C67098" w:rsidRPr="002E42F1">
        <w:rPr>
          <w:bCs/>
          <w:iCs/>
          <w:sz w:val="28"/>
          <w:szCs w:val="28"/>
        </w:rPr>
        <w:t>s</w:t>
      </w:r>
      <w:r w:rsidR="00904152" w:rsidRPr="002E42F1">
        <w:rPr>
          <w:bCs/>
          <w:iCs/>
          <w:sz w:val="28"/>
          <w:szCs w:val="28"/>
        </w:rPr>
        <w:t xml:space="preserve"> jāturpina vērot ilgtermiņ</w:t>
      </w:r>
      <w:r w:rsidR="00E448CE" w:rsidRPr="002E42F1">
        <w:rPr>
          <w:bCs/>
          <w:iCs/>
          <w:sz w:val="28"/>
          <w:szCs w:val="28"/>
        </w:rPr>
        <w:t>ā, jāmeklē risinājumi korektu statistikas datu uzkrāšanai.</w:t>
      </w:r>
    </w:p>
    <w:p w14:paraId="29921410" w14:textId="5A550765" w:rsidR="00C83E87" w:rsidRPr="002E42F1" w:rsidRDefault="00C83E87" w:rsidP="00CE348F">
      <w:pPr>
        <w:pStyle w:val="NoSpacing"/>
        <w:ind w:firstLine="720"/>
        <w:jc w:val="both"/>
        <w:rPr>
          <w:bCs/>
          <w:iCs/>
          <w:sz w:val="28"/>
          <w:szCs w:val="28"/>
        </w:rPr>
      </w:pPr>
      <w:r w:rsidRPr="002E42F1">
        <w:rPr>
          <w:bCs/>
          <w:iCs/>
          <w:sz w:val="28"/>
          <w:szCs w:val="28"/>
        </w:rPr>
        <w:t xml:space="preserve">Transports – </w:t>
      </w:r>
      <w:r w:rsidR="00732763" w:rsidRPr="002E42F1">
        <w:rPr>
          <w:bCs/>
          <w:iCs/>
          <w:sz w:val="28"/>
          <w:szCs w:val="28"/>
        </w:rPr>
        <w:t>caurskatot publikācijas IUB mājas lapā (veikta manuāla datu atlase un caurskate nevis oficiālu datu analīze) konstatēts, ka lielāko daļu</w:t>
      </w:r>
      <w:r w:rsidR="00F37AA3" w:rsidRPr="002E42F1">
        <w:rPr>
          <w:bCs/>
          <w:iCs/>
          <w:sz w:val="28"/>
          <w:szCs w:val="28"/>
        </w:rPr>
        <w:t xml:space="preserve"> 2019. gada</w:t>
      </w:r>
      <w:r w:rsidR="00732763" w:rsidRPr="002E42F1">
        <w:rPr>
          <w:bCs/>
          <w:iCs/>
          <w:sz w:val="28"/>
          <w:szCs w:val="28"/>
        </w:rPr>
        <w:t xml:space="preserve"> sludinājumu sastāda transporta </w:t>
      </w:r>
      <w:r w:rsidR="00732763" w:rsidRPr="002E42F1">
        <w:rPr>
          <w:bCs/>
          <w:iCs/>
          <w:sz w:val="28"/>
          <w:szCs w:val="28"/>
          <w:u w:val="single"/>
        </w:rPr>
        <w:t>pakalpojumu</w:t>
      </w:r>
      <w:r w:rsidR="00732763" w:rsidRPr="002E42F1">
        <w:rPr>
          <w:bCs/>
          <w:iCs/>
          <w:sz w:val="28"/>
          <w:szCs w:val="28"/>
        </w:rPr>
        <w:t xml:space="preserve"> iepirkumi, nevis </w:t>
      </w:r>
      <w:r w:rsidR="00732763" w:rsidRPr="002E42F1">
        <w:rPr>
          <w:bCs/>
          <w:iCs/>
          <w:sz w:val="28"/>
          <w:szCs w:val="28"/>
          <w:u w:val="single"/>
        </w:rPr>
        <w:t>transportlīdzekļu</w:t>
      </w:r>
      <w:r w:rsidR="00732763" w:rsidRPr="002E42F1">
        <w:rPr>
          <w:bCs/>
          <w:iCs/>
          <w:sz w:val="28"/>
          <w:szCs w:val="28"/>
        </w:rPr>
        <w:t xml:space="preserve"> iegāde. </w:t>
      </w:r>
      <w:r w:rsidR="00203353" w:rsidRPr="002E42F1">
        <w:rPr>
          <w:bCs/>
          <w:iCs/>
          <w:sz w:val="28"/>
          <w:szCs w:val="28"/>
        </w:rPr>
        <w:t>2019. gadā nav veikti apjomīgi transporta līdzekļu iepirkumi (</w:t>
      </w:r>
      <w:r w:rsidR="004151FF" w:rsidRPr="002E42F1">
        <w:rPr>
          <w:bCs/>
          <w:iCs/>
          <w:sz w:val="28"/>
          <w:szCs w:val="28"/>
        </w:rPr>
        <w:t xml:space="preserve">piemēram: </w:t>
      </w:r>
      <w:r w:rsidR="00203353" w:rsidRPr="002E42F1">
        <w:rPr>
          <w:bCs/>
          <w:iCs/>
          <w:sz w:val="28"/>
          <w:szCs w:val="28"/>
        </w:rPr>
        <w:t>policijas vajadzībā</w:t>
      </w:r>
      <w:r w:rsidR="004151FF" w:rsidRPr="002E42F1">
        <w:rPr>
          <w:bCs/>
          <w:iCs/>
          <w:sz w:val="28"/>
          <w:szCs w:val="28"/>
        </w:rPr>
        <w:t>m</w:t>
      </w:r>
      <w:r w:rsidR="00203353" w:rsidRPr="002E42F1">
        <w:rPr>
          <w:bCs/>
          <w:iCs/>
          <w:sz w:val="28"/>
          <w:szCs w:val="28"/>
        </w:rPr>
        <w:t>)</w:t>
      </w:r>
      <w:r w:rsidR="004151FF" w:rsidRPr="002E42F1">
        <w:rPr>
          <w:bCs/>
          <w:iCs/>
          <w:sz w:val="28"/>
          <w:szCs w:val="28"/>
        </w:rPr>
        <w:t xml:space="preserve">, līdz ar to transporta iepirkumu sadaļas apjoms iepirkumu statistikā ir samazinājies salīdzinājumā ar iepriekšējiem gadiem (skatīt </w:t>
      </w:r>
      <w:r w:rsidR="008F6481" w:rsidRPr="002E42F1">
        <w:rPr>
          <w:bCs/>
          <w:iCs/>
          <w:sz w:val="28"/>
          <w:szCs w:val="28"/>
        </w:rPr>
        <w:t>4</w:t>
      </w:r>
      <w:r w:rsidR="004151FF" w:rsidRPr="002E42F1">
        <w:rPr>
          <w:bCs/>
          <w:iCs/>
          <w:sz w:val="28"/>
          <w:szCs w:val="28"/>
        </w:rPr>
        <w:t>. tabulu).</w:t>
      </w:r>
      <w:r w:rsidR="00203353" w:rsidRPr="002E42F1">
        <w:rPr>
          <w:bCs/>
          <w:iCs/>
          <w:sz w:val="28"/>
          <w:szCs w:val="28"/>
        </w:rPr>
        <w:t xml:space="preserve"> Transporta pakalpojumu sadaļā brīvprātīgi </w:t>
      </w:r>
      <w:r w:rsidR="00203353" w:rsidRPr="002E42F1">
        <w:rPr>
          <w:bCs/>
          <w:iCs/>
          <w:sz w:val="28"/>
          <w:szCs w:val="28"/>
        </w:rPr>
        <w:lastRenderedPageBreak/>
        <w:t>piemērojamās ZPI prasības tiek izmantotas retā</w:t>
      </w:r>
      <w:r w:rsidR="007B4783" w:rsidRPr="002E42F1">
        <w:rPr>
          <w:bCs/>
          <w:iCs/>
          <w:sz w:val="28"/>
          <w:szCs w:val="28"/>
        </w:rPr>
        <w:t>k, līdz ar to, palielinoties transporta pakalpojumu īpatsvaram, samazinās ZPI īpatsvars “transporta” iepirkumu grupā (2019. gadā – 64%; 2018. gadā – 81%; 2017. gadā 89%).</w:t>
      </w:r>
    </w:p>
    <w:p w14:paraId="5776BDB9" w14:textId="477AE9CB" w:rsidR="00D814A9" w:rsidRPr="002E42F1" w:rsidRDefault="00C83E87" w:rsidP="00CE348F">
      <w:pPr>
        <w:pStyle w:val="NoSpacing"/>
        <w:ind w:firstLine="720"/>
        <w:jc w:val="both"/>
        <w:rPr>
          <w:bCs/>
          <w:iCs/>
          <w:sz w:val="28"/>
          <w:szCs w:val="28"/>
        </w:rPr>
      </w:pPr>
      <w:r w:rsidRPr="002E42F1">
        <w:rPr>
          <w:bCs/>
          <w:iCs/>
          <w:sz w:val="28"/>
          <w:szCs w:val="28"/>
        </w:rPr>
        <w:t>Mežsaimniecība –</w:t>
      </w:r>
      <w:r w:rsidR="00D814A9" w:rsidRPr="002E42F1">
        <w:rPr>
          <w:bCs/>
          <w:iCs/>
          <w:sz w:val="28"/>
          <w:szCs w:val="28"/>
        </w:rPr>
        <w:t xml:space="preserve"> lai gan šī sfēra netiek aptverta ar MK noteikumiem, tomēr tā tiek apsaimniekota un tās ietvaros iepirkumi tiek veikti atbilstoši ZPI principiem. Galvenokārt tie ir saistīti ar</w:t>
      </w:r>
      <w:r w:rsidR="007837E0" w:rsidRPr="002E42F1">
        <w:rPr>
          <w:bCs/>
          <w:iCs/>
          <w:sz w:val="28"/>
          <w:szCs w:val="28"/>
        </w:rPr>
        <w:t xml:space="preserve"> mežu apsaimniekošanas un</w:t>
      </w:r>
      <w:r w:rsidR="00D814A9" w:rsidRPr="002E42F1">
        <w:rPr>
          <w:bCs/>
          <w:iCs/>
          <w:sz w:val="28"/>
          <w:szCs w:val="28"/>
        </w:rPr>
        <w:t xml:space="preserve"> mežaud</w:t>
      </w:r>
      <w:r w:rsidR="007837E0" w:rsidRPr="002E42F1">
        <w:rPr>
          <w:bCs/>
          <w:iCs/>
          <w:sz w:val="28"/>
          <w:szCs w:val="28"/>
        </w:rPr>
        <w:t>žu</w:t>
      </w:r>
      <w:r w:rsidR="00D814A9" w:rsidRPr="002E42F1">
        <w:rPr>
          <w:bCs/>
          <w:iCs/>
          <w:sz w:val="28"/>
          <w:szCs w:val="28"/>
        </w:rPr>
        <w:t xml:space="preserve"> atjaunošanas darbiem, kam tiek piemērotas Latvijas valsts mežu izstrādātās ZPI </w:t>
      </w:r>
      <w:r w:rsidR="007837E0" w:rsidRPr="002E42F1">
        <w:rPr>
          <w:bCs/>
          <w:iCs/>
          <w:sz w:val="28"/>
          <w:szCs w:val="28"/>
        </w:rPr>
        <w:t>prasības vai starptautisku standartu prasības (piemēram: FSC un PEFC sertifikācijas standarti).</w:t>
      </w:r>
      <w:r w:rsidR="00E361E1" w:rsidRPr="002E42F1">
        <w:rPr>
          <w:bCs/>
          <w:iCs/>
          <w:sz w:val="28"/>
          <w:szCs w:val="28"/>
        </w:rPr>
        <w:t xml:space="preserve"> Latvijas valsts mežu veiktie iepirkumi, kuros </w:t>
      </w:r>
      <w:r w:rsidR="00750E63" w:rsidRPr="002E42F1">
        <w:rPr>
          <w:bCs/>
          <w:iCs/>
          <w:sz w:val="28"/>
          <w:szCs w:val="28"/>
        </w:rPr>
        <w:t>pastāvīgi</w:t>
      </w:r>
      <w:r w:rsidR="00E361E1" w:rsidRPr="002E42F1">
        <w:rPr>
          <w:bCs/>
          <w:iCs/>
          <w:sz w:val="28"/>
          <w:szCs w:val="28"/>
        </w:rPr>
        <w:t xml:space="preserve"> ir</w:t>
      </w:r>
      <w:r w:rsidR="00750E63" w:rsidRPr="002E42F1">
        <w:rPr>
          <w:bCs/>
          <w:iCs/>
          <w:sz w:val="28"/>
          <w:szCs w:val="28"/>
        </w:rPr>
        <w:t xml:space="preserve"> bijušas</w:t>
      </w:r>
      <w:r w:rsidR="00E361E1" w:rsidRPr="002E42F1">
        <w:rPr>
          <w:bCs/>
          <w:iCs/>
          <w:sz w:val="28"/>
          <w:szCs w:val="28"/>
        </w:rPr>
        <w:t xml:space="preserve"> iekļautas ZPI prasī</w:t>
      </w:r>
      <w:r w:rsidR="00750E63" w:rsidRPr="002E42F1">
        <w:rPr>
          <w:bCs/>
          <w:iCs/>
          <w:sz w:val="28"/>
          <w:szCs w:val="28"/>
        </w:rPr>
        <w:t xml:space="preserve">bas, </w:t>
      </w:r>
      <w:r w:rsidR="00CB69A6" w:rsidRPr="002E42F1">
        <w:rPr>
          <w:bCs/>
          <w:iCs/>
          <w:sz w:val="28"/>
          <w:szCs w:val="28"/>
        </w:rPr>
        <w:t>tradicionāli</w:t>
      </w:r>
      <w:r w:rsidR="00750E63" w:rsidRPr="002E42F1">
        <w:rPr>
          <w:bCs/>
          <w:iCs/>
          <w:sz w:val="28"/>
          <w:szCs w:val="28"/>
        </w:rPr>
        <w:t xml:space="preserve"> ir uzturējuši augstu ZPI īpatsvaru (iepri</w:t>
      </w:r>
      <w:r w:rsidR="00CB69A6" w:rsidRPr="002E42F1">
        <w:rPr>
          <w:bCs/>
          <w:iCs/>
          <w:sz w:val="28"/>
          <w:szCs w:val="28"/>
        </w:rPr>
        <w:t>e</w:t>
      </w:r>
      <w:r w:rsidR="00750E63" w:rsidRPr="002E42F1">
        <w:rPr>
          <w:bCs/>
          <w:iCs/>
          <w:sz w:val="28"/>
          <w:szCs w:val="28"/>
        </w:rPr>
        <w:t>kšējos gados ~75%) mežsaimniecības grupā</w:t>
      </w:r>
      <w:r w:rsidR="00FA1EAE" w:rsidRPr="002E42F1">
        <w:rPr>
          <w:bCs/>
          <w:iCs/>
          <w:sz w:val="28"/>
          <w:szCs w:val="28"/>
        </w:rPr>
        <w:t>. Iepirkumu veicēju – pasūtītāju – sastāva īpatsvara izmaiņas 2019. gadā radījušas ZPI rādītāja kritumu uz 39%, kas liecina, ka citu pasūtītāju vidū brīvprātīgi piemērojamās ZPI prasības</w:t>
      </w:r>
      <w:r w:rsidR="00E00B4C" w:rsidRPr="002E42F1">
        <w:rPr>
          <w:bCs/>
          <w:iCs/>
          <w:sz w:val="28"/>
          <w:szCs w:val="28"/>
        </w:rPr>
        <w:t xml:space="preserve"> nav populāras.</w:t>
      </w:r>
    </w:p>
    <w:p w14:paraId="0FBE9845" w14:textId="6A5E8BF5" w:rsidR="001D44F8" w:rsidRPr="002E42F1" w:rsidRDefault="00E65FF2" w:rsidP="00CE348F">
      <w:pPr>
        <w:pStyle w:val="NoSpacing"/>
        <w:jc w:val="right"/>
        <w:rPr>
          <w:bCs/>
          <w:iCs/>
          <w:sz w:val="28"/>
          <w:szCs w:val="28"/>
        </w:rPr>
      </w:pPr>
      <w:r w:rsidRPr="002E42F1">
        <w:rPr>
          <w:bCs/>
          <w:iCs/>
          <w:sz w:val="28"/>
          <w:szCs w:val="28"/>
        </w:rPr>
        <w:t>4</w:t>
      </w:r>
      <w:r w:rsidR="001D44F8" w:rsidRPr="002E42F1">
        <w:rPr>
          <w:bCs/>
          <w:iCs/>
          <w:sz w:val="28"/>
          <w:szCs w:val="28"/>
        </w:rPr>
        <w:t>. tabula</w:t>
      </w:r>
    </w:p>
    <w:p w14:paraId="1DE446E4" w14:textId="22FEAC99" w:rsidR="001D44F8" w:rsidRPr="002E42F1" w:rsidRDefault="001D44F8" w:rsidP="00CE348F">
      <w:pPr>
        <w:pStyle w:val="NoSpacing"/>
        <w:jc w:val="center"/>
        <w:rPr>
          <w:bCs/>
          <w:iCs/>
          <w:sz w:val="28"/>
          <w:szCs w:val="28"/>
        </w:rPr>
      </w:pPr>
      <w:r w:rsidRPr="002E42F1">
        <w:rPr>
          <w:bCs/>
          <w:iCs/>
          <w:sz w:val="28"/>
          <w:szCs w:val="28"/>
        </w:rPr>
        <w:t>ZPI līgumcenas pa preču un pakalpojumu grupām 2015. – 2019. gadā</w:t>
      </w:r>
    </w:p>
    <w:p w14:paraId="1F303809" w14:textId="77777777" w:rsidR="0000187A" w:rsidRPr="002E42F1" w:rsidRDefault="0000187A" w:rsidP="006C282B">
      <w:pPr>
        <w:pStyle w:val="NoSpacing"/>
        <w:jc w:val="both"/>
        <w:rPr>
          <w:bCs/>
          <w:iCs/>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1276"/>
        <w:gridCol w:w="1276"/>
        <w:gridCol w:w="1276"/>
        <w:gridCol w:w="1275"/>
      </w:tblGrid>
      <w:tr w:rsidR="002E42F1" w:rsidRPr="002E42F1" w14:paraId="7DC55A94" w14:textId="77777777" w:rsidTr="008903DD">
        <w:tc>
          <w:tcPr>
            <w:tcW w:w="2694" w:type="dxa"/>
            <w:vMerge w:val="restart"/>
            <w:shd w:val="clear" w:color="auto" w:fill="auto"/>
            <w:vAlign w:val="center"/>
            <w:hideMark/>
          </w:tcPr>
          <w:p w14:paraId="2BD668AC" w14:textId="1031EF8D" w:rsidR="008903DD" w:rsidRPr="002E42F1" w:rsidRDefault="008903DD" w:rsidP="006C282B">
            <w:pPr>
              <w:pStyle w:val="NoSpacing"/>
              <w:jc w:val="both"/>
              <w:rPr>
                <w:sz w:val="20"/>
                <w:szCs w:val="20"/>
              </w:rPr>
            </w:pPr>
            <w:r w:rsidRPr="002E42F1">
              <w:rPr>
                <w:sz w:val="20"/>
                <w:szCs w:val="20"/>
              </w:rPr>
              <w:t>Preču un pakalpojumu grupas</w:t>
            </w:r>
          </w:p>
        </w:tc>
        <w:tc>
          <w:tcPr>
            <w:tcW w:w="6378" w:type="dxa"/>
            <w:gridSpan w:val="5"/>
            <w:shd w:val="clear" w:color="auto" w:fill="auto"/>
            <w:noWrap/>
            <w:vAlign w:val="center"/>
            <w:hideMark/>
          </w:tcPr>
          <w:p w14:paraId="5B7A4C13" w14:textId="77777777" w:rsidR="008903DD" w:rsidRPr="002E42F1" w:rsidRDefault="008903DD" w:rsidP="00CE348F">
            <w:pPr>
              <w:pStyle w:val="NoSpacing"/>
              <w:jc w:val="center"/>
              <w:rPr>
                <w:sz w:val="20"/>
                <w:szCs w:val="20"/>
              </w:rPr>
            </w:pPr>
            <w:r w:rsidRPr="002E42F1">
              <w:rPr>
                <w:sz w:val="20"/>
                <w:szCs w:val="20"/>
              </w:rPr>
              <w:t>ZPI kopējā līgumcena</w:t>
            </w:r>
          </w:p>
        </w:tc>
      </w:tr>
      <w:tr w:rsidR="002E42F1" w:rsidRPr="002E42F1" w14:paraId="2F18FED8" w14:textId="77777777" w:rsidTr="008903DD">
        <w:tc>
          <w:tcPr>
            <w:tcW w:w="2694" w:type="dxa"/>
            <w:vMerge/>
            <w:shd w:val="clear" w:color="auto" w:fill="auto"/>
            <w:vAlign w:val="center"/>
            <w:hideMark/>
          </w:tcPr>
          <w:p w14:paraId="1730CC44" w14:textId="485F6EFE" w:rsidR="008903DD" w:rsidRPr="002E42F1" w:rsidRDefault="008903DD" w:rsidP="006C282B">
            <w:pPr>
              <w:pStyle w:val="NoSpacing"/>
              <w:jc w:val="both"/>
              <w:rPr>
                <w:sz w:val="20"/>
                <w:szCs w:val="20"/>
              </w:rPr>
            </w:pPr>
          </w:p>
        </w:tc>
        <w:tc>
          <w:tcPr>
            <w:tcW w:w="1275" w:type="dxa"/>
            <w:shd w:val="clear" w:color="auto" w:fill="auto"/>
            <w:noWrap/>
            <w:vAlign w:val="center"/>
            <w:hideMark/>
          </w:tcPr>
          <w:p w14:paraId="461900C7" w14:textId="77777777" w:rsidR="008903DD" w:rsidRPr="002E42F1" w:rsidRDefault="008903DD" w:rsidP="008903DD">
            <w:pPr>
              <w:pStyle w:val="NoSpacing"/>
              <w:jc w:val="center"/>
              <w:rPr>
                <w:sz w:val="20"/>
                <w:szCs w:val="20"/>
              </w:rPr>
            </w:pPr>
            <w:r w:rsidRPr="002E42F1">
              <w:rPr>
                <w:sz w:val="20"/>
                <w:szCs w:val="20"/>
              </w:rPr>
              <w:t>2015.</w:t>
            </w:r>
          </w:p>
        </w:tc>
        <w:tc>
          <w:tcPr>
            <w:tcW w:w="1276" w:type="dxa"/>
            <w:shd w:val="clear" w:color="auto" w:fill="auto"/>
            <w:noWrap/>
            <w:vAlign w:val="center"/>
            <w:hideMark/>
          </w:tcPr>
          <w:p w14:paraId="483FB559" w14:textId="77777777" w:rsidR="008903DD" w:rsidRPr="002E42F1" w:rsidRDefault="008903DD" w:rsidP="00CE348F">
            <w:pPr>
              <w:pStyle w:val="NoSpacing"/>
              <w:jc w:val="center"/>
              <w:rPr>
                <w:sz w:val="20"/>
                <w:szCs w:val="20"/>
              </w:rPr>
            </w:pPr>
            <w:r w:rsidRPr="002E42F1">
              <w:rPr>
                <w:sz w:val="20"/>
                <w:szCs w:val="20"/>
              </w:rPr>
              <w:t>2016.</w:t>
            </w:r>
          </w:p>
        </w:tc>
        <w:tc>
          <w:tcPr>
            <w:tcW w:w="1276" w:type="dxa"/>
            <w:shd w:val="clear" w:color="auto" w:fill="auto"/>
            <w:noWrap/>
            <w:vAlign w:val="center"/>
            <w:hideMark/>
          </w:tcPr>
          <w:p w14:paraId="4F1CF61E" w14:textId="77777777" w:rsidR="008903DD" w:rsidRPr="002E42F1" w:rsidRDefault="008903DD" w:rsidP="00CE348F">
            <w:pPr>
              <w:pStyle w:val="NoSpacing"/>
              <w:jc w:val="center"/>
              <w:rPr>
                <w:sz w:val="20"/>
                <w:szCs w:val="20"/>
              </w:rPr>
            </w:pPr>
            <w:r w:rsidRPr="002E42F1">
              <w:rPr>
                <w:sz w:val="20"/>
                <w:szCs w:val="20"/>
              </w:rPr>
              <w:t>2017.</w:t>
            </w:r>
          </w:p>
        </w:tc>
        <w:tc>
          <w:tcPr>
            <w:tcW w:w="1276" w:type="dxa"/>
            <w:shd w:val="clear" w:color="auto" w:fill="auto"/>
            <w:noWrap/>
            <w:vAlign w:val="center"/>
            <w:hideMark/>
          </w:tcPr>
          <w:p w14:paraId="251AAE1F" w14:textId="77777777" w:rsidR="008903DD" w:rsidRPr="002E42F1" w:rsidRDefault="008903DD" w:rsidP="00CE348F">
            <w:pPr>
              <w:pStyle w:val="NoSpacing"/>
              <w:jc w:val="center"/>
              <w:rPr>
                <w:sz w:val="20"/>
                <w:szCs w:val="20"/>
              </w:rPr>
            </w:pPr>
            <w:r w:rsidRPr="002E42F1">
              <w:rPr>
                <w:sz w:val="20"/>
                <w:szCs w:val="20"/>
              </w:rPr>
              <w:t>2018.</w:t>
            </w:r>
          </w:p>
        </w:tc>
        <w:tc>
          <w:tcPr>
            <w:tcW w:w="1275" w:type="dxa"/>
            <w:shd w:val="clear" w:color="auto" w:fill="auto"/>
            <w:noWrap/>
            <w:vAlign w:val="center"/>
            <w:hideMark/>
          </w:tcPr>
          <w:p w14:paraId="0B96B135" w14:textId="77777777" w:rsidR="008903DD" w:rsidRPr="002E42F1" w:rsidRDefault="008903DD" w:rsidP="00CE348F">
            <w:pPr>
              <w:pStyle w:val="NoSpacing"/>
              <w:jc w:val="center"/>
              <w:rPr>
                <w:sz w:val="20"/>
                <w:szCs w:val="20"/>
              </w:rPr>
            </w:pPr>
            <w:r w:rsidRPr="002E42F1">
              <w:rPr>
                <w:sz w:val="20"/>
                <w:szCs w:val="20"/>
              </w:rPr>
              <w:t>2019.</w:t>
            </w:r>
          </w:p>
        </w:tc>
      </w:tr>
      <w:tr w:rsidR="002E42F1" w:rsidRPr="002E42F1" w14:paraId="0B83B881" w14:textId="77777777" w:rsidTr="008903DD">
        <w:tc>
          <w:tcPr>
            <w:tcW w:w="2694" w:type="dxa"/>
            <w:shd w:val="clear" w:color="auto" w:fill="auto"/>
            <w:vAlign w:val="center"/>
            <w:hideMark/>
          </w:tcPr>
          <w:p w14:paraId="6CF56DF9" w14:textId="77777777" w:rsidR="001D44F8" w:rsidRPr="002E42F1" w:rsidRDefault="001D44F8" w:rsidP="00845CF3">
            <w:pPr>
              <w:pStyle w:val="NoSpacing"/>
              <w:rPr>
                <w:sz w:val="20"/>
                <w:szCs w:val="20"/>
              </w:rPr>
            </w:pPr>
            <w:r w:rsidRPr="002E42F1">
              <w:rPr>
                <w:sz w:val="20"/>
                <w:szCs w:val="20"/>
              </w:rPr>
              <w:t>Biroja papīrs un drukas iekārtas (biroja tehnika)</w:t>
            </w:r>
          </w:p>
        </w:tc>
        <w:tc>
          <w:tcPr>
            <w:tcW w:w="1275" w:type="dxa"/>
            <w:shd w:val="clear" w:color="auto" w:fill="auto"/>
            <w:noWrap/>
            <w:vAlign w:val="center"/>
            <w:hideMark/>
          </w:tcPr>
          <w:p w14:paraId="1E88CA91" w14:textId="77777777" w:rsidR="001D44F8" w:rsidRPr="002E42F1" w:rsidRDefault="001D44F8" w:rsidP="00CE348F">
            <w:pPr>
              <w:pStyle w:val="NoSpacing"/>
              <w:jc w:val="right"/>
              <w:rPr>
                <w:sz w:val="20"/>
                <w:szCs w:val="20"/>
              </w:rPr>
            </w:pPr>
            <w:r w:rsidRPr="002E42F1">
              <w:rPr>
                <w:sz w:val="20"/>
                <w:szCs w:val="20"/>
              </w:rPr>
              <w:t>0</w:t>
            </w:r>
          </w:p>
        </w:tc>
        <w:tc>
          <w:tcPr>
            <w:tcW w:w="1276" w:type="dxa"/>
            <w:shd w:val="clear" w:color="auto" w:fill="auto"/>
            <w:noWrap/>
            <w:vAlign w:val="center"/>
            <w:hideMark/>
          </w:tcPr>
          <w:p w14:paraId="00CFDFBE" w14:textId="77777777" w:rsidR="001D44F8" w:rsidRPr="002E42F1" w:rsidRDefault="001D44F8" w:rsidP="00CE348F">
            <w:pPr>
              <w:pStyle w:val="NoSpacing"/>
              <w:jc w:val="right"/>
              <w:rPr>
                <w:sz w:val="20"/>
                <w:szCs w:val="20"/>
              </w:rPr>
            </w:pPr>
            <w:r w:rsidRPr="002E42F1">
              <w:rPr>
                <w:sz w:val="20"/>
                <w:szCs w:val="20"/>
              </w:rPr>
              <w:t>6 278</w:t>
            </w:r>
          </w:p>
        </w:tc>
        <w:tc>
          <w:tcPr>
            <w:tcW w:w="1276" w:type="dxa"/>
            <w:shd w:val="clear" w:color="auto" w:fill="auto"/>
            <w:noWrap/>
            <w:vAlign w:val="center"/>
            <w:hideMark/>
          </w:tcPr>
          <w:p w14:paraId="41C71EF1" w14:textId="77777777" w:rsidR="001D44F8" w:rsidRPr="002E42F1" w:rsidRDefault="001D44F8" w:rsidP="00CE348F">
            <w:pPr>
              <w:pStyle w:val="NoSpacing"/>
              <w:jc w:val="right"/>
              <w:rPr>
                <w:sz w:val="20"/>
                <w:szCs w:val="20"/>
              </w:rPr>
            </w:pPr>
            <w:r w:rsidRPr="002E42F1">
              <w:rPr>
                <w:sz w:val="20"/>
                <w:szCs w:val="20"/>
              </w:rPr>
              <w:t>12 067 911</w:t>
            </w:r>
          </w:p>
        </w:tc>
        <w:tc>
          <w:tcPr>
            <w:tcW w:w="1276" w:type="dxa"/>
            <w:shd w:val="clear" w:color="auto" w:fill="auto"/>
            <w:noWrap/>
            <w:vAlign w:val="center"/>
            <w:hideMark/>
          </w:tcPr>
          <w:p w14:paraId="0EFACFC2" w14:textId="77777777" w:rsidR="001D44F8" w:rsidRPr="002E42F1" w:rsidRDefault="001D44F8" w:rsidP="00CE348F">
            <w:pPr>
              <w:pStyle w:val="NoSpacing"/>
              <w:jc w:val="right"/>
              <w:rPr>
                <w:sz w:val="20"/>
                <w:szCs w:val="20"/>
              </w:rPr>
            </w:pPr>
            <w:r w:rsidRPr="002E42F1">
              <w:rPr>
                <w:sz w:val="20"/>
                <w:szCs w:val="20"/>
              </w:rPr>
              <w:t>259 071</w:t>
            </w:r>
          </w:p>
        </w:tc>
        <w:tc>
          <w:tcPr>
            <w:tcW w:w="1275" w:type="dxa"/>
            <w:shd w:val="clear" w:color="auto" w:fill="auto"/>
            <w:noWrap/>
            <w:vAlign w:val="center"/>
            <w:hideMark/>
          </w:tcPr>
          <w:p w14:paraId="4700FA00" w14:textId="77777777" w:rsidR="001D44F8" w:rsidRPr="002E42F1" w:rsidRDefault="001D44F8" w:rsidP="00CE348F">
            <w:pPr>
              <w:pStyle w:val="NoSpacing"/>
              <w:jc w:val="right"/>
              <w:rPr>
                <w:sz w:val="20"/>
                <w:szCs w:val="20"/>
              </w:rPr>
            </w:pPr>
            <w:r w:rsidRPr="002E42F1">
              <w:rPr>
                <w:sz w:val="20"/>
                <w:szCs w:val="20"/>
              </w:rPr>
              <w:t>211 302</w:t>
            </w:r>
          </w:p>
        </w:tc>
      </w:tr>
      <w:tr w:rsidR="002E42F1" w:rsidRPr="002E42F1" w14:paraId="55A0A6EB" w14:textId="77777777" w:rsidTr="008903DD">
        <w:tc>
          <w:tcPr>
            <w:tcW w:w="2694" w:type="dxa"/>
            <w:shd w:val="clear" w:color="auto" w:fill="auto"/>
            <w:vAlign w:val="center"/>
            <w:hideMark/>
          </w:tcPr>
          <w:p w14:paraId="5749F2EC" w14:textId="77777777" w:rsidR="001D44F8" w:rsidRPr="002E42F1" w:rsidRDefault="001D44F8" w:rsidP="00845CF3">
            <w:pPr>
              <w:pStyle w:val="NoSpacing"/>
              <w:rPr>
                <w:sz w:val="20"/>
                <w:szCs w:val="20"/>
              </w:rPr>
            </w:pPr>
            <w:r w:rsidRPr="002E42F1">
              <w:rPr>
                <w:sz w:val="20"/>
                <w:szCs w:val="20"/>
              </w:rPr>
              <w:t>Datortehnika un informācijas un komunikācijas tehnoloģiju (IKT) infrastruktūra</w:t>
            </w:r>
          </w:p>
        </w:tc>
        <w:tc>
          <w:tcPr>
            <w:tcW w:w="1275" w:type="dxa"/>
            <w:shd w:val="clear" w:color="auto" w:fill="auto"/>
            <w:noWrap/>
            <w:vAlign w:val="center"/>
            <w:hideMark/>
          </w:tcPr>
          <w:p w14:paraId="4AF91B34" w14:textId="77777777" w:rsidR="001D44F8" w:rsidRPr="002E42F1" w:rsidRDefault="001D44F8" w:rsidP="00CE348F">
            <w:pPr>
              <w:pStyle w:val="NoSpacing"/>
              <w:jc w:val="right"/>
              <w:rPr>
                <w:sz w:val="20"/>
                <w:szCs w:val="20"/>
              </w:rPr>
            </w:pPr>
            <w:r w:rsidRPr="002E42F1">
              <w:rPr>
                <w:sz w:val="20"/>
                <w:szCs w:val="20"/>
              </w:rPr>
              <w:t>246 664</w:t>
            </w:r>
          </w:p>
        </w:tc>
        <w:tc>
          <w:tcPr>
            <w:tcW w:w="1276" w:type="dxa"/>
            <w:shd w:val="clear" w:color="auto" w:fill="auto"/>
            <w:noWrap/>
            <w:vAlign w:val="center"/>
            <w:hideMark/>
          </w:tcPr>
          <w:p w14:paraId="51958111" w14:textId="77777777" w:rsidR="001D44F8" w:rsidRPr="002E42F1" w:rsidRDefault="001D44F8" w:rsidP="00CE348F">
            <w:pPr>
              <w:pStyle w:val="NoSpacing"/>
              <w:jc w:val="right"/>
              <w:rPr>
                <w:sz w:val="20"/>
                <w:szCs w:val="20"/>
              </w:rPr>
            </w:pPr>
            <w:r w:rsidRPr="002E42F1">
              <w:rPr>
                <w:sz w:val="20"/>
                <w:szCs w:val="20"/>
              </w:rPr>
              <w:t>69 173</w:t>
            </w:r>
          </w:p>
        </w:tc>
        <w:tc>
          <w:tcPr>
            <w:tcW w:w="1276" w:type="dxa"/>
            <w:shd w:val="clear" w:color="auto" w:fill="auto"/>
            <w:noWrap/>
            <w:vAlign w:val="center"/>
            <w:hideMark/>
          </w:tcPr>
          <w:p w14:paraId="6F854795" w14:textId="77777777" w:rsidR="001D44F8" w:rsidRPr="002E42F1" w:rsidRDefault="001D44F8" w:rsidP="00CE348F">
            <w:pPr>
              <w:pStyle w:val="NoSpacing"/>
              <w:jc w:val="right"/>
              <w:rPr>
                <w:sz w:val="20"/>
                <w:szCs w:val="20"/>
              </w:rPr>
            </w:pPr>
            <w:r w:rsidRPr="002E42F1">
              <w:rPr>
                <w:sz w:val="20"/>
                <w:szCs w:val="20"/>
              </w:rPr>
              <w:t>24 856 284</w:t>
            </w:r>
          </w:p>
        </w:tc>
        <w:tc>
          <w:tcPr>
            <w:tcW w:w="1276" w:type="dxa"/>
            <w:shd w:val="clear" w:color="auto" w:fill="auto"/>
            <w:noWrap/>
            <w:vAlign w:val="center"/>
            <w:hideMark/>
          </w:tcPr>
          <w:p w14:paraId="67181A3C" w14:textId="77777777" w:rsidR="001D44F8" w:rsidRPr="002E42F1" w:rsidRDefault="001D44F8" w:rsidP="00CE348F">
            <w:pPr>
              <w:pStyle w:val="NoSpacing"/>
              <w:jc w:val="right"/>
              <w:rPr>
                <w:sz w:val="20"/>
                <w:szCs w:val="20"/>
              </w:rPr>
            </w:pPr>
            <w:r w:rsidRPr="002E42F1">
              <w:rPr>
                <w:sz w:val="20"/>
                <w:szCs w:val="20"/>
              </w:rPr>
              <w:t>3 443 217</w:t>
            </w:r>
          </w:p>
        </w:tc>
        <w:tc>
          <w:tcPr>
            <w:tcW w:w="1275" w:type="dxa"/>
            <w:shd w:val="clear" w:color="auto" w:fill="auto"/>
            <w:noWrap/>
            <w:vAlign w:val="center"/>
            <w:hideMark/>
          </w:tcPr>
          <w:p w14:paraId="22B35A6C" w14:textId="77777777" w:rsidR="001D44F8" w:rsidRPr="002E42F1" w:rsidRDefault="001D44F8" w:rsidP="00CE348F">
            <w:pPr>
              <w:pStyle w:val="NoSpacing"/>
              <w:jc w:val="right"/>
              <w:rPr>
                <w:sz w:val="20"/>
                <w:szCs w:val="20"/>
              </w:rPr>
            </w:pPr>
            <w:r w:rsidRPr="002E42F1">
              <w:rPr>
                <w:sz w:val="20"/>
                <w:szCs w:val="20"/>
              </w:rPr>
              <w:t>2 999 257</w:t>
            </w:r>
          </w:p>
        </w:tc>
      </w:tr>
      <w:tr w:rsidR="002E42F1" w:rsidRPr="002E42F1" w14:paraId="2EE48E86" w14:textId="77777777" w:rsidTr="008903DD">
        <w:tc>
          <w:tcPr>
            <w:tcW w:w="2694" w:type="dxa"/>
            <w:shd w:val="clear" w:color="auto" w:fill="auto"/>
            <w:vAlign w:val="center"/>
            <w:hideMark/>
          </w:tcPr>
          <w:p w14:paraId="0F305C5E" w14:textId="77777777" w:rsidR="001D44F8" w:rsidRPr="002E42F1" w:rsidRDefault="001D44F8" w:rsidP="00845CF3">
            <w:pPr>
              <w:pStyle w:val="NoSpacing"/>
              <w:rPr>
                <w:sz w:val="20"/>
                <w:szCs w:val="20"/>
              </w:rPr>
            </w:pPr>
            <w:r w:rsidRPr="002E42F1">
              <w:rPr>
                <w:sz w:val="20"/>
                <w:szCs w:val="20"/>
              </w:rPr>
              <w:t>Pārtika un ēdināšanas pakalpojumi</w:t>
            </w:r>
          </w:p>
        </w:tc>
        <w:tc>
          <w:tcPr>
            <w:tcW w:w="1275" w:type="dxa"/>
            <w:shd w:val="clear" w:color="auto" w:fill="auto"/>
            <w:noWrap/>
            <w:vAlign w:val="center"/>
            <w:hideMark/>
          </w:tcPr>
          <w:p w14:paraId="4D543134" w14:textId="77777777" w:rsidR="001D44F8" w:rsidRPr="002E42F1" w:rsidRDefault="001D44F8" w:rsidP="00CE348F">
            <w:pPr>
              <w:pStyle w:val="NoSpacing"/>
              <w:jc w:val="right"/>
              <w:rPr>
                <w:sz w:val="20"/>
                <w:szCs w:val="20"/>
              </w:rPr>
            </w:pPr>
            <w:r w:rsidRPr="002E42F1">
              <w:rPr>
                <w:sz w:val="20"/>
                <w:szCs w:val="20"/>
              </w:rPr>
              <w:t>86 543 938</w:t>
            </w:r>
          </w:p>
        </w:tc>
        <w:tc>
          <w:tcPr>
            <w:tcW w:w="1276" w:type="dxa"/>
            <w:shd w:val="clear" w:color="auto" w:fill="auto"/>
            <w:noWrap/>
            <w:vAlign w:val="center"/>
            <w:hideMark/>
          </w:tcPr>
          <w:p w14:paraId="31F0746E" w14:textId="77777777" w:rsidR="001D44F8" w:rsidRPr="002E42F1" w:rsidRDefault="001D44F8" w:rsidP="00CE348F">
            <w:pPr>
              <w:pStyle w:val="NoSpacing"/>
              <w:jc w:val="right"/>
              <w:rPr>
                <w:sz w:val="20"/>
                <w:szCs w:val="20"/>
              </w:rPr>
            </w:pPr>
            <w:r w:rsidRPr="002E42F1">
              <w:rPr>
                <w:sz w:val="20"/>
                <w:szCs w:val="20"/>
              </w:rPr>
              <w:t>81 121 991</w:t>
            </w:r>
          </w:p>
        </w:tc>
        <w:tc>
          <w:tcPr>
            <w:tcW w:w="1276" w:type="dxa"/>
            <w:shd w:val="clear" w:color="auto" w:fill="auto"/>
            <w:noWrap/>
            <w:vAlign w:val="center"/>
            <w:hideMark/>
          </w:tcPr>
          <w:p w14:paraId="70AF5FF2" w14:textId="77777777" w:rsidR="001D44F8" w:rsidRPr="002E42F1" w:rsidRDefault="001D44F8" w:rsidP="00CE348F">
            <w:pPr>
              <w:pStyle w:val="NoSpacing"/>
              <w:jc w:val="right"/>
              <w:rPr>
                <w:sz w:val="20"/>
                <w:szCs w:val="20"/>
              </w:rPr>
            </w:pPr>
            <w:r w:rsidRPr="002E42F1">
              <w:rPr>
                <w:sz w:val="20"/>
                <w:szCs w:val="20"/>
              </w:rPr>
              <w:t>52 798 374</w:t>
            </w:r>
          </w:p>
        </w:tc>
        <w:tc>
          <w:tcPr>
            <w:tcW w:w="1276" w:type="dxa"/>
            <w:shd w:val="clear" w:color="auto" w:fill="auto"/>
            <w:noWrap/>
            <w:vAlign w:val="center"/>
            <w:hideMark/>
          </w:tcPr>
          <w:p w14:paraId="1300CBC4" w14:textId="77777777" w:rsidR="001D44F8" w:rsidRPr="002E42F1" w:rsidRDefault="001D44F8" w:rsidP="00CE348F">
            <w:pPr>
              <w:pStyle w:val="NoSpacing"/>
              <w:jc w:val="right"/>
              <w:rPr>
                <w:sz w:val="20"/>
                <w:szCs w:val="20"/>
              </w:rPr>
            </w:pPr>
            <w:r w:rsidRPr="002E42F1">
              <w:rPr>
                <w:sz w:val="20"/>
                <w:szCs w:val="20"/>
              </w:rPr>
              <w:t>116 647 198</w:t>
            </w:r>
          </w:p>
        </w:tc>
        <w:tc>
          <w:tcPr>
            <w:tcW w:w="1275" w:type="dxa"/>
            <w:shd w:val="clear" w:color="auto" w:fill="auto"/>
            <w:noWrap/>
            <w:vAlign w:val="center"/>
            <w:hideMark/>
          </w:tcPr>
          <w:p w14:paraId="2095D3A1" w14:textId="77777777" w:rsidR="001D44F8" w:rsidRPr="002E42F1" w:rsidRDefault="001D44F8" w:rsidP="00CE348F">
            <w:pPr>
              <w:pStyle w:val="NoSpacing"/>
              <w:jc w:val="right"/>
              <w:rPr>
                <w:sz w:val="20"/>
                <w:szCs w:val="20"/>
              </w:rPr>
            </w:pPr>
            <w:r w:rsidRPr="002E42F1">
              <w:rPr>
                <w:sz w:val="20"/>
                <w:szCs w:val="20"/>
              </w:rPr>
              <w:t>125 918 677</w:t>
            </w:r>
          </w:p>
        </w:tc>
      </w:tr>
      <w:tr w:rsidR="002E42F1" w:rsidRPr="002E42F1" w14:paraId="461BC999" w14:textId="77777777" w:rsidTr="008903DD">
        <w:tc>
          <w:tcPr>
            <w:tcW w:w="2694" w:type="dxa"/>
            <w:shd w:val="clear" w:color="auto" w:fill="auto"/>
            <w:vAlign w:val="center"/>
            <w:hideMark/>
          </w:tcPr>
          <w:p w14:paraId="113C65A7" w14:textId="77777777" w:rsidR="001D44F8" w:rsidRPr="002E42F1" w:rsidRDefault="001D44F8" w:rsidP="00845CF3">
            <w:pPr>
              <w:pStyle w:val="NoSpacing"/>
              <w:rPr>
                <w:sz w:val="20"/>
                <w:szCs w:val="20"/>
              </w:rPr>
            </w:pPr>
            <w:r w:rsidRPr="002E42F1">
              <w:rPr>
                <w:sz w:val="20"/>
                <w:szCs w:val="20"/>
              </w:rPr>
              <w:t>Tīrīšanas līdzekļi un pakalpojumi</w:t>
            </w:r>
          </w:p>
        </w:tc>
        <w:tc>
          <w:tcPr>
            <w:tcW w:w="1275" w:type="dxa"/>
            <w:shd w:val="clear" w:color="auto" w:fill="auto"/>
            <w:noWrap/>
            <w:vAlign w:val="center"/>
            <w:hideMark/>
          </w:tcPr>
          <w:p w14:paraId="55146945" w14:textId="77777777" w:rsidR="001D44F8" w:rsidRPr="002E42F1" w:rsidRDefault="001D44F8" w:rsidP="00CE348F">
            <w:pPr>
              <w:pStyle w:val="NoSpacing"/>
              <w:jc w:val="right"/>
              <w:rPr>
                <w:sz w:val="20"/>
                <w:szCs w:val="20"/>
              </w:rPr>
            </w:pPr>
            <w:r w:rsidRPr="002E42F1">
              <w:rPr>
                <w:sz w:val="20"/>
                <w:szCs w:val="20"/>
              </w:rPr>
              <w:t>4 063 091</w:t>
            </w:r>
          </w:p>
        </w:tc>
        <w:tc>
          <w:tcPr>
            <w:tcW w:w="1276" w:type="dxa"/>
            <w:shd w:val="clear" w:color="auto" w:fill="auto"/>
            <w:noWrap/>
            <w:vAlign w:val="center"/>
            <w:hideMark/>
          </w:tcPr>
          <w:p w14:paraId="0B175F5A" w14:textId="77777777" w:rsidR="001D44F8" w:rsidRPr="002E42F1" w:rsidRDefault="001D44F8" w:rsidP="00CE348F">
            <w:pPr>
              <w:pStyle w:val="NoSpacing"/>
              <w:jc w:val="right"/>
              <w:rPr>
                <w:sz w:val="20"/>
                <w:szCs w:val="20"/>
              </w:rPr>
            </w:pPr>
            <w:r w:rsidRPr="002E42F1">
              <w:rPr>
                <w:sz w:val="20"/>
                <w:szCs w:val="20"/>
              </w:rPr>
              <w:t>1 990 972</w:t>
            </w:r>
          </w:p>
        </w:tc>
        <w:tc>
          <w:tcPr>
            <w:tcW w:w="1276" w:type="dxa"/>
            <w:shd w:val="clear" w:color="auto" w:fill="auto"/>
            <w:noWrap/>
            <w:vAlign w:val="center"/>
            <w:hideMark/>
          </w:tcPr>
          <w:p w14:paraId="1AB1A6A9" w14:textId="77777777" w:rsidR="001D44F8" w:rsidRPr="002E42F1" w:rsidRDefault="001D44F8" w:rsidP="00CE348F">
            <w:pPr>
              <w:pStyle w:val="NoSpacing"/>
              <w:jc w:val="right"/>
              <w:rPr>
                <w:sz w:val="20"/>
                <w:szCs w:val="20"/>
              </w:rPr>
            </w:pPr>
            <w:r w:rsidRPr="002E42F1">
              <w:rPr>
                <w:sz w:val="20"/>
                <w:szCs w:val="20"/>
              </w:rPr>
              <w:t>3 885 113</w:t>
            </w:r>
          </w:p>
        </w:tc>
        <w:tc>
          <w:tcPr>
            <w:tcW w:w="1276" w:type="dxa"/>
            <w:shd w:val="clear" w:color="auto" w:fill="auto"/>
            <w:noWrap/>
            <w:vAlign w:val="center"/>
            <w:hideMark/>
          </w:tcPr>
          <w:p w14:paraId="2C536641" w14:textId="77777777" w:rsidR="001D44F8" w:rsidRPr="002E42F1" w:rsidRDefault="001D44F8" w:rsidP="00CE348F">
            <w:pPr>
              <w:pStyle w:val="NoSpacing"/>
              <w:jc w:val="right"/>
              <w:rPr>
                <w:sz w:val="20"/>
                <w:szCs w:val="20"/>
              </w:rPr>
            </w:pPr>
            <w:r w:rsidRPr="002E42F1">
              <w:rPr>
                <w:sz w:val="20"/>
                <w:szCs w:val="20"/>
              </w:rPr>
              <w:t>11 532 414</w:t>
            </w:r>
          </w:p>
        </w:tc>
        <w:tc>
          <w:tcPr>
            <w:tcW w:w="1275" w:type="dxa"/>
            <w:shd w:val="clear" w:color="auto" w:fill="auto"/>
            <w:noWrap/>
            <w:vAlign w:val="center"/>
            <w:hideMark/>
          </w:tcPr>
          <w:p w14:paraId="1686A2AF" w14:textId="77777777" w:rsidR="001D44F8" w:rsidRPr="002E42F1" w:rsidRDefault="001D44F8" w:rsidP="00CE348F">
            <w:pPr>
              <w:pStyle w:val="NoSpacing"/>
              <w:jc w:val="right"/>
              <w:rPr>
                <w:sz w:val="20"/>
                <w:szCs w:val="20"/>
              </w:rPr>
            </w:pPr>
            <w:r w:rsidRPr="002E42F1">
              <w:rPr>
                <w:sz w:val="20"/>
                <w:szCs w:val="20"/>
              </w:rPr>
              <w:t>18 829 771</w:t>
            </w:r>
          </w:p>
        </w:tc>
      </w:tr>
      <w:tr w:rsidR="002E42F1" w:rsidRPr="002E42F1" w14:paraId="40397BDC" w14:textId="77777777" w:rsidTr="008903DD">
        <w:tc>
          <w:tcPr>
            <w:tcW w:w="2694" w:type="dxa"/>
            <w:shd w:val="clear" w:color="auto" w:fill="auto"/>
            <w:vAlign w:val="center"/>
            <w:hideMark/>
          </w:tcPr>
          <w:p w14:paraId="3311CB00" w14:textId="77777777" w:rsidR="001D44F8" w:rsidRPr="002E42F1" w:rsidRDefault="001D44F8" w:rsidP="00845CF3">
            <w:pPr>
              <w:pStyle w:val="NoSpacing"/>
              <w:rPr>
                <w:sz w:val="20"/>
                <w:szCs w:val="20"/>
              </w:rPr>
            </w:pPr>
            <w:r w:rsidRPr="002E42F1">
              <w:rPr>
                <w:sz w:val="20"/>
                <w:szCs w:val="20"/>
              </w:rPr>
              <w:t>Iekštelpu apgaismojums</w:t>
            </w:r>
          </w:p>
        </w:tc>
        <w:tc>
          <w:tcPr>
            <w:tcW w:w="1275" w:type="dxa"/>
            <w:shd w:val="clear" w:color="auto" w:fill="auto"/>
            <w:noWrap/>
            <w:vAlign w:val="center"/>
            <w:hideMark/>
          </w:tcPr>
          <w:p w14:paraId="4CA57F5D" w14:textId="77777777" w:rsidR="001D44F8" w:rsidRPr="002E42F1" w:rsidRDefault="001D44F8" w:rsidP="00CE348F">
            <w:pPr>
              <w:pStyle w:val="NoSpacing"/>
              <w:jc w:val="right"/>
              <w:rPr>
                <w:sz w:val="20"/>
                <w:szCs w:val="20"/>
              </w:rPr>
            </w:pPr>
            <w:r w:rsidRPr="002E42F1">
              <w:rPr>
                <w:sz w:val="20"/>
                <w:szCs w:val="20"/>
              </w:rPr>
              <w:t>334 172</w:t>
            </w:r>
          </w:p>
        </w:tc>
        <w:tc>
          <w:tcPr>
            <w:tcW w:w="1276" w:type="dxa"/>
            <w:shd w:val="clear" w:color="auto" w:fill="auto"/>
            <w:noWrap/>
            <w:vAlign w:val="center"/>
            <w:hideMark/>
          </w:tcPr>
          <w:p w14:paraId="0413EDC1" w14:textId="77777777" w:rsidR="001D44F8" w:rsidRPr="002E42F1" w:rsidRDefault="001D44F8" w:rsidP="00CE348F">
            <w:pPr>
              <w:pStyle w:val="NoSpacing"/>
              <w:jc w:val="right"/>
              <w:rPr>
                <w:sz w:val="20"/>
                <w:szCs w:val="20"/>
              </w:rPr>
            </w:pPr>
            <w:r w:rsidRPr="002E42F1">
              <w:rPr>
                <w:sz w:val="20"/>
                <w:szCs w:val="20"/>
              </w:rPr>
              <w:t>26 391</w:t>
            </w:r>
          </w:p>
        </w:tc>
        <w:tc>
          <w:tcPr>
            <w:tcW w:w="1276" w:type="dxa"/>
            <w:shd w:val="clear" w:color="auto" w:fill="auto"/>
            <w:noWrap/>
            <w:vAlign w:val="center"/>
            <w:hideMark/>
          </w:tcPr>
          <w:p w14:paraId="0B94A5DC" w14:textId="77777777" w:rsidR="001D44F8" w:rsidRPr="002E42F1" w:rsidRDefault="001D44F8" w:rsidP="00CE348F">
            <w:pPr>
              <w:pStyle w:val="NoSpacing"/>
              <w:jc w:val="right"/>
              <w:rPr>
                <w:sz w:val="20"/>
                <w:szCs w:val="20"/>
              </w:rPr>
            </w:pPr>
            <w:r w:rsidRPr="002E42F1">
              <w:rPr>
                <w:sz w:val="20"/>
                <w:szCs w:val="20"/>
              </w:rPr>
              <w:t>36 690</w:t>
            </w:r>
          </w:p>
        </w:tc>
        <w:tc>
          <w:tcPr>
            <w:tcW w:w="1276" w:type="dxa"/>
            <w:shd w:val="clear" w:color="auto" w:fill="auto"/>
            <w:noWrap/>
            <w:vAlign w:val="center"/>
            <w:hideMark/>
          </w:tcPr>
          <w:p w14:paraId="60ABAADB" w14:textId="77777777" w:rsidR="001D44F8" w:rsidRPr="002E42F1" w:rsidRDefault="001D44F8" w:rsidP="00CE348F">
            <w:pPr>
              <w:pStyle w:val="NoSpacing"/>
              <w:jc w:val="right"/>
              <w:rPr>
                <w:sz w:val="20"/>
                <w:szCs w:val="20"/>
              </w:rPr>
            </w:pPr>
            <w:r w:rsidRPr="002E42F1">
              <w:rPr>
                <w:sz w:val="20"/>
                <w:szCs w:val="20"/>
              </w:rPr>
              <w:t>138 715</w:t>
            </w:r>
          </w:p>
        </w:tc>
        <w:tc>
          <w:tcPr>
            <w:tcW w:w="1275" w:type="dxa"/>
            <w:shd w:val="clear" w:color="auto" w:fill="auto"/>
            <w:noWrap/>
            <w:vAlign w:val="center"/>
            <w:hideMark/>
          </w:tcPr>
          <w:p w14:paraId="34C68DC5" w14:textId="77777777" w:rsidR="001D44F8" w:rsidRPr="002E42F1" w:rsidRDefault="001D44F8" w:rsidP="00CE348F">
            <w:pPr>
              <w:pStyle w:val="NoSpacing"/>
              <w:jc w:val="right"/>
              <w:rPr>
                <w:sz w:val="20"/>
                <w:szCs w:val="20"/>
              </w:rPr>
            </w:pPr>
            <w:r w:rsidRPr="002E42F1">
              <w:rPr>
                <w:sz w:val="20"/>
                <w:szCs w:val="20"/>
              </w:rPr>
              <w:t>28 492</w:t>
            </w:r>
          </w:p>
        </w:tc>
      </w:tr>
      <w:tr w:rsidR="002E42F1" w:rsidRPr="002E42F1" w14:paraId="0A5D6A3D" w14:textId="77777777" w:rsidTr="008903DD">
        <w:tc>
          <w:tcPr>
            <w:tcW w:w="2694" w:type="dxa"/>
            <w:shd w:val="clear" w:color="auto" w:fill="auto"/>
            <w:vAlign w:val="center"/>
            <w:hideMark/>
          </w:tcPr>
          <w:p w14:paraId="785170B9" w14:textId="77777777" w:rsidR="001D44F8" w:rsidRPr="002E42F1" w:rsidRDefault="001D44F8" w:rsidP="00845CF3">
            <w:pPr>
              <w:pStyle w:val="NoSpacing"/>
              <w:rPr>
                <w:sz w:val="20"/>
                <w:szCs w:val="20"/>
              </w:rPr>
            </w:pPr>
            <w:r w:rsidRPr="002E42F1">
              <w:rPr>
                <w:sz w:val="20"/>
                <w:szCs w:val="20"/>
              </w:rPr>
              <w:t>Ielu apgaismojums un satiksmes signāli</w:t>
            </w:r>
          </w:p>
        </w:tc>
        <w:tc>
          <w:tcPr>
            <w:tcW w:w="1275" w:type="dxa"/>
            <w:shd w:val="clear" w:color="auto" w:fill="auto"/>
            <w:noWrap/>
            <w:vAlign w:val="center"/>
            <w:hideMark/>
          </w:tcPr>
          <w:p w14:paraId="675E662F" w14:textId="77777777" w:rsidR="001D44F8" w:rsidRPr="002E42F1" w:rsidRDefault="001D44F8" w:rsidP="00CE348F">
            <w:pPr>
              <w:pStyle w:val="NoSpacing"/>
              <w:jc w:val="right"/>
              <w:rPr>
                <w:sz w:val="20"/>
                <w:szCs w:val="20"/>
              </w:rPr>
            </w:pPr>
            <w:r w:rsidRPr="002E42F1">
              <w:rPr>
                <w:sz w:val="20"/>
                <w:szCs w:val="20"/>
              </w:rPr>
              <w:t>0</w:t>
            </w:r>
          </w:p>
        </w:tc>
        <w:tc>
          <w:tcPr>
            <w:tcW w:w="1276" w:type="dxa"/>
            <w:shd w:val="clear" w:color="auto" w:fill="auto"/>
            <w:noWrap/>
            <w:vAlign w:val="center"/>
            <w:hideMark/>
          </w:tcPr>
          <w:p w14:paraId="2B831861" w14:textId="77777777" w:rsidR="001D44F8" w:rsidRPr="002E42F1" w:rsidRDefault="001D44F8" w:rsidP="00CE348F">
            <w:pPr>
              <w:pStyle w:val="NoSpacing"/>
              <w:jc w:val="right"/>
              <w:rPr>
                <w:sz w:val="20"/>
                <w:szCs w:val="20"/>
              </w:rPr>
            </w:pPr>
            <w:r w:rsidRPr="002E42F1">
              <w:rPr>
                <w:sz w:val="20"/>
                <w:szCs w:val="20"/>
              </w:rPr>
              <w:t>10 151</w:t>
            </w:r>
          </w:p>
        </w:tc>
        <w:tc>
          <w:tcPr>
            <w:tcW w:w="1276" w:type="dxa"/>
            <w:shd w:val="clear" w:color="auto" w:fill="auto"/>
            <w:noWrap/>
            <w:vAlign w:val="center"/>
            <w:hideMark/>
          </w:tcPr>
          <w:p w14:paraId="5F4B0C04" w14:textId="77777777" w:rsidR="001D44F8" w:rsidRPr="002E42F1" w:rsidRDefault="001D44F8" w:rsidP="00CE348F">
            <w:pPr>
              <w:pStyle w:val="NoSpacing"/>
              <w:jc w:val="right"/>
              <w:rPr>
                <w:sz w:val="20"/>
                <w:szCs w:val="20"/>
              </w:rPr>
            </w:pPr>
            <w:r w:rsidRPr="002E42F1">
              <w:rPr>
                <w:sz w:val="20"/>
                <w:szCs w:val="20"/>
              </w:rPr>
              <w:t>125 986</w:t>
            </w:r>
          </w:p>
        </w:tc>
        <w:tc>
          <w:tcPr>
            <w:tcW w:w="1276" w:type="dxa"/>
            <w:shd w:val="clear" w:color="auto" w:fill="auto"/>
            <w:noWrap/>
            <w:vAlign w:val="center"/>
            <w:hideMark/>
          </w:tcPr>
          <w:p w14:paraId="5D18D9EE" w14:textId="77777777" w:rsidR="001D44F8" w:rsidRPr="002E42F1" w:rsidRDefault="001D44F8" w:rsidP="00CE348F">
            <w:pPr>
              <w:pStyle w:val="NoSpacing"/>
              <w:jc w:val="right"/>
              <w:rPr>
                <w:sz w:val="20"/>
                <w:szCs w:val="20"/>
              </w:rPr>
            </w:pPr>
            <w:r w:rsidRPr="002E42F1">
              <w:rPr>
                <w:sz w:val="20"/>
                <w:szCs w:val="20"/>
              </w:rPr>
              <w:t>1 210 042</w:t>
            </w:r>
          </w:p>
        </w:tc>
        <w:tc>
          <w:tcPr>
            <w:tcW w:w="1275" w:type="dxa"/>
            <w:shd w:val="clear" w:color="auto" w:fill="auto"/>
            <w:noWrap/>
            <w:vAlign w:val="center"/>
            <w:hideMark/>
          </w:tcPr>
          <w:p w14:paraId="1D6D6F8E" w14:textId="77777777" w:rsidR="001D44F8" w:rsidRPr="002E42F1" w:rsidRDefault="001D44F8" w:rsidP="00CE348F">
            <w:pPr>
              <w:pStyle w:val="NoSpacing"/>
              <w:jc w:val="right"/>
              <w:rPr>
                <w:sz w:val="20"/>
                <w:szCs w:val="20"/>
              </w:rPr>
            </w:pPr>
            <w:r w:rsidRPr="002E42F1">
              <w:rPr>
                <w:sz w:val="20"/>
                <w:szCs w:val="20"/>
              </w:rPr>
              <w:t>1 277 250</w:t>
            </w:r>
          </w:p>
        </w:tc>
      </w:tr>
      <w:tr w:rsidR="002E42F1" w:rsidRPr="002E42F1" w14:paraId="55B47FE1" w14:textId="77777777" w:rsidTr="008903DD">
        <w:tc>
          <w:tcPr>
            <w:tcW w:w="2694" w:type="dxa"/>
            <w:shd w:val="clear" w:color="000000" w:fill="D9D9D9"/>
            <w:vAlign w:val="center"/>
            <w:hideMark/>
          </w:tcPr>
          <w:p w14:paraId="3CC15CDC" w14:textId="77777777" w:rsidR="001D44F8" w:rsidRPr="002E42F1" w:rsidRDefault="001D44F8" w:rsidP="00845CF3">
            <w:pPr>
              <w:pStyle w:val="NoSpacing"/>
              <w:rPr>
                <w:b/>
                <w:bCs/>
                <w:sz w:val="20"/>
                <w:szCs w:val="20"/>
              </w:rPr>
            </w:pPr>
            <w:r w:rsidRPr="002E42F1">
              <w:rPr>
                <w:b/>
                <w:bCs/>
                <w:sz w:val="20"/>
                <w:szCs w:val="20"/>
              </w:rPr>
              <w:t>Kopā ZPI obligātās grupas</w:t>
            </w:r>
          </w:p>
        </w:tc>
        <w:tc>
          <w:tcPr>
            <w:tcW w:w="1275" w:type="dxa"/>
            <w:shd w:val="clear" w:color="000000" w:fill="D9D9D9"/>
            <w:noWrap/>
            <w:vAlign w:val="center"/>
            <w:hideMark/>
          </w:tcPr>
          <w:p w14:paraId="61142E53" w14:textId="77777777" w:rsidR="001D44F8" w:rsidRPr="002E42F1" w:rsidRDefault="001D44F8" w:rsidP="00CE348F">
            <w:pPr>
              <w:pStyle w:val="NoSpacing"/>
              <w:jc w:val="right"/>
              <w:rPr>
                <w:b/>
                <w:bCs/>
                <w:sz w:val="20"/>
                <w:szCs w:val="20"/>
              </w:rPr>
            </w:pPr>
            <w:r w:rsidRPr="002E42F1">
              <w:rPr>
                <w:b/>
                <w:bCs/>
                <w:sz w:val="20"/>
                <w:szCs w:val="20"/>
              </w:rPr>
              <w:t>91 187 865</w:t>
            </w:r>
          </w:p>
        </w:tc>
        <w:tc>
          <w:tcPr>
            <w:tcW w:w="1276" w:type="dxa"/>
            <w:shd w:val="clear" w:color="000000" w:fill="D9D9D9"/>
            <w:noWrap/>
            <w:vAlign w:val="center"/>
            <w:hideMark/>
          </w:tcPr>
          <w:p w14:paraId="5E420E27" w14:textId="77777777" w:rsidR="001D44F8" w:rsidRPr="002E42F1" w:rsidRDefault="001D44F8" w:rsidP="00CE348F">
            <w:pPr>
              <w:pStyle w:val="NoSpacing"/>
              <w:jc w:val="right"/>
              <w:rPr>
                <w:b/>
                <w:bCs/>
                <w:sz w:val="20"/>
                <w:szCs w:val="20"/>
              </w:rPr>
            </w:pPr>
            <w:r w:rsidRPr="002E42F1">
              <w:rPr>
                <w:b/>
                <w:bCs/>
                <w:sz w:val="20"/>
                <w:szCs w:val="20"/>
              </w:rPr>
              <w:t>83 224 956</w:t>
            </w:r>
          </w:p>
        </w:tc>
        <w:tc>
          <w:tcPr>
            <w:tcW w:w="1276" w:type="dxa"/>
            <w:shd w:val="clear" w:color="000000" w:fill="D9D9D9"/>
            <w:noWrap/>
            <w:vAlign w:val="center"/>
            <w:hideMark/>
          </w:tcPr>
          <w:p w14:paraId="2725CC81" w14:textId="77777777" w:rsidR="001D44F8" w:rsidRPr="002E42F1" w:rsidRDefault="001D44F8" w:rsidP="00CE348F">
            <w:pPr>
              <w:pStyle w:val="NoSpacing"/>
              <w:jc w:val="right"/>
              <w:rPr>
                <w:b/>
                <w:bCs/>
                <w:sz w:val="20"/>
                <w:szCs w:val="20"/>
              </w:rPr>
            </w:pPr>
            <w:r w:rsidRPr="002E42F1">
              <w:rPr>
                <w:b/>
                <w:bCs/>
                <w:sz w:val="20"/>
                <w:szCs w:val="20"/>
              </w:rPr>
              <w:t>93 770 358</w:t>
            </w:r>
          </w:p>
        </w:tc>
        <w:tc>
          <w:tcPr>
            <w:tcW w:w="1276" w:type="dxa"/>
            <w:shd w:val="clear" w:color="000000" w:fill="D9D9D9"/>
            <w:noWrap/>
            <w:vAlign w:val="center"/>
            <w:hideMark/>
          </w:tcPr>
          <w:p w14:paraId="70233EA3" w14:textId="77777777" w:rsidR="001D44F8" w:rsidRPr="002E42F1" w:rsidRDefault="001D44F8" w:rsidP="00CE348F">
            <w:pPr>
              <w:pStyle w:val="NoSpacing"/>
              <w:jc w:val="right"/>
              <w:rPr>
                <w:b/>
                <w:bCs/>
                <w:sz w:val="20"/>
                <w:szCs w:val="20"/>
              </w:rPr>
            </w:pPr>
            <w:r w:rsidRPr="002E42F1">
              <w:rPr>
                <w:b/>
                <w:bCs/>
                <w:sz w:val="20"/>
                <w:szCs w:val="20"/>
              </w:rPr>
              <w:t>133 230 657</w:t>
            </w:r>
          </w:p>
        </w:tc>
        <w:tc>
          <w:tcPr>
            <w:tcW w:w="1275" w:type="dxa"/>
            <w:shd w:val="clear" w:color="000000" w:fill="D9D9D9"/>
            <w:noWrap/>
            <w:vAlign w:val="center"/>
            <w:hideMark/>
          </w:tcPr>
          <w:p w14:paraId="1326E1E3" w14:textId="77777777" w:rsidR="001D44F8" w:rsidRPr="002E42F1" w:rsidRDefault="001D44F8" w:rsidP="00CE348F">
            <w:pPr>
              <w:pStyle w:val="NoSpacing"/>
              <w:jc w:val="right"/>
              <w:rPr>
                <w:b/>
                <w:bCs/>
                <w:sz w:val="20"/>
                <w:szCs w:val="20"/>
              </w:rPr>
            </w:pPr>
            <w:r w:rsidRPr="002E42F1">
              <w:rPr>
                <w:b/>
                <w:bCs/>
                <w:sz w:val="20"/>
                <w:szCs w:val="20"/>
              </w:rPr>
              <w:t>149 264 749</w:t>
            </w:r>
          </w:p>
        </w:tc>
      </w:tr>
      <w:tr w:rsidR="002E42F1" w:rsidRPr="002E42F1" w14:paraId="7244C2F2" w14:textId="77777777" w:rsidTr="008903DD">
        <w:tc>
          <w:tcPr>
            <w:tcW w:w="2694" w:type="dxa"/>
            <w:shd w:val="clear" w:color="auto" w:fill="auto"/>
            <w:vAlign w:val="center"/>
            <w:hideMark/>
          </w:tcPr>
          <w:p w14:paraId="089AC058" w14:textId="77777777" w:rsidR="001D44F8" w:rsidRPr="002E42F1" w:rsidRDefault="001D44F8" w:rsidP="00845CF3">
            <w:pPr>
              <w:pStyle w:val="NoSpacing"/>
              <w:rPr>
                <w:sz w:val="20"/>
                <w:szCs w:val="20"/>
              </w:rPr>
            </w:pPr>
            <w:r w:rsidRPr="002E42F1">
              <w:rPr>
                <w:sz w:val="20"/>
                <w:szCs w:val="20"/>
              </w:rPr>
              <w:t>Būvdarbi</w:t>
            </w:r>
          </w:p>
        </w:tc>
        <w:tc>
          <w:tcPr>
            <w:tcW w:w="1275" w:type="dxa"/>
            <w:shd w:val="clear" w:color="auto" w:fill="auto"/>
            <w:noWrap/>
            <w:vAlign w:val="center"/>
            <w:hideMark/>
          </w:tcPr>
          <w:p w14:paraId="33D1AF22" w14:textId="77777777" w:rsidR="001D44F8" w:rsidRPr="002E42F1" w:rsidRDefault="001D44F8" w:rsidP="00CE348F">
            <w:pPr>
              <w:pStyle w:val="NoSpacing"/>
              <w:jc w:val="right"/>
              <w:rPr>
                <w:sz w:val="20"/>
                <w:szCs w:val="20"/>
              </w:rPr>
            </w:pPr>
            <w:r w:rsidRPr="002E42F1">
              <w:rPr>
                <w:sz w:val="20"/>
                <w:szCs w:val="20"/>
              </w:rPr>
              <w:t>58 582 999</w:t>
            </w:r>
          </w:p>
        </w:tc>
        <w:tc>
          <w:tcPr>
            <w:tcW w:w="1276" w:type="dxa"/>
            <w:shd w:val="clear" w:color="auto" w:fill="auto"/>
            <w:noWrap/>
            <w:vAlign w:val="center"/>
            <w:hideMark/>
          </w:tcPr>
          <w:p w14:paraId="0E3889EA" w14:textId="77777777" w:rsidR="001D44F8" w:rsidRPr="002E42F1" w:rsidRDefault="001D44F8" w:rsidP="00CE348F">
            <w:pPr>
              <w:pStyle w:val="NoSpacing"/>
              <w:jc w:val="right"/>
              <w:rPr>
                <w:sz w:val="20"/>
                <w:szCs w:val="20"/>
              </w:rPr>
            </w:pPr>
            <w:r w:rsidRPr="002E42F1">
              <w:rPr>
                <w:sz w:val="20"/>
                <w:szCs w:val="20"/>
              </w:rPr>
              <w:t>95 934 241</w:t>
            </w:r>
          </w:p>
        </w:tc>
        <w:tc>
          <w:tcPr>
            <w:tcW w:w="1276" w:type="dxa"/>
            <w:shd w:val="clear" w:color="auto" w:fill="auto"/>
            <w:noWrap/>
            <w:vAlign w:val="center"/>
            <w:hideMark/>
          </w:tcPr>
          <w:p w14:paraId="2A0F9254" w14:textId="77777777" w:rsidR="001D44F8" w:rsidRPr="002E42F1" w:rsidRDefault="001D44F8" w:rsidP="00CE348F">
            <w:pPr>
              <w:pStyle w:val="NoSpacing"/>
              <w:jc w:val="right"/>
              <w:rPr>
                <w:sz w:val="20"/>
                <w:szCs w:val="20"/>
              </w:rPr>
            </w:pPr>
            <w:r w:rsidRPr="002E42F1">
              <w:rPr>
                <w:sz w:val="20"/>
                <w:szCs w:val="20"/>
              </w:rPr>
              <w:t>80 908 286</w:t>
            </w:r>
          </w:p>
        </w:tc>
        <w:tc>
          <w:tcPr>
            <w:tcW w:w="1276" w:type="dxa"/>
            <w:shd w:val="clear" w:color="auto" w:fill="auto"/>
            <w:noWrap/>
            <w:vAlign w:val="center"/>
            <w:hideMark/>
          </w:tcPr>
          <w:p w14:paraId="326D5C76" w14:textId="77777777" w:rsidR="001D44F8" w:rsidRPr="002E42F1" w:rsidRDefault="001D44F8" w:rsidP="00CE348F">
            <w:pPr>
              <w:pStyle w:val="NoSpacing"/>
              <w:jc w:val="right"/>
              <w:rPr>
                <w:sz w:val="20"/>
                <w:szCs w:val="20"/>
              </w:rPr>
            </w:pPr>
            <w:r w:rsidRPr="002E42F1">
              <w:rPr>
                <w:sz w:val="20"/>
                <w:szCs w:val="20"/>
              </w:rPr>
              <w:t>234 055 174</w:t>
            </w:r>
          </w:p>
        </w:tc>
        <w:tc>
          <w:tcPr>
            <w:tcW w:w="1275" w:type="dxa"/>
            <w:shd w:val="clear" w:color="auto" w:fill="auto"/>
            <w:noWrap/>
            <w:vAlign w:val="center"/>
            <w:hideMark/>
          </w:tcPr>
          <w:p w14:paraId="2880DA55" w14:textId="77777777" w:rsidR="001D44F8" w:rsidRPr="002E42F1" w:rsidRDefault="001D44F8" w:rsidP="00CE348F">
            <w:pPr>
              <w:pStyle w:val="NoSpacing"/>
              <w:jc w:val="right"/>
              <w:rPr>
                <w:sz w:val="20"/>
                <w:szCs w:val="20"/>
              </w:rPr>
            </w:pPr>
            <w:r w:rsidRPr="002E42F1">
              <w:rPr>
                <w:sz w:val="20"/>
                <w:szCs w:val="20"/>
              </w:rPr>
              <w:t>272 546 091</w:t>
            </w:r>
          </w:p>
        </w:tc>
      </w:tr>
      <w:tr w:rsidR="002E42F1" w:rsidRPr="002E42F1" w14:paraId="50EBDAD2" w14:textId="77777777" w:rsidTr="008903DD">
        <w:tc>
          <w:tcPr>
            <w:tcW w:w="2694" w:type="dxa"/>
            <w:shd w:val="clear" w:color="auto" w:fill="auto"/>
            <w:vAlign w:val="center"/>
            <w:hideMark/>
          </w:tcPr>
          <w:p w14:paraId="0BC3E1DE" w14:textId="77777777" w:rsidR="001D44F8" w:rsidRPr="002E42F1" w:rsidRDefault="001D44F8" w:rsidP="00845CF3">
            <w:pPr>
              <w:pStyle w:val="NoSpacing"/>
              <w:rPr>
                <w:sz w:val="20"/>
                <w:szCs w:val="20"/>
              </w:rPr>
            </w:pPr>
            <w:r w:rsidRPr="002E42F1">
              <w:rPr>
                <w:sz w:val="20"/>
                <w:szCs w:val="20"/>
              </w:rPr>
              <w:t>Dārzkopības produkti un pakalpojumi</w:t>
            </w:r>
          </w:p>
        </w:tc>
        <w:tc>
          <w:tcPr>
            <w:tcW w:w="1275" w:type="dxa"/>
            <w:shd w:val="clear" w:color="auto" w:fill="auto"/>
            <w:noWrap/>
            <w:vAlign w:val="center"/>
            <w:hideMark/>
          </w:tcPr>
          <w:p w14:paraId="74BCC2E8"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088E4681" w14:textId="77777777" w:rsidR="001D44F8" w:rsidRPr="002E42F1" w:rsidRDefault="001D44F8" w:rsidP="00CE348F">
            <w:pPr>
              <w:pStyle w:val="NoSpacing"/>
              <w:jc w:val="right"/>
              <w:rPr>
                <w:sz w:val="20"/>
                <w:szCs w:val="20"/>
              </w:rPr>
            </w:pPr>
            <w:r w:rsidRPr="002E42F1">
              <w:rPr>
                <w:sz w:val="20"/>
                <w:szCs w:val="20"/>
              </w:rPr>
              <w:t>623 146</w:t>
            </w:r>
          </w:p>
        </w:tc>
        <w:tc>
          <w:tcPr>
            <w:tcW w:w="1276" w:type="dxa"/>
            <w:shd w:val="clear" w:color="auto" w:fill="auto"/>
            <w:noWrap/>
            <w:vAlign w:val="center"/>
            <w:hideMark/>
          </w:tcPr>
          <w:p w14:paraId="55337F08" w14:textId="77777777" w:rsidR="001D44F8" w:rsidRPr="002E42F1" w:rsidRDefault="001D44F8" w:rsidP="00CE348F">
            <w:pPr>
              <w:pStyle w:val="NoSpacing"/>
              <w:jc w:val="right"/>
              <w:rPr>
                <w:sz w:val="20"/>
                <w:szCs w:val="20"/>
              </w:rPr>
            </w:pPr>
            <w:r w:rsidRPr="002E42F1">
              <w:rPr>
                <w:sz w:val="20"/>
                <w:szCs w:val="20"/>
              </w:rPr>
              <w:t>957 555</w:t>
            </w:r>
          </w:p>
        </w:tc>
        <w:tc>
          <w:tcPr>
            <w:tcW w:w="1276" w:type="dxa"/>
            <w:shd w:val="clear" w:color="auto" w:fill="auto"/>
            <w:noWrap/>
            <w:vAlign w:val="center"/>
            <w:hideMark/>
          </w:tcPr>
          <w:p w14:paraId="339D2A47" w14:textId="77777777" w:rsidR="001D44F8" w:rsidRPr="002E42F1" w:rsidRDefault="001D44F8" w:rsidP="00CE348F">
            <w:pPr>
              <w:pStyle w:val="NoSpacing"/>
              <w:jc w:val="right"/>
              <w:rPr>
                <w:sz w:val="20"/>
                <w:szCs w:val="20"/>
              </w:rPr>
            </w:pPr>
            <w:r w:rsidRPr="002E42F1">
              <w:rPr>
                <w:sz w:val="20"/>
                <w:szCs w:val="20"/>
              </w:rPr>
              <w:t>1 104 537</w:t>
            </w:r>
          </w:p>
        </w:tc>
        <w:tc>
          <w:tcPr>
            <w:tcW w:w="1275" w:type="dxa"/>
            <w:shd w:val="clear" w:color="auto" w:fill="auto"/>
            <w:noWrap/>
            <w:vAlign w:val="center"/>
            <w:hideMark/>
          </w:tcPr>
          <w:p w14:paraId="2F6BAD80" w14:textId="77777777" w:rsidR="001D44F8" w:rsidRPr="002E42F1" w:rsidRDefault="001D44F8" w:rsidP="00CE348F">
            <w:pPr>
              <w:pStyle w:val="NoSpacing"/>
              <w:jc w:val="right"/>
              <w:rPr>
                <w:sz w:val="20"/>
                <w:szCs w:val="20"/>
              </w:rPr>
            </w:pPr>
            <w:r w:rsidRPr="002E42F1">
              <w:rPr>
                <w:sz w:val="20"/>
                <w:szCs w:val="20"/>
              </w:rPr>
              <w:t>1 251 483</w:t>
            </w:r>
          </w:p>
        </w:tc>
      </w:tr>
      <w:tr w:rsidR="002E42F1" w:rsidRPr="002E42F1" w14:paraId="5483EC7B" w14:textId="77777777" w:rsidTr="008903DD">
        <w:tc>
          <w:tcPr>
            <w:tcW w:w="2694" w:type="dxa"/>
            <w:shd w:val="clear" w:color="auto" w:fill="auto"/>
            <w:vAlign w:val="center"/>
            <w:hideMark/>
          </w:tcPr>
          <w:p w14:paraId="03368388" w14:textId="77777777" w:rsidR="001D44F8" w:rsidRPr="002E42F1" w:rsidRDefault="001D44F8" w:rsidP="00845CF3">
            <w:pPr>
              <w:pStyle w:val="NoSpacing"/>
              <w:rPr>
                <w:sz w:val="20"/>
                <w:szCs w:val="20"/>
              </w:rPr>
            </w:pPr>
            <w:r w:rsidRPr="002E42F1">
              <w:rPr>
                <w:sz w:val="20"/>
                <w:szCs w:val="20"/>
              </w:rPr>
              <w:t>Elektroenerģija</w:t>
            </w:r>
          </w:p>
        </w:tc>
        <w:tc>
          <w:tcPr>
            <w:tcW w:w="1275" w:type="dxa"/>
            <w:shd w:val="clear" w:color="auto" w:fill="auto"/>
            <w:noWrap/>
            <w:vAlign w:val="center"/>
            <w:hideMark/>
          </w:tcPr>
          <w:p w14:paraId="5D60B8B1"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629A58A9" w14:textId="77777777" w:rsidR="001D44F8" w:rsidRPr="002E42F1" w:rsidRDefault="001D44F8" w:rsidP="00CE348F">
            <w:pPr>
              <w:pStyle w:val="NoSpacing"/>
              <w:jc w:val="right"/>
              <w:rPr>
                <w:sz w:val="20"/>
                <w:szCs w:val="20"/>
              </w:rPr>
            </w:pPr>
            <w:r w:rsidRPr="002E42F1">
              <w:rPr>
                <w:sz w:val="20"/>
                <w:szCs w:val="20"/>
              </w:rPr>
              <w:t>1 100 000</w:t>
            </w:r>
          </w:p>
        </w:tc>
        <w:tc>
          <w:tcPr>
            <w:tcW w:w="1276" w:type="dxa"/>
            <w:shd w:val="clear" w:color="auto" w:fill="auto"/>
            <w:noWrap/>
            <w:vAlign w:val="center"/>
            <w:hideMark/>
          </w:tcPr>
          <w:p w14:paraId="56482DA0" w14:textId="77777777" w:rsidR="001D44F8" w:rsidRPr="002E42F1" w:rsidRDefault="001D44F8" w:rsidP="00CE348F">
            <w:pPr>
              <w:pStyle w:val="NoSpacing"/>
              <w:jc w:val="right"/>
              <w:rPr>
                <w:sz w:val="20"/>
                <w:szCs w:val="20"/>
              </w:rPr>
            </w:pPr>
            <w:r w:rsidRPr="002E42F1">
              <w:rPr>
                <w:sz w:val="20"/>
                <w:szCs w:val="20"/>
              </w:rPr>
              <w:t>412 974</w:t>
            </w:r>
          </w:p>
        </w:tc>
        <w:tc>
          <w:tcPr>
            <w:tcW w:w="1276" w:type="dxa"/>
            <w:shd w:val="clear" w:color="auto" w:fill="auto"/>
            <w:noWrap/>
            <w:vAlign w:val="center"/>
            <w:hideMark/>
          </w:tcPr>
          <w:p w14:paraId="2A0B31FC" w14:textId="77777777" w:rsidR="001D44F8" w:rsidRPr="002E42F1" w:rsidRDefault="001D44F8" w:rsidP="00CE348F">
            <w:pPr>
              <w:pStyle w:val="NoSpacing"/>
              <w:jc w:val="right"/>
              <w:rPr>
                <w:sz w:val="20"/>
                <w:szCs w:val="20"/>
              </w:rPr>
            </w:pPr>
            <w:r w:rsidRPr="002E42F1">
              <w:rPr>
                <w:sz w:val="20"/>
                <w:szCs w:val="20"/>
              </w:rPr>
              <w:t>3 428 610</w:t>
            </w:r>
          </w:p>
        </w:tc>
        <w:tc>
          <w:tcPr>
            <w:tcW w:w="1275" w:type="dxa"/>
            <w:shd w:val="clear" w:color="auto" w:fill="auto"/>
            <w:noWrap/>
            <w:vAlign w:val="center"/>
            <w:hideMark/>
          </w:tcPr>
          <w:p w14:paraId="0A8968BE" w14:textId="77777777" w:rsidR="001D44F8" w:rsidRPr="002E42F1" w:rsidRDefault="001D44F8" w:rsidP="00CE348F">
            <w:pPr>
              <w:pStyle w:val="NoSpacing"/>
              <w:jc w:val="right"/>
              <w:rPr>
                <w:sz w:val="20"/>
                <w:szCs w:val="20"/>
              </w:rPr>
            </w:pPr>
            <w:r w:rsidRPr="002E42F1">
              <w:rPr>
                <w:sz w:val="20"/>
                <w:szCs w:val="20"/>
              </w:rPr>
              <w:t>309 424</w:t>
            </w:r>
          </w:p>
        </w:tc>
      </w:tr>
      <w:tr w:rsidR="002E42F1" w:rsidRPr="002E42F1" w14:paraId="099832AF" w14:textId="77777777" w:rsidTr="008903DD">
        <w:tc>
          <w:tcPr>
            <w:tcW w:w="2694" w:type="dxa"/>
            <w:shd w:val="clear" w:color="auto" w:fill="auto"/>
            <w:vAlign w:val="center"/>
            <w:hideMark/>
          </w:tcPr>
          <w:p w14:paraId="3CD2A5EE" w14:textId="77777777" w:rsidR="001D44F8" w:rsidRPr="002E42F1" w:rsidRDefault="001D44F8" w:rsidP="00845CF3">
            <w:pPr>
              <w:pStyle w:val="NoSpacing"/>
              <w:rPr>
                <w:sz w:val="20"/>
                <w:szCs w:val="20"/>
              </w:rPr>
            </w:pPr>
            <w:r w:rsidRPr="002E42F1">
              <w:rPr>
                <w:sz w:val="20"/>
                <w:szCs w:val="20"/>
              </w:rPr>
              <w:t>Mēbeles</w:t>
            </w:r>
          </w:p>
        </w:tc>
        <w:tc>
          <w:tcPr>
            <w:tcW w:w="1275" w:type="dxa"/>
            <w:shd w:val="clear" w:color="auto" w:fill="auto"/>
            <w:noWrap/>
            <w:vAlign w:val="center"/>
            <w:hideMark/>
          </w:tcPr>
          <w:p w14:paraId="78346856"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0D939305" w14:textId="77777777" w:rsidR="001D44F8" w:rsidRPr="002E42F1" w:rsidRDefault="001D44F8" w:rsidP="00CE348F">
            <w:pPr>
              <w:pStyle w:val="NoSpacing"/>
              <w:jc w:val="right"/>
              <w:rPr>
                <w:sz w:val="20"/>
                <w:szCs w:val="20"/>
              </w:rPr>
            </w:pPr>
            <w:r w:rsidRPr="002E42F1">
              <w:rPr>
                <w:sz w:val="20"/>
                <w:szCs w:val="20"/>
              </w:rPr>
              <w:t>18 819</w:t>
            </w:r>
          </w:p>
        </w:tc>
        <w:tc>
          <w:tcPr>
            <w:tcW w:w="1276" w:type="dxa"/>
            <w:shd w:val="clear" w:color="auto" w:fill="auto"/>
            <w:noWrap/>
            <w:vAlign w:val="center"/>
            <w:hideMark/>
          </w:tcPr>
          <w:p w14:paraId="717BF052" w14:textId="77777777" w:rsidR="001D44F8" w:rsidRPr="002E42F1" w:rsidRDefault="001D44F8" w:rsidP="00CE348F">
            <w:pPr>
              <w:pStyle w:val="NoSpacing"/>
              <w:jc w:val="right"/>
              <w:rPr>
                <w:sz w:val="20"/>
                <w:szCs w:val="20"/>
              </w:rPr>
            </w:pPr>
            <w:r w:rsidRPr="002E42F1">
              <w:rPr>
                <w:sz w:val="20"/>
                <w:szCs w:val="20"/>
              </w:rPr>
              <w:t>103 924</w:t>
            </w:r>
          </w:p>
        </w:tc>
        <w:tc>
          <w:tcPr>
            <w:tcW w:w="1276" w:type="dxa"/>
            <w:shd w:val="clear" w:color="auto" w:fill="auto"/>
            <w:noWrap/>
            <w:vAlign w:val="center"/>
            <w:hideMark/>
          </w:tcPr>
          <w:p w14:paraId="3ABF5AE6" w14:textId="77777777" w:rsidR="001D44F8" w:rsidRPr="002E42F1" w:rsidRDefault="001D44F8" w:rsidP="00CE348F">
            <w:pPr>
              <w:pStyle w:val="NoSpacing"/>
              <w:jc w:val="right"/>
              <w:rPr>
                <w:sz w:val="20"/>
                <w:szCs w:val="20"/>
              </w:rPr>
            </w:pPr>
            <w:r w:rsidRPr="002E42F1">
              <w:rPr>
                <w:sz w:val="20"/>
                <w:szCs w:val="20"/>
              </w:rPr>
              <w:t>785 964</w:t>
            </w:r>
          </w:p>
        </w:tc>
        <w:tc>
          <w:tcPr>
            <w:tcW w:w="1275" w:type="dxa"/>
            <w:shd w:val="clear" w:color="auto" w:fill="auto"/>
            <w:noWrap/>
            <w:vAlign w:val="center"/>
            <w:hideMark/>
          </w:tcPr>
          <w:p w14:paraId="5A0EEC9D" w14:textId="77777777" w:rsidR="001D44F8" w:rsidRPr="002E42F1" w:rsidRDefault="001D44F8" w:rsidP="00CE348F">
            <w:pPr>
              <w:pStyle w:val="NoSpacing"/>
              <w:jc w:val="right"/>
              <w:rPr>
                <w:sz w:val="20"/>
                <w:szCs w:val="20"/>
              </w:rPr>
            </w:pPr>
            <w:r w:rsidRPr="002E42F1">
              <w:rPr>
                <w:sz w:val="20"/>
                <w:szCs w:val="20"/>
              </w:rPr>
              <w:t>545 971</w:t>
            </w:r>
          </w:p>
        </w:tc>
      </w:tr>
      <w:tr w:rsidR="002E42F1" w:rsidRPr="002E42F1" w14:paraId="6BA66318" w14:textId="77777777" w:rsidTr="008903DD">
        <w:tc>
          <w:tcPr>
            <w:tcW w:w="2694" w:type="dxa"/>
            <w:shd w:val="clear" w:color="auto" w:fill="auto"/>
            <w:vAlign w:val="center"/>
            <w:hideMark/>
          </w:tcPr>
          <w:p w14:paraId="628A193D" w14:textId="77777777" w:rsidR="001D44F8" w:rsidRPr="002E42F1" w:rsidRDefault="001D44F8" w:rsidP="00845CF3">
            <w:pPr>
              <w:pStyle w:val="NoSpacing"/>
              <w:rPr>
                <w:sz w:val="20"/>
                <w:szCs w:val="20"/>
              </w:rPr>
            </w:pPr>
            <w:r w:rsidRPr="002E42F1">
              <w:rPr>
                <w:sz w:val="20"/>
                <w:szCs w:val="20"/>
              </w:rPr>
              <w:t>Transports</w:t>
            </w:r>
          </w:p>
        </w:tc>
        <w:tc>
          <w:tcPr>
            <w:tcW w:w="1275" w:type="dxa"/>
            <w:shd w:val="clear" w:color="auto" w:fill="auto"/>
            <w:noWrap/>
            <w:vAlign w:val="center"/>
            <w:hideMark/>
          </w:tcPr>
          <w:p w14:paraId="66F7146C"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2FD75637" w14:textId="77777777" w:rsidR="001D44F8" w:rsidRPr="002E42F1" w:rsidRDefault="001D44F8" w:rsidP="00CE348F">
            <w:pPr>
              <w:pStyle w:val="NoSpacing"/>
              <w:jc w:val="right"/>
              <w:rPr>
                <w:sz w:val="20"/>
                <w:szCs w:val="20"/>
              </w:rPr>
            </w:pPr>
            <w:r w:rsidRPr="002E42F1">
              <w:rPr>
                <w:sz w:val="20"/>
                <w:szCs w:val="20"/>
              </w:rPr>
              <w:t>16 361 719</w:t>
            </w:r>
          </w:p>
        </w:tc>
        <w:tc>
          <w:tcPr>
            <w:tcW w:w="1276" w:type="dxa"/>
            <w:shd w:val="clear" w:color="auto" w:fill="auto"/>
            <w:noWrap/>
            <w:vAlign w:val="center"/>
            <w:hideMark/>
          </w:tcPr>
          <w:p w14:paraId="731353CB" w14:textId="77777777" w:rsidR="001D44F8" w:rsidRPr="002E42F1" w:rsidRDefault="001D44F8" w:rsidP="00CE348F">
            <w:pPr>
              <w:pStyle w:val="NoSpacing"/>
              <w:jc w:val="right"/>
              <w:rPr>
                <w:sz w:val="20"/>
                <w:szCs w:val="20"/>
              </w:rPr>
            </w:pPr>
            <w:r w:rsidRPr="002E42F1">
              <w:rPr>
                <w:sz w:val="20"/>
                <w:szCs w:val="20"/>
              </w:rPr>
              <w:t>50 235 717</w:t>
            </w:r>
          </w:p>
        </w:tc>
        <w:tc>
          <w:tcPr>
            <w:tcW w:w="1276" w:type="dxa"/>
            <w:shd w:val="clear" w:color="auto" w:fill="auto"/>
            <w:noWrap/>
            <w:vAlign w:val="center"/>
            <w:hideMark/>
          </w:tcPr>
          <w:p w14:paraId="47828E74" w14:textId="77777777" w:rsidR="001D44F8" w:rsidRPr="002E42F1" w:rsidRDefault="001D44F8" w:rsidP="00CE348F">
            <w:pPr>
              <w:pStyle w:val="NoSpacing"/>
              <w:jc w:val="right"/>
              <w:rPr>
                <w:sz w:val="20"/>
                <w:szCs w:val="20"/>
              </w:rPr>
            </w:pPr>
            <w:r w:rsidRPr="002E42F1">
              <w:rPr>
                <w:sz w:val="20"/>
                <w:szCs w:val="20"/>
              </w:rPr>
              <w:t>30 399 959</w:t>
            </w:r>
          </w:p>
        </w:tc>
        <w:tc>
          <w:tcPr>
            <w:tcW w:w="1275" w:type="dxa"/>
            <w:shd w:val="clear" w:color="auto" w:fill="auto"/>
            <w:noWrap/>
            <w:vAlign w:val="center"/>
            <w:hideMark/>
          </w:tcPr>
          <w:p w14:paraId="769FCDC8" w14:textId="77777777" w:rsidR="001D44F8" w:rsidRPr="002E42F1" w:rsidRDefault="001D44F8" w:rsidP="00CE348F">
            <w:pPr>
              <w:pStyle w:val="NoSpacing"/>
              <w:jc w:val="right"/>
              <w:rPr>
                <w:sz w:val="20"/>
                <w:szCs w:val="20"/>
              </w:rPr>
            </w:pPr>
            <w:r w:rsidRPr="002E42F1">
              <w:rPr>
                <w:sz w:val="20"/>
                <w:szCs w:val="20"/>
              </w:rPr>
              <w:t>17 617 278</w:t>
            </w:r>
          </w:p>
        </w:tc>
      </w:tr>
      <w:tr w:rsidR="002E42F1" w:rsidRPr="002E42F1" w14:paraId="1F8083B6" w14:textId="77777777" w:rsidTr="008903DD">
        <w:tc>
          <w:tcPr>
            <w:tcW w:w="2694" w:type="dxa"/>
            <w:shd w:val="clear" w:color="auto" w:fill="auto"/>
            <w:vAlign w:val="center"/>
            <w:hideMark/>
          </w:tcPr>
          <w:p w14:paraId="69349038" w14:textId="77777777" w:rsidR="001D44F8" w:rsidRPr="002E42F1" w:rsidRDefault="001D44F8" w:rsidP="00845CF3">
            <w:pPr>
              <w:pStyle w:val="NoSpacing"/>
              <w:rPr>
                <w:sz w:val="20"/>
                <w:szCs w:val="20"/>
              </w:rPr>
            </w:pPr>
            <w:r w:rsidRPr="002E42F1">
              <w:rPr>
                <w:sz w:val="20"/>
                <w:szCs w:val="20"/>
              </w:rPr>
              <w:t>Veselības aprūpes elektriskās un elektroniskās iekārtas</w:t>
            </w:r>
          </w:p>
        </w:tc>
        <w:tc>
          <w:tcPr>
            <w:tcW w:w="1275" w:type="dxa"/>
            <w:shd w:val="clear" w:color="auto" w:fill="auto"/>
            <w:noWrap/>
            <w:vAlign w:val="center"/>
            <w:hideMark/>
          </w:tcPr>
          <w:p w14:paraId="208DA1F7"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748B509A" w14:textId="77777777" w:rsidR="001D44F8" w:rsidRPr="002E42F1" w:rsidRDefault="001D44F8" w:rsidP="00CE348F">
            <w:pPr>
              <w:pStyle w:val="NoSpacing"/>
              <w:jc w:val="right"/>
              <w:rPr>
                <w:sz w:val="20"/>
                <w:szCs w:val="20"/>
              </w:rPr>
            </w:pPr>
            <w:r w:rsidRPr="002E42F1">
              <w:rPr>
                <w:sz w:val="20"/>
                <w:szCs w:val="20"/>
              </w:rPr>
              <w:t>69 173</w:t>
            </w:r>
          </w:p>
        </w:tc>
        <w:tc>
          <w:tcPr>
            <w:tcW w:w="1276" w:type="dxa"/>
            <w:shd w:val="clear" w:color="auto" w:fill="auto"/>
            <w:noWrap/>
            <w:vAlign w:val="center"/>
            <w:hideMark/>
          </w:tcPr>
          <w:p w14:paraId="1FA015EA" w14:textId="77777777" w:rsidR="001D44F8" w:rsidRPr="002E42F1" w:rsidRDefault="001D44F8" w:rsidP="00CE348F">
            <w:pPr>
              <w:pStyle w:val="NoSpacing"/>
              <w:jc w:val="right"/>
              <w:rPr>
                <w:sz w:val="20"/>
                <w:szCs w:val="20"/>
              </w:rPr>
            </w:pPr>
            <w:r w:rsidRPr="002E42F1">
              <w:rPr>
                <w:sz w:val="20"/>
                <w:szCs w:val="20"/>
              </w:rPr>
              <w:t>16 131</w:t>
            </w:r>
          </w:p>
        </w:tc>
        <w:tc>
          <w:tcPr>
            <w:tcW w:w="1276" w:type="dxa"/>
            <w:shd w:val="clear" w:color="auto" w:fill="auto"/>
            <w:noWrap/>
            <w:vAlign w:val="center"/>
            <w:hideMark/>
          </w:tcPr>
          <w:p w14:paraId="5B75701F" w14:textId="77777777" w:rsidR="001D44F8" w:rsidRPr="002E42F1" w:rsidRDefault="001D44F8" w:rsidP="00CE348F">
            <w:pPr>
              <w:pStyle w:val="NoSpacing"/>
              <w:jc w:val="right"/>
              <w:rPr>
                <w:sz w:val="20"/>
                <w:szCs w:val="20"/>
              </w:rPr>
            </w:pPr>
            <w:r w:rsidRPr="002E42F1">
              <w:rPr>
                <w:sz w:val="20"/>
                <w:szCs w:val="20"/>
              </w:rPr>
              <w:t>97 958</w:t>
            </w:r>
          </w:p>
        </w:tc>
        <w:tc>
          <w:tcPr>
            <w:tcW w:w="1275" w:type="dxa"/>
            <w:shd w:val="clear" w:color="auto" w:fill="auto"/>
            <w:noWrap/>
            <w:vAlign w:val="center"/>
            <w:hideMark/>
          </w:tcPr>
          <w:p w14:paraId="435B455B" w14:textId="77777777" w:rsidR="001D44F8" w:rsidRPr="002E42F1" w:rsidRDefault="001D44F8" w:rsidP="00CE348F">
            <w:pPr>
              <w:pStyle w:val="NoSpacing"/>
              <w:jc w:val="right"/>
              <w:rPr>
                <w:sz w:val="20"/>
                <w:szCs w:val="20"/>
              </w:rPr>
            </w:pPr>
            <w:r w:rsidRPr="002E42F1">
              <w:rPr>
                <w:sz w:val="20"/>
                <w:szCs w:val="20"/>
              </w:rPr>
              <w:t>365 707</w:t>
            </w:r>
          </w:p>
        </w:tc>
      </w:tr>
      <w:tr w:rsidR="002E42F1" w:rsidRPr="002E42F1" w14:paraId="03F1EDBC" w14:textId="77777777" w:rsidTr="008903DD">
        <w:tc>
          <w:tcPr>
            <w:tcW w:w="2694" w:type="dxa"/>
            <w:shd w:val="clear" w:color="auto" w:fill="auto"/>
            <w:vAlign w:val="center"/>
            <w:hideMark/>
          </w:tcPr>
          <w:p w14:paraId="204993D1" w14:textId="77777777" w:rsidR="001D44F8" w:rsidRPr="002E42F1" w:rsidRDefault="001D44F8" w:rsidP="00845CF3">
            <w:pPr>
              <w:pStyle w:val="NoSpacing"/>
              <w:rPr>
                <w:sz w:val="20"/>
                <w:szCs w:val="20"/>
              </w:rPr>
            </w:pPr>
            <w:r w:rsidRPr="002E42F1">
              <w:rPr>
                <w:sz w:val="20"/>
                <w:szCs w:val="20"/>
              </w:rPr>
              <w:t>Inženiertehniskā projektēšana</w:t>
            </w:r>
          </w:p>
        </w:tc>
        <w:tc>
          <w:tcPr>
            <w:tcW w:w="1275" w:type="dxa"/>
            <w:shd w:val="clear" w:color="auto" w:fill="auto"/>
            <w:noWrap/>
            <w:vAlign w:val="center"/>
            <w:hideMark/>
          </w:tcPr>
          <w:p w14:paraId="41B88354"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5E931584" w14:textId="77777777" w:rsidR="001D44F8" w:rsidRPr="002E42F1" w:rsidRDefault="001D44F8" w:rsidP="00CE348F">
            <w:pPr>
              <w:pStyle w:val="NoSpacing"/>
              <w:jc w:val="right"/>
              <w:rPr>
                <w:sz w:val="20"/>
                <w:szCs w:val="20"/>
              </w:rPr>
            </w:pPr>
            <w:r w:rsidRPr="002E42F1">
              <w:rPr>
                <w:sz w:val="20"/>
                <w:szCs w:val="20"/>
              </w:rPr>
              <w:t>10 387 049</w:t>
            </w:r>
          </w:p>
        </w:tc>
        <w:tc>
          <w:tcPr>
            <w:tcW w:w="1276" w:type="dxa"/>
            <w:shd w:val="clear" w:color="auto" w:fill="auto"/>
            <w:noWrap/>
            <w:vAlign w:val="center"/>
            <w:hideMark/>
          </w:tcPr>
          <w:p w14:paraId="4BAD474A" w14:textId="77777777" w:rsidR="001D44F8" w:rsidRPr="002E42F1" w:rsidRDefault="001D44F8" w:rsidP="00CE348F">
            <w:pPr>
              <w:pStyle w:val="NoSpacing"/>
              <w:jc w:val="right"/>
              <w:rPr>
                <w:sz w:val="20"/>
                <w:szCs w:val="20"/>
              </w:rPr>
            </w:pPr>
            <w:r w:rsidRPr="002E42F1">
              <w:rPr>
                <w:sz w:val="20"/>
                <w:szCs w:val="20"/>
              </w:rPr>
              <w:t>545 233</w:t>
            </w:r>
          </w:p>
        </w:tc>
        <w:tc>
          <w:tcPr>
            <w:tcW w:w="1276" w:type="dxa"/>
            <w:shd w:val="clear" w:color="auto" w:fill="auto"/>
            <w:noWrap/>
            <w:vAlign w:val="center"/>
            <w:hideMark/>
          </w:tcPr>
          <w:p w14:paraId="5194AFA8" w14:textId="77777777" w:rsidR="001D44F8" w:rsidRPr="002E42F1" w:rsidRDefault="001D44F8" w:rsidP="00CE348F">
            <w:pPr>
              <w:pStyle w:val="NoSpacing"/>
              <w:jc w:val="right"/>
              <w:rPr>
                <w:sz w:val="20"/>
                <w:szCs w:val="20"/>
              </w:rPr>
            </w:pPr>
            <w:r w:rsidRPr="002E42F1">
              <w:rPr>
                <w:sz w:val="20"/>
                <w:szCs w:val="20"/>
              </w:rPr>
              <w:t>427 536</w:t>
            </w:r>
          </w:p>
        </w:tc>
        <w:tc>
          <w:tcPr>
            <w:tcW w:w="1275" w:type="dxa"/>
            <w:shd w:val="clear" w:color="auto" w:fill="auto"/>
            <w:noWrap/>
            <w:vAlign w:val="center"/>
            <w:hideMark/>
          </w:tcPr>
          <w:p w14:paraId="5023AEB3" w14:textId="77777777" w:rsidR="001D44F8" w:rsidRPr="002E42F1" w:rsidRDefault="001D44F8" w:rsidP="00CE348F">
            <w:pPr>
              <w:pStyle w:val="NoSpacing"/>
              <w:jc w:val="right"/>
              <w:rPr>
                <w:sz w:val="20"/>
                <w:szCs w:val="20"/>
              </w:rPr>
            </w:pPr>
            <w:r w:rsidRPr="002E42F1">
              <w:rPr>
                <w:sz w:val="20"/>
                <w:szCs w:val="20"/>
              </w:rPr>
              <w:t>412 336</w:t>
            </w:r>
          </w:p>
        </w:tc>
      </w:tr>
      <w:tr w:rsidR="002E42F1" w:rsidRPr="002E42F1" w14:paraId="5FECEC34" w14:textId="77777777" w:rsidTr="008903DD">
        <w:tc>
          <w:tcPr>
            <w:tcW w:w="2694" w:type="dxa"/>
            <w:shd w:val="clear" w:color="auto" w:fill="auto"/>
            <w:vAlign w:val="center"/>
            <w:hideMark/>
          </w:tcPr>
          <w:p w14:paraId="7339FD91" w14:textId="77777777" w:rsidR="001D44F8" w:rsidRPr="002E42F1" w:rsidRDefault="001D44F8" w:rsidP="00845CF3">
            <w:pPr>
              <w:pStyle w:val="NoSpacing"/>
              <w:rPr>
                <w:sz w:val="20"/>
                <w:szCs w:val="20"/>
              </w:rPr>
            </w:pPr>
            <w:r w:rsidRPr="002E42F1">
              <w:rPr>
                <w:sz w:val="20"/>
                <w:szCs w:val="20"/>
              </w:rPr>
              <w:t>Mežsaimniecība</w:t>
            </w:r>
          </w:p>
        </w:tc>
        <w:tc>
          <w:tcPr>
            <w:tcW w:w="1275" w:type="dxa"/>
            <w:shd w:val="clear" w:color="auto" w:fill="auto"/>
            <w:noWrap/>
            <w:vAlign w:val="center"/>
            <w:hideMark/>
          </w:tcPr>
          <w:p w14:paraId="12C18D54" w14:textId="77777777" w:rsidR="001D44F8" w:rsidRPr="002E42F1" w:rsidRDefault="001D44F8" w:rsidP="00CE348F">
            <w:pPr>
              <w:pStyle w:val="NoSpacing"/>
              <w:jc w:val="right"/>
              <w:rPr>
                <w:sz w:val="20"/>
                <w:szCs w:val="20"/>
              </w:rPr>
            </w:pPr>
            <w:r w:rsidRPr="002E42F1">
              <w:rPr>
                <w:sz w:val="20"/>
                <w:szCs w:val="20"/>
              </w:rPr>
              <w:t> </w:t>
            </w:r>
          </w:p>
        </w:tc>
        <w:tc>
          <w:tcPr>
            <w:tcW w:w="1276" w:type="dxa"/>
            <w:shd w:val="clear" w:color="auto" w:fill="auto"/>
            <w:noWrap/>
            <w:vAlign w:val="center"/>
            <w:hideMark/>
          </w:tcPr>
          <w:p w14:paraId="2657877D" w14:textId="77777777" w:rsidR="001D44F8" w:rsidRPr="002E42F1" w:rsidRDefault="001D44F8" w:rsidP="00CE348F">
            <w:pPr>
              <w:pStyle w:val="NoSpacing"/>
              <w:jc w:val="right"/>
              <w:rPr>
                <w:sz w:val="20"/>
                <w:szCs w:val="20"/>
              </w:rPr>
            </w:pPr>
            <w:r w:rsidRPr="002E42F1">
              <w:rPr>
                <w:sz w:val="20"/>
                <w:szCs w:val="20"/>
              </w:rPr>
              <w:t>5 249 539</w:t>
            </w:r>
          </w:p>
        </w:tc>
        <w:tc>
          <w:tcPr>
            <w:tcW w:w="1276" w:type="dxa"/>
            <w:shd w:val="clear" w:color="auto" w:fill="auto"/>
            <w:noWrap/>
            <w:vAlign w:val="center"/>
            <w:hideMark/>
          </w:tcPr>
          <w:p w14:paraId="06F59431" w14:textId="77777777" w:rsidR="001D44F8" w:rsidRPr="002E42F1" w:rsidRDefault="001D44F8" w:rsidP="00CE348F">
            <w:pPr>
              <w:pStyle w:val="NoSpacing"/>
              <w:jc w:val="right"/>
              <w:rPr>
                <w:sz w:val="20"/>
                <w:szCs w:val="20"/>
              </w:rPr>
            </w:pPr>
            <w:r w:rsidRPr="002E42F1">
              <w:rPr>
                <w:sz w:val="20"/>
                <w:szCs w:val="20"/>
              </w:rPr>
              <w:t>16 945 094</w:t>
            </w:r>
          </w:p>
        </w:tc>
        <w:tc>
          <w:tcPr>
            <w:tcW w:w="1276" w:type="dxa"/>
            <w:shd w:val="clear" w:color="auto" w:fill="auto"/>
            <w:noWrap/>
            <w:vAlign w:val="center"/>
            <w:hideMark/>
          </w:tcPr>
          <w:p w14:paraId="1642BDBF" w14:textId="77777777" w:rsidR="001D44F8" w:rsidRPr="002E42F1" w:rsidRDefault="001D44F8" w:rsidP="00CE348F">
            <w:pPr>
              <w:pStyle w:val="NoSpacing"/>
              <w:jc w:val="right"/>
              <w:rPr>
                <w:sz w:val="20"/>
                <w:szCs w:val="20"/>
              </w:rPr>
            </w:pPr>
            <w:r w:rsidRPr="002E42F1">
              <w:rPr>
                <w:sz w:val="20"/>
                <w:szCs w:val="20"/>
              </w:rPr>
              <w:t>18 261 649</w:t>
            </w:r>
          </w:p>
        </w:tc>
        <w:tc>
          <w:tcPr>
            <w:tcW w:w="1275" w:type="dxa"/>
            <w:shd w:val="clear" w:color="auto" w:fill="auto"/>
            <w:noWrap/>
            <w:vAlign w:val="center"/>
            <w:hideMark/>
          </w:tcPr>
          <w:p w14:paraId="197606BB" w14:textId="77777777" w:rsidR="001D44F8" w:rsidRPr="002E42F1" w:rsidRDefault="001D44F8" w:rsidP="00CE348F">
            <w:pPr>
              <w:pStyle w:val="NoSpacing"/>
              <w:jc w:val="right"/>
              <w:rPr>
                <w:sz w:val="20"/>
                <w:szCs w:val="20"/>
              </w:rPr>
            </w:pPr>
            <w:r w:rsidRPr="002E42F1">
              <w:rPr>
                <w:sz w:val="20"/>
                <w:szCs w:val="20"/>
              </w:rPr>
              <w:t>6 024 758</w:t>
            </w:r>
          </w:p>
        </w:tc>
      </w:tr>
      <w:tr w:rsidR="002E42F1" w:rsidRPr="002E42F1" w14:paraId="1D33CB1A" w14:textId="77777777" w:rsidTr="008903DD">
        <w:tc>
          <w:tcPr>
            <w:tcW w:w="2694" w:type="dxa"/>
            <w:shd w:val="clear" w:color="000000" w:fill="D9D9D9"/>
            <w:vAlign w:val="center"/>
            <w:hideMark/>
          </w:tcPr>
          <w:p w14:paraId="1F2E708B" w14:textId="7AD34911" w:rsidR="001D44F8" w:rsidRPr="002E42F1" w:rsidRDefault="001D44F8" w:rsidP="009B2FFF">
            <w:pPr>
              <w:pStyle w:val="NoSpacing"/>
              <w:rPr>
                <w:b/>
                <w:bCs/>
                <w:sz w:val="20"/>
                <w:szCs w:val="20"/>
              </w:rPr>
            </w:pPr>
            <w:r w:rsidRPr="002E42F1">
              <w:rPr>
                <w:b/>
                <w:bCs/>
                <w:sz w:val="20"/>
                <w:szCs w:val="20"/>
              </w:rPr>
              <w:t xml:space="preserve">Kopā ZPI </w:t>
            </w:r>
            <w:r w:rsidR="009B2FFF" w:rsidRPr="002E42F1">
              <w:rPr>
                <w:b/>
                <w:bCs/>
                <w:sz w:val="20"/>
                <w:szCs w:val="20"/>
              </w:rPr>
              <w:t>brīvprātīgi piemērojamās</w:t>
            </w:r>
            <w:r w:rsidRPr="002E42F1">
              <w:rPr>
                <w:b/>
                <w:bCs/>
                <w:sz w:val="20"/>
                <w:szCs w:val="20"/>
              </w:rPr>
              <w:t xml:space="preserve"> grupas</w:t>
            </w:r>
          </w:p>
        </w:tc>
        <w:tc>
          <w:tcPr>
            <w:tcW w:w="1275" w:type="dxa"/>
            <w:shd w:val="clear" w:color="000000" w:fill="D9D9D9"/>
            <w:noWrap/>
            <w:vAlign w:val="center"/>
            <w:hideMark/>
          </w:tcPr>
          <w:p w14:paraId="53A03C51" w14:textId="77777777" w:rsidR="001D44F8" w:rsidRPr="002E42F1" w:rsidRDefault="001D44F8" w:rsidP="00CE348F">
            <w:pPr>
              <w:pStyle w:val="NoSpacing"/>
              <w:jc w:val="right"/>
              <w:rPr>
                <w:b/>
                <w:bCs/>
                <w:sz w:val="20"/>
                <w:szCs w:val="20"/>
              </w:rPr>
            </w:pPr>
            <w:r w:rsidRPr="002E42F1">
              <w:rPr>
                <w:b/>
                <w:bCs/>
                <w:sz w:val="20"/>
                <w:szCs w:val="20"/>
              </w:rPr>
              <w:t>58 582 999</w:t>
            </w:r>
          </w:p>
        </w:tc>
        <w:tc>
          <w:tcPr>
            <w:tcW w:w="1276" w:type="dxa"/>
            <w:shd w:val="clear" w:color="000000" w:fill="D9D9D9"/>
            <w:noWrap/>
            <w:vAlign w:val="center"/>
            <w:hideMark/>
          </w:tcPr>
          <w:p w14:paraId="4536D5A1" w14:textId="77777777" w:rsidR="001D44F8" w:rsidRPr="002E42F1" w:rsidRDefault="001D44F8" w:rsidP="00CE348F">
            <w:pPr>
              <w:pStyle w:val="NoSpacing"/>
              <w:jc w:val="right"/>
              <w:rPr>
                <w:b/>
                <w:bCs/>
                <w:sz w:val="20"/>
                <w:szCs w:val="20"/>
              </w:rPr>
            </w:pPr>
            <w:r w:rsidRPr="002E42F1">
              <w:rPr>
                <w:b/>
                <w:bCs/>
                <w:sz w:val="20"/>
                <w:szCs w:val="20"/>
              </w:rPr>
              <w:t>129 743 686</w:t>
            </w:r>
          </w:p>
        </w:tc>
        <w:tc>
          <w:tcPr>
            <w:tcW w:w="1276" w:type="dxa"/>
            <w:shd w:val="clear" w:color="000000" w:fill="D9D9D9"/>
            <w:noWrap/>
            <w:vAlign w:val="center"/>
            <w:hideMark/>
          </w:tcPr>
          <w:p w14:paraId="63AE5209" w14:textId="77777777" w:rsidR="001D44F8" w:rsidRPr="002E42F1" w:rsidRDefault="001D44F8" w:rsidP="00CE348F">
            <w:pPr>
              <w:pStyle w:val="NoSpacing"/>
              <w:jc w:val="right"/>
              <w:rPr>
                <w:b/>
                <w:bCs/>
                <w:sz w:val="20"/>
                <w:szCs w:val="20"/>
              </w:rPr>
            </w:pPr>
            <w:r w:rsidRPr="002E42F1">
              <w:rPr>
                <w:b/>
                <w:bCs/>
                <w:sz w:val="20"/>
                <w:szCs w:val="20"/>
              </w:rPr>
              <w:t>150 124 914</w:t>
            </w:r>
          </w:p>
        </w:tc>
        <w:tc>
          <w:tcPr>
            <w:tcW w:w="1276" w:type="dxa"/>
            <w:shd w:val="clear" w:color="000000" w:fill="D9D9D9"/>
            <w:noWrap/>
            <w:vAlign w:val="center"/>
            <w:hideMark/>
          </w:tcPr>
          <w:p w14:paraId="318E073A" w14:textId="77777777" w:rsidR="001D44F8" w:rsidRPr="002E42F1" w:rsidRDefault="001D44F8" w:rsidP="00CE348F">
            <w:pPr>
              <w:pStyle w:val="NoSpacing"/>
              <w:jc w:val="right"/>
              <w:rPr>
                <w:b/>
                <w:bCs/>
                <w:sz w:val="20"/>
                <w:szCs w:val="20"/>
              </w:rPr>
            </w:pPr>
            <w:r w:rsidRPr="002E42F1">
              <w:rPr>
                <w:b/>
                <w:bCs/>
                <w:sz w:val="20"/>
                <w:szCs w:val="20"/>
              </w:rPr>
              <w:t>288 561 387</w:t>
            </w:r>
          </w:p>
        </w:tc>
        <w:tc>
          <w:tcPr>
            <w:tcW w:w="1275" w:type="dxa"/>
            <w:shd w:val="clear" w:color="000000" w:fill="D9D9D9"/>
            <w:noWrap/>
            <w:vAlign w:val="center"/>
            <w:hideMark/>
          </w:tcPr>
          <w:p w14:paraId="30B7FB63" w14:textId="77777777" w:rsidR="001D44F8" w:rsidRPr="002E42F1" w:rsidRDefault="001D44F8" w:rsidP="00CE348F">
            <w:pPr>
              <w:pStyle w:val="NoSpacing"/>
              <w:jc w:val="right"/>
              <w:rPr>
                <w:b/>
                <w:bCs/>
                <w:sz w:val="20"/>
                <w:szCs w:val="20"/>
              </w:rPr>
            </w:pPr>
            <w:r w:rsidRPr="002E42F1">
              <w:rPr>
                <w:b/>
                <w:bCs/>
                <w:sz w:val="20"/>
                <w:szCs w:val="20"/>
              </w:rPr>
              <w:t>299 073 048</w:t>
            </w:r>
          </w:p>
        </w:tc>
      </w:tr>
      <w:tr w:rsidR="002E42F1" w:rsidRPr="002E42F1" w14:paraId="08D85F88" w14:textId="77777777" w:rsidTr="008903DD">
        <w:tc>
          <w:tcPr>
            <w:tcW w:w="2694" w:type="dxa"/>
            <w:shd w:val="clear" w:color="000000" w:fill="D9D9D9"/>
            <w:vAlign w:val="center"/>
            <w:hideMark/>
          </w:tcPr>
          <w:p w14:paraId="67035885" w14:textId="77777777" w:rsidR="001D44F8" w:rsidRPr="002E42F1" w:rsidRDefault="001D44F8" w:rsidP="00845CF3">
            <w:pPr>
              <w:pStyle w:val="NoSpacing"/>
              <w:rPr>
                <w:b/>
                <w:bCs/>
                <w:sz w:val="20"/>
                <w:szCs w:val="20"/>
              </w:rPr>
            </w:pPr>
            <w:r w:rsidRPr="002E42F1">
              <w:rPr>
                <w:b/>
                <w:bCs/>
                <w:sz w:val="20"/>
                <w:szCs w:val="20"/>
              </w:rPr>
              <w:t>KOPĀ</w:t>
            </w:r>
          </w:p>
        </w:tc>
        <w:tc>
          <w:tcPr>
            <w:tcW w:w="1275" w:type="dxa"/>
            <w:shd w:val="clear" w:color="000000" w:fill="D9D9D9"/>
            <w:noWrap/>
            <w:vAlign w:val="center"/>
            <w:hideMark/>
          </w:tcPr>
          <w:p w14:paraId="0667C960" w14:textId="77777777" w:rsidR="001D44F8" w:rsidRPr="002E42F1" w:rsidRDefault="001D44F8" w:rsidP="00CE348F">
            <w:pPr>
              <w:pStyle w:val="NoSpacing"/>
              <w:jc w:val="right"/>
              <w:rPr>
                <w:b/>
                <w:bCs/>
                <w:sz w:val="20"/>
                <w:szCs w:val="20"/>
              </w:rPr>
            </w:pPr>
            <w:r w:rsidRPr="002E42F1">
              <w:rPr>
                <w:b/>
                <w:bCs/>
                <w:sz w:val="20"/>
                <w:szCs w:val="20"/>
              </w:rPr>
              <w:t>149 770 864</w:t>
            </w:r>
          </w:p>
        </w:tc>
        <w:tc>
          <w:tcPr>
            <w:tcW w:w="1276" w:type="dxa"/>
            <w:shd w:val="clear" w:color="000000" w:fill="D9D9D9"/>
            <w:noWrap/>
            <w:vAlign w:val="center"/>
            <w:hideMark/>
          </w:tcPr>
          <w:p w14:paraId="56A5204C" w14:textId="77777777" w:rsidR="001D44F8" w:rsidRPr="002E42F1" w:rsidRDefault="001D44F8" w:rsidP="00CE348F">
            <w:pPr>
              <w:pStyle w:val="NoSpacing"/>
              <w:jc w:val="right"/>
              <w:rPr>
                <w:b/>
                <w:bCs/>
                <w:sz w:val="20"/>
                <w:szCs w:val="20"/>
              </w:rPr>
            </w:pPr>
            <w:r w:rsidRPr="002E42F1">
              <w:rPr>
                <w:b/>
                <w:bCs/>
                <w:sz w:val="20"/>
                <w:szCs w:val="20"/>
              </w:rPr>
              <w:t>212 968 642</w:t>
            </w:r>
          </w:p>
        </w:tc>
        <w:tc>
          <w:tcPr>
            <w:tcW w:w="1276" w:type="dxa"/>
            <w:shd w:val="clear" w:color="000000" w:fill="D9D9D9"/>
            <w:noWrap/>
            <w:vAlign w:val="center"/>
            <w:hideMark/>
          </w:tcPr>
          <w:p w14:paraId="17D4D4D6" w14:textId="77777777" w:rsidR="001D44F8" w:rsidRPr="002E42F1" w:rsidRDefault="001D44F8" w:rsidP="00CE348F">
            <w:pPr>
              <w:pStyle w:val="NoSpacing"/>
              <w:jc w:val="right"/>
              <w:rPr>
                <w:b/>
                <w:bCs/>
                <w:sz w:val="20"/>
                <w:szCs w:val="20"/>
              </w:rPr>
            </w:pPr>
            <w:r w:rsidRPr="002E42F1">
              <w:rPr>
                <w:b/>
                <w:bCs/>
                <w:sz w:val="20"/>
                <w:szCs w:val="20"/>
              </w:rPr>
              <w:t>243 895 272</w:t>
            </w:r>
          </w:p>
        </w:tc>
        <w:tc>
          <w:tcPr>
            <w:tcW w:w="1276" w:type="dxa"/>
            <w:shd w:val="clear" w:color="000000" w:fill="D9D9D9"/>
            <w:noWrap/>
            <w:vAlign w:val="center"/>
            <w:hideMark/>
          </w:tcPr>
          <w:p w14:paraId="5AF5C552" w14:textId="77777777" w:rsidR="001D44F8" w:rsidRPr="002E42F1" w:rsidRDefault="001D44F8" w:rsidP="00CE348F">
            <w:pPr>
              <w:pStyle w:val="NoSpacing"/>
              <w:jc w:val="right"/>
              <w:rPr>
                <w:b/>
                <w:bCs/>
                <w:sz w:val="20"/>
                <w:szCs w:val="20"/>
              </w:rPr>
            </w:pPr>
            <w:r w:rsidRPr="002E42F1">
              <w:rPr>
                <w:b/>
                <w:bCs/>
                <w:sz w:val="20"/>
                <w:szCs w:val="20"/>
              </w:rPr>
              <w:t>421 792 044</w:t>
            </w:r>
          </w:p>
        </w:tc>
        <w:tc>
          <w:tcPr>
            <w:tcW w:w="1275" w:type="dxa"/>
            <w:shd w:val="clear" w:color="000000" w:fill="D9D9D9"/>
            <w:noWrap/>
            <w:vAlign w:val="center"/>
            <w:hideMark/>
          </w:tcPr>
          <w:p w14:paraId="219FC1BE" w14:textId="77777777" w:rsidR="001D44F8" w:rsidRPr="002E42F1" w:rsidRDefault="001D44F8" w:rsidP="00CE348F">
            <w:pPr>
              <w:pStyle w:val="NoSpacing"/>
              <w:jc w:val="right"/>
              <w:rPr>
                <w:b/>
                <w:bCs/>
                <w:sz w:val="20"/>
                <w:szCs w:val="20"/>
              </w:rPr>
            </w:pPr>
            <w:r w:rsidRPr="002E42F1">
              <w:rPr>
                <w:b/>
                <w:bCs/>
                <w:sz w:val="20"/>
                <w:szCs w:val="20"/>
              </w:rPr>
              <w:t>448 337 797</w:t>
            </w:r>
          </w:p>
        </w:tc>
      </w:tr>
    </w:tbl>
    <w:p w14:paraId="6FD59F26" w14:textId="77777777" w:rsidR="001D44F8" w:rsidRPr="002E42F1" w:rsidRDefault="001D44F8" w:rsidP="006C282B">
      <w:pPr>
        <w:pStyle w:val="NoSpacing"/>
        <w:jc w:val="both"/>
        <w:rPr>
          <w:sz w:val="28"/>
          <w:szCs w:val="28"/>
        </w:rPr>
      </w:pPr>
      <w:r w:rsidRPr="002E42F1">
        <w:rPr>
          <w:bCs/>
          <w:iCs/>
          <w:sz w:val="28"/>
          <w:szCs w:val="28"/>
        </w:rPr>
        <w:t xml:space="preserve">Avots: </w:t>
      </w:r>
      <w:r w:rsidRPr="002E42F1">
        <w:rPr>
          <w:sz w:val="28"/>
          <w:szCs w:val="28"/>
        </w:rPr>
        <w:t>IUB dati</w:t>
      </w:r>
    </w:p>
    <w:p w14:paraId="6809AFD8" w14:textId="77777777" w:rsidR="001D44F8" w:rsidRDefault="001D44F8" w:rsidP="006C282B">
      <w:pPr>
        <w:pStyle w:val="NoSpacing"/>
        <w:jc w:val="both"/>
        <w:rPr>
          <w:bCs/>
          <w:iCs/>
          <w:sz w:val="28"/>
          <w:szCs w:val="28"/>
        </w:rPr>
      </w:pPr>
    </w:p>
    <w:p w14:paraId="22258DFD" w14:textId="77777777" w:rsidR="00D0472F" w:rsidRDefault="00D0472F" w:rsidP="006C282B">
      <w:pPr>
        <w:pStyle w:val="NoSpacing"/>
        <w:jc w:val="both"/>
        <w:rPr>
          <w:bCs/>
          <w:iCs/>
          <w:sz w:val="28"/>
          <w:szCs w:val="28"/>
        </w:rPr>
      </w:pPr>
    </w:p>
    <w:p w14:paraId="15C4E3F3" w14:textId="77777777" w:rsidR="00D0472F" w:rsidRDefault="00D0472F" w:rsidP="006C282B">
      <w:pPr>
        <w:pStyle w:val="NoSpacing"/>
        <w:jc w:val="both"/>
        <w:rPr>
          <w:bCs/>
          <w:iCs/>
          <w:sz w:val="28"/>
          <w:szCs w:val="28"/>
        </w:rPr>
      </w:pPr>
    </w:p>
    <w:p w14:paraId="0954BBBA" w14:textId="77777777" w:rsidR="00BA4929" w:rsidRDefault="00BA4929" w:rsidP="006C282B">
      <w:pPr>
        <w:pStyle w:val="NoSpacing"/>
        <w:jc w:val="both"/>
        <w:rPr>
          <w:bCs/>
          <w:iCs/>
          <w:sz w:val="28"/>
          <w:szCs w:val="28"/>
        </w:rPr>
      </w:pPr>
    </w:p>
    <w:p w14:paraId="3D69AE3B" w14:textId="77777777" w:rsidR="00D0472F" w:rsidRPr="002E42F1" w:rsidRDefault="00D0472F" w:rsidP="006C282B">
      <w:pPr>
        <w:pStyle w:val="NoSpacing"/>
        <w:jc w:val="both"/>
        <w:rPr>
          <w:bCs/>
          <w:iCs/>
          <w:sz w:val="28"/>
          <w:szCs w:val="28"/>
        </w:rPr>
      </w:pPr>
    </w:p>
    <w:p w14:paraId="5FE9A233" w14:textId="39B71389" w:rsidR="005076F4" w:rsidRPr="002E42F1" w:rsidRDefault="00E65FF2" w:rsidP="00583C90">
      <w:pPr>
        <w:pStyle w:val="NoSpacing"/>
        <w:jc w:val="right"/>
        <w:rPr>
          <w:bCs/>
          <w:iCs/>
          <w:sz w:val="28"/>
          <w:szCs w:val="28"/>
        </w:rPr>
      </w:pPr>
      <w:r w:rsidRPr="002E42F1">
        <w:rPr>
          <w:bCs/>
          <w:iCs/>
          <w:sz w:val="28"/>
          <w:szCs w:val="28"/>
        </w:rPr>
        <w:lastRenderedPageBreak/>
        <w:t>5</w:t>
      </w:r>
      <w:r w:rsidR="00FA688F" w:rsidRPr="002E42F1">
        <w:rPr>
          <w:bCs/>
          <w:iCs/>
          <w:sz w:val="28"/>
          <w:szCs w:val="28"/>
        </w:rPr>
        <w:t>.</w:t>
      </w:r>
      <w:r w:rsidR="00AB10F2" w:rsidRPr="002E42F1">
        <w:rPr>
          <w:bCs/>
          <w:iCs/>
          <w:sz w:val="28"/>
          <w:szCs w:val="28"/>
        </w:rPr>
        <w:t xml:space="preserve"> tabula</w:t>
      </w:r>
    </w:p>
    <w:p w14:paraId="2593BA08" w14:textId="77777777" w:rsidR="00651D40" w:rsidRPr="002E42F1" w:rsidRDefault="00651D40" w:rsidP="00583C90">
      <w:pPr>
        <w:pStyle w:val="NoSpacing"/>
        <w:jc w:val="center"/>
        <w:rPr>
          <w:bCs/>
          <w:iCs/>
          <w:sz w:val="28"/>
          <w:szCs w:val="28"/>
        </w:rPr>
      </w:pPr>
      <w:r w:rsidRPr="002E42F1">
        <w:rPr>
          <w:bCs/>
          <w:iCs/>
          <w:sz w:val="28"/>
          <w:szCs w:val="28"/>
        </w:rPr>
        <w:t>PIL rezultātu paziņojumu skaits un līgumcenas</w:t>
      </w:r>
    </w:p>
    <w:p w14:paraId="21006FBF" w14:textId="1FAB4DB5" w:rsidR="00077168" w:rsidRPr="002E42F1" w:rsidRDefault="004A354F" w:rsidP="00583C90">
      <w:pPr>
        <w:pStyle w:val="NoSpacing"/>
        <w:jc w:val="center"/>
        <w:rPr>
          <w:bCs/>
          <w:iCs/>
          <w:sz w:val="28"/>
          <w:szCs w:val="28"/>
        </w:rPr>
      </w:pPr>
      <w:r w:rsidRPr="002E42F1">
        <w:rPr>
          <w:bCs/>
          <w:iCs/>
          <w:sz w:val="28"/>
          <w:szCs w:val="28"/>
        </w:rPr>
        <w:t>pa</w:t>
      </w:r>
      <w:r w:rsidR="00077168" w:rsidRPr="002E42F1">
        <w:rPr>
          <w:bCs/>
          <w:iCs/>
          <w:sz w:val="28"/>
          <w:szCs w:val="28"/>
        </w:rPr>
        <w:t xml:space="preserve"> </w:t>
      </w:r>
      <w:r w:rsidR="00844FB1" w:rsidRPr="002E42F1">
        <w:rPr>
          <w:bCs/>
          <w:iCs/>
          <w:sz w:val="28"/>
          <w:szCs w:val="28"/>
        </w:rPr>
        <w:t xml:space="preserve">preču un pakalpojumu </w:t>
      </w:r>
      <w:r w:rsidR="00741947" w:rsidRPr="002E42F1">
        <w:rPr>
          <w:bCs/>
          <w:iCs/>
          <w:sz w:val="28"/>
          <w:szCs w:val="28"/>
        </w:rPr>
        <w:t xml:space="preserve">grupām </w:t>
      </w:r>
      <w:r w:rsidR="00651D40" w:rsidRPr="002E42F1">
        <w:rPr>
          <w:bCs/>
          <w:iCs/>
          <w:sz w:val="28"/>
          <w:szCs w:val="28"/>
        </w:rPr>
        <w:t>2019</w:t>
      </w:r>
      <w:r w:rsidR="00077168" w:rsidRPr="002E42F1">
        <w:rPr>
          <w:bCs/>
          <w:iCs/>
          <w:sz w:val="28"/>
          <w:szCs w:val="28"/>
        </w:rPr>
        <w:t>.</w:t>
      </w:r>
      <w:r w:rsidR="00A77DD6" w:rsidRPr="002E42F1">
        <w:rPr>
          <w:bCs/>
          <w:iCs/>
          <w:sz w:val="28"/>
          <w:szCs w:val="28"/>
        </w:rPr>
        <w:t xml:space="preserve"> </w:t>
      </w:r>
      <w:r w:rsidR="00077168" w:rsidRPr="002E42F1">
        <w:rPr>
          <w:bCs/>
          <w:iCs/>
          <w:sz w:val="28"/>
          <w:szCs w:val="28"/>
        </w:rPr>
        <w:t>gadā</w:t>
      </w:r>
    </w:p>
    <w:p w14:paraId="1E4C70D9" w14:textId="77777777" w:rsidR="0000187A" w:rsidRPr="002E42F1" w:rsidRDefault="0000187A" w:rsidP="006C282B">
      <w:pPr>
        <w:pStyle w:val="NoSpacing"/>
        <w:jc w:val="both"/>
        <w:rPr>
          <w:bCs/>
          <w:iCs/>
          <w:sz w:val="28"/>
          <w:szCs w:val="28"/>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9"/>
        <w:gridCol w:w="992"/>
        <w:gridCol w:w="567"/>
        <w:gridCol w:w="1373"/>
        <w:gridCol w:w="1321"/>
        <w:gridCol w:w="601"/>
      </w:tblGrid>
      <w:tr w:rsidR="002E42F1" w:rsidRPr="002E42F1" w14:paraId="574574F8" w14:textId="77777777" w:rsidTr="008903DD">
        <w:tc>
          <w:tcPr>
            <w:tcW w:w="3397" w:type="dxa"/>
            <w:vMerge w:val="restart"/>
            <w:shd w:val="clear" w:color="auto" w:fill="auto"/>
            <w:vAlign w:val="center"/>
            <w:hideMark/>
          </w:tcPr>
          <w:p w14:paraId="4275F6D2" w14:textId="60D43840" w:rsidR="00EB2B5B" w:rsidRPr="002E42F1" w:rsidRDefault="00EB2B5B" w:rsidP="00AE018D">
            <w:pPr>
              <w:pStyle w:val="NoSpacing"/>
              <w:jc w:val="center"/>
              <w:rPr>
                <w:sz w:val="20"/>
                <w:szCs w:val="20"/>
              </w:rPr>
            </w:pPr>
            <w:r w:rsidRPr="002E42F1">
              <w:rPr>
                <w:sz w:val="20"/>
                <w:szCs w:val="20"/>
              </w:rPr>
              <w:t>Preču un pakalpojumu grupas</w:t>
            </w:r>
          </w:p>
        </w:tc>
        <w:tc>
          <w:tcPr>
            <w:tcW w:w="2268" w:type="dxa"/>
            <w:gridSpan w:val="3"/>
            <w:shd w:val="clear" w:color="auto" w:fill="auto"/>
            <w:noWrap/>
            <w:vAlign w:val="center"/>
            <w:hideMark/>
          </w:tcPr>
          <w:p w14:paraId="428AA9D6" w14:textId="77777777" w:rsidR="00EB2B5B" w:rsidRPr="002E42F1" w:rsidRDefault="00EB2B5B" w:rsidP="00AE018D">
            <w:pPr>
              <w:pStyle w:val="NoSpacing"/>
              <w:jc w:val="center"/>
              <w:rPr>
                <w:sz w:val="20"/>
                <w:szCs w:val="20"/>
              </w:rPr>
            </w:pPr>
            <w:r w:rsidRPr="002E42F1">
              <w:rPr>
                <w:sz w:val="20"/>
                <w:szCs w:val="20"/>
              </w:rPr>
              <w:t>Iepirkumu skaits</w:t>
            </w:r>
          </w:p>
        </w:tc>
        <w:tc>
          <w:tcPr>
            <w:tcW w:w="3295" w:type="dxa"/>
            <w:gridSpan w:val="3"/>
            <w:shd w:val="clear" w:color="auto" w:fill="auto"/>
            <w:vAlign w:val="center"/>
            <w:hideMark/>
          </w:tcPr>
          <w:p w14:paraId="5CA23E86" w14:textId="33D918DD" w:rsidR="00EB2B5B" w:rsidRPr="002E42F1" w:rsidRDefault="00EB2B5B" w:rsidP="00AE018D">
            <w:pPr>
              <w:pStyle w:val="NoSpacing"/>
              <w:jc w:val="center"/>
              <w:rPr>
                <w:sz w:val="20"/>
                <w:szCs w:val="20"/>
              </w:rPr>
            </w:pPr>
            <w:r w:rsidRPr="002E42F1">
              <w:rPr>
                <w:sz w:val="20"/>
                <w:szCs w:val="20"/>
              </w:rPr>
              <w:t xml:space="preserve">Kopējā līgumcena </w:t>
            </w:r>
            <w:r w:rsidR="00082837" w:rsidRPr="002E42F1">
              <w:rPr>
                <w:sz w:val="20"/>
                <w:szCs w:val="20"/>
              </w:rPr>
              <w:t>(</w:t>
            </w:r>
            <w:r w:rsidRPr="002E42F1">
              <w:rPr>
                <w:sz w:val="20"/>
                <w:szCs w:val="20"/>
              </w:rPr>
              <w:t>EUR bez PVN)</w:t>
            </w:r>
          </w:p>
        </w:tc>
      </w:tr>
      <w:tr w:rsidR="002E42F1" w:rsidRPr="002E42F1" w14:paraId="1A73A6DC" w14:textId="77777777" w:rsidTr="008903DD">
        <w:tc>
          <w:tcPr>
            <w:tcW w:w="3397" w:type="dxa"/>
            <w:vMerge/>
            <w:shd w:val="clear" w:color="auto" w:fill="auto"/>
            <w:vAlign w:val="center"/>
            <w:hideMark/>
          </w:tcPr>
          <w:p w14:paraId="1EA52337" w14:textId="7C3B32E2" w:rsidR="00EB2B5B" w:rsidRPr="002E42F1" w:rsidRDefault="00EB2B5B" w:rsidP="00AE018D">
            <w:pPr>
              <w:pStyle w:val="NoSpacing"/>
              <w:jc w:val="center"/>
              <w:rPr>
                <w:sz w:val="20"/>
                <w:szCs w:val="20"/>
              </w:rPr>
            </w:pPr>
          </w:p>
        </w:tc>
        <w:tc>
          <w:tcPr>
            <w:tcW w:w="709" w:type="dxa"/>
            <w:shd w:val="clear" w:color="auto" w:fill="auto"/>
            <w:noWrap/>
            <w:vAlign w:val="center"/>
            <w:hideMark/>
          </w:tcPr>
          <w:p w14:paraId="4044B5A5" w14:textId="77777777" w:rsidR="00EB2B5B" w:rsidRPr="002E42F1" w:rsidRDefault="00EB2B5B" w:rsidP="00AE018D">
            <w:pPr>
              <w:pStyle w:val="NoSpacing"/>
              <w:jc w:val="center"/>
              <w:rPr>
                <w:sz w:val="20"/>
                <w:szCs w:val="20"/>
              </w:rPr>
            </w:pPr>
            <w:r w:rsidRPr="002E42F1">
              <w:rPr>
                <w:sz w:val="20"/>
                <w:szCs w:val="20"/>
              </w:rPr>
              <w:t>kopā</w:t>
            </w:r>
          </w:p>
        </w:tc>
        <w:tc>
          <w:tcPr>
            <w:tcW w:w="992" w:type="dxa"/>
            <w:shd w:val="clear" w:color="auto" w:fill="auto"/>
            <w:noWrap/>
            <w:vAlign w:val="center"/>
            <w:hideMark/>
          </w:tcPr>
          <w:p w14:paraId="26F94B6B" w14:textId="77777777" w:rsidR="00EB2B5B" w:rsidRPr="002E42F1" w:rsidRDefault="00EB2B5B" w:rsidP="00AE018D">
            <w:pPr>
              <w:pStyle w:val="NoSpacing"/>
              <w:jc w:val="center"/>
              <w:rPr>
                <w:sz w:val="20"/>
                <w:szCs w:val="20"/>
              </w:rPr>
            </w:pPr>
            <w:r w:rsidRPr="002E42F1">
              <w:rPr>
                <w:sz w:val="20"/>
                <w:szCs w:val="20"/>
              </w:rPr>
              <w:t>t.sk. ZPI</w:t>
            </w:r>
          </w:p>
        </w:tc>
        <w:tc>
          <w:tcPr>
            <w:tcW w:w="567" w:type="dxa"/>
            <w:shd w:val="clear" w:color="auto" w:fill="auto"/>
            <w:noWrap/>
            <w:vAlign w:val="center"/>
            <w:hideMark/>
          </w:tcPr>
          <w:p w14:paraId="44CEFE7E" w14:textId="77777777" w:rsidR="00EB2B5B" w:rsidRPr="002E42F1" w:rsidRDefault="00EB2B5B" w:rsidP="00AE018D">
            <w:pPr>
              <w:pStyle w:val="NoSpacing"/>
              <w:jc w:val="center"/>
              <w:rPr>
                <w:sz w:val="20"/>
                <w:szCs w:val="20"/>
              </w:rPr>
            </w:pPr>
            <w:r w:rsidRPr="002E42F1">
              <w:rPr>
                <w:sz w:val="20"/>
                <w:szCs w:val="20"/>
              </w:rPr>
              <w:t>%</w:t>
            </w:r>
          </w:p>
        </w:tc>
        <w:tc>
          <w:tcPr>
            <w:tcW w:w="1373" w:type="dxa"/>
            <w:shd w:val="clear" w:color="auto" w:fill="auto"/>
            <w:noWrap/>
            <w:vAlign w:val="center"/>
            <w:hideMark/>
          </w:tcPr>
          <w:p w14:paraId="54061192" w14:textId="77777777" w:rsidR="00EB2B5B" w:rsidRPr="002E42F1" w:rsidRDefault="00EB2B5B" w:rsidP="00AE018D">
            <w:pPr>
              <w:pStyle w:val="NoSpacing"/>
              <w:jc w:val="center"/>
              <w:rPr>
                <w:sz w:val="20"/>
                <w:szCs w:val="20"/>
              </w:rPr>
            </w:pPr>
            <w:r w:rsidRPr="002E42F1">
              <w:rPr>
                <w:sz w:val="20"/>
                <w:szCs w:val="20"/>
              </w:rPr>
              <w:t>kopā</w:t>
            </w:r>
          </w:p>
        </w:tc>
        <w:tc>
          <w:tcPr>
            <w:tcW w:w="1321" w:type="dxa"/>
            <w:shd w:val="clear" w:color="auto" w:fill="auto"/>
            <w:noWrap/>
            <w:vAlign w:val="center"/>
            <w:hideMark/>
          </w:tcPr>
          <w:p w14:paraId="07DCFA2A" w14:textId="77777777" w:rsidR="00EB2B5B" w:rsidRPr="002E42F1" w:rsidRDefault="00EB2B5B" w:rsidP="00AE018D">
            <w:pPr>
              <w:pStyle w:val="NoSpacing"/>
              <w:jc w:val="center"/>
              <w:rPr>
                <w:sz w:val="20"/>
                <w:szCs w:val="20"/>
              </w:rPr>
            </w:pPr>
            <w:r w:rsidRPr="002E42F1">
              <w:rPr>
                <w:sz w:val="20"/>
                <w:szCs w:val="20"/>
              </w:rPr>
              <w:t>t.sk. ZPI</w:t>
            </w:r>
          </w:p>
        </w:tc>
        <w:tc>
          <w:tcPr>
            <w:tcW w:w="601" w:type="dxa"/>
            <w:shd w:val="clear" w:color="auto" w:fill="auto"/>
            <w:noWrap/>
            <w:vAlign w:val="center"/>
            <w:hideMark/>
          </w:tcPr>
          <w:p w14:paraId="4375D4DB" w14:textId="77777777" w:rsidR="00EB2B5B" w:rsidRPr="002E42F1" w:rsidRDefault="00EB2B5B" w:rsidP="00AE018D">
            <w:pPr>
              <w:pStyle w:val="NoSpacing"/>
              <w:jc w:val="center"/>
              <w:rPr>
                <w:sz w:val="20"/>
                <w:szCs w:val="20"/>
              </w:rPr>
            </w:pPr>
            <w:r w:rsidRPr="002E42F1">
              <w:rPr>
                <w:sz w:val="20"/>
                <w:szCs w:val="20"/>
              </w:rPr>
              <w:t>%</w:t>
            </w:r>
          </w:p>
        </w:tc>
      </w:tr>
      <w:tr w:rsidR="002E42F1" w:rsidRPr="002E42F1" w14:paraId="299B0ABC" w14:textId="77777777" w:rsidTr="008903DD">
        <w:tc>
          <w:tcPr>
            <w:tcW w:w="3397" w:type="dxa"/>
            <w:shd w:val="clear" w:color="auto" w:fill="auto"/>
            <w:vAlign w:val="center"/>
            <w:hideMark/>
          </w:tcPr>
          <w:p w14:paraId="61D4FC78" w14:textId="77777777" w:rsidR="00846BB7" w:rsidRPr="002E42F1" w:rsidRDefault="00846BB7" w:rsidP="00AE018D">
            <w:pPr>
              <w:pStyle w:val="NoSpacing"/>
              <w:rPr>
                <w:sz w:val="20"/>
                <w:szCs w:val="20"/>
              </w:rPr>
            </w:pPr>
            <w:r w:rsidRPr="002E42F1">
              <w:rPr>
                <w:sz w:val="20"/>
                <w:szCs w:val="20"/>
              </w:rPr>
              <w:t>Biroja papīrs un drukas iekārtas (biroja tehnika)</w:t>
            </w:r>
          </w:p>
        </w:tc>
        <w:tc>
          <w:tcPr>
            <w:tcW w:w="709" w:type="dxa"/>
            <w:shd w:val="clear" w:color="auto" w:fill="auto"/>
            <w:noWrap/>
            <w:vAlign w:val="center"/>
            <w:hideMark/>
          </w:tcPr>
          <w:p w14:paraId="42E66A6D" w14:textId="77777777" w:rsidR="00846BB7" w:rsidRPr="002E42F1" w:rsidRDefault="00846BB7" w:rsidP="00AE018D">
            <w:pPr>
              <w:pStyle w:val="NoSpacing"/>
              <w:jc w:val="right"/>
              <w:rPr>
                <w:sz w:val="20"/>
                <w:szCs w:val="20"/>
              </w:rPr>
            </w:pPr>
            <w:r w:rsidRPr="002E42F1">
              <w:rPr>
                <w:sz w:val="20"/>
                <w:szCs w:val="20"/>
              </w:rPr>
              <w:t>69</w:t>
            </w:r>
          </w:p>
        </w:tc>
        <w:tc>
          <w:tcPr>
            <w:tcW w:w="992" w:type="dxa"/>
            <w:shd w:val="clear" w:color="auto" w:fill="auto"/>
            <w:noWrap/>
            <w:vAlign w:val="center"/>
            <w:hideMark/>
          </w:tcPr>
          <w:p w14:paraId="1C8DA17B" w14:textId="77777777" w:rsidR="00846BB7" w:rsidRPr="002E42F1" w:rsidRDefault="00846BB7" w:rsidP="00AE018D">
            <w:pPr>
              <w:pStyle w:val="NoSpacing"/>
              <w:jc w:val="right"/>
              <w:rPr>
                <w:sz w:val="20"/>
                <w:szCs w:val="20"/>
              </w:rPr>
            </w:pPr>
            <w:r w:rsidRPr="002E42F1">
              <w:rPr>
                <w:sz w:val="20"/>
                <w:szCs w:val="20"/>
              </w:rPr>
              <w:t>10</w:t>
            </w:r>
          </w:p>
        </w:tc>
        <w:tc>
          <w:tcPr>
            <w:tcW w:w="567" w:type="dxa"/>
            <w:shd w:val="clear" w:color="000000" w:fill="E1F1E8"/>
            <w:noWrap/>
            <w:vAlign w:val="center"/>
            <w:hideMark/>
          </w:tcPr>
          <w:p w14:paraId="0078A2E9" w14:textId="77777777" w:rsidR="00846BB7" w:rsidRPr="002E42F1" w:rsidRDefault="00846BB7" w:rsidP="00AE018D">
            <w:pPr>
              <w:pStyle w:val="NoSpacing"/>
              <w:jc w:val="right"/>
              <w:rPr>
                <w:sz w:val="20"/>
                <w:szCs w:val="20"/>
              </w:rPr>
            </w:pPr>
            <w:r w:rsidRPr="002E42F1">
              <w:rPr>
                <w:sz w:val="20"/>
                <w:szCs w:val="20"/>
              </w:rPr>
              <w:t>14,5</w:t>
            </w:r>
          </w:p>
        </w:tc>
        <w:tc>
          <w:tcPr>
            <w:tcW w:w="1373" w:type="dxa"/>
            <w:shd w:val="clear" w:color="auto" w:fill="auto"/>
            <w:noWrap/>
            <w:vAlign w:val="center"/>
            <w:hideMark/>
          </w:tcPr>
          <w:p w14:paraId="2F0E731A" w14:textId="77777777" w:rsidR="00846BB7" w:rsidRPr="002E42F1" w:rsidRDefault="00846BB7" w:rsidP="00AE018D">
            <w:pPr>
              <w:pStyle w:val="NoSpacing"/>
              <w:jc w:val="right"/>
              <w:rPr>
                <w:sz w:val="20"/>
                <w:szCs w:val="20"/>
              </w:rPr>
            </w:pPr>
            <w:r w:rsidRPr="002E42F1">
              <w:rPr>
                <w:sz w:val="20"/>
                <w:szCs w:val="20"/>
              </w:rPr>
              <w:t>2 682 200</w:t>
            </w:r>
          </w:p>
        </w:tc>
        <w:tc>
          <w:tcPr>
            <w:tcW w:w="1321" w:type="dxa"/>
            <w:shd w:val="clear" w:color="auto" w:fill="auto"/>
            <w:noWrap/>
            <w:vAlign w:val="center"/>
            <w:hideMark/>
          </w:tcPr>
          <w:p w14:paraId="58627799" w14:textId="77777777" w:rsidR="00846BB7" w:rsidRPr="002E42F1" w:rsidRDefault="00846BB7" w:rsidP="00AE018D">
            <w:pPr>
              <w:pStyle w:val="NoSpacing"/>
              <w:jc w:val="right"/>
              <w:rPr>
                <w:sz w:val="20"/>
                <w:szCs w:val="20"/>
              </w:rPr>
            </w:pPr>
            <w:r w:rsidRPr="002E42F1">
              <w:rPr>
                <w:sz w:val="20"/>
                <w:szCs w:val="20"/>
              </w:rPr>
              <w:t>211 302</w:t>
            </w:r>
          </w:p>
        </w:tc>
        <w:tc>
          <w:tcPr>
            <w:tcW w:w="601" w:type="dxa"/>
            <w:shd w:val="clear" w:color="000000" w:fill="F0F7F5"/>
            <w:noWrap/>
            <w:vAlign w:val="center"/>
            <w:hideMark/>
          </w:tcPr>
          <w:p w14:paraId="5493150A" w14:textId="77777777" w:rsidR="00846BB7" w:rsidRPr="002E42F1" w:rsidRDefault="00846BB7" w:rsidP="00AE018D">
            <w:pPr>
              <w:pStyle w:val="NoSpacing"/>
              <w:jc w:val="right"/>
              <w:rPr>
                <w:sz w:val="20"/>
                <w:szCs w:val="20"/>
              </w:rPr>
            </w:pPr>
            <w:r w:rsidRPr="002E42F1">
              <w:rPr>
                <w:sz w:val="20"/>
                <w:szCs w:val="20"/>
              </w:rPr>
              <w:t>7,9</w:t>
            </w:r>
          </w:p>
        </w:tc>
      </w:tr>
      <w:tr w:rsidR="002E42F1" w:rsidRPr="002E42F1" w14:paraId="2BEE968B" w14:textId="77777777" w:rsidTr="008903DD">
        <w:tc>
          <w:tcPr>
            <w:tcW w:w="3397" w:type="dxa"/>
            <w:shd w:val="clear" w:color="auto" w:fill="auto"/>
            <w:vAlign w:val="center"/>
            <w:hideMark/>
          </w:tcPr>
          <w:p w14:paraId="3BF78991" w14:textId="77777777" w:rsidR="00846BB7" w:rsidRPr="002E42F1" w:rsidRDefault="00846BB7" w:rsidP="00AE018D">
            <w:pPr>
              <w:pStyle w:val="NoSpacing"/>
              <w:rPr>
                <w:sz w:val="20"/>
                <w:szCs w:val="20"/>
              </w:rPr>
            </w:pPr>
            <w:r w:rsidRPr="002E42F1">
              <w:rPr>
                <w:sz w:val="20"/>
                <w:szCs w:val="20"/>
              </w:rPr>
              <w:t>Datortehnika un informācijas un komunikācijas tehnoloģiju (IKT) infrastruktūra</w:t>
            </w:r>
          </w:p>
        </w:tc>
        <w:tc>
          <w:tcPr>
            <w:tcW w:w="709" w:type="dxa"/>
            <w:shd w:val="clear" w:color="auto" w:fill="auto"/>
            <w:noWrap/>
            <w:vAlign w:val="center"/>
            <w:hideMark/>
          </w:tcPr>
          <w:p w14:paraId="22654D27" w14:textId="77777777" w:rsidR="00846BB7" w:rsidRPr="002E42F1" w:rsidRDefault="00846BB7" w:rsidP="00AE018D">
            <w:pPr>
              <w:pStyle w:val="NoSpacing"/>
              <w:jc w:val="right"/>
              <w:rPr>
                <w:sz w:val="20"/>
                <w:szCs w:val="20"/>
              </w:rPr>
            </w:pPr>
            <w:r w:rsidRPr="002E42F1">
              <w:rPr>
                <w:sz w:val="20"/>
                <w:szCs w:val="20"/>
              </w:rPr>
              <w:t>97</w:t>
            </w:r>
          </w:p>
        </w:tc>
        <w:tc>
          <w:tcPr>
            <w:tcW w:w="992" w:type="dxa"/>
            <w:shd w:val="clear" w:color="auto" w:fill="auto"/>
            <w:noWrap/>
            <w:vAlign w:val="center"/>
            <w:hideMark/>
          </w:tcPr>
          <w:p w14:paraId="234DA3F7" w14:textId="77777777" w:rsidR="00846BB7" w:rsidRPr="002E42F1" w:rsidRDefault="00846BB7" w:rsidP="00AE018D">
            <w:pPr>
              <w:pStyle w:val="NoSpacing"/>
              <w:jc w:val="right"/>
              <w:rPr>
                <w:sz w:val="20"/>
                <w:szCs w:val="20"/>
              </w:rPr>
            </w:pPr>
            <w:r w:rsidRPr="002E42F1">
              <w:rPr>
                <w:sz w:val="20"/>
                <w:szCs w:val="20"/>
              </w:rPr>
              <w:t>36</w:t>
            </w:r>
          </w:p>
        </w:tc>
        <w:tc>
          <w:tcPr>
            <w:tcW w:w="567" w:type="dxa"/>
            <w:shd w:val="clear" w:color="000000" w:fill="B7E0C3"/>
            <w:noWrap/>
            <w:vAlign w:val="center"/>
            <w:hideMark/>
          </w:tcPr>
          <w:p w14:paraId="7498098D" w14:textId="77777777" w:rsidR="00846BB7" w:rsidRPr="002E42F1" w:rsidRDefault="00846BB7" w:rsidP="00AE018D">
            <w:pPr>
              <w:pStyle w:val="NoSpacing"/>
              <w:jc w:val="right"/>
              <w:rPr>
                <w:sz w:val="20"/>
                <w:szCs w:val="20"/>
              </w:rPr>
            </w:pPr>
            <w:r w:rsidRPr="002E42F1">
              <w:rPr>
                <w:sz w:val="20"/>
                <w:szCs w:val="20"/>
              </w:rPr>
              <w:t>37,1</w:t>
            </w:r>
          </w:p>
        </w:tc>
        <w:tc>
          <w:tcPr>
            <w:tcW w:w="1373" w:type="dxa"/>
            <w:shd w:val="clear" w:color="auto" w:fill="auto"/>
            <w:noWrap/>
            <w:vAlign w:val="center"/>
            <w:hideMark/>
          </w:tcPr>
          <w:p w14:paraId="07B369BA" w14:textId="77777777" w:rsidR="00846BB7" w:rsidRPr="002E42F1" w:rsidRDefault="00846BB7" w:rsidP="00AE018D">
            <w:pPr>
              <w:pStyle w:val="NoSpacing"/>
              <w:jc w:val="right"/>
              <w:rPr>
                <w:sz w:val="20"/>
                <w:szCs w:val="20"/>
              </w:rPr>
            </w:pPr>
            <w:r w:rsidRPr="002E42F1">
              <w:rPr>
                <w:sz w:val="20"/>
                <w:szCs w:val="20"/>
              </w:rPr>
              <w:t>11 766 773</w:t>
            </w:r>
          </w:p>
        </w:tc>
        <w:tc>
          <w:tcPr>
            <w:tcW w:w="1321" w:type="dxa"/>
            <w:shd w:val="clear" w:color="auto" w:fill="auto"/>
            <w:noWrap/>
            <w:vAlign w:val="center"/>
            <w:hideMark/>
          </w:tcPr>
          <w:p w14:paraId="08EBAFA8" w14:textId="77777777" w:rsidR="00846BB7" w:rsidRPr="002E42F1" w:rsidRDefault="00846BB7" w:rsidP="00AE018D">
            <w:pPr>
              <w:pStyle w:val="NoSpacing"/>
              <w:jc w:val="right"/>
              <w:rPr>
                <w:sz w:val="20"/>
                <w:szCs w:val="20"/>
              </w:rPr>
            </w:pPr>
            <w:r w:rsidRPr="002E42F1">
              <w:rPr>
                <w:sz w:val="20"/>
                <w:szCs w:val="20"/>
              </w:rPr>
              <w:t>2 999 257</w:t>
            </w:r>
          </w:p>
        </w:tc>
        <w:tc>
          <w:tcPr>
            <w:tcW w:w="601" w:type="dxa"/>
            <w:shd w:val="clear" w:color="000000" w:fill="D4ECDD"/>
            <w:noWrap/>
            <w:vAlign w:val="center"/>
            <w:hideMark/>
          </w:tcPr>
          <w:p w14:paraId="54BE8484" w14:textId="77777777" w:rsidR="00846BB7" w:rsidRPr="002E42F1" w:rsidRDefault="00846BB7" w:rsidP="00AE018D">
            <w:pPr>
              <w:pStyle w:val="NoSpacing"/>
              <w:jc w:val="right"/>
              <w:rPr>
                <w:sz w:val="20"/>
                <w:szCs w:val="20"/>
              </w:rPr>
            </w:pPr>
            <w:r w:rsidRPr="002E42F1">
              <w:rPr>
                <w:sz w:val="20"/>
                <w:szCs w:val="20"/>
              </w:rPr>
              <w:t>25,5</w:t>
            </w:r>
          </w:p>
        </w:tc>
      </w:tr>
      <w:tr w:rsidR="002E42F1" w:rsidRPr="002E42F1" w14:paraId="3379CA0C" w14:textId="77777777" w:rsidTr="008903DD">
        <w:tc>
          <w:tcPr>
            <w:tcW w:w="3397" w:type="dxa"/>
            <w:shd w:val="clear" w:color="auto" w:fill="auto"/>
            <w:vAlign w:val="center"/>
            <w:hideMark/>
          </w:tcPr>
          <w:p w14:paraId="7B121D1F" w14:textId="77777777" w:rsidR="00846BB7" w:rsidRPr="002E42F1" w:rsidRDefault="00846BB7" w:rsidP="00AE018D">
            <w:pPr>
              <w:pStyle w:val="NoSpacing"/>
              <w:rPr>
                <w:sz w:val="20"/>
                <w:szCs w:val="20"/>
              </w:rPr>
            </w:pPr>
            <w:r w:rsidRPr="002E42F1">
              <w:rPr>
                <w:sz w:val="20"/>
                <w:szCs w:val="20"/>
              </w:rPr>
              <w:t>Pārtika un ēdināšanas pakalpojumi</w:t>
            </w:r>
          </w:p>
        </w:tc>
        <w:tc>
          <w:tcPr>
            <w:tcW w:w="709" w:type="dxa"/>
            <w:shd w:val="clear" w:color="auto" w:fill="auto"/>
            <w:noWrap/>
            <w:vAlign w:val="center"/>
            <w:hideMark/>
          </w:tcPr>
          <w:p w14:paraId="00F42B2C" w14:textId="77777777" w:rsidR="00846BB7" w:rsidRPr="002E42F1" w:rsidRDefault="00846BB7" w:rsidP="00AE018D">
            <w:pPr>
              <w:pStyle w:val="NoSpacing"/>
              <w:jc w:val="right"/>
              <w:rPr>
                <w:sz w:val="20"/>
                <w:szCs w:val="20"/>
              </w:rPr>
            </w:pPr>
            <w:r w:rsidRPr="002E42F1">
              <w:rPr>
                <w:sz w:val="20"/>
                <w:szCs w:val="20"/>
              </w:rPr>
              <w:t>463</w:t>
            </w:r>
          </w:p>
        </w:tc>
        <w:tc>
          <w:tcPr>
            <w:tcW w:w="992" w:type="dxa"/>
            <w:shd w:val="clear" w:color="auto" w:fill="auto"/>
            <w:noWrap/>
            <w:vAlign w:val="center"/>
            <w:hideMark/>
          </w:tcPr>
          <w:p w14:paraId="3228E2AB" w14:textId="77777777" w:rsidR="00846BB7" w:rsidRPr="002E42F1" w:rsidRDefault="00846BB7" w:rsidP="00AE018D">
            <w:pPr>
              <w:pStyle w:val="NoSpacing"/>
              <w:jc w:val="right"/>
              <w:rPr>
                <w:sz w:val="20"/>
                <w:szCs w:val="20"/>
              </w:rPr>
            </w:pPr>
            <w:r w:rsidRPr="002E42F1">
              <w:rPr>
                <w:sz w:val="20"/>
                <w:szCs w:val="20"/>
              </w:rPr>
              <w:t>378</w:t>
            </w:r>
          </w:p>
        </w:tc>
        <w:tc>
          <w:tcPr>
            <w:tcW w:w="567" w:type="dxa"/>
            <w:shd w:val="clear" w:color="000000" w:fill="63BE7B"/>
            <w:noWrap/>
            <w:vAlign w:val="center"/>
            <w:hideMark/>
          </w:tcPr>
          <w:p w14:paraId="658C8FFD" w14:textId="77777777" w:rsidR="00846BB7" w:rsidRPr="002E42F1" w:rsidRDefault="00846BB7" w:rsidP="00AE018D">
            <w:pPr>
              <w:pStyle w:val="NoSpacing"/>
              <w:jc w:val="right"/>
              <w:rPr>
                <w:sz w:val="20"/>
                <w:szCs w:val="20"/>
              </w:rPr>
            </w:pPr>
            <w:r w:rsidRPr="002E42F1">
              <w:rPr>
                <w:sz w:val="20"/>
                <w:szCs w:val="20"/>
              </w:rPr>
              <w:t>81,6</w:t>
            </w:r>
          </w:p>
        </w:tc>
        <w:tc>
          <w:tcPr>
            <w:tcW w:w="1373" w:type="dxa"/>
            <w:shd w:val="clear" w:color="auto" w:fill="auto"/>
            <w:noWrap/>
            <w:vAlign w:val="center"/>
            <w:hideMark/>
          </w:tcPr>
          <w:p w14:paraId="5C7CC865" w14:textId="77777777" w:rsidR="00846BB7" w:rsidRPr="002E42F1" w:rsidRDefault="00846BB7" w:rsidP="00AE018D">
            <w:pPr>
              <w:pStyle w:val="NoSpacing"/>
              <w:jc w:val="right"/>
              <w:rPr>
                <w:sz w:val="20"/>
                <w:szCs w:val="20"/>
              </w:rPr>
            </w:pPr>
            <w:r w:rsidRPr="002E42F1">
              <w:rPr>
                <w:sz w:val="20"/>
                <w:szCs w:val="20"/>
              </w:rPr>
              <w:t>130 000 708</w:t>
            </w:r>
          </w:p>
        </w:tc>
        <w:tc>
          <w:tcPr>
            <w:tcW w:w="1321" w:type="dxa"/>
            <w:shd w:val="clear" w:color="auto" w:fill="auto"/>
            <w:noWrap/>
            <w:vAlign w:val="center"/>
            <w:hideMark/>
          </w:tcPr>
          <w:p w14:paraId="3A20A701" w14:textId="77777777" w:rsidR="00846BB7" w:rsidRPr="002E42F1" w:rsidRDefault="00846BB7" w:rsidP="00AE018D">
            <w:pPr>
              <w:pStyle w:val="NoSpacing"/>
              <w:jc w:val="right"/>
              <w:rPr>
                <w:sz w:val="20"/>
                <w:szCs w:val="20"/>
              </w:rPr>
            </w:pPr>
            <w:r w:rsidRPr="002E42F1">
              <w:rPr>
                <w:sz w:val="20"/>
                <w:szCs w:val="20"/>
              </w:rPr>
              <w:t>125 918 677</w:t>
            </w:r>
          </w:p>
        </w:tc>
        <w:tc>
          <w:tcPr>
            <w:tcW w:w="601" w:type="dxa"/>
            <w:shd w:val="clear" w:color="000000" w:fill="63BE7B"/>
            <w:noWrap/>
            <w:vAlign w:val="center"/>
            <w:hideMark/>
          </w:tcPr>
          <w:p w14:paraId="11B3A2D0" w14:textId="77777777" w:rsidR="00846BB7" w:rsidRPr="002E42F1" w:rsidRDefault="00846BB7" w:rsidP="00AE018D">
            <w:pPr>
              <w:pStyle w:val="NoSpacing"/>
              <w:jc w:val="right"/>
              <w:rPr>
                <w:sz w:val="20"/>
                <w:szCs w:val="20"/>
              </w:rPr>
            </w:pPr>
            <w:r w:rsidRPr="002E42F1">
              <w:rPr>
                <w:sz w:val="20"/>
                <w:szCs w:val="20"/>
              </w:rPr>
              <w:t>96,9</w:t>
            </w:r>
          </w:p>
        </w:tc>
      </w:tr>
      <w:tr w:rsidR="002E42F1" w:rsidRPr="002E42F1" w14:paraId="269257D3" w14:textId="77777777" w:rsidTr="008903DD">
        <w:tc>
          <w:tcPr>
            <w:tcW w:w="3397" w:type="dxa"/>
            <w:shd w:val="clear" w:color="auto" w:fill="auto"/>
            <w:vAlign w:val="center"/>
            <w:hideMark/>
          </w:tcPr>
          <w:p w14:paraId="624908F2" w14:textId="77777777" w:rsidR="00846BB7" w:rsidRPr="002E42F1" w:rsidRDefault="00846BB7" w:rsidP="00AE018D">
            <w:pPr>
              <w:pStyle w:val="NoSpacing"/>
              <w:rPr>
                <w:sz w:val="20"/>
                <w:szCs w:val="20"/>
              </w:rPr>
            </w:pPr>
            <w:r w:rsidRPr="002E42F1">
              <w:rPr>
                <w:sz w:val="20"/>
                <w:szCs w:val="20"/>
              </w:rPr>
              <w:t>Tīrīšanas līdzekļi un pakalpojumi</w:t>
            </w:r>
          </w:p>
        </w:tc>
        <w:tc>
          <w:tcPr>
            <w:tcW w:w="709" w:type="dxa"/>
            <w:shd w:val="clear" w:color="auto" w:fill="auto"/>
            <w:noWrap/>
            <w:vAlign w:val="center"/>
            <w:hideMark/>
          </w:tcPr>
          <w:p w14:paraId="26E91CE8" w14:textId="77777777" w:rsidR="00846BB7" w:rsidRPr="002E42F1" w:rsidRDefault="00846BB7" w:rsidP="00AE018D">
            <w:pPr>
              <w:pStyle w:val="NoSpacing"/>
              <w:jc w:val="right"/>
              <w:rPr>
                <w:sz w:val="20"/>
                <w:szCs w:val="20"/>
              </w:rPr>
            </w:pPr>
            <w:r w:rsidRPr="002E42F1">
              <w:rPr>
                <w:sz w:val="20"/>
                <w:szCs w:val="20"/>
              </w:rPr>
              <w:t>228</w:t>
            </w:r>
          </w:p>
        </w:tc>
        <w:tc>
          <w:tcPr>
            <w:tcW w:w="992" w:type="dxa"/>
            <w:shd w:val="clear" w:color="auto" w:fill="auto"/>
            <w:noWrap/>
            <w:vAlign w:val="center"/>
            <w:hideMark/>
          </w:tcPr>
          <w:p w14:paraId="5806C6D3" w14:textId="77777777" w:rsidR="00846BB7" w:rsidRPr="002E42F1" w:rsidRDefault="00846BB7" w:rsidP="00AE018D">
            <w:pPr>
              <w:pStyle w:val="NoSpacing"/>
              <w:jc w:val="right"/>
              <w:rPr>
                <w:sz w:val="20"/>
                <w:szCs w:val="20"/>
              </w:rPr>
            </w:pPr>
            <w:r w:rsidRPr="002E42F1">
              <w:rPr>
                <w:sz w:val="20"/>
                <w:szCs w:val="20"/>
              </w:rPr>
              <w:t>114</w:t>
            </w:r>
          </w:p>
        </w:tc>
        <w:tc>
          <w:tcPr>
            <w:tcW w:w="567" w:type="dxa"/>
            <w:shd w:val="clear" w:color="000000" w:fill="9FD7AF"/>
            <w:noWrap/>
            <w:vAlign w:val="center"/>
            <w:hideMark/>
          </w:tcPr>
          <w:p w14:paraId="17065EA0" w14:textId="77777777" w:rsidR="00846BB7" w:rsidRPr="002E42F1" w:rsidRDefault="00846BB7" w:rsidP="00AE018D">
            <w:pPr>
              <w:pStyle w:val="NoSpacing"/>
              <w:jc w:val="right"/>
              <w:rPr>
                <w:sz w:val="20"/>
                <w:szCs w:val="20"/>
              </w:rPr>
            </w:pPr>
            <w:r w:rsidRPr="002E42F1">
              <w:rPr>
                <w:sz w:val="20"/>
                <w:szCs w:val="20"/>
              </w:rPr>
              <w:t>50,0</w:t>
            </w:r>
          </w:p>
        </w:tc>
        <w:tc>
          <w:tcPr>
            <w:tcW w:w="1373" w:type="dxa"/>
            <w:shd w:val="clear" w:color="auto" w:fill="auto"/>
            <w:noWrap/>
            <w:vAlign w:val="center"/>
            <w:hideMark/>
          </w:tcPr>
          <w:p w14:paraId="6A68EF06" w14:textId="77777777" w:rsidR="00846BB7" w:rsidRPr="002E42F1" w:rsidRDefault="00846BB7" w:rsidP="00AE018D">
            <w:pPr>
              <w:pStyle w:val="NoSpacing"/>
              <w:jc w:val="right"/>
              <w:rPr>
                <w:sz w:val="20"/>
                <w:szCs w:val="20"/>
              </w:rPr>
            </w:pPr>
            <w:r w:rsidRPr="002E42F1">
              <w:rPr>
                <w:sz w:val="20"/>
                <w:szCs w:val="20"/>
              </w:rPr>
              <w:t>31 555 563</w:t>
            </w:r>
          </w:p>
        </w:tc>
        <w:tc>
          <w:tcPr>
            <w:tcW w:w="1321" w:type="dxa"/>
            <w:shd w:val="clear" w:color="auto" w:fill="auto"/>
            <w:noWrap/>
            <w:vAlign w:val="center"/>
            <w:hideMark/>
          </w:tcPr>
          <w:p w14:paraId="56A69D48" w14:textId="77777777" w:rsidR="00846BB7" w:rsidRPr="002E42F1" w:rsidRDefault="00846BB7" w:rsidP="00AE018D">
            <w:pPr>
              <w:pStyle w:val="NoSpacing"/>
              <w:jc w:val="right"/>
              <w:rPr>
                <w:sz w:val="20"/>
                <w:szCs w:val="20"/>
              </w:rPr>
            </w:pPr>
            <w:r w:rsidRPr="002E42F1">
              <w:rPr>
                <w:sz w:val="20"/>
                <w:szCs w:val="20"/>
              </w:rPr>
              <w:t>18 829 771</w:t>
            </w:r>
          </w:p>
        </w:tc>
        <w:tc>
          <w:tcPr>
            <w:tcW w:w="601" w:type="dxa"/>
            <w:shd w:val="clear" w:color="000000" w:fill="9ED6AE"/>
            <w:noWrap/>
            <w:vAlign w:val="center"/>
            <w:hideMark/>
          </w:tcPr>
          <w:p w14:paraId="50ECC6C5" w14:textId="77777777" w:rsidR="00846BB7" w:rsidRPr="002E42F1" w:rsidRDefault="00846BB7" w:rsidP="00AE018D">
            <w:pPr>
              <w:pStyle w:val="NoSpacing"/>
              <w:jc w:val="right"/>
              <w:rPr>
                <w:sz w:val="20"/>
                <w:szCs w:val="20"/>
              </w:rPr>
            </w:pPr>
            <w:r w:rsidRPr="002E42F1">
              <w:rPr>
                <w:sz w:val="20"/>
                <w:szCs w:val="20"/>
              </w:rPr>
              <w:t>59,7</w:t>
            </w:r>
          </w:p>
        </w:tc>
      </w:tr>
      <w:tr w:rsidR="002E42F1" w:rsidRPr="002E42F1" w14:paraId="5CF5F8BA" w14:textId="77777777" w:rsidTr="008903DD">
        <w:tc>
          <w:tcPr>
            <w:tcW w:w="3397" w:type="dxa"/>
            <w:shd w:val="clear" w:color="auto" w:fill="auto"/>
            <w:vAlign w:val="center"/>
            <w:hideMark/>
          </w:tcPr>
          <w:p w14:paraId="573FEE7A" w14:textId="77777777" w:rsidR="00846BB7" w:rsidRPr="002E42F1" w:rsidRDefault="00846BB7" w:rsidP="00AE018D">
            <w:pPr>
              <w:pStyle w:val="NoSpacing"/>
              <w:rPr>
                <w:sz w:val="20"/>
                <w:szCs w:val="20"/>
              </w:rPr>
            </w:pPr>
            <w:r w:rsidRPr="002E42F1">
              <w:rPr>
                <w:sz w:val="20"/>
                <w:szCs w:val="20"/>
              </w:rPr>
              <w:t>Iekštelpu apgaismojums</w:t>
            </w:r>
          </w:p>
        </w:tc>
        <w:tc>
          <w:tcPr>
            <w:tcW w:w="709" w:type="dxa"/>
            <w:shd w:val="clear" w:color="auto" w:fill="auto"/>
            <w:noWrap/>
            <w:vAlign w:val="center"/>
            <w:hideMark/>
          </w:tcPr>
          <w:p w14:paraId="4AAC9A55" w14:textId="77777777" w:rsidR="00846BB7" w:rsidRPr="002E42F1" w:rsidRDefault="00846BB7" w:rsidP="00AE018D">
            <w:pPr>
              <w:pStyle w:val="NoSpacing"/>
              <w:jc w:val="right"/>
              <w:rPr>
                <w:sz w:val="20"/>
                <w:szCs w:val="20"/>
              </w:rPr>
            </w:pPr>
            <w:r w:rsidRPr="002E42F1">
              <w:rPr>
                <w:sz w:val="20"/>
                <w:szCs w:val="20"/>
              </w:rPr>
              <w:t>25</w:t>
            </w:r>
          </w:p>
        </w:tc>
        <w:tc>
          <w:tcPr>
            <w:tcW w:w="992" w:type="dxa"/>
            <w:shd w:val="clear" w:color="auto" w:fill="auto"/>
            <w:noWrap/>
            <w:vAlign w:val="center"/>
            <w:hideMark/>
          </w:tcPr>
          <w:p w14:paraId="5AA98AD1" w14:textId="77777777" w:rsidR="00846BB7" w:rsidRPr="002E42F1" w:rsidRDefault="00846BB7" w:rsidP="00AE018D">
            <w:pPr>
              <w:pStyle w:val="NoSpacing"/>
              <w:jc w:val="right"/>
              <w:rPr>
                <w:sz w:val="20"/>
                <w:szCs w:val="20"/>
              </w:rPr>
            </w:pPr>
            <w:r w:rsidRPr="002E42F1">
              <w:rPr>
                <w:sz w:val="20"/>
                <w:szCs w:val="20"/>
              </w:rPr>
              <w:t>5</w:t>
            </w:r>
          </w:p>
        </w:tc>
        <w:tc>
          <w:tcPr>
            <w:tcW w:w="567" w:type="dxa"/>
            <w:shd w:val="clear" w:color="000000" w:fill="D7EDDF"/>
            <w:noWrap/>
            <w:vAlign w:val="center"/>
            <w:hideMark/>
          </w:tcPr>
          <w:p w14:paraId="353F48E5" w14:textId="77777777" w:rsidR="00846BB7" w:rsidRPr="002E42F1" w:rsidRDefault="00846BB7" w:rsidP="00AE018D">
            <w:pPr>
              <w:pStyle w:val="NoSpacing"/>
              <w:jc w:val="right"/>
              <w:rPr>
                <w:sz w:val="20"/>
                <w:szCs w:val="20"/>
              </w:rPr>
            </w:pPr>
            <w:r w:rsidRPr="002E42F1">
              <w:rPr>
                <w:sz w:val="20"/>
                <w:szCs w:val="20"/>
              </w:rPr>
              <w:t>20,0</w:t>
            </w:r>
          </w:p>
        </w:tc>
        <w:tc>
          <w:tcPr>
            <w:tcW w:w="1373" w:type="dxa"/>
            <w:shd w:val="clear" w:color="auto" w:fill="auto"/>
            <w:noWrap/>
            <w:vAlign w:val="center"/>
            <w:hideMark/>
          </w:tcPr>
          <w:p w14:paraId="57DC5248" w14:textId="77777777" w:rsidR="00846BB7" w:rsidRPr="002E42F1" w:rsidRDefault="00846BB7" w:rsidP="00AE018D">
            <w:pPr>
              <w:pStyle w:val="NoSpacing"/>
              <w:jc w:val="right"/>
              <w:rPr>
                <w:sz w:val="20"/>
                <w:szCs w:val="20"/>
              </w:rPr>
            </w:pPr>
            <w:r w:rsidRPr="002E42F1">
              <w:rPr>
                <w:sz w:val="20"/>
                <w:szCs w:val="20"/>
              </w:rPr>
              <w:t>1 361 373</w:t>
            </w:r>
          </w:p>
        </w:tc>
        <w:tc>
          <w:tcPr>
            <w:tcW w:w="1321" w:type="dxa"/>
            <w:shd w:val="clear" w:color="auto" w:fill="auto"/>
            <w:noWrap/>
            <w:vAlign w:val="center"/>
            <w:hideMark/>
          </w:tcPr>
          <w:p w14:paraId="3A4D6CDF" w14:textId="77777777" w:rsidR="00846BB7" w:rsidRPr="002E42F1" w:rsidRDefault="00846BB7" w:rsidP="00AE018D">
            <w:pPr>
              <w:pStyle w:val="NoSpacing"/>
              <w:jc w:val="right"/>
              <w:rPr>
                <w:sz w:val="20"/>
                <w:szCs w:val="20"/>
              </w:rPr>
            </w:pPr>
            <w:r w:rsidRPr="002E42F1">
              <w:rPr>
                <w:sz w:val="20"/>
                <w:szCs w:val="20"/>
              </w:rPr>
              <w:t>28 492</w:t>
            </w:r>
          </w:p>
        </w:tc>
        <w:tc>
          <w:tcPr>
            <w:tcW w:w="601" w:type="dxa"/>
            <w:shd w:val="clear" w:color="000000" w:fill="F9FBFD"/>
            <w:noWrap/>
            <w:vAlign w:val="center"/>
            <w:hideMark/>
          </w:tcPr>
          <w:p w14:paraId="47568340" w14:textId="77777777" w:rsidR="00846BB7" w:rsidRPr="002E42F1" w:rsidRDefault="00846BB7" w:rsidP="00AE018D">
            <w:pPr>
              <w:pStyle w:val="NoSpacing"/>
              <w:jc w:val="right"/>
              <w:rPr>
                <w:sz w:val="20"/>
                <w:szCs w:val="20"/>
              </w:rPr>
            </w:pPr>
            <w:r w:rsidRPr="002E42F1">
              <w:rPr>
                <w:sz w:val="20"/>
                <w:szCs w:val="20"/>
              </w:rPr>
              <w:t>2,1</w:t>
            </w:r>
          </w:p>
        </w:tc>
      </w:tr>
      <w:tr w:rsidR="002E42F1" w:rsidRPr="002E42F1" w14:paraId="18D29E7C" w14:textId="77777777" w:rsidTr="008903DD">
        <w:tc>
          <w:tcPr>
            <w:tcW w:w="3397" w:type="dxa"/>
            <w:shd w:val="clear" w:color="auto" w:fill="auto"/>
            <w:vAlign w:val="center"/>
            <w:hideMark/>
          </w:tcPr>
          <w:p w14:paraId="6353E68A" w14:textId="77777777" w:rsidR="00846BB7" w:rsidRPr="002E42F1" w:rsidRDefault="00846BB7" w:rsidP="00AE018D">
            <w:pPr>
              <w:pStyle w:val="NoSpacing"/>
              <w:rPr>
                <w:sz w:val="20"/>
                <w:szCs w:val="20"/>
              </w:rPr>
            </w:pPr>
            <w:r w:rsidRPr="002E42F1">
              <w:rPr>
                <w:sz w:val="20"/>
                <w:szCs w:val="20"/>
              </w:rPr>
              <w:t>Ielu apgaismojums un satiksmes signāli</w:t>
            </w:r>
          </w:p>
        </w:tc>
        <w:tc>
          <w:tcPr>
            <w:tcW w:w="709" w:type="dxa"/>
            <w:shd w:val="clear" w:color="auto" w:fill="auto"/>
            <w:noWrap/>
            <w:vAlign w:val="center"/>
            <w:hideMark/>
          </w:tcPr>
          <w:p w14:paraId="24C01659" w14:textId="77777777" w:rsidR="00846BB7" w:rsidRPr="002E42F1" w:rsidRDefault="00846BB7" w:rsidP="00AE018D">
            <w:pPr>
              <w:pStyle w:val="NoSpacing"/>
              <w:jc w:val="right"/>
              <w:rPr>
                <w:sz w:val="20"/>
                <w:szCs w:val="20"/>
              </w:rPr>
            </w:pPr>
            <w:r w:rsidRPr="002E42F1">
              <w:rPr>
                <w:sz w:val="20"/>
                <w:szCs w:val="20"/>
              </w:rPr>
              <w:t>23</w:t>
            </w:r>
          </w:p>
        </w:tc>
        <w:tc>
          <w:tcPr>
            <w:tcW w:w="992" w:type="dxa"/>
            <w:shd w:val="clear" w:color="auto" w:fill="auto"/>
            <w:noWrap/>
            <w:vAlign w:val="center"/>
            <w:hideMark/>
          </w:tcPr>
          <w:p w14:paraId="7826227B" w14:textId="77777777" w:rsidR="00846BB7" w:rsidRPr="002E42F1" w:rsidRDefault="00846BB7" w:rsidP="00AE018D">
            <w:pPr>
              <w:pStyle w:val="NoSpacing"/>
              <w:jc w:val="right"/>
              <w:rPr>
                <w:sz w:val="20"/>
                <w:szCs w:val="20"/>
              </w:rPr>
            </w:pPr>
            <w:r w:rsidRPr="002E42F1">
              <w:rPr>
                <w:sz w:val="20"/>
                <w:szCs w:val="20"/>
              </w:rPr>
              <w:t>10</w:t>
            </w:r>
          </w:p>
        </w:tc>
        <w:tc>
          <w:tcPr>
            <w:tcW w:w="567" w:type="dxa"/>
            <w:shd w:val="clear" w:color="000000" w:fill="ABDBB9"/>
            <w:noWrap/>
            <w:vAlign w:val="center"/>
            <w:hideMark/>
          </w:tcPr>
          <w:p w14:paraId="6A05B3D4" w14:textId="77777777" w:rsidR="00846BB7" w:rsidRPr="002E42F1" w:rsidRDefault="00846BB7" w:rsidP="00AE018D">
            <w:pPr>
              <w:pStyle w:val="NoSpacing"/>
              <w:jc w:val="right"/>
              <w:rPr>
                <w:sz w:val="20"/>
                <w:szCs w:val="20"/>
              </w:rPr>
            </w:pPr>
            <w:r w:rsidRPr="002E42F1">
              <w:rPr>
                <w:sz w:val="20"/>
                <w:szCs w:val="20"/>
              </w:rPr>
              <w:t>43,5</w:t>
            </w:r>
          </w:p>
        </w:tc>
        <w:tc>
          <w:tcPr>
            <w:tcW w:w="1373" w:type="dxa"/>
            <w:shd w:val="clear" w:color="auto" w:fill="auto"/>
            <w:noWrap/>
            <w:vAlign w:val="center"/>
            <w:hideMark/>
          </w:tcPr>
          <w:p w14:paraId="77D0C2A0" w14:textId="77777777" w:rsidR="00846BB7" w:rsidRPr="002E42F1" w:rsidRDefault="00846BB7" w:rsidP="00AE018D">
            <w:pPr>
              <w:pStyle w:val="NoSpacing"/>
              <w:jc w:val="right"/>
              <w:rPr>
                <w:sz w:val="20"/>
                <w:szCs w:val="20"/>
              </w:rPr>
            </w:pPr>
            <w:r w:rsidRPr="002E42F1">
              <w:rPr>
                <w:sz w:val="20"/>
                <w:szCs w:val="20"/>
              </w:rPr>
              <w:t>2 288 137</w:t>
            </w:r>
          </w:p>
        </w:tc>
        <w:tc>
          <w:tcPr>
            <w:tcW w:w="1321" w:type="dxa"/>
            <w:shd w:val="clear" w:color="auto" w:fill="auto"/>
            <w:noWrap/>
            <w:vAlign w:val="center"/>
            <w:hideMark/>
          </w:tcPr>
          <w:p w14:paraId="1EC76292" w14:textId="77777777" w:rsidR="00846BB7" w:rsidRPr="002E42F1" w:rsidRDefault="00846BB7" w:rsidP="00AE018D">
            <w:pPr>
              <w:pStyle w:val="NoSpacing"/>
              <w:jc w:val="right"/>
              <w:rPr>
                <w:sz w:val="20"/>
                <w:szCs w:val="20"/>
              </w:rPr>
            </w:pPr>
            <w:r w:rsidRPr="002E42F1">
              <w:rPr>
                <w:sz w:val="20"/>
                <w:szCs w:val="20"/>
              </w:rPr>
              <w:t>1 277 250</w:t>
            </w:r>
          </w:p>
        </w:tc>
        <w:tc>
          <w:tcPr>
            <w:tcW w:w="601" w:type="dxa"/>
            <w:shd w:val="clear" w:color="000000" w:fill="A4D9B3"/>
            <w:noWrap/>
            <w:vAlign w:val="center"/>
            <w:hideMark/>
          </w:tcPr>
          <w:p w14:paraId="621D4AFC" w14:textId="77777777" w:rsidR="00846BB7" w:rsidRPr="002E42F1" w:rsidRDefault="00846BB7" w:rsidP="00AE018D">
            <w:pPr>
              <w:pStyle w:val="NoSpacing"/>
              <w:jc w:val="right"/>
              <w:rPr>
                <w:sz w:val="20"/>
                <w:szCs w:val="20"/>
              </w:rPr>
            </w:pPr>
            <w:r w:rsidRPr="002E42F1">
              <w:rPr>
                <w:sz w:val="20"/>
                <w:szCs w:val="20"/>
              </w:rPr>
              <w:t>55,8</w:t>
            </w:r>
          </w:p>
        </w:tc>
      </w:tr>
      <w:tr w:rsidR="002E42F1" w:rsidRPr="002E42F1" w14:paraId="718CC727" w14:textId="77777777" w:rsidTr="008903DD">
        <w:tc>
          <w:tcPr>
            <w:tcW w:w="3397" w:type="dxa"/>
            <w:shd w:val="clear" w:color="000000" w:fill="D9D9D9"/>
            <w:vAlign w:val="center"/>
            <w:hideMark/>
          </w:tcPr>
          <w:p w14:paraId="6316B4F7" w14:textId="77777777" w:rsidR="00846BB7" w:rsidRPr="002E42F1" w:rsidRDefault="00846BB7" w:rsidP="00AE018D">
            <w:pPr>
              <w:pStyle w:val="NoSpacing"/>
              <w:rPr>
                <w:b/>
                <w:bCs/>
                <w:sz w:val="20"/>
                <w:szCs w:val="20"/>
              </w:rPr>
            </w:pPr>
            <w:r w:rsidRPr="002E42F1">
              <w:rPr>
                <w:b/>
                <w:bCs/>
                <w:sz w:val="20"/>
                <w:szCs w:val="20"/>
              </w:rPr>
              <w:t>Kopā ZPI obligātās grupas</w:t>
            </w:r>
          </w:p>
        </w:tc>
        <w:tc>
          <w:tcPr>
            <w:tcW w:w="709" w:type="dxa"/>
            <w:shd w:val="clear" w:color="000000" w:fill="D9D9D9"/>
            <w:noWrap/>
            <w:vAlign w:val="center"/>
            <w:hideMark/>
          </w:tcPr>
          <w:p w14:paraId="7929513A" w14:textId="77777777" w:rsidR="00846BB7" w:rsidRPr="002E42F1" w:rsidRDefault="00846BB7" w:rsidP="00AE018D">
            <w:pPr>
              <w:pStyle w:val="NoSpacing"/>
              <w:jc w:val="right"/>
              <w:rPr>
                <w:b/>
                <w:bCs/>
                <w:sz w:val="20"/>
                <w:szCs w:val="20"/>
              </w:rPr>
            </w:pPr>
            <w:r w:rsidRPr="002E42F1">
              <w:rPr>
                <w:b/>
                <w:bCs/>
                <w:sz w:val="20"/>
                <w:szCs w:val="20"/>
              </w:rPr>
              <w:t>905</w:t>
            </w:r>
          </w:p>
        </w:tc>
        <w:tc>
          <w:tcPr>
            <w:tcW w:w="992" w:type="dxa"/>
            <w:shd w:val="clear" w:color="000000" w:fill="D9D9D9"/>
            <w:noWrap/>
            <w:vAlign w:val="center"/>
            <w:hideMark/>
          </w:tcPr>
          <w:p w14:paraId="411E14AF" w14:textId="77777777" w:rsidR="00846BB7" w:rsidRPr="002E42F1" w:rsidRDefault="00846BB7" w:rsidP="00AE018D">
            <w:pPr>
              <w:pStyle w:val="NoSpacing"/>
              <w:jc w:val="right"/>
              <w:rPr>
                <w:b/>
                <w:bCs/>
                <w:sz w:val="20"/>
                <w:szCs w:val="20"/>
              </w:rPr>
            </w:pPr>
            <w:r w:rsidRPr="002E42F1">
              <w:rPr>
                <w:b/>
                <w:bCs/>
                <w:sz w:val="20"/>
                <w:szCs w:val="20"/>
              </w:rPr>
              <w:t>553</w:t>
            </w:r>
          </w:p>
        </w:tc>
        <w:tc>
          <w:tcPr>
            <w:tcW w:w="567" w:type="dxa"/>
            <w:shd w:val="clear" w:color="000000" w:fill="8ACE9D"/>
            <w:noWrap/>
            <w:vAlign w:val="center"/>
            <w:hideMark/>
          </w:tcPr>
          <w:p w14:paraId="3A0C45BB" w14:textId="77777777" w:rsidR="00846BB7" w:rsidRPr="002E42F1" w:rsidRDefault="00846BB7" w:rsidP="00AE018D">
            <w:pPr>
              <w:pStyle w:val="NoSpacing"/>
              <w:jc w:val="right"/>
              <w:rPr>
                <w:b/>
                <w:bCs/>
                <w:sz w:val="20"/>
                <w:szCs w:val="20"/>
              </w:rPr>
            </w:pPr>
            <w:r w:rsidRPr="002E42F1">
              <w:rPr>
                <w:b/>
                <w:bCs/>
                <w:sz w:val="20"/>
                <w:szCs w:val="20"/>
              </w:rPr>
              <w:t>61,1</w:t>
            </w:r>
          </w:p>
        </w:tc>
        <w:tc>
          <w:tcPr>
            <w:tcW w:w="1373" w:type="dxa"/>
            <w:shd w:val="clear" w:color="000000" w:fill="D9D9D9"/>
            <w:noWrap/>
            <w:vAlign w:val="center"/>
            <w:hideMark/>
          </w:tcPr>
          <w:p w14:paraId="03DBEDB4" w14:textId="77777777" w:rsidR="00846BB7" w:rsidRPr="002E42F1" w:rsidRDefault="00846BB7" w:rsidP="00AE018D">
            <w:pPr>
              <w:pStyle w:val="NoSpacing"/>
              <w:jc w:val="right"/>
              <w:rPr>
                <w:b/>
                <w:bCs/>
                <w:sz w:val="20"/>
                <w:szCs w:val="20"/>
              </w:rPr>
            </w:pPr>
            <w:r w:rsidRPr="002E42F1">
              <w:rPr>
                <w:b/>
                <w:bCs/>
                <w:sz w:val="20"/>
                <w:szCs w:val="20"/>
              </w:rPr>
              <w:t>179 654 754</w:t>
            </w:r>
          </w:p>
        </w:tc>
        <w:tc>
          <w:tcPr>
            <w:tcW w:w="1321" w:type="dxa"/>
            <w:shd w:val="clear" w:color="000000" w:fill="D9D9D9"/>
            <w:noWrap/>
            <w:vAlign w:val="center"/>
            <w:hideMark/>
          </w:tcPr>
          <w:p w14:paraId="273AD2E8" w14:textId="77777777" w:rsidR="00846BB7" w:rsidRPr="002E42F1" w:rsidRDefault="00846BB7" w:rsidP="00AE018D">
            <w:pPr>
              <w:pStyle w:val="NoSpacing"/>
              <w:jc w:val="right"/>
              <w:rPr>
                <w:b/>
                <w:bCs/>
                <w:sz w:val="20"/>
                <w:szCs w:val="20"/>
              </w:rPr>
            </w:pPr>
            <w:r w:rsidRPr="002E42F1">
              <w:rPr>
                <w:b/>
                <w:bCs/>
                <w:sz w:val="20"/>
                <w:szCs w:val="20"/>
              </w:rPr>
              <w:t>149 264 749</w:t>
            </w:r>
          </w:p>
        </w:tc>
        <w:tc>
          <w:tcPr>
            <w:tcW w:w="601" w:type="dxa"/>
            <w:shd w:val="clear" w:color="000000" w:fill="79C78E"/>
            <w:noWrap/>
            <w:vAlign w:val="center"/>
            <w:hideMark/>
          </w:tcPr>
          <w:p w14:paraId="16B9D0D2" w14:textId="77777777" w:rsidR="00846BB7" w:rsidRPr="002E42F1" w:rsidRDefault="00846BB7" w:rsidP="00AE018D">
            <w:pPr>
              <w:pStyle w:val="NoSpacing"/>
              <w:jc w:val="right"/>
              <w:rPr>
                <w:b/>
                <w:bCs/>
                <w:sz w:val="20"/>
                <w:szCs w:val="20"/>
              </w:rPr>
            </w:pPr>
            <w:r w:rsidRPr="002E42F1">
              <w:rPr>
                <w:b/>
                <w:bCs/>
                <w:sz w:val="20"/>
                <w:szCs w:val="20"/>
              </w:rPr>
              <w:t>83,1</w:t>
            </w:r>
          </w:p>
        </w:tc>
      </w:tr>
      <w:tr w:rsidR="002E42F1" w:rsidRPr="002E42F1" w14:paraId="06702C6C" w14:textId="77777777" w:rsidTr="008903DD">
        <w:tc>
          <w:tcPr>
            <w:tcW w:w="3397" w:type="dxa"/>
            <w:shd w:val="clear" w:color="auto" w:fill="auto"/>
            <w:vAlign w:val="center"/>
            <w:hideMark/>
          </w:tcPr>
          <w:p w14:paraId="40C10C38" w14:textId="77777777" w:rsidR="00846BB7" w:rsidRPr="002E42F1" w:rsidRDefault="00846BB7" w:rsidP="00AE018D">
            <w:pPr>
              <w:pStyle w:val="NoSpacing"/>
              <w:rPr>
                <w:sz w:val="20"/>
                <w:szCs w:val="20"/>
              </w:rPr>
            </w:pPr>
            <w:r w:rsidRPr="002E42F1">
              <w:rPr>
                <w:sz w:val="20"/>
                <w:szCs w:val="20"/>
              </w:rPr>
              <w:t>Būvdarbi</w:t>
            </w:r>
          </w:p>
        </w:tc>
        <w:tc>
          <w:tcPr>
            <w:tcW w:w="709" w:type="dxa"/>
            <w:shd w:val="clear" w:color="auto" w:fill="auto"/>
            <w:noWrap/>
            <w:vAlign w:val="center"/>
            <w:hideMark/>
          </w:tcPr>
          <w:p w14:paraId="48FE8D4B" w14:textId="77777777" w:rsidR="00846BB7" w:rsidRPr="002E42F1" w:rsidRDefault="00846BB7" w:rsidP="00AE018D">
            <w:pPr>
              <w:pStyle w:val="NoSpacing"/>
              <w:jc w:val="right"/>
              <w:rPr>
                <w:sz w:val="20"/>
                <w:szCs w:val="20"/>
              </w:rPr>
            </w:pPr>
            <w:r w:rsidRPr="002E42F1">
              <w:rPr>
                <w:sz w:val="20"/>
                <w:szCs w:val="20"/>
              </w:rPr>
              <w:t>2 297</w:t>
            </w:r>
          </w:p>
        </w:tc>
        <w:tc>
          <w:tcPr>
            <w:tcW w:w="992" w:type="dxa"/>
            <w:shd w:val="clear" w:color="auto" w:fill="auto"/>
            <w:noWrap/>
            <w:vAlign w:val="center"/>
            <w:hideMark/>
          </w:tcPr>
          <w:p w14:paraId="687F64FD" w14:textId="77777777" w:rsidR="00846BB7" w:rsidRPr="002E42F1" w:rsidRDefault="00846BB7" w:rsidP="00AE018D">
            <w:pPr>
              <w:pStyle w:val="NoSpacing"/>
              <w:jc w:val="right"/>
              <w:rPr>
                <w:sz w:val="20"/>
                <w:szCs w:val="20"/>
              </w:rPr>
            </w:pPr>
            <w:r w:rsidRPr="002E42F1">
              <w:rPr>
                <w:sz w:val="20"/>
                <w:szCs w:val="20"/>
              </w:rPr>
              <w:t>305</w:t>
            </w:r>
          </w:p>
        </w:tc>
        <w:tc>
          <w:tcPr>
            <w:tcW w:w="567" w:type="dxa"/>
            <w:shd w:val="clear" w:color="000000" w:fill="E4F2EA"/>
            <w:noWrap/>
            <w:vAlign w:val="center"/>
            <w:hideMark/>
          </w:tcPr>
          <w:p w14:paraId="7A522994" w14:textId="77777777" w:rsidR="00846BB7" w:rsidRPr="002E42F1" w:rsidRDefault="00846BB7" w:rsidP="00AE018D">
            <w:pPr>
              <w:pStyle w:val="NoSpacing"/>
              <w:jc w:val="right"/>
              <w:rPr>
                <w:sz w:val="20"/>
                <w:szCs w:val="20"/>
              </w:rPr>
            </w:pPr>
            <w:r w:rsidRPr="002E42F1">
              <w:rPr>
                <w:sz w:val="20"/>
                <w:szCs w:val="20"/>
              </w:rPr>
              <w:t>13,3</w:t>
            </w:r>
          </w:p>
        </w:tc>
        <w:tc>
          <w:tcPr>
            <w:tcW w:w="1373" w:type="dxa"/>
            <w:shd w:val="clear" w:color="auto" w:fill="auto"/>
            <w:noWrap/>
            <w:vAlign w:val="center"/>
            <w:hideMark/>
          </w:tcPr>
          <w:p w14:paraId="3D1213A5" w14:textId="77777777" w:rsidR="00846BB7" w:rsidRPr="002E42F1" w:rsidRDefault="00846BB7" w:rsidP="00AE018D">
            <w:pPr>
              <w:pStyle w:val="NoSpacing"/>
              <w:jc w:val="right"/>
              <w:rPr>
                <w:sz w:val="20"/>
                <w:szCs w:val="20"/>
              </w:rPr>
            </w:pPr>
            <w:r w:rsidRPr="002E42F1">
              <w:rPr>
                <w:sz w:val="20"/>
                <w:szCs w:val="20"/>
              </w:rPr>
              <w:t>1 182 467 841</w:t>
            </w:r>
          </w:p>
        </w:tc>
        <w:tc>
          <w:tcPr>
            <w:tcW w:w="1321" w:type="dxa"/>
            <w:shd w:val="clear" w:color="auto" w:fill="auto"/>
            <w:noWrap/>
            <w:vAlign w:val="center"/>
            <w:hideMark/>
          </w:tcPr>
          <w:p w14:paraId="79886499" w14:textId="77777777" w:rsidR="00846BB7" w:rsidRPr="002E42F1" w:rsidRDefault="00846BB7" w:rsidP="00AE018D">
            <w:pPr>
              <w:pStyle w:val="NoSpacing"/>
              <w:jc w:val="right"/>
              <w:rPr>
                <w:sz w:val="20"/>
                <w:szCs w:val="20"/>
              </w:rPr>
            </w:pPr>
            <w:r w:rsidRPr="002E42F1">
              <w:rPr>
                <w:sz w:val="20"/>
                <w:szCs w:val="20"/>
              </w:rPr>
              <w:t>272 546 091</w:t>
            </w:r>
          </w:p>
        </w:tc>
        <w:tc>
          <w:tcPr>
            <w:tcW w:w="601" w:type="dxa"/>
            <w:shd w:val="clear" w:color="000000" w:fill="D8EEE0"/>
            <w:noWrap/>
            <w:vAlign w:val="center"/>
            <w:hideMark/>
          </w:tcPr>
          <w:p w14:paraId="0088429D" w14:textId="77777777" w:rsidR="00846BB7" w:rsidRPr="002E42F1" w:rsidRDefault="00846BB7" w:rsidP="00AE018D">
            <w:pPr>
              <w:pStyle w:val="NoSpacing"/>
              <w:jc w:val="right"/>
              <w:rPr>
                <w:sz w:val="20"/>
                <w:szCs w:val="20"/>
              </w:rPr>
            </w:pPr>
            <w:r w:rsidRPr="002E42F1">
              <w:rPr>
                <w:sz w:val="20"/>
                <w:szCs w:val="20"/>
              </w:rPr>
              <w:t>23,0</w:t>
            </w:r>
          </w:p>
        </w:tc>
      </w:tr>
      <w:tr w:rsidR="002E42F1" w:rsidRPr="002E42F1" w14:paraId="587E0040" w14:textId="77777777" w:rsidTr="008903DD">
        <w:tc>
          <w:tcPr>
            <w:tcW w:w="3397" w:type="dxa"/>
            <w:shd w:val="clear" w:color="auto" w:fill="auto"/>
            <w:vAlign w:val="center"/>
            <w:hideMark/>
          </w:tcPr>
          <w:p w14:paraId="5C84BC11" w14:textId="77777777" w:rsidR="00846BB7" w:rsidRPr="002E42F1" w:rsidRDefault="00846BB7" w:rsidP="00AE018D">
            <w:pPr>
              <w:pStyle w:val="NoSpacing"/>
              <w:rPr>
                <w:sz w:val="20"/>
                <w:szCs w:val="20"/>
              </w:rPr>
            </w:pPr>
            <w:r w:rsidRPr="002E42F1">
              <w:rPr>
                <w:sz w:val="20"/>
                <w:szCs w:val="20"/>
              </w:rPr>
              <w:t>Dārzkopības produkti un pakalpojumi</w:t>
            </w:r>
          </w:p>
        </w:tc>
        <w:tc>
          <w:tcPr>
            <w:tcW w:w="709" w:type="dxa"/>
            <w:shd w:val="clear" w:color="auto" w:fill="auto"/>
            <w:noWrap/>
            <w:vAlign w:val="center"/>
            <w:hideMark/>
          </w:tcPr>
          <w:p w14:paraId="6B2FD035" w14:textId="77777777" w:rsidR="00846BB7" w:rsidRPr="002E42F1" w:rsidRDefault="00846BB7" w:rsidP="00AE018D">
            <w:pPr>
              <w:pStyle w:val="NoSpacing"/>
              <w:jc w:val="right"/>
              <w:rPr>
                <w:sz w:val="20"/>
                <w:szCs w:val="20"/>
              </w:rPr>
            </w:pPr>
            <w:r w:rsidRPr="002E42F1">
              <w:rPr>
                <w:sz w:val="20"/>
                <w:szCs w:val="20"/>
              </w:rPr>
              <w:t>87</w:t>
            </w:r>
          </w:p>
        </w:tc>
        <w:tc>
          <w:tcPr>
            <w:tcW w:w="992" w:type="dxa"/>
            <w:shd w:val="clear" w:color="auto" w:fill="auto"/>
            <w:noWrap/>
            <w:vAlign w:val="center"/>
            <w:hideMark/>
          </w:tcPr>
          <w:p w14:paraId="24538102" w14:textId="77777777" w:rsidR="00846BB7" w:rsidRPr="002E42F1" w:rsidRDefault="00846BB7" w:rsidP="00AE018D">
            <w:pPr>
              <w:pStyle w:val="NoSpacing"/>
              <w:jc w:val="right"/>
              <w:rPr>
                <w:sz w:val="20"/>
                <w:szCs w:val="20"/>
              </w:rPr>
            </w:pPr>
            <w:r w:rsidRPr="002E42F1">
              <w:rPr>
                <w:sz w:val="20"/>
                <w:szCs w:val="20"/>
              </w:rPr>
              <w:t>2</w:t>
            </w:r>
          </w:p>
        </w:tc>
        <w:tc>
          <w:tcPr>
            <w:tcW w:w="567" w:type="dxa"/>
            <w:shd w:val="clear" w:color="000000" w:fill="F8FBFC"/>
            <w:noWrap/>
            <w:vAlign w:val="center"/>
            <w:hideMark/>
          </w:tcPr>
          <w:p w14:paraId="3288F807" w14:textId="77777777" w:rsidR="00846BB7" w:rsidRPr="002E42F1" w:rsidRDefault="00846BB7" w:rsidP="00AE018D">
            <w:pPr>
              <w:pStyle w:val="NoSpacing"/>
              <w:jc w:val="right"/>
              <w:rPr>
                <w:sz w:val="20"/>
                <w:szCs w:val="20"/>
              </w:rPr>
            </w:pPr>
            <w:r w:rsidRPr="002E42F1">
              <w:rPr>
                <w:sz w:val="20"/>
                <w:szCs w:val="20"/>
              </w:rPr>
              <w:t>2,3</w:t>
            </w:r>
          </w:p>
        </w:tc>
        <w:tc>
          <w:tcPr>
            <w:tcW w:w="1373" w:type="dxa"/>
            <w:shd w:val="clear" w:color="auto" w:fill="auto"/>
            <w:noWrap/>
            <w:vAlign w:val="center"/>
            <w:hideMark/>
          </w:tcPr>
          <w:p w14:paraId="4B9FF743" w14:textId="77777777" w:rsidR="00846BB7" w:rsidRPr="002E42F1" w:rsidRDefault="00846BB7" w:rsidP="00AE018D">
            <w:pPr>
              <w:pStyle w:val="NoSpacing"/>
              <w:jc w:val="right"/>
              <w:rPr>
                <w:sz w:val="20"/>
                <w:szCs w:val="20"/>
              </w:rPr>
            </w:pPr>
            <w:r w:rsidRPr="002E42F1">
              <w:rPr>
                <w:sz w:val="20"/>
                <w:szCs w:val="20"/>
              </w:rPr>
              <w:t>3 961 546</w:t>
            </w:r>
          </w:p>
        </w:tc>
        <w:tc>
          <w:tcPr>
            <w:tcW w:w="1321" w:type="dxa"/>
            <w:shd w:val="clear" w:color="auto" w:fill="auto"/>
            <w:noWrap/>
            <w:vAlign w:val="center"/>
            <w:hideMark/>
          </w:tcPr>
          <w:p w14:paraId="52DDB38F" w14:textId="77777777" w:rsidR="00846BB7" w:rsidRPr="002E42F1" w:rsidRDefault="00846BB7" w:rsidP="00AE018D">
            <w:pPr>
              <w:pStyle w:val="NoSpacing"/>
              <w:jc w:val="right"/>
              <w:rPr>
                <w:sz w:val="20"/>
                <w:szCs w:val="20"/>
              </w:rPr>
            </w:pPr>
            <w:r w:rsidRPr="002E42F1">
              <w:rPr>
                <w:sz w:val="20"/>
                <w:szCs w:val="20"/>
              </w:rPr>
              <w:t>1 251 483</w:t>
            </w:r>
          </w:p>
        </w:tc>
        <w:tc>
          <w:tcPr>
            <w:tcW w:w="601" w:type="dxa"/>
            <w:shd w:val="clear" w:color="000000" w:fill="CBE8D4"/>
            <w:noWrap/>
            <w:vAlign w:val="center"/>
            <w:hideMark/>
          </w:tcPr>
          <w:p w14:paraId="1E3E5635" w14:textId="77777777" w:rsidR="00846BB7" w:rsidRPr="002E42F1" w:rsidRDefault="00846BB7" w:rsidP="00AE018D">
            <w:pPr>
              <w:pStyle w:val="NoSpacing"/>
              <w:jc w:val="right"/>
              <w:rPr>
                <w:sz w:val="20"/>
                <w:szCs w:val="20"/>
              </w:rPr>
            </w:pPr>
            <w:r w:rsidRPr="002E42F1">
              <w:rPr>
                <w:sz w:val="20"/>
                <w:szCs w:val="20"/>
              </w:rPr>
              <w:t>31,6</w:t>
            </w:r>
          </w:p>
        </w:tc>
      </w:tr>
      <w:tr w:rsidR="002E42F1" w:rsidRPr="002E42F1" w14:paraId="7A2D7D2B" w14:textId="77777777" w:rsidTr="008903DD">
        <w:tc>
          <w:tcPr>
            <w:tcW w:w="3397" w:type="dxa"/>
            <w:shd w:val="clear" w:color="auto" w:fill="auto"/>
            <w:vAlign w:val="center"/>
            <w:hideMark/>
          </w:tcPr>
          <w:p w14:paraId="74DC7EA6" w14:textId="77777777" w:rsidR="00846BB7" w:rsidRPr="002E42F1" w:rsidRDefault="00846BB7" w:rsidP="00AE018D">
            <w:pPr>
              <w:pStyle w:val="NoSpacing"/>
              <w:rPr>
                <w:sz w:val="20"/>
                <w:szCs w:val="20"/>
              </w:rPr>
            </w:pPr>
            <w:r w:rsidRPr="002E42F1">
              <w:rPr>
                <w:sz w:val="20"/>
                <w:szCs w:val="20"/>
              </w:rPr>
              <w:t>Elektroenerģija</w:t>
            </w:r>
          </w:p>
        </w:tc>
        <w:tc>
          <w:tcPr>
            <w:tcW w:w="709" w:type="dxa"/>
            <w:shd w:val="clear" w:color="auto" w:fill="auto"/>
            <w:noWrap/>
            <w:vAlign w:val="center"/>
            <w:hideMark/>
          </w:tcPr>
          <w:p w14:paraId="49F3999E" w14:textId="77777777" w:rsidR="00846BB7" w:rsidRPr="002E42F1" w:rsidRDefault="00846BB7" w:rsidP="00AE018D">
            <w:pPr>
              <w:pStyle w:val="NoSpacing"/>
              <w:jc w:val="right"/>
              <w:rPr>
                <w:sz w:val="20"/>
                <w:szCs w:val="20"/>
              </w:rPr>
            </w:pPr>
            <w:r w:rsidRPr="002E42F1">
              <w:rPr>
                <w:sz w:val="20"/>
                <w:szCs w:val="20"/>
              </w:rPr>
              <w:t>90</w:t>
            </w:r>
          </w:p>
        </w:tc>
        <w:tc>
          <w:tcPr>
            <w:tcW w:w="992" w:type="dxa"/>
            <w:shd w:val="clear" w:color="auto" w:fill="auto"/>
            <w:noWrap/>
            <w:vAlign w:val="center"/>
            <w:hideMark/>
          </w:tcPr>
          <w:p w14:paraId="21593138" w14:textId="77777777" w:rsidR="00846BB7" w:rsidRPr="002E42F1" w:rsidRDefault="00846BB7" w:rsidP="00AE018D">
            <w:pPr>
              <w:pStyle w:val="NoSpacing"/>
              <w:jc w:val="right"/>
              <w:rPr>
                <w:sz w:val="20"/>
                <w:szCs w:val="20"/>
              </w:rPr>
            </w:pPr>
            <w:r w:rsidRPr="002E42F1">
              <w:rPr>
                <w:sz w:val="20"/>
                <w:szCs w:val="20"/>
              </w:rPr>
              <w:t>2</w:t>
            </w:r>
          </w:p>
        </w:tc>
        <w:tc>
          <w:tcPr>
            <w:tcW w:w="567" w:type="dxa"/>
            <w:shd w:val="clear" w:color="000000" w:fill="F8FBFC"/>
            <w:noWrap/>
            <w:vAlign w:val="center"/>
            <w:hideMark/>
          </w:tcPr>
          <w:p w14:paraId="75C1FD9E" w14:textId="77777777" w:rsidR="00846BB7" w:rsidRPr="002E42F1" w:rsidRDefault="00846BB7" w:rsidP="00AE018D">
            <w:pPr>
              <w:pStyle w:val="NoSpacing"/>
              <w:jc w:val="right"/>
              <w:rPr>
                <w:sz w:val="20"/>
                <w:szCs w:val="20"/>
              </w:rPr>
            </w:pPr>
            <w:r w:rsidRPr="002E42F1">
              <w:rPr>
                <w:sz w:val="20"/>
                <w:szCs w:val="20"/>
              </w:rPr>
              <w:t>2,2</w:t>
            </w:r>
          </w:p>
        </w:tc>
        <w:tc>
          <w:tcPr>
            <w:tcW w:w="1373" w:type="dxa"/>
            <w:shd w:val="clear" w:color="auto" w:fill="auto"/>
            <w:noWrap/>
            <w:vAlign w:val="center"/>
            <w:hideMark/>
          </w:tcPr>
          <w:p w14:paraId="2E2B9328" w14:textId="77777777" w:rsidR="00846BB7" w:rsidRPr="002E42F1" w:rsidRDefault="00846BB7" w:rsidP="00AE018D">
            <w:pPr>
              <w:pStyle w:val="NoSpacing"/>
              <w:jc w:val="right"/>
              <w:rPr>
                <w:sz w:val="20"/>
                <w:szCs w:val="20"/>
              </w:rPr>
            </w:pPr>
            <w:r w:rsidRPr="002E42F1">
              <w:rPr>
                <w:sz w:val="20"/>
                <w:szCs w:val="20"/>
              </w:rPr>
              <w:t>25 790 376</w:t>
            </w:r>
          </w:p>
        </w:tc>
        <w:tc>
          <w:tcPr>
            <w:tcW w:w="1321" w:type="dxa"/>
            <w:shd w:val="clear" w:color="auto" w:fill="auto"/>
            <w:noWrap/>
            <w:vAlign w:val="center"/>
            <w:hideMark/>
          </w:tcPr>
          <w:p w14:paraId="58B929A4" w14:textId="77777777" w:rsidR="00846BB7" w:rsidRPr="002E42F1" w:rsidRDefault="00846BB7" w:rsidP="00AE018D">
            <w:pPr>
              <w:pStyle w:val="NoSpacing"/>
              <w:jc w:val="right"/>
              <w:rPr>
                <w:sz w:val="20"/>
                <w:szCs w:val="20"/>
              </w:rPr>
            </w:pPr>
            <w:r w:rsidRPr="002E42F1">
              <w:rPr>
                <w:sz w:val="20"/>
                <w:szCs w:val="20"/>
              </w:rPr>
              <w:t>309 424</w:t>
            </w:r>
          </w:p>
        </w:tc>
        <w:tc>
          <w:tcPr>
            <w:tcW w:w="601" w:type="dxa"/>
            <w:shd w:val="clear" w:color="000000" w:fill="FBFCFE"/>
            <w:noWrap/>
            <w:vAlign w:val="center"/>
            <w:hideMark/>
          </w:tcPr>
          <w:p w14:paraId="527F56B0" w14:textId="77777777" w:rsidR="00846BB7" w:rsidRPr="002E42F1" w:rsidRDefault="00846BB7" w:rsidP="00AE018D">
            <w:pPr>
              <w:pStyle w:val="NoSpacing"/>
              <w:jc w:val="right"/>
              <w:rPr>
                <w:sz w:val="20"/>
                <w:szCs w:val="20"/>
              </w:rPr>
            </w:pPr>
            <w:r w:rsidRPr="002E42F1">
              <w:rPr>
                <w:sz w:val="20"/>
                <w:szCs w:val="20"/>
              </w:rPr>
              <w:t>1,2</w:t>
            </w:r>
          </w:p>
        </w:tc>
      </w:tr>
      <w:tr w:rsidR="002E42F1" w:rsidRPr="002E42F1" w14:paraId="6E1B7BF2" w14:textId="77777777" w:rsidTr="008903DD">
        <w:tc>
          <w:tcPr>
            <w:tcW w:w="3397" w:type="dxa"/>
            <w:shd w:val="clear" w:color="auto" w:fill="auto"/>
            <w:vAlign w:val="center"/>
            <w:hideMark/>
          </w:tcPr>
          <w:p w14:paraId="22616127" w14:textId="77777777" w:rsidR="00846BB7" w:rsidRPr="002E42F1" w:rsidRDefault="00846BB7" w:rsidP="00AE018D">
            <w:pPr>
              <w:pStyle w:val="NoSpacing"/>
              <w:rPr>
                <w:sz w:val="20"/>
                <w:szCs w:val="20"/>
              </w:rPr>
            </w:pPr>
            <w:r w:rsidRPr="002E42F1">
              <w:rPr>
                <w:sz w:val="20"/>
                <w:szCs w:val="20"/>
              </w:rPr>
              <w:t>Mēbeles</w:t>
            </w:r>
          </w:p>
        </w:tc>
        <w:tc>
          <w:tcPr>
            <w:tcW w:w="709" w:type="dxa"/>
            <w:shd w:val="clear" w:color="auto" w:fill="auto"/>
            <w:noWrap/>
            <w:vAlign w:val="center"/>
            <w:hideMark/>
          </w:tcPr>
          <w:p w14:paraId="0CD8CA25" w14:textId="77777777" w:rsidR="00846BB7" w:rsidRPr="002E42F1" w:rsidRDefault="00846BB7" w:rsidP="00AE018D">
            <w:pPr>
              <w:pStyle w:val="NoSpacing"/>
              <w:jc w:val="right"/>
              <w:rPr>
                <w:sz w:val="20"/>
                <w:szCs w:val="20"/>
              </w:rPr>
            </w:pPr>
            <w:r w:rsidRPr="002E42F1">
              <w:rPr>
                <w:sz w:val="20"/>
                <w:szCs w:val="20"/>
              </w:rPr>
              <w:t>205</w:t>
            </w:r>
          </w:p>
        </w:tc>
        <w:tc>
          <w:tcPr>
            <w:tcW w:w="992" w:type="dxa"/>
            <w:shd w:val="clear" w:color="auto" w:fill="auto"/>
            <w:noWrap/>
            <w:vAlign w:val="center"/>
            <w:hideMark/>
          </w:tcPr>
          <w:p w14:paraId="73CFB106" w14:textId="77777777" w:rsidR="00846BB7" w:rsidRPr="002E42F1" w:rsidRDefault="00846BB7" w:rsidP="00AE018D">
            <w:pPr>
              <w:pStyle w:val="NoSpacing"/>
              <w:jc w:val="right"/>
              <w:rPr>
                <w:sz w:val="20"/>
                <w:szCs w:val="20"/>
              </w:rPr>
            </w:pPr>
            <w:r w:rsidRPr="002E42F1">
              <w:rPr>
                <w:sz w:val="20"/>
                <w:szCs w:val="20"/>
              </w:rPr>
              <w:t>14</w:t>
            </w:r>
          </w:p>
        </w:tc>
        <w:tc>
          <w:tcPr>
            <w:tcW w:w="567" w:type="dxa"/>
            <w:shd w:val="clear" w:color="000000" w:fill="F0F7F4"/>
            <w:noWrap/>
            <w:vAlign w:val="center"/>
            <w:hideMark/>
          </w:tcPr>
          <w:p w14:paraId="01C72D3E" w14:textId="77777777" w:rsidR="00846BB7" w:rsidRPr="002E42F1" w:rsidRDefault="00846BB7" w:rsidP="00AE018D">
            <w:pPr>
              <w:pStyle w:val="NoSpacing"/>
              <w:jc w:val="right"/>
              <w:rPr>
                <w:sz w:val="20"/>
                <w:szCs w:val="20"/>
              </w:rPr>
            </w:pPr>
            <w:r w:rsidRPr="002E42F1">
              <w:rPr>
                <w:sz w:val="20"/>
                <w:szCs w:val="20"/>
              </w:rPr>
              <w:t>6,8</w:t>
            </w:r>
          </w:p>
        </w:tc>
        <w:tc>
          <w:tcPr>
            <w:tcW w:w="1373" w:type="dxa"/>
            <w:shd w:val="clear" w:color="auto" w:fill="auto"/>
            <w:noWrap/>
            <w:vAlign w:val="center"/>
            <w:hideMark/>
          </w:tcPr>
          <w:p w14:paraId="511F52F4" w14:textId="77777777" w:rsidR="00846BB7" w:rsidRPr="002E42F1" w:rsidRDefault="00846BB7" w:rsidP="00AE018D">
            <w:pPr>
              <w:pStyle w:val="NoSpacing"/>
              <w:jc w:val="right"/>
              <w:rPr>
                <w:sz w:val="20"/>
                <w:szCs w:val="20"/>
              </w:rPr>
            </w:pPr>
            <w:r w:rsidRPr="002E42F1">
              <w:rPr>
                <w:sz w:val="20"/>
                <w:szCs w:val="20"/>
              </w:rPr>
              <w:t>8 510 629</w:t>
            </w:r>
          </w:p>
        </w:tc>
        <w:tc>
          <w:tcPr>
            <w:tcW w:w="1321" w:type="dxa"/>
            <w:shd w:val="clear" w:color="auto" w:fill="auto"/>
            <w:noWrap/>
            <w:vAlign w:val="center"/>
            <w:hideMark/>
          </w:tcPr>
          <w:p w14:paraId="39BE33A9" w14:textId="77777777" w:rsidR="00846BB7" w:rsidRPr="002E42F1" w:rsidRDefault="00846BB7" w:rsidP="00AE018D">
            <w:pPr>
              <w:pStyle w:val="NoSpacing"/>
              <w:jc w:val="right"/>
              <w:rPr>
                <w:sz w:val="20"/>
                <w:szCs w:val="20"/>
              </w:rPr>
            </w:pPr>
            <w:r w:rsidRPr="002E42F1">
              <w:rPr>
                <w:sz w:val="20"/>
                <w:szCs w:val="20"/>
              </w:rPr>
              <w:t>545 971</w:t>
            </w:r>
          </w:p>
        </w:tc>
        <w:tc>
          <w:tcPr>
            <w:tcW w:w="601" w:type="dxa"/>
            <w:shd w:val="clear" w:color="000000" w:fill="F2F8F7"/>
            <w:noWrap/>
            <w:vAlign w:val="center"/>
            <w:hideMark/>
          </w:tcPr>
          <w:p w14:paraId="50D09CC8" w14:textId="77777777" w:rsidR="00846BB7" w:rsidRPr="002E42F1" w:rsidRDefault="00846BB7" w:rsidP="00AE018D">
            <w:pPr>
              <w:pStyle w:val="NoSpacing"/>
              <w:jc w:val="right"/>
              <w:rPr>
                <w:sz w:val="20"/>
                <w:szCs w:val="20"/>
              </w:rPr>
            </w:pPr>
            <w:r w:rsidRPr="002E42F1">
              <w:rPr>
                <w:sz w:val="20"/>
                <w:szCs w:val="20"/>
              </w:rPr>
              <w:t>6,4</w:t>
            </w:r>
          </w:p>
        </w:tc>
      </w:tr>
      <w:tr w:rsidR="002E42F1" w:rsidRPr="002E42F1" w14:paraId="2FA8DBB1" w14:textId="77777777" w:rsidTr="008903DD">
        <w:tc>
          <w:tcPr>
            <w:tcW w:w="3397" w:type="dxa"/>
            <w:shd w:val="clear" w:color="auto" w:fill="auto"/>
            <w:vAlign w:val="center"/>
            <w:hideMark/>
          </w:tcPr>
          <w:p w14:paraId="312B2429" w14:textId="77777777" w:rsidR="00846BB7" w:rsidRPr="002E42F1" w:rsidRDefault="00846BB7" w:rsidP="00AE018D">
            <w:pPr>
              <w:pStyle w:val="NoSpacing"/>
              <w:rPr>
                <w:sz w:val="20"/>
                <w:szCs w:val="20"/>
              </w:rPr>
            </w:pPr>
            <w:r w:rsidRPr="002E42F1">
              <w:rPr>
                <w:sz w:val="20"/>
                <w:szCs w:val="20"/>
              </w:rPr>
              <w:t>Transports</w:t>
            </w:r>
          </w:p>
        </w:tc>
        <w:tc>
          <w:tcPr>
            <w:tcW w:w="709" w:type="dxa"/>
            <w:shd w:val="clear" w:color="auto" w:fill="auto"/>
            <w:noWrap/>
            <w:vAlign w:val="center"/>
            <w:hideMark/>
          </w:tcPr>
          <w:p w14:paraId="5F1708B1" w14:textId="77777777" w:rsidR="00846BB7" w:rsidRPr="002E42F1" w:rsidRDefault="00846BB7" w:rsidP="00AE018D">
            <w:pPr>
              <w:pStyle w:val="NoSpacing"/>
              <w:jc w:val="right"/>
              <w:rPr>
                <w:sz w:val="20"/>
                <w:szCs w:val="20"/>
              </w:rPr>
            </w:pPr>
            <w:r w:rsidRPr="002E42F1">
              <w:rPr>
                <w:sz w:val="20"/>
                <w:szCs w:val="20"/>
              </w:rPr>
              <w:t>295</w:t>
            </w:r>
          </w:p>
        </w:tc>
        <w:tc>
          <w:tcPr>
            <w:tcW w:w="992" w:type="dxa"/>
            <w:shd w:val="clear" w:color="auto" w:fill="auto"/>
            <w:noWrap/>
            <w:vAlign w:val="center"/>
            <w:hideMark/>
          </w:tcPr>
          <w:p w14:paraId="11B5594D" w14:textId="77777777" w:rsidR="00846BB7" w:rsidRPr="002E42F1" w:rsidRDefault="00846BB7" w:rsidP="00AE018D">
            <w:pPr>
              <w:pStyle w:val="NoSpacing"/>
              <w:jc w:val="right"/>
              <w:rPr>
                <w:sz w:val="20"/>
                <w:szCs w:val="20"/>
              </w:rPr>
            </w:pPr>
            <w:r w:rsidRPr="002E42F1">
              <w:rPr>
                <w:sz w:val="20"/>
                <w:szCs w:val="20"/>
              </w:rPr>
              <w:t>187</w:t>
            </w:r>
          </w:p>
        </w:tc>
        <w:tc>
          <w:tcPr>
            <w:tcW w:w="567" w:type="dxa"/>
            <w:shd w:val="clear" w:color="000000" w:fill="86CC99"/>
            <w:noWrap/>
            <w:vAlign w:val="center"/>
            <w:hideMark/>
          </w:tcPr>
          <w:p w14:paraId="752FA122" w14:textId="77777777" w:rsidR="00846BB7" w:rsidRPr="002E42F1" w:rsidRDefault="00846BB7" w:rsidP="00AE018D">
            <w:pPr>
              <w:pStyle w:val="NoSpacing"/>
              <w:jc w:val="right"/>
              <w:rPr>
                <w:sz w:val="20"/>
                <w:szCs w:val="20"/>
              </w:rPr>
            </w:pPr>
            <w:r w:rsidRPr="002E42F1">
              <w:rPr>
                <w:sz w:val="20"/>
                <w:szCs w:val="20"/>
              </w:rPr>
              <w:t>63,4</w:t>
            </w:r>
          </w:p>
        </w:tc>
        <w:tc>
          <w:tcPr>
            <w:tcW w:w="1373" w:type="dxa"/>
            <w:shd w:val="clear" w:color="auto" w:fill="auto"/>
            <w:noWrap/>
            <w:vAlign w:val="center"/>
            <w:hideMark/>
          </w:tcPr>
          <w:p w14:paraId="3F457E1A" w14:textId="77777777" w:rsidR="00846BB7" w:rsidRPr="002E42F1" w:rsidRDefault="00846BB7" w:rsidP="00AE018D">
            <w:pPr>
              <w:pStyle w:val="NoSpacing"/>
              <w:jc w:val="right"/>
              <w:rPr>
                <w:sz w:val="20"/>
                <w:szCs w:val="20"/>
              </w:rPr>
            </w:pPr>
            <w:r w:rsidRPr="002E42F1">
              <w:rPr>
                <w:sz w:val="20"/>
                <w:szCs w:val="20"/>
              </w:rPr>
              <w:t>27 530 645</w:t>
            </w:r>
          </w:p>
        </w:tc>
        <w:tc>
          <w:tcPr>
            <w:tcW w:w="1321" w:type="dxa"/>
            <w:shd w:val="clear" w:color="auto" w:fill="auto"/>
            <w:noWrap/>
            <w:vAlign w:val="center"/>
            <w:hideMark/>
          </w:tcPr>
          <w:p w14:paraId="680382E2" w14:textId="77777777" w:rsidR="00846BB7" w:rsidRPr="002E42F1" w:rsidRDefault="00846BB7" w:rsidP="00AE018D">
            <w:pPr>
              <w:pStyle w:val="NoSpacing"/>
              <w:jc w:val="right"/>
              <w:rPr>
                <w:sz w:val="20"/>
                <w:szCs w:val="20"/>
              </w:rPr>
            </w:pPr>
            <w:r w:rsidRPr="002E42F1">
              <w:rPr>
                <w:sz w:val="20"/>
                <w:szCs w:val="20"/>
              </w:rPr>
              <w:t>17 617 278</w:t>
            </w:r>
          </w:p>
        </w:tc>
        <w:tc>
          <w:tcPr>
            <w:tcW w:w="601" w:type="dxa"/>
            <w:shd w:val="clear" w:color="000000" w:fill="97D4A8"/>
            <w:noWrap/>
            <w:vAlign w:val="center"/>
            <w:hideMark/>
          </w:tcPr>
          <w:p w14:paraId="69C11754" w14:textId="77777777" w:rsidR="00846BB7" w:rsidRPr="002E42F1" w:rsidRDefault="00846BB7" w:rsidP="00AE018D">
            <w:pPr>
              <w:pStyle w:val="NoSpacing"/>
              <w:jc w:val="right"/>
              <w:rPr>
                <w:sz w:val="20"/>
                <w:szCs w:val="20"/>
              </w:rPr>
            </w:pPr>
            <w:r w:rsidRPr="002E42F1">
              <w:rPr>
                <w:sz w:val="20"/>
                <w:szCs w:val="20"/>
              </w:rPr>
              <w:t>64,0</w:t>
            </w:r>
          </w:p>
        </w:tc>
      </w:tr>
      <w:tr w:rsidR="002E42F1" w:rsidRPr="002E42F1" w14:paraId="11EC6391" w14:textId="77777777" w:rsidTr="008903DD">
        <w:tc>
          <w:tcPr>
            <w:tcW w:w="3397" w:type="dxa"/>
            <w:shd w:val="clear" w:color="auto" w:fill="auto"/>
            <w:vAlign w:val="center"/>
            <w:hideMark/>
          </w:tcPr>
          <w:p w14:paraId="7C00D789" w14:textId="77777777" w:rsidR="00846BB7" w:rsidRPr="002E42F1" w:rsidRDefault="00846BB7" w:rsidP="00AE018D">
            <w:pPr>
              <w:pStyle w:val="NoSpacing"/>
              <w:rPr>
                <w:sz w:val="20"/>
                <w:szCs w:val="20"/>
              </w:rPr>
            </w:pPr>
            <w:r w:rsidRPr="002E42F1">
              <w:rPr>
                <w:sz w:val="20"/>
                <w:szCs w:val="20"/>
              </w:rPr>
              <w:t>Veselības aprūpes elektriskās un elektroniskās iekārtas</w:t>
            </w:r>
          </w:p>
        </w:tc>
        <w:tc>
          <w:tcPr>
            <w:tcW w:w="709" w:type="dxa"/>
            <w:shd w:val="clear" w:color="auto" w:fill="auto"/>
            <w:noWrap/>
            <w:vAlign w:val="center"/>
            <w:hideMark/>
          </w:tcPr>
          <w:p w14:paraId="4759927D" w14:textId="77777777" w:rsidR="00846BB7" w:rsidRPr="002E42F1" w:rsidRDefault="00846BB7" w:rsidP="00AE018D">
            <w:pPr>
              <w:pStyle w:val="NoSpacing"/>
              <w:jc w:val="right"/>
              <w:rPr>
                <w:sz w:val="20"/>
                <w:szCs w:val="20"/>
              </w:rPr>
            </w:pPr>
            <w:r w:rsidRPr="002E42F1">
              <w:rPr>
                <w:sz w:val="20"/>
                <w:szCs w:val="20"/>
              </w:rPr>
              <w:t>423</w:t>
            </w:r>
          </w:p>
        </w:tc>
        <w:tc>
          <w:tcPr>
            <w:tcW w:w="992" w:type="dxa"/>
            <w:shd w:val="clear" w:color="auto" w:fill="auto"/>
            <w:noWrap/>
            <w:vAlign w:val="center"/>
            <w:hideMark/>
          </w:tcPr>
          <w:p w14:paraId="525598A8" w14:textId="77777777" w:rsidR="00846BB7" w:rsidRPr="002E42F1" w:rsidRDefault="00846BB7" w:rsidP="00AE018D">
            <w:pPr>
              <w:pStyle w:val="NoSpacing"/>
              <w:jc w:val="right"/>
              <w:rPr>
                <w:sz w:val="20"/>
                <w:szCs w:val="20"/>
              </w:rPr>
            </w:pPr>
            <w:r w:rsidRPr="002E42F1">
              <w:rPr>
                <w:sz w:val="20"/>
                <w:szCs w:val="20"/>
              </w:rPr>
              <w:t>9</w:t>
            </w:r>
          </w:p>
        </w:tc>
        <w:tc>
          <w:tcPr>
            <w:tcW w:w="567" w:type="dxa"/>
            <w:shd w:val="clear" w:color="000000" w:fill="F9FBFC"/>
            <w:noWrap/>
            <w:vAlign w:val="center"/>
            <w:hideMark/>
          </w:tcPr>
          <w:p w14:paraId="38CE374E" w14:textId="77777777" w:rsidR="00846BB7" w:rsidRPr="002E42F1" w:rsidRDefault="00846BB7" w:rsidP="00AE018D">
            <w:pPr>
              <w:pStyle w:val="NoSpacing"/>
              <w:jc w:val="right"/>
              <w:rPr>
                <w:sz w:val="20"/>
                <w:szCs w:val="20"/>
              </w:rPr>
            </w:pPr>
            <w:r w:rsidRPr="002E42F1">
              <w:rPr>
                <w:sz w:val="20"/>
                <w:szCs w:val="20"/>
              </w:rPr>
              <w:t>2,1</w:t>
            </w:r>
          </w:p>
        </w:tc>
        <w:tc>
          <w:tcPr>
            <w:tcW w:w="1373" w:type="dxa"/>
            <w:shd w:val="clear" w:color="auto" w:fill="auto"/>
            <w:noWrap/>
            <w:vAlign w:val="center"/>
            <w:hideMark/>
          </w:tcPr>
          <w:p w14:paraId="5A2C6FBF" w14:textId="77777777" w:rsidR="00846BB7" w:rsidRPr="002E42F1" w:rsidRDefault="00846BB7" w:rsidP="00AE018D">
            <w:pPr>
              <w:pStyle w:val="NoSpacing"/>
              <w:jc w:val="right"/>
              <w:rPr>
                <w:sz w:val="20"/>
                <w:szCs w:val="20"/>
              </w:rPr>
            </w:pPr>
            <w:r w:rsidRPr="002E42F1">
              <w:rPr>
                <w:sz w:val="20"/>
                <w:szCs w:val="20"/>
              </w:rPr>
              <w:t>47 418 136</w:t>
            </w:r>
          </w:p>
        </w:tc>
        <w:tc>
          <w:tcPr>
            <w:tcW w:w="1321" w:type="dxa"/>
            <w:shd w:val="clear" w:color="auto" w:fill="auto"/>
            <w:noWrap/>
            <w:vAlign w:val="center"/>
            <w:hideMark/>
          </w:tcPr>
          <w:p w14:paraId="75C7C601" w14:textId="77777777" w:rsidR="00846BB7" w:rsidRPr="002E42F1" w:rsidRDefault="00846BB7" w:rsidP="00AE018D">
            <w:pPr>
              <w:pStyle w:val="NoSpacing"/>
              <w:jc w:val="right"/>
              <w:rPr>
                <w:sz w:val="20"/>
                <w:szCs w:val="20"/>
              </w:rPr>
            </w:pPr>
            <w:r w:rsidRPr="002E42F1">
              <w:rPr>
                <w:sz w:val="20"/>
                <w:szCs w:val="20"/>
              </w:rPr>
              <w:t>365 707</w:t>
            </w:r>
          </w:p>
        </w:tc>
        <w:tc>
          <w:tcPr>
            <w:tcW w:w="601" w:type="dxa"/>
            <w:shd w:val="clear" w:color="000000" w:fill="FBFCFE"/>
            <w:noWrap/>
            <w:vAlign w:val="center"/>
            <w:hideMark/>
          </w:tcPr>
          <w:p w14:paraId="0C04097B" w14:textId="77777777" w:rsidR="00846BB7" w:rsidRPr="002E42F1" w:rsidRDefault="00846BB7" w:rsidP="00AE018D">
            <w:pPr>
              <w:pStyle w:val="NoSpacing"/>
              <w:jc w:val="right"/>
              <w:rPr>
                <w:sz w:val="20"/>
                <w:szCs w:val="20"/>
              </w:rPr>
            </w:pPr>
            <w:r w:rsidRPr="002E42F1">
              <w:rPr>
                <w:sz w:val="20"/>
                <w:szCs w:val="20"/>
              </w:rPr>
              <w:t>0,8</w:t>
            </w:r>
          </w:p>
        </w:tc>
      </w:tr>
      <w:tr w:rsidR="002E42F1" w:rsidRPr="002E42F1" w14:paraId="4A24FAB2" w14:textId="77777777" w:rsidTr="008903DD">
        <w:tc>
          <w:tcPr>
            <w:tcW w:w="3397" w:type="dxa"/>
            <w:shd w:val="clear" w:color="auto" w:fill="auto"/>
            <w:vAlign w:val="center"/>
            <w:hideMark/>
          </w:tcPr>
          <w:p w14:paraId="34B467C6" w14:textId="77777777" w:rsidR="00846BB7" w:rsidRPr="002E42F1" w:rsidRDefault="00846BB7" w:rsidP="00AE018D">
            <w:pPr>
              <w:pStyle w:val="NoSpacing"/>
              <w:rPr>
                <w:sz w:val="20"/>
                <w:szCs w:val="20"/>
              </w:rPr>
            </w:pPr>
            <w:r w:rsidRPr="002E42F1">
              <w:rPr>
                <w:sz w:val="20"/>
                <w:szCs w:val="20"/>
              </w:rPr>
              <w:t>Inženiertehniskā projektēšana</w:t>
            </w:r>
          </w:p>
        </w:tc>
        <w:tc>
          <w:tcPr>
            <w:tcW w:w="709" w:type="dxa"/>
            <w:shd w:val="clear" w:color="auto" w:fill="auto"/>
            <w:noWrap/>
            <w:vAlign w:val="center"/>
            <w:hideMark/>
          </w:tcPr>
          <w:p w14:paraId="07FDF651" w14:textId="77777777" w:rsidR="00846BB7" w:rsidRPr="002E42F1" w:rsidRDefault="00846BB7" w:rsidP="00AE018D">
            <w:pPr>
              <w:pStyle w:val="NoSpacing"/>
              <w:jc w:val="right"/>
              <w:rPr>
                <w:sz w:val="20"/>
                <w:szCs w:val="20"/>
              </w:rPr>
            </w:pPr>
            <w:r w:rsidRPr="002E42F1">
              <w:rPr>
                <w:sz w:val="20"/>
                <w:szCs w:val="20"/>
              </w:rPr>
              <w:t>138</w:t>
            </w:r>
          </w:p>
        </w:tc>
        <w:tc>
          <w:tcPr>
            <w:tcW w:w="992" w:type="dxa"/>
            <w:shd w:val="clear" w:color="auto" w:fill="auto"/>
            <w:noWrap/>
            <w:vAlign w:val="center"/>
            <w:hideMark/>
          </w:tcPr>
          <w:p w14:paraId="34DF3DAB" w14:textId="77777777" w:rsidR="00846BB7" w:rsidRPr="002E42F1" w:rsidRDefault="00846BB7" w:rsidP="00AE018D">
            <w:pPr>
              <w:pStyle w:val="NoSpacing"/>
              <w:jc w:val="right"/>
              <w:rPr>
                <w:sz w:val="20"/>
                <w:szCs w:val="20"/>
              </w:rPr>
            </w:pPr>
            <w:r w:rsidRPr="002E42F1">
              <w:rPr>
                <w:sz w:val="20"/>
                <w:szCs w:val="20"/>
              </w:rPr>
              <w:t>10</w:t>
            </w:r>
          </w:p>
        </w:tc>
        <w:tc>
          <w:tcPr>
            <w:tcW w:w="567" w:type="dxa"/>
            <w:shd w:val="clear" w:color="000000" w:fill="EFF7F4"/>
            <w:noWrap/>
            <w:vAlign w:val="center"/>
            <w:hideMark/>
          </w:tcPr>
          <w:p w14:paraId="734DA475" w14:textId="77777777" w:rsidR="00846BB7" w:rsidRPr="002E42F1" w:rsidRDefault="00846BB7" w:rsidP="00AE018D">
            <w:pPr>
              <w:pStyle w:val="NoSpacing"/>
              <w:jc w:val="right"/>
              <w:rPr>
                <w:sz w:val="20"/>
                <w:szCs w:val="20"/>
              </w:rPr>
            </w:pPr>
            <w:r w:rsidRPr="002E42F1">
              <w:rPr>
                <w:sz w:val="20"/>
                <w:szCs w:val="20"/>
              </w:rPr>
              <w:t>7,2</w:t>
            </w:r>
          </w:p>
        </w:tc>
        <w:tc>
          <w:tcPr>
            <w:tcW w:w="1373" w:type="dxa"/>
            <w:shd w:val="clear" w:color="auto" w:fill="auto"/>
            <w:noWrap/>
            <w:vAlign w:val="center"/>
            <w:hideMark/>
          </w:tcPr>
          <w:p w14:paraId="04AB0675" w14:textId="77777777" w:rsidR="00846BB7" w:rsidRPr="002E42F1" w:rsidRDefault="00846BB7" w:rsidP="00AE018D">
            <w:pPr>
              <w:pStyle w:val="NoSpacing"/>
              <w:jc w:val="right"/>
              <w:rPr>
                <w:sz w:val="20"/>
                <w:szCs w:val="20"/>
              </w:rPr>
            </w:pPr>
            <w:r w:rsidRPr="002E42F1">
              <w:rPr>
                <w:sz w:val="20"/>
                <w:szCs w:val="20"/>
              </w:rPr>
              <w:t>4 950 676</w:t>
            </w:r>
          </w:p>
        </w:tc>
        <w:tc>
          <w:tcPr>
            <w:tcW w:w="1321" w:type="dxa"/>
            <w:shd w:val="clear" w:color="auto" w:fill="auto"/>
            <w:noWrap/>
            <w:vAlign w:val="center"/>
            <w:hideMark/>
          </w:tcPr>
          <w:p w14:paraId="302363FD" w14:textId="77777777" w:rsidR="00846BB7" w:rsidRPr="002E42F1" w:rsidRDefault="00846BB7" w:rsidP="00AE018D">
            <w:pPr>
              <w:pStyle w:val="NoSpacing"/>
              <w:jc w:val="right"/>
              <w:rPr>
                <w:sz w:val="20"/>
                <w:szCs w:val="20"/>
              </w:rPr>
            </w:pPr>
            <w:r w:rsidRPr="002E42F1">
              <w:rPr>
                <w:sz w:val="20"/>
                <w:szCs w:val="20"/>
              </w:rPr>
              <w:t>412 336</w:t>
            </w:r>
          </w:p>
        </w:tc>
        <w:tc>
          <w:tcPr>
            <w:tcW w:w="601" w:type="dxa"/>
            <w:shd w:val="clear" w:color="000000" w:fill="EFF7F4"/>
            <w:noWrap/>
            <w:vAlign w:val="center"/>
            <w:hideMark/>
          </w:tcPr>
          <w:p w14:paraId="58BF9E33" w14:textId="77777777" w:rsidR="00846BB7" w:rsidRPr="002E42F1" w:rsidRDefault="00846BB7" w:rsidP="00AE018D">
            <w:pPr>
              <w:pStyle w:val="NoSpacing"/>
              <w:jc w:val="right"/>
              <w:rPr>
                <w:sz w:val="20"/>
                <w:szCs w:val="20"/>
              </w:rPr>
            </w:pPr>
            <w:r w:rsidRPr="002E42F1">
              <w:rPr>
                <w:sz w:val="20"/>
                <w:szCs w:val="20"/>
              </w:rPr>
              <w:t>8,3</w:t>
            </w:r>
          </w:p>
        </w:tc>
      </w:tr>
      <w:tr w:rsidR="002E42F1" w:rsidRPr="002E42F1" w14:paraId="52C2132A" w14:textId="77777777" w:rsidTr="008903DD">
        <w:tc>
          <w:tcPr>
            <w:tcW w:w="3397" w:type="dxa"/>
            <w:shd w:val="clear" w:color="auto" w:fill="auto"/>
            <w:vAlign w:val="center"/>
            <w:hideMark/>
          </w:tcPr>
          <w:p w14:paraId="07B25549" w14:textId="77777777" w:rsidR="00846BB7" w:rsidRPr="002E42F1" w:rsidRDefault="00846BB7" w:rsidP="00AE018D">
            <w:pPr>
              <w:pStyle w:val="NoSpacing"/>
              <w:rPr>
                <w:sz w:val="20"/>
                <w:szCs w:val="20"/>
              </w:rPr>
            </w:pPr>
            <w:r w:rsidRPr="002E42F1">
              <w:rPr>
                <w:sz w:val="20"/>
                <w:szCs w:val="20"/>
              </w:rPr>
              <w:t>Mežsaimniecība</w:t>
            </w:r>
          </w:p>
        </w:tc>
        <w:tc>
          <w:tcPr>
            <w:tcW w:w="709" w:type="dxa"/>
            <w:shd w:val="clear" w:color="auto" w:fill="auto"/>
            <w:noWrap/>
            <w:vAlign w:val="center"/>
            <w:hideMark/>
          </w:tcPr>
          <w:p w14:paraId="5F7E8418" w14:textId="77777777" w:rsidR="00846BB7" w:rsidRPr="002E42F1" w:rsidRDefault="00846BB7" w:rsidP="00AE018D">
            <w:pPr>
              <w:pStyle w:val="NoSpacing"/>
              <w:jc w:val="right"/>
              <w:rPr>
                <w:sz w:val="20"/>
                <w:szCs w:val="20"/>
              </w:rPr>
            </w:pPr>
            <w:r w:rsidRPr="002E42F1">
              <w:rPr>
                <w:sz w:val="20"/>
                <w:szCs w:val="20"/>
              </w:rPr>
              <w:t>67</w:t>
            </w:r>
          </w:p>
        </w:tc>
        <w:tc>
          <w:tcPr>
            <w:tcW w:w="992" w:type="dxa"/>
            <w:shd w:val="clear" w:color="auto" w:fill="auto"/>
            <w:noWrap/>
            <w:vAlign w:val="center"/>
            <w:hideMark/>
          </w:tcPr>
          <w:p w14:paraId="139E7DDD" w14:textId="77777777" w:rsidR="00846BB7" w:rsidRPr="002E42F1" w:rsidRDefault="00846BB7" w:rsidP="00AE018D">
            <w:pPr>
              <w:pStyle w:val="NoSpacing"/>
              <w:jc w:val="right"/>
              <w:rPr>
                <w:sz w:val="20"/>
                <w:szCs w:val="20"/>
              </w:rPr>
            </w:pPr>
            <w:r w:rsidRPr="002E42F1">
              <w:rPr>
                <w:sz w:val="20"/>
                <w:szCs w:val="20"/>
              </w:rPr>
              <w:t>17</w:t>
            </w:r>
          </w:p>
        </w:tc>
        <w:tc>
          <w:tcPr>
            <w:tcW w:w="567" w:type="dxa"/>
            <w:shd w:val="clear" w:color="000000" w:fill="CDE9D6"/>
            <w:noWrap/>
            <w:vAlign w:val="center"/>
            <w:hideMark/>
          </w:tcPr>
          <w:p w14:paraId="424F4567" w14:textId="77777777" w:rsidR="00846BB7" w:rsidRPr="002E42F1" w:rsidRDefault="00846BB7" w:rsidP="00AE018D">
            <w:pPr>
              <w:pStyle w:val="NoSpacing"/>
              <w:jc w:val="right"/>
              <w:rPr>
                <w:sz w:val="20"/>
                <w:szCs w:val="20"/>
              </w:rPr>
            </w:pPr>
            <w:r w:rsidRPr="002E42F1">
              <w:rPr>
                <w:sz w:val="20"/>
                <w:szCs w:val="20"/>
              </w:rPr>
              <w:t>25,4</w:t>
            </w:r>
          </w:p>
        </w:tc>
        <w:tc>
          <w:tcPr>
            <w:tcW w:w="1373" w:type="dxa"/>
            <w:shd w:val="clear" w:color="auto" w:fill="auto"/>
            <w:noWrap/>
            <w:vAlign w:val="center"/>
            <w:hideMark/>
          </w:tcPr>
          <w:p w14:paraId="76264A25" w14:textId="77777777" w:rsidR="00846BB7" w:rsidRPr="002E42F1" w:rsidRDefault="00846BB7" w:rsidP="00AE018D">
            <w:pPr>
              <w:pStyle w:val="NoSpacing"/>
              <w:jc w:val="right"/>
              <w:rPr>
                <w:sz w:val="20"/>
                <w:szCs w:val="20"/>
              </w:rPr>
            </w:pPr>
            <w:r w:rsidRPr="002E42F1">
              <w:rPr>
                <w:sz w:val="20"/>
                <w:szCs w:val="20"/>
              </w:rPr>
              <w:t>15 385 184</w:t>
            </w:r>
          </w:p>
        </w:tc>
        <w:tc>
          <w:tcPr>
            <w:tcW w:w="1321" w:type="dxa"/>
            <w:shd w:val="clear" w:color="auto" w:fill="auto"/>
            <w:noWrap/>
            <w:vAlign w:val="center"/>
            <w:hideMark/>
          </w:tcPr>
          <w:p w14:paraId="35F76374" w14:textId="77777777" w:rsidR="00846BB7" w:rsidRPr="002E42F1" w:rsidRDefault="00846BB7" w:rsidP="00AE018D">
            <w:pPr>
              <w:pStyle w:val="NoSpacing"/>
              <w:jc w:val="right"/>
              <w:rPr>
                <w:sz w:val="20"/>
                <w:szCs w:val="20"/>
              </w:rPr>
            </w:pPr>
            <w:r w:rsidRPr="002E42F1">
              <w:rPr>
                <w:sz w:val="20"/>
                <w:szCs w:val="20"/>
              </w:rPr>
              <w:t>6 024 758</w:t>
            </w:r>
          </w:p>
        </w:tc>
        <w:tc>
          <w:tcPr>
            <w:tcW w:w="601" w:type="dxa"/>
            <w:shd w:val="clear" w:color="000000" w:fill="BFE3CA"/>
            <w:noWrap/>
            <w:vAlign w:val="center"/>
            <w:hideMark/>
          </w:tcPr>
          <w:p w14:paraId="6EAF3646" w14:textId="77777777" w:rsidR="00846BB7" w:rsidRPr="002E42F1" w:rsidRDefault="00846BB7" w:rsidP="00AE018D">
            <w:pPr>
              <w:pStyle w:val="NoSpacing"/>
              <w:jc w:val="right"/>
              <w:rPr>
                <w:sz w:val="20"/>
                <w:szCs w:val="20"/>
              </w:rPr>
            </w:pPr>
            <w:r w:rsidRPr="002E42F1">
              <w:rPr>
                <w:sz w:val="20"/>
                <w:szCs w:val="20"/>
              </w:rPr>
              <w:t>39,2</w:t>
            </w:r>
          </w:p>
        </w:tc>
      </w:tr>
      <w:tr w:rsidR="002E42F1" w:rsidRPr="002E42F1" w14:paraId="60AB45CF" w14:textId="77777777" w:rsidTr="008903DD">
        <w:tc>
          <w:tcPr>
            <w:tcW w:w="3397" w:type="dxa"/>
            <w:shd w:val="clear" w:color="000000" w:fill="D9D9D9"/>
            <w:vAlign w:val="center"/>
            <w:hideMark/>
          </w:tcPr>
          <w:p w14:paraId="7A661649" w14:textId="388C7A34" w:rsidR="00846BB7" w:rsidRPr="002E42F1" w:rsidRDefault="00846BB7" w:rsidP="00AE018D">
            <w:pPr>
              <w:pStyle w:val="NoSpacing"/>
              <w:rPr>
                <w:b/>
                <w:bCs/>
                <w:sz w:val="20"/>
                <w:szCs w:val="20"/>
              </w:rPr>
            </w:pPr>
            <w:r w:rsidRPr="002E42F1">
              <w:rPr>
                <w:b/>
                <w:bCs/>
                <w:sz w:val="20"/>
                <w:szCs w:val="20"/>
              </w:rPr>
              <w:t xml:space="preserve">Kopā ZPI </w:t>
            </w:r>
            <w:r w:rsidR="009B2FFF" w:rsidRPr="002E42F1">
              <w:rPr>
                <w:b/>
                <w:bCs/>
                <w:sz w:val="20"/>
                <w:szCs w:val="20"/>
              </w:rPr>
              <w:t xml:space="preserve">brīvprātīgi piemērojamās </w:t>
            </w:r>
            <w:r w:rsidRPr="002E42F1">
              <w:rPr>
                <w:b/>
                <w:bCs/>
                <w:sz w:val="20"/>
                <w:szCs w:val="20"/>
              </w:rPr>
              <w:t>grupas</w:t>
            </w:r>
          </w:p>
        </w:tc>
        <w:tc>
          <w:tcPr>
            <w:tcW w:w="709" w:type="dxa"/>
            <w:shd w:val="clear" w:color="000000" w:fill="D9D9D9"/>
            <w:noWrap/>
            <w:vAlign w:val="center"/>
            <w:hideMark/>
          </w:tcPr>
          <w:p w14:paraId="3971DB2B" w14:textId="77777777" w:rsidR="00846BB7" w:rsidRPr="002E42F1" w:rsidRDefault="00846BB7" w:rsidP="00AE018D">
            <w:pPr>
              <w:pStyle w:val="NoSpacing"/>
              <w:jc w:val="right"/>
              <w:rPr>
                <w:b/>
                <w:bCs/>
                <w:sz w:val="20"/>
                <w:szCs w:val="20"/>
              </w:rPr>
            </w:pPr>
            <w:r w:rsidRPr="002E42F1">
              <w:rPr>
                <w:b/>
                <w:bCs/>
                <w:sz w:val="20"/>
                <w:szCs w:val="20"/>
              </w:rPr>
              <w:t>3 646</w:t>
            </w:r>
          </w:p>
        </w:tc>
        <w:tc>
          <w:tcPr>
            <w:tcW w:w="992" w:type="dxa"/>
            <w:shd w:val="clear" w:color="000000" w:fill="D9D9D9"/>
            <w:noWrap/>
            <w:vAlign w:val="center"/>
            <w:hideMark/>
          </w:tcPr>
          <w:p w14:paraId="5FF1C2C8" w14:textId="77777777" w:rsidR="00846BB7" w:rsidRPr="002E42F1" w:rsidRDefault="00846BB7" w:rsidP="00AE018D">
            <w:pPr>
              <w:pStyle w:val="NoSpacing"/>
              <w:jc w:val="right"/>
              <w:rPr>
                <w:b/>
                <w:bCs/>
                <w:sz w:val="20"/>
                <w:szCs w:val="20"/>
              </w:rPr>
            </w:pPr>
            <w:r w:rsidRPr="002E42F1">
              <w:rPr>
                <w:b/>
                <w:bCs/>
                <w:sz w:val="20"/>
                <w:szCs w:val="20"/>
              </w:rPr>
              <w:t>546</w:t>
            </w:r>
          </w:p>
        </w:tc>
        <w:tc>
          <w:tcPr>
            <w:tcW w:w="567" w:type="dxa"/>
            <w:shd w:val="clear" w:color="000000" w:fill="E0F1E7"/>
            <w:noWrap/>
            <w:vAlign w:val="center"/>
            <w:hideMark/>
          </w:tcPr>
          <w:p w14:paraId="58CA5B68" w14:textId="77777777" w:rsidR="00846BB7" w:rsidRPr="002E42F1" w:rsidRDefault="00846BB7" w:rsidP="00AE018D">
            <w:pPr>
              <w:pStyle w:val="NoSpacing"/>
              <w:jc w:val="right"/>
              <w:rPr>
                <w:b/>
                <w:bCs/>
                <w:sz w:val="20"/>
                <w:szCs w:val="20"/>
              </w:rPr>
            </w:pPr>
            <w:r w:rsidRPr="002E42F1">
              <w:rPr>
                <w:b/>
                <w:bCs/>
                <w:sz w:val="20"/>
                <w:szCs w:val="20"/>
              </w:rPr>
              <w:t>15,0</w:t>
            </w:r>
          </w:p>
        </w:tc>
        <w:tc>
          <w:tcPr>
            <w:tcW w:w="1373" w:type="dxa"/>
            <w:shd w:val="clear" w:color="000000" w:fill="D9D9D9"/>
            <w:noWrap/>
            <w:vAlign w:val="center"/>
            <w:hideMark/>
          </w:tcPr>
          <w:p w14:paraId="66217C12" w14:textId="77777777" w:rsidR="00846BB7" w:rsidRPr="002E42F1" w:rsidRDefault="00846BB7" w:rsidP="00AE018D">
            <w:pPr>
              <w:pStyle w:val="NoSpacing"/>
              <w:jc w:val="right"/>
              <w:rPr>
                <w:b/>
                <w:bCs/>
                <w:sz w:val="20"/>
                <w:szCs w:val="20"/>
              </w:rPr>
            </w:pPr>
            <w:r w:rsidRPr="002E42F1">
              <w:rPr>
                <w:b/>
                <w:bCs/>
                <w:sz w:val="20"/>
                <w:szCs w:val="20"/>
              </w:rPr>
              <w:t>1 317 158 294</w:t>
            </w:r>
          </w:p>
        </w:tc>
        <w:tc>
          <w:tcPr>
            <w:tcW w:w="1321" w:type="dxa"/>
            <w:shd w:val="clear" w:color="000000" w:fill="D9D9D9"/>
            <w:noWrap/>
            <w:vAlign w:val="center"/>
            <w:hideMark/>
          </w:tcPr>
          <w:p w14:paraId="2DA1AFD5" w14:textId="77777777" w:rsidR="00846BB7" w:rsidRPr="002E42F1" w:rsidRDefault="00846BB7" w:rsidP="00AE018D">
            <w:pPr>
              <w:pStyle w:val="NoSpacing"/>
              <w:jc w:val="right"/>
              <w:rPr>
                <w:b/>
                <w:bCs/>
                <w:sz w:val="20"/>
                <w:szCs w:val="20"/>
              </w:rPr>
            </w:pPr>
            <w:r w:rsidRPr="002E42F1">
              <w:rPr>
                <w:b/>
                <w:bCs/>
                <w:sz w:val="20"/>
                <w:szCs w:val="20"/>
              </w:rPr>
              <w:t>299 073 048</w:t>
            </w:r>
          </w:p>
        </w:tc>
        <w:tc>
          <w:tcPr>
            <w:tcW w:w="601" w:type="dxa"/>
            <w:shd w:val="clear" w:color="000000" w:fill="D9EEE1"/>
            <w:noWrap/>
            <w:vAlign w:val="center"/>
            <w:hideMark/>
          </w:tcPr>
          <w:p w14:paraId="2EE34A6F" w14:textId="77777777" w:rsidR="00846BB7" w:rsidRPr="002E42F1" w:rsidRDefault="00846BB7" w:rsidP="00AE018D">
            <w:pPr>
              <w:pStyle w:val="NoSpacing"/>
              <w:jc w:val="right"/>
              <w:rPr>
                <w:b/>
                <w:bCs/>
                <w:sz w:val="20"/>
                <w:szCs w:val="20"/>
              </w:rPr>
            </w:pPr>
            <w:r w:rsidRPr="002E42F1">
              <w:rPr>
                <w:b/>
                <w:bCs/>
                <w:sz w:val="20"/>
                <w:szCs w:val="20"/>
              </w:rPr>
              <w:t>22,7</w:t>
            </w:r>
          </w:p>
        </w:tc>
      </w:tr>
      <w:tr w:rsidR="002E42F1" w:rsidRPr="002E42F1" w14:paraId="3C8D10C4" w14:textId="77777777" w:rsidTr="008903DD">
        <w:tc>
          <w:tcPr>
            <w:tcW w:w="3397" w:type="dxa"/>
            <w:shd w:val="clear" w:color="000000" w:fill="D9D9D9"/>
            <w:vAlign w:val="center"/>
            <w:hideMark/>
          </w:tcPr>
          <w:p w14:paraId="25A20CF6" w14:textId="77777777" w:rsidR="00846BB7" w:rsidRPr="002E42F1" w:rsidRDefault="00846BB7" w:rsidP="00AE018D">
            <w:pPr>
              <w:pStyle w:val="NoSpacing"/>
              <w:rPr>
                <w:b/>
                <w:bCs/>
                <w:sz w:val="20"/>
                <w:szCs w:val="20"/>
              </w:rPr>
            </w:pPr>
            <w:r w:rsidRPr="002E42F1">
              <w:rPr>
                <w:b/>
                <w:bCs/>
                <w:sz w:val="20"/>
                <w:szCs w:val="20"/>
              </w:rPr>
              <w:t>KOPĀ</w:t>
            </w:r>
          </w:p>
        </w:tc>
        <w:tc>
          <w:tcPr>
            <w:tcW w:w="709" w:type="dxa"/>
            <w:shd w:val="clear" w:color="000000" w:fill="D9D9D9"/>
            <w:noWrap/>
            <w:vAlign w:val="center"/>
            <w:hideMark/>
          </w:tcPr>
          <w:p w14:paraId="54D80F62" w14:textId="77777777" w:rsidR="00846BB7" w:rsidRPr="002E42F1" w:rsidRDefault="00846BB7" w:rsidP="00AE018D">
            <w:pPr>
              <w:pStyle w:val="NoSpacing"/>
              <w:jc w:val="right"/>
              <w:rPr>
                <w:b/>
                <w:bCs/>
                <w:sz w:val="20"/>
                <w:szCs w:val="20"/>
              </w:rPr>
            </w:pPr>
            <w:r w:rsidRPr="002E42F1">
              <w:rPr>
                <w:b/>
                <w:bCs/>
                <w:sz w:val="20"/>
                <w:szCs w:val="20"/>
              </w:rPr>
              <w:t>4 551</w:t>
            </w:r>
          </w:p>
        </w:tc>
        <w:tc>
          <w:tcPr>
            <w:tcW w:w="992" w:type="dxa"/>
            <w:shd w:val="clear" w:color="000000" w:fill="D9D9D9"/>
            <w:noWrap/>
            <w:vAlign w:val="center"/>
            <w:hideMark/>
          </w:tcPr>
          <w:p w14:paraId="7FD31085" w14:textId="77777777" w:rsidR="00846BB7" w:rsidRPr="002E42F1" w:rsidRDefault="00846BB7" w:rsidP="00AE018D">
            <w:pPr>
              <w:pStyle w:val="NoSpacing"/>
              <w:jc w:val="right"/>
              <w:rPr>
                <w:b/>
                <w:bCs/>
                <w:sz w:val="20"/>
                <w:szCs w:val="20"/>
              </w:rPr>
            </w:pPr>
            <w:r w:rsidRPr="002E42F1">
              <w:rPr>
                <w:b/>
                <w:bCs/>
                <w:sz w:val="20"/>
                <w:szCs w:val="20"/>
              </w:rPr>
              <w:t>1 099</w:t>
            </w:r>
          </w:p>
        </w:tc>
        <w:tc>
          <w:tcPr>
            <w:tcW w:w="567" w:type="dxa"/>
            <w:shd w:val="clear" w:color="000000" w:fill="CFEAD8"/>
            <w:noWrap/>
            <w:vAlign w:val="center"/>
            <w:hideMark/>
          </w:tcPr>
          <w:p w14:paraId="5F2DAA10" w14:textId="77777777" w:rsidR="00846BB7" w:rsidRPr="002E42F1" w:rsidRDefault="00846BB7" w:rsidP="00AE018D">
            <w:pPr>
              <w:pStyle w:val="NoSpacing"/>
              <w:jc w:val="right"/>
              <w:rPr>
                <w:b/>
                <w:bCs/>
                <w:sz w:val="20"/>
                <w:szCs w:val="20"/>
              </w:rPr>
            </w:pPr>
            <w:r w:rsidRPr="002E42F1">
              <w:rPr>
                <w:b/>
                <w:bCs/>
                <w:sz w:val="20"/>
                <w:szCs w:val="20"/>
              </w:rPr>
              <w:t>24,1</w:t>
            </w:r>
          </w:p>
        </w:tc>
        <w:tc>
          <w:tcPr>
            <w:tcW w:w="1373" w:type="dxa"/>
            <w:shd w:val="clear" w:color="000000" w:fill="D9D9D9"/>
            <w:noWrap/>
            <w:vAlign w:val="center"/>
            <w:hideMark/>
          </w:tcPr>
          <w:p w14:paraId="75E20971" w14:textId="77777777" w:rsidR="00846BB7" w:rsidRPr="002E42F1" w:rsidRDefault="00846BB7" w:rsidP="00AE018D">
            <w:pPr>
              <w:pStyle w:val="NoSpacing"/>
              <w:jc w:val="right"/>
              <w:rPr>
                <w:b/>
                <w:bCs/>
                <w:sz w:val="20"/>
                <w:szCs w:val="20"/>
              </w:rPr>
            </w:pPr>
            <w:r w:rsidRPr="002E42F1">
              <w:rPr>
                <w:b/>
                <w:bCs/>
                <w:sz w:val="20"/>
                <w:szCs w:val="20"/>
              </w:rPr>
              <w:t>1 496 813 048</w:t>
            </w:r>
          </w:p>
        </w:tc>
        <w:tc>
          <w:tcPr>
            <w:tcW w:w="1321" w:type="dxa"/>
            <w:shd w:val="clear" w:color="000000" w:fill="D9D9D9"/>
            <w:noWrap/>
            <w:vAlign w:val="center"/>
            <w:hideMark/>
          </w:tcPr>
          <w:p w14:paraId="7B9127E3" w14:textId="77777777" w:rsidR="00846BB7" w:rsidRPr="002E42F1" w:rsidRDefault="00846BB7" w:rsidP="00AE018D">
            <w:pPr>
              <w:pStyle w:val="NoSpacing"/>
              <w:jc w:val="right"/>
              <w:rPr>
                <w:b/>
                <w:bCs/>
                <w:sz w:val="20"/>
                <w:szCs w:val="20"/>
              </w:rPr>
            </w:pPr>
            <w:r w:rsidRPr="002E42F1">
              <w:rPr>
                <w:b/>
                <w:bCs/>
                <w:sz w:val="20"/>
                <w:szCs w:val="20"/>
              </w:rPr>
              <w:t>448 337 797</w:t>
            </w:r>
          </w:p>
        </w:tc>
        <w:tc>
          <w:tcPr>
            <w:tcW w:w="601" w:type="dxa"/>
            <w:shd w:val="clear" w:color="000000" w:fill="CDE9D7"/>
            <w:noWrap/>
            <w:vAlign w:val="center"/>
            <w:hideMark/>
          </w:tcPr>
          <w:p w14:paraId="0AB428C7" w14:textId="77777777" w:rsidR="00846BB7" w:rsidRPr="002E42F1" w:rsidRDefault="00846BB7" w:rsidP="00AE018D">
            <w:pPr>
              <w:pStyle w:val="NoSpacing"/>
              <w:jc w:val="right"/>
              <w:rPr>
                <w:b/>
                <w:bCs/>
                <w:sz w:val="20"/>
                <w:szCs w:val="20"/>
              </w:rPr>
            </w:pPr>
            <w:r w:rsidRPr="002E42F1">
              <w:rPr>
                <w:b/>
                <w:bCs/>
                <w:sz w:val="20"/>
                <w:szCs w:val="20"/>
              </w:rPr>
              <w:t>30,0</w:t>
            </w:r>
          </w:p>
        </w:tc>
      </w:tr>
    </w:tbl>
    <w:p w14:paraId="651270C1" w14:textId="77777777" w:rsidR="001D44F8" w:rsidRPr="002E42F1" w:rsidRDefault="001D44F8" w:rsidP="006C282B">
      <w:pPr>
        <w:pStyle w:val="NoSpacing"/>
        <w:jc w:val="both"/>
        <w:rPr>
          <w:sz w:val="28"/>
          <w:szCs w:val="28"/>
        </w:rPr>
      </w:pPr>
      <w:r w:rsidRPr="002E42F1">
        <w:rPr>
          <w:bCs/>
          <w:iCs/>
          <w:sz w:val="28"/>
          <w:szCs w:val="28"/>
        </w:rPr>
        <w:t xml:space="preserve">Avots: </w:t>
      </w:r>
      <w:r w:rsidRPr="002E42F1">
        <w:rPr>
          <w:sz w:val="28"/>
          <w:szCs w:val="28"/>
        </w:rPr>
        <w:t>IUB dati</w:t>
      </w:r>
    </w:p>
    <w:p w14:paraId="1B792CE8" w14:textId="77777777" w:rsidR="004A354F" w:rsidRPr="002E42F1" w:rsidRDefault="004A354F" w:rsidP="006C282B">
      <w:pPr>
        <w:pStyle w:val="NoSpacing"/>
        <w:jc w:val="both"/>
        <w:rPr>
          <w:sz w:val="28"/>
          <w:szCs w:val="28"/>
        </w:rPr>
      </w:pPr>
    </w:p>
    <w:p w14:paraId="5BB92012" w14:textId="4D0B3D20" w:rsidR="00403D46" w:rsidRPr="002E42F1" w:rsidRDefault="000115DC" w:rsidP="00AE018D">
      <w:pPr>
        <w:pStyle w:val="NoSpacing"/>
        <w:ind w:firstLine="720"/>
        <w:jc w:val="both"/>
        <w:rPr>
          <w:sz w:val="28"/>
          <w:szCs w:val="28"/>
        </w:rPr>
      </w:pPr>
      <w:r w:rsidRPr="002E42F1">
        <w:rPr>
          <w:sz w:val="28"/>
          <w:szCs w:val="28"/>
        </w:rPr>
        <w:t>Tomēr skatoties uz iepirkum</w:t>
      </w:r>
      <w:r w:rsidR="00180B7B" w:rsidRPr="002E42F1">
        <w:rPr>
          <w:sz w:val="28"/>
          <w:szCs w:val="28"/>
        </w:rPr>
        <w:t>u</w:t>
      </w:r>
      <w:r w:rsidRPr="002E42F1">
        <w:rPr>
          <w:sz w:val="28"/>
          <w:szCs w:val="28"/>
        </w:rPr>
        <w:t xml:space="preserve"> skaitu</w:t>
      </w:r>
      <w:r w:rsidR="00411A52" w:rsidRPr="002E42F1">
        <w:rPr>
          <w:sz w:val="28"/>
          <w:szCs w:val="28"/>
        </w:rPr>
        <w:t>,</w:t>
      </w:r>
      <w:r w:rsidRPr="002E42F1">
        <w:rPr>
          <w:sz w:val="28"/>
          <w:szCs w:val="28"/>
        </w:rPr>
        <w:t xml:space="preserve"> kuros ir piemērots ZPI</w:t>
      </w:r>
      <w:r w:rsidR="00180B7B" w:rsidRPr="002E42F1">
        <w:rPr>
          <w:sz w:val="28"/>
          <w:szCs w:val="28"/>
        </w:rPr>
        <w:t>,</w:t>
      </w:r>
      <w:r w:rsidRPr="002E42F1">
        <w:rPr>
          <w:sz w:val="28"/>
          <w:szCs w:val="28"/>
        </w:rPr>
        <w:t xml:space="preserve"> un kopējo iepirkumu skaitu atbilstošā preču vai pakalpojumu grupā, tas ir mazskaitlīgs </w:t>
      </w:r>
      <w:r w:rsidR="00403D46" w:rsidRPr="002E42F1">
        <w:rPr>
          <w:sz w:val="28"/>
          <w:szCs w:val="28"/>
        </w:rPr>
        <w:t>tādās obligāti piemērojamās ZPI grupās kā: biroja papīrs, datortehnika un IKT infrastruktūra, iekštelpu apgaismojums, ielu apgaismojums un satiksmes signāli.</w:t>
      </w:r>
    </w:p>
    <w:p w14:paraId="2790345E" w14:textId="6BB8B8E6" w:rsidR="005413F1" w:rsidRPr="002E42F1" w:rsidRDefault="008F6481" w:rsidP="00403D46">
      <w:pPr>
        <w:pStyle w:val="NoSpacing"/>
        <w:ind w:firstLine="720"/>
        <w:jc w:val="both"/>
        <w:rPr>
          <w:bCs/>
          <w:iCs/>
          <w:sz w:val="28"/>
          <w:szCs w:val="28"/>
        </w:rPr>
      </w:pPr>
      <w:r w:rsidRPr="002E42F1">
        <w:rPr>
          <w:sz w:val="28"/>
          <w:szCs w:val="28"/>
        </w:rPr>
        <w:t>8</w:t>
      </w:r>
      <w:r w:rsidR="000115DC" w:rsidRPr="002E42F1">
        <w:rPr>
          <w:sz w:val="28"/>
          <w:szCs w:val="28"/>
        </w:rPr>
        <w:t>.</w:t>
      </w:r>
      <w:r w:rsidR="008263CD" w:rsidRPr="002E42F1">
        <w:rPr>
          <w:bCs/>
          <w:iCs/>
          <w:sz w:val="28"/>
          <w:szCs w:val="28"/>
        </w:rPr>
        <w:t xml:space="preserve"> </w:t>
      </w:r>
      <w:r w:rsidR="006F7535" w:rsidRPr="002E42F1">
        <w:rPr>
          <w:bCs/>
          <w:iCs/>
          <w:sz w:val="28"/>
          <w:szCs w:val="28"/>
        </w:rPr>
        <w:t>a</w:t>
      </w:r>
      <w:r w:rsidR="008263CD" w:rsidRPr="002E42F1">
        <w:rPr>
          <w:bCs/>
          <w:iCs/>
          <w:sz w:val="28"/>
          <w:szCs w:val="28"/>
        </w:rPr>
        <w:t xml:space="preserve">ttēlā ir </w:t>
      </w:r>
      <w:r w:rsidR="00D46A8B" w:rsidRPr="002E42F1">
        <w:rPr>
          <w:bCs/>
          <w:iCs/>
          <w:sz w:val="28"/>
          <w:szCs w:val="28"/>
        </w:rPr>
        <w:t>ilustrēts</w:t>
      </w:r>
      <w:r w:rsidR="008263CD" w:rsidRPr="002E42F1">
        <w:rPr>
          <w:bCs/>
          <w:iCs/>
          <w:sz w:val="28"/>
          <w:szCs w:val="28"/>
        </w:rPr>
        <w:t xml:space="preserve"> ZPI īpatsvar</w:t>
      </w:r>
      <w:r w:rsidR="00D46A8B" w:rsidRPr="002E42F1">
        <w:rPr>
          <w:bCs/>
          <w:iCs/>
          <w:sz w:val="28"/>
          <w:szCs w:val="28"/>
        </w:rPr>
        <w:t>s</w:t>
      </w:r>
      <w:r w:rsidR="008263CD" w:rsidRPr="002E42F1">
        <w:rPr>
          <w:bCs/>
          <w:iCs/>
          <w:sz w:val="28"/>
          <w:szCs w:val="28"/>
        </w:rPr>
        <w:t xml:space="preserve"> tām preču un pakalpojumu kategorijām, kurās 201</w:t>
      </w:r>
      <w:r w:rsidR="00A64D6D" w:rsidRPr="002E42F1">
        <w:rPr>
          <w:bCs/>
          <w:iCs/>
          <w:sz w:val="28"/>
          <w:szCs w:val="28"/>
        </w:rPr>
        <w:t>9</w:t>
      </w:r>
      <w:r w:rsidR="008263CD" w:rsidRPr="002E42F1">
        <w:rPr>
          <w:bCs/>
          <w:iCs/>
          <w:sz w:val="28"/>
          <w:szCs w:val="28"/>
        </w:rPr>
        <w:t>. gadā iepirkumi veikti ievērojot ZPI principus, parādot atbilstošo preču, pakalpojumu un būvdarbu grupu ZPI īpatsvaru no</w:t>
      </w:r>
      <w:r w:rsidR="001671F0" w:rsidRPr="002E42F1">
        <w:rPr>
          <w:bCs/>
          <w:iCs/>
          <w:sz w:val="28"/>
          <w:szCs w:val="28"/>
        </w:rPr>
        <w:t xml:space="preserve"> </w:t>
      </w:r>
      <w:r w:rsidR="008263CD" w:rsidRPr="002E42F1">
        <w:rPr>
          <w:bCs/>
          <w:iCs/>
          <w:sz w:val="28"/>
          <w:szCs w:val="28"/>
        </w:rPr>
        <w:t>kopējiem</w:t>
      </w:r>
      <w:r w:rsidR="001671F0" w:rsidRPr="002E42F1">
        <w:rPr>
          <w:bCs/>
          <w:iCs/>
          <w:sz w:val="28"/>
          <w:szCs w:val="28"/>
        </w:rPr>
        <w:t xml:space="preserve"> </w:t>
      </w:r>
      <w:r w:rsidR="008263CD" w:rsidRPr="002E42F1">
        <w:rPr>
          <w:bCs/>
          <w:iCs/>
          <w:sz w:val="28"/>
          <w:szCs w:val="28"/>
        </w:rPr>
        <w:t xml:space="preserve">ZPI iepirkumiem. Salīdzinot šo informāciju ar </w:t>
      </w:r>
      <w:r w:rsidR="007A2C66" w:rsidRPr="002E42F1">
        <w:rPr>
          <w:bCs/>
          <w:iCs/>
          <w:sz w:val="28"/>
          <w:szCs w:val="28"/>
        </w:rPr>
        <w:t>iepriekšējā</w:t>
      </w:r>
      <w:r w:rsidR="008263CD" w:rsidRPr="002E42F1">
        <w:rPr>
          <w:bCs/>
          <w:iCs/>
          <w:sz w:val="28"/>
          <w:szCs w:val="28"/>
        </w:rPr>
        <w:t xml:space="preserve"> gada datiem</w:t>
      </w:r>
      <w:r w:rsidR="00C014D2" w:rsidRPr="002E42F1">
        <w:rPr>
          <w:bCs/>
          <w:iCs/>
          <w:sz w:val="28"/>
          <w:szCs w:val="28"/>
        </w:rPr>
        <w:t xml:space="preserve">, tie nav būtiski mainījušies, lielākās izmaiņas: būvdarbu īpatsvars </w:t>
      </w:r>
      <w:r w:rsidR="0026777E" w:rsidRPr="002E42F1">
        <w:rPr>
          <w:bCs/>
          <w:iCs/>
          <w:sz w:val="28"/>
          <w:szCs w:val="28"/>
        </w:rPr>
        <w:t>pieaudzis</w:t>
      </w:r>
      <w:r w:rsidR="00C014D2" w:rsidRPr="002E42F1">
        <w:rPr>
          <w:bCs/>
          <w:iCs/>
          <w:sz w:val="28"/>
          <w:szCs w:val="28"/>
        </w:rPr>
        <w:t xml:space="preserve"> par 5,3 procentu punktiem, bet transporta </w:t>
      </w:r>
      <w:r w:rsidR="0026777E" w:rsidRPr="002E42F1">
        <w:rPr>
          <w:bCs/>
          <w:iCs/>
          <w:sz w:val="28"/>
          <w:szCs w:val="28"/>
        </w:rPr>
        <w:t>īpatsvars</w:t>
      </w:r>
      <w:r w:rsidR="00C014D2" w:rsidRPr="002E42F1">
        <w:rPr>
          <w:bCs/>
          <w:iCs/>
          <w:sz w:val="28"/>
          <w:szCs w:val="28"/>
        </w:rPr>
        <w:t xml:space="preserve"> samazinājies par 3,3 procentu punktiem.</w:t>
      </w:r>
    </w:p>
    <w:p w14:paraId="31C51D73" w14:textId="01998402" w:rsidR="0000187A" w:rsidRPr="002E42F1" w:rsidRDefault="0000187A" w:rsidP="006C282B">
      <w:pPr>
        <w:pStyle w:val="NoSpacing"/>
        <w:jc w:val="both"/>
        <w:rPr>
          <w:bCs/>
          <w:iCs/>
          <w:sz w:val="28"/>
          <w:szCs w:val="28"/>
        </w:rPr>
      </w:pPr>
    </w:p>
    <w:p w14:paraId="7969F09A" w14:textId="1ECCC2E8" w:rsidR="00B614CC" w:rsidRPr="002E42F1" w:rsidRDefault="00B614CC" w:rsidP="006C282B">
      <w:pPr>
        <w:pStyle w:val="NoSpacing"/>
        <w:jc w:val="both"/>
        <w:rPr>
          <w:bCs/>
          <w:iCs/>
          <w:sz w:val="28"/>
          <w:szCs w:val="28"/>
        </w:rPr>
      </w:pPr>
    </w:p>
    <w:p w14:paraId="305DFDAC" w14:textId="1E0DAA44" w:rsidR="00B614CC" w:rsidRPr="002E42F1" w:rsidRDefault="00B614CC" w:rsidP="006C282B">
      <w:pPr>
        <w:pStyle w:val="NoSpacing"/>
        <w:jc w:val="both"/>
        <w:rPr>
          <w:bCs/>
          <w:iCs/>
          <w:sz w:val="28"/>
          <w:szCs w:val="28"/>
        </w:rPr>
      </w:pPr>
    </w:p>
    <w:p w14:paraId="0D49B40B" w14:textId="1685BD50" w:rsidR="00B614CC" w:rsidRDefault="00B614CC" w:rsidP="006C282B">
      <w:pPr>
        <w:pStyle w:val="NoSpacing"/>
        <w:jc w:val="both"/>
        <w:rPr>
          <w:bCs/>
          <w:iCs/>
          <w:sz w:val="28"/>
          <w:szCs w:val="28"/>
        </w:rPr>
      </w:pPr>
    </w:p>
    <w:p w14:paraId="12B28D70" w14:textId="77777777" w:rsidR="00BA4929" w:rsidRDefault="00BA4929" w:rsidP="006C282B">
      <w:pPr>
        <w:pStyle w:val="NoSpacing"/>
        <w:jc w:val="both"/>
        <w:rPr>
          <w:bCs/>
          <w:iCs/>
          <w:sz w:val="28"/>
          <w:szCs w:val="28"/>
        </w:rPr>
      </w:pPr>
    </w:p>
    <w:p w14:paraId="1A4DD5D1" w14:textId="77777777" w:rsidR="00D0472F" w:rsidRDefault="00D0472F" w:rsidP="006C282B">
      <w:pPr>
        <w:pStyle w:val="NoSpacing"/>
        <w:jc w:val="both"/>
        <w:rPr>
          <w:bCs/>
          <w:iCs/>
          <w:sz w:val="28"/>
          <w:szCs w:val="28"/>
        </w:rPr>
      </w:pPr>
    </w:p>
    <w:p w14:paraId="3710783C" w14:textId="77777777" w:rsidR="00D0472F" w:rsidRDefault="00D0472F" w:rsidP="006C282B">
      <w:pPr>
        <w:pStyle w:val="NoSpacing"/>
        <w:jc w:val="both"/>
        <w:rPr>
          <w:bCs/>
          <w:iCs/>
          <w:sz w:val="28"/>
          <w:szCs w:val="28"/>
        </w:rPr>
      </w:pPr>
    </w:p>
    <w:p w14:paraId="0DE17050" w14:textId="77777777" w:rsidR="00D0472F" w:rsidRPr="002E42F1" w:rsidRDefault="00D0472F" w:rsidP="006C282B">
      <w:pPr>
        <w:pStyle w:val="NoSpacing"/>
        <w:jc w:val="both"/>
        <w:rPr>
          <w:bCs/>
          <w:iCs/>
          <w:sz w:val="28"/>
          <w:szCs w:val="28"/>
        </w:rPr>
      </w:pPr>
    </w:p>
    <w:p w14:paraId="23BC62AE" w14:textId="237256F2" w:rsidR="00B614CC" w:rsidRPr="002E42F1" w:rsidRDefault="00B614CC" w:rsidP="006C282B">
      <w:pPr>
        <w:pStyle w:val="NoSpacing"/>
        <w:jc w:val="both"/>
        <w:rPr>
          <w:bCs/>
          <w:iCs/>
          <w:sz w:val="28"/>
          <w:szCs w:val="28"/>
        </w:rPr>
      </w:pPr>
    </w:p>
    <w:p w14:paraId="747E4E57" w14:textId="77777777" w:rsidR="00B614CC" w:rsidRPr="002E42F1" w:rsidRDefault="00B614CC" w:rsidP="006C282B">
      <w:pPr>
        <w:pStyle w:val="NoSpacing"/>
        <w:jc w:val="both"/>
        <w:rPr>
          <w:bCs/>
          <w:iCs/>
          <w:sz w:val="28"/>
          <w:szCs w:val="28"/>
        </w:rPr>
      </w:pPr>
    </w:p>
    <w:p w14:paraId="6235C839" w14:textId="17E85F1E" w:rsidR="008263CD" w:rsidRPr="002E42F1" w:rsidRDefault="0057580F" w:rsidP="00AE018D">
      <w:pPr>
        <w:pStyle w:val="NoSpacing"/>
        <w:jc w:val="right"/>
        <w:rPr>
          <w:bCs/>
          <w:iCs/>
          <w:sz w:val="28"/>
          <w:szCs w:val="28"/>
        </w:rPr>
      </w:pPr>
      <w:r w:rsidRPr="002E42F1">
        <w:rPr>
          <w:bCs/>
          <w:iCs/>
          <w:sz w:val="28"/>
          <w:szCs w:val="28"/>
        </w:rPr>
        <w:lastRenderedPageBreak/>
        <w:t>8</w:t>
      </w:r>
      <w:r w:rsidR="008263CD" w:rsidRPr="002E42F1">
        <w:rPr>
          <w:bCs/>
          <w:iCs/>
          <w:sz w:val="28"/>
          <w:szCs w:val="28"/>
        </w:rPr>
        <w:t>.</w:t>
      </w:r>
      <w:r w:rsidR="00776752" w:rsidRPr="002E42F1">
        <w:rPr>
          <w:bCs/>
          <w:iCs/>
          <w:sz w:val="28"/>
          <w:szCs w:val="28"/>
        </w:rPr>
        <w:t xml:space="preserve"> attēls</w:t>
      </w:r>
      <w:r w:rsidR="008263CD" w:rsidRPr="002E42F1">
        <w:rPr>
          <w:bCs/>
          <w:iCs/>
          <w:sz w:val="28"/>
          <w:szCs w:val="28"/>
        </w:rPr>
        <w:t xml:space="preserve"> </w:t>
      </w:r>
    </w:p>
    <w:p w14:paraId="76B23BC8" w14:textId="3A2FF1E3" w:rsidR="00997728" w:rsidRPr="002E42F1" w:rsidRDefault="00307B9D" w:rsidP="00AE018D">
      <w:pPr>
        <w:pStyle w:val="NoSpacing"/>
        <w:jc w:val="center"/>
        <w:rPr>
          <w:bCs/>
          <w:iCs/>
          <w:sz w:val="28"/>
          <w:szCs w:val="28"/>
        </w:rPr>
      </w:pPr>
      <w:r w:rsidRPr="002E42F1">
        <w:rPr>
          <w:bCs/>
          <w:iCs/>
          <w:sz w:val="28"/>
          <w:szCs w:val="28"/>
        </w:rPr>
        <w:t>ZPI līgumcenu</w:t>
      </w:r>
      <w:r w:rsidR="00997728" w:rsidRPr="002E42F1">
        <w:rPr>
          <w:bCs/>
          <w:iCs/>
          <w:sz w:val="28"/>
          <w:szCs w:val="28"/>
        </w:rPr>
        <w:t xml:space="preserve"> īpatsvar</w:t>
      </w:r>
      <w:r w:rsidRPr="002E42F1">
        <w:rPr>
          <w:bCs/>
          <w:iCs/>
          <w:sz w:val="28"/>
          <w:szCs w:val="28"/>
        </w:rPr>
        <w:t>s</w:t>
      </w:r>
      <w:r w:rsidR="00997728" w:rsidRPr="002E42F1">
        <w:rPr>
          <w:bCs/>
          <w:iCs/>
          <w:sz w:val="28"/>
          <w:szCs w:val="28"/>
        </w:rPr>
        <w:t xml:space="preserve"> </w:t>
      </w:r>
      <w:r w:rsidRPr="002E42F1">
        <w:rPr>
          <w:bCs/>
          <w:iCs/>
          <w:sz w:val="28"/>
          <w:szCs w:val="28"/>
        </w:rPr>
        <w:t xml:space="preserve">kopējā </w:t>
      </w:r>
      <w:r w:rsidR="00997728" w:rsidRPr="002E42F1">
        <w:rPr>
          <w:bCs/>
          <w:iCs/>
          <w:sz w:val="28"/>
          <w:szCs w:val="28"/>
        </w:rPr>
        <w:t xml:space="preserve">ZPI </w:t>
      </w:r>
      <w:r w:rsidR="009D5774" w:rsidRPr="002E42F1">
        <w:rPr>
          <w:bCs/>
          <w:iCs/>
          <w:sz w:val="28"/>
          <w:szCs w:val="28"/>
        </w:rPr>
        <w:t>apjomā</w:t>
      </w:r>
      <w:r w:rsidR="00997728" w:rsidRPr="002E42F1">
        <w:rPr>
          <w:bCs/>
          <w:iCs/>
          <w:sz w:val="28"/>
          <w:szCs w:val="28"/>
        </w:rPr>
        <w:t xml:space="preserve"> 201</w:t>
      </w:r>
      <w:r w:rsidRPr="002E42F1">
        <w:rPr>
          <w:bCs/>
          <w:iCs/>
          <w:sz w:val="28"/>
          <w:szCs w:val="28"/>
        </w:rPr>
        <w:t>9</w:t>
      </w:r>
      <w:r w:rsidR="00997728" w:rsidRPr="002E42F1">
        <w:rPr>
          <w:bCs/>
          <w:iCs/>
          <w:sz w:val="28"/>
          <w:szCs w:val="28"/>
        </w:rPr>
        <w:t>.</w:t>
      </w:r>
      <w:r w:rsidR="00C16966" w:rsidRPr="002E42F1">
        <w:rPr>
          <w:bCs/>
          <w:iCs/>
          <w:sz w:val="28"/>
          <w:szCs w:val="28"/>
        </w:rPr>
        <w:t xml:space="preserve"> </w:t>
      </w:r>
      <w:r w:rsidR="00997728" w:rsidRPr="002E42F1">
        <w:rPr>
          <w:bCs/>
          <w:iCs/>
          <w:sz w:val="28"/>
          <w:szCs w:val="28"/>
        </w:rPr>
        <w:t>g</w:t>
      </w:r>
      <w:r w:rsidR="009D5774" w:rsidRPr="002E42F1">
        <w:rPr>
          <w:bCs/>
          <w:iCs/>
          <w:sz w:val="28"/>
          <w:szCs w:val="28"/>
        </w:rPr>
        <w:t>adā</w:t>
      </w:r>
    </w:p>
    <w:p w14:paraId="53B1F468" w14:textId="4D020E9D" w:rsidR="00A64D6D" w:rsidRPr="002E42F1" w:rsidRDefault="00A64D6D" w:rsidP="006C282B">
      <w:pPr>
        <w:pStyle w:val="NoSpacing"/>
        <w:jc w:val="both"/>
        <w:rPr>
          <w:bCs/>
          <w:iCs/>
          <w:sz w:val="28"/>
          <w:szCs w:val="28"/>
        </w:rPr>
      </w:pPr>
    </w:p>
    <w:p w14:paraId="0AE9F988" w14:textId="6F68E279" w:rsidR="002178C9" w:rsidRPr="002E42F1" w:rsidRDefault="00A64D6D" w:rsidP="00AE018D">
      <w:pPr>
        <w:pStyle w:val="NoSpacing"/>
        <w:jc w:val="center"/>
        <w:rPr>
          <w:bCs/>
          <w:iCs/>
          <w:sz w:val="28"/>
          <w:szCs w:val="28"/>
        </w:rPr>
      </w:pPr>
      <w:r w:rsidRPr="002E42F1">
        <w:rPr>
          <w:noProof/>
          <w:sz w:val="28"/>
          <w:szCs w:val="28"/>
        </w:rPr>
        <w:drawing>
          <wp:inline distT="0" distB="0" distL="0" distR="0" wp14:anchorId="13A8B0EF" wp14:editId="7D4EEB83">
            <wp:extent cx="5760085" cy="3446780"/>
            <wp:effectExtent l="0" t="0" r="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A90AD3" w14:textId="6FAE72EE" w:rsidR="00712E30" w:rsidRPr="002E42F1" w:rsidRDefault="00AB5C3A" w:rsidP="006C282B">
      <w:pPr>
        <w:pStyle w:val="NoSpacing"/>
        <w:jc w:val="both"/>
        <w:rPr>
          <w:bCs/>
          <w:iCs/>
          <w:sz w:val="28"/>
          <w:szCs w:val="28"/>
        </w:rPr>
      </w:pPr>
      <w:r w:rsidRPr="002E42F1">
        <w:rPr>
          <w:bCs/>
          <w:iCs/>
          <w:sz w:val="28"/>
          <w:szCs w:val="28"/>
        </w:rPr>
        <w:t>Avots:</w:t>
      </w:r>
      <w:r w:rsidR="00D57545" w:rsidRPr="002E42F1">
        <w:rPr>
          <w:bCs/>
          <w:iCs/>
          <w:sz w:val="28"/>
          <w:szCs w:val="28"/>
        </w:rPr>
        <w:t xml:space="preserve"> </w:t>
      </w:r>
      <w:r w:rsidR="00A76D42" w:rsidRPr="002E42F1">
        <w:rPr>
          <w:bCs/>
          <w:iCs/>
          <w:sz w:val="28"/>
          <w:szCs w:val="28"/>
        </w:rPr>
        <w:t>IUB d</w:t>
      </w:r>
      <w:r w:rsidRPr="002E42F1">
        <w:rPr>
          <w:bCs/>
          <w:iCs/>
          <w:sz w:val="28"/>
          <w:szCs w:val="28"/>
        </w:rPr>
        <w:t>ati</w:t>
      </w:r>
    </w:p>
    <w:p w14:paraId="15180C26" w14:textId="312D194A" w:rsidR="0063029B" w:rsidRPr="002E42F1" w:rsidRDefault="0063029B" w:rsidP="006C282B">
      <w:pPr>
        <w:pStyle w:val="NoSpacing"/>
        <w:jc w:val="both"/>
        <w:rPr>
          <w:bCs/>
          <w:iCs/>
          <w:sz w:val="28"/>
          <w:szCs w:val="28"/>
        </w:rPr>
      </w:pPr>
    </w:p>
    <w:p w14:paraId="1583883B" w14:textId="773978EC" w:rsidR="0097332A" w:rsidRPr="002E42F1" w:rsidRDefault="0057580F" w:rsidP="00AE018D">
      <w:pPr>
        <w:pStyle w:val="NoSpacing"/>
        <w:jc w:val="right"/>
        <w:rPr>
          <w:bCs/>
          <w:iCs/>
          <w:sz w:val="28"/>
          <w:szCs w:val="28"/>
        </w:rPr>
      </w:pPr>
      <w:r w:rsidRPr="002E42F1">
        <w:rPr>
          <w:bCs/>
          <w:iCs/>
          <w:sz w:val="28"/>
          <w:szCs w:val="28"/>
        </w:rPr>
        <w:t>9</w:t>
      </w:r>
      <w:r w:rsidR="0097332A" w:rsidRPr="002E42F1">
        <w:rPr>
          <w:bCs/>
          <w:iCs/>
          <w:sz w:val="28"/>
          <w:szCs w:val="28"/>
        </w:rPr>
        <w:t>.</w:t>
      </w:r>
      <w:r w:rsidR="00776752" w:rsidRPr="002E42F1">
        <w:rPr>
          <w:bCs/>
          <w:iCs/>
          <w:sz w:val="28"/>
          <w:szCs w:val="28"/>
        </w:rPr>
        <w:t xml:space="preserve"> attēls</w:t>
      </w:r>
    </w:p>
    <w:p w14:paraId="346A9C35" w14:textId="1192F840" w:rsidR="003D660C" w:rsidRPr="002E42F1" w:rsidRDefault="0097332A" w:rsidP="00AE018D">
      <w:pPr>
        <w:pStyle w:val="NoSpacing"/>
        <w:jc w:val="center"/>
        <w:rPr>
          <w:bCs/>
          <w:iCs/>
          <w:sz w:val="28"/>
          <w:szCs w:val="28"/>
        </w:rPr>
      </w:pPr>
      <w:r w:rsidRPr="002E42F1">
        <w:rPr>
          <w:bCs/>
          <w:iCs/>
          <w:sz w:val="28"/>
          <w:szCs w:val="28"/>
        </w:rPr>
        <w:t>ZPI dinamika preču, pakalpojumu un būvdarbu grupā</w:t>
      </w:r>
      <w:r w:rsidR="003D660C" w:rsidRPr="002E42F1">
        <w:rPr>
          <w:bCs/>
          <w:iCs/>
          <w:sz w:val="28"/>
          <w:szCs w:val="28"/>
        </w:rPr>
        <w:t>m</w:t>
      </w:r>
    </w:p>
    <w:p w14:paraId="5696BF8E" w14:textId="636D4CF3" w:rsidR="0063029B" w:rsidRPr="002E42F1" w:rsidRDefault="0097332A" w:rsidP="00AE018D">
      <w:pPr>
        <w:pStyle w:val="NoSpacing"/>
        <w:jc w:val="center"/>
        <w:rPr>
          <w:bCs/>
          <w:iCs/>
          <w:sz w:val="28"/>
          <w:szCs w:val="28"/>
        </w:rPr>
      </w:pPr>
      <w:r w:rsidRPr="002E42F1">
        <w:rPr>
          <w:bCs/>
          <w:iCs/>
          <w:sz w:val="28"/>
          <w:szCs w:val="28"/>
        </w:rPr>
        <w:t>2015.</w:t>
      </w:r>
      <w:r w:rsidR="00C16966" w:rsidRPr="002E42F1">
        <w:rPr>
          <w:bCs/>
          <w:iCs/>
          <w:sz w:val="28"/>
          <w:szCs w:val="28"/>
        </w:rPr>
        <w:t xml:space="preserve"> – </w:t>
      </w:r>
      <w:r w:rsidRPr="002E42F1">
        <w:rPr>
          <w:bCs/>
          <w:iCs/>
          <w:sz w:val="28"/>
          <w:szCs w:val="28"/>
        </w:rPr>
        <w:t>201</w:t>
      </w:r>
      <w:r w:rsidR="003D660C" w:rsidRPr="002E42F1">
        <w:rPr>
          <w:bCs/>
          <w:iCs/>
          <w:sz w:val="28"/>
          <w:szCs w:val="28"/>
        </w:rPr>
        <w:t>9.</w:t>
      </w:r>
      <w:r w:rsidR="00C16966" w:rsidRPr="002E42F1">
        <w:rPr>
          <w:bCs/>
          <w:iCs/>
          <w:sz w:val="28"/>
          <w:szCs w:val="28"/>
        </w:rPr>
        <w:t xml:space="preserve"> </w:t>
      </w:r>
      <w:r w:rsidR="003D660C" w:rsidRPr="002E42F1">
        <w:rPr>
          <w:bCs/>
          <w:iCs/>
          <w:sz w:val="28"/>
          <w:szCs w:val="28"/>
        </w:rPr>
        <w:t>gadā (milj. EUR bez PVN)</w:t>
      </w:r>
    </w:p>
    <w:p w14:paraId="02AEB118" w14:textId="24266A2E" w:rsidR="00EB7D7D" w:rsidRPr="002E42F1" w:rsidRDefault="00EB7D7D" w:rsidP="006C282B">
      <w:pPr>
        <w:pStyle w:val="NoSpacing"/>
        <w:jc w:val="both"/>
        <w:rPr>
          <w:bCs/>
          <w:iCs/>
          <w:sz w:val="28"/>
          <w:szCs w:val="28"/>
        </w:rPr>
      </w:pPr>
    </w:p>
    <w:p w14:paraId="35FE2C8D" w14:textId="2B32387F" w:rsidR="003A79F1" w:rsidRPr="002E42F1" w:rsidRDefault="003A79F1" w:rsidP="00AE018D">
      <w:pPr>
        <w:pStyle w:val="NoSpacing"/>
        <w:jc w:val="center"/>
        <w:rPr>
          <w:bCs/>
          <w:iCs/>
          <w:sz w:val="28"/>
          <w:szCs w:val="28"/>
        </w:rPr>
      </w:pPr>
      <w:r w:rsidRPr="002E42F1">
        <w:rPr>
          <w:noProof/>
          <w:sz w:val="28"/>
          <w:szCs w:val="28"/>
        </w:rPr>
        <w:drawing>
          <wp:inline distT="0" distB="0" distL="0" distR="0" wp14:anchorId="6553A2E4" wp14:editId="0F81144F">
            <wp:extent cx="4572000" cy="2288381"/>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262855" w14:textId="60D69D20" w:rsidR="003D660C" w:rsidRPr="002E42F1" w:rsidRDefault="003D660C" w:rsidP="006C282B">
      <w:pPr>
        <w:pStyle w:val="NoSpacing"/>
        <w:jc w:val="both"/>
        <w:rPr>
          <w:bCs/>
          <w:iCs/>
          <w:sz w:val="28"/>
          <w:szCs w:val="28"/>
        </w:rPr>
      </w:pPr>
      <w:r w:rsidRPr="002E42F1">
        <w:rPr>
          <w:bCs/>
          <w:iCs/>
          <w:sz w:val="28"/>
          <w:szCs w:val="28"/>
        </w:rPr>
        <w:t>Avots: IUB dati</w:t>
      </w:r>
    </w:p>
    <w:p w14:paraId="39029E34" w14:textId="33F02553" w:rsidR="00EB7D7D" w:rsidRPr="002E42F1" w:rsidRDefault="00EB7D7D" w:rsidP="006C282B">
      <w:pPr>
        <w:pStyle w:val="NoSpacing"/>
        <w:jc w:val="both"/>
        <w:rPr>
          <w:bCs/>
          <w:iCs/>
          <w:sz w:val="28"/>
          <w:szCs w:val="28"/>
        </w:rPr>
      </w:pPr>
    </w:p>
    <w:p w14:paraId="1ED4A783" w14:textId="2026E406" w:rsidR="00B614CC" w:rsidRPr="002E42F1" w:rsidRDefault="00B614CC" w:rsidP="006C282B">
      <w:pPr>
        <w:pStyle w:val="NoSpacing"/>
        <w:jc w:val="both"/>
        <w:rPr>
          <w:bCs/>
          <w:iCs/>
          <w:sz w:val="28"/>
          <w:szCs w:val="28"/>
        </w:rPr>
      </w:pPr>
    </w:p>
    <w:p w14:paraId="0F067AC5" w14:textId="63F266B2" w:rsidR="00B614CC" w:rsidRDefault="00B614CC" w:rsidP="006C282B">
      <w:pPr>
        <w:pStyle w:val="NoSpacing"/>
        <w:jc w:val="both"/>
        <w:rPr>
          <w:bCs/>
          <w:iCs/>
          <w:sz w:val="28"/>
          <w:szCs w:val="28"/>
        </w:rPr>
      </w:pPr>
    </w:p>
    <w:p w14:paraId="66E8C45F" w14:textId="77777777" w:rsidR="00BA4929" w:rsidRDefault="00BA4929" w:rsidP="006C282B">
      <w:pPr>
        <w:pStyle w:val="NoSpacing"/>
        <w:jc w:val="both"/>
        <w:rPr>
          <w:bCs/>
          <w:iCs/>
          <w:sz w:val="28"/>
          <w:szCs w:val="28"/>
        </w:rPr>
      </w:pPr>
    </w:p>
    <w:p w14:paraId="1C9E70BA" w14:textId="77777777" w:rsidR="00D0472F" w:rsidRPr="002E42F1" w:rsidRDefault="00D0472F" w:rsidP="006C282B">
      <w:pPr>
        <w:pStyle w:val="NoSpacing"/>
        <w:jc w:val="both"/>
        <w:rPr>
          <w:bCs/>
          <w:iCs/>
          <w:sz w:val="28"/>
          <w:szCs w:val="28"/>
        </w:rPr>
      </w:pPr>
    </w:p>
    <w:p w14:paraId="655A940D" w14:textId="77777777" w:rsidR="00B614CC" w:rsidRPr="002E42F1" w:rsidRDefault="00B614CC" w:rsidP="006C282B">
      <w:pPr>
        <w:pStyle w:val="NoSpacing"/>
        <w:jc w:val="both"/>
        <w:rPr>
          <w:bCs/>
          <w:iCs/>
          <w:sz w:val="28"/>
          <w:szCs w:val="28"/>
        </w:rPr>
      </w:pPr>
    </w:p>
    <w:p w14:paraId="77BD59C3" w14:textId="14067402" w:rsidR="003D660C" w:rsidRPr="002E42F1" w:rsidRDefault="0057580F" w:rsidP="0037736B">
      <w:pPr>
        <w:pStyle w:val="NoSpacing"/>
        <w:jc w:val="right"/>
        <w:rPr>
          <w:bCs/>
          <w:iCs/>
          <w:sz w:val="28"/>
          <w:szCs w:val="28"/>
        </w:rPr>
      </w:pPr>
      <w:r w:rsidRPr="002E42F1">
        <w:rPr>
          <w:bCs/>
          <w:iCs/>
          <w:sz w:val="28"/>
          <w:szCs w:val="28"/>
        </w:rPr>
        <w:lastRenderedPageBreak/>
        <w:t>10</w:t>
      </w:r>
      <w:r w:rsidR="003D660C" w:rsidRPr="002E42F1">
        <w:rPr>
          <w:bCs/>
          <w:iCs/>
          <w:sz w:val="28"/>
          <w:szCs w:val="28"/>
        </w:rPr>
        <w:t>. attēls</w:t>
      </w:r>
    </w:p>
    <w:p w14:paraId="36298607" w14:textId="0A729FB7" w:rsidR="003D660C" w:rsidRPr="002E42F1" w:rsidRDefault="00DF7DB1" w:rsidP="0037736B">
      <w:pPr>
        <w:pStyle w:val="NoSpacing"/>
        <w:jc w:val="center"/>
        <w:rPr>
          <w:bCs/>
          <w:iCs/>
          <w:sz w:val="28"/>
          <w:szCs w:val="28"/>
        </w:rPr>
      </w:pPr>
      <w:r w:rsidRPr="002E42F1">
        <w:rPr>
          <w:bCs/>
          <w:iCs/>
          <w:sz w:val="28"/>
          <w:szCs w:val="28"/>
        </w:rPr>
        <w:t xml:space="preserve">MK noteikumu obligātu un </w:t>
      </w:r>
      <w:r w:rsidR="009B2FFF" w:rsidRPr="002E42F1">
        <w:rPr>
          <w:bCs/>
          <w:iCs/>
          <w:sz w:val="28"/>
          <w:szCs w:val="28"/>
        </w:rPr>
        <w:t>brīvprātīgi piemērojamo</w:t>
      </w:r>
      <w:r w:rsidRPr="002E42F1">
        <w:rPr>
          <w:bCs/>
          <w:iCs/>
          <w:sz w:val="28"/>
          <w:szCs w:val="28"/>
        </w:rPr>
        <w:t xml:space="preserve"> grupu </w:t>
      </w:r>
      <w:r w:rsidR="003D660C" w:rsidRPr="002E42F1">
        <w:rPr>
          <w:bCs/>
          <w:iCs/>
          <w:sz w:val="28"/>
          <w:szCs w:val="28"/>
        </w:rPr>
        <w:t xml:space="preserve">ZPI dinamika </w:t>
      </w:r>
    </w:p>
    <w:p w14:paraId="72077B81" w14:textId="77F1362C" w:rsidR="003D660C" w:rsidRPr="002E42F1" w:rsidRDefault="003D660C" w:rsidP="0037736B">
      <w:pPr>
        <w:pStyle w:val="NoSpacing"/>
        <w:jc w:val="center"/>
        <w:rPr>
          <w:bCs/>
          <w:iCs/>
          <w:sz w:val="28"/>
          <w:szCs w:val="28"/>
        </w:rPr>
      </w:pPr>
      <w:r w:rsidRPr="002E42F1">
        <w:rPr>
          <w:bCs/>
          <w:iCs/>
          <w:sz w:val="28"/>
          <w:szCs w:val="28"/>
        </w:rPr>
        <w:t>2015.</w:t>
      </w:r>
      <w:r w:rsidR="00C16966" w:rsidRPr="002E42F1">
        <w:rPr>
          <w:bCs/>
          <w:iCs/>
          <w:sz w:val="28"/>
          <w:szCs w:val="28"/>
        </w:rPr>
        <w:t xml:space="preserve"> – </w:t>
      </w:r>
      <w:r w:rsidRPr="002E42F1">
        <w:rPr>
          <w:bCs/>
          <w:iCs/>
          <w:sz w:val="28"/>
          <w:szCs w:val="28"/>
        </w:rPr>
        <w:t>2019.</w:t>
      </w:r>
      <w:r w:rsidR="00C16966" w:rsidRPr="002E42F1">
        <w:rPr>
          <w:bCs/>
          <w:iCs/>
          <w:sz w:val="28"/>
          <w:szCs w:val="28"/>
        </w:rPr>
        <w:t xml:space="preserve"> </w:t>
      </w:r>
      <w:r w:rsidRPr="002E42F1">
        <w:rPr>
          <w:bCs/>
          <w:iCs/>
          <w:sz w:val="28"/>
          <w:szCs w:val="28"/>
        </w:rPr>
        <w:t>gadā (milj. EUR bez PVN)</w:t>
      </w:r>
    </w:p>
    <w:p w14:paraId="4FD6E2CC" w14:textId="4B232B66" w:rsidR="003D660C" w:rsidRPr="002E42F1" w:rsidRDefault="003D660C" w:rsidP="006C282B">
      <w:pPr>
        <w:pStyle w:val="NoSpacing"/>
        <w:jc w:val="both"/>
        <w:rPr>
          <w:bCs/>
          <w:iCs/>
          <w:sz w:val="28"/>
          <w:szCs w:val="28"/>
        </w:rPr>
      </w:pPr>
    </w:p>
    <w:p w14:paraId="7FACA068" w14:textId="0A17BC0D" w:rsidR="003D660C" w:rsidRPr="002E42F1" w:rsidRDefault="003A79F1" w:rsidP="00AE018D">
      <w:pPr>
        <w:pStyle w:val="NoSpacing"/>
        <w:jc w:val="center"/>
        <w:rPr>
          <w:bCs/>
          <w:iCs/>
          <w:sz w:val="28"/>
          <w:szCs w:val="28"/>
        </w:rPr>
      </w:pPr>
      <w:r w:rsidRPr="002E42F1">
        <w:rPr>
          <w:noProof/>
          <w:sz w:val="28"/>
          <w:szCs w:val="28"/>
        </w:rPr>
        <w:drawing>
          <wp:inline distT="0" distB="0" distL="0" distR="0" wp14:anchorId="173C94F4" wp14:editId="0B31F7B0">
            <wp:extent cx="4577952" cy="228838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FFE793" w14:textId="77777777" w:rsidR="003D660C" w:rsidRPr="002E42F1" w:rsidRDefault="003D660C" w:rsidP="006C282B">
      <w:pPr>
        <w:pStyle w:val="NoSpacing"/>
        <w:jc w:val="both"/>
        <w:rPr>
          <w:bCs/>
          <w:iCs/>
          <w:sz w:val="28"/>
          <w:szCs w:val="28"/>
        </w:rPr>
      </w:pPr>
      <w:r w:rsidRPr="002E42F1">
        <w:rPr>
          <w:bCs/>
          <w:iCs/>
          <w:sz w:val="28"/>
          <w:szCs w:val="28"/>
        </w:rPr>
        <w:t>Avots: IUB dati</w:t>
      </w:r>
    </w:p>
    <w:p w14:paraId="034CAC66" w14:textId="2ACA025F" w:rsidR="003D660C" w:rsidRPr="002E42F1" w:rsidRDefault="003D660C" w:rsidP="006C282B">
      <w:pPr>
        <w:pStyle w:val="NoSpacing"/>
        <w:jc w:val="both"/>
        <w:rPr>
          <w:bCs/>
          <w:iCs/>
          <w:sz w:val="28"/>
          <w:szCs w:val="28"/>
        </w:rPr>
      </w:pPr>
    </w:p>
    <w:p w14:paraId="0692A1F4" w14:textId="0F52F389" w:rsidR="0037509E" w:rsidRPr="002E42F1" w:rsidRDefault="00BD2C02" w:rsidP="0037736B">
      <w:pPr>
        <w:pStyle w:val="NoSpacing"/>
        <w:ind w:firstLine="720"/>
        <w:jc w:val="both"/>
        <w:rPr>
          <w:sz w:val="28"/>
          <w:szCs w:val="28"/>
        </w:rPr>
      </w:pPr>
      <w:r w:rsidRPr="002E42F1">
        <w:rPr>
          <w:sz w:val="28"/>
          <w:szCs w:val="28"/>
        </w:rPr>
        <w:t xml:space="preserve">Skatot ZPI </w:t>
      </w:r>
      <w:r w:rsidR="00D57545" w:rsidRPr="002E42F1">
        <w:rPr>
          <w:sz w:val="28"/>
          <w:szCs w:val="28"/>
        </w:rPr>
        <w:t>piemērošanas</w:t>
      </w:r>
      <w:r w:rsidRPr="002E42F1">
        <w:rPr>
          <w:sz w:val="28"/>
          <w:szCs w:val="28"/>
        </w:rPr>
        <w:t xml:space="preserve"> progresu no piegādātāju puses, š</w:t>
      </w:r>
      <w:r w:rsidR="000706DD" w:rsidRPr="002E42F1">
        <w:rPr>
          <w:sz w:val="28"/>
          <w:szCs w:val="28"/>
        </w:rPr>
        <w:t>obrīd nav iespējams izvērtēt tos piegādātāju</w:t>
      </w:r>
      <w:r w:rsidR="005847EF" w:rsidRPr="002E42F1">
        <w:rPr>
          <w:sz w:val="28"/>
          <w:szCs w:val="28"/>
        </w:rPr>
        <w:t>s</w:t>
      </w:r>
      <w:r w:rsidR="00E862A4" w:rsidRPr="002E42F1">
        <w:rPr>
          <w:sz w:val="28"/>
          <w:szCs w:val="28"/>
        </w:rPr>
        <w:t xml:space="preserve">, kas uzvarējuši finansiāli lielākos iepirkumos (ar </w:t>
      </w:r>
      <w:r w:rsidR="00DE5D61" w:rsidRPr="002E42F1">
        <w:rPr>
          <w:sz w:val="28"/>
          <w:szCs w:val="28"/>
        </w:rPr>
        <w:t xml:space="preserve">ZPI </w:t>
      </w:r>
      <w:r w:rsidR="00E862A4" w:rsidRPr="002E42F1">
        <w:rPr>
          <w:sz w:val="28"/>
          <w:szCs w:val="28"/>
        </w:rPr>
        <w:t>principiem)</w:t>
      </w:r>
      <w:r w:rsidR="00DA0642" w:rsidRPr="002E42F1">
        <w:rPr>
          <w:sz w:val="28"/>
          <w:szCs w:val="28"/>
        </w:rPr>
        <w:t>,</w:t>
      </w:r>
      <w:r w:rsidR="000706DD" w:rsidRPr="002E42F1">
        <w:rPr>
          <w:sz w:val="28"/>
          <w:szCs w:val="28"/>
        </w:rPr>
        <w:t xml:space="preserve"> jo publikācijās, kur uzvarētājs ir personu apvienība, tiek norādīti visi apvienības dalībnieki, bet ir zināma tikai iepirkuma kopējā līgumsumma</w:t>
      </w:r>
      <w:r w:rsidR="005847EF" w:rsidRPr="002E42F1">
        <w:rPr>
          <w:sz w:val="28"/>
          <w:szCs w:val="28"/>
        </w:rPr>
        <w:t>.</w:t>
      </w:r>
      <w:r w:rsidR="000706DD" w:rsidRPr="002E42F1">
        <w:rPr>
          <w:sz w:val="28"/>
          <w:szCs w:val="28"/>
        </w:rPr>
        <w:t xml:space="preserve"> </w:t>
      </w:r>
      <w:r w:rsidR="005847EF" w:rsidRPr="002E42F1">
        <w:rPr>
          <w:sz w:val="28"/>
          <w:szCs w:val="28"/>
        </w:rPr>
        <w:t>L</w:t>
      </w:r>
      <w:r w:rsidR="000706DD" w:rsidRPr="002E42F1">
        <w:rPr>
          <w:sz w:val="28"/>
          <w:szCs w:val="28"/>
        </w:rPr>
        <w:t>īdz ar to dati par uzņēmumiem, kas uzvarējuši finansiāli lielākos iepirkumus, būs neprecīzi, jo katram apvienības dalībniekam tiek atlasīta šī</w:t>
      </w:r>
      <w:r w:rsidR="001671F0" w:rsidRPr="002E42F1">
        <w:rPr>
          <w:sz w:val="28"/>
          <w:szCs w:val="28"/>
        </w:rPr>
        <w:t xml:space="preserve"> </w:t>
      </w:r>
      <w:r w:rsidR="000706DD" w:rsidRPr="002E42F1">
        <w:rPr>
          <w:sz w:val="28"/>
          <w:szCs w:val="28"/>
        </w:rPr>
        <w:t>iepirkuma kopējā līgumsumma.</w:t>
      </w:r>
      <w:r w:rsidR="000706DD" w:rsidRPr="002E42F1">
        <w:rPr>
          <w:sz w:val="28"/>
          <w:szCs w:val="28"/>
        </w:rPr>
        <w:tab/>
      </w:r>
    </w:p>
    <w:p w14:paraId="340357D1" w14:textId="56297A4A" w:rsidR="002F7E02" w:rsidRPr="002E42F1" w:rsidRDefault="000706DD" w:rsidP="0037736B">
      <w:pPr>
        <w:pStyle w:val="NoSpacing"/>
        <w:ind w:firstLine="720"/>
        <w:jc w:val="both"/>
        <w:rPr>
          <w:sz w:val="28"/>
          <w:szCs w:val="28"/>
        </w:rPr>
      </w:pPr>
      <w:r w:rsidRPr="002E42F1">
        <w:rPr>
          <w:sz w:val="28"/>
          <w:szCs w:val="28"/>
        </w:rPr>
        <w:t>Izvērtējot uzņēmumus p</w:t>
      </w:r>
      <w:r w:rsidR="006A6EE7" w:rsidRPr="002E42F1">
        <w:rPr>
          <w:sz w:val="28"/>
          <w:szCs w:val="28"/>
        </w:rPr>
        <w:t>ē</w:t>
      </w:r>
      <w:r w:rsidR="0037509E" w:rsidRPr="002E42F1">
        <w:rPr>
          <w:sz w:val="28"/>
          <w:szCs w:val="28"/>
        </w:rPr>
        <w:t xml:space="preserve">c iepirkumu daļu skaita, </w:t>
      </w:r>
      <w:r w:rsidR="00A6639F" w:rsidRPr="002E42F1">
        <w:rPr>
          <w:sz w:val="28"/>
          <w:szCs w:val="28"/>
        </w:rPr>
        <w:t xml:space="preserve">var redzēt, ka pēc iepirkumu daļu skaita nozīmīgākie uzņēmumi </w:t>
      </w:r>
      <w:r w:rsidR="0037509E" w:rsidRPr="002E42F1">
        <w:rPr>
          <w:sz w:val="28"/>
          <w:szCs w:val="28"/>
        </w:rPr>
        <w:t>ir</w:t>
      </w:r>
      <w:r w:rsidR="006A6EE7" w:rsidRPr="002E42F1">
        <w:rPr>
          <w:sz w:val="28"/>
          <w:szCs w:val="28"/>
        </w:rPr>
        <w:t xml:space="preserve"> pārtikas produktu izplatītāji. To parāda </w:t>
      </w:r>
      <w:r w:rsidR="008F6481" w:rsidRPr="002E42F1">
        <w:rPr>
          <w:sz w:val="28"/>
          <w:szCs w:val="28"/>
        </w:rPr>
        <w:t>6</w:t>
      </w:r>
      <w:r w:rsidR="006A6EE7" w:rsidRPr="002E42F1">
        <w:rPr>
          <w:sz w:val="28"/>
          <w:szCs w:val="28"/>
        </w:rPr>
        <w:t>. tabula.</w:t>
      </w:r>
    </w:p>
    <w:p w14:paraId="361D42BB" w14:textId="56E2AF8F" w:rsidR="00C54958" w:rsidRPr="002E42F1" w:rsidRDefault="00E65FF2" w:rsidP="00AE018D">
      <w:pPr>
        <w:pStyle w:val="NoSpacing"/>
        <w:jc w:val="right"/>
        <w:rPr>
          <w:bCs/>
          <w:iCs/>
          <w:sz w:val="28"/>
          <w:szCs w:val="28"/>
        </w:rPr>
      </w:pPr>
      <w:r w:rsidRPr="002E42F1">
        <w:rPr>
          <w:bCs/>
          <w:iCs/>
          <w:sz w:val="28"/>
          <w:szCs w:val="28"/>
        </w:rPr>
        <w:t>6</w:t>
      </w:r>
      <w:r w:rsidR="005076F4" w:rsidRPr="002E42F1">
        <w:rPr>
          <w:bCs/>
          <w:iCs/>
          <w:sz w:val="28"/>
          <w:szCs w:val="28"/>
        </w:rPr>
        <w:t>.</w:t>
      </w:r>
      <w:r w:rsidR="00AB10F2" w:rsidRPr="002E42F1">
        <w:rPr>
          <w:bCs/>
          <w:iCs/>
          <w:sz w:val="28"/>
          <w:szCs w:val="28"/>
        </w:rPr>
        <w:t xml:space="preserve"> tabula</w:t>
      </w:r>
    </w:p>
    <w:p w14:paraId="261F80E3" w14:textId="77777777" w:rsidR="00D0619D" w:rsidRPr="002E42F1" w:rsidRDefault="00C54958" w:rsidP="00AE018D">
      <w:pPr>
        <w:pStyle w:val="NoSpacing"/>
        <w:jc w:val="center"/>
        <w:rPr>
          <w:bCs/>
          <w:iCs/>
          <w:sz w:val="28"/>
          <w:szCs w:val="28"/>
        </w:rPr>
      </w:pPr>
      <w:r w:rsidRPr="002E42F1">
        <w:rPr>
          <w:bCs/>
          <w:iCs/>
          <w:sz w:val="28"/>
          <w:szCs w:val="28"/>
        </w:rPr>
        <w:t xml:space="preserve">"TOP 10" </w:t>
      </w:r>
      <w:r w:rsidR="00AD5617" w:rsidRPr="002E42F1">
        <w:rPr>
          <w:bCs/>
          <w:iCs/>
          <w:sz w:val="28"/>
          <w:szCs w:val="28"/>
        </w:rPr>
        <w:t>uzņēmumi, kas uzvarējuši pēc iepirkumu daļu skaita</w:t>
      </w:r>
    </w:p>
    <w:p w14:paraId="1B95E278" w14:textId="3A89D2B7" w:rsidR="006B6E7F" w:rsidRPr="002E42F1" w:rsidRDefault="00D0619D" w:rsidP="00AE018D">
      <w:pPr>
        <w:pStyle w:val="NoSpacing"/>
        <w:jc w:val="center"/>
        <w:rPr>
          <w:bCs/>
          <w:iCs/>
          <w:sz w:val="28"/>
          <w:szCs w:val="28"/>
        </w:rPr>
      </w:pPr>
      <w:r w:rsidRPr="002E42F1">
        <w:rPr>
          <w:bCs/>
          <w:iCs/>
          <w:sz w:val="28"/>
          <w:szCs w:val="28"/>
        </w:rPr>
        <w:t>2019</w:t>
      </w:r>
      <w:r w:rsidR="00AD5617" w:rsidRPr="002E42F1">
        <w:rPr>
          <w:bCs/>
          <w:iCs/>
          <w:sz w:val="28"/>
          <w:szCs w:val="28"/>
        </w:rPr>
        <w:t xml:space="preserve">. gadā </w:t>
      </w:r>
      <w:r w:rsidR="00C54958" w:rsidRPr="002E42F1">
        <w:rPr>
          <w:bCs/>
          <w:iCs/>
          <w:sz w:val="28"/>
          <w:szCs w:val="28"/>
        </w:rPr>
        <w:t>(</w:t>
      </w:r>
      <w:r w:rsidRPr="002E42F1">
        <w:rPr>
          <w:bCs/>
          <w:iCs/>
          <w:sz w:val="28"/>
          <w:szCs w:val="28"/>
        </w:rPr>
        <w:t xml:space="preserve">iepirkumi ar </w:t>
      </w:r>
      <w:r w:rsidR="000B58F1" w:rsidRPr="002E42F1">
        <w:rPr>
          <w:bCs/>
          <w:iCs/>
          <w:sz w:val="28"/>
          <w:szCs w:val="28"/>
        </w:rPr>
        <w:t>ZPI</w:t>
      </w:r>
      <w:r w:rsidR="00C54958" w:rsidRPr="002E42F1">
        <w:rPr>
          <w:bCs/>
          <w:iCs/>
          <w:sz w:val="28"/>
          <w:szCs w:val="28"/>
        </w:rPr>
        <w:t xml:space="preserve"> principiem)</w:t>
      </w:r>
    </w:p>
    <w:p w14:paraId="54658DEC" w14:textId="77777777" w:rsidR="0000187A" w:rsidRPr="002E42F1" w:rsidRDefault="0000187A" w:rsidP="006C282B">
      <w:pPr>
        <w:pStyle w:val="NoSpacing"/>
        <w:jc w:val="both"/>
        <w:rPr>
          <w:bCs/>
          <w:iCs/>
          <w:sz w:val="28"/>
          <w:szCs w:val="28"/>
        </w:rPr>
      </w:pPr>
    </w:p>
    <w:tbl>
      <w:tblPr>
        <w:tblW w:w="9061" w:type="dxa"/>
        <w:tblLook w:val="04A0" w:firstRow="1" w:lastRow="0" w:firstColumn="1" w:lastColumn="0" w:noHBand="0" w:noVBand="1"/>
      </w:tblPr>
      <w:tblGrid>
        <w:gridCol w:w="4390"/>
        <w:gridCol w:w="2409"/>
        <w:gridCol w:w="2262"/>
      </w:tblGrid>
      <w:tr w:rsidR="002E42F1" w:rsidRPr="002E42F1" w14:paraId="229101D9" w14:textId="34A35AAB" w:rsidTr="00AE018D">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D951" w14:textId="596188E3" w:rsidR="00711178" w:rsidRPr="002E42F1" w:rsidRDefault="00711178" w:rsidP="00AE018D">
            <w:pPr>
              <w:pStyle w:val="NoSpacing"/>
              <w:jc w:val="center"/>
            </w:pPr>
            <w:r w:rsidRPr="002E42F1">
              <w:t>Uzvarējušā uzņēmuma nosaukums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60ED869" w14:textId="77777777" w:rsidR="00711178" w:rsidRPr="002E42F1" w:rsidRDefault="00711178" w:rsidP="00AE018D">
            <w:pPr>
              <w:pStyle w:val="NoSpacing"/>
              <w:jc w:val="center"/>
            </w:pPr>
            <w:r w:rsidRPr="002E42F1">
              <w:t>Iepirkumu daļu skaits</w:t>
            </w:r>
          </w:p>
        </w:tc>
        <w:tc>
          <w:tcPr>
            <w:tcW w:w="2262" w:type="dxa"/>
            <w:tcBorders>
              <w:top w:val="single" w:sz="4" w:space="0" w:color="auto"/>
              <w:left w:val="nil"/>
              <w:bottom w:val="single" w:sz="4" w:space="0" w:color="auto"/>
              <w:right w:val="single" w:sz="4" w:space="0" w:color="auto"/>
            </w:tcBorders>
            <w:vAlign w:val="center"/>
          </w:tcPr>
          <w:p w14:paraId="79DA1388" w14:textId="78BB0D1E" w:rsidR="00711178" w:rsidRPr="002E42F1" w:rsidRDefault="00711178" w:rsidP="00AE018D">
            <w:pPr>
              <w:pStyle w:val="NoSpacing"/>
              <w:jc w:val="center"/>
            </w:pPr>
            <w:r w:rsidRPr="002E42F1">
              <w:t>Uzņēmums bijis arī 2018.g. “TOP 10”</w:t>
            </w:r>
          </w:p>
        </w:tc>
      </w:tr>
      <w:tr w:rsidR="002E42F1" w:rsidRPr="002E42F1" w14:paraId="18248CD6" w14:textId="3E2C3833"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118D3A7" w14:textId="77777777" w:rsidR="00711178" w:rsidRPr="002E42F1" w:rsidRDefault="00711178" w:rsidP="006C282B">
            <w:pPr>
              <w:pStyle w:val="NoSpacing"/>
              <w:jc w:val="both"/>
            </w:pPr>
            <w:r w:rsidRPr="002E42F1">
              <w:t>SIA "Sanitex"</w:t>
            </w:r>
          </w:p>
        </w:tc>
        <w:tc>
          <w:tcPr>
            <w:tcW w:w="2409" w:type="dxa"/>
            <w:tcBorders>
              <w:top w:val="nil"/>
              <w:left w:val="nil"/>
              <w:bottom w:val="single" w:sz="4" w:space="0" w:color="auto"/>
              <w:right w:val="single" w:sz="4" w:space="0" w:color="auto"/>
            </w:tcBorders>
            <w:shd w:val="clear" w:color="auto" w:fill="auto"/>
            <w:noWrap/>
            <w:vAlign w:val="center"/>
            <w:hideMark/>
          </w:tcPr>
          <w:p w14:paraId="107CA076" w14:textId="77777777" w:rsidR="00711178" w:rsidRPr="002E42F1" w:rsidRDefault="00711178" w:rsidP="00AE018D">
            <w:pPr>
              <w:pStyle w:val="NoSpacing"/>
              <w:jc w:val="center"/>
            </w:pPr>
            <w:r w:rsidRPr="002E42F1">
              <w:t>247</w:t>
            </w:r>
          </w:p>
        </w:tc>
        <w:tc>
          <w:tcPr>
            <w:tcW w:w="2262" w:type="dxa"/>
            <w:tcBorders>
              <w:top w:val="nil"/>
              <w:left w:val="nil"/>
              <w:bottom w:val="single" w:sz="4" w:space="0" w:color="auto"/>
              <w:right w:val="single" w:sz="4" w:space="0" w:color="auto"/>
            </w:tcBorders>
            <w:vAlign w:val="center"/>
          </w:tcPr>
          <w:p w14:paraId="4174D6AB" w14:textId="365DE1EC" w:rsidR="00711178" w:rsidRPr="002E42F1" w:rsidRDefault="00711178" w:rsidP="00AE018D">
            <w:pPr>
              <w:pStyle w:val="NoSpacing"/>
              <w:jc w:val="center"/>
            </w:pPr>
            <w:r w:rsidRPr="002E42F1">
              <w:t>X</w:t>
            </w:r>
          </w:p>
        </w:tc>
      </w:tr>
      <w:tr w:rsidR="002E42F1" w:rsidRPr="002E42F1" w14:paraId="30FC63B5" w14:textId="3A5C254E"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D3BA989" w14:textId="77777777" w:rsidR="00711178" w:rsidRPr="002E42F1" w:rsidRDefault="00711178" w:rsidP="006C282B">
            <w:pPr>
              <w:pStyle w:val="NoSpacing"/>
              <w:jc w:val="both"/>
            </w:pPr>
            <w:r w:rsidRPr="002E42F1">
              <w:t>SIA "Kabuleti fruit"</w:t>
            </w:r>
          </w:p>
        </w:tc>
        <w:tc>
          <w:tcPr>
            <w:tcW w:w="2409" w:type="dxa"/>
            <w:tcBorders>
              <w:top w:val="nil"/>
              <w:left w:val="nil"/>
              <w:bottom w:val="single" w:sz="4" w:space="0" w:color="auto"/>
              <w:right w:val="single" w:sz="4" w:space="0" w:color="auto"/>
            </w:tcBorders>
            <w:shd w:val="clear" w:color="auto" w:fill="auto"/>
            <w:noWrap/>
            <w:vAlign w:val="center"/>
            <w:hideMark/>
          </w:tcPr>
          <w:p w14:paraId="04E3C4AA" w14:textId="77777777" w:rsidR="00711178" w:rsidRPr="002E42F1" w:rsidRDefault="00711178" w:rsidP="00AE018D">
            <w:pPr>
              <w:pStyle w:val="NoSpacing"/>
              <w:jc w:val="center"/>
            </w:pPr>
            <w:r w:rsidRPr="002E42F1">
              <w:t>107</w:t>
            </w:r>
          </w:p>
        </w:tc>
        <w:tc>
          <w:tcPr>
            <w:tcW w:w="2262" w:type="dxa"/>
            <w:tcBorders>
              <w:top w:val="nil"/>
              <w:left w:val="nil"/>
              <w:bottom w:val="single" w:sz="4" w:space="0" w:color="auto"/>
              <w:right w:val="single" w:sz="4" w:space="0" w:color="auto"/>
            </w:tcBorders>
            <w:vAlign w:val="center"/>
          </w:tcPr>
          <w:p w14:paraId="7C0FEA3D" w14:textId="2826339D" w:rsidR="00711178" w:rsidRPr="002E42F1" w:rsidRDefault="00711178" w:rsidP="00AE018D">
            <w:pPr>
              <w:pStyle w:val="NoSpacing"/>
              <w:jc w:val="center"/>
            </w:pPr>
            <w:r w:rsidRPr="002E42F1">
              <w:t>X</w:t>
            </w:r>
          </w:p>
        </w:tc>
      </w:tr>
      <w:tr w:rsidR="002E42F1" w:rsidRPr="002E42F1" w14:paraId="585C5876" w14:textId="099A1C40"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D89E833" w14:textId="77777777" w:rsidR="00711178" w:rsidRPr="002E42F1" w:rsidRDefault="00711178" w:rsidP="006C282B">
            <w:pPr>
              <w:pStyle w:val="NoSpacing"/>
              <w:jc w:val="both"/>
            </w:pPr>
            <w:r w:rsidRPr="002E42F1">
              <w:t>SIA "Laki Fruit"</w:t>
            </w:r>
          </w:p>
        </w:tc>
        <w:tc>
          <w:tcPr>
            <w:tcW w:w="2409" w:type="dxa"/>
            <w:tcBorders>
              <w:top w:val="nil"/>
              <w:left w:val="nil"/>
              <w:bottom w:val="single" w:sz="4" w:space="0" w:color="auto"/>
              <w:right w:val="single" w:sz="4" w:space="0" w:color="auto"/>
            </w:tcBorders>
            <w:shd w:val="clear" w:color="auto" w:fill="auto"/>
            <w:noWrap/>
            <w:vAlign w:val="center"/>
            <w:hideMark/>
          </w:tcPr>
          <w:p w14:paraId="0E9DD761" w14:textId="77777777" w:rsidR="00711178" w:rsidRPr="002E42F1" w:rsidRDefault="00711178" w:rsidP="00AE018D">
            <w:pPr>
              <w:pStyle w:val="NoSpacing"/>
              <w:jc w:val="center"/>
            </w:pPr>
            <w:r w:rsidRPr="002E42F1">
              <w:t>73</w:t>
            </w:r>
          </w:p>
        </w:tc>
        <w:tc>
          <w:tcPr>
            <w:tcW w:w="2262" w:type="dxa"/>
            <w:tcBorders>
              <w:top w:val="nil"/>
              <w:left w:val="nil"/>
              <w:bottom w:val="single" w:sz="4" w:space="0" w:color="auto"/>
              <w:right w:val="single" w:sz="4" w:space="0" w:color="auto"/>
            </w:tcBorders>
            <w:vAlign w:val="center"/>
          </w:tcPr>
          <w:p w14:paraId="783A80EA" w14:textId="1BF79222" w:rsidR="00711178" w:rsidRPr="002E42F1" w:rsidRDefault="00711178" w:rsidP="00AE018D">
            <w:pPr>
              <w:pStyle w:val="NoSpacing"/>
              <w:jc w:val="center"/>
            </w:pPr>
            <w:r w:rsidRPr="002E42F1">
              <w:t>X</w:t>
            </w:r>
          </w:p>
        </w:tc>
      </w:tr>
      <w:tr w:rsidR="002E42F1" w:rsidRPr="002E42F1" w14:paraId="35520C34" w14:textId="77707DA7"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9BA97DB" w14:textId="77777777" w:rsidR="00711178" w:rsidRPr="002E42F1" w:rsidRDefault="00711178" w:rsidP="006C282B">
            <w:pPr>
              <w:pStyle w:val="NoSpacing"/>
              <w:jc w:val="both"/>
            </w:pPr>
            <w:r w:rsidRPr="002E42F1">
              <w:t>SIA "Marijas centrs"</w:t>
            </w:r>
          </w:p>
        </w:tc>
        <w:tc>
          <w:tcPr>
            <w:tcW w:w="2409" w:type="dxa"/>
            <w:tcBorders>
              <w:top w:val="nil"/>
              <w:left w:val="nil"/>
              <w:bottom w:val="single" w:sz="4" w:space="0" w:color="auto"/>
              <w:right w:val="single" w:sz="4" w:space="0" w:color="auto"/>
            </w:tcBorders>
            <w:shd w:val="clear" w:color="auto" w:fill="auto"/>
            <w:noWrap/>
            <w:vAlign w:val="center"/>
            <w:hideMark/>
          </w:tcPr>
          <w:p w14:paraId="3660A977" w14:textId="77777777" w:rsidR="00711178" w:rsidRPr="002E42F1" w:rsidRDefault="00711178" w:rsidP="00AE018D">
            <w:pPr>
              <w:pStyle w:val="NoSpacing"/>
              <w:jc w:val="center"/>
            </w:pPr>
            <w:r w:rsidRPr="002E42F1">
              <w:t>68</w:t>
            </w:r>
          </w:p>
        </w:tc>
        <w:tc>
          <w:tcPr>
            <w:tcW w:w="2262" w:type="dxa"/>
            <w:tcBorders>
              <w:top w:val="nil"/>
              <w:left w:val="nil"/>
              <w:bottom w:val="single" w:sz="4" w:space="0" w:color="auto"/>
              <w:right w:val="single" w:sz="4" w:space="0" w:color="auto"/>
            </w:tcBorders>
            <w:vAlign w:val="center"/>
          </w:tcPr>
          <w:p w14:paraId="31915832" w14:textId="77777777" w:rsidR="00711178" w:rsidRPr="002E42F1" w:rsidRDefault="00711178" w:rsidP="00AE018D">
            <w:pPr>
              <w:pStyle w:val="NoSpacing"/>
              <w:jc w:val="center"/>
            </w:pPr>
          </w:p>
        </w:tc>
      </w:tr>
      <w:tr w:rsidR="002E42F1" w:rsidRPr="002E42F1" w14:paraId="08FECAAA" w14:textId="2FF138A0"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7AAF5CB" w14:textId="77777777" w:rsidR="00711178" w:rsidRPr="002E42F1" w:rsidRDefault="00711178" w:rsidP="006C282B">
            <w:pPr>
              <w:pStyle w:val="NoSpacing"/>
              <w:jc w:val="both"/>
            </w:pPr>
            <w:r w:rsidRPr="002E42F1">
              <w:t>SIA "Lietas MD"</w:t>
            </w:r>
          </w:p>
        </w:tc>
        <w:tc>
          <w:tcPr>
            <w:tcW w:w="2409" w:type="dxa"/>
            <w:tcBorders>
              <w:top w:val="nil"/>
              <w:left w:val="nil"/>
              <w:bottom w:val="single" w:sz="4" w:space="0" w:color="auto"/>
              <w:right w:val="single" w:sz="4" w:space="0" w:color="auto"/>
            </w:tcBorders>
            <w:shd w:val="clear" w:color="auto" w:fill="auto"/>
            <w:noWrap/>
            <w:vAlign w:val="center"/>
            <w:hideMark/>
          </w:tcPr>
          <w:p w14:paraId="64A42A7C" w14:textId="77777777" w:rsidR="00711178" w:rsidRPr="002E42F1" w:rsidRDefault="00711178" w:rsidP="00AE018D">
            <w:pPr>
              <w:pStyle w:val="NoSpacing"/>
              <w:jc w:val="center"/>
            </w:pPr>
            <w:r w:rsidRPr="002E42F1">
              <w:t>61</w:t>
            </w:r>
          </w:p>
        </w:tc>
        <w:tc>
          <w:tcPr>
            <w:tcW w:w="2262" w:type="dxa"/>
            <w:tcBorders>
              <w:top w:val="nil"/>
              <w:left w:val="nil"/>
              <w:bottom w:val="single" w:sz="4" w:space="0" w:color="auto"/>
              <w:right w:val="single" w:sz="4" w:space="0" w:color="auto"/>
            </w:tcBorders>
            <w:vAlign w:val="center"/>
          </w:tcPr>
          <w:p w14:paraId="54163062" w14:textId="77777777" w:rsidR="00711178" w:rsidRPr="002E42F1" w:rsidRDefault="00711178" w:rsidP="00AE018D">
            <w:pPr>
              <w:pStyle w:val="NoSpacing"/>
              <w:jc w:val="center"/>
            </w:pPr>
          </w:p>
        </w:tc>
      </w:tr>
      <w:tr w:rsidR="002E42F1" w:rsidRPr="002E42F1" w14:paraId="5AFCCDC9" w14:textId="724B0CC5"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1B199A6" w14:textId="77777777" w:rsidR="00711178" w:rsidRPr="002E42F1" w:rsidRDefault="00711178" w:rsidP="006C282B">
            <w:pPr>
              <w:pStyle w:val="NoSpacing"/>
              <w:jc w:val="both"/>
            </w:pPr>
            <w:r w:rsidRPr="002E42F1">
              <w:t>SIA "Lanekss"</w:t>
            </w:r>
          </w:p>
        </w:tc>
        <w:tc>
          <w:tcPr>
            <w:tcW w:w="2409" w:type="dxa"/>
            <w:tcBorders>
              <w:top w:val="nil"/>
              <w:left w:val="nil"/>
              <w:bottom w:val="single" w:sz="4" w:space="0" w:color="auto"/>
              <w:right w:val="single" w:sz="4" w:space="0" w:color="auto"/>
            </w:tcBorders>
            <w:shd w:val="clear" w:color="auto" w:fill="auto"/>
            <w:noWrap/>
            <w:vAlign w:val="center"/>
            <w:hideMark/>
          </w:tcPr>
          <w:p w14:paraId="0560507F" w14:textId="77777777" w:rsidR="00711178" w:rsidRPr="002E42F1" w:rsidRDefault="00711178" w:rsidP="00AE018D">
            <w:pPr>
              <w:pStyle w:val="NoSpacing"/>
              <w:jc w:val="center"/>
            </w:pPr>
            <w:r w:rsidRPr="002E42F1">
              <w:t>57</w:t>
            </w:r>
          </w:p>
        </w:tc>
        <w:tc>
          <w:tcPr>
            <w:tcW w:w="2262" w:type="dxa"/>
            <w:tcBorders>
              <w:top w:val="nil"/>
              <w:left w:val="nil"/>
              <w:bottom w:val="single" w:sz="4" w:space="0" w:color="auto"/>
              <w:right w:val="single" w:sz="4" w:space="0" w:color="auto"/>
            </w:tcBorders>
            <w:vAlign w:val="center"/>
          </w:tcPr>
          <w:p w14:paraId="4435D45B" w14:textId="7A9D8F7B" w:rsidR="00711178" w:rsidRPr="002E42F1" w:rsidRDefault="00711178" w:rsidP="00AE018D">
            <w:pPr>
              <w:pStyle w:val="NoSpacing"/>
              <w:jc w:val="center"/>
            </w:pPr>
            <w:r w:rsidRPr="002E42F1">
              <w:t>X</w:t>
            </w:r>
          </w:p>
        </w:tc>
      </w:tr>
      <w:tr w:rsidR="002E42F1" w:rsidRPr="002E42F1" w14:paraId="2A3BF38C" w14:textId="60208B63"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F6F73F5" w14:textId="77777777" w:rsidR="00711178" w:rsidRPr="002E42F1" w:rsidRDefault="00711178" w:rsidP="006C282B">
            <w:pPr>
              <w:pStyle w:val="NoSpacing"/>
              <w:jc w:val="both"/>
            </w:pPr>
            <w:r w:rsidRPr="002E42F1">
              <w:t>SIA "Kurzemes Gaļsaimnieks"</w:t>
            </w:r>
          </w:p>
        </w:tc>
        <w:tc>
          <w:tcPr>
            <w:tcW w:w="2409" w:type="dxa"/>
            <w:tcBorders>
              <w:top w:val="nil"/>
              <w:left w:val="nil"/>
              <w:bottom w:val="single" w:sz="4" w:space="0" w:color="auto"/>
              <w:right w:val="single" w:sz="4" w:space="0" w:color="auto"/>
            </w:tcBorders>
            <w:shd w:val="clear" w:color="auto" w:fill="auto"/>
            <w:noWrap/>
            <w:vAlign w:val="center"/>
            <w:hideMark/>
          </w:tcPr>
          <w:p w14:paraId="61C052F9" w14:textId="77777777" w:rsidR="00711178" w:rsidRPr="002E42F1" w:rsidRDefault="00711178" w:rsidP="00AE018D">
            <w:pPr>
              <w:pStyle w:val="NoSpacing"/>
              <w:jc w:val="center"/>
            </w:pPr>
            <w:r w:rsidRPr="002E42F1">
              <w:t>50</w:t>
            </w:r>
          </w:p>
        </w:tc>
        <w:tc>
          <w:tcPr>
            <w:tcW w:w="2262" w:type="dxa"/>
            <w:tcBorders>
              <w:top w:val="nil"/>
              <w:left w:val="nil"/>
              <w:bottom w:val="single" w:sz="4" w:space="0" w:color="auto"/>
              <w:right w:val="single" w:sz="4" w:space="0" w:color="auto"/>
            </w:tcBorders>
            <w:vAlign w:val="center"/>
          </w:tcPr>
          <w:p w14:paraId="5B90371F" w14:textId="77777777" w:rsidR="00711178" w:rsidRPr="002E42F1" w:rsidRDefault="00711178" w:rsidP="00AE018D">
            <w:pPr>
              <w:pStyle w:val="NoSpacing"/>
              <w:jc w:val="center"/>
            </w:pPr>
          </w:p>
        </w:tc>
      </w:tr>
      <w:tr w:rsidR="002E42F1" w:rsidRPr="002E42F1" w14:paraId="49DD3F0E" w14:textId="469F7827"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8FB1A93" w14:textId="77777777" w:rsidR="00711178" w:rsidRPr="002E42F1" w:rsidRDefault="00711178" w:rsidP="006C282B">
            <w:pPr>
              <w:pStyle w:val="NoSpacing"/>
              <w:jc w:val="both"/>
            </w:pPr>
            <w:r w:rsidRPr="002E42F1">
              <w:t>SIA "Futurus Food"</w:t>
            </w:r>
          </w:p>
        </w:tc>
        <w:tc>
          <w:tcPr>
            <w:tcW w:w="2409" w:type="dxa"/>
            <w:tcBorders>
              <w:top w:val="nil"/>
              <w:left w:val="nil"/>
              <w:bottom w:val="single" w:sz="4" w:space="0" w:color="auto"/>
              <w:right w:val="single" w:sz="4" w:space="0" w:color="auto"/>
            </w:tcBorders>
            <w:shd w:val="clear" w:color="auto" w:fill="auto"/>
            <w:noWrap/>
            <w:vAlign w:val="center"/>
            <w:hideMark/>
          </w:tcPr>
          <w:p w14:paraId="343755A4" w14:textId="77777777" w:rsidR="00711178" w:rsidRPr="002E42F1" w:rsidRDefault="00711178" w:rsidP="00AE018D">
            <w:pPr>
              <w:pStyle w:val="NoSpacing"/>
              <w:jc w:val="center"/>
            </w:pPr>
            <w:r w:rsidRPr="002E42F1">
              <w:t>48</w:t>
            </w:r>
          </w:p>
        </w:tc>
        <w:tc>
          <w:tcPr>
            <w:tcW w:w="2262" w:type="dxa"/>
            <w:tcBorders>
              <w:top w:val="nil"/>
              <w:left w:val="nil"/>
              <w:bottom w:val="single" w:sz="4" w:space="0" w:color="auto"/>
              <w:right w:val="single" w:sz="4" w:space="0" w:color="auto"/>
            </w:tcBorders>
            <w:vAlign w:val="center"/>
          </w:tcPr>
          <w:p w14:paraId="6ED14C7A" w14:textId="17923828" w:rsidR="00711178" w:rsidRPr="002E42F1" w:rsidRDefault="00711178" w:rsidP="00AE018D">
            <w:pPr>
              <w:pStyle w:val="NoSpacing"/>
              <w:jc w:val="center"/>
            </w:pPr>
            <w:r w:rsidRPr="002E42F1">
              <w:t>X</w:t>
            </w:r>
          </w:p>
        </w:tc>
      </w:tr>
      <w:tr w:rsidR="002E42F1" w:rsidRPr="002E42F1" w14:paraId="2ED82220" w14:textId="6E6FDC21"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7C8EB0E" w14:textId="77777777" w:rsidR="00711178" w:rsidRPr="002E42F1" w:rsidRDefault="00711178" w:rsidP="006C282B">
            <w:pPr>
              <w:pStyle w:val="NoSpacing"/>
              <w:jc w:val="both"/>
            </w:pPr>
            <w:r w:rsidRPr="002E42F1">
              <w:t>SIA "Rēzeknes gaļas kombināts"</w:t>
            </w:r>
          </w:p>
        </w:tc>
        <w:tc>
          <w:tcPr>
            <w:tcW w:w="2409" w:type="dxa"/>
            <w:tcBorders>
              <w:top w:val="nil"/>
              <w:left w:val="nil"/>
              <w:bottom w:val="single" w:sz="4" w:space="0" w:color="auto"/>
              <w:right w:val="single" w:sz="4" w:space="0" w:color="auto"/>
            </w:tcBorders>
            <w:shd w:val="clear" w:color="auto" w:fill="auto"/>
            <w:noWrap/>
            <w:vAlign w:val="center"/>
            <w:hideMark/>
          </w:tcPr>
          <w:p w14:paraId="01EE524E" w14:textId="77777777" w:rsidR="00711178" w:rsidRPr="002E42F1" w:rsidRDefault="00711178" w:rsidP="00AE018D">
            <w:pPr>
              <w:pStyle w:val="NoSpacing"/>
              <w:jc w:val="center"/>
            </w:pPr>
            <w:r w:rsidRPr="002E42F1">
              <w:t>47</w:t>
            </w:r>
          </w:p>
        </w:tc>
        <w:tc>
          <w:tcPr>
            <w:tcW w:w="2262" w:type="dxa"/>
            <w:tcBorders>
              <w:top w:val="nil"/>
              <w:left w:val="nil"/>
              <w:bottom w:val="single" w:sz="4" w:space="0" w:color="auto"/>
              <w:right w:val="single" w:sz="4" w:space="0" w:color="auto"/>
            </w:tcBorders>
            <w:vAlign w:val="center"/>
          </w:tcPr>
          <w:p w14:paraId="545CC8E9" w14:textId="5C32CB68" w:rsidR="00711178" w:rsidRPr="002E42F1" w:rsidRDefault="00711178" w:rsidP="00AE018D">
            <w:pPr>
              <w:pStyle w:val="NoSpacing"/>
              <w:jc w:val="center"/>
            </w:pPr>
            <w:r w:rsidRPr="002E42F1">
              <w:t>X</w:t>
            </w:r>
          </w:p>
        </w:tc>
      </w:tr>
      <w:tr w:rsidR="002E42F1" w:rsidRPr="002E42F1" w14:paraId="27923954" w14:textId="06947448" w:rsidTr="00AE018D">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4A1EA6A" w14:textId="77777777" w:rsidR="00711178" w:rsidRPr="002E42F1" w:rsidRDefault="00711178" w:rsidP="006C282B">
            <w:pPr>
              <w:pStyle w:val="NoSpacing"/>
              <w:jc w:val="both"/>
            </w:pPr>
            <w:r w:rsidRPr="002E42F1">
              <w:t>SIA "Regat"</w:t>
            </w:r>
          </w:p>
        </w:tc>
        <w:tc>
          <w:tcPr>
            <w:tcW w:w="2409" w:type="dxa"/>
            <w:tcBorders>
              <w:top w:val="nil"/>
              <w:left w:val="nil"/>
              <w:bottom w:val="single" w:sz="4" w:space="0" w:color="auto"/>
              <w:right w:val="single" w:sz="4" w:space="0" w:color="auto"/>
            </w:tcBorders>
            <w:shd w:val="clear" w:color="auto" w:fill="auto"/>
            <w:noWrap/>
            <w:vAlign w:val="center"/>
            <w:hideMark/>
          </w:tcPr>
          <w:p w14:paraId="42AAA53F" w14:textId="77777777" w:rsidR="00711178" w:rsidRPr="002E42F1" w:rsidRDefault="00711178" w:rsidP="00AE018D">
            <w:pPr>
              <w:pStyle w:val="NoSpacing"/>
              <w:jc w:val="center"/>
            </w:pPr>
            <w:r w:rsidRPr="002E42F1">
              <w:t>42</w:t>
            </w:r>
          </w:p>
        </w:tc>
        <w:tc>
          <w:tcPr>
            <w:tcW w:w="2262" w:type="dxa"/>
            <w:tcBorders>
              <w:top w:val="nil"/>
              <w:left w:val="nil"/>
              <w:bottom w:val="single" w:sz="4" w:space="0" w:color="auto"/>
              <w:right w:val="single" w:sz="4" w:space="0" w:color="auto"/>
            </w:tcBorders>
            <w:vAlign w:val="center"/>
          </w:tcPr>
          <w:p w14:paraId="083D9546" w14:textId="3880D47B" w:rsidR="00711178" w:rsidRPr="002E42F1" w:rsidRDefault="00711178" w:rsidP="00AE018D">
            <w:pPr>
              <w:pStyle w:val="NoSpacing"/>
              <w:jc w:val="center"/>
            </w:pPr>
            <w:r w:rsidRPr="002E42F1">
              <w:t>X</w:t>
            </w:r>
          </w:p>
        </w:tc>
      </w:tr>
    </w:tbl>
    <w:p w14:paraId="397016F6" w14:textId="2D56E024" w:rsidR="00A266E2" w:rsidRPr="002E42F1" w:rsidRDefault="00160B9A" w:rsidP="006C282B">
      <w:pPr>
        <w:pStyle w:val="NoSpacing"/>
        <w:jc w:val="both"/>
        <w:rPr>
          <w:sz w:val="28"/>
          <w:szCs w:val="28"/>
        </w:rPr>
      </w:pPr>
      <w:r w:rsidRPr="002E42F1">
        <w:rPr>
          <w:sz w:val="28"/>
          <w:szCs w:val="28"/>
        </w:rPr>
        <w:t xml:space="preserve">Avots: </w:t>
      </w:r>
      <w:r w:rsidR="00A76D42" w:rsidRPr="002E42F1">
        <w:rPr>
          <w:sz w:val="28"/>
          <w:szCs w:val="28"/>
        </w:rPr>
        <w:t>IUB d</w:t>
      </w:r>
      <w:r w:rsidR="00A266E2" w:rsidRPr="002E42F1">
        <w:rPr>
          <w:sz w:val="28"/>
          <w:szCs w:val="28"/>
        </w:rPr>
        <w:t>ati</w:t>
      </w:r>
    </w:p>
    <w:p w14:paraId="78E19E17" w14:textId="77777777" w:rsidR="00711178" w:rsidRPr="002E42F1" w:rsidRDefault="00711178" w:rsidP="006C282B">
      <w:pPr>
        <w:pStyle w:val="NoSpacing"/>
        <w:jc w:val="both"/>
        <w:rPr>
          <w:sz w:val="28"/>
          <w:szCs w:val="28"/>
        </w:rPr>
      </w:pPr>
    </w:p>
    <w:p w14:paraId="1C2DA0AE" w14:textId="0CCDD16B" w:rsidR="008314EE" w:rsidRPr="002E42F1" w:rsidRDefault="00E1422B" w:rsidP="00AE018D">
      <w:pPr>
        <w:pStyle w:val="NoSpacing"/>
        <w:ind w:firstLine="720"/>
        <w:jc w:val="both"/>
        <w:rPr>
          <w:sz w:val="28"/>
          <w:szCs w:val="28"/>
        </w:rPr>
      </w:pPr>
      <w:r w:rsidRPr="002E42F1">
        <w:rPr>
          <w:sz w:val="28"/>
          <w:szCs w:val="28"/>
        </w:rPr>
        <w:lastRenderedPageBreak/>
        <w:t xml:space="preserve">Izskatot </w:t>
      </w:r>
      <w:r w:rsidR="005D5F2D" w:rsidRPr="002E42F1">
        <w:rPr>
          <w:sz w:val="28"/>
          <w:szCs w:val="28"/>
        </w:rPr>
        <w:t xml:space="preserve">valsts pārvaldes institūciju </w:t>
      </w:r>
      <w:r w:rsidRPr="002E42F1">
        <w:rPr>
          <w:sz w:val="28"/>
          <w:szCs w:val="28"/>
        </w:rPr>
        <w:t xml:space="preserve">iepirkumu struktūru pēc iepirkumu skaita un līgumcenām, </w:t>
      </w:r>
      <w:r w:rsidR="005847EF" w:rsidRPr="002E42F1">
        <w:rPr>
          <w:sz w:val="28"/>
          <w:szCs w:val="28"/>
        </w:rPr>
        <w:t>būtisku</w:t>
      </w:r>
      <w:r w:rsidRPr="002E42F1">
        <w:rPr>
          <w:sz w:val="28"/>
          <w:szCs w:val="28"/>
        </w:rPr>
        <w:t xml:space="preserve"> iepirkumu daļu sast</w:t>
      </w:r>
      <w:r w:rsidR="005D5F2D" w:rsidRPr="002E42F1">
        <w:rPr>
          <w:sz w:val="28"/>
          <w:szCs w:val="28"/>
        </w:rPr>
        <w:t>ā</w:t>
      </w:r>
      <w:r w:rsidRPr="002E42F1">
        <w:rPr>
          <w:sz w:val="28"/>
          <w:szCs w:val="28"/>
        </w:rPr>
        <w:t>da būvniec</w:t>
      </w:r>
      <w:r w:rsidR="005D5F2D" w:rsidRPr="002E42F1">
        <w:rPr>
          <w:sz w:val="28"/>
          <w:szCs w:val="28"/>
        </w:rPr>
        <w:t>ī</w:t>
      </w:r>
      <w:r w:rsidRPr="002E42F1">
        <w:rPr>
          <w:sz w:val="28"/>
          <w:szCs w:val="28"/>
        </w:rPr>
        <w:t xml:space="preserve">bas darbi, kā arī </w:t>
      </w:r>
      <w:r w:rsidR="005D5F2D" w:rsidRPr="002E42F1">
        <w:rPr>
          <w:sz w:val="28"/>
          <w:szCs w:val="28"/>
        </w:rPr>
        <w:t>elektronisko iepirkumu sistēmas pre</w:t>
      </w:r>
      <w:r w:rsidR="00D2364A" w:rsidRPr="002E42F1">
        <w:rPr>
          <w:sz w:val="28"/>
          <w:szCs w:val="28"/>
        </w:rPr>
        <w:t>ču un pakalpojumu katalogu at</w:t>
      </w:r>
      <w:r w:rsidR="005D5F2D" w:rsidRPr="002E42F1">
        <w:rPr>
          <w:sz w:val="28"/>
          <w:szCs w:val="28"/>
        </w:rPr>
        <w:t>j</w:t>
      </w:r>
      <w:r w:rsidR="00D2364A" w:rsidRPr="002E42F1">
        <w:rPr>
          <w:sz w:val="28"/>
          <w:szCs w:val="28"/>
        </w:rPr>
        <w:t>a</w:t>
      </w:r>
      <w:r w:rsidR="005D5F2D" w:rsidRPr="002E42F1">
        <w:rPr>
          <w:sz w:val="28"/>
          <w:szCs w:val="28"/>
        </w:rPr>
        <w:t>unošana</w:t>
      </w:r>
      <w:r w:rsidR="00A713AE" w:rsidRPr="002E42F1">
        <w:rPr>
          <w:sz w:val="28"/>
          <w:szCs w:val="28"/>
        </w:rPr>
        <w:t xml:space="preserve"> (VRAA – EIS)</w:t>
      </w:r>
      <w:r w:rsidR="005D5F2D" w:rsidRPr="002E42F1">
        <w:rPr>
          <w:sz w:val="28"/>
          <w:szCs w:val="28"/>
        </w:rPr>
        <w:t>.</w:t>
      </w:r>
      <w:r w:rsidRPr="002E42F1">
        <w:rPr>
          <w:sz w:val="28"/>
          <w:szCs w:val="28"/>
        </w:rPr>
        <w:t xml:space="preserve"> </w:t>
      </w:r>
      <w:r w:rsidR="00A06F91" w:rsidRPr="002E42F1">
        <w:rPr>
          <w:sz w:val="28"/>
          <w:szCs w:val="28"/>
        </w:rPr>
        <w:t xml:space="preserve">Valsts pārvaldes institūciju </w:t>
      </w:r>
      <w:r w:rsidRPr="002E42F1">
        <w:rPr>
          <w:sz w:val="28"/>
          <w:szCs w:val="28"/>
        </w:rPr>
        <w:t>uzskaitījums, kas 201</w:t>
      </w:r>
      <w:r w:rsidR="00A713AE" w:rsidRPr="002E42F1">
        <w:rPr>
          <w:sz w:val="28"/>
          <w:szCs w:val="28"/>
        </w:rPr>
        <w:t>9</w:t>
      </w:r>
      <w:r w:rsidR="00A06F91" w:rsidRPr="002E42F1">
        <w:rPr>
          <w:sz w:val="28"/>
          <w:szCs w:val="28"/>
        </w:rPr>
        <w:t>.</w:t>
      </w:r>
      <w:r w:rsidR="000E1C77" w:rsidRPr="002E42F1">
        <w:rPr>
          <w:sz w:val="28"/>
          <w:szCs w:val="28"/>
        </w:rPr>
        <w:t xml:space="preserve"> </w:t>
      </w:r>
      <w:r w:rsidR="00A06F91" w:rsidRPr="002E42F1">
        <w:rPr>
          <w:sz w:val="28"/>
          <w:szCs w:val="28"/>
        </w:rPr>
        <w:t>gadā vairāk veikušas iepirkumus ar iekļautiem ZPI principiem</w:t>
      </w:r>
      <w:r w:rsidR="004502F6" w:rsidRPr="002E42F1">
        <w:rPr>
          <w:sz w:val="28"/>
          <w:szCs w:val="28"/>
        </w:rPr>
        <w:t xml:space="preserve"> </w:t>
      </w:r>
      <w:r w:rsidR="00D57545" w:rsidRPr="002E42F1">
        <w:rPr>
          <w:sz w:val="28"/>
          <w:szCs w:val="28"/>
        </w:rPr>
        <w:t>finansiālā</w:t>
      </w:r>
      <w:r w:rsidR="004502F6" w:rsidRPr="002E42F1">
        <w:rPr>
          <w:sz w:val="28"/>
          <w:szCs w:val="28"/>
        </w:rPr>
        <w:t xml:space="preserve"> izteiksmē</w:t>
      </w:r>
      <w:r w:rsidR="00160B9A" w:rsidRPr="002E42F1">
        <w:rPr>
          <w:sz w:val="28"/>
          <w:szCs w:val="28"/>
        </w:rPr>
        <w:t xml:space="preserve"> ir apkopots </w:t>
      </w:r>
      <w:r w:rsidR="008F6481" w:rsidRPr="002E42F1">
        <w:rPr>
          <w:sz w:val="28"/>
          <w:szCs w:val="28"/>
        </w:rPr>
        <w:t>7</w:t>
      </w:r>
      <w:r w:rsidR="00160B9A" w:rsidRPr="002E42F1">
        <w:rPr>
          <w:sz w:val="28"/>
          <w:szCs w:val="28"/>
        </w:rPr>
        <w:t>. tabulā</w:t>
      </w:r>
      <w:r w:rsidR="001671F0" w:rsidRPr="002E42F1">
        <w:rPr>
          <w:sz w:val="28"/>
          <w:szCs w:val="28"/>
        </w:rPr>
        <w:t xml:space="preserve"> </w:t>
      </w:r>
      <w:r w:rsidR="004502F6" w:rsidRPr="002E42F1">
        <w:rPr>
          <w:sz w:val="28"/>
          <w:szCs w:val="28"/>
        </w:rPr>
        <w:t>un pēc iepirkumu skaita</w:t>
      </w:r>
      <w:r w:rsidR="00160B9A" w:rsidRPr="002E42F1">
        <w:rPr>
          <w:sz w:val="28"/>
          <w:szCs w:val="28"/>
        </w:rPr>
        <w:t xml:space="preserve"> </w:t>
      </w:r>
      <w:r w:rsidR="008F6481" w:rsidRPr="002E42F1">
        <w:rPr>
          <w:sz w:val="28"/>
          <w:szCs w:val="28"/>
        </w:rPr>
        <w:t>8</w:t>
      </w:r>
      <w:r w:rsidR="00160B9A" w:rsidRPr="002E42F1">
        <w:rPr>
          <w:sz w:val="28"/>
          <w:szCs w:val="28"/>
        </w:rPr>
        <w:t xml:space="preserve">. tabulā. </w:t>
      </w:r>
      <w:r w:rsidR="0069730F" w:rsidRPr="002E42F1">
        <w:rPr>
          <w:sz w:val="28"/>
          <w:szCs w:val="28"/>
        </w:rPr>
        <w:t>Gan f</w:t>
      </w:r>
      <w:r w:rsidR="004502F6" w:rsidRPr="002E42F1">
        <w:rPr>
          <w:sz w:val="28"/>
          <w:szCs w:val="28"/>
        </w:rPr>
        <w:t>inansiālā</w:t>
      </w:r>
      <w:r w:rsidR="0069730F" w:rsidRPr="002E42F1">
        <w:rPr>
          <w:sz w:val="28"/>
          <w:szCs w:val="28"/>
        </w:rPr>
        <w:t>,</w:t>
      </w:r>
      <w:r w:rsidR="004502F6" w:rsidRPr="002E42F1">
        <w:rPr>
          <w:sz w:val="28"/>
          <w:szCs w:val="28"/>
        </w:rPr>
        <w:t xml:space="preserve"> gan arī iepirkumu skaita ziņā vadošo vietu ieņem </w:t>
      </w:r>
      <w:r w:rsidR="00C30D60" w:rsidRPr="002E42F1">
        <w:rPr>
          <w:sz w:val="28"/>
          <w:szCs w:val="28"/>
        </w:rPr>
        <w:t xml:space="preserve">ar </w:t>
      </w:r>
      <w:r w:rsidR="00A713AE" w:rsidRPr="002E42F1">
        <w:rPr>
          <w:sz w:val="28"/>
          <w:szCs w:val="28"/>
        </w:rPr>
        <w:t xml:space="preserve">būvdarbiem </w:t>
      </w:r>
      <w:r w:rsidR="00160B9A" w:rsidRPr="002E42F1">
        <w:rPr>
          <w:sz w:val="28"/>
          <w:szCs w:val="28"/>
        </w:rPr>
        <w:t xml:space="preserve">un </w:t>
      </w:r>
      <w:r w:rsidR="00A713AE" w:rsidRPr="002E42F1">
        <w:rPr>
          <w:sz w:val="28"/>
          <w:szCs w:val="28"/>
        </w:rPr>
        <w:t xml:space="preserve">mežsaimniecību </w:t>
      </w:r>
      <w:r w:rsidR="0017569A" w:rsidRPr="002E42F1">
        <w:rPr>
          <w:sz w:val="28"/>
          <w:szCs w:val="28"/>
        </w:rPr>
        <w:t>saistīti iepirkumi</w:t>
      </w:r>
      <w:r w:rsidR="004502F6" w:rsidRPr="002E42F1">
        <w:rPr>
          <w:sz w:val="28"/>
          <w:szCs w:val="28"/>
        </w:rPr>
        <w:t>.</w:t>
      </w:r>
    </w:p>
    <w:p w14:paraId="11E27B5C" w14:textId="77777777" w:rsidR="0000187A" w:rsidRPr="002E42F1" w:rsidRDefault="0000187A" w:rsidP="006C282B">
      <w:pPr>
        <w:pStyle w:val="NoSpacing"/>
        <w:jc w:val="both"/>
        <w:rPr>
          <w:sz w:val="28"/>
          <w:szCs w:val="28"/>
        </w:rPr>
      </w:pPr>
    </w:p>
    <w:p w14:paraId="26870EDD" w14:textId="6501E70C" w:rsidR="00335A34" w:rsidRPr="002E42F1" w:rsidRDefault="00E65FF2" w:rsidP="00AE018D">
      <w:pPr>
        <w:pStyle w:val="NoSpacing"/>
        <w:jc w:val="right"/>
        <w:rPr>
          <w:sz w:val="28"/>
          <w:szCs w:val="28"/>
        </w:rPr>
      </w:pPr>
      <w:r w:rsidRPr="002E42F1">
        <w:rPr>
          <w:sz w:val="28"/>
          <w:szCs w:val="28"/>
        </w:rPr>
        <w:t>7</w:t>
      </w:r>
      <w:r w:rsidR="005076F4" w:rsidRPr="002E42F1">
        <w:rPr>
          <w:sz w:val="28"/>
          <w:szCs w:val="28"/>
        </w:rPr>
        <w:t>.</w:t>
      </w:r>
      <w:r w:rsidR="00AB10F2" w:rsidRPr="002E42F1">
        <w:rPr>
          <w:sz w:val="28"/>
          <w:szCs w:val="28"/>
        </w:rPr>
        <w:t xml:space="preserve"> tabula</w:t>
      </w:r>
    </w:p>
    <w:p w14:paraId="51E63457" w14:textId="1BDC1B22" w:rsidR="00B165DF" w:rsidRPr="002E42F1" w:rsidRDefault="00B165DF" w:rsidP="00AE018D">
      <w:pPr>
        <w:pStyle w:val="NoSpacing"/>
        <w:jc w:val="center"/>
        <w:rPr>
          <w:bCs/>
          <w:iCs/>
          <w:sz w:val="28"/>
          <w:szCs w:val="28"/>
        </w:rPr>
      </w:pPr>
      <w:r w:rsidRPr="002E42F1">
        <w:rPr>
          <w:bCs/>
          <w:iCs/>
          <w:sz w:val="28"/>
          <w:szCs w:val="28"/>
        </w:rPr>
        <w:t xml:space="preserve">“TOP 10” </w:t>
      </w:r>
      <w:r w:rsidR="004C0035" w:rsidRPr="002E42F1">
        <w:rPr>
          <w:bCs/>
          <w:iCs/>
          <w:sz w:val="28"/>
          <w:szCs w:val="28"/>
        </w:rPr>
        <w:t>v</w:t>
      </w:r>
      <w:r w:rsidR="000C1A5D" w:rsidRPr="002E42F1">
        <w:rPr>
          <w:bCs/>
          <w:iCs/>
          <w:sz w:val="28"/>
          <w:szCs w:val="28"/>
        </w:rPr>
        <w:t>alsts institūcijas</w:t>
      </w:r>
      <w:r w:rsidRPr="002E42F1">
        <w:rPr>
          <w:bCs/>
          <w:iCs/>
          <w:sz w:val="28"/>
          <w:szCs w:val="28"/>
        </w:rPr>
        <w:t xml:space="preserve"> un kapitālsabiedrības</w:t>
      </w:r>
      <w:r w:rsidR="00B15E38" w:rsidRPr="002E42F1">
        <w:rPr>
          <w:bCs/>
          <w:iCs/>
          <w:sz w:val="28"/>
          <w:szCs w:val="28"/>
        </w:rPr>
        <w:t>,</w:t>
      </w:r>
    </w:p>
    <w:p w14:paraId="7CD64098" w14:textId="26F51A0C" w:rsidR="00B165DF" w:rsidRPr="002E42F1" w:rsidRDefault="000C1A5D" w:rsidP="00AE018D">
      <w:pPr>
        <w:pStyle w:val="NoSpacing"/>
        <w:jc w:val="center"/>
        <w:rPr>
          <w:bCs/>
          <w:iCs/>
          <w:sz w:val="28"/>
          <w:szCs w:val="28"/>
        </w:rPr>
      </w:pPr>
      <w:r w:rsidRPr="002E42F1">
        <w:rPr>
          <w:bCs/>
          <w:iCs/>
          <w:sz w:val="28"/>
          <w:szCs w:val="28"/>
        </w:rPr>
        <w:t>kuras 201</w:t>
      </w:r>
      <w:r w:rsidR="00B165DF" w:rsidRPr="002E42F1">
        <w:rPr>
          <w:bCs/>
          <w:iCs/>
          <w:sz w:val="28"/>
          <w:szCs w:val="28"/>
        </w:rPr>
        <w:t>9</w:t>
      </w:r>
      <w:r w:rsidRPr="002E42F1">
        <w:rPr>
          <w:bCs/>
          <w:iCs/>
          <w:sz w:val="28"/>
          <w:szCs w:val="28"/>
        </w:rPr>
        <w:t>. gadā rīkojušas iepirkumus, ievērojot ZPI</w:t>
      </w:r>
    </w:p>
    <w:p w14:paraId="265206B5" w14:textId="7CDB1C36" w:rsidR="00335A34" w:rsidRPr="002E42F1" w:rsidRDefault="000C1A5D" w:rsidP="00AE018D">
      <w:pPr>
        <w:pStyle w:val="NoSpacing"/>
        <w:jc w:val="center"/>
        <w:rPr>
          <w:bCs/>
          <w:iCs/>
          <w:sz w:val="28"/>
          <w:szCs w:val="28"/>
        </w:rPr>
      </w:pPr>
      <w:r w:rsidRPr="002E42F1">
        <w:rPr>
          <w:bCs/>
          <w:iCs/>
          <w:sz w:val="28"/>
          <w:szCs w:val="28"/>
        </w:rPr>
        <w:t>(pēc</w:t>
      </w:r>
      <w:r w:rsidR="007C16B1" w:rsidRPr="002E42F1">
        <w:rPr>
          <w:bCs/>
          <w:iCs/>
          <w:sz w:val="28"/>
          <w:szCs w:val="28"/>
        </w:rPr>
        <w:t xml:space="preserve"> kopējās</w:t>
      </w:r>
      <w:r w:rsidRPr="002E42F1">
        <w:rPr>
          <w:bCs/>
          <w:iCs/>
          <w:sz w:val="28"/>
          <w:szCs w:val="28"/>
        </w:rPr>
        <w:t xml:space="preserve"> līgumcenas).</w:t>
      </w:r>
    </w:p>
    <w:p w14:paraId="6C890D8D" w14:textId="77777777" w:rsidR="00F068AA" w:rsidRPr="002E42F1" w:rsidRDefault="00F068AA" w:rsidP="006C282B">
      <w:pPr>
        <w:pStyle w:val="NoSpacing"/>
        <w:jc w:val="both"/>
        <w:rPr>
          <w:bCs/>
          <w:iCs/>
          <w:sz w:val="28"/>
          <w:szCs w:val="28"/>
        </w:rPr>
      </w:pPr>
    </w:p>
    <w:tbl>
      <w:tblPr>
        <w:tblW w:w="9067" w:type="dxa"/>
        <w:tblLook w:val="04A0" w:firstRow="1" w:lastRow="0" w:firstColumn="1" w:lastColumn="0" w:noHBand="0" w:noVBand="1"/>
      </w:tblPr>
      <w:tblGrid>
        <w:gridCol w:w="4390"/>
        <w:gridCol w:w="2409"/>
        <w:gridCol w:w="2268"/>
      </w:tblGrid>
      <w:tr w:rsidR="002E42F1" w:rsidRPr="002E42F1" w14:paraId="5CE7B83C" w14:textId="4AFC13AA" w:rsidTr="00B165DF">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4F7D" w14:textId="5030DBEE" w:rsidR="00F068AA" w:rsidRPr="002E42F1" w:rsidRDefault="00F068AA" w:rsidP="00AE018D">
            <w:pPr>
              <w:pStyle w:val="NoSpacing"/>
              <w:jc w:val="center"/>
            </w:pPr>
            <w:r w:rsidRPr="002E42F1">
              <w:t>Va</w:t>
            </w:r>
            <w:r w:rsidR="00B165DF" w:rsidRPr="002E42F1">
              <w:t>lsts institūcijas nosaukums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B253178" w14:textId="14CB31B1" w:rsidR="00F068AA" w:rsidRPr="002E42F1" w:rsidRDefault="00F068AA" w:rsidP="00AE018D">
            <w:pPr>
              <w:pStyle w:val="NoSpacing"/>
              <w:jc w:val="center"/>
            </w:pPr>
            <w:r w:rsidRPr="002E42F1">
              <w:t>Kopējā līgumcena (EUR bez PVN)</w:t>
            </w:r>
          </w:p>
        </w:tc>
        <w:tc>
          <w:tcPr>
            <w:tcW w:w="2268" w:type="dxa"/>
            <w:tcBorders>
              <w:top w:val="single" w:sz="4" w:space="0" w:color="auto"/>
              <w:left w:val="nil"/>
              <w:bottom w:val="single" w:sz="4" w:space="0" w:color="auto"/>
              <w:right w:val="single" w:sz="4" w:space="0" w:color="auto"/>
            </w:tcBorders>
            <w:vAlign w:val="center"/>
          </w:tcPr>
          <w:p w14:paraId="438B4037" w14:textId="3160DF79" w:rsidR="00F068AA" w:rsidRPr="002E42F1" w:rsidRDefault="00F068AA" w:rsidP="00AE018D">
            <w:pPr>
              <w:pStyle w:val="NoSpacing"/>
              <w:jc w:val="center"/>
            </w:pPr>
            <w:r w:rsidRPr="002E42F1">
              <w:t>Institūcija bijusi arī 2018.g. “TOP 10”</w:t>
            </w:r>
          </w:p>
        </w:tc>
      </w:tr>
      <w:tr w:rsidR="002E42F1" w:rsidRPr="002E42F1" w14:paraId="4531D40F" w14:textId="5D2367CB" w:rsidTr="00B165DF">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898051B" w14:textId="77777777" w:rsidR="00F068AA" w:rsidRPr="002E42F1" w:rsidRDefault="00F068AA" w:rsidP="00AE018D">
            <w:pPr>
              <w:pStyle w:val="NoSpacing"/>
            </w:pPr>
            <w:r w:rsidRPr="002E42F1">
              <w:t xml:space="preserve">VAS Latvijas Valsts ceļi </w:t>
            </w:r>
          </w:p>
        </w:tc>
        <w:tc>
          <w:tcPr>
            <w:tcW w:w="2409" w:type="dxa"/>
            <w:tcBorders>
              <w:top w:val="nil"/>
              <w:left w:val="nil"/>
              <w:bottom w:val="single" w:sz="4" w:space="0" w:color="auto"/>
              <w:right w:val="single" w:sz="4" w:space="0" w:color="auto"/>
            </w:tcBorders>
            <w:shd w:val="clear" w:color="auto" w:fill="auto"/>
            <w:noWrap/>
            <w:vAlign w:val="center"/>
            <w:hideMark/>
          </w:tcPr>
          <w:p w14:paraId="6B08A1BE" w14:textId="77777777" w:rsidR="00F068AA" w:rsidRPr="002E42F1" w:rsidRDefault="00F068AA" w:rsidP="00AE018D">
            <w:pPr>
              <w:pStyle w:val="NoSpacing"/>
              <w:jc w:val="center"/>
            </w:pPr>
            <w:r w:rsidRPr="002E42F1">
              <w:t>56 875 484</w:t>
            </w:r>
          </w:p>
        </w:tc>
        <w:tc>
          <w:tcPr>
            <w:tcW w:w="2268" w:type="dxa"/>
            <w:tcBorders>
              <w:top w:val="nil"/>
              <w:left w:val="nil"/>
              <w:bottom w:val="single" w:sz="4" w:space="0" w:color="auto"/>
              <w:right w:val="single" w:sz="4" w:space="0" w:color="auto"/>
            </w:tcBorders>
            <w:vAlign w:val="center"/>
          </w:tcPr>
          <w:p w14:paraId="3251CD49" w14:textId="4E20F4DA" w:rsidR="00F068AA" w:rsidRPr="002E42F1" w:rsidRDefault="00F068AA" w:rsidP="00AE018D">
            <w:pPr>
              <w:pStyle w:val="NoSpacing"/>
              <w:jc w:val="center"/>
            </w:pPr>
            <w:r w:rsidRPr="002E42F1">
              <w:t>X</w:t>
            </w:r>
          </w:p>
        </w:tc>
      </w:tr>
      <w:tr w:rsidR="002E42F1" w:rsidRPr="002E42F1" w14:paraId="70A9E829" w14:textId="073D2AA3" w:rsidTr="00B165DF">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3A11BCB" w14:textId="77777777" w:rsidR="00F068AA" w:rsidRPr="002E42F1" w:rsidRDefault="00F068AA" w:rsidP="00AE018D">
            <w:pPr>
              <w:pStyle w:val="NoSpacing"/>
            </w:pPr>
            <w:r w:rsidRPr="002E42F1">
              <w:t xml:space="preserve">Valsts reģionālās attīstības aģentūra </w:t>
            </w:r>
          </w:p>
        </w:tc>
        <w:tc>
          <w:tcPr>
            <w:tcW w:w="2409" w:type="dxa"/>
            <w:tcBorders>
              <w:top w:val="nil"/>
              <w:left w:val="nil"/>
              <w:bottom w:val="single" w:sz="4" w:space="0" w:color="auto"/>
              <w:right w:val="single" w:sz="4" w:space="0" w:color="auto"/>
            </w:tcBorders>
            <w:shd w:val="clear" w:color="auto" w:fill="auto"/>
            <w:noWrap/>
            <w:vAlign w:val="center"/>
            <w:hideMark/>
          </w:tcPr>
          <w:p w14:paraId="76B3F423" w14:textId="77777777" w:rsidR="00F068AA" w:rsidRPr="002E42F1" w:rsidRDefault="00F068AA" w:rsidP="00AE018D">
            <w:pPr>
              <w:pStyle w:val="NoSpacing"/>
              <w:jc w:val="center"/>
            </w:pPr>
            <w:r w:rsidRPr="002E42F1">
              <w:t>38 913 883</w:t>
            </w:r>
          </w:p>
        </w:tc>
        <w:tc>
          <w:tcPr>
            <w:tcW w:w="2268" w:type="dxa"/>
            <w:tcBorders>
              <w:top w:val="nil"/>
              <w:left w:val="nil"/>
              <w:bottom w:val="single" w:sz="4" w:space="0" w:color="auto"/>
              <w:right w:val="single" w:sz="4" w:space="0" w:color="auto"/>
            </w:tcBorders>
            <w:vAlign w:val="center"/>
          </w:tcPr>
          <w:p w14:paraId="50995CC5" w14:textId="77777777" w:rsidR="00F068AA" w:rsidRPr="002E42F1" w:rsidRDefault="00F068AA" w:rsidP="00AE018D">
            <w:pPr>
              <w:pStyle w:val="NoSpacing"/>
              <w:jc w:val="center"/>
            </w:pPr>
          </w:p>
        </w:tc>
      </w:tr>
      <w:tr w:rsidR="002E42F1" w:rsidRPr="002E42F1" w14:paraId="239E7A26" w14:textId="2688DC31" w:rsidTr="00B165DF">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13C5A11" w14:textId="77777777" w:rsidR="00F068AA" w:rsidRPr="002E42F1" w:rsidRDefault="00F068AA" w:rsidP="00AE018D">
            <w:pPr>
              <w:pStyle w:val="NoSpacing"/>
            </w:pPr>
            <w:r w:rsidRPr="002E42F1">
              <w:t xml:space="preserve">Sabiedrības integrācijas fonds </w:t>
            </w:r>
          </w:p>
        </w:tc>
        <w:tc>
          <w:tcPr>
            <w:tcW w:w="2409" w:type="dxa"/>
            <w:tcBorders>
              <w:top w:val="nil"/>
              <w:left w:val="nil"/>
              <w:bottom w:val="single" w:sz="4" w:space="0" w:color="auto"/>
              <w:right w:val="single" w:sz="4" w:space="0" w:color="auto"/>
            </w:tcBorders>
            <w:shd w:val="clear" w:color="auto" w:fill="auto"/>
            <w:noWrap/>
            <w:vAlign w:val="center"/>
            <w:hideMark/>
          </w:tcPr>
          <w:p w14:paraId="43580AAD" w14:textId="77777777" w:rsidR="00F068AA" w:rsidRPr="002E42F1" w:rsidRDefault="00F068AA" w:rsidP="00AE018D">
            <w:pPr>
              <w:pStyle w:val="NoSpacing"/>
              <w:jc w:val="center"/>
            </w:pPr>
            <w:r w:rsidRPr="002E42F1">
              <w:t>18 787 737</w:t>
            </w:r>
          </w:p>
        </w:tc>
        <w:tc>
          <w:tcPr>
            <w:tcW w:w="2268" w:type="dxa"/>
            <w:tcBorders>
              <w:top w:val="nil"/>
              <w:left w:val="nil"/>
              <w:bottom w:val="single" w:sz="4" w:space="0" w:color="auto"/>
              <w:right w:val="single" w:sz="4" w:space="0" w:color="auto"/>
            </w:tcBorders>
            <w:vAlign w:val="center"/>
          </w:tcPr>
          <w:p w14:paraId="6B74097B" w14:textId="77777777" w:rsidR="00F068AA" w:rsidRPr="002E42F1" w:rsidRDefault="00F068AA" w:rsidP="00AE018D">
            <w:pPr>
              <w:pStyle w:val="NoSpacing"/>
              <w:jc w:val="center"/>
            </w:pPr>
          </w:p>
        </w:tc>
      </w:tr>
      <w:tr w:rsidR="002E42F1" w:rsidRPr="002E42F1" w14:paraId="5393C648" w14:textId="5D9CB10A" w:rsidTr="00B165DF">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1C0BB7B" w14:textId="77777777" w:rsidR="00F068AA" w:rsidRPr="002E42F1" w:rsidRDefault="00F068AA" w:rsidP="00AE018D">
            <w:pPr>
              <w:pStyle w:val="NoSpacing"/>
            </w:pPr>
            <w:r w:rsidRPr="002E42F1">
              <w:t xml:space="preserve">Valsts izglītības attīstības aģentūra </w:t>
            </w:r>
          </w:p>
        </w:tc>
        <w:tc>
          <w:tcPr>
            <w:tcW w:w="2409" w:type="dxa"/>
            <w:tcBorders>
              <w:top w:val="nil"/>
              <w:left w:val="nil"/>
              <w:bottom w:val="single" w:sz="4" w:space="0" w:color="auto"/>
              <w:right w:val="single" w:sz="4" w:space="0" w:color="auto"/>
            </w:tcBorders>
            <w:shd w:val="clear" w:color="auto" w:fill="auto"/>
            <w:noWrap/>
            <w:vAlign w:val="center"/>
            <w:hideMark/>
          </w:tcPr>
          <w:p w14:paraId="29E50F96" w14:textId="77777777" w:rsidR="00F068AA" w:rsidRPr="002E42F1" w:rsidRDefault="00F068AA" w:rsidP="00AE018D">
            <w:pPr>
              <w:pStyle w:val="NoSpacing"/>
              <w:jc w:val="center"/>
            </w:pPr>
            <w:r w:rsidRPr="002E42F1">
              <w:t>16 909 790</w:t>
            </w:r>
          </w:p>
        </w:tc>
        <w:tc>
          <w:tcPr>
            <w:tcW w:w="2268" w:type="dxa"/>
            <w:tcBorders>
              <w:top w:val="nil"/>
              <w:left w:val="nil"/>
              <w:bottom w:val="single" w:sz="4" w:space="0" w:color="auto"/>
              <w:right w:val="single" w:sz="4" w:space="0" w:color="auto"/>
            </w:tcBorders>
            <w:vAlign w:val="center"/>
          </w:tcPr>
          <w:p w14:paraId="5F40A220" w14:textId="77777777" w:rsidR="00F068AA" w:rsidRPr="002E42F1" w:rsidRDefault="00F068AA" w:rsidP="00AE018D">
            <w:pPr>
              <w:pStyle w:val="NoSpacing"/>
              <w:jc w:val="center"/>
            </w:pPr>
          </w:p>
        </w:tc>
      </w:tr>
      <w:tr w:rsidR="002E42F1" w:rsidRPr="002E42F1" w14:paraId="04AD256D" w14:textId="4D988921" w:rsidTr="00B165DF">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72A9B5C" w14:textId="77777777" w:rsidR="00F068AA" w:rsidRPr="002E42F1" w:rsidRDefault="00F068AA" w:rsidP="00AE018D">
            <w:pPr>
              <w:pStyle w:val="NoSpacing"/>
            </w:pPr>
            <w:r w:rsidRPr="002E42F1">
              <w:t xml:space="preserve">Rīgas Tehniskā universitāte </w:t>
            </w:r>
          </w:p>
        </w:tc>
        <w:tc>
          <w:tcPr>
            <w:tcW w:w="2409" w:type="dxa"/>
            <w:tcBorders>
              <w:top w:val="nil"/>
              <w:left w:val="nil"/>
              <w:bottom w:val="single" w:sz="4" w:space="0" w:color="auto"/>
              <w:right w:val="single" w:sz="4" w:space="0" w:color="auto"/>
            </w:tcBorders>
            <w:shd w:val="clear" w:color="auto" w:fill="auto"/>
            <w:noWrap/>
            <w:vAlign w:val="center"/>
            <w:hideMark/>
          </w:tcPr>
          <w:p w14:paraId="68970524" w14:textId="77777777" w:rsidR="00F068AA" w:rsidRPr="002E42F1" w:rsidRDefault="00F068AA" w:rsidP="00AE018D">
            <w:pPr>
              <w:pStyle w:val="NoSpacing"/>
              <w:jc w:val="center"/>
            </w:pPr>
            <w:r w:rsidRPr="002E42F1">
              <w:t>14 013 125</w:t>
            </w:r>
          </w:p>
        </w:tc>
        <w:tc>
          <w:tcPr>
            <w:tcW w:w="2268" w:type="dxa"/>
            <w:tcBorders>
              <w:top w:val="nil"/>
              <w:left w:val="nil"/>
              <w:bottom w:val="single" w:sz="4" w:space="0" w:color="auto"/>
              <w:right w:val="single" w:sz="4" w:space="0" w:color="auto"/>
            </w:tcBorders>
            <w:vAlign w:val="center"/>
          </w:tcPr>
          <w:p w14:paraId="6FD19937" w14:textId="77777777" w:rsidR="00F068AA" w:rsidRPr="002E42F1" w:rsidRDefault="00F068AA" w:rsidP="00AE018D">
            <w:pPr>
              <w:pStyle w:val="NoSpacing"/>
              <w:jc w:val="center"/>
            </w:pPr>
          </w:p>
        </w:tc>
      </w:tr>
      <w:tr w:rsidR="002E42F1" w:rsidRPr="002E42F1" w14:paraId="773D0D62" w14:textId="56EFD834" w:rsidTr="00B165DF">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18176EE" w14:textId="77777777" w:rsidR="00F068AA" w:rsidRPr="002E42F1" w:rsidRDefault="00F068AA" w:rsidP="00AE018D">
            <w:pPr>
              <w:pStyle w:val="NoSpacing"/>
            </w:pPr>
            <w:r w:rsidRPr="002E42F1">
              <w:t xml:space="preserve">AS "Latvijas valsts meži" </w:t>
            </w:r>
          </w:p>
        </w:tc>
        <w:tc>
          <w:tcPr>
            <w:tcW w:w="2409" w:type="dxa"/>
            <w:tcBorders>
              <w:top w:val="nil"/>
              <w:left w:val="nil"/>
              <w:bottom w:val="single" w:sz="4" w:space="0" w:color="auto"/>
              <w:right w:val="single" w:sz="4" w:space="0" w:color="auto"/>
            </w:tcBorders>
            <w:shd w:val="clear" w:color="auto" w:fill="auto"/>
            <w:noWrap/>
            <w:vAlign w:val="center"/>
            <w:hideMark/>
          </w:tcPr>
          <w:p w14:paraId="5EBC4201" w14:textId="77777777" w:rsidR="00F068AA" w:rsidRPr="002E42F1" w:rsidRDefault="00F068AA" w:rsidP="00AE018D">
            <w:pPr>
              <w:pStyle w:val="NoSpacing"/>
              <w:jc w:val="center"/>
            </w:pPr>
            <w:r w:rsidRPr="002E42F1">
              <w:t>12 081 853</w:t>
            </w:r>
          </w:p>
        </w:tc>
        <w:tc>
          <w:tcPr>
            <w:tcW w:w="2268" w:type="dxa"/>
            <w:tcBorders>
              <w:top w:val="nil"/>
              <w:left w:val="nil"/>
              <w:bottom w:val="single" w:sz="4" w:space="0" w:color="auto"/>
              <w:right w:val="single" w:sz="4" w:space="0" w:color="auto"/>
            </w:tcBorders>
            <w:vAlign w:val="center"/>
          </w:tcPr>
          <w:p w14:paraId="4A461B3B" w14:textId="266036D5" w:rsidR="00F068AA" w:rsidRPr="002E42F1" w:rsidRDefault="00F068AA" w:rsidP="00AE018D">
            <w:pPr>
              <w:pStyle w:val="NoSpacing"/>
              <w:jc w:val="center"/>
            </w:pPr>
            <w:r w:rsidRPr="002E42F1">
              <w:t>X</w:t>
            </w:r>
          </w:p>
        </w:tc>
      </w:tr>
      <w:tr w:rsidR="002E42F1" w:rsidRPr="002E42F1" w14:paraId="2B1B1BBE" w14:textId="7E8F8630" w:rsidTr="00B165DF">
        <w:tc>
          <w:tcPr>
            <w:tcW w:w="4390" w:type="dxa"/>
            <w:tcBorders>
              <w:top w:val="nil"/>
              <w:left w:val="single" w:sz="4" w:space="0" w:color="auto"/>
              <w:bottom w:val="single" w:sz="4" w:space="0" w:color="auto"/>
              <w:right w:val="single" w:sz="4" w:space="0" w:color="auto"/>
            </w:tcBorders>
            <w:shd w:val="clear" w:color="auto" w:fill="auto"/>
            <w:vAlign w:val="center"/>
            <w:hideMark/>
          </w:tcPr>
          <w:p w14:paraId="7C3758EA" w14:textId="77777777" w:rsidR="00F068AA" w:rsidRPr="002E42F1" w:rsidRDefault="00F068AA" w:rsidP="00AE018D">
            <w:pPr>
              <w:pStyle w:val="NoSpacing"/>
            </w:pPr>
            <w:r w:rsidRPr="002E42F1">
              <w:t xml:space="preserve">SIA "Rīgas Austrumu klīniskā universitātes slimnīca" </w:t>
            </w:r>
          </w:p>
        </w:tc>
        <w:tc>
          <w:tcPr>
            <w:tcW w:w="2409" w:type="dxa"/>
            <w:tcBorders>
              <w:top w:val="nil"/>
              <w:left w:val="nil"/>
              <w:bottom w:val="single" w:sz="4" w:space="0" w:color="auto"/>
              <w:right w:val="single" w:sz="4" w:space="0" w:color="auto"/>
            </w:tcBorders>
            <w:shd w:val="clear" w:color="auto" w:fill="auto"/>
            <w:noWrap/>
            <w:vAlign w:val="center"/>
            <w:hideMark/>
          </w:tcPr>
          <w:p w14:paraId="725B13FF" w14:textId="77777777" w:rsidR="00F068AA" w:rsidRPr="002E42F1" w:rsidRDefault="00F068AA" w:rsidP="00AE018D">
            <w:pPr>
              <w:pStyle w:val="NoSpacing"/>
              <w:jc w:val="center"/>
            </w:pPr>
            <w:r w:rsidRPr="002E42F1">
              <w:t>11 100 287</w:t>
            </w:r>
          </w:p>
        </w:tc>
        <w:tc>
          <w:tcPr>
            <w:tcW w:w="2268" w:type="dxa"/>
            <w:tcBorders>
              <w:top w:val="nil"/>
              <w:left w:val="nil"/>
              <w:bottom w:val="single" w:sz="4" w:space="0" w:color="auto"/>
              <w:right w:val="single" w:sz="4" w:space="0" w:color="auto"/>
            </w:tcBorders>
            <w:vAlign w:val="center"/>
          </w:tcPr>
          <w:p w14:paraId="631BE4E2" w14:textId="0F8EE81B" w:rsidR="00F068AA" w:rsidRPr="002E42F1" w:rsidRDefault="00F068AA" w:rsidP="00AE018D">
            <w:pPr>
              <w:pStyle w:val="NoSpacing"/>
              <w:jc w:val="center"/>
            </w:pPr>
            <w:r w:rsidRPr="002E42F1">
              <w:t>X</w:t>
            </w:r>
          </w:p>
        </w:tc>
      </w:tr>
      <w:tr w:rsidR="002E42F1" w:rsidRPr="002E42F1" w14:paraId="1B276D04" w14:textId="40289F46" w:rsidTr="00B165DF">
        <w:tc>
          <w:tcPr>
            <w:tcW w:w="4390" w:type="dxa"/>
            <w:tcBorders>
              <w:top w:val="nil"/>
              <w:left w:val="single" w:sz="4" w:space="0" w:color="auto"/>
              <w:bottom w:val="single" w:sz="4" w:space="0" w:color="auto"/>
              <w:right w:val="single" w:sz="4" w:space="0" w:color="auto"/>
            </w:tcBorders>
            <w:shd w:val="clear" w:color="auto" w:fill="auto"/>
            <w:vAlign w:val="center"/>
            <w:hideMark/>
          </w:tcPr>
          <w:p w14:paraId="4A041679" w14:textId="77777777" w:rsidR="00F068AA" w:rsidRPr="002E42F1" w:rsidRDefault="00F068AA" w:rsidP="00AE018D">
            <w:pPr>
              <w:pStyle w:val="NoSpacing"/>
            </w:pPr>
            <w:r w:rsidRPr="002E42F1">
              <w:t xml:space="preserve">VSIA "Kultūras un sporta centrs "Daugavas stadions"" </w:t>
            </w:r>
          </w:p>
        </w:tc>
        <w:tc>
          <w:tcPr>
            <w:tcW w:w="2409" w:type="dxa"/>
            <w:tcBorders>
              <w:top w:val="nil"/>
              <w:left w:val="nil"/>
              <w:bottom w:val="single" w:sz="4" w:space="0" w:color="auto"/>
              <w:right w:val="single" w:sz="4" w:space="0" w:color="auto"/>
            </w:tcBorders>
            <w:shd w:val="clear" w:color="auto" w:fill="auto"/>
            <w:noWrap/>
            <w:vAlign w:val="center"/>
            <w:hideMark/>
          </w:tcPr>
          <w:p w14:paraId="19DF009E" w14:textId="77777777" w:rsidR="00F068AA" w:rsidRPr="002E42F1" w:rsidRDefault="00F068AA" w:rsidP="00AE018D">
            <w:pPr>
              <w:pStyle w:val="NoSpacing"/>
              <w:jc w:val="center"/>
            </w:pPr>
            <w:r w:rsidRPr="002E42F1">
              <w:t>10 394 250</w:t>
            </w:r>
          </w:p>
        </w:tc>
        <w:tc>
          <w:tcPr>
            <w:tcW w:w="2268" w:type="dxa"/>
            <w:tcBorders>
              <w:top w:val="nil"/>
              <w:left w:val="nil"/>
              <w:bottom w:val="single" w:sz="4" w:space="0" w:color="auto"/>
              <w:right w:val="single" w:sz="4" w:space="0" w:color="auto"/>
            </w:tcBorders>
            <w:vAlign w:val="center"/>
          </w:tcPr>
          <w:p w14:paraId="71730CDB" w14:textId="77777777" w:rsidR="00F068AA" w:rsidRPr="002E42F1" w:rsidRDefault="00F068AA" w:rsidP="00AE018D">
            <w:pPr>
              <w:pStyle w:val="NoSpacing"/>
              <w:jc w:val="center"/>
            </w:pPr>
          </w:p>
        </w:tc>
      </w:tr>
      <w:tr w:rsidR="002E42F1" w:rsidRPr="002E42F1" w14:paraId="108BE0D4" w14:textId="65C111E3" w:rsidTr="00B165DF">
        <w:tc>
          <w:tcPr>
            <w:tcW w:w="4390" w:type="dxa"/>
            <w:tcBorders>
              <w:top w:val="nil"/>
              <w:left w:val="single" w:sz="4" w:space="0" w:color="auto"/>
              <w:bottom w:val="single" w:sz="4" w:space="0" w:color="auto"/>
              <w:right w:val="single" w:sz="4" w:space="0" w:color="auto"/>
            </w:tcBorders>
            <w:shd w:val="clear" w:color="auto" w:fill="auto"/>
            <w:vAlign w:val="center"/>
            <w:hideMark/>
          </w:tcPr>
          <w:p w14:paraId="528DEE18" w14:textId="77777777" w:rsidR="00F068AA" w:rsidRPr="002E42F1" w:rsidRDefault="00F068AA" w:rsidP="00AE018D">
            <w:pPr>
              <w:pStyle w:val="NoSpacing"/>
            </w:pPr>
            <w:r w:rsidRPr="002E42F1">
              <w:t xml:space="preserve">Valsts akciju sabiedrība "Valsts nekustamie īpašumi" </w:t>
            </w:r>
          </w:p>
        </w:tc>
        <w:tc>
          <w:tcPr>
            <w:tcW w:w="2409" w:type="dxa"/>
            <w:tcBorders>
              <w:top w:val="nil"/>
              <w:left w:val="nil"/>
              <w:bottom w:val="single" w:sz="4" w:space="0" w:color="auto"/>
              <w:right w:val="single" w:sz="4" w:space="0" w:color="auto"/>
            </w:tcBorders>
            <w:shd w:val="clear" w:color="auto" w:fill="auto"/>
            <w:noWrap/>
            <w:vAlign w:val="center"/>
            <w:hideMark/>
          </w:tcPr>
          <w:p w14:paraId="29F3FF0A" w14:textId="77777777" w:rsidR="00F068AA" w:rsidRPr="002E42F1" w:rsidRDefault="00F068AA" w:rsidP="00AE018D">
            <w:pPr>
              <w:pStyle w:val="NoSpacing"/>
              <w:jc w:val="center"/>
            </w:pPr>
            <w:r w:rsidRPr="002E42F1">
              <w:t>7 668 736</w:t>
            </w:r>
          </w:p>
        </w:tc>
        <w:tc>
          <w:tcPr>
            <w:tcW w:w="2268" w:type="dxa"/>
            <w:tcBorders>
              <w:top w:val="nil"/>
              <w:left w:val="nil"/>
              <w:bottom w:val="single" w:sz="4" w:space="0" w:color="auto"/>
              <w:right w:val="single" w:sz="4" w:space="0" w:color="auto"/>
            </w:tcBorders>
            <w:vAlign w:val="center"/>
          </w:tcPr>
          <w:p w14:paraId="3AD813B2" w14:textId="15924EB0" w:rsidR="00F068AA" w:rsidRPr="002E42F1" w:rsidRDefault="00F068AA" w:rsidP="00AE018D">
            <w:pPr>
              <w:pStyle w:val="NoSpacing"/>
              <w:jc w:val="center"/>
            </w:pPr>
            <w:r w:rsidRPr="002E42F1">
              <w:t>X</w:t>
            </w:r>
          </w:p>
        </w:tc>
      </w:tr>
      <w:tr w:rsidR="002E42F1" w:rsidRPr="002E42F1" w14:paraId="08E31725" w14:textId="0E787287" w:rsidTr="00B165DF">
        <w:tc>
          <w:tcPr>
            <w:tcW w:w="4390" w:type="dxa"/>
            <w:tcBorders>
              <w:top w:val="nil"/>
              <w:left w:val="single" w:sz="4" w:space="0" w:color="auto"/>
              <w:bottom w:val="single" w:sz="4" w:space="0" w:color="auto"/>
              <w:right w:val="single" w:sz="4" w:space="0" w:color="auto"/>
            </w:tcBorders>
            <w:shd w:val="clear" w:color="auto" w:fill="auto"/>
            <w:vAlign w:val="center"/>
            <w:hideMark/>
          </w:tcPr>
          <w:p w14:paraId="613CCF59" w14:textId="77777777" w:rsidR="00F068AA" w:rsidRPr="002E42F1" w:rsidRDefault="00F068AA" w:rsidP="00AE018D">
            <w:pPr>
              <w:pStyle w:val="NoSpacing"/>
            </w:pPr>
            <w:r w:rsidRPr="002E42F1">
              <w:t xml:space="preserve">Pārtikas drošības, dzīvnieku veselības un vides zinātniskais institūts "BIOR" </w:t>
            </w:r>
          </w:p>
        </w:tc>
        <w:tc>
          <w:tcPr>
            <w:tcW w:w="2409" w:type="dxa"/>
            <w:tcBorders>
              <w:top w:val="nil"/>
              <w:left w:val="nil"/>
              <w:bottom w:val="single" w:sz="4" w:space="0" w:color="auto"/>
              <w:right w:val="single" w:sz="4" w:space="0" w:color="auto"/>
            </w:tcBorders>
            <w:shd w:val="clear" w:color="auto" w:fill="auto"/>
            <w:noWrap/>
            <w:vAlign w:val="center"/>
            <w:hideMark/>
          </w:tcPr>
          <w:p w14:paraId="74EB7B38" w14:textId="77777777" w:rsidR="00F068AA" w:rsidRPr="002E42F1" w:rsidRDefault="00F068AA" w:rsidP="00AE018D">
            <w:pPr>
              <w:pStyle w:val="NoSpacing"/>
              <w:jc w:val="center"/>
            </w:pPr>
            <w:r w:rsidRPr="002E42F1">
              <w:t>6 104 427</w:t>
            </w:r>
          </w:p>
        </w:tc>
        <w:tc>
          <w:tcPr>
            <w:tcW w:w="2268" w:type="dxa"/>
            <w:tcBorders>
              <w:top w:val="nil"/>
              <w:left w:val="nil"/>
              <w:bottom w:val="single" w:sz="4" w:space="0" w:color="auto"/>
              <w:right w:val="single" w:sz="4" w:space="0" w:color="auto"/>
            </w:tcBorders>
            <w:vAlign w:val="center"/>
          </w:tcPr>
          <w:p w14:paraId="3DCE56DF" w14:textId="56099667" w:rsidR="00F068AA" w:rsidRPr="002E42F1" w:rsidRDefault="00F068AA" w:rsidP="00AE018D">
            <w:pPr>
              <w:pStyle w:val="NoSpacing"/>
              <w:jc w:val="center"/>
            </w:pPr>
            <w:r w:rsidRPr="002E42F1">
              <w:t>X</w:t>
            </w:r>
          </w:p>
        </w:tc>
      </w:tr>
    </w:tbl>
    <w:p w14:paraId="75694B2B" w14:textId="2CABFB4B" w:rsidR="00CD559E" w:rsidRPr="002E42F1" w:rsidRDefault="00160B9A" w:rsidP="006C282B">
      <w:pPr>
        <w:pStyle w:val="NoSpacing"/>
        <w:jc w:val="both"/>
        <w:rPr>
          <w:sz w:val="28"/>
          <w:szCs w:val="28"/>
        </w:rPr>
      </w:pPr>
      <w:r w:rsidRPr="002E42F1">
        <w:rPr>
          <w:sz w:val="28"/>
          <w:szCs w:val="28"/>
        </w:rPr>
        <w:t>A</w:t>
      </w:r>
      <w:r w:rsidR="00A06F91" w:rsidRPr="002E42F1">
        <w:rPr>
          <w:sz w:val="28"/>
          <w:szCs w:val="28"/>
        </w:rPr>
        <w:t>vots:</w:t>
      </w:r>
      <w:r w:rsidR="00D57545" w:rsidRPr="002E42F1">
        <w:rPr>
          <w:sz w:val="28"/>
          <w:szCs w:val="28"/>
        </w:rPr>
        <w:t xml:space="preserve"> </w:t>
      </w:r>
      <w:r w:rsidR="00A76D42" w:rsidRPr="002E42F1">
        <w:rPr>
          <w:sz w:val="28"/>
          <w:szCs w:val="28"/>
        </w:rPr>
        <w:t>IUB d</w:t>
      </w:r>
      <w:r w:rsidR="00A06F91" w:rsidRPr="002E42F1">
        <w:rPr>
          <w:sz w:val="28"/>
          <w:szCs w:val="28"/>
        </w:rPr>
        <w:t>ati</w:t>
      </w:r>
    </w:p>
    <w:p w14:paraId="447D46CA" w14:textId="0867244C" w:rsidR="007C16B1" w:rsidRDefault="007C16B1" w:rsidP="006C282B">
      <w:pPr>
        <w:pStyle w:val="NoSpacing"/>
        <w:jc w:val="both"/>
        <w:rPr>
          <w:sz w:val="28"/>
          <w:szCs w:val="28"/>
        </w:rPr>
      </w:pPr>
    </w:p>
    <w:p w14:paraId="125F65FE" w14:textId="77777777" w:rsidR="00D66992" w:rsidRDefault="00D66992" w:rsidP="006C282B">
      <w:pPr>
        <w:pStyle w:val="NoSpacing"/>
        <w:jc w:val="both"/>
        <w:rPr>
          <w:sz w:val="28"/>
          <w:szCs w:val="28"/>
        </w:rPr>
      </w:pPr>
    </w:p>
    <w:p w14:paraId="70D886A8" w14:textId="77777777" w:rsidR="00D66992" w:rsidRDefault="00D66992" w:rsidP="006C282B">
      <w:pPr>
        <w:pStyle w:val="NoSpacing"/>
        <w:jc w:val="both"/>
        <w:rPr>
          <w:sz w:val="28"/>
          <w:szCs w:val="28"/>
        </w:rPr>
      </w:pPr>
    </w:p>
    <w:p w14:paraId="3DB2BC83" w14:textId="77777777" w:rsidR="00D66992" w:rsidRDefault="00D66992" w:rsidP="006C282B">
      <w:pPr>
        <w:pStyle w:val="NoSpacing"/>
        <w:jc w:val="both"/>
        <w:rPr>
          <w:sz w:val="28"/>
          <w:szCs w:val="28"/>
        </w:rPr>
      </w:pPr>
    </w:p>
    <w:p w14:paraId="0CF6D392" w14:textId="77777777" w:rsidR="00D66992" w:rsidRDefault="00D66992" w:rsidP="006C282B">
      <w:pPr>
        <w:pStyle w:val="NoSpacing"/>
        <w:jc w:val="both"/>
        <w:rPr>
          <w:sz w:val="28"/>
          <w:szCs w:val="28"/>
        </w:rPr>
      </w:pPr>
    </w:p>
    <w:p w14:paraId="741F43AE" w14:textId="77777777" w:rsidR="00D66992" w:rsidRDefault="00D66992" w:rsidP="006C282B">
      <w:pPr>
        <w:pStyle w:val="NoSpacing"/>
        <w:jc w:val="both"/>
        <w:rPr>
          <w:sz w:val="28"/>
          <w:szCs w:val="28"/>
        </w:rPr>
      </w:pPr>
    </w:p>
    <w:p w14:paraId="6E745A87" w14:textId="77777777" w:rsidR="00D66992" w:rsidRDefault="00D66992" w:rsidP="006C282B">
      <w:pPr>
        <w:pStyle w:val="NoSpacing"/>
        <w:jc w:val="both"/>
        <w:rPr>
          <w:sz w:val="28"/>
          <w:szCs w:val="28"/>
        </w:rPr>
      </w:pPr>
    </w:p>
    <w:p w14:paraId="00C1D1AD" w14:textId="77777777" w:rsidR="00D66992" w:rsidRDefault="00D66992" w:rsidP="006C282B">
      <w:pPr>
        <w:pStyle w:val="NoSpacing"/>
        <w:jc w:val="both"/>
        <w:rPr>
          <w:sz w:val="28"/>
          <w:szCs w:val="28"/>
        </w:rPr>
      </w:pPr>
    </w:p>
    <w:p w14:paraId="26958B3A" w14:textId="77777777" w:rsidR="00D66992" w:rsidRDefault="00D66992" w:rsidP="006C282B">
      <w:pPr>
        <w:pStyle w:val="NoSpacing"/>
        <w:jc w:val="both"/>
        <w:rPr>
          <w:sz w:val="28"/>
          <w:szCs w:val="28"/>
        </w:rPr>
      </w:pPr>
    </w:p>
    <w:p w14:paraId="520AFE72" w14:textId="77777777" w:rsidR="00D66992" w:rsidRDefault="00D66992" w:rsidP="006C282B">
      <w:pPr>
        <w:pStyle w:val="NoSpacing"/>
        <w:jc w:val="both"/>
        <w:rPr>
          <w:sz w:val="28"/>
          <w:szCs w:val="28"/>
        </w:rPr>
      </w:pPr>
    </w:p>
    <w:p w14:paraId="0AD0409C" w14:textId="77777777" w:rsidR="00D66992" w:rsidRDefault="00D66992" w:rsidP="006C282B">
      <w:pPr>
        <w:pStyle w:val="NoSpacing"/>
        <w:jc w:val="both"/>
        <w:rPr>
          <w:sz w:val="28"/>
          <w:szCs w:val="28"/>
        </w:rPr>
      </w:pPr>
    </w:p>
    <w:p w14:paraId="724B4CBA" w14:textId="77777777" w:rsidR="00D66992" w:rsidRDefault="00D66992" w:rsidP="006C282B">
      <w:pPr>
        <w:pStyle w:val="NoSpacing"/>
        <w:jc w:val="both"/>
        <w:rPr>
          <w:sz w:val="28"/>
          <w:szCs w:val="28"/>
        </w:rPr>
      </w:pPr>
    </w:p>
    <w:p w14:paraId="4DCB7447" w14:textId="77777777" w:rsidR="00D66992" w:rsidRDefault="00D66992" w:rsidP="006C282B">
      <w:pPr>
        <w:pStyle w:val="NoSpacing"/>
        <w:jc w:val="both"/>
        <w:rPr>
          <w:sz w:val="28"/>
          <w:szCs w:val="28"/>
        </w:rPr>
      </w:pPr>
    </w:p>
    <w:p w14:paraId="1138B99D" w14:textId="77777777" w:rsidR="00D66992" w:rsidRDefault="00D66992" w:rsidP="006C282B">
      <w:pPr>
        <w:pStyle w:val="NoSpacing"/>
        <w:jc w:val="both"/>
        <w:rPr>
          <w:sz w:val="28"/>
          <w:szCs w:val="28"/>
        </w:rPr>
      </w:pPr>
    </w:p>
    <w:p w14:paraId="5A7934A6" w14:textId="77777777" w:rsidR="00D66992" w:rsidRDefault="00D66992" w:rsidP="006C282B">
      <w:pPr>
        <w:pStyle w:val="NoSpacing"/>
        <w:jc w:val="both"/>
        <w:rPr>
          <w:sz w:val="28"/>
          <w:szCs w:val="28"/>
        </w:rPr>
      </w:pPr>
    </w:p>
    <w:p w14:paraId="535A3677" w14:textId="146E5D11" w:rsidR="00160B9A" w:rsidRPr="002E42F1" w:rsidRDefault="00E65FF2" w:rsidP="00AE018D">
      <w:pPr>
        <w:pStyle w:val="NoSpacing"/>
        <w:jc w:val="right"/>
        <w:rPr>
          <w:sz w:val="28"/>
          <w:szCs w:val="28"/>
        </w:rPr>
      </w:pPr>
      <w:r w:rsidRPr="002E42F1">
        <w:rPr>
          <w:sz w:val="28"/>
          <w:szCs w:val="28"/>
        </w:rPr>
        <w:lastRenderedPageBreak/>
        <w:t>8</w:t>
      </w:r>
      <w:r w:rsidR="00160B9A" w:rsidRPr="002E42F1">
        <w:rPr>
          <w:sz w:val="28"/>
          <w:szCs w:val="28"/>
        </w:rPr>
        <w:t>.</w:t>
      </w:r>
      <w:r w:rsidR="00AB10F2" w:rsidRPr="002E42F1">
        <w:rPr>
          <w:sz w:val="28"/>
          <w:szCs w:val="28"/>
        </w:rPr>
        <w:t xml:space="preserve"> tabula</w:t>
      </w:r>
    </w:p>
    <w:p w14:paraId="407CDAC9" w14:textId="37780541" w:rsidR="00267249" w:rsidRPr="002E42F1" w:rsidRDefault="00267249" w:rsidP="00AE018D">
      <w:pPr>
        <w:pStyle w:val="NoSpacing"/>
        <w:jc w:val="center"/>
        <w:rPr>
          <w:bCs/>
          <w:iCs/>
          <w:sz w:val="28"/>
          <w:szCs w:val="28"/>
        </w:rPr>
      </w:pPr>
      <w:r w:rsidRPr="002E42F1">
        <w:rPr>
          <w:bCs/>
          <w:iCs/>
          <w:sz w:val="28"/>
          <w:szCs w:val="28"/>
        </w:rPr>
        <w:t xml:space="preserve">“TOP 10” </w:t>
      </w:r>
      <w:r w:rsidR="004C0035" w:rsidRPr="002E42F1">
        <w:rPr>
          <w:bCs/>
          <w:iCs/>
          <w:sz w:val="28"/>
          <w:szCs w:val="28"/>
        </w:rPr>
        <w:t>v</w:t>
      </w:r>
      <w:r w:rsidRPr="002E42F1">
        <w:rPr>
          <w:bCs/>
          <w:iCs/>
          <w:sz w:val="28"/>
          <w:szCs w:val="28"/>
        </w:rPr>
        <w:t>alsts institūcijas un kapitālsabiedrības,</w:t>
      </w:r>
    </w:p>
    <w:p w14:paraId="0D0E0881" w14:textId="46C48F09" w:rsidR="00267249" w:rsidRPr="002E42F1" w:rsidRDefault="000C1A5D" w:rsidP="00AE018D">
      <w:pPr>
        <w:pStyle w:val="NoSpacing"/>
        <w:jc w:val="center"/>
        <w:rPr>
          <w:bCs/>
          <w:iCs/>
          <w:sz w:val="28"/>
          <w:szCs w:val="28"/>
        </w:rPr>
      </w:pPr>
      <w:r w:rsidRPr="002E42F1">
        <w:rPr>
          <w:bCs/>
          <w:iCs/>
          <w:sz w:val="28"/>
          <w:szCs w:val="28"/>
        </w:rPr>
        <w:t>kuras 201</w:t>
      </w:r>
      <w:r w:rsidR="00267249" w:rsidRPr="002E42F1">
        <w:rPr>
          <w:bCs/>
          <w:iCs/>
          <w:sz w:val="28"/>
          <w:szCs w:val="28"/>
        </w:rPr>
        <w:t>9</w:t>
      </w:r>
      <w:r w:rsidRPr="002E42F1">
        <w:rPr>
          <w:bCs/>
          <w:iCs/>
          <w:sz w:val="28"/>
          <w:szCs w:val="28"/>
        </w:rPr>
        <w:t>. gadā rīkojušas iepirkumus, ievērojot ZPI</w:t>
      </w:r>
    </w:p>
    <w:p w14:paraId="27181060" w14:textId="63D2121F" w:rsidR="00160B9A" w:rsidRPr="002E42F1" w:rsidRDefault="000C1A5D" w:rsidP="00AE018D">
      <w:pPr>
        <w:pStyle w:val="NoSpacing"/>
        <w:jc w:val="center"/>
        <w:rPr>
          <w:bCs/>
          <w:iCs/>
          <w:sz w:val="28"/>
          <w:szCs w:val="28"/>
        </w:rPr>
      </w:pPr>
      <w:r w:rsidRPr="002E42F1">
        <w:rPr>
          <w:bCs/>
          <w:iCs/>
          <w:sz w:val="28"/>
          <w:szCs w:val="28"/>
        </w:rPr>
        <w:t>(pēc iepirkumu skaita).</w:t>
      </w:r>
    </w:p>
    <w:p w14:paraId="16A1FFCC" w14:textId="11C49A2F" w:rsidR="00711178" w:rsidRPr="002E42F1" w:rsidRDefault="00711178" w:rsidP="006C282B">
      <w:pPr>
        <w:pStyle w:val="NoSpacing"/>
        <w:jc w:val="both"/>
        <w:rPr>
          <w:bCs/>
          <w:iCs/>
          <w:sz w:val="28"/>
          <w:szCs w:val="28"/>
        </w:rPr>
      </w:pPr>
    </w:p>
    <w:tbl>
      <w:tblPr>
        <w:tblW w:w="9067" w:type="dxa"/>
        <w:tblCellMar>
          <w:left w:w="0" w:type="dxa"/>
          <w:right w:w="0" w:type="dxa"/>
        </w:tblCellMar>
        <w:tblLook w:val="04A0" w:firstRow="1" w:lastRow="0" w:firstColumn="1" w:lastColumn="0" w:noHBand="0" w:noVBand="1"/>
      </w:tblPr>
      <w:tblGrid>
        <w:gridCol w:w="4390"/>
        <w:gridCol w:w="2409"/>
        <w:gridCol w:w="2268"/>
      </w:tblGrid>
      <w:tr w:rsidR="002E42F1" w:rsidRPr="002E42F1" w14:paraId="217302DD" w14:textId="7F0AA941" w:rsidTr="005C751E">
        <w:trPr>
          <w:trHeight w:val="422"/>
        </w:trPr>
        <w:tc>
          <w:tcPr>
            <w:tcW w:w="43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FA697B" w14:textId="2377A096" w:rsidR="005C751E" w:rsidRPr="002E42F1" w:rsidRDefault="005C751E" w:rsidP="00AE018D">
            <w:pPr>
              <w:pStyle w:val="NoSpacing"/>
              <w:jc w:val="center"/>
            </w:pPr>
            <w:r w:rsidRPr="002E42F1">
              <w:t>Va</w:t>
            </w:r>
            <w:r w:rsidR="00596C1A" w:rsidRPr="002E42F1">
              <w:t>lsts institūcijas nosaukums</w:t>
            </w: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D4669" w14:textId="77777777" w:rsidR="005C751E" w:rsidRPr="002E42F1" w:rsidRDefault="005C751E" w:rsidP="00AE018D">
            <w:pPr>
              <w:pStyle w:val="NoSpacing"/>
              <w:jc w:val="center"/>
            </w:pPr>
            <w:r w:rsidRPr="002E42F1">
              <w:t>Publikāciju skaits</w:t>
            </w:r>
          </w:p>
        </w:tc>
        <w:tc>
          <w:tcPr>
            <w:tcW w:w="2268" w:type="dxa"/>
            <w:tcBorders>
              <w:top w:val="single" w:sz="4" w:space="0" w:color="auto"/>
              <w:left w:val="nil"/>
              <w:bottom w:val="single" w:sz="4" w:space="0" w:color="auto"/>
              <w:right w:val="single" w:sz="4" w:space="0" w:color="auto"/>
            </w:tcBorders>
            <w:vAlign w:val="center"/>
          </w:tcPr>
          <w:p w14:paraId="570C1C98" w14:textId="501EFADD" w:rsidR="005C751E" w:rsidRPr="002E42F1" w:rsidRDefault="005C751E" w:rsidP="00AE018D">
            <w:pPr>
              <w:pStyle w:val="NoSpacing"/>
              <w:jc w:val="center"/>
            </w:pPr>
            <w:r w:rsidRPr="002E42F1">
              <w:t>Institūcija bijusi arī 2018.g. “TOP 10”</w:t>
            </w:r>
          </w:p>
        </w:tc>
      </w:tr>
      <w:tr w:rsidR="002E42F1" w:rsidRPr="002E42F1" w14:paraId="61A505AF" w14:textId="712230DA"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46C8325" w14:textId="77777777" w:rsidR="005C751E" w:rsidRPr="002E42F1" w:rsidRDefault="005C751E" w:rsidP="00AE018D">
            <w:pPr>
              <w:pStyle w:val="NoSpacing"/>
            </w:pPr>
            <w:r w:rsidRPr="002E42F1">
              <w:t>AS "Latvijas valsts meži"</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01010" w14:textId="77777777" w:rsidR="005C751E" w:rsidRPr="002E42F1" w:rsidRDefault="005C751E" w:rsidP="00AE018D">
            <w:pPr>
              <w:pStyle w:val="NoSpacing"/>
              <w:jc w:val="center"/>
            </w:pPr>
            <w:r w:rsidRPr="002E42F1">
              <w:t>36</w:t>
            </w:r>
          </w:p>
        </w:tc>
        <w:tc>
          <w:tcPr>
            <w:tcW w:w="2268" w:type="dxa"/>
            <w:tcBorders>
              <w:top w:val="nil"/>
              <w:left w:val="single" w:sz="4" w:space="0" w:color="auto"/>
              <w:bottom w:val="single" w:sz="4" w:space="0" w:color="auto"/>
              <w:right w:val="single" w:sz="4" w:space="0" w:color="auto"/>
            </w:tcBorders>
            <w:vAlign w:val="center"/>
          </w:tcPr>
          <w:p w14:paraId="47B8FEC6" w14:textId="01237B7B" w:rsidR="005C751E" w:rsidRPr="002E42F1" w:rsidRDefault="005C751E" w:rsidP="00AE018D">
            <w:pPr>
              <w:pStyle w:val="NoSpacing"/>
              <w:jc w:val="center"/>
            </w:pPr>
            <w:r w:rsidRPr="002E42F1">
              <w:t>X</w:t>
            </w:r>
          </w:p>
        </w:tc>
      </w:tr>
      <w:tr w:rsidR="002E42F1" w:rsidRPr="002E42F1" w14:paraId="36A056E5" w14:textId="1F12DB35" w:rsidTr="005C751E">
        <w:tc>
          <w:tcPr>
            <w:tcW w:w="439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2D7FC8B" w14:textId="77777777" w:rsidR="005C751E" w:rsidRPr="002E42F1" w:rsidRDefault="005C751E" w:rsidP="00AE018D">
            <w:pPr>
              <w:pStyle w:val="NoSpacing"/>
            </w:pPr>
            <w:r w:rsidRPr="002E42F1">
              <w:t>Valsts sociālās aprūpes centrs "RĪGA"</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001E8A" w14:textId="77777777" w:rsidR="005C751E" w:rsidRPr="002E42F1" w:rsidRDefault="005C751E" w:rsidP="00AE018D">
            <w:pPr>
              <w:pStyle w:val="NoSpacing"/>
              <w:jc w:val="center"/>
            </w:pPr>
            <w:r w:rsidRPr="002E42F1">
              <w:t>35</w:t>
            </w:r>
          </w:p>
        </w:tc>
        <w:tc>
          <w:tcPr>
            <w:tcW w:w="2268" w:type="dxa"/>
            <w:tcBorders>
              <w:top w:val="nil"/>
              <w:left w:val="single" w:sz="4" w:space="0" w:color="auto"/>
              <w:bottom w:val="single" w:sz="4" w:space="0" w:color="auto"/>
              <w:right w:val="single" w:sz="4" w:space="0" w:color="auto"/>
            </w:tcBorders>
            <w:vAlign w:val="center"/>
          </w:tcPr>
          <w:p w14:paraId="31703B99" w14:textId="77777777" w:rsidR="005C751E" w:rsidRPr="002E42F1" w:rsidRDefault="005C751E" w:rsidP="00AE018D">
            <w:pPr>
              <w:pStyle w:val="NoSpacing"/>
              <w:jc w:val="center"/>
            </w:pPr>
          </w:p>
        </w:tc>
      </w:tr>
      <w:tr w:rsidR="002E42F1" w:rsidRPr="002E42F1" w14:paraId="1916E350" w14:textId="39AB3107"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3262F7" w14:textId="77777777" w:rsidR="005C751E" w:rsidRPr="002E42F1" w:rsidRDefault="005C751E" w:rsidP="00AE018D">
            <w:pPr>
              <w:pStyle w:val="NoSpacing"/>
            </w:pPr>
            <w:r w:rsidRPr="002E42F1">
              <w:t>Valsts policija</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B6B0E" w14:textId="77777777" w:rsidR="005C751E" w:rsidRPr="002E42F1" w:rsidRDefault="005C751E" w:rsidP="00AE018D">
            <w:pPr>
              <w:pStyle w:val="NoSpacing"/>
              <w:jc w:val="center"/>
            </w:pPr>
            <w:r w:rsidRPr="002E42F1">
              <w:t>30</w:t>
            </w:r>
          </w:p>
        </w:tc>
        <w:tc>
          <w:tcPr>
            <w:tcW w:w="2268" w:type="dxa"/>
            <w:tcBorders>
              <w:top w:val="nil"/>
              <w:left w:val="single" w:sz="4" w:space="0" w:color="auto"/>
              <w:bottom w:val="single" w:sz="4" w:space="0" w:color="auto"/>
              <w:right w:val="single" w:sz="4" w:space="0" w:color="auto"/>
            </w:tcBorders>
            <w:vAlign w:val="center"/>
          </w:tcPr>
          <w:p w14:paraId="7784A837" w14:textId="2BB3D103" w:rsidR="005C751E" w:rsidRPr="002E42F1" w:rsidRDefault="00FE2942" w:rsidP="00AE018D">
            <w:pPr>
              <w:pStyle w:val="NoSpacing"/>
              <w:jc w:val="center"/>
            </w:pPr>
            <w:r w:rsidRPr="002E42F1">
              <w:t>X</w:t>
            </w:r>
          </w:p>
        </w:tc>
      </w:tr>
      <w:tr w:rsidR="002E42F1" w:rsidRPr="002E42F1" w14:paraId="47202C45" w14:textId="37363B8B"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E1B24C5" w14:textId="77777777" w:rsidR="005C751E" w:rsidRPr="002E42F1" w:rsidRDefault="005C751E" w:rsidP="00AE018D">
            <w:pPr>
              <w:pStyle w:val="NoSpacing"/>
            </w:pPr>
            <w:r w:rsidRPr="002E42F1">
              <w:t>VAS Latvijas Valsts ceļi</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E4F98" w14:textId="77777777" w:rsidR="005C751E" w:rsidRPr="002E42F1" w:rsidRDefault="005C751E" w:rsidP="00AE018D">
            <w:pPr>
              <w:pStyle w:val="NoSpacing"/>
              <w:jc w:val="center"/>
            </w:pPr>
            <w:r w:rsidRPr="002E42F1">
              <w:t>28</w:t>
            </w:r>
          </w:p>
        </w:tc>
        <w:tc>
          <w:tcPr>
            <w:tcW w:w="2268" w:type="dxa"/>
            <w:tcBorders>
              <w:top w:val="nil"/>
              <w:left w:val="single" w:sz="4" w:space="0" w:color="auto"/>
              <w:bottom w:val="single" w:sz="4" w:space="0" w:color="auto"/>
              <w:right w:val="single" w:sz="4" w:space="0" w:color="auto"/>
            </w:tcBorders>
            <w:vAlign w:val="center"/>
          </w:tcPr>
          <w:p w14:paraId="36971D30" w14:textId="3E185215" w:rsidR="005C751E" w:rsidRPr="002E42F1" w:rsidRDefault="00FE2942" w:rsidP="00AE018D">
            <w:pPr>
              <w:pStyle w:val="NoSpacing"/>
              <w:jc w:val="center"/>
            </w:pPr>
            <w:r w:rsidRPr="002E42F1">
              <w:t>X</w:t>
            </w:r>
          </w:p>
        </w:tc>
      </w:tr>
      <w:tr w:rsidR="002E42F1" w:rsidRPr="002E42F1" w14:paraId="208D3C3A" w14:textId="5E477E2C"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84F39CB" w14:textId="77777777" w:rsidR="005C751E" w:rsidRPr="002E42F1" w:rsidRDefault="005C751E" w:rsidP="00AE018D">
            <w:pPr>
              <w:pStyle w:val="NoSpacing"/>
            </w:pPr>
            <w:r w:rsidRPr="002E42F1">
              <w:t xml:space="preserve">Latvijas Lauksaimniecības universitāte </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8FBB5" w14:textId="77777777" w:rsidR="005C751E" w:rsidRPr="002E42F1" w:rsidRDefault="005C751E" w:rsidP="00AE018D">
            <w:pPr>
              <w:pStyle w:val="NoSpacing"/>
              <w:jc w:val="center"/>
            </w:pPr>
            <w:r w:rsidRPr="002E42F1">
              <w:t>25</w:t>
            </w:r>
          </w:p>
        </w:tc>
        <w:tc>
          <w:tcPr>
            <w:tcW w:w="2268" w:type="dxa"/>
            <w:tcBorders>
              <w:top w:val="nil"/>
              <w:left w:val="single" w:sz="4" w:space="0" w:color="auto"/>
              <w:bottom w:val="single" w:sz="4" w:space="0" w:color="auto"/>
              <w:right w:val="single" w:sz="4" w:space="0" w:color="auto"/>
            </w:tcBorders>
            <w:vAlign w:val="center"/>
          </w:tcPr>
          <w:p w14:paraId="77C03F9D" w14:textId="4CC4910F" w:rsidR="005C751E" w:rsidRPr="002E42F1" w:rsidRDefault="00FE2942" w:rsidP="00AE018D">
            <w:pPr>
              <w:pStyle w:val="NoSpacing"/>
              <w:jc w:val="center"/>
            </w:pPr>
            <w:r w:rsidRPr="002E42F1">
              <w:t>X</w:t>
            </w:r>
          </w:p>
        </w:tc>
      </w:tr>
      <w:tr w:rsidR="002E42F1" w:rsidRPr="002E42F1" w14:paraId="3607DBB2" w14:textId="25555DE0" w:rsidTr="005C751E">
        <w:tc>
          <w:tcPr>
            <w:tcW w:w="439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654C3F01" w14:textId="77777777" w:rsidR="005C751E" w:rsidRPr="002E42F1" w:rsidRDefault="005C751E" w:rsidP="00AE018D">
            <w:pPr>
              <w:pStyle w:val="NoSpacing"/>
            </w:pPr>
            <w:r w:rsidRPr="002E42F1">
              <w:t>Pārtikas drošības, dzīvnieku veselības un vides zinātniskais institūts "BIOR"</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A0392" w14:textId="77777777" w:rsidR="005C751E" w:rsidRPr="002E42F1" w:rsidRDefault="005C751E" w:rsidP="00AE018D">
            <w:pPr>
              <w:pStyle w:val="NoSpacing"/>
              <w:jc w:val="center"/>
            </w:pPr>
            <w:r w:rsidRPr="002E42F1">
              <w:t>18</w:t>
            </w:r>
          </w:p>
        </w:tc>
        <w:tc>
          <w:tcPr>
            <w:tcW w:w="2268" w:type="dxa"/>
            <w:tcBorders>
              <w:top w:val="nil"/>
              <w:left w:val="single" w:sz="4" w:space="0" w:color="auto"/>
              <w:bottom w:val="single" w:sz="4" w:space="0" w:color="auto"/>
              <w:right w:val="single" w:sz="4" w:space="0" w:color="auto"/>
            </w:tcBorders>
            <w:vAlign w:val="center"/>
          </w:tcPr>
          <w:p w14:paraId="56FF2D52" w14:textId="08841E87" w:rsidR="005C751E" w:rsidRPr="002E42F1" w:rsidRDefault="00FE2942" w:rsidP="00AE018D">
            <w:pPr>
              <w:pStyle w:val="NoSpacing"/>
              <w:jc w:val="center"/>
            </w:pPr>
            <w:r w:rsidRPr="002E42F1">
              <w:t>X</w:t>
            </w:r>
          </w:p>
        </w:tc>
      </w:tr>
      <w:tr w:rsidR="002E42F1" w:rsidRPr="002E42F1" w14:paraId="38CC278F" w14:textId="167A7F8E" w:rsidTr="005C751E">
        <w:tc>
          <w:tcPr>
            <w:tcW w:w="4390"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66840577" w14:textId="77777777" w:rsidR="005C751E" w:rsidRPr="002E42F1" w:rsidRDefault="005C751E" w:rsidP="00AE018D">
            <w:pPr>
              <w:pStyle w:val="NoSpacing"/>
            </w:pPr>
            <w:r w:rsidRPr="002E42F1">
              <w:t>Valsts aizsardzības militāro objektu un iepirkumu centrs</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2A335" w14:textId="77777777" w:rsidR="005C751E" w:rsidRPr="002E42F1" w:rsidRDefault="005C751E" w:rsidP="00AE018D">
            <w:pPr>
              <w:pStyle w:val="NoSpacing"/>
              <w:jc w:val="center"/>
            </w:pPr>
            <w:r w:rsidRPr="002E42F1">
              <w:t>18</w:t>
            </w:r>
          </w:p>
        </w:tc>
        <w:tc>
          <w:tcPr>
            <w:tcW w:w="2268" w:type="dxa"/>
            <w:tcBorders>
              <w:top w:val="nil"/>
              <w:left w:val="single" w:sz="4" w:space="0" w:color="auto"/>
              <w:bottom w:val="single" w:sz="4" w:space="0" w:color="auto"/>
              <w:right w:val="single" w:sz="4" w:space="0" w:color="auto"/>
            </w:tcBorders>
            <w:vAlign w:val="center"/>
          </w:tcPr>
          <w:p w14:paraId="747C191D" w14:textId="48313063" w:rsidR="005C751E" w:rsidRPr="002E42F1" w:rsidRDefault="00FE2942" w:rsidP="00AE018D">
            <w:pPr>
              <w:pStyle w:val="NoSpacing"/>
              <w:jc w:val="center"/>
            </w:pPr>
            <w:r w:rsidRPr="002E42F1">
              <w:t>X</w:t>
            </w:r>
          </w:p>
        </w:tc>
      </w:tr>
      <w:tr w:rsidR="002E42F1" w:rsidRPr="002E42F1" w14:paraId="0CE71559" w14:textId="57DC6605"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B1663CE" w14:textId="77777777" w:rsidR="005C751E" w:rsidRPr="002E42F1" w:rsidRDefault="005C751E" w:rsidP="00AE018D">
            <w:pPr>
              <w:pStyle w:val="NoSpacing"/>
            </w:pPr>
            <w:r w:rsidRPr="002E42F1">
              <w:t>Valsts izglītības attīstības aģentūra</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FF9AEB" w14:textId="77777777" w:rsidR="005C751E" w:rsidRPr="002E42F1" w:rsidRDefault="005C751E" w:rsidP="00AE018D">
            <w:pPr>
              <w:pStyle w:val="NoSpacing"/>
              <w:jc w:val="center"/>
            </w:pPr>
            <w:r w:rsidRPr="002E42F1">
              <w:t>18</w:t>
            </w:r>
          </w:p>
        </w:tc>
        <w:tc>
          <w:tcPr>
            <w:tcW w:w="2268" w:type="dxa"/>
            <w:tcBorders>
              <w:top w:val="nil"/>
              <w:left w:val="single" w:sz="4" w:space="0" w:color="auto"/>
              <w:bottom w:val="single" w:sz="4" w:space="0" w:color="auto"/>
              <w:right w:val="single" w:sz="4" w:space="0" w:color="auto"/>
            </w:tcBorders>
            <w:vAlign w:val="center"/>
          </w:tcPr>
          <w:p w14:paraId="3D42AAA7" w14:textId="77777777" w:rsidR="005C751E" w:rsidRPr="002E42F1" w:rsidRDefault="005C751E" w:rsidP="00AE018D">
            <w:pPr>
              <w:pStyle w:val="NoSpacing"/>
              <w:jc w:val="center"/>
            </w:pPr>
          </w:p>
        </w:tc>
      </w:tr>
      <w:tr w:rsidR="002E42F1" w:rsidRPr="002E42F1" w14:paraId="4B1EB69D" w14:textId="4199A488"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82AA112" w14:textId="77777777" w:rsidR="005C751E" w:rsidRPr="002E42F1" w:rsidRDefault="005C751E" w:rsidP="00AE018D">
            <w:pPr>
              <w:pStyle w:val="NoSpacing"/>
            </w:pPr>
            <w:r w:rsidRPr="002E42F1">
              <w:t>Nodrošinājuma valsts aģentūra</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1E9AF" w14:textId="77777777" w:rsidR="005C751E" w:rsidRPr="002E42F1" w:rsidRDefault="005C751E" w:rsidP="00AE018D">
            <w:pPr>
              <w:pStyle w:val="NoSpacing"/>
              <w:jc w:val="center"/>
            </w:pPr>
            <w:r w:rsidRPr="002E42F1">
              <w:t>17</w:t>
            </w:r>
          </w:p>
        </w:tc>
        <w:tc>
          <w:tcPr>
            <w:tcW w:w="2268" w:type="dxa"/>
            <w:tcBorders>
              <w:top w:val="nil"/>
              <w:left w:val="single" w:sz="4" w:space="0" w:color="auto"/>
              <w:bottom w:val="single" w:sz="4" w:space="0" w:color="auto"/>
              <w:right w:val="single" w:sz="4" w:space="0" w:color="auto"/>
            </w:tcBorders>
            <w:vAlign w:val="center"/>
          </w:tcPr>
          <w:p w14:paraId="3E49C368" w14:textId="36967FB1" w:rsidR="005C751E" w:rsidRPr="002E42F1" w:rsidRDefault="00FE2942" w:rsidP="00AE018D">
            <w:pPr>
              <w:pStyle w:val="NoSpacing"/>
              <w:jc w:val="center"/>
            </w:pPr>
            <w:r w:rsidRPr="002E42F1">
              <w:t>X</w:t>
            </w:r>
          </w:p>
        </w:tc>
      </w:tr>
      <w:tr w:rsidR="002E42F1" w:rsidRPr="002E42F1" w14:paraId="761020E0" w14:textId="2EDA49FE" w:rsidTr="005C751E">
        <w:tc>
          <w:tcPr>
            <w:tcW w:w="439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4508F48" w14:textId="77777777" w:rsidR="005C751E" w:rsidRPr="002E42F1" w:rsidRDefault="005C751E" w:rsidP="00AE018D">
            <w:pPr>
              <w:pStyle w:val="NoSpacing"/>
            </w:pPr>
            <w:r w:rsidRPr="002E42F1">
              <w:t>Rīgas Tehniskā universitāte</w:t>
            </w:r>
          </w:p>
        </w:tc>
        <w:tc>
          <w:tcPr>
            <w:tcW w:w="240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5ACB9" w14:textId="77777777" w:rsidR="005C751E" w:rsidRPr="002E42F1" w:rsidRDefault="005C751E" w:rsidP="00AE018D">
            <w:pPr>
              <w:pStyle w:val="NoSpacing"/>
              <w:jc w:val="center"/>
            </w:pPr>
            <w:r w:rsidRPr="002E42F1">
              <w:t>12</w:t>
            </w:r>
          </w:p>
        </w:tc>
        <w:tc>
          <w:tcPr>
            <w:tcW w:w="2268" w:type="dxa"/>
            <w:tcBorders>
              <w:top w:val="nil"/>
              <w:left w:val="single" w:sz="4" w:space="0" w:color="auto"/>
              <w:bottom w:val="single" w:sz="4" w:space="0" w:color="auto"/>
              <w:right w:val="single" w:sz="4" w:space="0" w:color="auto"/>
            </w:tcBorders>
            <w:vAlign w:val="center"/>
          </w:tcPr>
          <w:p w14:paraId="07556D9E" w14:textId="77777777" w:rsidR="005C751E" w:rsidRPr="002E42F1" w:rsidRDefault="005C751E" w:rsidP="00AE018D">
            <w:pPr>
              <w:pStyle w:val="NoSpacing"/>
              <w:jc w:val="center"/>
            </w:pPr>
          </w:p>
        </w:tc>
      </w:tr>
    </w:tbl>
    <w:p w14:paraId="641CC07D" w14:textId="1B46960B" w:rsidR="00160B9A" w:rsidRPr="002E42F1" w:rsidRDefault="00A76D42" w:rsidP="006C282B">
      <w:pPr>
        <w:pStyle w:val="NoSpacing"/>
        <w:jc w:val="both"/>
        <w:rPr>
          <w:sz w:val="28"/>
          <w:szCs w:val="28"/>
        </w:rPr>
      </w:pPr>
      <w:r w:rsidRPr="002E42F1">
        <w:rPr>
          <w:sz w:val="28"/>
          <w:szCs w:val="28"/>
        </w:rPr>
        <w:t>Avots: IUB d</w:t>
      </w:r>
      <w:r w:rsidR="000C1A5D" w:rsidRPr="002E42F1">
        <w:rPr>
          <w:sz w:val="28"/>
          <w:szCs w:val="28"/>
        </w:rPr>
        <w:t>ati</w:t>
      </w:r>
    </w:p>
    <w:p w14:paraId="7DF6EDA6" w14:textId="77777777" w:rsidR="00AE018D" w:rsidRPr="002E42F1" w:rsidRDefault="00AE018D" w:rsidP="006C282B">
      <w:pPr>
        <w:pStyle w:val="NoSpacing"/>
        <w:jc w:val="both"/>
        <w:rPr>
          <w:sz w:val="28"/>
          <w:szCs w:val="28"/>
        </w:rPr>
      </w:pPr>
    </w:p>
    <w:p w14:paraId="6EDC69B1" w14:textId="0ED585AF" w:rsidR="00B04FFE" w:rsidRPr="002E42F1" w:rsidRDefault="00D2364A" w:rsidP="00E07741">
      <w:pPr>
        <w:pStyle w:val="NoSpacing"/>
        <w:ind w:firstLine="720"/>
        <w:jc w:val="both"/>
        <w:rPr>
          <w:sz w:val="28"/>
          <w:szCs w:val="28"/>
        </w:rPr>
      </w:pPr>
      <w:r w:rsidRPr="002E42F1">
        <w:rPr>
          <w:sz w:val="28"/>
          <w:szCs w:val="28"/>
        </w:rPr>
        <w:t xml:space="preserve">Pašvaldību sektorā </w:t>
      </w:r>
      <w:r w:rsidR="00885BDD" w:rsidRPr="002E42F1">
        <w:rPr>
          <w:sz w:val="28"/>
          <w:szCs w:val="28"/>
        </w:rPr>
        <w:t>l</w:t>
      </w:r>
      <w:r w:rsidRPr="002E42F1">
        <w:rPr>
          <w:sz w:val="28"/>
          <w:szCs w:val="28"/>
        </w:rPr>
        <w:t xml:space="preserve">ielāko daļu iepirkumu gan </w:t>
      </w:r>
      <w:r w:rsidR="00885BDD" w:rsidRPr="002E42F1">
        <w:rPr>
          <w:sz w:val="28"/>
          <w:szCs w:val="28"/>
        </w:rPr>
        <w:t xml:space="preserve">pēc </w:t>
      </w:r>
      <w:r w:rsidRPr="002E42F1">
        <w:rPr>
          <w:sz w:val="28"/>
          <w:szCs w:val="28"/>
        </w:rPr>
        <w:t>skaita</w:t>
      </w:r>
      <w:r w:rsidR="00885BDD" w:rsidRPr="002E42F1">
        <w:rPr>
          <w:sz w:val="28"/>
          <w:szCs w:val="28"/>
        </w:rPr>
        <w:t>,</w:t>
      </w:r>
      <w:r w:rsidRPr="002E42F1">
        <w:rPr>
          <w:sz w:val="28"/>
          <w:szCs w:val="28"/>
        </w:rPr>
        <w:t xml:space="preserve"> gan līgumcenām sastāda </w:t>
      </w:r>
      <w:r w:rsidR="003845E8" w:rsidRPr="002E42F1">
        <w:rPr>
          <w:sz w:val="28"/>
          <w:szCs w:val="28"/>
        </w:rPr>
        <w:t xml:space="preserve">pārtikas </w:t>
      </w:r>
      <w:r w:rsidR="00A713AE" w:rsidRPr="002E42F1">
        <w:rPr>
          <w:sz w:val="28"/>
          <w:szCs w:val="28"/>
        </w:rPr>
        <w:t>produktu</w:t>
      </w:r>
      <w:r w:rsidR="003845E8" w:rsidRPr="002E42F1">
        <w:rPr>
          <w:sz w:val="28"/>
          <w:szCs w:val="28"/>
        </w:rPr>
        <w:t xml:space="preserve"> un </w:t>
      </w:r>
      <w:r w:rsidRPr="002E42F1">
        <w:rPr>
          <w:sz w:val="28"/>
          <w:szCs w:val="28"/>
        </w:rPr>
        <w:t>ēdināšan</w:t>
      </w:r>
      <w:r w:rsidR="003845E8" w:rsidRPr="002E42F1">
        <w:rPr>
          <w:sz w:val="28"/>
          <w:szCs w:val="28"/>
        </w:rPr>
        <w:t>a</w:t>
      </w:r>
      <w:r w:rsidRPr="002E42F1">
        <w:rPr>
          <w:sz w:val="28"/>
          <w:szCs w:val="28"/>
        </w:rPr>
        <w:t xml:space="preserve">s pakalpojumu jomas iepirkumi, kā </w:t>
      </w:r>
      <w:r w:rsidR="008B2B9B" w:rsidRPr="002E42F1">
        <w:rPr>
          <w:sz w:val="28"/>
          <w:szCs w:val="28"/>
        </w:rPr>
        <w:t xml:space="preserve">arī </w:t>
      </w:r>
      <w:r w:rsidR="00A713AE" w:rsidRPr="002E42F1">
        <w:rPr>
          <w:sz w:val="28"/>
          <w:szCs w:val="28"/>
        </w:rPr>
        <w:t>būvniecības</w:t>
      </w:r>
      <w:r w:rsidRPr="002E42F1">
        <w:rPr>
          <w:sz w:val="28"/>
          <w:szCs w:val="28"/>
        </w:rPr>
        <w:t xml:space="preserve"> un infrastruktūras pilnveidošanas</w:t>
      </w:r>
      <w:r w:rsidR="00B925FD" w:rsidRPr="002E42F1">
        <w:rPr>
          <w:sz w:val="28"/>
          <w:szCs w:val="28"/>
        </w:rPr>
        <w:t xml:space="preserve"> </w:t>
      </w:r>
      <w:r w:rsidR="00A713AE" w:rsidRPr="002E42F1">
        <w:rPr>
          <w:sz w:val="28"/>
          <w:szCs w:val="28"/>
        </w:rPr>
        <w:t>iepirkumi</w:t>
      </w:r>
      <w:r w:rsidR="003845E8" w:rsidRPr="002E42F1">
        <w:rPr>
          <w:sz w:val="28"/>
          <w:szCs w:val="28"/>
        </w:rPr>
        <w:t>.</w:t>
      </w:r>
      <w:r w:rsidR="00A713AE" w:rsidRPr="002E42F1">
        <w:rPr>
          <w:sz w:val="28"/>
          <w:szCs w:val="28"/>
        </w:rPr>
        <w:t xml:space="preserve"> Pienesumu dod arī transporta līdzekļu iepirkumi, </w:t>
      </w:r>
      <w:r w:rsidR="001C3112" w:rsidRPr="002E42F1">
        <w:rPr>
          <w:sz w:val="28"/>
          <w:szCs w:val="28"/>
        </w:rPr>
        <w:t>atjaunojot sabiedriskā transporta parkus.</w:t>
      </w:r>
      <w:r w:rsidR="00A713AE" w:rsidRPr="002E42F1">
        <w:rPr>
          <w:sz w:val="28"/>
          <w:szCs w:val="28"/>
        </w:rPr>
        <w:t xml:space="preserve"> </w:t>
      </w:r>
      <w:r w:rsidR="003845E8" w:rsidRPr="002E42F1">
        <w:rPr>
          <w:sz w:val="28"/>
          <w:szCs w:val="28"/>
        </w:rPr>
        <w:t>Pašvaldību un pašvaldību institūciju iepirkumi pēc līgumcenām</w:t>
      </w:r>
      <w:r w:rsidR="000C1A5D" w:rsidRPr="002E42F1">
        <w:rPr>
          <w:sz w:val="28"/>
          <w:szCs w:val="28"/>
        </w:rPr>
        <w:t xml:space="preserve"> un publikāciju skaita</w:t>
      </w:r>
      <w:r w:rsidR="003845E8" w:rsidRPr="002E42F1">
        <w:rPr>
          <w:sz w:val="28"/>
          <w:szCs w:val="28"/>
        </w:rPr>
        <w:t xml:space="preserve"> ir ap</w:t>
      </w:r>
      <w:r w:rsidR="00D13D33" w:rsidRPr="002E42F1">
        <w:rPr>
          <w:sz w:val="28"/>
          <w:szCs w:val="28"/>
        </w:rPr>
        <w:t xml:space="preserve">kopoti </w:t>
      </w:r>
      <w:r w:rsidR="008F6481" w:rsidRPr="002E42F1">
        <w:rPr>
          <w:sz w:val="28"/>
          <w:szCs w:val="28"/>
        </w:rPr>
        <w:t>9</w:t>
      </w:r>
      <w:r w:rsidR="006F7535" w:rsidRPr="002E42F1">
        <w:rPr>
          <w:sz w:val="28"/>
          <w:szCs w:val="28"/>
        </w:rPr>
        <w:t>.</w:t>
      </w:r>
      <w:r w:rsidR="000C1A5D" w:rsidRPr="002E42F1">
        <w:rPr>
          <w:sz w:val="28"/>
          <w:szCs w:val="28"/>
        </w:rPr>
        <w:t xml:space="preserve"> un </w:t>
      </w:r>
      <w:r w:rsidR="008F6481" w:rsidRPr="002E42F1">
        <w:rPr>
          <w:sz w:val="28"/>
          <w:szCs w:val="28"/>
        </w:rPr>
        <w:t>10</w:t>
      </w:r>
      <w:r w:rsidR="000C1A5D" w:rsidRPr="002E42F1">
        <w:rPr>
          <w:sz w:val="28"/>
          <w:szCs w:val="28"/>
        </w:rPr>
        <w:t>. tabulās.</w:t>
      </w:r>
      <w:r w:rsidR="00A713AE" w:rsidRPr="002E42F1">
        <w:rPr>
          <w:sz w:val="28"/>
          <w:szCs w:val="28"/>
        </w:rPr>
        <w:t xml:space="preserve"> </w:t>
      </w:r>
    </w:p>
    <w:p w14:paraId="756EEFBF" w14:textId="77777777" w:rsidR="00E07741" w:rsidRPr="002E42F1" w:rsidRDefault="00E07741" w:rsidP="006C282B">
      <w:pPr>
        <w:pStyle w:val="NoSpacing"/>
        <w:jc w:val="both"/>
        <w:rPr>
          <w:sz w:val="28"/>
          <w:szCs w:val="28"/>
        </w:rPr>
      </w:pPr>
    </w:p>
    <w:p w14:paraId="0962E6D8" w14:textId="3951F2FF" w:rsidR="006E327F" w:rsidRPr="002E42F1" w:rsidRDefault="00E65FF2" w:rsidP="00E07741">
      <w:pPr>
        <w:pStyle w:val="NoSpacing"/>
        <w:jc w:val="right"/>
        <w:rPr>
          <w:sz w:val="28"/>
          <w:szCs w:val="28"/>
        </w:rPr>
      </w:pPr>
      <w:r w:rsidRPr="002E42F1">
        <w:rPr>
          <w:sz w:val="28"/>
          <w:szCs w:val="28"/>
        </w:rPr>
        <w:t>9</w:t>
      </w:r>
      <w:r w:rsidR="00AB10F2" w:rsidRPr="002E42F1">
        <w:rPr>
          <w:sz w:val="28"/>
          <w:szCs w:val="28"/>
        </w:rPr>
        <w:t>. tabula</w:t>
      </w:r>
    </w:p>
    <w:p w14:paraId="420C24F6" w14:textId="278D4DB3" w:rsidR="00297794" w:rsidRPr="002E42F1" w:rsidRDefault="004C0035" w:rsidP="00E07741">
      <w:pPr>
        <w:pStyle w:val="NoSpacing"/>
        <w:jc w:val="center"/>
        <w:rPr>
          <w:bCs/>
          <w:iCs/>
          <w:sz w:val="28"/>
          <w:szCs w:val="28"/>
        </w:rPr>
      </w:pPr>
      <w:r w:rsidRPr="002E42F1">
        <w:rPr>
          <w:bCs/>
          <w:iCs/>
          <w:sz w:val="28"/>
          <w:szCs w:val="28"/>
        </w:rPr>
        <w:t>“TOP 10” p</w:t>
      </w:r>
      <w:r w:rsidR="00594493" w:rsidRPr="002E42F1">
        <w:rPr>
          <w:bCs/>
          <w:iCs/>
          <w:sz w:val="28"/>
          <w:szCs w:val="28"/>
        </w:rPr>
        <w:t>ašvaldības un pašvaldību in</w:t>
      </w:r>
      <w:r w:rsidR="00297794" w:rsidRPr="002E42F1">
        <w:rPr>
          <w:bCs/>
          <w:iCs/>
          <w:sz w:val="28"/>
          <w:szCs w:val="28"/>
        </w:rPr>
        <w:t>stitūcijas,</w:t>
      </w:r>
    </w:p>
    <w:p w14:paraId="3C88486B" w14:textId="72EA954E" w:rsidR="00297794" w:rsidRPr="002E42F1" w:rsidRDefault="00297794" w:rsidP="00E07741">
      <w:pPr>
        <w:pStyle w:val="NoSpacing"/>
        <w:jc w:val="center"/>
        <w:rPr>
          <w:bCs/>
          <w:iCs/>
          <w:sz w:val="28"/>
          <w:szCs w:val="28"/>
        </w:rPr>
      </w:pPr>
      <w:r w:rsidRPr="002E42F1">
        <w:rPr>
          <w:bCs/>
          <w:iCs/>
          <w:sz w:val="28"/>
          <w:szCs w:val="28"/>
        </w:rPr>
        <w:t>kuras visvairāk 2019</w:t>
      </w:r>
      <w:r w:rsidR="00594493" w:rsidRPr="002E42F1">
        <w:rPr>
          <w:bCs/>
          <w:iCs/>
          <w:sz w:val="28"/>
          <w:szCs w:val="28"/>
        </w:rPr>
        <w:t>. gadā rīkojušas iepirkumus</w:t>
      </w:r>
      <w:r w:rsidR="002B50C6" w:rsidRPr="002E42F1">
        <w:rPr>
          <w:bCs/>
          <w:iCs/>
          <w:sz w:val="28"/>
          <w:szCs w:val="28"/>
        </w:rPr>
        <w:t>,</w:t>
      </w:r>
      <w:r w:rsidR="00594493" w:rsidRPr="002E42F1">
        <w:rPr>
          <w:bCs/>
          <w:iCs/>
          <w:sz w:val="28"/>
          <w:szCs w:val="28"/>
        </w:rPr>
        <w:t xml:space="preserve"> </w:t>
      </w:r>
      <w:r w:rsidR="006F7535" w:rsidRPr="002E42F1">
        <w:rPr>
          <w:bCs/>
          <w:iCs/>
          <w:sz w:val="28"/>
          <w:szCs w:val="28"/>
        </w:rPr>
        <w:t>ievērojot ZPI</w:t>
      </w:r>
    </w:p>
    <w:p w14:paraId="74FFC504" w14:textId="32E482BC" w:rsidR="007F3FC6" w:rsidRPr="002E42F1" w:rsidRDefault="00594493" w:rsidP="00E07741">
      <w:pPr>
        <w:pStyle w:val="NoSpacing"/>
        <w:jc w:val="center"/>
        <w:rPr>
          <w:bCs/>
          <w:iCs/>
          <w:sz w:val="28"/>
          <w:szCs w:val="28"/>
        </w:rPr>
      </w:pPr>
      <w:r w:rsidRPr="002E42F1">
        <w:rPr>
          <w:bCs/>
          <w:iCs/>
          <w:sz w:val="28"/>
          <w:szCs w:val="28"/>
        </w:rPr>
        <w:t>(pēc līgumcenas).</w:t>
      </w:r>
    </w:p>
    <w:p w14:paraId="03783773" w14:textId="20939BDE" w:rsidR="00297794" w:rsidRPr="002E42F1" w:rsidRDefault="00297794" w:rsidP="006C282B">
      <w:pPr>
        <w:pStyle w:val="NoSpacing"/>
        <w:jc w:val="both"/>
        <w:rPr>
          <w:sz w:val="28"/>
          <w:szCs w:val="28"/>
        </w:rPr>
      </w:pPr>
    </w:p>
    <w:tbl>
      <w:tblPr>
        <w:tblW w:w="9067" w:type="dxa"/>
        <w:tblLook w:val="04A0" w:firstRow="1" w:lastRow="0" w:firstColumn="1" w:lastColumn="0" w:noHBand="0" w:noVBand="1"/>
      </w:tblPr>
      <w:tblGrid>
        <w:gridCol w:w="4390"/>
        <w:gridCol w:w="2409"/>
        <w:gridCol w:w="2268"/>
      </w:tblGrid>
      <w:tr w:rsidR="002E42F1" w:rsidRPr="002E42F1" w14:paraId="2B8E9955" w14:textId="1CEE1143" w:rsidTr="00FE4509">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2CD2" w14:textId="4C12F16E" w:rsidR="00596C1A" w:rsidRPr="002E42F1" w:rsidRDefault="00596C1A" w:rsidP="00E07741">
            <w:pPr>
              <w:pStyle w:val="NoSpacing"/>
              <w:jc w:val="center"/>
            </w:pPr>
            <w:r w:rsidRPr="002E42F1">
              <w:t>Pašvaldības iestādes nosaukums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EB97370" w14:textId="77777777" w:rsidR="00596C1A" w:rsidRPr="002E42F1" w:rsidRDefault="00596C1A" w:rsidP="00E07741">
            <w:pPr>
              <w:pStyle w:val="NoSpacing"/>
              <w:jc w:val="center"/>
            </w:pPr>
            <w:r w:rsidRPr="002E42F1">
              <w:t>Kopējā līgumcena EUR, bez PVN</w:t>
            </w:r>
          </w:p>
        </w:tc>
        <w:tc>
          <w:tcPr>
            <w:tcW w:w="2268" w:type="dxa"/>
            <w:tcBorders>
              <w:top w:val="single" w:sz="4" w:space="0" w:color="auto"/>
              <w:left w:val="nil"/>
              <w:bottom w:val="single" w:sz="4" w:space="0" w:color="auto"/>
              <w:right w:val="single" w:sz="4" w:space="0" w:color="auto"/>
            </w:tcBorders>
            <w:vAlign w:val="center"/>
          </w:tcPr>
          <w:p w14:paraId="549F69B7" w14:textId="4CC4209C" w:rsidR="00596C1A" w:rsidRPr="002E42F1" w:rsidRDefault="00596C1A" w:rsidP="00E07741">
            <w:pPr>
              <w:pStyle w:val="NoSpacing"/>
              <w:jc w:val="center"/>
            </w:pPr>
            <w:r w:rsidRPr="002E42F1">
              <w:t>Iestāde bijusi arī 2018.g. “TOP 10”</w:t>
            </w:r>
          </w:p>
        </w:tc>
      </w:tr>
      <w:tr w:rsidR="002E42F1" w:rsidRPr="002E42F1" w14:paraId="0FB92BE2" w14:textId="32A74D26"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092D489" w14:textId="77777777" w:rsidR="00FE4509" w:rsidRPr="002E42F1" w:rsidRDefault="00FE4509" w:rsidP="00E07741">
            <w:pPr>
              <w:pStyle w:val="NoSpacing"/>
            </w:pPr>
            <w:r w:rsidRPr="002E42F1">
              <w:t xml:space="preserve">Jūrmalas pilsētas dome </w:t>
            </w:r>
          </w:p>
        </w:tc>
        <w:tc>
          <w:tcPr>
            <w:tcW w:w="2409" w:type="dxa"/>
            <w:tcBorders>
              <w:top w:val="nil"/>
              <w:left w:val="nil"/>
              <w:bottom w:val="single" w:sz="4" w:space="0" w:color="auto"/>
              <w:right w:val="single" w:sz="4" w:space="0" w:color="auto"/>
            </w:tcBorders>
            <w:shd w:val="clear" w:color="auto" w:fill="auto"/>
            <w:noWrap/>
            <w:vAlign w:val="bottom"/>
            <w:hideMark/>
          </w:tcPr>
          <w:p w14:paraId="3BF060AA" w14:textId="72097AC3" w:rsidR="00FE4509" w:rsidRPr="002E42F1" w:rsidRDefault="00FE4509" w:rsidP="00E07741">
            <w:pPr>
              <w:pStyle w:val="NoSpacing"/>
              <w:jc w:val="center"/>
            </w:pPr>
            <w:r w:rsidRPr="002E42F1">
              <w:t>34 052 796</w:t>
            </w:r>
          </w:p>
        </w:tc>
        <w:tc>
          <w:tcPr>
            <w:tcW w:w="2268" w:type="dxa"/>
            <w:tcBorders>
              <w:top w:val="nil"/>
              <w:left w:val="nil"/>
              <w:bottom w:val="single" w:sz="4" w:space="0" w:color="auto"/>
              <w:right w:val="single" w:sz="4" w:space="0" w:color="auto"/>
            </w:tcBorders>
            <w:vAlign w:val="center"/>
          </w:tcPr>
          <w:p w14:paraId="574789F6" w14:textId="0FDB9605" w:rsidR="00FE4509" w:rsidRPr="002E42F1" w:rsidRDefault="00FE4509" w:rsidP="00E07741">
            <w:pPr>
              <w:pStyle w:val="NoSpacing"/>
              <w:jc w:val="center"/>
            </w:pPr>
            <w:r w:rsidRPr="002E42F1">
              <w:t>X</w:t>
            </w:r>
          </w:p>
        </w:tc>
      </w:tr>
      <w:tr w:rsidR="002E42F1" w:rsidRPr="002E42F1" w14:paraId="348180B4" w14:textId="6E84966E"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DD53393" w14:textId="77777777" w:rsidR="00FE4509" w:rsidRPr="002E42F1" w:rsidRDefault="00FE4509" w:rsidP="00E07741">
            <w:pPr>
              <w:pStyle w:val="NoSpacing"/>
            </w:pPr>
            <w:r w:rsidRPr="002E42F1">
              <w:t xml:space="preserve">Daugavpils pilsētas dome </w:t>
            </w:r>
          </w:p>
        </w:tc>
        <w:tc>
          <w:tcPr>
            <w:tcW w:w="2409" w:type="dxa"/>
            <w:tcBorders>
              <w:top w:val="nil"/>
              <w:left w:val="nil"/>
              <w:bottom w:val="single" w:sz="4" w:space="0" w:color="auto"/>
              <w:right w:val="single" w:sz="4" w:space="0" w:color="auto"/>
            </w:tcBorders>
            <w:shd w:val="clear" w:color="auto" w:fill="auto"/>
            <w:noWrap/>
            <w:vAlign w:val="bottom"/>
            <w:hideMark/>
          </w:tcPr>
          <w:p w14:paraId="07286A45" w14:textId="48DFFEE3" w:rsidR="00FE4509" w:rsidRPr="002E42F1" w:rsidRDefault="00FE4509" w:rsidP="00E07741">
            <w:pPr>
              <w:pStyle w:val="NoSpacing"/>
              <w:jc w:val="center"/>
            </w:pPr>
            <w:r w:rsidRPr="002E42F1">
              <w:t>24 315 872</w:t>
            </w:r>
          </w:p>
        </w:tc>
        <w:tc>
          <w:tcPr>
            <w:tcW w:w="2268" w:type="dxa"/>
            <w:tcBorders>
              <w:top w:val="nil"/>
              <w:left w:val="nil"/>
              <w:bottom w:val="single" w:sz="4" w:space="0" w:color="auto"/>
              <w:right w:val="single" w:sz="4" w:space="0" w:color="auto"/>
            </w:tcBorders>
            <w:vAlign w:val="center"/>
          </w:tcPr>
          <w:p w14:paraId="6F8BE1A9" w14:textId="04F83E4E" w:rsidR="00FE4509" w:rsidRPr="002E42F1" w:rsidRDefault="00FE4509" w:rsidP="00E07741">
            <w:pPr>
              <w:pStyle w:val="NoSpacing"/>
              <w:jc w:val="center"/>
            </w:pPr>
            <w:r w:rsidRPr="002E42F1">
              <w:t>X</w:t>
            </w:r>
          </w:p>
        </w:tc>
      </w:tr>
      <w:tr w:rsidR="002E42F1" w:rsidRPr="002E42F1" w14:paraId="63F91247" w14:textId="645CF938" w:rsidTr="00886738">
        <w:tc>
          <w:tcPr>
            <w:tcW w:w="4390" w:type="dxa"/>
            <w:tcBorders>
              <w:top w:val="nil"/>
              <w:left w:val="single" w:sz="4" w:space="0" w:color="auto"/>
              <w:bottom w:val="single" w:sz="4" w:space="0" w:color="auto"/>
              <w:right w:val="single" w:sz="4" w:space="0" w:color="auto"/>
            </w:tcBorders>
            <w:shd w:val="clear" w:color="auto" w:fill="auto"/>
            <w:vAlign w:val="center"/>
            <w:hideMark/>
          </w:tcPr>
          <w:p w14:paraId="67335699" w14:textId="77777777" w:rsidR="00FE4509" w:rsidRPr="002E42F1" w:rsidRDefault="00FE4509" w:rsidP="00E07741">
            <w:pPr>
              <w:pStyle w:val="NoSpacing"/>
            </w:pPr>
            <w:r w:rsidRPr="002E42F1">
              <w:t xml:space="preserve">Rīgas domes Izglītības, kultūras un sporta departaments </w:t>
            </w:r>
          </w:p>
        </w:tc>
        <w:tc>
          <w:tcPr>
            <w:tcW w:w="2409" w:type="dxa"/>
            <w:tcBorders>
              <w:top w:val="nil"/>
              <w:left w:val="nil"/>
              <w:bottom w:val="single" w:sz="4" w:space="0" w:color="auto"/>
              <w:right w:val="single" w:sz="4" w:space="0" w:color="auto"/>
            </w:tcBorders>
            <w:shd w:val="clear" w:color="auto" w:fill="auto"/>
            <w:noWrap/>
            <w:vAlign w:val="bottom"/>
            <w:hideMark/>
          </w:tcPr>
          <w:p w14:paraId="378E2A49" w14:textId="0AC1FBA1" w:rsidR="00FE4509" w:rsidRPr="002E42F1" w:rsidRDefault="00FE4509" w:rsidP="00E07741">
            <w:pPr>
              <w:pStyle w:val="NoSpacing"/>
              <w:jc w:val="center"/>
            </w:pPr>
            <w:r w:rsidRPr="002E42F1">
              <w:t>20 467 419</w:t>
            </w:r>
          </w:p>
        </w:tc>
        <w:tc>
          <w:tcPr>
            <w:tcW w:w="2268" w:type="dxa"/>
            <w:tcBorders>
              <w:top w:val="nil"/>
              <w:left w:val="nil"/>
              <w:bottom w:val="single" w:sz="4" w:space="0" w:color="auto"/>
              <w:right w:val="single" w:sz="4" w:space="0" w:color="auto"/>
            </w:tcBorders>
            <w:vAlign w:val="center"/>
          </w:tcPr>
          <w:p w14:paraId="5DD1B7AD" w14:textId="4A0E2C0E" w:rsidR="00FE4509" w:rsidRPr="002E42F1" w:rsidRDefault="00FE4509" w:rsidP="00E07741">
            <w:pPr>
              <w:pStyle w:val="NoSpacing"/>
              <w:jc w:val="center"/>
            </w:pPr>
            <w:r w:rsidRPr="002E42F1">
              <w:t>X</w:t>
            </w:r>
          </w:p>
        </w:tc>
      </w:tr>
      <w:tr w:rsidR="002E42F1" w:rsidRPr="002E42F1" w14:paraId="6013196A" w14:textId="51805BFC"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53F0CE0" w14:textId="77777777" w:rsidR="00FE4509" w:rsidRPr="002E42F1" w:rsidRDefault="00FE4509" w:rsidP="00E07741">
            <w:pPr>
              <w:pStyle w:val="NoSpacing"/>
            </w:pPr>
            <w:r w:rsidRPr="002E42F1">
              <w:t xml:space="preserve">Jelgavas pilsētas dome </w:t>
            </w:r>
          </w:p>
        </w:tc>
        <w:tc>
          <w:tcPr>
            <w:tcW w:w="2409" w:type="dxa"/>
            <w:tcBorders>
              <w:top w:val="nil"/>
              <w:left w:val="nil"/>
              <w:bottom w:val="single" w:sz="4" w:space="0" w:color="auto"/>
              <w:right w:val="single" w:sz="4" w:space="0" w:color="auto"/>
            </w:tcBorders>
            <w:shd w:val="clear" w:color="auto" w:fill="auto"/>
            <w:noWrap/>
            <w:vAlign w:val="bottom"/>
            <w:hideMark/>
          </w:tcPr>
          <w:p w14:paraId="3EDDDA79" w14:textId="5CEECA7D" w:rsidR="00FE4509" w:rsidRPr="002E42F1" w:rsidRDefault="00FE4509" w:rsidP="00E07741">
            <w:pPr>
              <w:pStyle w:val="NoSpacing"/>
              <w:jc w:val="center"/>
            </w:pPr>
            <w:r w:rsidRPr="002E42F1">
              <w:t>15 590 377</w:t>
            </w:r>
          </w:p>
        </w:tc>
        <w:tc>
          <w:tcPr>
            <w:tcW w:w="2268" w:type="dxa"/>
            <w:tcBorders>
              <w:top w:val="nil"/>
              <w:left w:val="nil"/>
              <w:bottom w:val="single" w:sz="4" w:space="0" w:color="auto"/>
              <w:right w:val="single" w:sz="4" w:space="0" w:color="auto"/>
            </w:tcBorders>
            <w:vAlign w:val="center"/>
          </w:tcPr>
          <w:p w14:paraId="4455C137" w14:textId="3388360A" w:rsidR="00FE4509" w:rsidRPr="002E42F1" w:rsidRDefault="00FE4509" w:rsidP="00E07741">
            <w:pPr>
              <w:pStyle w:val="NoSpacing"/>
              <w:jc w:val="center"/>
            </w:pPr>
            <w:r w:rsidRPr="002E42F1">
              <w:t>X</w:t>
            </w:r>
          </w:p>
        </w:tc>
      </w:tr>
      <w:tr w:rsidR="002E42F1" w:rsidRPr="002E42F1" w14:paraId="00634970" w14:textId="28E23FB0"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7C2DFF5" w14:textId="77777777" w:rsidR="00FE4509" w:rsidRPr="002E42F1" w:rsidRDefault="00FE4509" w:rsidP="00E07741">
            <w:pPr>
              <w:pStyle w:val="NoSpacing"/>
            </w:pPr>
            <w:r w:rsidRPr="002E42F1">
              <w:t xml:space="preserve">Rēzeknes pilsētas dome </w:t>
            </w:r>
          </w:p>
        </w:tc>
        <w:tc>
          <w:tcPr>
            <w:tcW w:w="2409" w:type="dxa"/>
            <w:tcBorders>
              <w:top w:val="nil"/>
              <w:left w:val="nil"/>
              <w:bottom w:val="single" w:sz="4" w:space="0" w:color="auto"/>
              <w:right w:val="single" w:sz="4" w:space="0" w:color="auto"/>
            </w:tcBorders>
            <w:shd w:val="clear" w:color="auto" w:fill="auto"/>
            <w:noWrap/>
            <w:vAlign w:val="bottom"/>
            <w:hideMark/>
          </w:tcPr>
          <w:p w14:paraId="6A169BC8" w14:textId="1DC22A22" w:rsidR="00FE4509" w:rsidRPr="002E42F1" w:rsidRDefault="00FE4509" w:rsidP="00E07741">
            <w:pPr>
              <w:pStyle w:val="NoSpacing"/>
              <w:jc w:val="center"/>
            </w:pPr>
            <w:r w:rsidRPr="002E42F1">
              <w:t>14 269 128</w:t>
            </w:r>
          </w:p>
        </w:tc>
        <w:tc>
          <w:tcPr>
            <w:tcW w:w="2268" w:type="dxa"/>
            <w:tcBorders>
              <w:top w:val="nil"/>
              <w:left w:val="nil"/>
              <w:bottom w:val="single" w:sz="4" w:space="0" w:color="auto"/>
              <w:right w:val="single" w:sz="4" w:space="0" w:color="auto"/>
            </w:tcBorders>
            <w:vAlign w:val="center"/>
          </w:tcPr>
          <w:p w14:paraId="0AB1FB36" w14:textId="69E0DC02" w:rsidR="00FE4509" w:rsidRPr="002E42F1" w:rsidRDefault="00FE4509" w:rsidP="00E07741">
            <w:pPr>
              <w:pStyle w:val="NoSpacing"/>
              <w:jc w:val="center"/>
            </w:pPr>
            <w:r w:rsidRPr="002E42F1">
              <w:t>X</w:t>
            </w:r>
          </w:p>
        </w:tc>
      </w:tr>
      <w:tr w:rsidR="002E42F1" w:rsidRPr="002E42F1" w14:paraId="37D8258B" w14:textId="68FF09E7"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C04F1E0" w14:textId="77777777" w:rsidR="00FE4509" w:rsidRPr="002E42F1" w:rsidRDefault="00FE4509" w:rsidP="00E07741">
            <w:pPr>
              <w:pStyle w:val="NoSpacing"/>
            </w:pPr>
            <w:r w:rsidRPr="002E42F1">
              <w:t xml:space="preserve">Jēkabpils pilsētas pašvaldība </w:t>
            </w:r>
          </w:p>
        </w:tc>
        <w:tc>
          <w:tcPr>
            <w:tcW w:w="2409" w:type="dxa"/>
            <w:tcBorders>
              <w:top w:val="nil"/>
              <w:left w:val="nil"/>
              <w:bottom w:val="single" w:sz="4" w:space="0" w:color="auto"/>
              <w:right w:val="single" w:sz="4" w:space="0" w:color="auto"/>
            </w:tcBorders>
            <w:shd w:val="clear" w:color="auto" w:fill="auto"/>
            <w:noWrap/>
            <w:vAlign w:val="bottom"/>
            <w:hideMark/>
          </w:tcPr>
          <w:p w14:paraId="64C01450" w14:textId="220F061F" w:rsidR="00FE4509" w:rsidRPr="002E42F1" w:rsidRDefault="00FE4509" w:rsidP="00E07741">
            <w:pPr>
              <w:pStyle w:val="NoSpacing"/>
              <w:jc w:val="center"/>
            </w:pPr>
            <w:r w:rsidRPr="002E42F1">
              <w:t>13 836 892</w:t>
            </w:r>
          </w:p>
        </w:tc>
        <w:tc>
          <w:tcPr>
            <w:tcW w:w="2268" w:type="dxa"/>
            <w:tcBorders>
              <w:top w:val="nil"/>
              <w:left w:val="nil"/>
              <w:bottom w:val="single" w:sz="4" w:space="0" w:color="auto"/>
              <w:right w:val="single" w:sz="4" w:space="0" w:color="auto"/>
            </w:tcBorders>
            <w:vAlign w:val="center"/>
          </w:tcPr>
          <w:p w14:paraId="1B2BC11B" w14:textId="20F9FA23" w:rsidR="00FE4509" w:rsidRPr="002E42F1" w:rsidRDefault="00FE4509" w:rsidP="00E07741">
            <w:pPr>
              <w:pStyle w:val="NoSpacing"/>
              <w:jc w:val="center"/>
            </w:pPr>
            <w:r w:rsidRPr="002E42F1">
              <w:t>X</w:t>
            </w:r>
          </w:p>
        </w:tc>
      </w:tr>
      <w:tr w:rsidR="002E42F1" w:rsidRPr="002E42F1" w14:paraId="1723B6FC" w14:textId="789BE8A5"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A250F39" w14:textId="77777777" w:rsidR="00FE4509" w:rsidRPr="002E42F1" w:rsidRDefault="00FE4509" w:rsidP="00E07741">
            <w:pPr>
              <w:pStyle w:val="NoSpacing"/>
            </w:pPr>
            <w:r w:rsidRPr="002E42F1">
              <w:t xml:space="preserve">Saldus novada pašvaldība </w:t>
            </w:r>
          </w:p>
        </w:tc>
        <w:tc>
          <w:tcPr>
            <w:tcW w:w="2409" w:type="dxa"/>
            <w:tcBorders>
              <w:top w:val="nil"/>
              <w:left w:val="nil"/>
              <w:bottom w:val="single" w:sz="4" w:space="0" w:color="auto"/>
              <w:right w:val="single" w:sz="4" w:space="0" w:color="auto"/>
            </w:tcBorders>
            <w:shd w:val="clear" w:color="auto" w:fill="auto"/>
            <w:noWrap/>
            <w:vAlign w:val="bottom"/>
            <w:hideMark/>
          </w:tcPr>
          <w:p w14:paraId="7AC5F3B7" w14:textId="52F94FBF" w:rsidR="00FE4509" w:rsidRPr="002E42F1" w:rsidRDefault="00FE4509" w:rsidP="00E07741">
            <w:pPr>
              <w:pStyle w:val="NoSpacing"/>
              <w:jc w:val="center"/>
            </w:pPr>
            <w:r w:rsidRPr="002E42F1">
              <w:t>12 645 941</w:t>
            </w:r>
          </w:p>
        </w:tc>
        <w:tc>
          <w:tcPr>
            <w:tcW w:w="2268" w:type="dxa"/>
            <w:tcBorders>
              <w:top w:val="nil"/>
              <w:left w:val="nil"/>
              <w:bottom w:val="single" w:sz="4" w:space="0" w:color="auto"/>
              <w:right w:val="single" w:sz="4" w:space="0" w:color="auto"/>
            </w:tcBorders>
            <w:vAlign w:val="center"/>
          </w:tcPr>
          <w:p w14:paraId="1038F8DB" w14:textId="77777777" w:rsidR="00FE4509" w:rsidRPr="002E42F1" w:rsidRDefault="00FE4509" w:rsidP="00E07741">
            <w:pPr>
              <w:pStyle w:val="NoSpacing"/>
              <w:jc w:val="center"/>
            </w:pPr>
          </w:p>
        </w:tc>
      </w:tr>
      <w:tr w:rsidR="002E42F1" w:rsidRPr="002E42F1" w14:paraId="7AE1A8D4" w14:textId="74AFA739"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02F8CA1" w14:textId="77777777" w:rsidR="00FE4509" w:rsidRPr="002E42F1" w:rsidRDefault="00FE4509" w:rsidP="00E07741">
            <w:pPr>
              <w:pStyle w:val="NoSpacing"/>
            </w:pPr>
            <w:r w:rsidRPr="002E42F1">
              <w:t xml:space="preserve">Rīgas domes Satiksmes departaments </w:t>
            </w:r>
          </w:p>
        </w:tc>
        <w:tc>
          <w:tcPr>
            <w:tcW w:w="2409" w:type="dxa"/>
            <w:tcBorders>
              <w:top w:val="nil"/>
              <w:left w:val="nil"/>
              <w:bottom w:val="single" w:sz="4" w:space="0" w:color="auto"/>
              <w:right w:val="single" w:sz="4" w:space="0" w:color="auto"/>
            </w:tcBorders>
            <w:shd w:val="clear" w:color="auto" w:fill="auto"/>
            <w:noWrap/>
            <w:vAlign w:val="bottom"/>
            <w:hideMark/>
          </w:tcPr>
          <w:p w14:paraId="4B32E756" w14:textId="4642C959" w:rsidR="00FE4509" w:rsidRPr="002E42F1" w:rsidRDefault="00FE4509" w:rsidP="00E07741">
            <w:pPr>
              <w:pStyle w:val="NoSpacing"/>
              <w:jc w:val="center"/>
            </w:pPr>
            <w:r w:rsidRPr="002E42F1">
              <w:t>10 751 422</w:t>
            </w:r>
          </w:p>
        </w:tc>
        <w:tc>
          <w:tcPr>
            <w:tcW w:w="2268" w:type="dxa"/>
            <w:tcBorders>
              <w:top w:val="nil"/>
              <w:left w:val="nil"/>
              <w:bottom w:val="single" w:sz="4" w:space="0" w:color="auto"/>
              <w:right w:val="single" w:sz="4" w:space="0" w:color="auto"/>
            </w:tcBorders>
            <w:vAlign w:val="center"/>
          </w:tcPr>
          <w:p w14:paraId="11AF225B" w14:textId="54A01245" w:rsidR="00FE4509" w:rsidRPr="002E42F1" w:rsidRDefault="00FE4509" w:rsidP="00E07741">
            <w:pPr>
              <w:pStyle w:val="NoSpacing"/>
              <w:jc w:val="center"/>
            </w:pPr>
            <w:r w:rsidRPr="002E42F1">
              <w:t>X</w:t>
            </w:r>
          </w:p>
        </w:tc>
      </w:tr>
      <w:tr w:rsidR="002E42F1" w:rsidRPr="002E42F1" w14:paraId="2E300E0A" w14:textId="06C5BF39"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E16BE02" w14:textId="77777777" w:rsidR="00FE4509" w:rsidRPr="002E42F1" w:rsidRDefault="00FE4509" w:rsidP="00E07741">
            <w:pPr>
              <w:pStyle w:val="NoSpacing"/>
            </w:pPr>
            <w:r w:rsidRPr="002E42F1">
              <w:t xml:space="preserve">Smiltenes novada pašvaldība </w:t>
            </w:r>
          </w:p>
        </w:tc>
        <w:tc>
          <w:tcPr>
            <w:tcW w:w="2409" w:type="dxa"/>
            <w:tcBorders>
              <w:top w:val="nil"/>
              <w:left w:val="nil"/>
              <w:bottom w:val="single" w:sz="4" w:space="0" w:color="auto"/>
              <w:right w:val="single" w:sz="4" w:space="0" w:color="auto"/>
            </w:tcBorders>
            <w:shd w:val="clear" w:color="auto" w:fill="auto"/>
            <w:noWrap/>
            <w:vAlign w:val="bottom"/>
            <w:hideMark/>
          </w:tcPr>
          <w:p w14:paraId="09842946" w14:textId="4560B81B" w:rsidR="00FE4509" w:rsidRPr="002E42F1" w:rsidRDefault="00FE4509" w:rsidP="00E07741">
            <w:pPr>
              <w:pStyle w:val="NoSpacing"/>
              <w:jc w:val="center"/>
            </w:pPr>
            <w:r w:rsidRPr="002E42F1">
              <w:t>9 437 739</w:t>
            </w:r>
          </w:p>
        </w:tc>
        <w:tc>
          <w:tcPr>
            <w:tcW w:w="2268" w:type="dxa"/>
            <w:tcBorders>
              <w:top w:val="nil"/>
              <w:left w:val="nil"/>
              <w:bottom w:val="single" w:sz="4" w:space="0" w:color="auto"/>
              <w:right w:val="single" w:sz="4" w:space="0" w:color="auto"/>
            </w:tcBorders>
            <w:vAlign w:val="center"/>
          </w:tcPr>
          <w:p w14:paraId="6B45B017" w14:textId="77777777" w:rsidR="00FE4509" w:rsidRPr="002E42F1" w:rsidRDefault="00FE4509" w:rsidP="00E07741">
            <w:pPr>
              <w:pStyle w:val="NoSpacing"/>
              <w:jc w:val="center"/>
            </w:pPr>
          </w:p>
        </w:tc>
      </w:tr>
      <w:tr w:rsidR="002E42F1" w:rsidRPr="002E42F1" w14:paraId="622603D7" w14:textId="6B816002" w:rsidTr="00886738">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4976489" w14:textId="77777777" w:rsidR="00FE4509" w:rsidRPr="002E42F1" w:rsidRDefault="00FE4509" w:rsidP="00E07741">
            <w:pPr>
              <w:pStyle w:val="NoSpacing"/>
            </w:pPr>
            <w:r w:rsidRPr="002E42F1">
              <w:t xml:space="preserve">Ogres novada pašvaldība </w:t>
            </w:r>
          </w:p>
        </w:tc>
        <w:tc>
          <w:tcPr>
            <w:tcW w:w="2409" w:type="dxa"/>
            <w:tcBorders>
              <w:top w:val="nil"/>
              <w:left w:val="nil"/>
              <w:bottom w:val="single" w:sz="4" w:space="0" w:color="auto"/>
              <w:right w:val="single" w:sz="4" w:space="0" w:color="auto"/>
            </w:tcBorders>
            <w:shd w:val="clear" w:color="auto" w:fill="auto"/>
            <w:noWrap/>
            <w:vAlign w:val="bottom"/>
            <w:hideMark/>
          </w:tcPr>
          <w:p w14:paraId="3EF89983" w14:textId="1BFB1060" w:rsidR="00FE4509" w:rsidRPr="002E42F1" w:rsidRDefault="00FE4509" w:rsidP="00E07741">
            <w:pPr>
              <w:pStyle w:val="NoSpacing"/>
              <w:jc w:val="center"/>
            </w:pPr>
            <w:r w:rsidRPr="002E42F1">
              <w:t>6 318 647</w:t>
            </w:r>
          </w:p>
        </w:tc>
        <w:tc>
          <w:tcPr>
            <w:tcW w:w="2268" w:type="dxa"/>
            <w:tcBorders>
              <w:top w:val="nil"/>
              <w:left w:val="nil"/>
              <w:bottom w:val="single" w:sz="4" w:space="0" w:color="auto"/>
              <w:right w:val="single" w:sz="4" w:space="0" w:color="auto"/>
            </w:tcBorders>
            <w:vAlign w:val="center"/>
          </w:tcPr>
          <w:p w14:paraId="5D4D1E17" w14:textId="77777777" w:rsidR="00FE4509" w:rsidRPr="002E42F1" w:rsidRDefault="00FE4509" w:rsidP="00E07741">
            <w:pPr>
              <w:pStyle w:val="NoSpacing"/>
              <w:jc w:val="center"/>
            </w:pPr>
          </w:p>
        </w:tc>
      </w:tr>
    </w:tbl>
    <w:p w14:paraId="13361DD9" w14:textId="734AE386" w:rsidR="007F3FC6" w:rsidRPr="002E42F1" w:rsidRDefault="00A76D42" w:rsidP="006C282B">
      <w:pPr>
        <w:pStyle w:val="NoSpacing"/>
        <w:jc w:val="both"/>
        <w:rPr>
          <w:bCs/>
          <w:iCs/>
          <w:sz w:val="28"/>
          <w:szCs w:val="28"/>
        </w:rPr>
      </w:pPr>
      <w:r w:rsidRPr="002E42F1">
        <w:rPr>
          <w:bCs/>
          <w:iCs/>
          <w:sz w:val="28"/>
          <w:szCs w:val="28"/>
        </w:rPr>
        <w:t>Avots: IUB d</w:t>
      </w:r>
      <w:r w:rsidR="000C1A5D" w:rsidRPr="002E42F1">
        <w:rPr>
          <w:bCs/>
          <w:iCs/>
          <w:sz w:val="28"/>
          <w:szCs w:val="28"/>
        </w:rPr>
        <w:t>ati</w:t>
      </w:r>
    </w:p>
    <w:p w14:paraId="6A3F0700" w14:textId="77777777" w:rsidR="007F3FC6" w:rsidRPr="002E42F1" w:rsidRDefault="007F3FC6" w:rsidP="006C282B">
      <w:pPr>
        <w:pStyle w:val="NoSpacing"/>
        <w:jc w:val="both"/>
        <w:rPr>
          <w:bCs/>
          <w:iCs/>
          <w:sz w:val="28"/>
          <w:szCs w:val="28"/>
        </w:rPr>
      </w:pPr>
    </w:p>
    <w:p w14:paraId="1DE72456" w14:textId="26EC814D" w:rsidR="00160B9A" w:rsidRPr="002E42F1" w:rsidRDefault="00E65FF2" w:rsidP="00E07741">
      <w:pPr>
        <w:pStyle w:val="NoSpacing"/>
        <w:jc w:val="right"/>
        <w:rPr>
          <w:bCs/>
          <w:iCs/>
          <w:sz w:val="28"/>
          <w:szCs w:val="28"/>
        </w:rPr>
      </w:pPr>
      <w:r w:rsidRPr="002E42F1">
        <w:rPr>
          <w:bCs/>
          <w:iCs/>
          <w:sz w:val="28"/>
          <w:szCs w:val="28"/>
        </w:rPr>
        <w:t>10</w:t>
      </w:r>
      <w:r w:rsidR="00160B9A" w:rsidRPr="002E42F1">
        <w:rPr>
          <w:bCs/>
          <w:iCs/>
          <w:sz w:val="28"/>
          <w:szCs w:val="28"/>
        </w:rPr>
        <w:t>.</w:t>
      </w:r>
      <w:r w:rsidR="00AB10F2" w:rsidRPr="002E42F1">
        <w:rPr>
          <w:bCs/>
          <w:iCs/>
          <w:sz w:val="28"/>
          <w:szCs w:val="28"/>
        </w:rPr>
        <w:t xml:space="preserve"> tabula</w:t>
      </w:r>
    </w:p>
    <w:p w14:paraId="5141A346" w14:textId="2B13C2DA" w:rsidR="00D41719" w:rsidRPr="002E42F1" w:rsidRDefault="004C0035" w:rsidP="00E07741">
      <w:pPr>
        <w:pStyle w:val="NoSpacing"/>
        <w:jc w:val="center"/>
        <w:rPr>
          <w:bCs/>
          <w:iCs/>
          <w:sz w:val="28"/>
          <w:szCs w:val="28"/>
        </w:rPr>
      </w:pPr>
      <w:r w:rsidRPr="002E42F1">
        <w:rPr>
          <w:bCs/>
          <w:iCs/>
          <w:sz w:val="28"/>
          <w:szCs w:val="28"/>
        </w:rPr>
        <w:t>“TOP 10” p</w:t>
      </w:r>
      <w:r w:rsidR="00160B9A" w:rsidRPr="002E42F1">
        <w:rPr>
          <w:bCs/>
          <w:iCs/>
          <w:sz w:val="28"/>
          <w:szCs w:val="28"/>
        </w:rPr>
        <w:t>ašvaldības un pašvaldību institūcijas,</w:t>
      </w:r>
    </w:p>
    <w:p w14:paraId="77798B64" w14:textId="3026EDBA" w:rsidR="00D41719" w:rsidRPr="002E42F1" w:rsidRDefault="00160B9A" w:rsidP="00E07741">
      <w:pPr>
        <w:pStyle w:val="NoSpacing"/>
        <w:jc w:val="center"/>
        <w:rPr>
          <w:bCs/>
          <w:iCs/>
          <w:sz w:val="28"/>
          <w:szCs w:val="28"/>
        </w:rPr>
      </w:pPr>
      <w:r w:rsidRPr="002E42F1">
        <w:rPr>
          <w:bCs/>
          <w:iCs/>
          <w:sz w:val="28"/>
          <w:szCs w:val="28"/>
        </w:rPr>
        <w:t>kuras visvairāk 201</w:t>
      </w:r>
      <w:r w:rsidR="00D41719" w:rsidRPr="002E42F1">
        <w:rPr>
          <w:bCs/>
          <w:iCs/>
          <w:sz w:val="28"/>
          <w:szCs w:val="28"/>
        </w:rPr>
        <w:t>9</w:t>
      </w:r>
      <w:r w:rsidRPr="002E42F1">
        <w:rPr>
          <w:bCs/>
          <w:iCs/>
          <w:sz w:val="28"/>
          <w:szCs w:val="28"/>
        </w:rPr>
        <w:t>. gadā rīkojušas iepirkumus, ievērojot ZPI</w:t>
      </w:r>
    </w:p>
    <w:p w14:paraId="4769A805" w14:textId="386E387B" w:rsidR="00160B9A" w:rsidRPr="002E42F1" w:rsidRDefault="00160B9A" w:rsidP="00E07741">
      <w:pPr>
        <w:pStyle w:val="NoSpacing"/>
        <w:jc w:val="center"/>
        <w:rPr>
          <w:bCs/>
          <w:iCs/>
          <w:sz w:val="28"/>
          <w:szCs w:val="28"/>
        </w:rPr>
      </w:pPr>
      <w:r w:rsidRPr="002E42F1">
        <w:rPr>
          <w:bCs/>
          <w:iCs/>
          <w:sz w:val="28"/>
          <w:szCs w:val="28"/>
        </w:rPr>
        <w:t>(pēc iepirkumu skaita).</w:t>
      </w:r>
    </w:p>
    <w:p w14:paraId="6E2B33A4" w14:textId="589ACB6E" w:rsidR="004C0035" w:rsidRPr="002E42F1" w:rsidRDefault="004C0035" w:rsidP="006C282B">
      <w:pPr>
        <w:pStyle w:val="NoSpacing"/>
        <w:jc w:val="both"/>
        <w:rPr>
          <w:bCs/>
          <w:iCs/>
          <w:sz w:val="28"/>
          <w:szCs w:val="28"/>
        </w:rPr>
      </w:pPr>
    </w:p>
    <w:tbl>
      <w:tblPr>
        <w:tblW w:w="9067" w:type="dxa"/>
        <w:tblLook w:val="04A0" w:firstRow="1" w:lastRow="0" w:firstColumn="1" w:lastColumn="0" w:noHBand="0" w:noVBand="1"/>
      </w:tblPr>
      <w:tblGrid>
        <w:gridCol w:w="4390"/>
        <w:gridCol w:w="2409"/>
        <w:gridCol w:w="2268"/>
      </w:tblGrid>
      <w:tr w:rsidR="002E42F1" w:rsidRPr="002E42F1" w14:paraId="24BC4783" w14:textId="3CCE5C27" w:rsidTr="004C0035">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69A8" w14:textId="77777777" w:rsidR="004C0035" w:rsidRPr="002E42F1" w:rsidRDefault="004C0035" w:rsidP="00E07741">
            <w:pPr>
              <w:pStyle w:val="NoSpacing"/>
              <w:jc w:val="center"/>
            </w:pPr>
            <w:r w:rsidRPr="002E42F1">
              <w:t>Pašvaldības iestādes nosaukums/gads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90C378F" w14:textId="77777777" w:rsidR="004C0035" w:rsidRPr="002E42F1" w:rsidRDefault="004C0035" w:rsidP="00E07741">
            <w:pPr>
              <w:pStyle w:val="NoSpacing"/>
              <w:jc w:val="center"/>
            </w:pPr>
            <w:r w:rsidRPr="002E42F1">
              <w:t>Publikāciju skaits</w:t>
            </w:r>
          </w:p>
        </w:tc>
        <w:tc>
          <w:tcPr>
            <w:tcW w:w="2268" w:type="dxa"/>
            <w:tcBorders>
              <w:top w:val="single" w:sz="4" w:space="0" w:color="auto"/>
              <w:left w:val="nil"/>
              <w:bottom w:val="single" w:sz="4" w:space="0" w:color="auto"/>
              <w:right w:val="single" w:sz="4" w:space="0" w:color="auto"/>
            </w:tcBorders>
            <w:vAlign w:val="center"/>
          </w:tcPr>
          <w:p w14:paraId="53B213F7" w14:textId="69E5FACE" w:rsidR="004C0035" w:rsidRPr="002E42F1" w:rsidRDefault="004C0035" w:rsidP="00E07741">
            <w:pPr>
              <w:pStyle w:val="NoSpacing"/>
              <w:jc w:val="center"/>
            </w:pPr>
            <w:r w:rsidRPr="002E42F1">
              <w:t>Iestāde bijusi arī 2018.g. “TOP 10”</w:t>
            </w:r>
          </w:p>
        </w:tc>
      </w:tr>
      <w:tr w:rsidR="002E42F1" w:rsidRPr="002E42F1" w14:paraId="2D8CB772" w14:textId="39CD668B"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CBB1BDC" w14:textId="77777777" w:rsidR="004C0035" w:rsidRPr="002E42F1" w:rsidRDefault="004C0035" w:rsidP="00E07741">
            <w:pPr>
              <w:pStyle w:val="NoSpacing"/>
            </w:pPr>
            <w:r w:rsidRPr="002E42F1">
              <w:t xml:space="preserve">Rēzeknes pilsētas dome </w:t>
            </w:r>
          </w:p>
        </w:tc>
        <w:tc>
          <w:tcPr>
            <w:tcW w:w="2409" w:type="dxa"/>
            <w:tcBorders>
              <w:top w:val="nil"/>
              <w:left w:val="nil"/>
              <w:bottom w:val="single" w:sz="4" w:space="0" w:color="auto"/>
              <w:right w:val="single" w:sz="4" w:space="0" w:color="auto"/>
            </w:tcBorders>
            <w:shd w:val="clear" w:color="auto" w:fill="auto"/>
            <w:noWrap/>
            <w:vAlign w:val="center"/>
            <w:hideMark/>
          </w:tcPr>
          <w:p w14:paraId="21289945" w14:textId="77777777" w:rsidR="004C0035" w:rsidRPr="002E42F1" w:rsidRDefault="004C0035" w:rsidP="00E07741">
            <w:pPr>
              <w:pStyle w:val="NoSpacing"/>
              <w:jc w:val="center"/>
            </w:pPr>
            <w:r w:rsidRPr="002E42F1">
              <w:t>46</w:t>
            </w:r>
          </w:p>
        </w:tc>
        <w:tc>
          <w:tcPr>
            <w:tcW w:w="2268" w:type="dxa"/>
            <w:tcBorders>
              <w:top w:val="nil"/>
              <w:left w:val="nil"/>
              <w:bottom w:val="single" w:sz="4" w:space="0" w:color="auto"/>
              <w:right w:val="single" w:sz="4" w:space="0" w:color="auto"/>
            </w:tcBorders>
            <w:vAlign w:val="center"/>
          </w:tcPr>
          <w:p w14:paraId="17E3C0C2" w14:textId="483A87E1" w:rsidR="004C0035" w:rsidRPr="002E42F1" w:rsidRDefault="00D41719" w:rsidP="00E07741">
            <w:pPr>
              <w:pStyle w:val="NoSpacing"/>
              <w:jc w:val="center"/>
            </w:pPr>
            <w:r w:rsidRPr="002E42F1">
              <w:t>X</w:t>
            </w:r>
          </w:p>
        </w:tc>
      </w:tr>
      <w:tr w:rsidR="002E42F1" w:rsidRPr="002E42F1" w14:paraId="3639E200" w14:textId="17669949"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A665FEB" w14:textId="77777777" w:rsidR="004C0035" w:rsidRPr="002E42F1" w:rsidRDefault="004C0035" w:rsidP="00E07741">
            <w:pPr>
              <w:pStyle w:val="NoSpacing"/>
            </w:pPr>
            <w:r w:rsidRPr="002E42F1">
              <w:t xml:space="preserve">Daugavpils pilsētas dome </w:t>
            </w:r>
          </w:p>
        </w:tc>
        <w:tc>
          <w:tcPr>
            <w:tcW w:w="2409" w:type="dxa"/>
            <w:tcBorders>
              <w:top w:val="nil"/>
              <w:left w:val="nil"/>
              <w:bottom w:val="single" w:sz="4" w:space="0" w:color="auto"/>
              <w:right w:val="single" w:sz="4" w:space="0" w:color="auto"/>
            </w:tcBorders>
            <w:shd w:val="clear" w:color="auto" w:fill="auto"/>
            <w:noWrap/>
            <w:vAlign w:val="center"/>
            <w:hideMark/>
          </w:tcPr>
          <w:p w14:paraId="147A6323" w14:textId="77777777" w:rsidR="004C0035" w:rsidRPr="002E42F1" w:rsidRDefault="004C0035" w:rsidP="00E07741">
            <w:pPr>
              <w:pStyle w:val="NoSpacing"/>
              <w:jc w:val="center"/>
            </w:pPr>
            <w:r w:rsidRPr="002E42F1">
              <w:t>34</w:t>
            </w:r>
          </w:p>
        </w:tc>
        <w:tc>
          <w:tcPr>
            <w:tcW w:w="2268" w:type="dxa"/>
            <w:tcBorders>
              <w:top w:val="nil"/>
              <w:left w:val="nil"/>
              <w:bottom w:val="single" w:sz="4" w:space="0" w:color="auto"/>
              <w:right w:val="single" w:sz="4" w:space="0" w:color="auto"/>
            </w:tcBorders>
            <w:vAlign w:val="center"/>
          </w:tcPr>
          <w:p w14:paraId="561351F2" w14:textId="6A1B40E4" w:rsidR="004C0035" w:rsidRPr="002E42F1" w:rsidRDefault="00D41719" w:rsidP="00E07741">
            <w:pPr>
              <w:pStyle w:val="NoSpacing"/>
              <w:jc w:val="center"/>
            </w:pPr>
            <w:r w:rsidRPr="002E42F1">
              <w:t>X</w:t>
            </w:r>
          </w:p>
        </w:tc>
      </w:tr>
      <w:tr w:rsidR="002E42F1" w:rsidRPr="002E42F1" w14:paraId="6641FE17" w14:textId="3E3B953E"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59FDAE3" w14:textId="77777777" w:rsidR="004C0035" w:rsidRPr="002E42F1" w:rsidRDefault="004C0035" w:rsidP="00E07741">
            <w:pPr>
              <w:pStyle w:val="NoSpacing"/>
            </w:pPr>
            <w:r w:rsidRPr="002E42F1">
              <w:t xml:space="preserve">Jūrmalas pilsētas dome </w:t>
            </w:r>
          </w:p>
        </w:tc>
        <w:tc>
          <w:tcPr>
            <w:tcW w:w="2409" w:type="dxa"/>
            <w:tcBorders>
              <w:top w:val="nil"/>
              <w:left w:val="nil"/>
              <w:bottom w:val="single" w:sz="4" w:space="0" w:color="auto"/>
              <w:right w:val="single" w:sz="4" w:space="0" w:color="auto"/>
            </w:tcBorders>
            <w:shd w:val="clear" w:color="auto" w:fill="auto"/>
            <w:noWrap/>
            <w:vAlign w:val="center"/>
            <w:hideMark/>
          </w:tcPr>
          <w:p w14:paraId="409D1BD8" w14:textId="77777777" w:rsidR="004C0035" w:rsidRPr="002E42F1" w:rsidRDefault="004C0035" w:rsidP="00E07741">
            <w:pPr>
              <w:pStyle w:val="NoSpacing"/>
              <w:jc w:val="center"/>
            </w:pPr>
            <w:r w:rsidRPr="002E42F1">
              <w:t>29</w:t>
            </w:r>
          </w:p>
        </w:tc>
        <w:tc>
          <w:tcPr>
            <w:tcW w:w="2268" w:type="dxa"/>
            <w:tcBorders>
              <w:top w:val="nil"/>
              <w:left w:val="nil"/>
              <w:bottom w:val="single" w:sz="4" w:space="0" w:color="auto"/>
              <w:right w:val="single" w:sz="4" w:space="0" w:color="auto"/>
            </w:tcBorders>
            <w:vAlign w:val="center"/>
          </w:tcPr>
          <w:p w14:paraId="0ED94DAF" w14:textId="3A82374A" w:rsidR="004C0035" w:rsidRPr="002E42F1" w:rsidRDefault="00D41719" w:rsidP="00E07741">
            <w:pPr>
              <w:pStyle w:val="NoSpacing"/>
              <w:jc w:val="center"/>
            </w:pPr>
            <w:r w:rsidRPr="002E42F1">
              <w:t>X</w:t>
            </w:r>
          </w:p>
        </w:tc>
      </w:tr>
      <w:tr w:rsidR="002E42F1" w:rsidRPr="002E42F1" w14:paraId="0F9F8F35" w14:textId="4185E41A"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CBDA348" w14:textId="77777777" w:rsidR="004C0035" w:rsidRPr="002E42F1" w:rsidRDefault="004C0035" w:rsidP="00E07741">
            <w:pPr>
              <w:pStyle w:val="NoSpacing"/>
            </w:pPr>
            <w:r w:rsidRPr="002E42F1">
              <w:t xml:space="preserve">Jelgavas pilsētas dome </w:t>
            </w:r>
          </w:p>
        </w:tc>
        <w:tc>
          <w:tcPr>
            <w:tcW w:w="2409" w:type="dxa"/>
            <w:tcBorders>
              <w:top w:val="nil"/>
              <w:left w:val="nil"/>
              <w:bottom w:val="single" w:sz="4" w:space="0" w:color="auto"/>
              <w:right w:val="single" w:sz="4" w:space="0" w:color="auto"/>
            </w:tcBorders>
            <w:shd w:val="clear" w:color="auto" w:fill="auto"/>
            <w:noWrap/>
            <w:vAlign w:val="center"/>
            <w:hideMark/>
          </w:tcPr>
          <w:p w14:paraId="622DBC59" w14:textId="77777777" w:rsidR="004C0035" w:rsidRPr="002E42F1" w:rsidRDefault="004C0035" w:rsidP="00E07741">
            <w:pPr>
              <w:pStyle w:val="NoSpacing"/>
              <w:jc w:val="center"/>
            </w:pPr>
            <w:r w:rsidRPr="002E42F1">
              <w:t>26</w:t>
            </w:r>
          </w:p>
        </w:tc>
        <w:tc>
          <w:tcPr>
            <w:tcW w:w="2268" w:type="dxa"/>
            <w:tcBorders>
              <w:top w:val="nil"/>
              <w:left w:val="nil"/>
              <w:bottom w:val="single" w:sz="4" w:space="0" w:color="auto"/>
              <w:right w:val="single" w:sz="4" w:space="0" w:color="auto"/>
            </w:tcBorders>
            <w:vAlign w:val="center"/>
          </w:tcPr>
          <w:p w14:paraId="488C95C2" w14:textId="6C30EDB8" w:rsidR="004C0035" w:rsidRPr="002E42F1" w:rsidRDefault="00D41719" w:rsidP="00E07741">
            <w:pPr>
              <w:pStyle w:val="NoSpacing"/>
              <w:jc w:val="center"/>
            </w:pPr>
            <w:r w:rsidRPr="002E42F1">
              <w:t>X</w:t>
            </w:r>
          </w:p>
        </w:tc>
      </w:tr>
      <w:tr w:rsidR="002E42F1" w:rsidRPr="002E42F1" w14:paraId="6B489C09" w14:textId="545A04EC"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74594CE" w14:textId="77777777" w:rsidR="004C0035" w:rsidRPr="002E42F1" w:rsidRDefault="004C0035" w:rsidP="00E07741">
            <w:pPr>
              <w:pStyle w:val="NoSpacing"/>
            </w:pPr>
            <w:r w:rsidRPr="002E42F1">
              <w:t xml:space="preserve">Liepājas pilsētas pašvaldība </w:t>
            </w:r>
          </w:p>
        </w:tc>
        <w:tc>
          <w:tcPr>
            <w:tcW w:w="2409" w:type="dxa"/>
            <w:tcBorders>
              <w:top w:val="nil"/>
              <w:left w:val="nil"/>
              <w:bottom w:val="single" w:sz="4" w:space="0" w:color="auto"/>
              <w:right w:val="single" w:sz="4" w:space="0" w:color="auto"/>
            </w:tcBorders>
            <w:shd w:val="clear" w:color="auto" w:fill="auto"/>
            <w:noWrap/>
            <w:vAlign w:val="center"/>
            <w:hideMark/>
          </w:tcPr>
          <w:p w14:paraId="436A97A6" w14:textId="77777777" w:rsidR="004C0035" w:rsidRPr="002E42F1" w:rsidRDefault="004C0035" w:rsidP="00E07741">
            <w:pPr>
              <w:pStyle w:val="NoSpacing"/>
              <w:jc w:val="center"/>
            </w:pPr>
            <w:r w:rsidRPr="002E42F1">
              <w:t>22</w:t>
            </w:r>
          </w:p>
        </w:tc>
        <w:tc>
          <w:tcPr>
            <w:tcW w:w="2268" w:type="dxa"/>
            <w:tcBorders>
              <w:top w:val="nil"/>
              <w:left w:val="nil"/>
              <w:bottom w:val="single" w:sz="4" w:space="0" w:color="auto"/>
              <w:right w:val="single" w:sz="4" w:space="0" w:color="auto"/>
            </w:tcBorders>
            <w:vAlign w:val="center"/>
          </w:tcPr>
          <w:p w14:paraId="1C7BBC96" w14:textId="776E939C" w:rsidR="004C0035" w:rsidRPr="002E42F1" w:rsidRDefault="00D41719" w:rsidP="00E07741">
            <w:pPr>
              <w:pStyle w:val="NoSpacing"/>
              <w:jc w:val="center"/>
            </w:pPr>
            <w:r w:rsidRPr="002E42F1">
              <w:t>X</w:t>
            </w:r>
          </w:p>
        </w:tc>
      </w:tr>
      <w:tr w:rsidR="002E42F1" w:rsidRPr="002E42F1" w14:paraId="7C0E9FB7" w14:textId="51FE7AB7"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B96F237" w14:textId="77777777" w:rsidR="004C0035" w:rsidRPr="002E42F1" w:rsidRDefault="004C0035" w:rsidP="00E07741">
            <w:pPr>
              <w:pStyle w:val="NoSpacing"/>
            </w:pPr>
            <w:r w:rsidRPr="002E42F1">
              <w:t xml:space="preserve">Talsu novada pašvaldība </w:t>
            </w:r>
          </w:p>
        </w:tc>
        <w:tc>
          <w:tcPr>
            <w:tcW w:w="2409" w:type="dxa"/>
            <w:tcBorders>
              <w:top w:val="nil"/>
              <w:left w:val="nil"/>
              <w:bottom w:val="single" w:sz="4" w:space="0" w:color="auto"/>
              <w:right w:val="single" w:sz="4" w:space="0" w:color="auto"/>
            </w:tcBorders>
            <w:shd w:val="clear" w:color="auto" w:fill="auto"/>
            <w:noWrap/>
            <w:vAlign w:val="center"/>
            <w:hideMark/>
          </w:tcPr>
          <w:p w14:paraId="48D70604" w14:textId="77777777" w:rsidR="004C0035" w:rsidRPr="002E42F1" w:rsidRDefault="004C0035" w:rsidP="00E07741">
            <w:pPr>
              <w:pStyle w:val="NoSpacing"/>
              <w:jc w:val="center"/>
            </w:pPr>
            <w:r w:rsidRPr="002E42F1">
              <w:t>20</w:t>
            </w:r>
          </w:p>
        </w:tc>
        <w:tc>
          <w:tcPr>
            <w:tcW w:w="2268" w:type="dxa"/>
            <w:tcBorders>
              <w:top w:val="nil"/>
              <w:left w:val="nil"/>
              <w:bottom w:val="single" w:sz="4" w:space="0" w:color="auto"/>
              <w:right w:val="single" w:sz="4" w:space="0" w:color="auto"/>
            </w:tcBorders>
            <w:vAlign w:val="center"/>
          </w:tcPr>
          <w:p w14:paraId="2AB6AF79" w14:textId="77777777" w:rsidR="004C0035" w:rsidRPr="002E42F1" w:rsidRDefault="004C0035" w:rsidP="00E07741">
            <w:pPr>
              <w:pStyle w:val="NoSpacing"/>
              <w:jc w:val="center"/>
            </w:pPr>
          </w:p>
        </w:tc>
      </w:tr>
      <w:tr w:rsidR="002E42F1" w:rsidRPr="002E42F1" w14:paraId="600A45AD" w14:textId="3D768B80"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8122EA2" w14:textId="77777777" w:rsidR="004C0035" w:rsidRPr="002E42F1" w:rsidRDefault="004C0035" w:rsidP="00E07741">
            <w:pPr>
              <w:pStyle w:val="NoSpacing"/>
            </w:pPr>
            <w:r w:rsidRPr="002E42F1">
              <w:t xml:space="preserve">Jēkabpils pilsētas pašvaldība </w:t>
            </w:r>
          </w:p>
        </w:tc>
        <w:tc>
          <w:tcPr>
            <w:tcW w:w="2409" w:type="dxa"/>
            <w:tcBorders>
              <w:top w:val="nil"/>
              <w:left w:val="nil"/>
              <w:bottom w:val="single" w:sz="4" w:space="0" w:color="auto"/>
              <w:right w:val="single" w:sz="4" w:space="0" w:color="auto"/>
            </w:tcBorders>
            <w:shd w:val="clear" w:color="auto" w:fill="auto"/>
            <w:noWrap/>
            <w:vAlign w:val="center"/>
            <w:hideMark/>
          </w:tcPr>
          <w:p w14:paraId="4C93E022" w14:textId="77777777" w:rsidR="004C0035" w:rsidRPr="002E42F1" w:rsidRDefault="004C0035" w:rsidP="00E07741">
            <w:pPr>
              <w:pStyle w:val="NoSpacing"/>
              <w:jc w:val="center"/>
            </w:pPr>
            <w:r w:rsidRPr="002E42F1">
              <w:t>18</w:t>
            </w:r>
          </w:p>
        </w:tc>
        <w:tc>
          <w:tcPr>
            <w:tcW w:w="2268" w:type="dxa"/>
            <w:tcBorders>
              <w:top w:val="nil"/>
              <w:left w:val="nil"/>
              <w:bottom w:val="single" w:sz="4" w:space="0" w:color="auto"/>
              <w:right w:val="single" w:sz="4" w:space="0" w:color="auto"/>
            </w:tcBorders>
            <w:vAlign w:val="center"/>
          </w:tcPr>
          <w:p w14:paraId="07D27F7A" w14:textId="11BC0517" w:rsidR="004C0035" w:rsidRPr="002E42F1" w:rsidRDefault="00D41719" w:rsidP="00E07741">
            <w:pPr>
              <w:pStyle w:val="NoSpacing"/>
              <w:jc w:val="center"/>
            </w:pPr>
            <w:r w:rsidRPr="002E42F1">
              <w:t>X</w:t>
            </w:r>
          </w:p>
        </w:tc>
      </w:tr>
      <w:tr w:rsidR="002E42F1" w:rsidRPr="002E42F1" w14:paraId="2A31CCB2" w14:textId="317113DC"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051FE913" w14:textId="77777777" w:rsidR="004C0035" w:rsidRPr="002E42F1" w:rsidRDefault="004C0035" w:rsidP="00E07741">
            <w:pPr>
              <w:pStyle w:val="NoSpacing"/>
            </w:pPr>
            <w:r w:rsidRPr="002E42F1">
              <w:t xml:space="preserve">Dobeles novada pašvaldība </w:t>
            </w:r>
          </w:p>
        </w:tc>
        <w:tc>
          <w:tcPr>
            <w:tcW w:w="2409" w:type="dxa"/>
            <w:tcBorders>
              <w:top w:val="nil"/>
              <w:left w:val="nil"/>
              <w:bottom w:val="single" w:sz="4" w:space="0" w:color="auto"/>
              <w:right w:val="single" w:sz="4" w:space="0" w:color="auto"/>
            </w:tcBorders>
            <w:shd w:val="clear" w:color="auto" w:fill="auto"/>
            <w:noWrap/>
            <w:vAlign w:val="center"/>
            <w:hideMark/>
          </w:tcPr>
          <w:p w14:paraId="343D2E9B" w14:textId="77777777" w:rsidR="004C0035" w:rsidRPr="002E42F1" w:rsidRDefault="004C0035" w:rsidP="00E07741">
            <w:pPr>
              <w:pStyle w:val="NoSpacing"/>
              <w:jc w:val="center"/>
            </w:pPr>
            <w:r w:rsidRPr="002E42F1">
              <w:t>16</w:t>
            </w:r>
          </w:p>
        </w:tc>
        <w:tc>
          <w:tcPr>
            <w:tcW w:w="2268" w:type="dxa"/>
            <w:tcBorders>
              <w:top w:val="nil"/>
              <w:left w:val="nil"/>
              <w:bottom w:val="single" w:sz="4" w:space="0" w:color="auto"/>
              <w:right w:val="single" w:sz="4" w:space="0" w:color="auto"/>
            </w:tcBorders>
            <w:vAlign w:val="center"/>
          </w:tcPr>
          <w:p w14:paraId="5A139CA9" w14:textId="1F8C88AB" w:rsidR="004C0035" w:rsidRPr="002E42F1" w:rsidRDefault="00D41719" w:rsidP="00E07741">
            <w:pPr>
              <w:pStyle w:val="NoSpacing"/>
              <w:jc w:val="center"/>
            </w:pPr>
            <w:r w:rsidRPr="002E42F1">
              <w:t>X</w:t>
            </w:r>
          </w:p>
        </w:tc>
      </w:tr>
      <w:tr w:rsidR="002E42F1" w:rsidRPr="002E42F1" w14:paraId="6488853C" w14:textId="3D6DF302"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386A114" w14:textId="77777777" w:rsidR="004C0035" w:rsidRPr="002E42F1" w:rsidRDefault="004C0035" w:rsidP="00E07741">
            <w:pPr>
              <w:pStyle w:val="NoSpacing"/>
            </w:pPr>
            <w:r w:rsidRPr="002E42F1">
              <w:t xml:space="preserve">Gulbenes novada pašvaldība </w:t>
            </w:r>
          </w:p>
        </w:tc>
        <w:tc>
          <w:tcPr>
            <w:tcW w:w="2409" w:type="dxa"/>
            <w:tcBorders>
              <w:top w:val="nil"/>
              <w:left w:val="nil"/>
              <w:bottom w:val="single" w:sz="4" w:space="0" w:color="auto"/>
              <w:right w:val="single" w:sz="4" w:space="0" w:color="auto"/>
            </w:tcBorders>
            <w:shd w:val="clear" w:color="auto" w:fill="auto"/>
            <w:noWrap/>
            <w:vAlign w:val="center"/>
            <w:hideMark/>
          </w:tcPr>
          <w:p w14:paraId="6EDE62FD" w14:textId="77777777" w:rsidR="004C0035" w:rsidRPr="002E42F1" w:rsidRDefault="004C0035" w:rsidP="00E07741">
            <w:pPr>
              <w:pStyle w:val="NoSpacing"/>
              <w:jc w:val="center"/>
            </w:pPr>
            <w:r w:rsidRPr="002E42F1">
              <w:t>16</w:t>
            </w:r>
          </w:p>
        </w:tc>
        <w:tc>
          <w:tcPr>
            <w:tcW w:w="2268" w:type="dxa"/>
            <w:tcBorders>
              <w:top w:val="nil"/>
              <w:left w:val="nil"/>
              <w:bottom w:val="single" w:sz="4" w:space="0" w:color="auto"/>
              <w:right w:val="single" w:sz="4" w:space="0" w:color="auto"/>
            </w:tcBorders>
            <w:vAlign w:val="center"/>
          </w:tcPr>
          <w:p w14:paraId="3E1077FB" w14:textId="77777777" w:rsidR="004C0035" w:rsidRPr="002E42F1" w:rsidRDefault="004C0035" w:rsidP="00E07741">
            <w:pPr>
              <w:pStyle w:val="NoSpacing"/>
              <w:jc w:val="center"/>
            </w:pPr>
          </w:p>
        </w:tc>
      </w:tr>
      <w:tr w:rsidR="002E42F1" w:rsidRPr="002E42F1" w14:paraId="41FAFEFD" w14:textId="18D7B360" w:rsidTr="004C0035">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46C3C6A" w14:textId="77777777" w:rsidR="004C0035" w:rsidRPr="002E42F1" w:rsidRDefault="004C0035" w:rsidP="00E07741">
            <w:pPr>
              <w:pStyle w:val="NoSpacing"/>
            </w:pPr>
            <w:r w:rsidRPr="002E42F1">
              <w:t xml:space="preserve">Smiltenes novada pašvaldība </w:t>
            </w:r>
          </w:p>
        </w:tc>
        <w:tc>
          <w:tcPr>
            <w:tcW w:w="2409" w:type="dxa"/>
            <w:tcBorders>
              <w:top w:val="nil"/>
              <w:left w:val="nil"/>
              <w:bottom w:val="single" w:sz="4" w:space="0" w:color="auto"/>
              <w:right w:val="single" w:sz="4" w:space="0" w:color="auto"/>
            </w:tcBorders>
            <w:shd w:val="clear" w:color="auto" w:fill="auto"/>
            <w:noWrap/>
            <w:vAlign w:val="center"/>
            <w:hideMark/>
          </w:tcPr>
          <w:p w14:paraId="2756A4BF" w14:textId="77777777" w:rsidR="004C0035" w:rsidRPr="002E42F1" w:rsidRDefault="004C0035" w:rsidP="00E07741">
            <w:pPr>
              <w:pStyle w:val="NoSpacing"/>
              <w:jc w:val="center"/>
            </w:pPr>
            <w:r w:rsidRPr="002E42F1">
              <w:t>16</w:t>
            </w:r>
          </w:p>
        </w:tc>
        <w:tc>
          <w:tcPr>
            <w:tcW w:w="2268" w:type="dxa"/>
            <w:tcBorders>
              <w:top w:val="nil"/>
              <w:left w:val="nil"/>
              <w:bottom w:val="single" w:sz="4" w:space="0" w:color="auto"/>
              <w:right w:val="single" w:sz="4" w:space="0" w:color="auto"/>
            </w:tcBorders>
            <w:vAlign w:val="center"/>
          </w:tcPr>
          <w:p w14:paraId="26091F87" w14:textId="77777777" w:rsidR="004C0035" w:rsidRPr="002E42F1" w:rsidRDefault="004C0035" w:rsidP="00E07741">
            <w:pPr>
              <w:pStyle w:val="NoSpacing"/>
              <w:jc w:val="center"/>
            </w:pPr>
          </w:p>
        </w:tc>
      </w:tr>
    </w:tbl>
    <w:p w14:paraId="794E16A8" w14:textId="08695310" w:rsidR="00E472E7" w:rsidRPr="002E42F1" w:rsidRDefault="00E4293F" w:rsidP="006C282B">
      <w:pPr>
        <w:pStyle w:val="NoSpacing"/>
        <w:jc w:val="both"/>
        <w:rPr>
          <w:bCs/>
          <w:iCs/>
          <w:sz w:val="28"/>
          <w:szCs w:val="28"/>
        </w:rPr>
      </w:pPr>
      <w:r w:rsidRPr="002E42F1">
        <w:rPr>
          <w:bCs/>
          <w:iCs/>
          <w:sz w:val="28"/>
          <w:szCs w:val="28"/>
        </w:rPr>
        <w:t>Avots:</w:t>
      </w:r>
      <w:r w:rsidR="00D57545" w:rsidRPr="002E42F1">
        <w:rPr>
          <w:bCs/>
          <w:iCs/>
          <w:sz w:val="28"/>
          <w:szCs w:val="28"/>
        </w:rPr>
        <w:t xml:space="preserve"> </w:t>
      </w:r>
      <w:r w:rsidR="00A266E2" w:rsidRPr="002E42F1">
        <w:rPr>
          <w:bCs/>
          <w:iCs/>
          <w:sz w:val="28"/>
          <w:szCs w:val="28"/>
        </w:rPr>
        <w:t xml:space="preserve">IUB </w:t>
      </w:r>
      <w:r w:rsidR="00A76D42" w:rsidRPr="002E42F1">
        <w:rPr>
          <w:bCs/>
          <w:iCs/>
          <w:sz w:val="28"/>
          <w:szCs w:val="28"/>
        </w:rPr>
        <w:t>d</w:t>
      </w:r>
      <w:r w:rsidR="00A266E2" w:rsidRPr="002E42F1">
        <w:rPr>
          <w:bCs/>
          <w:iCs/>
          <w:sz w:val="28"/>
          <w:szCs w:val="28"/>
        </w:rPr>
        <w:t>ati</w:t>
      </w:r>
    </w:p>
    <w:p w14:paraId="1BADAAE8" w14:textId="71DDA137" w:rsidR="00F07685" w:rsidRPr="002E42F1" w:rsidRDefault="00F07685" w:rsidP="006C282B">
      <w:pPr>
        <w:pStyle w:val="NoSpacing"/>
        <w:jc w:val="both"/>
        <w:rPr>
          <w:sz w:val="28"/>
          <w:szCs w:val="28"/>
        </w:rPr>
      </w:pPr>
      <w:r w:rsidRPr="002E42F1">
        <w:rPr>
          <w:sz w:val="28"/>
          <w:szCs w:val="28"/>
        </w:rPr>
        <w:br w:type="page"/>
      </w:r>
    </w:p>
    <w:p w14:paraId="5E7E9CE9" w14:textId="4108A8B3" w:rsidR="00F07685" w:rsidRPr="000B6F30" w:rsidRDefault="0086267A" w:rsidP="00BA4929">
      <w:pPr>
        <w:pStyle w:val="Heading2"/>
        <w:numPr>
          <w:ilvl w:val="1"/>
          <w:numId w:val="44"/>
        </w:numPr>
        <w:jc w:val="center"/>
      </w:pPr>
      <w:bookmarkStart w:id="5" w:name="_Toc37334423"/>
      <w:r w:rsidRPr="000B6F30">
        <w:rPr>
          <w:rStyle w:val="Heading2Char"/>
          <w:b/>
        </w:rPr>
        <w:lastRenderedPageBreak/>
        <w:t>Pārskats par Sabiedrisko pakalpojumu sniedzēju iepirkumu</w:t>
      </w:r>
      <w:r w:rsidRPr="000B6F30">
        <w:t xml:space="preserve"> likuma ietvaros veiktajiem zaļajiem publiskiem iepirkumiem</w:t>
      </w:r>
      <w:bookmarkEnd w:id="5"/>
    </w:p>
    <w:p w14:paraId="12DDB59C" w14:textId="77777777" w:rsidR="00257B5B" w:rsidRPr="002E42F1" w:rsidRDefault="00257B5B" w:rsidP="00E07741">
      <w:pPr>
        <w:pStyle w:val="NoSpacing"/>
        <w:ind w:firstLine="720"/>
        <w:jc w:val="both"/>
        <w:rPr>
          <w:sz w:val="28"/>
          <w:szCs w:val="28"/>
          <w:highlight w:val="yellow"/>
        </w:rPr>
      </w:pPr>
    </w:p>
    <w:p w14:paraId="11FA1F49" w14:textId="4EE7AAD8" w:rsidR="00D6095A" w:rsidRPr="002E42F1" w:rsidRDefault="004B418A" w:rsidP="00E07741">
      <w:pPr>
        <w:pStyle w:val="NoSpacing"/>
        <w:ind w:firstLine="720"/>
        <w:jc w:val="both"/>
        <w:rPr>
          <w:sz w:val="28"/>
          <w:szCs w:val="28"/>
        </w:rPr>
      </w:pPr>
      <w:r w:rsidRPr="002E42F1">
        <w:rPr>
          <w:sz w:val="28"/>
          <w:szCs w:val="28"/>
        </w:rPr>
        <w:t>D</w:t>
      </w:r>
      <w:r w:rsidR="00D6095A" w:rsidRPr="002E42F1">
        <w:rPr>
          <w:sz w:val="28"/>
          <w:szCs w:val="28"/>
        </w:rPr>
        <w:t>ati par SPSIL ietvaros veiktajiem ZPI ir pieejami kopš 2016. gada. Taču gadījumu skaits ir mazs, tādēļ katra atsevišķa gadījuma raksturlielumi būtiski ietekmē kopējo statistisko ainu, kas ko</w:t>
      </w:r>
      <w:r w:rsidR="003B5C50" w:rsidRPr="002E42F1">
        <w:rPr>
          <w:sz w:val="28"/>
          <w:szCs w:val="28"/>
        </w:rPr>
        <w:t>pā ar vēsturisko datu pieejamību</w:t>
      </w:r>
      <w:r w:rsidR="00D6095A" w:rsidRPr="002E42F1">
        <w:rPr>
          <w:sz w:val="28"/>
          <w:szCs w:val="28"/>
        </w:rPr>
        <w:t xml:space="preserve"> tikai par četriem gadiem neļauj izdarīt vispārīgus secinājumus</w:t>
      </w:r>
      <w:r w:rsidR="000A6BF4" w:rsidRPr="002E42F1">
        <w:rPr>
          <w:sz w:val="28"/>
          <w:szCs w:val="28"/>
        </w:rPr>
        <w:t xml:space="preserve"> (skatīt </w:t>
      </w:r>
      <w:r w:rsidR="00B328B9" w:rsidRPr="002E42F1">
        <w:rPr>
          <w:sz w:val="28"/>
          <w:szCs w:val="28"/>
        </w:rPr>
        <w:t>1</w:t>
      </w:r>
      <w:r w:rsidR="00707E72" w:rsidRPr="002E42F1">
        <w:rPr>
          <w:sz w:val="28"/>
          <w:szCs w:val="28"/>
        </w:rPr>
        <w:t>1</w:t>
      </w:r>
      <w:r w:rsidR="000A6BF4" w:rsidRPr="002E42F1">
        <w:rPr>
          <w:sz w:val="28"/>
          <w:szCs w:val="28"/>
        </w:rPr>
        <w:t>. tabulu</w:t>
      </w:r>
      <w:r w:rsidR="00DD4268" w:rsidRPr="002E42F1">
        <w:rPr>
          <w:sz w:val="28"/>
          <w:szCs w:val="28"/>
        </w:rPr>
        <w:t xml:space="preserve"> un </w:t>
      </w:r>
      <w:r w:rsidR="00707E72" w:rsidRPr="002E42F1">
        <w:rPr>
          <w:sz w:val="28"/>
          <w:szCs w:val="28"/>
        </w:rPr>
        <w:t>11</w:t>
      </w:r>
      <w:r w:rsidR="00DD4268" w:rsidRPr="002E42F1">
        <w:rPr>
          <w:sz w:val="28"/>
          <w:szCs w:val="28"/>
        </w:rPr>
        <w:t>. attēlu</w:t>
      </w:r>
      <w:r w:rsidR="000A6BF4" w:rsidRPr="002E42F1">
        <w:rPr>
          <w:sz w:val="28"/>
          <w:szCs w:val="28"/>
        </w:rPr>
        <w:t>)</w:t>
      </w:r>
      <w:r w:rsidR="00D6095A" w:rsidRPr="002E42F1">
        <w:rPr>
          <w:sz w:val="28"/>
          <w:szCs w:val="28"/>
        </w:rPr>
        <w:t xml:space="preserve">. </w:t>
      </w:r>
    </w:p>
    <w:p w14:paraId="586252B7" w14:textId="77777777" w:rsidR="00E07741" w:rsidRPr="002E42F1" w:rsidRDefault="00E07741" w:rsidP="00E07741">
      <w:pPr>
        <w:pStyle w:val="NoSpacing"/>
        <w:jc w:val="both"/>
        <w:rPr>
          <w:sz w:val="28"/>
          <w:szCs w:val="28"/>
        </w:rPr>
      </w:pPr>
    </w:p>
    <w:p w14:paraId="580DFC31" w14:textId="75CC4A74" w:rsidR="007D0D44" w:rsidRPr="002E42F1" w:rsidRDefault="00B328B9" w:rsidP="00E07741">
      <w:pPr>
        <w:pStyle w:val="NoSpacing"/>
        <w:jc w:val="right"/>
        <w:rPr>
          <w:sz w:val="28"/>
          <w:szCs w:val="28"/>
        </w:rPr>
      </w:pPr>
      <w:r w:rsidRPr="002E42F1">
        <w:rPr>
          <w:sz w:val="28"/>
          <w:szCs w:val="28"/>
        </w:rPr>
        <w:t>1</w:t>
      </w:r>
      <w:r w:rsidR="00E61AAD" w:rsidRPr="002E42F1">
        <w:rPr>
          <w:sz w:val="28"/>
          <w:szCs w:val="28"/>
        </w:rPr>
        <w:t>1</w:t>
      </w:r>
      <w:r w:rsidR="007D0D44" w:rsidRPr="002E42F1">
        <w:rPr>
          <w:sz w:val="28"/>
          <w:szCs w:val="28"/>
        </w:rPr>
        <w:t>. tabula</w:t>
      </w:r>
    </w:p>
    <w:p w14:paraId="5200F59E" w14:textId="55E35184" w:rsidR="00487DE1" w:rsidRPr="002E42F1" w:rsidRDefault="007D0D44" w:rsidP="00E07741">
      <w:pPr>
        <w:pStyle w:val="NoSpacing"/>
        <w:jc w:val="center"/>
        <w:rPr>
          <w:sz w:val="28"/>
          <w:szCs w:val="28"/>
        </w:rPr>
      </w:pPr>
      <w:r w:rsidRPr="002E42F1">
        <w:rPr>
          <w:sz w:val="28"/>
          <w:szCs w:val="28"/>
        </w:rPr>
        <w:t xml:space="preserve">ZPI dinamika salīdzinājumā ar kopējo </w:t>
      </w:r>
      <w:r w:rsidR="00487DE1" w:rsidRPr="002E42F1">
        <w:rPr>
          <w:sz w:val="28"/>
          <w:szCs w:val="28"/>
        </w:rPr>
        <w:t>iepirkumu</w:t>
      </w:r>
      <w:r w:rsidRPr="002E42F1">
        <w:rPr>
          <w:sz w:val="28"/>
          <w:szCs w:val="28"/>
        </w:rPr>
        <w:t xml:space="preserve"> dinamiku</w:t>
      </w:r>
    </w:p>
    <w:p w14:paraId="768644BC" w14:textId="5F03B181" w:rsidR="007D0D44" w:rsidRPr="002E42F1" w:rsidRDefault="007D0D44" w:rsidP="00E07741">
      <w:pPr>
        <w:pStyle w:val="NoSpacing"/>
        <w:jc w:val="center"/>
        <w:rPr>
          <w:sz w:val="28"/>
          <w:szCs w:val="28"/>
        </w:rPr>
      </w:pPr>
      <w:r w:rsidRPr="002E42F1">
        <w:rPr>
          <w:sz w:val="28"/>
          <w:szCs w:val="28"/>
        </w:rPr>
        <w:t>SPSIL ietvarā 201</w:t>
      </w:r>
      <w:r w:rsidR="00487DE1" w:rsidRPr="002E42F1">
        <w:rPr>
          <w:sz w:val="28"/>
          <w:szCs w:val="28"/>
        </w:rPr>
        <w:t>6</w:t>
      </w:r>
      <w:r w:rsidR="00C16966" w:rsidRPr="002E42F1">
        <w:rPr>
          <w:sz w:val="28"/>
          <w:szCs w:val="28"/>
        </w:rPr>
        <w:t>.</w:t>
      </w:r>
      <w:r w:rsidRPr="002E42F1">
        <w:rPr>
          <w:sz w:val="28"/>
          <w:szCs w:val="28"/>
        </w:rPr>
        <w:t xml:space="preserve"> – 2019.g. (</w:t>
      </w:r>
      <w:r w:rsidR="00487DE1" w:rsidRPr="002E42F1">
        <w:rPr>
          <w:sz w:val="28"/>
          <w:szCs w:val="28"/>
        </w:rPr>
        <w:t xml:space="preserve">skaits un %; </w:t>
      </w:r>
      <w:r w:rsidRPr="002E42F1">
        <w:rPr>
          <w:sz w:val="28"/>
          <w:szCs w:val="28"/>
        </w:rPr>
        <w:t>milj. EUR un %)</w:t>
      </w:r>
    </w:p>
    <w:p w14:paraId="6D289C24" w14:textId="77777777" w:rsidR="007D0D44" w:rsidRPr="002E42F1" w:rsidRDefault="007D0D44" w:rsidP="006C282B">
      <w:pPr>
        <w:pStyle w:val="NoSpacing"/>
        <w:jc w:val="both"/>
        <w:rPr>
          <w:sz w:val="28"/>
          <w:szCs w:val="28"/>
        </w:rPr>
      </w:pPr>
    </w:p>
    <w:tbl>
      <w:tblPr>
        <w:tblW w:w="9067" w:type="dxa"/>
        <w:tblLayout w:type="fixed"/>
        <w:tblLook w:val="04A0" w:firstRow="1" w:lastRow="0" w:firstColumn="1" w:lastColumn="0" w:noHBand="0" w:noVBand="1"/>
      </w:tblPr>
      <w:tblGrid>
        <w:gridCol w:w="1295"/>
        <w:gridCol w:w="1295"/>
        <w:gridCol w:w="1295"/>
        <w:gridCol w:w="1296"/>
        <w:gridCol w:w="1295"/>
        <w:gridCol w:w="1295"/>
        <w:gridCol w:w="1296"/>
      </w:tblGrid>
      <w:tr w:rsidR="002E42F1" w:rsidRPr="002E42F1" w14:paraId="1C9F7908" w14:textId="77777777" w:rsidTr="00CC0933">
        <w:trPr>
          <w:trHeight w:val="98"/>
        </w:trPr>
        <w:tc>
          <w:tcPr>
            <w:tcW w:w="1295" w:type="dxa"/>
            <w:vMerge w:val="restart"/>
            <w:tcBorders>
              <w:top w:val="single" w:sz="4" w:space="0" w:color="auto"/>
              <w:left w:val="single" w:sz="4" w:space="0" w:color="auto"/>
              <w:right w:val="double" w:sz="4" w:space="0" w:color="auto"/>
            </w:tcBorders>
            <w:shd w:val="clear" w:color="auto" w:fill="auto"/>
            <w:noWrap/>
            <w:vAlign w:val="center"/>
          </w:tcPr>
          <w:p w14:paraId="2C30DE99" w14:textId="194412AC" w:rsidR="008901B4" w:rsidRPr="002E42F1" w:rsidRDefault="008901B4" w:rsidP="00E07741">
            <w:pPr>
              <w:pStyle w:val="NoSpacing"/>
              <w:jc w:val="center"/>
            </w:pPr>
            <w:r w:rsidRPr="002E42F1">
              <w:t>Gads</w:t>
            </w:r>
          </w:p>
        </w:tc>
        <w:tc>
          <w:tcPr>
            <w:tcW w:w="388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14:paraId="6B5281CB" w14:textId="07077A41" w:rsidR="008901B4" w:rsidRPr="002E42F1" w:rsidRDefault="008901B4" w:rsidP="00E07741">
            <w:pPr>
              <w:pStyle w:val="NoSpacing"/>
              <w:jc w:val="center"/>
            </w:pPr>
            <w:r w:rsidRPr="002E42F1">
              <w:t>Iepirkumu skaits</w:t>
            </w:r>
          </w:p>
        </w:tc>
        <w:tc>
          <w:tcPr>
            <w:tcW w:w="3886" w:type="dxa"/>
            <w:gridSpan w:val="3"/>
            <w:tcBorders>
              <w:top w:val="single" w:sz="4" w:space="0" w:color="auto"/>
              <w:left w:val="double" w:sz="4" w:space="0" w:color="auto"/>
              <w:bottom w:val="single" w:sz="4" w:space="0" w:color="auto"/>
              <w:right w:val="single" w:sz="4" w:space="0" w:color="auto"/>
            </w:tcBorders>
            <w:shd w:val="clear" w:color="auto" w:fill="auto"/>
            <w:vAlign w:val="bottom"/>
          </w:tcPr>
          <w:p w14:paraId="59AEA93D" w14:textId="6CC87BBF" w:rsidR="008901B4" w:rsidRPr="002E42F1" w:rsidRDefault="008901B4" w:rsidP="00E07741">
            <w:pPr>
              <w:pStyle w:val="NoSpacing"/>
              <w:jc w:val="center"/>
            </w:pPr>
            <w:r w:rsidRPr="002E42F1">
              <w:t>Līgumcena (milj. EUR bez PVN)</w:t>
            </w:r>
          </w:p>
        </w:tc>
      </w:tr>
      <w:tr w:rsidR="002E42F1" w:rsidRPr="002E42F1" w14:paraId="0D7671AA" w14:textId="77777777" w:rsidTr="008901B4">
        <w:trPr>
          <w:trHeight w:val="1020"/>
        </w:trPr>
        <w:tc>
          <w:tcPr>
            <w:tcW w:w="1295" w:type="dxa"/>
            <w:vMerge/>
            <w:tcBorders>
              <w:left w:val="single" w:sz="4" w:space="0" w:color="auto"/>
              <w:bottom w:val="single" w:sz="4" w:space="0" w:color="auto"/>
              <w:right w:val="double" w:sz="4" w:space="0" w:color="auto"/>
            </w:tcBorders>
            <w:shd w:val="clear" w:color="auto" w:fill="auto"/>
            <w:noWrap/>
            <w:vAlign w:val="center"/>
            <w:hideMark/>
          </w:tcPr>
          <w:p w14:paraId="32C04ABD" w14:textId="2AD71B6E" w:rsidR="008901B4" w:rsidRPr="002E42F1" w:rsidRDefault="008901B4" w:rsidP="00E07741">
            <w:pPr>
              <w:pStyle w:val="NoSpacing"/>
              <w:jc w:val="center"/>
            </w:pPr>
          </w:p>
        </w:tc>
        <w:tc>
          <w:tcPr>
            <w:tcW w:w="1295"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16000DE7" w14:textId="0962AC9E" w:rsidR="008901B4" w:rsidRPr="002E42F1" w:rsidRDefault="008901B4" w:rsidP="00E07741">
            <w:pPr>
              <w:pStyle w:val="NoSpacing"/>
              <w:jc w:val="center"/>
            </w:pPr>
            <w:r w:rsidRPr="002E42F1">
              <w:t>Kopā</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1B221736" w14:textId="7D7B77C9" w:rsidR="008901B4" w:rsidRPr="002E42F1" w:rsidRDefault="008901B4" w:rsidP="00E07741">
            <w:pPr>
              <w:pStyle w:val="NoSpacing"/>
              <w:jc w:val="center"/>
            </w:pPr>
            <w:r w:rsidRPr="002E42F1">
              <w:t>ZPI</w:t>
            </w:r>
          </w:p>
        </w:tc>
        <w:tc>
          <w:tcPr>
            <w:tcW w:w="1296"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5E12041" w14:textId="4E36258E" w:rsidR="008901B4" w:rsidRPr="002E42F1" w:rsidRDefault="008901B4" w:rsidP="00E07741">
            <w:pPr>
              <w:pStyle w:val="NoSpacing"/>
              <w:jc w:val="center"/>
            </w:pPr>
            <w:r w:rsidRPr="002E42F1">
              <w:t>ZPI īpatsvars (%)</w:t>
            </w:r>
          </w:p>
        </w:tc>
        <w:tc>
          <w:tcPr>
            <w:tcW w:w="1295"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289F027B" w14:textId="27233CA0" w:rsidR="008901B4" w:rsidRPr="002E42F1" w:rsidRDefault="008901B4" w:rsidP="00E07741">
            <w:pPr>
              <w:pStyle w:val="NoSpacing"/>
              <w:jc w:val="center"/>
            </w:pPr>
            <w:r w:rsidRPr="002E42F1">
              <w:t>Kopā</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EEA3E" w14:textId="34882103" w:rsidR="008901B4" w:rsidRPr="002E42F1" w:rsidRDefault="008901B4" w:rsidP="00E07741">
            <w:pPr>
              <w:pStyle w:val="NoSpacing"/>
              <w:jc w:val="center"/>
            </w:pPr>
            <w:r w:rsidRPr="002E42F1">
              <w:t>ZPI</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DDD4A40" w14:textId="19B0D08B" w:rsidR="008901B4" w:rsidRPr="002E42F1" w:rsidRDefault="008901B4" w:rsidP="00E07741">
            <w:pPr>
              <w:pStyle w:val="NoSpacing"/>
              <w:jc w:val="center"/>
            </w:pPr>
            <w:r w:rsidRPr="002E42F1">
              <w:t>ZPI īpatsvars (%)</w:t>
            </w:r>
          </w:p>
        </w:tc>
      </w:tr>
      <w:tr w:rsidR="002E42F1" w:rsidRPr="002E42F1" w14:paraId="3BA08B46" w14:textId="77777777" w:rsidTr="00487DE1">
        <w:trPr>
          <w:trHeight w:val="255"/>
        </w:trPr>
        <w:tc>
          <w:tcPr>
            <w:tcW w:w="129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3F33644" w14:textId="77777777" w:rsidR="007D0D44" w:rsidRPr="002E42F1" w:rsidRDefault="007D0D44" w:rsidP="00E07741">
            <w:pPr>
              <w:pStyle w:val="NoSpacing"/>
              <w:jc w:val="center"/>
            </w:pPr>
            <w:r w:rsidRPr="002E42F1">
              <w:t>2016</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4758852" w14:textId="77777777" w:rsidR="007D0D44" w:rsidRPr="002E42F1" w:rsidRDefault="007D0D44" w:rsidP="00E07741">
            <w:pPr>
              <w:pStyle w:val="NoSpacing"/>
              <w:jc w:val="right"/>
              <w:rPr>
                <w:iCs/>
              </w:rPr>
            </w:pPr>
            <w:r w:rsidRPr="002E42F1">
              <w:rPr>
                <w:iCs/>
              </w:rPr>
              <w:t>121</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5BFBA5C7" w14:textId="77777777" w:rsidR="007D0D44" w:rsidRPr="002E42F1" w:rsidRDefault="007D0D44" w:rsidP="00E07741">
            <w:pPr>
              <w:pStyle w:val="NoSpacing"/>
              <w:jc w:val="right"/>
              <w:rPr>
                <w:iCs/>
              </w:rPr>
            </w:pPr>
            <w:r w:rsidRPr="002E42F1">
              <w:rPr>
                <w:iCs/>
              </w:rPr>
              <w:t>10</w:t>
            </w:r>
          </w:p>
        </w:tc>
        <w:tc>
          <w:tcPr>
            <w:tcW w:w="129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013A406" w14:textId="77777777" w:rsidR="007D0D44" w:rsidRPr="002E42F1" w:rsidRDefault="007D0D44" w:rsidP="00E07741">
            <w:pPr>
              <w:pStyle w:val="NoSpacing"/>
              <w:jc w:val="right"/>
              <w:rPr>
                <w:iCs/>
              </w:rPr>
            </w:pPr>
            <w:r w:rsidRPr="002E42F1">
              <w:rPr>
                <w:iCs/>
              </w:rPr>
              <w:t>8,3</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C88671F" w14:textId="77777777" w:rsidR="007D0D44" w:rsidRPr="002E42F1" w:rsidRDefault="007D0D44" w:rsidP="00E07741">
            <w:pPr>
              <w:pStyle w:val="NoSpacing"/>
              <w:jc w:val="right"/>
              <w:rPr>
                <w:iCs/>
              </w:rPr>
            </w:pPr>
            <w:r w:rsidRPr="002E42F1">
              <w:rPr>
                <w:iCs/>
              </w:rPr>
              <w:t>655</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14:paraId="47E91483" w14:textId="77777777" w:rsidR="007D0D44" w:rsidRPr="002E42F1" w:rsidRDefault="007D0D44" w:rsidP="00E07741">
            <w:pPr>
              <w:pStyle w:val="NoSpacing"/>
              <w:jc w:val="right"/>
              <w:rPr>
                <w:iCs/>
              </w:rPr>
            </w:pPr>
            <w:r w:rsidRPr="002E42F1">
              <w:rPr>
                <w:iCs/>
              </w:rPr>
              <w:t>131</w:t>
            </w:r>
          </w:p>
        </w:tc>
        <w:tc>
          <w:tcPr>
            <w:tcW w:w="1296" w:type="dxa"/>
            <w:tcBorders>
              <w:top w:val="nil"/>
              <w:left w:val="nil"/>
              <w:bottom w:val="single" w:sz="4" w:space="0" w:color="auto"/>
              <w:right w:val="single" w:sz="4" w:space="0" w:color="auto"/>
            </w:tcBorders>
            <w:shd w:val="clear" w:color="auto" w:fill="auto"/>
            <w:noWrap/>
            <w:vAlign w:val="center"/>
            <w:hideMark/>
          </w:tcPr>
          <w:p w14:paraId="53C4AFFE" w14:textId="77777777" w:rsidR="007D0D44" w:rsidRPr="002E42F1" w:rsidRDefault="007D0D44" w:rsidP="00E07741">
            <w:pPr>
              <w:pStyle w:val="NoSpacing"/>
              <w:jc w:val="right"/>
              <w:rPr>
                <w:iCs/>
              </w:rPr>
            </w:pPr>
            <w:r w:rsidRPr="002E42F1">
              <w:rPr>
                <w:iCs/>
              </w:rPr>
              <w:t>20,0</w:t>
            </w:r>
          </w:p>
        </w:tc>
      </w:tr>
      <w:tr w:rsidR="002E42F1" w:rsidRPr="002E42F1" w14:paraId="5CD56AD2" w14:textId="77777777" w:rsidTr="00487DE1">
        <w:trPr>
          <w:trHeight w:val="255"/>
        </w:trPr>
        <w:tc>
          <w:tcPr>
            <w:tcW w:w="129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90BDAC4" w14:textId="77777777" w:rsidR="007D0D44" w:rsidRPr="002E42F1" w:rsidRDefault="007D0D44" w:rsidP="00E07741">
            <w:pPr>
              <w:pStyle w:val="NoSpacing"/>
              <w:jc w:val="center"/>
            </w:pPr>
            <w:r w:rsidRPr="002E42F1">
              <w:t>2017</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6D45EFA" w14:textId="77777777" w:rsidR="007D0D44" w:rsidRPr="002E42F1" w:rsidRDefault="007D0D44" w:rsidP="00E07741">
            <w:pPr>
              <w:pStyle w:val="NoSpacing"/>
              <w:jc w:val="right"/>
              <w:rPr>
                <w:iCs/>
              </w:rPr>
            </w:pPr>
            <w:r w:rsidRPr="002E42F1">
              <w:rPr>
                <w:iCs/>
              </w:rPr>
              <w:t>118</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4C4C8B7D" w14:textId="77777777" w:rsidR="007D0D44" w:rsidRPr="002E42F1" w:rsidRDefault="007D0D44" w:rsidP="00E07741">
            <w:pPr>
              <w:pStyle w:val="NoSpacing"/>
              <w:jc w:val="right"/>
              <w:rPr>
                <w:iCs/>
              </w:rPr>
            </w:pPr>
            <w:r w:rsidRPr="002E42F1">
              <w:rPr>
                <w:iCs/>
              </w:rPr>
              <w:t>8</w:t>
            </w:r>
          </w:p>
        </w:tc>
        <w:tc>
          <w:tcPr>
            <w:tcW w:w="129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F901F31" w14:textId="77777777" w:rsidR="007D0D44" w:rsidRPr="002E42F1" w:rsidRDefault="007D0D44" w:rsidP="00E07741">
            <w:pPr>
              <w:pStyle w:val="NoSpacing"/>
              <w:jc w:val="right"/>
              <w:rPr>
                <w:iCs/>
              </w:rPr>
            </w:pPr>
            <w:r w:rsidRPr="002E42F1">
              <w:rPr>
                <w:iCs/>
              </w:rPr>
              <w:t>6,8</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7095A0A" w14:textId="77777777" w:rsidR="007D0D44" w:rsidRPr="002E42F1" w:rsidRDefault="007D0D44" w:rsidP="00E07741">
            <w:pPr>
              <w:pStyle w:val="NoSpacing"/>
              <w:jc w:val="right"/>
              <w:rPr>
                <w:iCs/>
              </w:rPr>
            </w:pPr>
            <w:r w:rsidRPr="002E42F1">
              <w:rPr>
                <w:iCs/>
              </w:rPr>
              <w:t>238</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14:paraId="4CD01729" w14:textId="77777777" w:rsidR="007D0D44" w:rsidRPr="002E42F1" w:rsidRDefault="007D0D44" w:rsidP="00E07741">
            <w:pPr>
              <w:pStyle w:val="NoSpacing"/>
              <w:jc w:val="right"/>
              <w:rPr>
                <w:iCs/>
              </w:rPr>
            </w:pPr>
            <w:r w:rsidRPr="002E42F1">
              <w:rPr>
                <w:iCs/>
              </w:rPr>
              <w:t>5</w:t>
            </w:r>
          </w:p>
        </w:tc>
        <w:tc>
          <w:tcPr>
            <w:tcW w:w="1296" w:type="dxa"/>
            <w:tcBorders>
              <w:top w:val="nil"/>
              <w:left w:val="nil"/>
              <w:bottom w:val="single" w:sz="4" w:space="0" w:color="auto"/>
              <w:right w:val="single" w:sz="4" w:space="0" w:color="auto"/>
            </w:tcBorders>
            <w:shd w:val="clear" w:color="auto" w:fill="auto"/>
            <w:noWrap/>
            <w:vAlign w:val="center"/>
            <w:hideMark/>
          </w:tcPr>
          <w:p w14:paraId="66155E74" w14:textId="77777777" w:rsidR="007D0D44" w:rsidRPr="002E42F1" w:rsidRDefault="007D0D44" w:rsidP="00E07741">
            <w:pPr>
              <w:pStyle w:val="NoSpacing"/>
              <w:jc w:val="right"/>
              <w:rPr>
                <w:iCs/>
              </w:rPr>
            </w:pPr>
            <w:r w:rsidRPr="002E42F1">
              <w:rPr>
                <w:iCs/>
              </w:rPr>
              <w:t>2,0</w:t>
            </w:r>
          </w:p>
        </w:tc>
      </w:tr>
      <w:tr w:rsidR="002E42F1" w:rsidRPr="002E42F1" w14:paraId="7DE05DB4" w14:textId="77777777" w:rsidTr="00487DE1">
        <w:trPr>
          <w:trHeight w:val="255"/>
        </w:trPr>
        <w:tc>
          <w:tcPr>
            <w:tcW w:w="129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26FDC99" w14:textId="77777777" w:rsidR="007D0D44" w:rsidRPr="002E42F1" w:rsidRDefault="007D0D44" w:rsidP="00E07741">
            <w:pPr>
              <w:pStyle w:val="NoSpacing"/>
              <w:jc w:val="center"/>
            </w:pPr>
            <w:r w:rsidRPr="002E42F1">
              <w:t>2018</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86E990D" w14:textId="77777777" w:rsidR="007D0D44" w:rsidRPr="002E42F1" w:rsidRDefault="007D0D44" w:rsidP="00E07741">
            <w:pPr>
              <w:pStyle w:val="NoSpacing"/>
              <w:jc w:val="right"/>
              <w:rPr>
                <w:iCs/>
              </w:rPr>
            </w:pPr>
            <w:r w:rsidRPr="002E42F1">
              <w:rPr>
                <w:iCs/>
              </w:rPr>
              <w:t>164</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65F2356E" w14:textId="77777777" w:rsidR="007D0D44" w:rsidRPr="002E42F1" w:rsidRDefault="007D0D44" w:rsidP="00E07741">
            <w:pPr>
              <w:pStyle w:val="NoSpacing"/>
              <w:jc w:val="right"/>
              <w:rPr>
                <w:iCs/>
              </w:rPr>
            </w:pPr>
            <w:r w:rsidRPr="002E42F1">
              <w:rPr>
                <w:iCs/>
              </w:rPr>
              <w:t>17</w:t>
            </w:r>
          </w:p>
        </w:tc>
        <w:tc>
          <w:tcPr>
            <w:tcW w:w="129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7F8A62A" w14:textId="77777777" w:rsidR="007D0D44" w:rsidRPr="002E42F1" w:rsidRDefault="007D0D44" w:rsidP="00E07741">
            <w:pPr>
              <w:pStyle w:val="NoSpacing"/>
              <w:jc w:val="right"/>
              <w:rPr>
                <w:iCs/>
              </w:rPr>
            </w:pPr>
            <w:r w:rsidRPr="002E42F1">
              <w:rPr>
                <w:iCs/>
              </w:rPr>
              <w:t>10,4</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90B4DA2" w14:textId="77777777" w:rsidR="007D0D44" w:rsidRPr="002E42F1" w:rsidRDefault="007D0D44" w:rsidP="00E07741">
            <w:pPr>
              <w:pStyle w:val="NoSpacing"/>
              <w:jc w:val="right"/>
              <w:rPr>
                <w:iCs/>
              </w:rPr>
            </w:pPr>
            <w:r w:rsidRPr="002E42F1">
              <w:rPr>
                <w:iCs/>
              </w:rPr>
              <w:t>431</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14:paraId="01AE186C" w14:textId="77777777" w:rsidR="007D0D44" w:rsidRPr="002E42F1" w:rsidRDefault="007D0D44" w:rsidP="00E07741">
            <w:pPr>
              <w:pStyle w:val="NoSpacing"/>
              <w:jc w:val="right"/>
              <w:rPr>
                <w:iCs/>
              </w:rPr>
            </w:pPr>
            <w:r w:rsidRPr="002E42F1">
              <w:rPr>
                <w:iCs/>
              </w:rPr>
              <w:t>107</w:t>
            </w:r>
          </w:p>
        </w:tc>
        <w:tc>
          <w:tcPr>
            <w:tcW w:w="1296" w:type="dxa"/>
            <w:tcBorders>
              <w:top w:val="nil"/>
              <w:left w:val="nil"/>
              <w:bottom w:val="single" w:sz="4" w:space="0" w:color="auto"/>
              <w:right w:val="single" w:sz="4" w:space="0" w:color="auto"/>
            </w:tcBorders>
            <w:shd w:val="clear" w:color="auto" w:fill="auto"/>
            <w:noWrap/>
            <w:vAlign w:val="center"/>
            <w:hideMark/>
          </w:tcPr>
          <w:p w14:paraId="0EEB8F2D" w14:textId="77777777" w:rsidR="007D0D44" w:rsidRPr="002E42F1" w:rsidRDefault="007D0D44" w:rsidP="00E07741">
            <w:pPr>
              <w:pStyle w:val="NoSpacing"/>
              <w:jc w:val="right"/>
              <w:rPr>
                <w:iCs/>
              </w:rPr>
            </w:pPr>
            <w:r w:rsidRPr="002E42F1">
              <w:rPr>
                <w:iCs/>
              </w:rPr>
              <w:t>24,8</w:t>
            </w:r>
          </w:p>
        </w:tc>
      </w:tr>
      <w:tr w:rsidR="002E42F1" w:rsidRPr="002E42F1" w14:paraId="7713CE08" w14:textId="77777777" w:rsidTr="00487DE1">
        <w:trPr>
          <w:trHeight w:val="255"/>
        </w:trPr>
        <w:tc>
          <w:tcPr>
            <w:tcW w:w="129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377C79D" w14:textId="77777777" w:rsidR="007D0D44" w:rsidRPr="002E42F1" w:rsidRDefault="007D0D44" w:rsidP="00E07741">
            <w:pPr>
              <w:pStyle w:val="NoSpacing"/>
              <w:jc w:val="center"/>
            </w:pPr>
            <w:r w:rsidRPr="002E42F1">
              <w:t>2019</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531AA60" w14:textId="77777777" w:rsidR="007D0D44" w:rsidRPr="002E42F1" w:rsidRDefault="007D0D44" w:rsidP="00E07741">
            <w:pPr>
              <w:pStyle w:val="NoSpacing"/>
              <w:jc w:val="right"/>
              <w:rPr>
                <w:iCs/>
              </w:rPr>
            </w:pPr>
            <w:r w:rsidRPr="002E42F1">
              <w:rPr>
                <w:iCs/>
              </w:rPr>
              <w:t>138</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1D6204A3" w14:textId="77777777" w:rsidR="007D0D44" w:rsidRPr="002E42F1" w:rsidRDefault="007D0D44" w:rsidP="00E07741">
            <w:pPr>
              <w:pStyle w:val="NoSpacing"/>
              <w:jc w:val="right"/>
              <w:rPr>
                <w:iCs/>
              </w:rPr>
            </w:pPr>
            <w:r w:rsidRPr="002E42F1">
              <w:rPr>
                <w:iCs/>
              </w:rPr>
              <w:t>16</w:t>
            </w:r>
          </w:p>
        </w:tc>
        <w:tc>
          <w:tcPr>
            <w:tcW w:w="1296"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45899EF" w14:textId="77777777" w:rsidR="007D0D44" w:rsidRPr="002E42F1" w:rsidRDefault="007D0D44" w:rsidP="00E07741">
            <w:pPr>
              <w:pStyle w:val="NoSpacing"/>
              <w:jc w:val="right"/>
              <w:rPr>
                <w:iCs/>
              </w:rPr>
            </w:pPr>
            <w:r w:rsidRPr="002E42F1">
              <w:rPr>
                <w:iCs/>
              </w:rPr>
              <w:t>11,6</w:t>
            </w:r>
          </w:p>
        </w:tc>
        <w:tc>
          <w:tcPr>
            <w:tcW w:w="129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61652EB" w14:textId="77777777" w:rsidR="007D0D44" w:rsidRPr="002E42F1" w:rsidRDefault="007D0D44" w:rsidP="00E07741">
            <w:pPr>
              <w:pStyle w:val="NoSpacing"/>
              <w:jc w:val="right"/>
              <w:rPr>
                <w:iCs/>
              </w:rPr>
            </w:pPr>
            <w:r w:rsidRPr="002E42F1">
              <w:rPr>
                <w:iCs/>
              </w:rPr>
              <w:t>590</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14:paraId="0177ED32" w14:textId="77777777" w:rsidR="007D0D44" w:rsidRPr="002E42F1" w:rsidRDefault="007D0D44" w:rsidP="00E07741">
            <w:pPr>
              <w:pStyle w:val="NoSpacing"/>
              <w:jc w:val="right"/>
              <w:rPr>
                <w:iCs/>
              </w:rPr>
            </w:pPr>
            <w:r w:rsidRPr="002E42F1">
              <w:rPr>
                <w:iCs/>
              </w:rPr>
              <w:t>65</w:t>
            </w:r>
          </w:p>
        </w:tc>
        <w:tc>
          <w:tcPr>
            <w:tcW w:w="1296" w:type="dxa"/>
            <w:tcBorders>
              <w:top w:val="nil"/>
              <w:left w:val="nil"/>
              <w:bottom w:val="single" w:sz="4" w:space="0" w:color="auto"/>
              <w:right w:val="single" w:sz="4" w:space="0" w:color="auto"/>
            </w:tcBorders>
            <w:shd w:val="clear" w:color="auto" w:fill="auto"/>
            <w:noWrap/>
            <w:vAlign w:val="center"/>
            <w:hideMark/>
          </w:tcPr>
          <w:p w14:paraId="70D35940" w14:textId="77777777" w:rsidR="007D0D44" w:rsidRPr="002E42F1" w:rsidRDefault="007D0D44" w:rsidP="00E07741">
            <w:pPr>
              <w:pStyle w:val="NoSpacing"/>
              <w:jc w:val="right"/>
              <w:rPr>
                <w:iCs/>
              </w:rPr>
            </w:pPr>
            <w:r w:rsidRPr="002E42F1">
              <w:rPr>
                <w:iCs/>
              </w:rPr>
              <w:t>11,1</w:t>
            </w:r>
          </w:p>
        </w:tc>
      </w:tr>
    </w:tbl>
    <w:p w14:paraId="50D126D0" w14:textId="77777777" w:rsidR="00F604DC" w:rsidRPr="002E42F1" w:rsidRDefault="00F604DC" w:rsidP="006C282B">
      <w:pPr>
        <w:pStyle w:val="NoSpacing"/>
        <w:jc w:val="both"/>
        <w:rPr>
          <w:sz w:val="28"/>
          <w:szCs w:val="28"/>
        </w:rPr>
      </w:pPr>
      <w:r w:rsidRPr="002E42F1">
        <w:rPr>
          <w:sz w:val="28"/>
          <w:szCs w:val="28"/>
        </w:rPr>
        <w:t>Avots: IUB dati</w:t>
      </w:r>
    </w:p>
    <w:p w14:paraId="62B2FE6F" w14:textId="77777777" w:rsidR="00B51291" w:rsidRPr="002E42F1" w:rsidRDefault="00B51291" w:rsidP="006C282B">
      <w:pPr>
        <w:pStyle w:val="NoSpacing"/>
        <w:jc w:val="both"/>
        <w:rPr>
          <w:sz w:val="28"/>
          <w:szCs w:val="28"/>
        </w:rPr>
      </w:pPr>
    </w:p>
    <w:p w14:paraId="356191D8" w14:textId="1560A230" w:rsidR="00B51291" w:rsidRPr="002E42F1" w:rsidRDefault="0057580F" w:rsidP="00E07741">
      <w:pPr>
        <w:pStyle w:val="NoSpacing"/>
        <w:jc w:val="right"/>
        <w:rPr>
          <w:sz w:val="28"/>
          <w:szCs w:val="28"/>
        </w:rPr>
      </w:pPr>
      <w:r w:rsidRPr="002E42F1">
        <w:rPr>
          <w:sz w:val="28"/>
          <w:szCs w:val="28"/>
        </w:rPr>
        <w:t>11</w:t>
      </w:r>
      <w:r w:rsidR="00B51291" w:rsidRPr="002E42F1">
        <w:rPr>
          <w:sz w:val="28"/>
          <w:szCs w:val="28"/>
        </w:rPr>
        <w:t>. attēls</w:t>
      </w:r>
    </w:p>
    <w:p w14:paraId="2EEF712E" w14:textId="630749A9" w:rsidR="00B51291" w:rsidRPr="002E42F1" w:rsidRDefault="00B51291" w:rsidP="00E07741">
      <w:pPr>
        <w:pStyle w:val="NoSpacing"/>
        <w:jc w:val="center"/>
        <w:rPr>
          <w:sz w:val="28"/>
          <w:szCs w:val="28"/>
        </w:rPr>
      </w:pPr>
      <w:r w:rsidRPr="002E42F1">
        <w:rPr>
          <w:sz w:val="28"/>
          <w:szCs w:val="28"/>
        </w:rPr>
        <w:t>ZPI dinamika salīdzinājumā ar kopējo iepirkumu dinamiku</w:t>
      </w:r>
    </w:p>
    <w:p w14:paraId="32D5CB7A" w14:textId="1BEDDAC9" w:rsidR="00B51291" w:rsidRPr="002E42F1" w:rsidRDefault="00B51291" w:rsidP="00E07741">
      <w:pPr>
        <w:pStyle w:val="NoSpacing"/>
        <w:jc w:val="center"/>
        <w:rPr>
          <w:sz w:val="28"/>
          <w:szCs w:val="28"/>
        </w:rPr>
      </w:pPr>
      <w:r w:rsidRPr="002E42F1">
        <w:rPr>
          <w:sz w:val="28"/>
          <w:szCs w:val="28"/>
        </w:rPr>
        <w:t>SPSIL ietvarā 2016</w:t>
      </w:r>
      <w:r w:rsidR="00C16966" w:rsidRPr="002E42F1">
        <w:rPr>
          <w:sz w:val="28"/>
          <w:szCs w:val="28"/>
        </w:rPr>
        <w:t>.</w:t>
      </w:r>
      <w:r w:rsidRPr="002E42F1">
        <w:rPr>
          <w:sz w:val="28"/>
          <w:szCs w:val="28"/>
        </w:rPr>
        <w:t xml:space="preserve"> – 2019.</w:t>
      </w:r>
      <w:r w:rsidR="00C16966" w:rsidRPr="002E42F1">
        <w:rPr>
          <w:sz w:val="28"/>
          <w:szCs w:val="28"/>
        </w:rPr>
        <w:t xml:space="preserve"> gadā</w:t>
      </w:r>
      <w:r w:rsidRPr="002E42F1">
        <w:rPr>
          <w:sz w:val="28"/>
          <w:szCs w:val="28"/>
        </w:rPr>
        <w:t xml:space="preserve"> (skaits un %; milj. EUR un %)</w:t>
      </w:r>
    </w:p>
    <w:p w14:paraId="3D07F43F" w14:textId="1399D6BE" w:rsidR="00D6095A" w:rsidRPr="002E42F1" w:rsidRDefault="00B51291" w:rsidP="00E07741">
      <w:pPr>
        <w:pStyle w:val="NoSpacing"/>
        <w:jc w:val="center"/>
        <w:rPr>
          <w:sz w:val="28"/>
          <w:szCs w:val="28"/>
        </w:rPr>
      </w:pPr>
      <w:r w:rsidRPr="002E42F1">
        <w:rPr>
          <w:noProof/>
          <w:sz w:val="28"/>
          <w:szCs w:val="28"/>
        </w:rPr>
        <w:drawing>
          <wp:anchor distT="0" distB="0" distL="114300" distR="114300" simplePos="0" relativeHeight="251658240" behindDoc="0" locked="0" layoutInCell="1" allowOverlap="1" wp14:anchorId="55F51992" wp14:editId="504A6AC2">
            <wp:simplePos x="0" y="0"/>
            <wp:positionH relativeFrom="column">
              <wp:align>left</wp:align>
            </wp:positionH>
            <wp:positionV relativeFrom="paragraph">
              <wp:align>top</wp:align>
            </wp:positionV>
            <wp:extent cx="2828925" cy="23336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2E42F1">
        <w:rPr>
          <w:noProof/>
          <w:sz w:val="28"/>
          <w:szCs w:val="28"/>
        </w:rPr>
        <w:drawing>
          <wp:inline distT="0" distB="0" distL="0" distR="0" wp14:anchorId="7D9E483A" wp14:editId="374241B9">
            <wp:extent cx="2790825" cy="23336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3C4A79" w14:textId="77777777" w:rsidR="00546312" w:rsidRPr="002E42F1" w:rsidRDefault="00546312" w:rsidP="00546312">
      <w:pPr>
        <w:pStyle w:val="NoSpacing"/>
        <w:jc w:val="both"/>
        <w:rPr>
          <w:sz w:val="28"/>
          <w:szCs w:val="28"/>
        </w:rPr>
      </w:pPr>
      <w:r w:rsidRPr="002E42F1">
        <w:rPr>
          <w:sz w:val="28"/>
          <w:szCs w:val="28"/>
        </w:rPr>
        <w:t>Avots: IUB dati</w:t>
      </w:r>
    </w:p>
    <w:p w14:paraId="215DA048" w14:textId="77777777" w:rsidR="00546312" w:rsidRPr="002E42F1" w:rsidRDefault="00546312" w:rsidP="00546312">
      <w:pPr>
        <w:pStyle w:val="NoSpacing"/>
        <w:rPr>
          <w:sz w:val="28"/>
          <w:szCs w:val="28"/>
        </w:rPr>
      </w:pPr>
    </w:p>
    <w:p w14:paraId="20ECDE31" w14:textId="02EF79F7" w:rsidR="00DD4268" w:rsidRPr="002E42F1" w:rsidRDefault="00DD4268" w:rsidP="00DD4268">
      <w:pPr>
        <w:pStyle w:val="NoSpacing"/>
        <w:jc w:val="both"/>
        <w:rPr>
          <w:sz w:val="28"/>
          <w:szCs w:val="28"/>
        </w:rPr>
      </w:pPr>
      <w:r w:rsidRPr="002E42F1">
        <w:rPr>
          <w:sz w:val="28"/>
          <w:szCs w:val="28"/>
        </w:rPr>
        <w:tab/>
      </w:r>
      <w:r w:rsidR="00AB1889" w:rsidRPr="002E42F1">
        <w:rPr>
          <w:sz w:val="28"/>
          <w:szCs w:val="28"/>
        </w:rPr>
        <w:t>Apskat</w:t>
      </w:r>
      <w:r w:rsidR="0026777E" w:rsidRPr="002E42F1">
        <w:rPr>
          <w:sz w:val="28"/>
          <w:szCs w:val="28"/>
        </w:rPr>
        <w:t xml:space="preserve">ot </w:t>
      </w:r>
      <w:r w:rsidR="0020119F" w:rsidRPr="002E42F1">
        <w:rPr>
          <w:sz w:val="28"/>
          <w:szCs w:val="28"/>
        </w:rPr>
        <w:t>SPSIL ietvaros veikto iepirkumu datus sadalījumā pa iepirkumu veidiem (skatīt 1</w:t>
      </w:r>
      <w:r w:rsidR="00707E72" w:rsidRPr="002E42F1">
        <w:rPr>
          <w:sz w:val="28"/>
          <w:szCs w:val="28"/>
        </w:rPr>
        <w:t>2</w:t>
      </w:r>
      <w:r w:rsidR="0020119F" w:rsidRPr="002E42F1">
        <w:rPr>
          <w:sz w:val="28"/>
          <w:szCs w:val="28"/>
        </w:rPr>
        <w:t xml:space="preserve">. tabulu) var secināt, ka rādījumi pa gadiem ir ļoti mainīgi arī </w:t>
      </w:r>
      <w:r w:rsidR="005A42B1" w:rsidRPr="002E42F1">
        <w:rPr>
          <w:sz w:val="28"/>
          <w:szCs w:val="28"/>
        </w:rPr>
        <w:t xml:space="preserve">izdalīto grupu ietvaros. Mazais statistisko gadījumu skaits kombinācijā ar katra atsevišķā  gadījuma lielo finansiālo ietilpību veicina rezultātu augstu svārstīgumu. </w:t>
      </w:r>
    </w:p>
    <w:p w14:paraId="2E5AD72C" w14:textId="77777777" w:rsidR="005A42B1" w:rsidRPr="002E42F1" w:rsidRDefault="005A42B1" w:rsidP="00DD4268">
      <w:pPr>
        <w:pStyle w:val="NoSpacing"/>
        <w:jc w:val="both"/>
        <w:rPr>
          <w:sz w:val="28"/>
          <w:szCs w:val="28"/>
        </w:rPr>
      </w:pPr>
    </w:p>
    <w:p w14:paraId="72E17B16" w14:textId="47AAFF6B" w:rsidR="00A300BA" w:rsidRPr="002E42F1" w:rsidRDefault="00B328B9" w:rsidP="00E07741">
      <w:pPr>
        <w:pStyle w:val="NoSpacing"/>
        <w:jc w:val="right"/>
        <w:rPr>
          <w:sz w:val="28"/>
          <w:szCs w:val="28"/>
        </w:rPr>
      </w:pPr>
      <w:r w:rsidRPr="002E42F1">
        <w:rPr>
          <w:sz w:val="28"/>
          <w:szCs w:val="28"/>
        </w:rPr>
        <w:lastRenderedPageBreak/>
        <w:t>1</w:t>
      </w:r>
      <w:r w:rsidR="00E61AAD" w:rsidRPr="002E42F1">
        <w:rPr>
          <w:sz w:val="28"/>
          <w:szCs w:val="28"/>
        </w:rPr>
        <w:t>2</w:t>
      </w:r>
      <w:r w:rsidR="00A300BA" w:rsidRPr="002E42F1">
        <w:rPr>
          <w:sz w:val="28"/>
          <w:szCs w:val="28"/>
        </w:rPr>
        <w:t>.</w:t>
      </w:r>
      <w:r w:rsidR="00AB10F2" w:rsidRPr="002E42F1">
        <w:rPr>
          <w:sz w:val="28"/>
          <w:szCs w:val="28"/>
        </w:rPr>
        <w:t xml:space="preserve"> t</w:t>
      </w:r>
      <w:r w:rsidR="00A300BA" w:rsidRPr="002E42F1">
        <w:rPr>
          <w:sz w:val="28"/>
          <w:szCs w:val="28"/>
        </w:rPr>
        <w:t>abula</w:t>
      </w:r>
    </w:p>
    <w:p w14:paraId="6D8F5680" w14:textId="3E23ABEE" w:rsidR="00776970" w:rsidRPr="002E42F1" w:rsidRDefault="00776970" w:rsidP="00776970">
      <w:pPr>
        <w:pStyle w:val="NoSpacing"/>
        <w:jc w:val="center"/>
        <w:rPr>
          <w:bCs/>
          <w:iCs/>
          <w:sz w:val="28"/>
          <w:szCs w:val="28"/>
        </w:rPr>
      </w:pPr>
      <w:r w:rsidRPr="002E42F1">
        <w:rPr>
          <w:bCs/>
          <w:iCs/>
          <w:sz w:val="28"/>
          <w:szCs w:val="28"/>
        </w:rPr>
        <w:t>SPSIL ietvaros veiktās iegādes pēc iepirkumu veida</w:t>
      </w:r>
    </w:p>
    <w:p w14:paraId="43673553" w14:textId="2D34A7C5" w:rsidR="00776970" w:rsidRPr="002E42F1" w:rsidRDefault="00776970" w:rsidP="00776970">
      <w:pPr>
        <w:pStyle w:val="NoSpacing"/>
        <w:jc w:val="center"/>
        <w:rPr>
          <w:bCs/>
          <w:iCs/>
          <w:sz w:val="28"/>
          <w:szCs w:val="28"/>
        </w:rPr>
      </w:pPr>
      <w:r w:rsidRPr="002E42F1">
        <w:rPr>
          <w:bCs/>
          <w:iCs/>
          <w:sz w:val="28"/>
          <w:szCs w:val="28"/>
        </w:rPr>
        <w:t>201</w:t>
      </w:r>
      <w:r w:rsidR="00DC5B93" w:rsidRPr="002E42F1">
        <w:rPr>
          <w:bCs/>
          <w:iCs/>
          <w:sz w:val="28"/>
          <w:szCs w:val="28"/>
        </w:rPr>
        <w:t>6</w:t>
      </w:r>
      <w:r w:rsidRPr="002E42F1">
        <w:rPr>
          <w:bCs/>
          <w:iCs/>
          <w:sz w:val="28"/>
          <w:szCs w:val="28"/>
        </w:rPr>
        <w:t>. – 2019. gadā (milj. EUR bez PVN</w:t>
      </w:r>
      <w:r w:rsidR="00587BA4" w:rsidRPr="002E42F1">
        <w:rPr>
          <w:bCs/>
          <w:iCs/>
          <w:sz w:val="28"/>
          <w:szCs w:val="28"/>
        </w:rPr>
        <w:t xml:space="preserve"> un %</w:t>
      </w:r>
      <w:r w:rsidRPr="002E42F1">
        <w:rPr>
          <w:bCs/>
          <w:iCs/>
          <w:sz w:val="28"/>
          <w:szCs w:val="28"/>
        </w:rPr>
        <w:t>)</w:t>
      </w:r>
    </w:p>
    <w:p w14:paraId="7C0C7CD8" w14:textId="77777777" w:rsidR="00776970" w:rsidRPr="002E42F1" w:rsidRDefault="00776970" w:rsidP="006C282B">
      <w:pPr>
        <w:pStyle w:val="NoSpacing"/>
        <w:jc w:val="both"/>
        <w:rPr>
          <w:bCs/>
          <w:iCs/>
          <w:sz w:val="28"/>
          <w:szCs w:val="28"/>
        </w:rPr>
      </w:pPr>
    </w:p>
    <w:tbl>
      <w:tblPr>
        <w:tblW w:w="9067" w:type="dxa"/>
        <w:tblLayout w:type="fixed"/>
        <w:tblLook w:val="04A0" w:firstRow="1" w:lastRow="0" w:firstColumn="1" w:lastColumn="0" w:noHBand="0" w:noVBand="1"/>
      </w:tblPr>
      <w:tblGrid>
        <w:gridCol w:w="1813"/>
        <w:gridCol w:w="1813"/>
        <w:gridCol w:w="1814"/>
        <w:gridCol w:w="1813"/>
        <w:gridCol w:w="1814"/>
      </w:tblGrid>
      <w:tr w:rsidR="002E42F1" w:rsidRPr="002E42F1" w14:paraId="26C55294" w14:textId="77777777" w:rsidTr="00776970">
        <w:trPr>
          <w:trHeight w:val="255"/>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C9A1" w14:textId="77777777" w:rsidR="00776970" w:rsidRPr="002E42F1" w:rsidRDefault="00776970" w:rsidP="00776970">
            <w:pPr>
              <w:spacing w:after="0" w:line="240" w:lineRule="auto"/>
              <w:jc w:val="center"/>
            </w:pPr>
            <w:r w:rsidRPr="002E42F1">
              <w:t>Gads</w:t>
            </w:r>
          </w:p>
        </w:tc>
        <w:tc>
          <w:tcPr>
            <w:tcW w:w="725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C8D5F8" w14:textId="3729D07A" w:rsidR="00776970" w:rsidRPr="002E42F1" w:rsidRDefault="00776970" w:rsidP="00776970">
            <w:pPr>
              <w:spacing w:after="0" w:line="240" w:lineRule="auto"/>
              <w:jc w:val="center"/>
            </w:pPr>
            <w:r w:rsidRPr="002E42F1">
              <w:t>Kopējā līgumcena (milj. EUR bez PVN)</w:t>
            </w:r>
          </w:p>
        </w:tc>
      </w:tr>
      <w:tr w:rsidR="002E42F1" w:rsidRPr="002E42F1" w14:paraId="5EB197A2" w14:textId="77777777" w:rsidTr="00776970">
        <w:trPr>
          <w:trHeight w:val="255"/>
        </w:trPr>
        <w:tc>
          <w:tcPr>
            <w:tcW w:w="1813" w:type="dxa"/>
            <w:vMerge/>
            <w:tcBorders>
              <w:top w:val="single" w:sz="4" w:space="0" w:color="auto"/>
              <w:left w:val="single" w:sz="4" w:space="0" w:color="auto"/>
              <w:bottom w:val="single" w:sz="4" w:space="0" w:color="auto"/>
              <w:right w:val="single" w:sz="4" w:space="0" w:color="auto"/>
            </w:tcBorders>
            <w:vAlign w:val="center"/>
            <w:hideMark/>
          </w:tcPr>
          <w:p w14:paraId="7AFDB62D" w14:textId="77777777" w:rsidR="00776970" w:rsidRPr="002E42F1" w:rsidRDefault="00776970" w:rsidP="00776970">
            <w:pPr>
              <w:spacing w:after="0" w:line="240" w:lineRule="auto"/>
            </w:pPr>
          </w:p>
        </w:tc>
        <w:tc>
          <w:tcPr>
            <w:tcW w:w="1813" w:type="dxa"/>
            <w:tcBorders>
              <w:top w:val="nil"/>
              <w:left w:val="nil"/>
              <w:bottom w:val="single" w:sz="4" w:space="0" w:color="auto"/>
              <w:right w:val="single" w:sz="4" w:space="0" w:color="auto"/>
            </w:tcBorders>
            <w:shd w:val="clear" w:color="auto" w:fill="auto"/>
            <w:noWrap/>
            <w:vAlign w:val="center"/>
            <w:hideMark/>
          </w:tcPr>
          <w:p w14:paraId="7242E850" w14:textId="77777777" w:rsidR="00776970" w:rsidRPr="002E42F1" w:rsidRDefault="00776970" w:rsidP="00776970">
            <w:pPr>
              <w:spacing w:after="0" w:line="240" w:lineRule="auto"/>
              <w:jc w:val="center"/>
            </w:pPr>
            <w:r w:rsidRPr="002E42F1">
              <w:t>Būvdarbi</w:t>
            </w:r>
          </w:p>
        </w:tc>
        <w:tc>
          <w:tcPr>
            <w:tcW w:w="1814" w:type="dxa"/>
            <w:tcBorders>
              <w:top w:val="nil"/>
              <w:left w:val="nil"/>
              <w:bottom w:val="single" w:sz="4" w:space="0" w:color="auto"/>
              <w:right w:val="single" w:sz="4" w:space="0" w:color="auto"/>
            </w:tcBorders>
            <w:shd w:val="clear" w:color="auto" w:fill="auto"/>
            <w:noWrap/>
            <w:vAlign w:val="center"/>
            <w:hideMark/>
          </w:tcPr>
          <w:p w14:paraId="0BD72A98" w14:textId="77777777" w:rsidR="00776970" w:rsidRPr="002E42F1" w:rsidRDefault="00776970" w:rsidP="00776970">
            <w:pPr>
              <w:spacing w:after="0" w:line="240" w:lineRule="auto"/>
              <w:jc w:val="center"/>
            </w:pPr>
            <w:r w:rsidRPr="002E42F1">
              <w:t>Piegāde</w:t>
            </w:r>
          </w:p>
        </w:tc>
        <w:tc>
          <w:tcPr>
            <w:tcW w:w="1813" w:type="dxa"/>
            <w:tcBorders>
              <w:top w:val="nil"/>
              <w:left w:val="nil"/>
              <w:bottom w:val="single" w:sz="4" w:space="0" w:color="auto"/>
              <w:right w:val="single" w:sz="4" w:space="0" w:color="auto"/>
            </w:tcBorders>
            <w:shd w:val="clear" w:color="auto" w:fill="auto"/>
            <w:noWrap/>
            <w:vAlign w:val="center"/>
            <w:hideMark/>
          </w:tcPr>
          <w:p w14:paraId="5889C17D" w14:textId="77777777" w:rsidR="00776970" w:rsidRPr="002E42F1" w:rsidRDefault="00776970" w:rsidP="00776970">
            <w:pPr>
              <w:spacing w:after="0" w:line="240" w:lineRule="auto"/>
              <w:jc w:val="center"/>
            </w:pPr>
            <w:r w:rsidRPr="002E42F1">
              <w:t>Pakalpojumi</w:t>
            </w:r>
          </w:p>
        </w:tc>
        <w:tc>
          <w:tcPr>
            <w:tcW w:w="1814" w:type="dxa"/>
            <w:tcBorders>
              <w:top w:val="nil"/>
              <w:left w:val="nil"/>
              <w:bottom w:val="single" w:sz="4" w:space="0" w:color="auto"/>
              <w:right w:val="single" w:sz="4" w:space="0" w:color="auto"/>
            </w:tcBorders>
            <w:shd w:val="clear" w:color="auto" w:fill="auto"/>
            <w:noWrap/>
            <w:vAlign w:val="center"/>
            <w:hideMark/>
          </w:tcPr>
          <w:p w14:paraId="37D0C20F" w14:textId="77777777" w:rsidR="00776970" w:rsidRPr="002E42F1" w:rsidRDefault="00776970" w:rsidP="00776970">
            <w:pPr>
              <w:spacing w:after="0" w:line="240" w:lineRule="auto"/>
              <w:jc w:val="center"/>
            </w:pPr>
            <w:r w:rsidRPr="002E42F1">
              <w:t>Kopā</w:t>
            </w:r>
          </w:p>
        </w:tc>
      </w:tr>
      <w:tr w:rsidR="002E42F1" w:rsidRPr="002E42F1" w14:paraId="12FC136F"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5E13080D" w14:textId="77777777" w:rsidR="00776970" w:rsidRPr="002E42F1" w:rsidRDefault="00776970" w:rsidP="00776970">
            <w:pPr>
              <w:spacing w:after="0" w:line="240" w:lineRule="auto"/>
              <w:jc w:val="center"/>
            </w:pPr>
            <w:r w:rsidRPr="002E42F1">
              <w:t>2016</w:t>
            </w:r>
          </w:p>
        </w:tc>
        <w:tc>
          <w:tcPr>
            <w:tcW w:w="1813" w:type="dxa"/>
            <w:tcBorders>
              <w:top w:val="nil"/>
              <w:left w:val="nil"/>
              <w:bottom w:val="single" w:sz="4" w:space="0" w:color="auto"/>
              <w:right w:val="single" w:sz="4" w:space="0" w:color="auto"/>
            </w:tcBorders>
            <w:shd w:val="clear" w:color="auto" w:fill="auto"/>
            <w:noWrap/>
            <w:vAlign w:val="center"/>
            <w:hideMark/>
          </w:tcPr>
          <w:p w14:paraId="1B28D1A3" w14:textId="77777777" w:rsidR="00776970" w:rsidRPr="002E42F1" w:rsidRDefault="00776970" w:rsidP="00776970">
            <w:pPr>
              <w:spacing w:after="0" w:line="240" w:lineRule="auto"/>
              <w:jc w:val="right"/>
            </w:pPr>
            <w:r w:rsidRPr="002E42F1">
              <w:t>132</w:t>
            </w:r>
          </w:p>
        </w:tc>
        <w:tc>
          <w:tcPr>
            <w:tcW w:w="1814" w:type="dxa"/>
            <w:tcBorders>
              <w:top w:val="nil"/>
              <w:left w:val="nil"/>
              <w:bottom w:val="single" w:sz="4" w:space="0" w:color="auto"/>
              <w:right w:val="single" w:sz="4" w:space="0" w:color="auto"/>
            </w:tcBorders>
            <w:shd w:val="clear" w:color="auto" w:fill="auto"/>
            <w:noWrap/>
            <w:vAlign w:val="center"/>
            <w:hideMark/>
          </w:tcPr>
          <w:p w14:paraId="07FF17CF" w14:textId="77777777" w:rsidR="00776970" w:rsidRPr="002E42F1" w:rsidRDefault="00776970" w:rsidP="00776970">
            <w:pPr>
              <w:spacing w:after="0" w:line="240" w:lineRule="auto"/>
              <w:jc w:val="right"/>
            </w:pPr>
            <w:r w:rsidRPr="002E42F1">
              <w:t>353</w:t>
            </w:r>
          </w:p>
        </w:tc>
        <w:tc>
          <w:tcPr>
            <w:tcW w:w="1813" w:type="dxa"/>
            <w:tcBorders>
              <w:top w:val="nil"/>
              <w:left w:val="nil"/>
              <w:bottom w:val="single" w:sz="4" w:space="0" w:color="auto"/>
              <w:right w:val="single" w:sz="4" w:space="0" w:color="auto"/>
            </w:tcBorders>
            <w:shd w:val="clear" w:color="auto" w:fill="auto"/>
            <w:noWrap/>
            <w:vAlign w:val="center"/>
            <w:hideMark/>
          </w:tcPr>
          <w:p w14:paraId="60411F83" w14:textId="77777777" w:rsidR="00776970" w:rsidRPr="002E42F1" w:rsidRDefault="00776970" w:rsidP="00776970">
            <w:pPr>
              <w:spacing w:after="0" w:line="240" w:lineRule="auto"/>
              <w:jc w:val="right"/>
            </w:pPr>
            <w:r w:rsidRPr="002E42F1">
              <w:t>170</w:t>
            </w:r>
          </w:p>
        </w:tc>
        <w:tc>
          <w:tcPr>
            <w:tcW w:w="1814" w:type="dxa"/>
            <w:tcBorders>
              <w:top w:val="nil"/>
              <w:left w:val="nil"/>
              <w:bottom w:val="single" w:sz="4" w:space="0" w:color="auto"/>
              <w:right w:val="single" w:sz="4" w:space="0" w:color="auto"/>
            </w:tcBorders>
            <w:shd w:val="clear" w:color="auto" w:fill="auto"/>
            <w:noWrap/>
            <w:vAlign w:val="center"/>
            <w:hideMark/>
          </w:tcPr>
          <w:p w14:paraId="3D62D116" w14:textId="77777777" w:rsidR="00776970" w:rsidRPr="002E42F1" w:rsidRDefault="00776970" w:rsidP="00776970">
            <w:pPr>
              <w:spacing w:after="0" w:line="240" w:lineRule="auto"/>
              <w:jc w:val="right"/>
            </w:pPr>
            <w:r w:rsidRPr="002E42F1">
              <w:t>655</w:t>
            </w:r>
          </w:p>
        </w:tc>
      </w:tr>
      <w:tr w:rsidR="002E42F1" w:rsidRPr="002E42F1" w14:paraId="249FAA61"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6B824604" w14:textId="77777777" w:rsidR="00776970" w:rsidRPr="002E42F1" w:rsidRDefault="00776970" w:rsidP="00776970">
            <w:pPr>
              <w:spacing w:after="0" w:line="240" w:lineRule="auto"/>
              <w:jc w:val="center"/>
            </w:pPr>
            <w:r w:rsidRPr="002E42F1">
              <w:t>2017</w:t>
            </w:r>
          </w:p>
        </w:tc>
        <w:tc>
          <w:tcPr>
            <w:tcW w:w="1813" w:type="dxa"/>
            <w:tcBorders>
              <w:top w:val="nil"/>
              <w:left w:val="nil"/>
              <w:bottom w:val="single" w:sz="4" w:space="0" w:color="auto"/>
              <w:right w:val="single" w:sz="4" w:space="0" w:color="auto"/>
            </w:tcBorders>
            <w:shd w:val="clear" w:color="auto" w:fill="auto"/>
            <w:noWrap/>
            <w:vAlign w:val="center"/>
            <w:hideMark/>
          </w:tcPr>
          <w:p w14:paraId="7FC4E63C" w14:textId="77777777" w:rsidR="00776970" w:rsidRPr="002E42F1" w:rsidRDefault="00776970" w:rsidP="00776970">
            <w:pPr>
              <w:spacing w:after="0" w:line="240" w:lineRule="auto"/>
              <w:jc w:val="right"/>
            </w:pPr>
            <w:r w:rsidRPr="002E42F1">
              <w:t>52</w:t>
            </w:r>
          </w:p>
        </w:tc>
        <w:tc>
          <w:tcPr>
            <w:tcW w:w="1814" w:type="dxa"/>
            <w:tcBorders>
              <w:top w:val="nil"/>
              <w:left w:val="nil"/>
              <w:bottom w:val="single" w:sz="4" w:space="0" w:color="auto"/>
              <w:right w:val="single" w:sz="4" w:space="0" w:color="auto"/>
            </w:tcBorders>
            <w:shd w:val="clear" w:color="auto" w:fill="auto"/>
            <w:noWrap/>
            <w:vAlign w:val="center"/>
            <w:hideMark/>
          </w:tcPr>
          <w:p w14:paraId="3FC18375" w14:textId="77777777" w:rsidR="00776970" w:rsidRPr="002E42F1" w:rsidRDefault="00776970" w:rsidP="00776970">
            <w:pPr>
              <w:spacing w:after="0" w:line="240" w:lineRule="auto"/>
              <w:jc w:val="right"/>
            </w:pPr>
            <w:r w:rsidRPr="002E42F1">
              <w:t>147</w:t>
            </w:r>
          </w:p>
        </w:tc>
        <w:tc>
          <w:tcPr>
            <w:tcW w:w="1813" w:type="dxa"/>
            <w:tcBorders>
              <w:top w:val="nil"/>
              <w:left w:val="nil"/>
              <w:bottom w:val="single" w:sz="4" w:space="0" w:color="auto"/>
              <w:right w:val="single" w:sz="4" w:space="0" w:color="auto"/>
            </w:tcBorders>
            <w:shd w:val="clear" w:color="auto" w:fill="auto"/>
            <w:noWrap/>
            <w:vAlign w:val="center"/>
            <w:hideMark/>
          </w:tcPr>
          <w:p w14:paraId="7DDCFC7D" w14:textId="77777777" w:rsidR="00776970" w:rsidRPr="002E42F1" w:rsidRDefault="00776970" w:rsidP="00776970">
            <w:pPr>
              <w:spacing w:after="0" w:line="240" w:lineRule="auto"/>
              <w:jc w:val="right"/>
            </w:pPr>
            <w:r w:rsidRPr="002E42F1">
              <w:t>39</w:t>
            </w:r>
          </w:p>
        </w:tc>
        <w:tc>
          <w:tcPr>
            <w:tcW w:w="1814" w:type="dxa"/>
            <w:tcBorders>
              <w:top w:val="nil"/>
              <w:left w:val="nil"/>
              <w:bottom w:val="single" w:sz="4" w:space="0" w:color="auto"/>
              <w:right w:val="single" w:sz="4" w:space="0" w:color="auto"/>
            </w:tcBorders>
            <w:shd w:val="clear" w:color="auto" w:fill="auto"/>
            <w:noWrap/>
            <w:vAlign w:val="center"/>
            <w:hideMark/>
          </w:tcPr>
          <w:p w14:paraId="21CF3136" w14:textId="77777777" w:rsidR="00776970" w:rsidRPr="002E42F1" w:rsidRDefault="00776970" w:rsidP="00776970">
            <w:pPr>
              <w:spacing w:after="0" w:line="240" w:lineRule="auto"/>
              <w:jc w:val="right"/>
            </w:pPr>
            <w:r w:rsidRPr="002E42F1">
              <w:t>238</w:t>
            </w:r>
          </w:p>
        </w:tc>
      </w:tr>
      <w:tr w:rsidR="002E42F1" w:rsidRPr="002E42F1" w14:paraId="5F3B8846"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1C5802D6" w14:textId="77777777" w:rsidR="00776970" w:rsidRPr="002E42F1" w:rsidRDefault="00776970" w:rsidP="00776970">
            <w:pPr>
              <w:spacing w:after="0" w:line="240" w:lineRule="auto"/>
              <w:jc w:val="center"/>
            </w:pPr>
            <w:r w:rsidRPr="002E42F1">
              <w:t>2018</w:t>
            </w:r>
          </w:p>
        </w:tc>
        <w:tc>
          <w:tcPr>
            <w:tcW w:w="1813" w:type="dxa"/>
            <w:tcBorders>
              <w:top w:val="nil"/>
              <w:left w:val="nil"/>
              <w:bottom w:val="single" w:sz="4" w:space="0" w:color="auto"/>
              <w:right w:val="single" w:sz="4" w:space="0" w:color="auto"/>
            </w:tcBorders>
            <w:shd w:val="clear" w:color="auto" w:fill="auto"/>
            <w:noWrap/>
            <w:vAlign w:val="center"/>
            <w:hideMark/>
          </w:tcPr>
          <w:p w14:paraId="77719D09" w14:textId="77777777" w:rsidR="00776970" w:rsidRPr="002E42F1" w:rsidRDefault="00776970" w:rsidP="00776970">
            <w:pPr>
              <w:spacing w:after="0" w:line="240" w:lineRule="auto"/>
              <w:jc w:val="right"/>
            </w:pPr>
            <w:r w:rsidRPr="002E42F1">
              <w:t>182</w:t>
            </w:r>
          </w:p>
        </w:tc>
        <w:tc>
          <w:tcPr>
            <w:tcW w:w="1814" w:type="dxa"/>
            <w:tcBorders>
              <w:top w:val="nil"/>
              <w:left w:val="nil"/>
              <w:bottom w:val="single" w:sz="4" w:space="0" w:color="auto"/>
              <w:right w:val="single" w:sz="4" w:space="0" w:color="auto"/>
            </w:tcBorders>
            <w:shd w:val="clear" w:color="auto" w:fill="auto"/>
            <w:noWrap/>
            <w:vAlign w:val="center"/>
            <w:hideMark/>
          </w:tcPr>
          <w:p w14:paraId="5CA2658B" w14:textId="77777777" w:rsidR="00776970" w:rsidRPr="002E42F1" w:rsidRDefault="00776970" w:rsidP="00776970">
            <w:pPr>
              <w:spacing w:after="0" w:line="240" w:lineRule="auto"/>
              <w:jc w:val="right"/>
            </w:pPr>
            <w:r w:rsidRPr="002E42F1">
              <w:t>119</w:t>
            </w:r>
          </w:p>
        </w:tc>
        <w:tc>
          <w:tcPr>
            <w:tcW w:w="1813" w:type="dxa"/>
            <w:tcBorders>
              <w:top w:val="nil"/>
              <w:left w:val="nil"/>
              <w:bottom w:val="single" w:sz="4" w:space="0" w:color="auto"/>
              <w:right w:val="single" w:sz="4" w:space="0" w:color="auto"/>
            </w:tcBorders>
            <w:shd w:val="clear" w:color="auto" w:fill="auto"/>
            <w:noWrap/>
            <w:vAlign w:val="center"/>
            <w:hideMark/>
          </w:tcPr>
          <w:p w14:paraId="5D1E6853" w14:textId="77777777" w:rsidR="00776970" w:rsidRPr="002E42F1" w:rsidRDefault="00776970" w:rsidP="00776970">
            <w:pPr>
              <w:spacing w:after="0" w:line="240" w:lineRule="auto"/>
              <w:jc w:val="right"/>
            </w:pPr>
            <w:r w:rsidRPr="002E42F1">
              <w:t>131</w:t>
            </w:r>
          </w:p>
        </w:tc>
        <w:tc>
          <w:tcPr>
            <w:tcW w:w="1814" w:type="dxa"/>
            <w:tcBorders>
              <w:top w:val="nil"/>
              <w:left w:val="nil"/>
              <w:bottom w:val="single" w:sz="4" w:space="0" w:color="auto"/>
              <w:right w:val="single" w:sz="4" w:space="0" w:color="auto"/>
            </w:tcBorders>
            <w:shd w:val="clear" w:color="auto" w:fill="auto"/>
            <w:noWrap/>
            <w:vAlign w:val="center"/>
            <w:hideMark/>
          </w:tcPr>
          <w:p w14:paraId="72952864" w14:textId="77777777" w:rsidR="00776970" w:rsidRPr="002E42F1" w:rsidRDefault="00776970" w:rsidP="00776970">
            <w:pPr>
              <w:spacing w:after="0" w:line="240" w:lineRule="auto"/>
              <w:jc w:val="right"/>
            </w:pPr>
            <w:r w:rsidRPr="002E42F1">
              <w:t>431</w:t>
            </w:r>
          </w:p>
        </w:tc>
      </w:tr>
      <w:tr w:rsidR="002E42F1" w:rsidRPr="002E42F1" w14:paraId="616D4428" w14:textId="77777777" w:rsidTr="00776970">
        <w:trPr>
          <w:trHeight w:val="270"/>
        </w:trPr>
        <w:tc>
          <w:tcPr>
            <w:tcW w:w="1813" w:type="dxa"/>
            <w:tcBorders>
              <w:top w:val="nil"/>
              <w:left w:val="single" w:sz="4" w:space="0" w:color="auto"/>
              <w:bottom w:val="double" w:sz="6" w:space="0" w:color="auto"/>
              <w:right w:val="single" w:sz="4" w:space="0" w:color="auto"/>
            </w:tcBorders>
            <w:shd w:val="clear" w:color="auto" w:fill="auto"/>
            <w:noWrap/>
            <w:vAlign w:val="center"/>
            <w:hideMark/>
          </w:tcPr>
          <w:p w14:paraId="09E7E0B1" w14:textId="77777777" w:rsidR="00776970" w:rsidRPr="002E42F1" w:rsidRDefault="00776970" w:rsidP="00776970">
            <w:pPr>
              <w:spacing w:after="0" w:line="240" w:lineRule="auto"/>
              <w:jc w:val="center"/>
            </w:pPr>
            <w:r w:rsidRPr="002E42F1">
              <w:t>2019</w:t>
            </w:r>
          </w:p>
        </w:tc>
        <w:tc>
          <w:tcPr>
            <w:tcW w:w="1813" w:type="dxa"/>
            <w:tcBorders>
              <w:top w:val="nil"/>
              <w:left w:val="nil"/>
              <w:bottom w:val="double" w:sz="6" w:space="0" w:color="auto"/>
              <w:right w:val="single" w:sz="4" w:space="0" w:color="auto"/>
            </w:tcBorders>
            <w:shd w:val="clear" w:color="auto" w:fill="auto"/>
            <w:noWrap/>
            <w:vAlign w:val="center"/>
            <w:hideMark/>
          </w:tcPr>
          <w:p w14:paraId="1FA39210" w14:textId="77777777" w:rsidR="00776970" w:rsidRPr="002E42F1" w:rsidRDefault="00776970" w:rsidP="00776970">
            <w:pPr>
              <w:spacing w:after="0" w:line="240" w:lineRule="auto"/>
              <w:jc w:val="right"/>
            </w:pPr>
            <w:r w:rsidRPr="002E42F1">
              <w:t>108</w:t>
            </w:r>
          </w:p>
        </w:tc>
        <w:tc>
          <w:tcPr>
            <w:tcW w:w="1814" w:type="dxa"/>
            <w:tcBorders>
              <w:top w:val="nil"/>
              <w:left w:val="nil"/>
              <w:bottom w:val="double" w:sz="6" w:space="0" w:color="auto"/>
              <w:right w:val="single" w:sz="4" w:space="0" w:color="auto"/>
            </w:tcBorders>
            <w:shd w:val="clear" w:color="auto" w:fill="auto"/>
            <w:noWrap/>
            <w:vAlign w:val="center"/>
            <w:hideMark/>
          </w:tcPr>
          <w:p w14:paraId="61272649" w14:textId="77777777" w:rsidR="00776970" w:rsidRPr="002E42F1" w:rsidRDefault="00776970" w:rsidP="00776970">
            <w:pPr>
              <w:spacing w:after="0" w:line="240" w:lineRule="auto"/>
              <w:jc w:val="right"/>
            </w:pPr>
            <w:r w:rsidRPr="002E42F1">
              <w:t>420</w:t>
            </w:r>
          </w:p>
        </w:tc>
        <w:tc>
          <w:tcPr>
            <w:tcW w:w="1813" w:type="dxa"/>
            <w:tcBorders>
              <w:top w:val="nil"/>
              <w:left w:val="nil"/>
              <w:bottom w:val="double" w:sz="6" w:space="0" w:color="auto"/>
              <w:right w:val="single" w:sz="4" w:space="0" w:color="auto"/>
            </w:tcBorders>
            <w:shd w:val="clear" w:color="auto" w:fill="auto"/>
            <w:noWrap/>
            <w:vAlign w:val="center"/>
            <w:hideMark/>
          </w:tcPr>
          <w:p w14:paraId="35F49A62" w14:textId="77777777" w:rsidR="00776970" w:rsidRPr="002E42F1" w:rsidRDefault="00776970" w:rsidP="00776970">
            <w:pPr>
              <w:spacing w:after="0" w:line="240" w:lineRule="auto"/>
              <w:jc w:val="right"/>
            </w:pPr>
            <w:r w:rsidRPr="002E42F1">
              <w:t>62</w:t>
            </w:r>
          </w:p>
        </w:tc>
        <w:tc>
          <w:tcPr>
            <w:tcW w:w="1814" w:type="dxa"/>
            <w:tcBorders>
              <w:top w:val="nil"/>
              <w:left w:val="nil"/>
              <w:bottom w:val="double" w:sz="6" w:space="0" w:color="auto"/>
              <w:right w:val="single" w:sz="4" w:space="0" w:color="auto"/>
            </w:tcBorders>
            <w:shd w:val="clear" w:color="auto" w:fill="auto"/>
            <w:noWrap/>
            <w:vAlign w:val="center"/>
            <w:hideMark/>
          </w:tcPr>
          <w:p w14:paraId="03D36F9B" w14:textId="77777777" w:rsidR="00776970" w:rsidRPr="002E42F1" w:rsidRDefault="00776970" w:rsidP="00776970">
            <w:pPr>
              <w:spacing w:after="0" w:line="240" w:lineRule="auto"/>
              <w:jc w:val="right"/>
            </w:pPr>
            <w:r w:rsidRPr="002E42F1">
              <w:t>590</w:t>
            </w:r>
          </w:p>
        </w:tc>
      </w:tr>
      <w:tr w:rsidR="002E42F1" w:rsidRPr="002E42F1" w14:paraId="7E01A0A6" w14:textId="77777777" w:rsidTr="00776970">
        <w:trPr>
          <w:trHeight w:val="285"/>
        </w:trPr>
        <w:tc>
          <w:tcPr>
            <w:tcW w:w="18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C8ADF" w14:textId="77777777" w:rsidR="00776970" w:rsidRPr="002E42F1" w:rsidRDefault="00776970" w:rsidP="00776970">
            <w:pPr>
              <w:spacing w:after="0" w:line="240" w:lineRule="auto"/>
              <w:jc w:val="center"/>
            </w:pPr>
            <w:r w:rsidRPr="002E42F1">
              <w:t>Gads</w:t>
            </w:r>
          </w:p>
        </w:tc>
        <w:tc>
          <w:tcPr>
            <w:tcW w:w="7254" w:type="dxa"/>
            <w:gridSpan w:val="4"/>
            <w:tcBorders>
              <w:top w:val="double" w:sz="6" w:space="0" w:color="auto"/>
              <w:left w:val="nil"/>
              <w:bottom w:val="single" w:sz="4" w:space="0" w:color="auto"/>
              <w:right w:val="single" w:sz="4" w:space="0" w:color="auto"/>
            </w:tcBorders>
            <w:shd w:val="clear" w:color="auto" w:fill="auto"/>
            <w:noWrap/>
            <w:vAlign w:val="center"/>
            <w:hideMark/>
          </w:tcPr>
          <w:p w14:paraId="22C86CC6" w14:textId="58A32E47" w:rsidR="00776970" w:rsidRPr="002E42F1" w:rsidRDefault="00776970" w:rsidP="00776970">
            <w:pPr>
              <w:spacing w:after="0" w:line="240" w:lineRule="auto"/>
              <w:jc w:val="center"/>
            </w:pPr>
            <w:r w:rsidRPr="002E42F1">
              <w:t>ZPI kopējā līgumcena (milj. EUR bez PVN)</w:t>
            </w:r>
          </w:p>
        </w:tc>
      </w:tr>
      <w:tr w:rsidR="002E42F1" w:rsidRPr="002E42F1" w14:paraId="0CF72017" w14:textId="77777777" w:rsidTr="00776970">
        <w:trPr>
          <w:trHeight w:val="270"/>
        </w:trPr>
        <w:tc>
          <w:tcPr>
            <w:tcW w:w="1813" w:type="dxa"/>
            <w:vMerge/>
            <w:tcBorders>
              <w:top w:val="nil"/>
              <w:left w:val="single" w:sz="4" w:space="0" w:color="auto"/>
              <w:bottom w:val="single" w:sz="4" w:space="0" w:color="000000"/>
              <w:right w:val="single" w:sz="4" w:space="0" w:color="auto"/>
            </w:tcBorders>
            <w:vAlign w:val="center"/>
            <w:hideMark/>
          </w:tcPr>
          <w:p w14:paraId="1F7CED67" w14:textId="77777777" w:rsidR="00776970" w:rsidRPr="002E42F1" w:rsidRDefault="00776970" w:rsidP="00776970">
            <w:pPr>
              <w:spacing w:after="0" w:line="240" w:lineRule="auto"/>
            </w:pPr>
          </w:p>
        </w:tc>
        <w:tc>
          <w:tcPr>
            <w:tcW w:w="1813" w:type="dxa"/>
            <w:tcBorders>
              <w:top w:val="nil"/>
              <w:left w:val="nil"/>
              <w:bottom w:val="single" w:sz="4" w:space="0" w:color="auto"/>
              <w:right w:val="single" w:sz="4" w:space="0" w:color="auto"/>
            </w:tcBorders>
            <w:shd w:val="clear" w:color="auto" w:fill="auto"/>
            <w:noWrap/>
            <w:vAlign w:val="center"/>
            <w:hideMark/>
          </w:tcPr>
          <w:p w14:paraId="16AC4DE1" w14:textId="77777777" w:rsidR="00776970" w:rsidRPr="002E42F1" w:rsidRDefault="00776970" w:rsidP="00776970">
            <w:pPr>
              <w:spacing w:after="0" w:line="240" w:lineRule="auto"/>
              <w:jc w:val="center"/>
            </w:pPr>
            <w:r w:rsidRPr="002E42F1">
              <w:t>Būvdarbi</w:t>
            </w:r>
          </w:p>
        </w:tc>
        <w:tc>
          <w:tcPr>
            <w:tcW w:w="1814" w:type="dxa"/>
            <w:tcBorders>
              <w:top w:val="nil"/>
              <w:left w:val="nil"/>
              <w:bottom w:val="single" w:sz="4" w:space="0" w:color="auto"/>
              <w:right w:val="single" w:sz="4" w:space="0" w:color="auto"/>
            </w:tcBorders>
            <w:shd w:val="clear" w:color="auto" w:fill="auto"/>
            <w:noWrap/>
            <w:vAlign w:val="center"/>
            <w:hideMark/>
          </w:tcPr>
          <w:p w14:paraId="6B3472D3" w14:textId="77777777" w:rsidR="00776970" w:rsidRPr="002E42F1" w:rsidRDefault="00776970" w:rsidP="00776970">
            <w:pPr>
              <w:spacing w:after="0" w:line="240" w:lineRule="auto"/>
              <w:jc w:val="center"/>
            </w:pPr>
            <w:r w:rsidRPr="002E42F1">
              <w:t>Piegāde</w:t>
            </w:r>
          </w:p>
        </w:tc>
        <w:tc>
          <w:tcPr>
            <w:tcW w:w="1813" w:type="dxa"/>
            <w:tcBorders>
              <w:top w:val="nil"/>
              <w:left w:val="nil"/>
              <w:bottom w:val="single" w:sz="4" w:space="0" w:color="auto"/>
              <w:right w:val="single" w:sz="4" w:space="0" w:color="auto"/>
            </w:tcBorders>
            <w:shd w:val="clear" w:color="auto" w:fill="auto"/>
            <w:noWrap/>
            <w:vAlign w:val="center"/>
            <w:hideMark/>
          </w:tcPr>
          <w:p w14:paraId="5625EA6F" w14:textId="77777777" w:rsidR="00776970" w:rsidRPr="002E42F1" w:rsidRDefault="00776970" w:rsidP="00776970">
            <w:pPr>
              <w:spacing w:after="0" w:line="240" w:lineRule="auto"/>
              <w:jc w:val="center"/>
            </w:pPr>
            <w:r w:rsidRPr="002E42F1">
              <w:t>Pakalpojumi</w:t>
            </w:r>
          </w:p>
        </w:tc>
        <w:tc>
          <w:tcPr>
            <w:tcW w:w="1814" w:type="dxa"/>
            <w:tcBorders>
              <w:top w:val="nil"/>
              <w:left w:val="nil"/>
              <w:bottom w:val="single" w:sz="4" w:space="0" w:color="auto"/>
              <w:right w:val="single" w:sz="4" w:space="0" w:color="auto"/>
            </w:tcBorders>
            <w:shd w:val="clear" w:color="auto" w:fill="auto"/>
            <w:noWrap/>
            <w:vAlign w:val="center"/>
            <w:hideMark/>
          </w:tcPr>
          <w:p w14:paraId="079F7FD1" w14:textId="77777777" w:rsidR="00776970" w:rsidRPr="002E42F1" w:rsidRDefault="00776970" w:rsidP="00776970">
            <w:pPr>
              <w:spacing w:after="0" w:line="240" w:lineRule="auto"/>
              <w:jc w:val="center"/>
            </w:pPr>
            <w:r w:rsidRPr="002E42F1">
              <w:t>Kopā</w:t>
            </w:r>
          </w:p>
        </w:tc>
      </w:tr>
      <w:tr w:rsidR="002E42F1" w:rsidRPr="002E42F1" w14:paraId="7AE5F990"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7F96B771" w14:textId="77777777" w:rsidR="00776970" w:rsidRPr="002E42F1" w:rsidRDefault="00776970" w:rsidP="00776970">
            <w:pPr>
              <w:spacing w:after="0" w:line="240" w:lineRule="auto"/>
              <w:jc w:val="center"/>
            </w:pPr>
            <w:r w:rsidRPr="002E42F1">
              <w:t>2016</w:t>
            </w:r>
          </w:p>
        </w:tc>
        <w:tc>
          <w:tcPr>
            <w:tcW w:w="1813" w:type="dxa"/>
            <w:tcBorders>
              <w:top w:val="nil"/>
              <w:left w:val="nil"/>
              <w:bottom w:val="single" w:sz="4" w:space="0" w:color="auto"/>
              <w:right w:val="single" w:sz="4" w:space="0" w:color="auto"/>
            </w:tcBorders>
            <w:shd w:val="clear" w:color="auto" w:fill="auto"/>
            <w:noWrap/>
            <w:vAlign w:val="center"/>
            <w:hideMark/>
          </w:tcPr>
          <w:p w14:paraId="540866E1" w14:textId="77777777" w:rsidR="00776970" w:rsidRPr="002E42F1" w:rsidRDefault="00776970" w:rsidP="00776970">
            <w:pPr>
              <w:spacing w:after="0" w:line="240" w:lineRule="auto"/>
              <w:jc w:val="right"/>
            </w:pPr>
            <w:r w:rsidRPr="002E42F1">
              <w:t>122</w:t>
            </w:r>
          </w:p>
        </w:tc>
        <w:tc>
          <w:tcPr>
            <w:tcW w:w="1814" w:type="dxa"/>
            <w:tcBorders>
              <w:top w:val="nil"/>
              <w:left w:val="nil"/>
              <w:bottom w:val="single" w:sz="4" w:space="0" w:color="auto"/>
              <w:right w:val="single" w:sz="4" w:space="0" w:color="auto"/>
            </w:tcBorders>
            <w:shd w:val="clear" w:color="auto" w:fill="auto"/>
            <w:noWrap/>
            <w:vAlign w:val="center"/>
            <w:hideMark/>
          </w:tcPr>
          <w:p w14:paraId="615FB741" w14:textId="77777777" w:rsidR="00776970" w:rsidRPr="002E42F1" w:rsidRDefault="00776970" w:rsidP="00776970">
            <w:pPr>
              <w:spacing w:after="0" w:line="240" w:lineRule="auto"/>
              <w:jc w:val="right"/>
            </w:pPr>
            <w:r w:rsidRPr="002E42F1">
              <w:t>9</w:t>
            </w:r>
          </w:p>
        </w:tc>
        <w:tc>
          <w:tcPr>
            <w:tcW w:w="1813" w:type="dxa"/>
            <w:tcBorders>
              <w:top w:val="nil"/>
              <w:left w:val="nil"/>
              <w:bottom w:val="single" w:sz="4" w:space="0" w:color="auto"/>
              <w:right w:val="single" w:sz="4" w:space="0" w:color="auto"/>
            </w:tcBorders>
            <w:shd w:val="clear" w:color="auto" w:fill="auto"/>
            <w:noWrap/>
            <w:vAlign w:val="center"/>
            <w:hideMark/>
          </w:tcPr>
          <w:p w14:paraId="30061992" w14:textId="77777777" w:rsidR="00776970" w:rsidRPr="002E42F1" w:rsidRDefault="00776970" w:rsidP="00776970">
            <w:pPr>
              <w:spacing w:after="0" w:line="240" w:lineRule="auto"/>
              <w:jc w:val="right"/>
            </w:pPr>
            <w:r w:rsidRPr="002E42F1">
              <w:t>0</w:t>
            </w:r>
          </w:p>
        </w:tc>
        <w:tc>
          <w:tcPr>
            <w:tcW w:w="1814" w:type="dxa"/>
            <w:tcBorders>
              <w:top w:val="nil"/>
              <w:left w:val="nil"/>
              <w:bottom w:val="single" w:sz="4" w:space="0" w:color="auto"/>
              <w:right w:val="single" w:sz="4" w:space="0" w:color="auto"/>
            </w:tcBorders>
            <w:shd w:val="clear" w:color="auto" w:fill="auto"/>
            <w:noWrap/>
            <w:vAlign w:val="center"/>
            <w:hideMark/>
          </w:tcPr>
          <w:p w14:paraId="750FD186" w14:textId="77777777" w:rsidR="00776970" w:rsidRPr="002E42F1" w:rsidRDefault="00776970" w:rsidP="00776970">
            <w:pPr>
              <w:spacing w:after="0" w:line="240" w:lineRule="auto"/>
              <w:jc w:val="right"/>
              <w:rPr>
                <w:iCs/>
              </w:rPr>
            </w:pPr>
            <w:r w:rsidRPr="002E42F1">
              <w:rPr>
                <w:iCs/>
              </w:rPr>
              <w:t>131</w:t>
            </w:r>
          </w:p>
        </w:tc>
      </w:tr>
      <w:tr w:rsidR="002E42F1" w:rsidRPr="002E42F1" w14:paraId="48DC5D8A"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63A3FB20" w14:textId="77777777" w:rsidR="00776970" w:rsidRPr="002E42F1" w:rsidRDefault="00776970" w:rsidP="00776970">
            <w:pPr>
              <w:spacing w:after="0" w:line="240" w:lineRule="auto"/>
              <w:jc w:val="center"/>
            </w:pPr>
            <w:r w:rsidRPr="002E42F1">
              <w:t>2017</w:t>
            </w:r>
          </w:p>
        </w:tc>
        <w:tc>
          <w:tcPr>
            <w:tcW w:w="1813" w:type="dxa"/>
            <w:tcBorders>
              <w:top w:val="nil"/>
              <w:left w:val="nil"/>
              <w:bottom w:val="single" w:sz="4" w:space="0" w:color="auto"/>
              <w:right w:val="single" w:sz="4" w:space="0" w:color="auto"/>
            </w:tcBorders>
            <w:shd w:val="clear" w:color="auto" w:fill="auto"/>
            <w:noWrap/>
            <w:vAlign w:val="center"/>
            <w:hideMark/>
          </w:tcPr>
          <w:p w14:paraId="24E5F788" w14:textId="77777777" w:rsidR="00776970" w:rsidRPr="002E42F1" w:rsidRDefault="00776970" w:rsidP="00776970">
            <w:pPr>
              <w:spacing w:after="0" w:line="240" w:lineRule="auto"/>
              <w:jc w:val="right"/>
            </w:pPr>
            <w:r w:rsidRPr="002E42F1">
              <w:t>0</w:t>
            </w:r>
          </w:p>
        </w:tc>
        <w:tc>
          <w:tcPr>
            <w:tcW w:w="1814" w:type="dxa"/>
            <w:tcBorders>
              <w:top w:val="nil"/>
              <w:left w:val="nil"/>
              <w:bottom w:val="single" w:sz="4" w:space="0" w:color="auto"/>
              <w:right w:val="single" w:sz="4" w:space="0" w:color="auto"/>
            </w:tcBorders>
            <w:shd w:val="clear" w:color="auto" w:fill="auto"/>
            <w:noWrap/>
            <w:vAlign w:val="center"/>
            <w:hideMark/>
          </w:tcPr>
          <w:p w14:paraId="2555EE61" w14:textId="77777777" w:rsidR="00776970" w:rsidRPr="002E42F1" w:rsidRDefault="00776970" w:rsidP="00776970">
            <w:pPr>
              <w:spacing w:after="0" w:line="240" w:lineRule="auto"/>
              <w:jc w:val="right"/>
            </w:pPr>
            <w:r w:rsidRPr="002E42F1">
              <w:t>3</w:t>
            </w:r>
          </w:p>
        </w:tc>
        <w:tc>
          <w:tcPr>
            <w:tcW w:w="1813" w:type="dxa"/>
            <w:tcBorders>
              <w:top w:val="nil"/>
              <w:left w:val="nil"/>
              <w:bottom w:val="single" w:sz="4" w:space="0" w:color="auto"/>
              <w:right w:val="single" w:sz="4" w:space="0" w:color="auto"/>
            </w:tcBorders>
            <w:shd w:val="clear" w:color="auto" w:fill="auto"/>
            <w:noWrap/>
            <w:vAlign w:val="center"/>
            <w:hideMark/>
          </w:tcPr>
          <w:p w14:paraId="6CA6CE23" w14:textId="77777777" w:rsidR="00776970" w:rsidRPr="002E42F1" w:rsidRDefault="00776970" w:rsidP="00776970">
            <w:pPr>
              <w:spacing w:after="0" w:line="240" w:lineRule="auto"/>
              <w:jc w:val="right"/>
            </w:pPr>
            <w:r w:rsidRPr="002E42F1">
              <w:t>2</w:t>
            </w:r>
          </w:p>
        </w:tc>
        <w:tc>
          <w:tcPr>
            <w:tcW w:w="1814" w:type="dxa"/>
            <w:tcBorders>
              <w:top w:val="nil"/>
              <w:left w:val="nil"/>
              <w:bottom w:val="single" w:sz="4" w:space="0" w:color="auto"/>
              <w:right w:val="single" w:sz="4" w:space="0" w:color="auto"/>
            </w:tcBorders>
            <w:shd w:val="clear" w:color="auto" w:fill="auto"/>
            <w:noWrap/>
            <w:vAlign w:val="center"/>
            <w:hideMark/>
          </w:tcPr>
          <w:p w14:paraId="563EF8D1" w14:textId="77777777" w:rsidR="00776970" w:rsidRPr="002E42F1" w:rsidRDefault="00776970" w:rsidP="00776970">
            <w:pPr>
              <w:spacing w:after="0" w:line="240" w:lineRule="auto"/>
              <w:jc w:val="right"/>
              <w:rPr>
                <w:iCs/>
              </w:rPr>
            </w:pPr>
            <w:r w:rsidRPr="002E42F1">
              <w:rPr>
                <w:iCs/>
              </w:rPr>
              <w:t>5</w:t>
            </w:r>
          </w:p>
        </w:tc>
      </w:tr>
      <w:tr w:rsidR="002E42F1" w:rsidRPr="002E42F1" w14:paraId="091B1B86"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48FD5B63" w14:textId="77777777" w:rsidR="00776970" w:rsidRPr="002E42F1" w:rsidRDefault="00776970" w:rsidP="00776970">
            <w:pPr>
              <w:spacing w:after="0" w:line="240" w:lineRule="auto"/>
              <w:jc w:val="center"/>
            </w:pPr>
            <w:r w:rsidRPr="002E42F1">
              <w:t>2018</w:t>
            </w:r>
          </w:p>
        </w:tc>
        <w:tc>
          <w:tcPr>
            <w:tcW w:w="1813" w:type="dxa"/>
            <w:tcBorders>
              <w:top w:val="nil"/>
              <w:left w:val="nil"/>
              <w:bottom w:val="single" w:sz="4" w:space="0" w:color="auto"/>
              <w:right w:val="single" w:sz="4" w:space="0" w:color="auto"/>
            </w:tcBorders>
            <w:shd w:val="clear" w:color="auto" w:fill="auto"/>
            <w:noWrap/>
            <w:vAlign w:val="center"/>
            <w:hideMark/>
          </w:tcPr>
          <w:p w14:paraId="3AA7C027" w14:textId="77777777" w:rsidR="00776970" w:rsidRPr="002E42F1" w:rsidRDefault="00776970" w:rsidP="00776970">
            <w:pPr>
              <w:spacing w:after="0" w:line="240" w:lineRule="auto"/>
              <w:jc w:val="right"/>
            </w:pPr>
            <w:r w:rsidRPr="002E42F1">
              <w:t>90</w:t>
            </w:r>
          </w:p>
        </w:tc>
        <w:tc>
          <w:tcPr>
            <w:tcW w:w="1814" w:type="dxa"/>
            <w:tcBorders>
              <w:top w:val="nil"/>
              <w:left w:val="nil"/>
              <w:bottom w:val="single" w:sz="4" w:space="0" w:color="auto"/>
              <w:right w:val="single" w:sz="4" w:space="0" w:color="auto"/>
            </w:tcBorders>
            <w:shd w:val="clear" w:color="auto" w:fill="auto"/>
            <w:noWrap/>
            <w:vAlign w:val="center"/>
            <w:hideMark/>
          </w:tcPr>
          <w:p w14:paraId="5083742E" w14:textId="77777777" w:rsidR="00776970" w:rsidRPr="002E42F1" w:rsidRDefault="00776970" w:rsidP="00776970">
            <w:pPr>
              <w:spacing w:after="0" w:line="240" w:lineRule="auto"/>
              <w:jc w:val="right"/>
            </w:pPr>
            <w:r w:rsidRPr="002E42F1">
              <w:t>16</w:t>
            </w:r>
          </w:p>
        </w:tc>
        <w:tc>
          <w:tcPr>
            <w:tcW w:w="1813" w:type="dxa"/>
            <w:tcBorders>
              <w:top w:val="nil"/>
              <w:left w:val="nil"/>
              <w:bottom w:val="single" w:sz="4" w:space="0" w:color="auto"/>
              <w:right w:val="single" w:sz="4" w:space="0" w:color="auto"/>
            </w:tcBorders>
            <w:shd w:val="clear" w:color="auto" w:fill="auto"/>
            <w:noWrap/>
            <w:vAlign w:val="center"/>
            <w:hideMark/>
          </w:tcPr>
          <w:p w14:paraId="5E0CE4A5" w14:textId="77777777" w:rsidR="00776970" w:rsidRPr="002E42F1" w:rsidRDefault="00776970" w:rsidP="00776970">
            <w:pPr>
              <w:spacing w:after="0" w:line="240" w:lineRule="auto"/>
              <w:jc w:val="right"/>
            </w:pPr>
            <w:r w:rsidRPr="002E42F1">
              <w:t>1</w:t>
            </w:r>
          </w:p>
        </w:tc>
        <w:tc>
          <w:tcPr>
            <w:tcW w:w="1814" w:type="dxa"/>
            <w:tcBorders>
              <w:top w:val="nil"/>
              <w:left w:val="nil"/>
              <w:bottom w:val="single" w:sz="4" w:space="0" w:color="auto"/>
              <w:right w:val="single" w:sz="4" w:space="0" w:color="auto"/>
            </w:tcBorders>
            <w:shd w:val="clear" w:color="auto" w:fill="auto"/>
            <w:noWrap/>
            <w:vAlign w:val="center"/>
            <w:hideMark/>
          </w:tcPr>
          <w:p w14:paraId="2FAC8946" w14:textId="77777777" w:rsidR="00776970" w:rsidRPr="002E42F1" w:rsidRDefault="00776970" w:rsidP="00776970">
            <w:pPr>
              <w:spacing w:after="0" w:line="240" w:lineRule="auto"/>
              <w:jc w:val="right"/>
              <w:rPr>
                <w:iCs/>
              </w:rPr>
            </w:pPr>
            <w:r w:rsidRPr="002E42F1">
              <w:rPr>
                <w:iCs/>
              </w:rPr>
              <w:t>107</w:t>
            </w:r>
          </w:p>
        </w:tc>
      </w:tr>
      <w:tr w:rsidR="002E42F1" w:rsidRPr="002E42F1" w14:paraId="76C6A9A4" w14:textId="77777777" w:rsidTr="00776970">
        <w:trPr>
          <w:trHeight w:val="270"/>
        </w:trPr>
        <w:tc>
          <w:tcPr>
            <w:tcW w:w="1813" w:type="dxa"/>
            <w:tcBorders>
              <w:top w:val="nil"/>
              <w:left w:val="single" w:sz="4" w:space="0" w:color="auto"/>
              <w:bottom w:val="double" w:sz="6" w:space="0" w:color="auto"/>
              <w:right w:val="single" w:sz="4" w:space="0" w:color="auto"/>
            </w:tcBorders>
            <w:shd w:val="clear" w:color="auto" w:fill="auto"/>
            <w:noWrap/>
            <w:vAlign w:val="center"/>
            <w:hideMark/>
          </w:tcPr>
          <w:p w14:paraId="6FFB9607" w14:textId="77777777" w:rsidR="00776970" w:rsidRPr="002E42F1" w:rsidRDefault="00776970" w:rsidP="00776970">
            <w:pPr>
              <w:spacing w:after="0" w:line="240" w:lineRule="auto"/>
              <w:jc w:val="center"/>
            </w:pPr>
            <w:r w:rsidRPr="002E42F1">
              <w:t>2019</w:t>
            </w:r>
          </w:p>
        </w:tc>
        <w:tc>
          <w:tcPr>
            <w:tcW w:w="1813" w:type="dxa"/>
            <w:tcBorders>
              <w:top w:val="nil"/>
              <w:left w:val="nil"/>
              <w:bottom w:val="double" w:sz="6" w:space="0" w:color="auto"/>
              <w:right w:val="single" w:sz="4" w:space="0" w:color="auto"/>
            </w:tcBorders>
            <w:shd w:val="clear" w:color="auto" w:fill="auto"/>
            <w:noWrap/>
            <w:vAlign w:val="center"/>
            <w:hideMark/>
          </w:tcPr>
          <w:p w14:paraId="21B78D25" w14:textId="77777777" w:rsidR="00776970" w:rsidRPr="002E42F1" w:rsidRDefault="00776970" w:rsidP="00776970">
            <w:pPr>
              <w:spacing w:after="0" w:line="240" w:lineRule="auto"/>
              <w:jc w:val="right"/>
            </w:pPr>
            <w:r w:rsidRPr="002E42F1">
              <w:t>44</w:t>
            </w:r>
          </w:p>
        </w:tc>
        <w:tc>
          <w:tcPr>
            <w:tcW w:w="1814" w:type="dxa"/>
            <w:tcBorders>
              <w:top w:val="nil"/>
              <w:left w:val="nil"/>
              <w:bottom w:val="double" w:sz="6" w:space="0" w:color="auto"/>
              <w:right w:val="single" w:sz="4" w:space="0" w:color="auto"/>
            </w:tcBorders>
            <w:shd w:val="clear" w:color="auto" w:fill="auto"/>
            <w:noWrap/>
            <w:vAlign w:val="center"/>
            <w:hideMark/>
          </w:tcPr>
          <w:p w14:paraId="19AE8EFF" w14:textId="77777777" w:rsidR="00776970" w:rsidRPr="002E42F1" w:rsidRDefault="00776970" w:rsidP="00776970">
            <w:pPr>
              <w:spacing w:after="0" w:line="240" w:lineRule="auto"/>
              <w:jc w:val="right"/>
            </w:pPr>
            <w:r w:rsidRPr="002E42F1">
              <w:t>16</w:t>
            </w:r>
          </w:p>
        </w:tc>
        <w:tc>
          <w:tcPr>
            <w:tcW w:w="1813" w:type="dxa"/>
            <w:tcBorders>
              <w:top w:val="nil"/>
              <w:left w:val="nil"/>
              <w:bottom w:val="double" w:sz="6" w:space="0" w:color="auto"/>
              <w:right w:val="single" w:sz="4" w:space="0" w:color="auto"/>
            </w:tcBorders>
            <w:shd w:val="clear" w:color="auto" w:fill="auto"/>
            <w:noWrap/>
            <w:vAlign w:val="center"/>
            <w:hideMark/>
          </w:tcPr>
          <w:p w14:paraId="58B09C36" w14:textId="77777777" w:rsidR="00776970" w:rsidRPr="002E42F1" w:rsidRDefault="00776970" w:rsidP="00776970">
            <w:pPr>
              <w:spacing w:after="0" w:line="240" w:lineRule="auto"/>
              <w:jc w:val="right"/>
            </w:pPr>
            <w:r w:rsidRPr="002E42F1">
              <w:t>6</w:t>
            </w:r>
          </w:p>
        </w:tc>
        <w:tc>
          <w:tcPr>
            <w:tcW w:w="1814" w:type="dxa"/>
            <w:tcBorders>
              <w:top w:val="nil"/>
              <w:left w:val="nil"/>
              <w:bottom w:val="double" w:sz="6" w:space="0" w:color="auto"/>
              <w:right w:val="single" w:sz="4" w:space="0" w:color="auto"/>
            </w:tcBorders>
            <w:shd w:val="clear" w:color="auto" w:fill="auto"/>
            <w:noWrap/>
            <w:vAlign w:val="center"/>
            <w:hideMark/>
          </w:tcPr>
          <w:p w14:paraId="0A6599B7" w14:textId="77777777" w:rsidR="00776970" w:rsidRPr="002E42F1" w:rsidRDefault="00776970" w:rsidP="00776970">
            <w:pPr>
              <w:spacing w:after="0" w:line="240" w:lineRule="auto"/>
              <w:jc w:val="right"/>
              <w:rPr>
                <w:iCs/>
              </w:rPr>
            </w:pPr>
            <w:r w:rsidRPr="002E42F1">
              <w:rPr>
                <w:iCs/>
              </w:rPr>
              <w:t>65</w:t>
            </w:r>
          </w:p>
        </w:tc>
      </w:tr>
      <w:tr w:rsidR="002E42F1" w:rsidRPr="002E42F1" w14:paraId="155CBDA4" w14:textId="77777777" w:rsidTr="00776970">
        <w:trPr>
          <w:trHeight w:val="285"/>
        </w:trPr>
        <w:tc>
          <w:tcPr>
            <w:tcW w:w="18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6E034" w14:textId="77777777" w:rsidR="00776970" w:rsidRPr="002E42F1" w:rsidRDefault="00776970" w:rsidP="00776970">
            <w:pPr>
              <w:spacing w:after="0" w:line="240" w:lineRule="auto"/>
              <w:jc w:val="center"/>
            </w:pPr>
            <w:r w:rsidRPr="002E42F1">
              <w:t>Gads</w:t>
            </w:r>
          </w:p>
        </w:tc>
        <w:tc>
          <w:tcPr>
            <w:tcW w:w="7254" w:type="dxa"/>
            <w:gridSpan w:val="4"/>
            <w:tcBorders>
              <w:top w:val="double" w:sz="6" w:space="0" w:color="auto"/>
              <w:left w:val="nil"/>
              <w:bottom w:val="single" w:sz="4" w:space="0" w:color="auto"/>
              <w:right w:val="single" w:sz="4" w:space="0" w:color="auto"/>
            </w:tcBorders>
            <w:shd w:val="clear" w:color="auto" w:fill="auto"/>
            <w:noWrap/>
            <w:vAlign w:val="center"/>
            <w:hideMark/>
          </w:tcPr>
          <w:p w14:paraId="0BB40CD3" w14:textId="7A47EEC0" w:rsidR="00776970" w:rsidRPr="002E42F1" w:rsidRDefault="00776970" w:rsidP="00776970">
            <w:pPr>
              <w:spacing w:after="0" w:line="240" w:lineRule="auto"/>
              <w:jc w:val="center"/>
            </w:pPr>
            <w:r w:rsidRPr="002E42F1">
              <w:t>ZPI īpatsvars (%)</w:t>
            </w:r>
          </w:p>
        </w:tc>
      </w:tr>
      <w:tr w:rsidR="002E42F1" w:rsidRPr="002E42F1" w14:paraId="58473971" w14:textId="77777777" w:rsidTr="00776970">
        <w:trPr>
          <w:trHeight w:val="270"/>
        </w:trPr>
        <w:tc>
          <w:tcPr>
            <w:tcW w:w="1813" w:type="dxa"/>
            <w:vMerge/>
            <w:tcBorders>
              <w:top w:val="nil"/>
              <w:left w:val="single" w:sz="4" w:space="0" w:color="auto"/>
              <w:bottom w:val="single" w:sz="4" w:space="0" w:color="000000"/>
              <w:right w:val="single" w:sz="4" w:space="0" w:color="auto"/>
            </w:tcBorders>
            <w:vAlign w:val="center"/>
            <w:hideMark/>
          </w:tcPr>
          <w:p w14:paraId="21E3FEE4" w14:textId="77777777" w:rsidR="00776970" w:rsidRPr="002E42F1" w:rsidRDefault="00776970" w:rsidP="00776970">
            <w:pPr>
              <w:spacing w:after="0" w:line="240" w:lineRule="auto"/>
            </w:pPr>
          </w:p>
        </w:tc>
        <w:tc>
          <w:tcPr>
            <w:tcW w:w="1813" w:type="dxa"/>
            <w:tcBorders>
              <w:top w:val="nil"/>
              <w:left w:val="nil"/>
              <w:bottom w:val="single" w:sz="4" w:space="0" w:color="auto"/>
              <w:right w:val="single" w:sz="4" w:space="0" w:color="auto"/>
            </w:tcBorders>
            <w:shd w:val="clear" w:color="auto" w:fill="auto"/>
            <w:noWrap/>
            <w:vAlign w:val="center"/>
            <w:hideMark/>
          </w:tcPr>
          <w:p w14:paraId="42B64127" w14:textId="77777777" w:rsidR="00776970" w:rsidRPr="002E42F1" w:rsidRDefault="00776970" w:rsidP="00776970">
            <w:pPr>
              <w:spacing w:after="0" w:line="240" w:lineRule="auto"/>
              <w:jc w:val="center"/>
            </w:pPr>
            <w:r w:rsidRPr="002E42F1">
              <w:t>Būvdarbi</w:t>
            </w:r>
          </w:p>
        </w:tc>
        <w:tc>
          <w:tcPr>
            <w:tcW w:w="1814" w:type="dxa"/>
            <w:tcBorders>
              <w:top w:val="nil"/>
              <w:left w:val="nil"/>
              <w:bottom w:val="single" w:sz="4" w:space="0" w:color="auto"/>
              <w:right w:val="single" w:sz="4" w:space="0" w:color="auto"/>
            </w:tcBorders>
            <w:shd w:val="clear" w:color="auto" w:fill="auto"/>
            <w:noWrap/>
            <w:vAlign w:val="center"/>
            <w:hideMark/>
          </w:tcPr>
          <w:p w14:paraId="64EE4437" w14:textId="77777777" w:rsidR="00776970" w:rsidRPr="002E42F1" w:rsidRDefault="00776970" w:rsidP="00776970">
            <w:pPr>
              <w:spacing w:after="0" w:line="240" w:lineRule="auto"/>
              <w:jc w:val="center"/>
            </w:pPr>
            <w:r w:rsidRPr="002E42F1">
              <w:t>Piegāde</w:t>
            </w:r>
          </w:p>
        </w:tc>
        <w:tc>
          <w:tcPr>
            <w:tcW w:w="1813" w:type="dxa"/>
            <w:tcBorders>
              <w:top w:val="nil"/>
              <w:left w:val="nil"/>
              <w:bottom w:val="single" w:sz="4" w:space="0" w:color="auto"/>
              <w:right w:val="single" w:sz="4" w:space="0" w:color="auto"/>
            </w:tcBorders>
            <w:shd w:val="clear" w:color="auto" w:fill="auto"/>
            <w:noWrap/>
            <w:vAlign w:val="center"/>
            <w:hideMark/>
          </w:tcPr>
          <w:p w14:paraId="23BBE406" w14:textId="77777777" w:rsidR="00776970" w:rsidRPr="002E42F1" w:rsidRDefault="00776970" w:rsidP="00776970">
            <w:pPr>
              <w:spacing w:after="0" w:line="240" w:lineRule="auto"/>
              <w:jc w:val="center"/>
            </w:pPr>
            <w:r w:rsidRPr="002E42F1">
              <w:t>Pakalpojumi</w:t>
            </w:r>
          </w:p>
        </w:tc>
        <w:tc>
          <w:tcPr>
            <w:tcW w:w="1814" w:type="dxa"/>
            <w:tcBorders>
              <w:top w:val="nil"/>
              <w:left w:val="nil"/>
              <w:bottom w:val="single" w:sz="4" w:space="0" w:color="auto"/>
              <w:right w:val="single" w:sz="4" w:space="0" w:color="auto"/>
            </w:tcBorders>
            <w:shd w:val="clear" w:color="auto" w:fill="auto"/>
            <w:noWrap/>
            <w:vAlign w:val="center"/>
            <w:hideMark/>
          </w:tcPr>
          <w:p w14:paraId="7A277F2F" w14:textId="77777777" w:rsidR="00776970" w:rsidRPr="002E42F1" w:rsidRDefault="00776970" w:rsidP="00776970">
            <w:pPr>
              <w:spacing w:after="0" w:line="240" w:lineRule="auto"/>
              <w:jc w:val="center"/>
            </w:pPr>
            <w:r w:rsidRPr="002E42F1">
              <w:t>Kopā</w:t>
            </w:r>
          </w:p>
        </w:tc>
      </w:tr>
      <w:tr w:rsidR="002E42F1" w:rsidRPr="002E42F1" w14:paraId="62571431"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3F737832" w14:textId="77777777" w:rsidR="00776970" w:rsidRPr="002E42F1" w:rsidRDefault="00776970" w:rsidP="00776970">
            <w:pPr>
              <w:spacing w:after="0" w:line="240" w:lineRule="auto"/>
              <w:jc w:val="center"/>
            </w:pPr>
            <w:r w:rsidRPr="002E42F1">
              <w:t>2016</w:t>
            </w:r>
          </w:p>
        </w:tc>
        <w:tc>
          <w:tcPr>
            <w:tcW w:w="1813" w:type="dxa"/>
            <w:tcBorders>
              <w:top w:val="nil"/>
              <w:left w:val="nil"/>
              <w:bottom w:val="single" w:sz="4" w:space="0" w:color="auto"/>
              <w:right w:val="single" w:sz="4" w:space="0" w:color="auto"/>
            </w:tcBorders>
            <w:shd w:val="clear" w:color="auto" w:fill="auto"/>
            <w:noWrap/>
            <w:vAlign w:val="center"/>
            <w:hideMark/>
          </w:tcPr>
          <w:p w14:paraId="4BD6EF54" w14:textId="77777777" w:rsidR="00776970" w:rsidRPr="002E42F1" w:rsidRDefault="00776970" w:rsidP="00776970">
            <w:pPr>
              <w:spacing w:after="0" w:line="240" w:lineRule="auto"/>
              <w:jc w:val="right"/>
            </w:pPr>
            <w:r w:rsidRPr="002E42F1">
              <w:t>92,0</w:t>
            </w:r>
          </w:p>
        </w:tc>
        <w:tc>
          <w:tcPr>
            <w:tcW w:w="1814" w:type="dxa"/>
            <w:tcBorders>
              <w:top w:val="nil"/>
              <w:left w:val="nil"/>
              <w:bottom w:val="single" w:sz="4" w:space="0" w:color="auto"/>
              <w:right w:val="single" w:sz="4" w:space="0" w:color="auto"/>
            </w:tcBorders>
            <w:shd w:val="clear" w:color="auto" w:fill="auto"/>
            <w:noWrap/>
            <w:vAlign w:val="center"/>
            <w:hideMark/>
          </w:tcPr>
          <w:p w14:paraId="0FA84934" w14:textId="77777777" w:rsidR="00776970" w:rsidRPr="002E42F1" w:rsidRDefault="00776970" w:rsidP="00776970">
            <w:pPr>
              <w:spacing w:after="0" w:line="240" w:lineRule="auto"/>
              <w:jc w:val="right"/>
            </w:pPr>
            <w:r w:rsidRPr="002E42F1">
              <w:t>2,6</w:t>
            </w:r>
          </w:p>
        </w:tc>
        <w:tc>
          <w:tcPr>
            <w:tcW w:w="1813" w:type="dxa"/>
            <w:tcBorders>
              <w:top w:val="nil"/>
              <w:left w:val="nil"/>
              <w:bottom w:val="single" w:sz="4" w:space="0" w:color="auto"/>
              <w:right w:val="single" w:sz="4" w:space="0" w:color="auto"/>
            </w:tcBorders>
            <w:shd w:val="clear" w:color="auto" w:fill="auto"/>
            <w:noWrap/>
            <w:vAlign w:val="center"/>
            <w:hideMark/>
          </w:tcPr>
          <w:p w14:paraId="460D01A5" w14:textId="77777777" w:rsidR="00776970" w:rsidRPr="002E42F1" w:rsidRDefault="00776970" w:rsidP="00776970">
            <w:pPr>
              <w:spacing w:after="0" w:line="240" w:lineRule="auto"/>
              <w:jc w:val="right"/>
            </w:pPr>
            <w:r w:rsidRPr="002E42F1">
              <w:t>0,0</w:t>
            </w:r>
          </w:p>
        </w:tc>
        <w:tc>
          <w:tcPr>
            <w:tcW w:w="1814" w:type="dxa"/>
            <w:tcBorders>
              <w:top w:val="nil"/>
              <w:left w:val="nil"/>
              <w:bottom w:val="single" w:sz="4" w:space="0" w:color="auto"/>
              <w:right w:val="single" w:sz="4" w:space="0" w:color="auto"/>
            </w:tcBorders>
            <w:shd w:val="clear" w:color="auto" w:fill="auto"/>
            <w:noWrap/>
            <w:vAlign w:val="center"/>
            <w:hideMark/>
          </w:tcPr>
          <w:p w14:paraId="7C04E1CB" w14:textId="77777777" w:rsidR="00776970" w:rsidRPr="002E42F1" w:rsidRDefault="00776970" w:rsidP="00776970">
            <w:pPr>
              <w:spacing w:after="0" w:line="240" w:lineRule="auto"/>
              <w:jc w:val="right"/>
            </w:pPr>
            <w:r w:rsidRPr="002E42F1">
              <w:t>20,0</w:t>
            </w:r>
          </w:p>
        </w:tc>
      </w:tr>
      <w:tr w:rsidR="002E42F1" w:rsidRPr="002E42F1" w14:paraId="65331301"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41AE87EC" w14:textId="77777777" w:rsidR="00776970" w:rsidRPr="002E42F1" w:rsidRDefault="00776970" w:rsidP="00776970">
            <w:pPr>
              <w:spacing w:after="0" w:line="240" w:lineRule="auto"/>
              <w:jc w:val="center"/>
            </w:pPr>
            <w:r w:rsidRPr="002E42F1">
              <w:t>2017</w:t>
            </w:r>
          </w:p>
        </w:tc>
        <w:tc>
          <w:tcPr>
            <w:tcW w:w="1813" w:type="dxa"/>
            <w:tcBorders>
              <w:top w:val="nil"/>
              <w:left w:val="nil"/>
              <w:bottom w:val="single" w:sz="4" w:space="0" w:color="auto"/>
              <w:right w:val="single" w:sz="4" w:space="0" w:color="auto"/>
            </w:tcBorders>
            <w:shd w:val="clear" w:color="auto" w:fill="auto"/>
            <w:noWrap/>
            <w:vAlign w:val="center"/>
            <w:hideMark/>
          </w:tcPr>
          <w:p w14:paraId="5FA146B1" w14:textId="77777777" w:rsidR="00776970" w:rsidRPr="002E42F1" w:rsidRDefault="00776970" w:rsidP="00776970">
            <w:pPr>
              <w:spacing w:after="0" w:line="240" w:lineRule="auto"/>
              <w:jc w:val="right"/>
            </w:pPr>
            <w:r w:rsidRPr="002E42F1">
              <w:t>0,0</w:t>
            </w:r>
          </w:p>
        </w:tc>
        <w:tc>
          <w:tcPr>
            <w:tcW w:w="1814" w:type="dxa"/>
            <w:tcBorders>
              <w:top w:val="nil"/>
              <w:left w:val="nil"/>
              <w:bottom w:val="single" w:sz="4" w:space="0" w:color="auto"/>
              <w:right w:val="single" w:sz="4" w:space="0" w:color="auto"/>
            </w:tcBorders>
            <w:shd w:val="clear" w:color="auto" w:fill="auto"/>
            <w:noWrap/>
            <w:vAlign w:val="center"/>
            <w:hideMark/>
          </w:tcPr>
          <w:p w14:paraId="4921EBF6" w14:textId="77777777" w:rsidR="00776970" w:rsidRPr="002E42F1" w:rsidRDefault="00776970" w:rsidP="00776970">
            <w:pPr>
              <w:spacing w:after="0" w:line="240" w:lineRule="auto"/>
              <w:jc w:val="right"/>
            </w:pPr>
            <w:r w:rsidRPr="002E42F1">
              <w:t>1,9</w:t>
            </w:r>
          </w:p>
        </w:tc>
        <w:tc>
          <w:tcPr>
            <w:tcW w:w="1813" w:type="dxa"/>
            <w:tcBorders>
              <w:top w:val="nil"/>
              <w:left w:val="nil"/>
              <w:bottom w:val="single" w:sz="4" w:space="0" w:color="auto"/>
              <w:right w:val="single" w:sz="4" w:space="0" w:color="auto"/>
            </w:tcBorders>
            <w:shd w:val="clear" w:color="auto" w:fill="auto"/>
            <w:noWrap/>
            <w:vAlign w:val="center"/>
            <w:hideMark/>
          </w:tcPr>
          <w:p w14:paraId="35661947" w14:textId="77777777" w:rsidR="00776970" w:rsidRPr="002E42F1" w:rsidRDefault="00776970" w:rsidP="00776970">
            <w:pPr>
              <w:spacing w:after="0" w:line="240" w:lineRule="auto"/>
              <w:jc w:val="right"/>
            </w:pPr>
            <w:r w:rsidRPr="002E42F1">
              <w:t>4,9</w:t>
            </w:r>
          </w:p>
        </w:tc>
        <w:tc>
          <w:tcPr>
            <w:tcW w:w="1814" w:type="dxa"/>
            <w:tcBorders>
              <w:top w:val="nil"/>
              <w:left w:val="nil"/>
              <w:bottom w:val="single" w:sz="4" w:space="0" w:color="auto"/>
              <w:right w:val="single" w:sz="4" w:space="0" w:color="auto"/>
            </w:tcBorders>
            <w:shd w:val="clear" w:color="auto" w:fill="auto"/>
            <w:noWrap/>
            <w:vAlign w:val="center"/>
            <w:hideMark/>
          </w:tcPr>
          <w:p w14:paraId="28E49BA0" w14:textId="77777777" w:rsidR="00776970" w:rsidRPr="002E42F1" w:rsidRDefault="00776970" w:rsidP="00776970">
            <w:pPr>
              <w:spacing w:after="0" w:line="240" w:lineRule="auto"/>
              <w:jc w:val="right"/>
            </w:pPr>
            <w:r w:rsidRPr="002E42F1">
              <w:t>2,0</w:t>
            </w:r>
          </w:p>
        </w:tc>
      </w:tr>
      <w:tr w:rsidR="002E42F1" w:rsidRPr="002E42F1" w14:paraId="30494178"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736CEAF2" w14:textId="77777777" w:rsidR="00776970" w:rsidRPr="002E42F1" w:rsidRDefault="00776970" w:rsidP="00776970">
            <w:pPr>
              <w:spacing w:after="0" w:line="240" w:lineRule="auto"/>
              <w:jc w:val="center"/>
            </w:pPr>
            <w:r w:rsidRPr="002E42F1">
              <w:t>2018</w:t>
            </w:r>
          </w:p>
        </w:tc>
        <w:tc>
          <w:tcPr>
            <w:tcW w:w="1813" w:type="dxa"/>
            <w:tcBorders>
              <w:top w:val="nil"/>
              <w:left w:val="nil"/>
              <w:bottom w:val="single" w:sz="4" w:space="0" w:color="auto"/>
              <w:right w:val="single" w:sz="4" w:space="0" w:color="auto"/>
            </w:tcBorders>
            <w:shd w:val="clear" w:color="auto" w:fill="auto"/>
            <w:noWrap/>
            <w:vAlign w:val="center"/>
            <w:hideMark/>
          </w:tcPr>
          <w:p w14:paraId="347E4119" w14:textId="77777777" w:rsidR="00776970" w:rsidRPr="002E42F1" w:rsidRDefault="00776970" w:rsidP="00776970">
            <w:pPr>
              <w:spacing w:after="0" w:line="240" w:lineRule="auto"/>
              <w:jc w:val="right"/>
            </w:pPr>
            <w:r w:rsidRPr="002E42F1">
              <w:t>49,6</w:t>
            </w:r>
          </w:p>
        </w:tc>
        <w:tc>
          <w:tcPr>
            <w:tcW w:w="1814" w:type="dxa"/>
            <w:tcBorders>
              <w:top w:val="nil"/>
              <w:left w:val="nil"/>
              <w:bottom w:val="single" w:sz="4" w:space="0" w:color="auto"/>
              <w:right w:val="single" w:sz="4" w:space="0" w:color="auto"/>
            </w:tcBorders>
            <w:shd w:val="clear" w:color="auto" w:fill="auto"/>
            <w:noWrap/>
            <w:vAlign w:val="center"/>
            <w:hideMark/>
          </w:tcPr>
          <w:p w14:paraId="6A94273C" w14:textId="77777777" w:rsidR="00776970" w:rsidRPr="002E42F1" w:rsidRDefault="00776970" w:rsidP="00776970">
            <w:pPr>
              <w:spacing w:after="0" w:line="240" w:lineRule="auto"/>
              <w:jc w:val="right"/>
            </w:pPr>
            <w:r w:rsidRPr="002E42F1">
              <w:t>13,5</w:t>
            </w:r>
          </w:p>
        </w:tc>
        <w:tc>
          <w:tcPr>
            <w:tcW w:w="1813" w:type="dxa"/>
            <w:tcBorders>
              <w:top w:val="nil"/>
              <w:left w:val="nil"/>
              <w:bottom w:val="single" w:sz="4" w:space="0" w:color="auto"/>
              <w:right w:val="single" w:sz="4" w:space="0" w:color="auto"/>
            </w:tcBorders>
            <w:shd w:val="clear" w:color="auto" w:fill="auto"/>
            <w:noWrap/>
            <w:vAlign w:val="center"/>
            <w:hideMark/>
          </w:tcPr>
          <w:p w14:paraId="50B209C1" w14:textId="77777777" w:rsidR="00776970" w:rsidRPr="002E42F1" w:rsidRDefault="00776970" w:rsidP="00776970">
            <w:pPr>
              <w:spacing w:after="0" w:line="240" w:lineRule="auto"/>
              <w:jc w:val="right"/>
            </w:pPr>
            <w:r w:rsidRPr="002E42F1">
              <w:t>0,6</w:t>
            </w:r>
          </w:p>
        </w:tc>
        <w:tc>
          <w:tcPr>
            <w:tcW w:w="1814" w:type="dxa"/>
            <w:tcBorders>
              <w:top w:val="nil"/>
              <w:left w:val="nil"/>
              <w:bottom w:val="single" w:sz="4" w:space="0" w:color="auto"/>
              <w:right w:val="single" w:sz="4" w:space="0" w:color="auto"/>
            </w:tcBorders>
            <w:shd w:val="clear" w:color="auto" w:fill="auto"/>
            <w:noWrap/>
            <w:vAlign w:val="center"/>
            <w:hideMark/>
          </w:tcPr>
          <w:p w14:paraId="592D0C99" w14:textId="77777777" w:rsidR="00776970" w:rsidRPr="002E42F1" w:rsidRDefault="00776970" w:rsidP="00776970">
            <w:pPr>
              <w:spacing w:after="0" w:line="240" w:lineRule="auto"/>
              <w:jc w:val="right"/>
            </w:pPr>
            <w:r w:rsidRPr="002E42F1">
              <w:t>24,8</w:t>
            </w:r>
          </w:p>
        </w:tc>
      </w:tr>
      <w:tr w:rsidR="002E42F1" w:rsidRPr="002E42F1" w14:paraId="125C3BBC" w14:textId="77777777" w:rsidTr="00776970">
        <w:trPr>
          <w:trHeight w:val="25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14:paraId="0561640D" w14:textId="77777777" w:rsidR="00776970" w:rsidRPr="002E42F1" w:rsidRDefault="00776970" w:rsidP="00776970">
            <w:pPr>
              <w:spacing w:after="0" w:line="240" w:lineRule="auto"/>
              <w:jc w:val="center"/>
            </w:pPr>
            <w:r w:rsidRPr="002E42F1">
              <w:t>2019</w:t>
            </w:r>
          </w:p>
        </w:tc>
        <w:tc>
          <w:tcPr>
            <w:tcW w:w="1813" w:type="dxa"/>
            <w:tcBorders>
              <w:top w:val="nil"/>
              <w:left w:val="nil"/>
              <w:bottom w:val="single" w:sz="4" w:space="0" w:color="auto"/>
              <w:right w:val="single" w:sz="4" w:space="0" w:color="auto"/>
            </w:tcBorders>
            <w:shd w:val="clear" w:color="auto" w:fill="auto"/>
            <w:noWrap/>
            <w:vAlign w:val="center"/>
            <w:hideMark/>
          </w:tcPr>
          <w:p w14:paraId="0447F6D5" w14:textId="77777777" w:rsidR="00776970" w:rsidRPr="002E42F1" w:rsidRDefault="00776970" w:rsidP="00776970">
            <w:pPr>
              <w:spacing w:after="0" w:line="240" w:lineRule="auto"/>
              <w:jc w:val="right"/>
            </w:pPr>
            <w:r w:rsidRPr="002E42F1">
              <w:t>40,6</w:t>
            </w:r>
          </w:p>
        </w:tc>
        <w:tc>
          <w:tcPr>
            <w:tcW w:w="1814" w:type="dxa"/>
            <w:tcBorders>
              <w:top w:val="nil"/>
              <w:left w:val="nil"/>
              <w:bottom w:val="single" w:sz="4" w:space="0" w:color="auto"/>
              <w:right w:val="single" w:sz="4" w:space="0" w:color="auto"/>
            </w:tcBorders>
            <w:shd w:val="clear" w:color="auto" w:fill="auto"/>
            <w:noWrap/>
            <w:vAlign w:val="center"/>
            <w:hideMark/>
          </w:tcPr>
          <w:p w14:paraId="57D4EE05" w14:textId="77777777" w:rsidR="00776970" w:rsidRPr="002E42F1" w:rsidRDefault="00776970" w:rsidP="00776970">
            <w:pPr>
              <w:spacing w:after="0" w:line="240" w:lineRule="auto"/>
              <w:jc w:val="right"/>
            </w:pPr>
            <w:r w:rsidRPr="002E42F1">
              <w:t>3,7</w:t>
            </w:r>
          </w:p>
        </w:tc>
        <w:tc>
          <w:tcPr>
            <w:tcW w:w="1813" w:type="dxa"/>
            <w:tcBorders>
              <w:top w:val="nil"/>
              <w:left w:val="nil"/>
              <w:bottom w:val="single" w:sz="4" w:space="0" w:color="auto"/>
              <w:right w:val="single" w:sz="4" w:space="0" w:color="auto"/>
            </w:tcBorders>
            <w:shd w:val="clear" w:color="auto" w:fill="auto"/>
            <w:noWrap/>
            <w:vAlign w:val="center"/>
            <w:hideMark/>
          </w:tcPr>
          <w:p w14:paraId="1EBC08D7" w14:textId="77777777" w:rsidR="00776970" w:rsidRPr="002E42F1" w:rsidRDefault="00776970" w:rsidP="00776970">
            <w:pPr>
              <w:spacing w:after="0" w:line="240" w:lineRule="auto"/>
              <w:jc w:val="right"/>
            </w:pPr>
            <w:r w:rsidRPr="002E42F1">
              <w:t>9,2</w:t>
            </w:r>
          </w:p>
        </w:tc>
        <w:tc>
          <w:tcPr>
            <w:tcW w:w="1814" w:type="dxa"/>
            <w:tcBorders>
              <w:top w:val="nil"/>
              <w:left w:val="nil"/>
              <w:bottom w:val="single" w:sz="4" w:space="0" w:color="auto"/>
              <w:right w:val="single" w:sz="4" w:space="0" w:color="auto"/>
            </w:tcBorders>
            <w:shd w:val="clear" w:color="auto" w:fill="auto"/>
            <w:noWrap/>
            <w:vAlign w:val="center"/>
            <w:hideMark/>
          </w:tcPr>
          <w:p w14:paraId="2EABDD79" w14:textId="77777777" w:rsidR="00776970" w:rsidRPr="002E42F1" w:rsidRDefault="00776970" w:rsidP="00776970">
            <w:pPr>
              <w:spacing w:after="0" w:line="240" w:lineRule="auto"/>
              <w:jc w:val="right"/>
            </w:pPr>
            <w:r w:rsidRPr="002E42F1">
              <w:t>11,1</w:t>
            </w:r>
          </w:p>
        </w:tc>
      </w:tr>
    </w:tbl>
    <w:p w14:paraId="04922FF1" w14:textId="36237231" w:rsidR="00A300BA" w:rsidRPr="002E42F1" w:rsidRDefault="00E4293F" w:rsidP="006C282B">
      <w:pPr>
        <w:pStyle w:val="NoSpacing"/>
        <w:jc w:val="both"/>
        <w:rPr>
          <w:bCs/>
          <w:iCs/>
          <w:sz w:val="28"/>
          <w:szCs w:val="28"/>
        </w:rPr>
      </w:pPr>
      <w:r w:rsidRPr="002E42F1">
        <w:rPr>
          <w:bCs/>
          <w:iCs/>
          <w:sz w:val="28"/>
          <w:szCs w:val="28"/>
        </w:rPr>
        <w:t>Avots:</w:t>
      </w:r>
      <w:r w:rsidR="00D57545" w:rsidRPr="002E42F1">
        <w:rPr>
          <w:bCs/>
          <w:iCs/>
          <w:sz w:val="28"/>
          <w:szCs w:val="28"/>
        </w:rPr>
        <w:t xml:space="preserve"> </w:t>
      </w:r>
      <w:r w:rsidR="007C16B1" w:rsidRPr="002E42F1">
        <w:rPr>
          <w:bCs/>
          <w:iCs/>
          <w:sz w:val="28"/>
          <w:szCs w:val="28"/>
        </w:rPr>
        <w:t>IUB d</w:t>
      </w:r>
      <w:r w:rsidR="00A300BA" w:rsidRPr="002E42F1">
        <w:rPr>
          <w:bCs/>
          <w:iCs/>
          <w:sz w:val="28"/>
          <w:szCs w:val="28"/>
        </w:rPr>
        <w:t>ati</w:t>
      </w:r>
    </w:p>
    <w:p w14:paraId="073248BE" w14:textId="77777777" w:rsidR="007C16B1" w:rsidRPr="002E42F1" w:rsidRDefault="007C16B1" w:rsidP="006C282B">
      <w:pPr>
        <w:pStyle w:val="NoSpacing"/>
        <w:jc w:val="both"/>
        <w:rPr>
          <w:bCs/>
          <w:iCs/>
          <w:sz w:val="28"/>
          <w:szCs w:val="28"/>
        </w:rPr>
      </w:pPr>
    </w:p>
    <w:p w14:paraId="7405BDDA" w14:textId="32C53C92" w:rsidR="00A76D42" w:rsidRPr="002E42F1" w:rsidRDefault="00855E30" w:rsidP="009B545A">
      <w:pPr>
        <w:pStyle w:val="NoSpacing"/>
        <w:ind w:firstLine="720"/>
        <w:jc w:val="both"/>
        <w:rPr>
          <w:bCs/>
          <w:iCs/>
          <w:sz w:val="28"/>
          <w:szCs w:val="28"/>
        </w:rPr>
      </w:pPr>
      <w:r w:rsidRPr="002E42F1">
        <w:rPr>
          <w:bCs/>
          <w:iCs/>
          <w:sz w:val="28"/>
          <w:szCs w:val="28"/>
        </w:rPr>
        <w:t>SPSIL ietvarā</w:t>
      </w:r>
      <w:r w:rsidR="00A856BC" w:rsidRPr="002E42F1">
        <w:rPr>
          <w:bCs/>
          <w:iCs/>
          <w:sz w:val="28"/>
          <w:szCs w:val="28"/>
        </w:rPr>
        <w:t xml:space="preserve"> </w:t>
      </w:r>
      <w:r w:rsidR="00A856BC" w:rsidRPr="002E42F1">
        <w:rPr>
          <w:bCs/>
          <w:iCs/>
          <w:sz w:val="28"/>
          <w:szCs w:val="28"/>
          <w:u w:val="single"/>
        </w:rPr>
        <w:t>pēc iepirkumu skaita</w:t>
      </w:r>
      <w:r w:rsidRPr="002E42F1">
        <w:rPr>
          <w:bCs/>
          <w:iCs/>
          <w:sz w:val="28"/>
          <w:szCs w:val="28"/>
        </w:rPr>
        <w:t xml:space="preserve"> nozīmīgākās ZPI </w:t>
      </w:r>
      <w:r w:rsidR="00D57545" w:rsidRPr="002E42F1">
        <w:rPr>
          <w:bCs/>
          <w:iCs/>
          <w:sz w:val="28"/>
          <w:szCs w:val="28"/>
        </w:rPr>
        <w:t>iepirkumu</w:t>
      </w:r>
      <w:r w:rsidRPr="002E42F1">
        <w:rPr>
          <w:bCs/>
          <w:iCs/>
          <w:sz w:val="28"/>
          <w:szCs w:val="28"/>
        </w:rPr>
        <w:t xml:space="preserve"> preču un pakalpojumu grupas ir bijušas mehāniskie transporta līdzekļi</w:t>
      </w:r>
      <w:r w:rsidR="004E391F" w:rsidRPr="002E42F1">
        <w:rPr>
          <w:bCs/>
          <w:iCs/>
          <w:sz w:val="28"/>
          <w:szCs w:val="28"/>
        </w:rPr>
        <w:t xml:space="preserve"> –</w:t>
      </w:r>
      <w:r w:rsidR="00A856BC" w:rsidRPr="002E42F1">
        <w:rPr>
          <w:bCs/>
          <w:iCs/>
          <w:sz w:val="28"/>
          <w:szCs w:val="28"/>
        </w:rPr>
        <w:t xml:space="preserve"> 9 iepirkumu procedūras</w:t>
      </w:r>
      <w:r w:rsidRPr="002E42F1">
        <w:rPr>
          <w:bCs/>
          <w:iCs/>
          <w:sz w:val="28"/>
          <w:szCs w:val="28"/>
        </w:rPr>
        <w:t>. At</w:t>
      </w:r>
      <w:r w:rsidR="00BD4550" w:rsidRPr="002E42F1">
        <w:rPr>
          <w:bCs/>
          <w:iCs/>
          <w:sz w:val="28"/>
          <w:szCs w:val="28"/>
        </w:rPr>
        <w:t>sevišķi ir izdalīts</w:t>
      </w:r>
      <w:r w:rsidR="004E391F" w:rsidRPr="002E42F1">
        <w:rPr>
          <w:bCs/>
          <w:iCs/>
          <w:sz w:val="28"/>
          <w:szCs w:val="28"/>
        </w:rPr>
        <w:t xml:space="preserve"> </w:t>
      </w:r>
      <w:r w:rsidR="00BD4550" w:rsidRPr="002E42F1">
        <w:rPr>
          <w:bCs/>
          <w:iCs/>
          <w:sz w:val="28"/>
          <w:szCs w:val="28"/>
        </w:rPr>
        <w:t>sliežu transporta</w:t>
      </w:r>
      <w:r w:rsidRPr="002E42F1">
        <w:rPr>
          <w:bCs/>
          <w:iCs/>
          <w:sz w:val="28"/>
          <w:szCs w:val="28"/>
        </w:rPr>
        <w:t xml:space="preserve"> </w:t>
      </w:r>
      <w:r w:rsidR="004E391F" w:rsidRPr="002E42F1">
        <w:rPr>
          <w:bCs/>
          <w:iCs/>
          <w:sz w:val="28"/>
          <w:szCs w:val="28"/>
        </w:rPr>
        <w:t>ritošais sastāvs, par ko 2019. gadā veikts 1 iepirkums.</w:t>
      </w:r>
      <w:r w:rsidR="00D57545" w:rsidRPr="002E42F1">
        <w:rPr>
          <w:bCs/>
          <w:iCs/>
          <w:sz w:val="28"/>
          <w:szCs w:val="28"/>
        </w:rPr>
        <w:t xml:space="preserve"> Tāpat </w:t>
      </w:r>
      <w:r w:rsidR="006A2C70" w:rsidRPr="002E42F1">
        <w:rPr>
          <w:bCs/>
          <w:iCs/>
          <w:sz w:val="28"/>
          <w:szCs w:val="28"/>
        </w:rPr>
        <w:t>ir veikti</w:t>
      </w:r>
      <w:r w:rsidR="004E391F" w:rsidRPr="002E42F1">
        <w:rPr>
          <w:bCs/>
          <w:iCs/>
          <w:sz w:val="28"/>
          <w:szCs w:val="28"/>
        </w:rPr>
        <w:t xml:space="preserve"> 4</w:t>
      </w:r>
      <w:r w:rsidR="006A2C70" w:rsidRPr="002E42F1">
        <w:rPr>
          <w:bCs/>
          <w:iCs/>
          <w:sz w:val="28"/>
          <w:szCs w:val="28"/>
        </w:rPr>
        <w:t xml:space="preserve"> būvdarbu</w:t>
      </w:r>
      <w:r w:rsidR="004E391F" w:rsidRPr="002E42F1">
        <w:rPr>
          <w:bCs/>
          <w:iCs/>
          <w:sz w:val="28"/>
          <w:szCs w:val="28"/>
        </w:rPr>
        <w:t xml:space="preserve"> iepirkumi</w:t>
      </w:r>
      <w:r w:rsidR="00A76D42" w:rsidRPr="002E42F1">
        <w:rPr>
          <w:bCs/>
          <w:iCs/>
          <w:sz w:val="28"/>
          <w:szCs w:val="28"/>
        </w:rPr>
        <w:t xml:space="preserve">. </w:t>
      </w:r>
    </w:p>
    <w:p w14:paraId="0CD36303" w14:textId="440A7767" w:rsidR="008A3C67" w:rsidRPr="002E42F1" w:rsidRDefault="008A3C67" w:rsidP="006C282B">
      <w:pPr>
        <w:pStyle w:val="NoSpacing"/>
        <w:jc w:val="both"/>
        <w:rPr>
          <w:bCs/>
          <w:iCs/>
          <w:sz w:val="28"/>
          <w:szCs w:val="28"/>
        </w:rPr>
      </w:pPr>
      <w:r w:rsidRPr="002E42F1">
        <w:rPr>
          <w:bCs/>
          <w:iCs/>
          <w:sz w:val="28"/>
          <w:szCs w:val="28"/>
        </w:rPr>
        <w:br w:type="page"/>
      </w:r>
    </w:p>
    <w:p w14:paraId="7745D410" w14:textId="747200D7" w:rsidR="009B508E" w:rsidRPr="002E42F1" w:rsidRDefault="000B58F1" w:rsidP="00BA4929">
      <w:pPr>
        <w:pStyle w:val="Heading2"/>
        <w:numPr>
          <w:ilvl w:val="1"/>
          <w:numId w:val="44"/>
        </w:numPr>
        <w:ind w:left="709" w:hanging="283"/>
        <w:jc w:val="center"/>
      </w:pPr>
      <w:bookmarkStart w:id="6" w:name="_Toc37334424"/>
      <w:r w:rsidRPr="002E42F1">
        <w:lastRenderedPageBreak/>
        <w:t xml:space="preserve">Pārskats par Elektronisko iepirkumu sistēmā </w:t>
      </w:r>
      <w:r w:rsidR="00A76D42" w:rsidRPr="002E42F1">
        <w:t xml:space="preserve">(EIS) </w:t>
      </w:r>
      <w:r w:rsidRPr="002E42F1">
        <w:t>veiktajiem zaļajiem publiskiem iepirkumiem</w:t>
      </w:r>
      <w:bookmarkEnd w:id="6"/>
    </w:p>
    <w:p w14:paraId="70B3D0A5" w14:textId="77777777" w:rsidR="0037736B" w:rsidRPr="002E42F1" w:rsidRDefault="0037736B" w:rsidP="0037736B">
      <w:pPr>
        <w:pStyle w:val="NoSpacing"/>
        <w:jc w:val="both"/>
        <w:rPr>
          <w:b/>
          <w:sz w:val="28"/>
          <w:szCs w:val="28"/>
        </w:rPr>
      </w:pPr>
    </w:p>
    <w:p w14:paraId="4CE56DC3" w14:textId="00B9534D" w:rsidR="002E51AD" w:rsidRPr="002E42F1" w:rsidRDefault="00156AB5" w:rsidP="009B545A">
      <w:pPr>
        <w:pStyle w:val="NoSpacing"/>
        <w:ind w:firstLine="720"/>
        <w:jc w:val="both"/>
        <w:rPr>
          <w:bCs/>
          <w:iCs/>
          <w:sz w:val="28"/>
          <w:szCs w:val="28"/>
        </w:rPr>
      </w:pPr>
      <w:r w:rsidRPr="002E42F1">
        <w:rPr>
          <w:bCs/>
          <w:iCs/>
          <w:sz w:val="28"/>
          <w:szCs w:val="28"/>
        </w:rPr>
        <w:t xml:space="preserve">Paralēli PIL un SPSIL noteiktajai kārtībai valsts un pašvaldību iestādes veic iepirkumus </w:t>
      </w:r>
      <w:r w:rsidR="00710BEE" w:rsidRPr="002E42F1">
        <w:rPr>
          <w:bCs/>
          <w:iCs/>
          <w:sz w:val="28"/>
          <w:szCs w:val="28"/>
        </w:rPr>
        <w:t>EIS</w:t>
      </w:r>
      <w:r w:rsidRPr="002E42F1">
        <w:rPr>
          <w:bCs/>
          <w:iCs/>
          <w:sz w:val="28"/>
          <w:szCs w:val="28"/>
        </w:rPr>
        <w:t xml:space="preserve">. </w:t>
      </w:r>
      <w:r w:rsidR="00481677" w:rsidRPr="002E42F1">
        <w:rPr>
          <w:bCs/>
          <w:iCs/>
          <w:sz w:val="28"/>
          <w:szCs w:val="28"/>
        </w:rPr>
        <w:t>EIS</w:t>
      </w:r>
      <w:r w:rsidR="002E51AD" w:rsidRPr="002E42F1">
        <w:rPr>
          <w:bCs/>
          <w:iCs/>
          <w:sz w:val="28"/>
          <w:szCs w:val="28"/>
        </w:rPr>
        <w:t xml:space="preserve"> darbību no 2009.</w:t>
      </w:r>
      <w:r w:rsidR="00A77DD6" w:rsidRPr="002E42F1">
        <w:rPr>
          <w:bCs/>
          <w:iCs/>
          <w:sz w:val="28"/>
          <w:szCs w:val="28"/>
        </w:rPr>
        <w:t xml:space="preserve"> </w:t>
      </w:r>
      <w:r w:rsidR="002E51AD" w:rsidRPr="002E42F1">
        <w:rPr>
          <w:bCs/>
          <w:iCs/>
          <w:sz w:val="28"/>
          <w:szCs w:val="28"/>
        </w:rPr>
        <w:t>gada 1.</w:t>
      </w:r>
      <w:r w:rsidR="00A77DD6" w:rsidRPr="002E42F1">
        <w:rPr>
          <w:bCs/>
          <w:iCs/>
          <w:sz w:val="28"/>
          <w:szCs w:val="28"/>
        </w:rPr>
        <w:t xml:space="preserve"> </w:t>
      </w:r>
      <w:r w:rsidR="002E51AD" w:rsidRPr="002E42F1">
        <w:rPr>
          <w:bCs/>
          <w:iCs/>
          <w:sz w:val="28"/>
          <w:szCs w:val="28"/>
        </w:rPr>
        <w:t xml:space="preserve">jūnija nodrošina </w:t>
      </w:r>
      <w:r w:rsidR="00491EAF" w:rsidRPr="002E42F1">
        <w:rPr>
          <w:bCs/>
          <w:iCs/>
          <w:sz w:val="28"/>
          <w:szCs w:val="28"/>
        </w:rPr>
        <w:t>VRAA</w:t>
      </w:r>
      <w:r w:rsidR="002E51AD" w:rsidRPr="002E42F1">
        <w:rPr>
          <w:bCs/>
          <w:iCs/>
          <w:sz w:val="28"/>
          <w:szCs w:val="28"/>
        </w:rPr>
        <w:t xml:space="preserve"> saskaņā ar Ministru kabineta 2009.</w:t>
      </w:r>
      <w:r w:rsidR="00A77DD6" w:rsidRPr="002E42F1">
        <w:rPr>
          <w:bCs/>
          <w:iCs/>
          <w:sz w:val="28"/>
          <w:szCs w:val="28"/>
        </w:rPr>
        <w:t xml:space="preserve"> </w:t>
      </w:r>
      <w:r w:rsidR="002E51AD" w:rsidRPr="002E42F1">
        <w:rPr>
          <w:bCs/>
          <w:iCs/>
          <w:sz w:val="28"/>
          <w:szCs w:val="28"/>
        </w:rPr>
        <w:t>gada 1.</w:t>
      </w:r>
      <w:r w:rsidR="000E1C77" w:rsidRPr="002E42F1">
        <w:rPr>
          <w:bCs/>
          <w:iCs/>
          <w:sz w:val="28"/>
          <w:szCs w:val="28"/>
        </w:rPr>
        <w:t xml:space="preserve"> </w:t>
      </w:r>
      <w:r w:rsidR="002E51AD" w:rsidRPr="002E42F1">
        <w:rPr>
          <w:bCs/>
          <w:iCs/>
          <w:sz w:val="28"/>
          <w:szCs w:val="28"/>
        </w:rPr>
        <w:t>aprīļa rīkojumu Nr.</w:t>
      </w:r>
      <w:r w:rsidR="000465E6">
        <w:rPr>
          <w:bCs/>
          <w:iCs/>
          <w:sz w:val="28"/>
          <w:szCs w:val="28"/>
        </w:rPr>
        <w:t xml:space="preserve"> </w:t>
      </w:r>
      <w:r w:rsidRPr="002E42F1">
        <w:rPr>
          <w:bCs/>
          <w:iCs/>
          <w:sz w:val="28"/>
          <w:szCs w:val="28"/>
        </w:rPr>
        <w:t xml:space="preserve">220 </w:t>
      </w:r>
      <w:r w:rsidR="007C62AC" w:rsidRPr="002E42F1">
        <w:rPr>
          <w:bCs/>
          <w:iCs/>
          <w:sz w:val="28"/>
          <w:szCs w:val="28"/>
        </w:rPr>
        <w:t>“</w:t>
      </w:r>
      <w:r w:rsidR="002E51AD" w:rsidRPr="002E42F1">
        <w:rPr>
          <w:bCs/>
          <w:iCs/>
          <w:sz w:val="28"/>
          <w:szCs w:val="28"/>
        </w:rPr>
        <w:t>Par Īpašu uzdevumu ministra elektroniskās pārvaldes liet</w:t>
      </w:r>
      <w:r w:rsidR="00FB6B3C" w:rsidRPr="002E42F1">
        <w:rPr>
          <w:bCs/>
          <w:iCs/>
          <w:sz w:val="28"/>
          <w:szCs w:val="28"/>
        </w:rPr>
        <w:t>ās sekretariāta reorganizāciju</w:t>
      </w:r>
      <w:r w:rsidR="00DC7B83" w:rsidRPr="002E42F1">
        <w:rPr>
          <w:bCs/>
          <w:iCs/>
          <w:sz w:val="28"/>
          <w:szCs w:val="28"/>
        </w:rPr>
        <w:t>”</w:t>
      </w:r>
      <w:r w:rsidR="00FB6B3C" w:rsidRPr="002E42F1">
        <w:rPr>
          <w:bCs/>
          <w:iCs/>
          <w:sz w:val="28"/>
          <w:szCs w:val="28"/>
        </w:rPr>
        <w:t>. VRAA</w:t>
      </w:r>
      <w:r w:rsidR="00A266E2" w:rsidRPr="002E42F1">
        <w:rPr>
          <w:bCs/>
          <w:iCs/>
          <w:sz w:val="28"/>
          <w:szCs w:val="28"/>
        </w:rPr>
        <w:t xml:space="preserve"> </w:t>
      </w:r>
      <w:r w:rsidR="002E51AD" w:rsidRPr="002E42F1">
        <w:rPr>
          <w:bCs/>
          <w:iCs/>
          <w:sz w:val="28"/>
          <w:szCs w:val="28"/>
        </w:rPr>
        <w:t>rīko centralizētas publiskas iepirkumu procedūras, lai noslēgtu vispārīgās vie</w:t>
      </w:r>
      <w:r w:rsidR="00FB6B3C" w:rsidRPr="002E42F1">
        <w:rPr>
          <w:bCs/>
          <w:iCs/>
          <w:sz w:val="28"/>
          <w:szCs w:val="28"/>
        </w:rPr>
        <w:t>nošanās starp vienu vai vairākiem pasūtītājiem (valsts iestādēm, pašvaldībām</w:t>
      </w:r>
      <w:r w:rsidR="00693E95" w:rsidRPr="002E42F1">
        <w:rPr>
          <w:bCs/>
          <w:iCs/>
          <w:sz w:val="28"/>
          <w:szCs w:val="28"/>
        </w:rPr>
        <w:t>,</w:t>
      </w:r>
      <w:r w:rsidR="00FB6B3C" w:rsidRPr="002E42F1">
        <w:rPr>
          <w:bCs/>
          <w:iCs/>
          <w:sz w:val="28"/>
          <w:szCs w:val="28"/>
        </w:rPr>
        <w:t xml:space="preserve"> pašvaldību iestādēm, uzņēmumiem, kur kapitāldaļu turētāji ir valsts iestādes vai pašvaldību iestādes</w:t>
      </w:r>
      <w:r w:rsidR="00932D8C" w:rsidRPr="002E42F1">
        <w:rPr>
          <w:bCs/>
          <w:iCs/>
          <w:sz w:val="28"/>
          <w:szCs w:val="28"/>
        </w:rPr>
        <w:t>,</w:t>
      </w:r>
      <w:r w:rsidR="00FB6B3C" w:rsidRPr="002E42F1">
        <w:rPr>
          <w:bCs/>
          <w:iCs/>
          <w:sz w:val="28"/>
          <w:szCs w:val="28"/>
        </w:rPr>
        <w:t xml:space="preserve"> nodibinājumiem</w:t>
      </w:r>
      <w:r w:rsidR="00EC3FDC" w:rsidRPr="002E42F1">
        <w:rPr>
          <w:bCs/>
          <w:iCs/>
          <w:sz w:val="28"/>
          <w:szCs w:val="28"/>
        </w:rPr>
        <w:t>,</w:t>
      </w:r>
      <w:r w:rsidR="00FB6B3C" w:rsidRPr="002E42F1">
        <w:rPr>
          <w:bCs/>
          <w:iCs/>
          <w:sz w:val="28"/>
          <w:szCs w:val="28"/>
        </w:rPr>
        <w:t xml:space="preserve"> pašpārvaldes iestādēm) </w:t>
      </w:r>
      <w:r w:rsidR="002E51AD" w:rsidRPr="002E42F1">
        <w:rPr>
          <w:bCs/>
          <w:iCs/>
          <w:sz w:val="28"/>
          <w:szCs w:val="28"/>
        </w:rPr>
        <w:t xml:space="preserve">un vienu vai vairākiem piegādātājiem </w:t>
      </w:r>
      <w:r w:rsidRPr="002E42F1">
        <w:rPr>
          <w:bCs/>
          <w:iCs/>
          <w:sz w:val="28"/>
          <w:szCs w:val="28"/>
        </w:rPr>
        <w:t>par darījumu veikšanu elektronisko iepirkumu procesā. Atbilstoši centralizēto iepirkumu procedūru rezultātiem EIS nodrošina piegādātājiem iespēju vienā vai</w:t>
      </w:r>
      <w:r w:rsidR="002E51AD" w:rsidRPr="002E42F1">
        <w:rPr>
          <w:sz w:val="28"/>
          <w:szCs w:val="28"/>
        </w:rPr>
        <w:t xml:space="preserve"> </w:t>
      </w:r>
      <w:r w:rsidR="002E51AD" w:rsidRPr="002E42F1">
        <w:rPr>
          <w:bCs/>
          <w:iCs/>
          <w:sz w:val="28"/>
          <w:szCs w:val="28"/>
        </w:rPr>
        <w:t>vairākos Latvijas Republikas piegādes reģionos piedāvāt preces EIS reģistrētajiem pircējiem par cenām, kas nepārsniedz attiecīgo centralizēto konkursu piedāvājumos norādīto. EIS paredz arī vairākus mehānismus, kuru mērķis ir nodrošināt arī šaura profila uzņēmumiem iespējas veiksmīgi piedāvāt savas preces un pakalpojumus, piemēram, iespēja EIS piedāvāt preces tikai kādā atsevišķā iepirkuma priekšmeta daļā</w:t>
      </w:r>
      <w:r w:rsidR="00393178" w:rsidRPr="002E42F1">
        <w:rPr>
          <w:bCs/>
          <w:iCs/>
          <w:sz w:val="28"/>
          <w:szCs w:val="28"/>
        </w:rPr>
        <w:t>,</w:t>
      </w:r>
      <w:r w:rsidR="002E51AD" w:rsidRPr="002E42F1">
        <w:rPr>
          <w:bCs/>
          <w:iCs/>
          <w:sz w:val="28"/>
          <w:szCs w:val="28"/>
        </w:rPr>
        <w:t xml:space="preserve"> vai tikai vienu preci vienā iepirkuma priekšmeta daļā.</w:t>
      </w:r>
      <w:r w:rsidR="00481677" w:rsidRPr="002E42F1">
        <w:rPr>
          <w:bCs/>
          <w:iCs/>
          <w:sz w:val="28"/>
          <w:szCs w:val="28"/>
        </w:rPr>
        <w:t xml:space="preserve"> </w:t>
      </w:r>
    </w:p>
    <w:p w14:paraId="64E3368F" w14:textId="614D887B" w:rsidR="00A4727B" w:rsidRPr="002E42F1" w:rsidRDefault="00156AB5" w:rsidP="009B545A">
      <w:pPr>
        <w:pStyle w:val="NoSpacing"/>
        <w:ind w:firstLine="720"/>
        <w:jc w:val="both"/>
        <w:rPr>
          <w:sz w:val="28"/>
          <w:szCs w:val="28"/>
        </w:rPr>
      </w:pPr>
      <w:r w:rsidRPr="002E42F1">
        <w:rPr>
          <w:sz w:val="28"/>
          <w:szCs w:val="28"/>
        </w:rPr>
        <w:t xml:space="preserve">Attiecība starp </w:t>
      </w:r>
      <w:r w:rsidR="006E2B10" w:rsidRPr="002E42F1">
        <w:rPr>
          <w:sz w:val="28"/>
          <w:szCs w:val="28"/>
        </w:rPr>
        <w:t>ZPI</w:t>
      </w:r>
      <w:r w:rsidRPr="002E42F1">
        <w:rPr>
          <w:sz w:val="28"/>
          <w:szCs w:val="28"/>
        </w:rPr>
        <w:t xml:space="preserve"> un kopējo</w:t>
      </w:r>
      <w:r w:rsidR="0064174A" w:rsidRPr="002E42F1">
        <w:rPr>
          <w:sz w:val="28"/>
          <w:szCs w:val="28"/>
        </w:rPr>
        <w:t xml:space="preserve"> iepirkumu</w:t>
      </w:r>
      <w:r w:rsidR="000D5700" w:rsidRPr="002E42F1">
        <w:rPr>
          <w:sz w:val="28"/>
          <w:szCs w:val="28"/>
        </w:rPr>
        <w:t xml:space="preserve"> līgumcenu</w:t>
      </w:r>
      <w:r w:rsidR="0064174A" w:rsidRPr="002E42F1">
        <w:rPr>
          <w:sz w:val="28"/>
          <w:szCs w:val="28"/>
        </w:rPr>
        <w:t xml:space="preserve"> EIS parādīta</w:t>
      </w:r>
      <w:r w:rsidR="000D5700" w:rsidRPr="002E42F1">
        <w:rPr>
          <w:sz w:val="28"/>
          <w:szCs w:val="28"/>
        </w:rPr>
        <w:t xml:space="preserve"> </w:t>
      </w:r>
      <w:r w:rsidR="00845CF3" w:rsidRPr="002E42F1">
        <w:rPr>
          <w:sz w:val="28"/>
          <w:szCs w:val="28"/>
        </w:rPr>
        <w:t>1</w:t>
      </w:r>
      <w:r w:rsidR="00B328B9" w:rsidRPr="002E42F1">
        <w:rPr>
          <w:sz w:val="28"/>
          <w:szCs w:val="28"/>
        </w:rPr>
        <w:t>3</w:t>
      </w:r>
      <w:r w:rsidR="000D5700" w:rsidRPr="002E42F1">
        <w:rPr>
          <w:sz w:val="28"/>
          <w:szCs w:val="28"/>
        </w:rPr>
        <w:t>. tabulā un</w:t>
      </w:r>
      <w:r w:rsidR="0064174A" w:rsidRPr="002E42F1">
        <w:rPr>
          <w:sz w:val="28"/>
          <w:szCs w:val="28"/>
        </w:rPr>
        <w:t xml:space="preserve"> </w:t>
      </w:r>
      <w:r w:rsidR="009A4849" w:rsidRPr="002E42F1">
        <w:rPr>
          <w:sz w:val="28"/>
          <w:szCs w:val="28"/>
        </w:rPr>
        <w:t>1</w:t>
      </w:r>
      <w:r w:rsidR="00707E72" w:rsidRPr="002E42F1">
        <w:rPr>
          <w:sz w:val="28"/>
          <w:szCs w:val="28"/>
        </w:rPr>
        <w:t>2</w:t>
      </w:r>
      <w:r w:rsidR="0064174A" w:rsidRPr="002E42F1">
        <w:rPr>
          <w:sz w:val="28"/>
          <w:szCs w:val="28"/>
        </w:rPr>
        <w:t xml:space="preserve">. </w:t>
      </w:r>
      <w:r w:rsidR="008A1F9C" w:rsidRPr="002E42F1">
        <w:rPr>
          <w:sz w:val="28"/>
          <w:szCs w:val="28"/>
        </w:rPr>
        <w:t>a</w:t>
      </w:r>
      <w:r w:rsidR="00B32A71" w:rsidRPr="002E42F1">
        <w:rPr>
          <w:sz w:val="28"/>
          <w:szCs w:val="28"/>
        </w:rPr>
        <w:t xml:space="preserve">ttēlā, kas </w:t>
      </w:r>
      <w:r w:rsidR="00C7518B" w:rsidRPr="002E42F1">
        <w:rPr>
          <w:sz w:val="28"/>
          <w:szCs w:val="28"/>
        </w:rPr>
        <w:t xml:space="preserve">liecina par </w:t>
      </w:r>
      <w:r w:rsidR="00D33364" w:rsidRPr="002E42F1">
        <w:rPr>
          <w:sz w:val="28"/>
          <w:szCs w:val="28"/>
        </w:rPr>
        <w:t>ZPI pirkumu EIS sistēmā īpatsvar</w:t>
      </w:r>
      <w:r w:rsidR="000D5700" w:rsidRPr="002E42F1">
        <w:rPr>
          <w:sz w:val="28"/>
          <w:szCs w:val="28"/>
        </w:rPr>
        <w:t>a stabilizēšanos 20% līmenī</w:t>
      </w:r>
      <w:r w:rsidR="00F201CC" w:rsidRPr="002E42F1">
        <w:rPr>
          <w:sz w:val="28"/>
          <w:szCs w:val="28"/>
        </w:rPr>
        <w:t>.</w:t>
      </w:r>
    </w:p>
    <w:p w14:paraId="5331DD65" w14:textId="77777777" w:rsidR="009B545A" w:rsidRPr="002E42F1" w:rsidRDefault="009B545A" w:rsidP="009B545A">
      <w:pPr>
        <w:pStyle w:val="NoSpacing"/>
        <w:jc w:val="both"/>
        <w:rPr>
          <w:sz w:val="28"/>
          <w:szCs w:val="28"/>
        </w:rPr>
      </w:pPr>
    </w:p>
    <w:p w14:paraId="575A7CD7" w14:textId="696459EB" w:rsidR="00431FDE" w:rsidRPr="002E42F1" w:rsidRDefault="00845CF3" w:rsidP="009B545A">
      <w:pPr>
        <w:pStyle w:val="NoSpacing"/>
        <w:jc w:val="right"/>
        <w:rPr>
          <w:sz w:val="28"/>
          <w:szCs w:val="28"/>
        </w:rPr>
      </w:pPr>
      <w:r w:rsidRPr="002E42F1">
        <w:rPr>
          <w:sz w:val="28"/>
          <w:szCs w:val="28"/>
        </w:rPr>
        <w:t>1</w:t>
      </w:r>
      <w:r w:rsidR="00B328B9" w:rsidRPr="002E42F1">
        <w:rPr>
          <w:sz w:val="28"/>
          <w:szCs w:val="28"/>
        </w:rPr>
        <w:t>3</w:t>
      </w:r>
      <w:r w:rsidR="003F7B2C" w:rsidRPr="002E42F1">
        <w:rPr>
          <w:sz w:val="28"/>
          <w:szCs w:val="28"/>
        </w:rPr>
        <w:t>.</w:t>
      </w:r>
      <w:r w:rsidR="00431FDE" w:rsidRPr="002E42F1">
        <w:rPr>
          <w:sz w:val="28"/>
          <w:szCs w:val="28"/>
        </w:rPr>
        <w:t xml:space="preserve"> </w:t>
      </w:r>
      <w:r w:rsidR="00993A74" w:rsidRPr="002E42F1">
        <w:rPr>
          <w:sz w:val="28"/>
          <w:szCs w:val="28"/>
        </w:rPr>
        <w:t>tabula</w:t>
      </w:r>
    </w:p>
    <w:p w14:paraId="45741939" w14:textId="00AB5057" w:rsidR="00431FDE" w:rsidRPr="002E42F1" w:rsidRDefault="00431FDE" w:rsidP="009B545A">
      <w:pPr>
        <w:pStyle w:val="NoSpacing"/>
        <w:jc w:val="center"/>
        <w:rPr>
          <w:sz w:val="28"/>
          <w:szCs w:val="28"/>
        </w:rPr>
      </w:pPr>
      <w:r w:rsidRPr="002E42F1">
        <w:rPr>
          <w:sz w:val="28"/>
          <w:szCs w:val="28"/>
        </w:rPr>
        <w:t>ZPI attiecība pret kopējiem veiktiem pirkumiem EIS sistēmā 2016. – 2019. gadā</w:t>
      </w:r>
    </w:p>
    <w:p w14:paraId="69DE2430" w14:textId="7266482E" w:rsidR="00431FDE" w:rsidRPr="002E42F1" w:rsidRDefault="00431FDE" w:rsidP="006C282B">
      <w:pPr>
        <w:pStyle w:val="NoSpacing"/>
        <w:jc w:val="both"/>
        <w:rPr>
          <w:sz w:val="28"/>
          <w:szCs w:val="28"/>
        </w:rPr>
      </w:pPr>
    </w:p>
    <w:tbl>
      <w:tblPr>
        <w:tblW w:w="9067" w:type="dxa"/>
        <w:tblLayout w:type="fixed"/>
        <w:tblLook w:val="04A0" w:firstRow="1" w:lastRow="0" w:firstColumn="1" w:lastColumn="0" w:noHBand="0" w:noVBand="1"/>
      </w:tblPr>
      <w:tblGrid>
        <w:gridCol w:w="2122"/>
        <w:gridCol w:w="2411"/>
        <w:gridCol w:w="2267"/>
        <w:gridCol w:w="2267"/>
      </w:tblGrid>
      <w:tr w:rsidR="002E42F1" w:rsidRPr="002E42F1" w14:paraId="2F6889A2" w14:textId="77777777" w:rsidTr="00431FDE">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1720" w14:textId="77777777" w:rsidR="00431FDE" w:rsidRPr="002E42F1" w:rsidRDefault="00431FDE" w:rsidP="009B545A">
            <w:pPr>
              <w:pStyle w:val="NoSpacing"/>
              <w:jc w:val="center"/>
            </w:pPr>
            <w:r w:rsidRPr="002E42F1">
              <w:t>Gads</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2FF2D562" w14:textId="36C36A13" w:rsidR="00431FDE" w:rsidRPr="002E42F1" w:rsidRDefault="00431FDE" w:rsidP="009B545A">
            <w:pPr>
              <w:pStyle w:val="NoSpacing"/>
              <w:jc w:val="center"/>
            </w:pPr>
            <w:r w:rsidRPr="002E42F1">
              <w:t>Kopējā līgumcena (milj. EUR bez PVN)</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11F0D145" w14:textId="654A2525" w:rsidR="00431FDE" w:rsidRPr="002E42F1" w:rsidRDefault="00431FDE" w:rsidP="009B545A">
            <w:pPr>
              <w:pStyle w:val="NoSpacing"/>
              <w:jc w:val="center"/>
            </w:pPr>
            <w:r w:rsidRPr="002E42F1">
              <w:t>ZPI līgumcena (milj. EUR bez PVN)</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5E99052D" w14:textId="1928FE54" w:rsidR="00431FDE" w:rsidRPr="002E42F1" w:rsidRDefault="00431FDE" w:rsidP="009B545A">
            <w:pPr>
              <w:pStyle w:val="NoSpacing"/>
              <w:jc w:val="center"/>
            </w:pPr>
            <w:r w:rsidRPr="002E42F1">
              <w:t>ZPI līgumcena</w:t>
            </w:r>
            <w:r w:rsidR="001F28E3" w:rsidRPr="002E42F1">
              <w:t>s īpatsvars</w:t>
            </w:r>
            <w:r w:rsidRPr="002E42F1">
              <w:t xml:space="preserve"> (%)</w:t>
            </w:r>
          </w:p>
        </w:tc>
      </w:tr>
      <w:tr w:rsidR="002E42F1" w:rsidRPr="002E42F1" w14:paraId="11DBC0EF" w14:textId="77777777" w:rsidTr="00431FDE">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74D01C" w14:textId="77777777" w:rsidR="00431FDE" w:rsidRPr="002E42F1" w:rsidRDefault="00431FDE" w:rsidP="009B545A">
            <w:pPr>
              <w:pStyle w:val="NoSpacing"/>
              <w:jc w:val="center"/>
            </w:pPr>
            <w:r w:rsidRPr="002E42F1">
              <w:t>2016</w:t>
            </w:r>
          </w:p>
        </w:tc>
        <w:tc>
          <w:tcPr>
            <w:tcW w:w="2411" w:type="dxa"/>
            <w:tcBorders>
              <w:top w:val="nil"/>
              <w:left w:val="nil"/>
              <w:bottom w:val="single" w:sz="4" w:space="0" w:color="auto"/>
              <w:right w:val="single" w:sz="4" w:space="0" w:color="auto"/>
            </w:tcBorders>
            <w:shd w:val="clear" w:color="auto" w:fill="auto"/>
            <w:noWrap/>
            <w:vAlign w:val="center"/>
            <w:hideMark/>
          </w:tcPr>
          <w:p w14:paraId="1460AE39" w14:textId="77777777" w:rsidR="00431FDE" w:rsidRPr="002E42F1" w:rsidRDefault="00431FDE" w:rsidP="009B545A">
            <w:pPr>
              <w:pStyle w:val="NoSpacing"/>
              <w:jc w:val="center"/>
              <w:rPr>
                <w:iCs/>
              </w:rPr>
            </w:pPr>
            <w:r w:rsidRPr="002E42F1">
              <w:rPr>
                <w:iCs/>
              </w:rPr>
              <w:t>53</w:t>
            </w:r>
          </w:p>
        </w:tc>
        <w:tc>
          <w:tcPr>
            <w:tcW w:w="2267" w:type="dxa"/>
            <w:tcBorders>
              <w:top w:val="nil"/>
              <w:left w:val="nil"/>
              <w:bottom w:val="single" w:sz="4" w:space="0" w:color="auto"/>
              <w:right w:val="single" w:sz="4" w:space="0" w:color="auto"/>
            </w:tcBorders>
            <w:shd w:val="clear" w:color="auto" w:fill="auto"/>
            <w:noWrap/>
            <w:vAlign w:val="center"/>
            <w:hideMark/>
          </w:tcPr>
          <w:p w14:paraId="5C087156" w14:textId="77777777" w:rsidR="00431FDE" w:rsidRPr="002E42F1" w:rsidRDefault="00431FDE" w:rsidP="009B545A">
            <w:pPr>
              <w:pStyle w:val="NoSpacing"/>
              <w:jc w:val="center"/>
              <w:rPr>
                <w:iCs/>
              </w:rPr>
            </w:pPr>
            <w:r w:rsidRPr="002E42F1">
              <w:rPr>
                <w:iCs/>
              </w:rPr>
              <w:t>5</w:t>
            </w:r>
          </w:p>
        </w:tc>
        <w:tc>
          <w:tcPr>
            <w:tcW w:w="2267" w:type="dxa"/>
            <w:tcBorders>
              <w:top w:val="nil"/>
              <w:left w:val="nil"/>
              <w:bottom w:val="single" w:sz="4" w:space="0" w:color="auto"/>
              <w:right w:val="single" w:sz="4" w:space="0" w:color="auto"/>
            </w:tcBorders>
            <w:shd w:val="clear" w:color="auto" w:fill="auto"/>
            <w:noWrap/>
            <w:vAlign w:val="center"/>
            <w:hideMark/>
          </w:tcPr>
          <w:p w14:paraId="4AF0C5A9" w14:textId="77777777" w:rsidR="00431FDE" w:rsidRPr="002E42F1" w:rsidRDefault="00431FDE" w:rsidP="009B545A">
            <w:pPr>
              <w:pStyle w:val="NoSpacing"/>
              <w:jc w:val="center"/>
              <w:rPr>
                <w:iCs/>
              </w:rPr>
            </w:pPr>
            <w:r w:rsidRPr="002E42F1">
              <w:rPr>
                <w:iCs/>
              </w:rPr>
              <w:t>9,2</w:t>
            </w:r>
          </w:p>
        </w:tc>
      </w:tr>
      <w:tr w:rsidR="002E42F1" w:rsidRPr="002E42F1" w14:paraId="7CA88B41" w14:textId="77777777" w:rsidTr="00431FDE">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68550D0" w14:textId="77777777" w:rsidR="00431FDE" w:rsidRPr="002E42F1" w:rsidRDefault="00431FDE" w:rsidP="009B545A">
            <w:pPr>
              <w:pStyle w:val="NoSpacing"/>
              <w:jc w:val="center"/>
            </w:pPr>
            <w:r w:rsidRPr="002E42F1">
              <w:t>2017</w:t>
            </w:r>
          </w:p>
        </w:tc>
        <w:tc>
          <w:tcPr>
            <w:tcW w:w="2411" w:type="dxa"/>
            <w:tcBorders>
              <w:top w:val="nil"/>
              <w:left w:val="nil"/>
              <w:bottom w:val="single" w:sz="4" w:space="0" w:color="auto"/>
              <w:right w:val="single" w:sz="4" w:space="0" w:color="auto"/>
            </w:tcBorders>
            <w:shd w:val="clear" w:color="auto" w:fill="auto"/>
            <w:noWrap/>
            <w:vAlign w:val="center"/>
            <w:hideMark/>
          </w:tcPr>
          <w:p w14:paraId="337A1A0C" w14:textId="77777777" w:rsidR="00431FDE" w:rsidRPr="002E42F1" w:rsidRDefault="00431FDE" w:rsidP="009B545A">
            <w:pPr>
              <w:pStyle w:val="NoSpacing"/>
              <w:jc w:val="center"/>
              <w:rPr>
                <w:iCs/>
              </w:rPr>
            </w:pPr>
            <w:r w:rsidRPr="002E42F1">
              <w:rPr>
                <w:iCs/>
              </w:rPr>
              <w:t>57</w:t>
            </w:r>
          </w:p>
        </w:tc>
        <w:tc>
          <w:tcPr>
            <w:tcW w:w="2267" w:type="dxa"/>
            <w:tcBorders>
              <w:top w:val="nil"/>
              <w:left w:val="nil"/>
              <w:bottom w:val="single" w:sz="4" w:space="0" w:color="auto"/>
              <w:right w:val="single" w:sz="4" w:space="0" w:color="auto"/>
            </w:tcBorders>
            <w:shd w:val="clear" w:color="auto" w:fill="auto"/>
            <w:noWrap/>
            <w:vAlign w:val="center"/>
            <w:hideMark/>
          </w:tcPr>
          <w:p w14:paraId="6E461A12" w14:textId="77777777" w:rsidR="00431FDE" w:rsidRPr="002E42F1" w:rsidRDefault="00431FDE" w:rsidP="009B545A">
            <w:pPr>
              <w:pStyle w:val="NoSpacing"/>
              <w:jc w:val="center"/>
              <w:rPr>
                <w:iCs/>
              </w:rPr>
            </w:pPr>
            <w:r w:rsidRPr="002E42F1">
              <w:rPr>
                <w:iCs/>
              </w:rPr>
              <w:t>10</w:t>
            </w:r>
          </w:p>
        </w:tc>
        <w:tc>
          <w:tcPr>
            <w:tcW w:w="2267" w:type="dxa"/>
            <w:tcBorders>
              <w:top w:val="nil"/>
              <w:left w:val="nil"/>
              <w:bottom w:val="single" w:sz="4" w:space="0" w:color="auto"/>
              <w:right w:val="single" w:sz="4" w:space="0" w:color="auto"/>
            </w:tcBorders>
            <w:shd w:val="clear" w:color="auto" w:fill="auto"/>
            <w:noWrap/>
            <w:vAlign w:val="center"/>
            <w:hideMark/>
          </w:tcPr>
          <w:p w14:paraId="12630AF8" w14:textId="77777777" w:rsidR="00431FDE" w:rsidRPr="002E42F1" w:rsidRDefault="00431FDE" w:rsidP="009B545A">
            <w:pPr>
              <w:pStyle w:val="NoSpacing"/>
              <w:jc w:val="center"/>
              <w:rPr>
                <w:iCs/>
              </w:rPr>
            </w:pPr>
            <w:r w:rsidRPr="002E42F1">
              <w:rPr>
                <w:iCs/>
              </w:rPr>
              <w:t>16,9</w:t>
            </w:r>
          </w:p>
        </w:tc>
      </w:tr>
      <w:tr w:rsidR="002E42F1" w:rsidRPr="002E42F1" w14:paraId="6F2EACFA" w14:textId="77777777" w:rsidTr="00431FDE">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8F34189" w14:textId="77777777" w:rsidR="00431FDE" w:rsidRPr="002E42F1" w:rsidRDefault="00431FDE" w:rsidP="009B545A">
            <w:pPr>
              <w:pStyle w:val="NoSpacing"/>
              <w:jc w:val="center"/>
            </w:pPr>
            <w:r w:rsidRPr="002E42F1">
              <w:t>2018</w:t>
            </w:r>
          </w:p>
        </w:tc>
        <w:tc>
          <w:tcPr>
            <w:tcW w:w="2411" w:type="dxa"/>
            <w:tcBorders>
              <w:top w:val="nil"/>
              <w:left w:val="nil"/>
              <w:bottom w:val="single" w:sz="4" w:space="0" w:color="auto"/>
              <w:right w:val="single" w:sz="4" w:space="0" w:color="auto"/>
            </w:tcBorders>
            <w:shd w:val="clear" w:color="auto" w:fill="auto"/>
            <w:noWrap/>
            <w:vAlign w:val="center"/>
            <w:hideMark/>
          </w:tcPr>
          <w:p w14:paraId="57260799" w14:textId="77777777" w:rsidR="00431FDE" w:rsidRPr="002E42F1" w:rsidRDefault="00431FDE" w:rsidP="009B545A">
            <w:pPr>
              <w:pStyle w:val="NoSpacing"/>
              <w:jc w:val="center"/>
              <w:rPr>
                <w:iCs/>
              </w:rPr>
            </w:pPr>
            <w:r w:rsidRPr="002E42F1">
              <w:rPr>
                <w:iCs/>
              </w:rPr>
              <w:t>77</w:t>
            </w:r>
          </w:p>
        </w:tc>
        <w:tc>
          <w:tcPr>
            <w:tcW w:w="2267" w:type="dxa"/>
            <w:tcBorders>
              <w:top w:val="nil"/>
              <w:left w:val="nil"/>
              <w:bottom w:val="single" w:sz="4" w:space="0" w:color="auto"/>
              <w:right w:val="single" w:sz="4" w:space="0" w:color="auto"/>
            </w:tcBorders>
            <w:shd w:val="clear" w:color="auto" w:fill="auto"/>
            <w:noWrap/>
            <w:vAlign w:val="center"/>
            <w:hideMark/>
          </w:tcPr>
          <w:p w14:paraId="68FE68D3" w14:textId="77777777" w:rsidR="00431FDE" w:rsidRPr="002E42F1" w:rsidRDefault="00431FDE" w:rsidP="009B545A">
            <w:pPr>
              <w:pStyle w:val="NoSpacing"/>
              <w:jc w:val="center"/>
              <w:rPr>
                <w:iCs/>
              </w:rPr>
            </w:pPr>
            <w:r w:rsidRPr="002E42F1">
              <w:rPr>
                <w:iCs/>
              </w:rPr>
              <w:t>16</w:t>
            </w:r>
          </w:p>
        </w:tc>
        <w:tc>
          <w:tcPr>
            <w:tcW w:w="2267" w:type="dxa"/>
            <w:tcBorders>
              <w:top w:val="nil"/>
              <w:left w:val="nil"/>
              <w:bottom w:val="single" w:sz="4" w:space="0" w:color="auto"/>
              <w:right w:val="single" w:sz="4" w:space="0" w:color="auto"/>
            </w:tcBorders>
            <w:shd w:val="clear" w:color="auto" w:fill="auto"/>
            <w:noWrap/>
            <w:vAlign w:val="center"/>
            <w:hideMark/>
          </w:tcPr>
          <w:p w14:paraId="0308443E" w14:textId="77777777" w:rsidR="00431FDE" w:rsidRPr="002E42F1" w:rsidRDefault="00431FDE" w:rsidP="009B545A">
            <w:pPr>
              <w:pStyle w:val="NoSpacing"/>
              <w:jc w:val="center"/>
              <w:rPr>
                <w:iCs/>
              </w:rPr>
            </w:pPr>
            <w:r w:rsidRPr="002E42F1">
              <w:rPr>
                <w:iCs/>
              </w:rPr>
              <w:t>20,9</w:t>
            </w:r>
          </w:p>
        </w:tc>
      </w:tr>
      <w:tr w:rsidR="002E42F1" w:rsidRPr="002E42F1" w14:paraId="0255D46B" w14:textId="77777777" w:rsidTr="00431FDE">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CAEE456" w14:textId="77777777" w:rsidR="00431FDE" w:rsidRPr="002E42F1" w:rsidRDefault="00431FDE" w:rsidP="009B545A">
            <w:pPr>
              <w:pStyle w:val="NoSpacing"/>
              <w:jc w:val="center"/>
            </w:pPr>
            <w:r w:rsidRPr="002E42F1">
              <w:t>2019</w:t>
            </w:r>
          </w:p>
        </w:tc>
        <w:tc>
          <w:tcPr>
            <w:tcW w:w="2411" w:type="dxa"/>
            <w:tcBorders>
              <w:top w:val="nil"/>
              <w:left w:val="nil"/>
              <w:bottom w:val="single" w:sz="4" w:space="0" w:color="auto"/>
              <w:right w:val="single" w:sz="4" w:space="0" w:color="auto"/>
            </w:tcBorders>
            <w:shd w:val="clear" w:color="auto" w:fill="auto"/>
            <w:noWrap/>
            <w:vAlign w:val="center"/>
            <w:hideMark/>
          </w:tcPr>
          <w:p w14:paraId="0C7AAF35" w14:textId="77777777" w:rsidR="00431FDE" w:rsidRPr="002E42F1" w:rsidRDefault="00431FDE" w:rsidP="009B545A">
            <w:pPr>
              <w:pStyle w:val="NoSpacing"/>
              <w:jc w:val="center"/>
              <w:rPr>
                <w:iCs/>
              </w:rPr>
            </w:pPr>
            <w:r w:rsidRPr="002E42F1">
              <w:rPr>
                <w:iCs/>
              </w:rPr>
              <w:t>98</w:t>
            </w:r>
          </w:p>
        </w:tc>
        <w:tc>
          <w:tcPr>
            <w:tcW w:w="2267" w:type="dxa"/>
            <w:tcBorders>
              <w:top w:val="nil"/>
              <w:left w:val="nil"/>
              <w:bottom w:val="single" w:sz="4" w:space="0" w:color="auto"/>
              <w:right w:val="single" w:sz="4" w:space="0" w:color="auto"/>
            </w:tcBorders>
            <w:shd w:val="clear" w:color="auto" w:fill="auto"/>
            <w:noWrap/>
            <w:vAlign w:val="center"/>
            <w:hideMark/>
          </w:tcPr>
          <w:p w14:paraId="59A03063" w14:textId="77777777" w:rsidR="00431FDE" w:rsidRPr="002E42F1" w:rsidRDefault="00431FDE" w:rsidP="009B545A">
            <w:pPr>
              <w:pStyle w:val="NoSpacing"/>
              <w:jc w:val="center"/>
              <w:rPr>
                <w:iCs/>
              </w:rPr>
            </w:pPr>
            <w:r w:rsidRPr="002E42F1">
              <w:rPr>
                <w:iCs/>
              </w:rPr>
              <w:t>19</w:t>
            </w:r>
          </w:p>
        </w:tc>
        <w:tc>
          <w:tcPr>
            <w:tcW w:w="2267" w:type="dxa"/>
            <w:tcBorders>
              <w:top w:val="nil"/>
              <w:left w:val="nil"/>
              <w:bottom w:val="single" w:sz="4" w:space="0" w:color="auto"/>
              <w:right w:val="single" w:sz="4" w:space="0" w:color="auto"/>
            </w:tcBorders>
            <w:shd w:val="clear" w:color="auto" w:fill="auto"/>
            <w:noWrap/>
            <w:vAlign w:val="center"/>
            <w:hideMark/>
          </w:tcPr>
          <w:p w14:paraId="716D1F47" w14:textId="77777777" w:rsidR="00431FDE" w:rsidRPr="002E42F1" w:rsidRDefault="00431FDE" w:rsidP="009B545A">
            <w:pPr>
              <w:pStyle w:val="NoSpacing"/>
              <w:jc w:val="center"/>
              <w:rPr>
                <w:iCs/>
              </w:rPr>
            </w:pPr>
            <w:r w:rsidRPr="002E42F1">
              <w:rPr>
                <w:iCs/>
              </w:rPr>
              <w:t>19,6</w:t>
            </w:r>
          </w:p>
        </w:tc>
      </w:tr>
    </w:tbl>
    <w:p w14:paraId="49727D37" w14:textId="77777777" w:rsidR="00936AA7" w:rsidRPr="002E42F1" w:rsidRDefault="00936AA7" w:rsidP="006C282B">
      <w:pPr>
        <w:pStyle w:val="NoSpacing"/>
        <w:jc w:val="both"/>
        <w:rPr>
          <w:sz w:val="28"/>
          <w:szCs w:val="28"/>
        </w:rPr>
      </w:pPr>
      <w:r w:rsidRPr="002E42F1">
        <w:rPr>
          <w:sz w:val="28"/>
          <w:szCs w:val="28"/>
        </w:rPr>
        <w:t xml:space="preserve">Avots: VRAA dati </w:t>
      </w:r>
    </w:p>
    <w:p w14:paraId="19F1AC09" w14:textId="7F8EE09D" w:rsidR="00431FDE" w:rsidRPr="002E42F1" w:rsidRDefault="00431FDE" w:rsidP="006C282B">
      <w:pPr>
        <w:pStyle w:val="NoSpacing"/>
        <w:jc w:val="both"/>
        <w:rPr>
          <w:sz w:val="28"/>
          <w:szCs w:val="28"/>
        </w:rPr>
      </w:pPr>
    </w:p>
    <w:p w14:paraId="274BD927" w14:textId="2E9EBD8D" w:rsidR="00086086" w:rsidRDefault="00086086" w:rsidP="006C282B">
      <w:pPr>
        <w:pStyle w:val="NoSpacing"/>
        <w:jc w:val="both"/>
        <w:rPr>
          <w:sz w:val="28"/>
          <w:szCs w:val="28"/>
        </w:rPr>
      </w:pPr>
    </w:p>
    <w:p w14:paraId="3CAAF057" w14:textId="77777777" w:rsidR="00BA4929" w:rsidRPr="002E42F1" w:rsidRDefault="00BA4929" w:rsidP="006C282B">
      <w:pPr>
        <w:pStyle w:val="NoSpacing"/>
        <w:jc w:val="both"/>
        <w:rPr>
          <w:sz w:val="28"/>
          <w:szCs w:val="28"/>
        </w:rPr>
      </w:pPr>
    </w:p>
    <w:p w14:paraId="1ADA929B" w14:textId="24590AE7" w:rsidR="00086086" w:rsidRPr="002E42F1" w:rsidRDefault="00086086" w:rsidP="006C282B">
      <w:pPr>
        <w:pStyle w:val="NoSpacing"/>
        <w:jc w:val="both"/>
        <w:rPr>
          <w:sz w:val="28"/>
          <w:szCs w:val="28"/>
        </w:rPr>
      </w:pPr>
    </w:p>
    <w:p w14:paraId="0704041B" w14:textId="764EC125" w:rsidR="00086086" w:rsidRPr="002E42F1" w:rsidRDefault="00086086" w:rsidP="006C282B">
      <w:pPr>
        <w:pStyle w:val="NoSpacing"/>
        <w:jc w:val="both"/>
        <w:rPr>
          <w:sz w:val="28"/>
          <w:szCs w:val="28"/>
        </w:rPr>
      </w:pPr>
    </w:p>
    <w:p w14:paraId="46549B15" w14:textId="41FD4371" w:rsidR="00086086" w:rsidRDefault="00086086" w:rsidP="006C282B">
      <w:pPr>
        <w:pStyle w:val="NoSpacing"/>
        <w:jc w:val="both"/>
        <w:rPr>
          <w:sz w:val="28"/>
          <w:szCs w:val="28"/>
        </w:rPr>
      </w:pPr>
    </w:p>
    <w:p w14:paraId="43F6E26B" w14:textId="77777777" w:rsidR="00D0472F" w:rsidRDefault="00D0472F" w:rsidP="006C282B">
      <w:pPr>
        <w:pStyle w:val="NoSpacing"/>
        <w:jc w:val="both"/>
        <w:rPr>
          <w:sz w:val="28"/>
          <w:szCs w:val="28"/>
        </w:rPr>
      </w:pPr>
    </w:p>
    <w:p w14:paraId="7158F31E" w14:textId="77777777" w:rsidR="00D0472F" w:rsidRPr="002E42F1" w:rsidRDefault="00D0472F" w:rsidP="006C282B">
      <w:pPr>
        <w:pStyle w:val="NoSpacing"/>
        <w:jc w:val="both"/>
        <w:rPr>
          <w:sz w:val="28"/>
          <w:szCs w:val="28"/>
        </w:rPr>
      </w:pPr>
    </w:p>
    <w:p w14:paraId="2C112A02" w14:textId="58C0D954" w:rsidR="00086086" w:rsidRPr="002E42F1" w:rsidRDefault="00086086" w:rsidP="006C282B">
      <w:pPr>
        <w:pStyle w:val="NoSpacing"/>
        <w:jc w:val="both"/>
        <w:rPr>
          <w:sz w:val="28"/>
          <w:szCs w:val="28"/>
        </w:rPr>
      </w:pPr>
    </w:p>
    <w:p w14:paraId="795E6247" w14:textId="6A6C97F7" w:rsidR="00086086" w:rsidRPr="002E42F1" w:rsidRDefault="00086086" w:rsidP="006C282B">
      <w:pPr>
        <w:pStyle w:val="NoSpacing"/>
        <w:jc w:val="both"/>
        <w:rPr>
          <w:sz w:val="28"/>
          <w:szCs w:val="28"/>
        </w:rPr>
      </w:pPr>
    </w:p>
    <w:p w14:paraId="630ED531" w14:textId="77777777" w:rsidR="00086086" w:rsidRPr="002E42F1" w:rsidRDefault="00086086" w:rsidP="006C282B">
      <w:pPr>
        <w:pStyle w:val="NoSpacing"/>
        <w:jc w:val="both"/>
        <w:rPr>
          <w:sz w:val="28"/>
          <w:szCs w:val="28"/>
        </w:rPr>
      </w:pPr>
    </w:p>
    <w:p w14:paraId="7BB0EDBA" w14:textId="27D0F264" w:rsidR="00FA00A7" w:rsidRPr="002E42F1" w:rsidRDefault="009A4849" w:rsidP="009B545A">
      <w:pPr>
        <w:pStyle w:val="NoSpacing"/>
        <w:jc w:val="right"/>
        <w:rPr>
          <w:sz w:val="28"/>
          <w:szCs w:val="28"/>
        </w:rPr>
      </w:pPr>
      <w:r w:rsidRPr="002E42F1">
        <w:rPr>
          <w:sz w:val="28"/>
          <w:szCs w:val="28"/>
        </w:rPr>
        <w:lastRenderedPageBreak/>
        <w:t>1</w:t>
      </w:r>
      <w:r w:rsidR="0057580F" w:rsidRPr="002E42F1">
        <w:rPr>
          <w:sz w:val="28"/>
          <w:szCs w:val="28"/>
        </w:rPr>
        <w:t>2</w:t>
      </w:r>
      <w:r w:rsidR="002539C0" w:rsidRPr="002E42F1">
        <w:rPr>
          <w:sz w:val="28"/>
          <w:szCs w:val="28"/>
        </w:rPr>
        <w:t>.</w:t>
      </w:r>
      <w:r w:rsidR="00776752" w:rsidRPr="002E42F1">
        <w:rPr>
          <w:sz w:val="28"/>
          <w:szCs w:val="28"/>
        </w:rPr>
        <w:t xml:space="preserve"> attēls</w:t>
      </w:r>
    </w:p>
    <w:p w14:paraId="4D9CFA58" w14:textId="3CAD83DE" w:rsidR="007F3656" w:rsidRPr="002E42F1" w:rsidRDefault="007F3656" w:rsidP="009B545A">
      <w:pPr>
        <w:pStyle w:val="NoSpacing"/>
        <w:jc w:val="center"/>
        <w:rPr>
          <w:sz w:val="28"/>
          <w:szCs w:val="28"/>
        </w:rPr>
      </w:pPr>
      <w:r w:rsidRPr="002E42F1">
        <w:rPr>
          <w:sz w:val="28"/>
          <w:szCs w:val="28"/>
        </w:rPr>
        <w:t>ZPI attiecība pret kopējiem veiktiem pirkumiem EIS sistēmā</w:t>
      </w:r>
      <w:r w:rsidR="00431FDE" w:rsidRPr="002E42F1">
        <w:rPr>
          <w:sz w:val="28"/>
          <w:szCs w:val="28"/>
        </w:rPr>
        <w:t xml:space="preserve"> 2019. gadā</w:t>
      </w:r>
    </w:p>
    <w:p w14:paraId="4FD45918" w14:textId="559AE94B" w:rsidR="00993A74" w:rsidRPr="002E42F1" w:rsidRDefault="00A10ABA" w:rsidP="006C282B">
      <w:pPr>
        <w:pStyle w:val="NoSpacing"/>
        <w:jc w:val="both"/>
        <w:rPr>
          <w:sz w:val="28"/>
          <w:szCs w:val="28"/>
        </w:rPr>
      </w:pPr>
      <w:r w:rsidRPr="002E42F1">
        <w:rPr>
          <w:noProof/>
          <w:sz w:val="28"/>
          <w:szCs w:val="28"/>
        </w:rPr>
        <w:drawing>
          <wp:inline distT="0" distB="0" distL="0" distR="0" wp14:anchorId="0150E34C" wp14:editId="6327EF76">
            <wp:extent cx="2790825" cy="242411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E42F1">
        <w:rPr>
          <w:noProof/>
          <w:sz w:val="28"/>
          <w:szCs w:val="28"/>
        </w:rPr>
        <w:drawing>
          <wp:inline distT="0" distB="0" distL="0" distR="0" wp14:anchorId="494CB408" wp14:editId="59248BA3">
            <wp:extent cx="2838450" cy="242411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3EBE0A" w14:textId="31BB6338" w:rsidR="00613411" w:rsidRPr="002E42F1" w:rsidRDefault="00067534" w:rsidP="006C282B">
      <w:pPr>
        <w:pStyle w:val="NoSpacing"/>
        <w:jc w:val="both"/>
        <w:rPr>
          <w:sz w:val="28"/>
          <w:szCs w:val="28"/>
        </w:rPr>
      </w:pPr>
      <w:r w:rsidRPr="002E42F1">
        <w:rPr>
          <w:sz w:val="28"/>
          <w:szCs w:val="28"/>
        </w:rPr>
        <w:t xml:space="preserve">Avots: </w:t>
      </w:r>
      <w:r w:rsidR="00613411" w:rsidRPr="002E42F1">
        <w:rPr>
          <w:sz w:val="28"/>
          <w:szCs w:val="28"/>
        </w:rPr>
        <w:t>VRAA dati</w:t>
      </w:r>
      <w:r w:rsidRPr="002E42F1">
        <w:rPr>
          <w:sz w:val="28"/>
          <w:szCs w:val="28"/>
        </w:rPr>
        <w:t xml:space="preserve"> </w:t>
      </w:r>
    </w:p>
    <w:p w14:paraId="7CDA3B19" w14:textId="77777777" w:rsidR="00936AA7" w:rsidRPr="002E42F1" w:rsidRDefault="00936AA7" w:rsidP="006C282B">
      <w:pPr>
        <w:pStyle w:val="NoSpacing"/>
        <w:jc w:val="both"/>
        <w:rPr>
          <w:sz w:val="28"/>
          <w:szCs w:val="28"/>
        </w:rPr>
      </w:pPr>
    </w:p>
    <w:p w14:paraId="37388845" w14:textId="7C8DD619" w:rsidR="002919FD" w:rsidRPr="002E42F1" w:rsidRDefault="00B32A71" w:rsidP="00701021">
      <w:pPr>
        <w:pStyle w:val="NoSpacing"/>
        <w:ind w:firstLine="720"/>
        <w:jc w:val="both"/>
        <w:rPr>
          <w:sz w:val="28"/>
          <w:szCs w:val="28"/>
        </w:rPr>
      </w:pPr>
      <w:r w:rsidRPr="002E42F1">
        <w:rPr>
          <w:sz w:val="28"/>
          <w:szCs w:val="28"/>
        </w:rPr>
        <w:t>Vienla</w:t>
      </w:r>
      <w:r w:rsidR="005A7604" w:rsidRPr="002E42F1">
        <w:rPr>
          <w:sz w:val="28"/>
          <w:szCs w:val="28"/>
        </w:rPr>
        <w:t>i</w:t>
      </w:r>
      <w:r w:rsidRPr="002E42F1">
        <w:rPr>
          <w:sz w:val="28"/>
          <w:szCs w:val="28"/>
        </w:rPr>
        <w:t xml:space="preserve">cīgi ir </w:t>
      </w:r>
      <w:r w:rsidR="007A2C66" w:rsidRPr="002E42F1">
        <w:rPr>
          <w:sz w:val="28"/>
          <w:szCs w:val="28"/>
        </w:rPr>
        <w:t>jāatzīmē</w:t>
      </w:r>
      <w:r w:rsidR="00156AB5" w:rsidRPr="002E42F1">
        <w:rPr>
          <w:sz w:val="28"/>
          <w:szCs w:val="28"/>
        </w:rPr>
        <w:t xml:space="preserve">, ka prasību kopums EIS zaļajos katalogos iekļautajām precēm ir augstāks, nekā izvirzītajiem vides aizsardzības kritērijiem iepirkumos </w:t>
      </w:r>
      <w:r w:rsidR="007F46EE" w:rsidRPr="002E42F1">
        <w:rPr>
          <w:sz w:val="28"/>
          <w:szCs w:val="28"/>
        </w:rPr>
        <w:t>MK noteikumu</w:t>
      </w:r>
      <w:r w:rsidR="00156AB5" w:rsidRPr="002E42F1">
        <w:rPr>
          <w:sz w:val="28"/>
          <w:szCs w:val="28"/>
        </w:rPr>
        <w:t xml:space="preserve"> ietvaros.</w:t>
      </w:r>
      <w:r w:rsidR="00D57545" w:rsidRPr="002E42F1">
        <w:rPr>
          <w:sz w:val="28"/>
          <w:szCs w:val="28"/>
        </w:rPr>
        <w:t xml:space="preserve"> </w:t>
      </w:r>
      <w:r w:rsidR="00C30D60" w:rsidRPr="002E42F1">
        <w:rPr>
          <w:sz w:val="28"/>
          <w:szCs w:val="28"/>
        </w:rPr>
        <w:t>Piemēram</w:t>
      </w:r>
      <w:r w:rsidR="004815F7" w:rsidRPr="002E42F1">
        <w:rPr>
          <w:sz w:val="28"/>
          <w:szCs w:val="28"/>
        </w:rPr>
        <w:t>,</w:t>
      </w:r>
      <w:r w:rsidR="00C30D60" w:rsidRPr="002E42F1">
        <w:rPr>
          <w:sz w:val="28"/>
          <w:szCs w:val="28"/>
        </w:rPr>
        <w:t xml:space="preserve"> EKO</w:t>
      </w:r>
      <w:r w:rsidR="004815F7" w:rsidRPr="002E42F1">
        <w:rPr>
          <w:sz w:val="28"/>
          <w:szCs w:val="28"/>
        </w:rPr>
        <w:t xml:space="preserve"> </w:t>
      </w:r>
      <w:r w:rsidR="00C30D60" w:rsidRPr="002E42F1">
        <w:rPr>
          <w:sz w:val="28"/>
          <w:szCs w:val="28"/>
        </w:rPr>
        <w:t>datortehnikas katalogā ir ietverta prasība</w:t>
      </w:r>
      <w:r w:rsidR="001671F0" w:rsidRPr="002E42F1">
        <w:rPr>
          <w:sz w:val="28"/>
          <w:szCs w:val="28"/>
        </w:rPr>
        <w:t xml:space="preserve"> </w:t>
      </w:r>
      <w:r w:rsidR="00C30D60" w:rsidRPr="002E42F1">
        <w:rPr>
          <w:sz w:val="28"/>
          <w:szCs w:val="28"/>
        </w:rPr>
        <w:t>atbilstībai EPEAT standartam, kas nosaka augstākas prasības nekā</w:t>
      </w:r>
      <w:r w:rsidR="004815F7" w:rsidRPr="002E42F1">
        <w:rPr>
          <w:sz w:val="28"/>
          <w:szCs w:val="28"/>
        </w:rPr>
        <w:t xml:space="preserve"> </w:t>
      </w:r>
      <w:r w:rsidR="004E2348" w:rsidRPr="002E42F1">
        <w:rPr>
          <w:sz w:val="28"/>
          <w:szCs w:val="28"/>
        </w:rPr>
        <w:t>MK noteikumu prasība</w:t>
      </w:r>
      <w:r w:rsidR="00707E72" w:rsidRPr="002E42F1">
        <w:rPr>
          <w:sz w:val="28"/>
          <w:szCs w:val="28"/>
        </w:rPr>
        <w:t>s</w:t>
      </w:r>
      <w:r w:rsidR="00C30D60" w:rsidRPr="002E42F1">
        <w:rPr>
          <w:sz w:val="28"/>
          <w:szCs w:val="28"/>
        </w:rPr>
        <w:t>.</w:t>
      </w:r>
      <w:r w:rsidR="00156AB5" w:rsidRPr="002E42F1">
        <w:rPr>
          <w:sz w:val="28"/>
          <w:szCs w:val="28"/>
        </w:rPr>
        <w:t xml:space="preserve"> Pārskats par EIS iepirktajām precēm, kas atbilst ZPI, </w:t>
      </w:r>
      <w:r w:rsidR="0064174A" w:rsidRPr="002E42F1">
        <w:rPr>
          <w:sz w:val="28"/>
          <w:szCs w:val="28"/>
        </w:rPr>
        <w:t xml:space="preserve">ir parādīts </w:t>
      </w:r>
      <w:r w:rsidR="009A4849" w:rsidRPr="002E42F1">
        <w:rPr>
          <w:sz w:val="28"/>
          <w:szCs w:val="28"/>
        </w:rPr>
        <w:t>1</w:t>
      </w:r>
      <w:r w:rsidR="00B328B9" w:rsidRPr="002E42F1">
        <w:rPr>
          <w:sz w:val="28"/>
          <w:szCs w:val="28"/>
        </w:rPr>
        <w:t>4</w:t>
      </w:r>
      <w:r w:rsidR="00156AB5" w:rsidRPr="002E42F1">
        <w:rPr>
          <w:sz w:val="28"/>
          <w:szCs w:val="28"/>
        </w:rPr>
        <w:t xml:space="preserve">. </w:t>
      </w:r>
      <w:r w:rsidR="000E3414" w:rsidRPr="002E42F1">
        <w:rPr>
          <w:sz w:val="28"/>
          <w:szCs w:val="28"/>
        </w:rPr>
        <w:t>t</w:t>
      </w:r>
      <w:r w:rsidR="00156AB5" w:rsidRPr="002E42F1">
        <w:rPr>
          <w:sz w:val="28"/>
          <w:szCs w:val="28"/>
        </w:rPr>
        <w:t>abulā</w:t>
      </w:r>
      <w:r w:rsidR="000E3414" w:rsidRPr="002E42F1">
        <w:rPr>
          <w:sz w:val="28"/>
          <w:szCs w:val="28"/>
        </w:rPr>
        <w:t xml:space="preserve"> un </w:t>
      </w:r>
      <w:r w:rsidR="009A4849" w:rsidRPr="002E42F1">
        <w:rPr>
          <w:sz w:val="28"/>
          <w:szCs w:val="28"/>
        </w:rPr>
        <w:t>1</w:t>
      </w:r>
      <w:r w:rsidR="004675E7" w:rsidRPr="002E42F1">
        <w:rPr>
          <w:sz w:val="28"/>
          <w:szCs w:val="28"/>
        </w:rPr>
        <w:t>3</w:t>
      </w:r>
      <w:r w:rsidR="000E3414" w:rsidRPr="002E42F1">
        <w:rPr>
          <w:sz w:val="28"/>
          <w:szCs w:val="28"/>
        </w:rPr>
        <w:t>. attēlā</w:t>
      </w:r>
      <w:r w:rsidR="00156AB5" w:rsidRPr="002E42F1">
        <w:rPr>
          <w:sz w:val="28"/>
          <w:szCs w:val="28"/>
        </w:rPr>
        <w:t xml:space="preserve">. </w:t>
      </w:r>
    </w:p>
    <w:p w14:paraId="70E8FCBD" w14:textId="77777777" w:rsidR="00936AA7" w:rsidRPr="002E42F1" w:rsidRDefault="00936AA7" w:rsidP="006C282B">
      <w:pPr>
        <w:pStyle w:val="NoSpacing"/>
        <w:jc w:val="both"/>
        <w:rPr>
          <w:sz w:val="28"/>
          <w:szCs w:val="28"/>
        </w:rPr>
      </w:pPr>
    </w:p>
    <w:p w14:paraId="4B572958" w14:textId="32BFEF7F" w:rsidR="000E3414" w:rsidRPr="002E42F1" w:rsidRDefault="00D13D33" w:rsidP="00701021">
      <w:pPr>
        <w:pStyle w:val="NoSpacing"/>
        <w:jc w:val="right"/>
        <w:rPr>
          <w:sz w:val="28"/>
          <w:szCs w:val="28"/>
        </w:rPr>
      </w:pPr>
      <w:r w:rsidRPr="002E42F1">
        <w:rPr>
          <w:sz w:val="28"/>
          <w:szCs w:val="28"/>
        </w:rPr>
        <w:t>1</w:t>
      </w:r>
      <w:r w:rsidR="00B328B9" w:rsidRPr="002E42F1">
        <w:rPr>
          <w:sz w:val="28"/>
          <w:szCs w:val="28"/>
        </w:rPr>
        <w:t>4</w:t>
      </w:r>
      <w:r w:rsidR="000E3414" w:rsidRPr="002E42F1">
        <w:rPr>
          <w:sz w:val="28"/>
          <w:szCs w:val="28"/>
        </w:rPr>
        <w:t xml:space="preserve">. </w:t>
      </w:r>
      <w:r w:rsidR="00AB778C" w:rsidRPr="002E42F1">
        <w:rPr>
          <w:sz w:val="28"/>
          <w:szCs w:val="28"/>
        </w:rPr>
        <w:t>t</w:t>
      </w:r>
      <w:r w:rsidR="00AB10F2" w:rsidRPr="002E42F1">
        <w:rPr>
          <w:sz w:val="28"/>
          <w:szCs w:val="28"/>
        </w:rPr>
        <w:t>abula</w:t>
      </w:r>
    </w:p>
    <w:p w14:paraId="0B318E03" w14:textId="36D51E8A" w:rsidR="00FB27D9" w:rsidRPr="002E42F1" w:rsidRDefault="00010984" w:rsidP="00701021">
      <w:pPr>
        <w:pStyle w:val="NoSpacing"/>
        <w:jc w:val="center"/>
        <w:rPr>
          <w:sz w:val="28"/>
          <w:szCs w:val="28"/>
        </w:rPr>
      </w:pPr>
      <w:r w:rsidRPr="002E42F1">
        <w:rPr>
          <w:sz w:val="28"/>
          <w:szCs w:val="28"/>
        </w:rPr>
        <w:t>Z</w:t>
      </w:r>
      <w:r w:rsidR="00FB27D9" w:rsidRPr="002E42F1">
        <w:rPr>
          <w:sz w:val="28"/>
          <w:szCs w:val="28"/>
        </w:rPr>
        <w:t>PI iepirkumi pa preču grupām EIS sistēmā 2018. un 2019. gados</w:t>
      </w:r>
    </w:p>
    <w:p w14:paraId="134FC498" w14:textId="21355A64" w:rsidR="00C30D60" w:rsidRPr="002E42F1" w:rsidRDefault="00FB27D9" w:rsidP="00701021">
      <w:pPr>
        <w:pStyle w:val="NoSpacing"/>
        <w:jc w:val="center"/>
        <w:rPr>
          <w:sz w:val="28"/>
          <w:szCs w:val="28"/>
        </w:rPr>
      </w:pPr>
      <w:r w:rsidRPr="002E42F1">
        <w:rPr>
          <w:sz w:val="28"/>
          <w:szCs w:val="28"/>
        </w:rPr>
        <w:t>(</w:t>
      </w:r>
      <w:r w:rsidR="00010984" w:rsidRPr="002E42F1">
        <w:rPr>
          <w:sz w:val="28"/>
          <w:szCs w:val="28"/>
        </w:rPr>
        <w:t>līgumcenas</w:t>
      </w:r>
      <w:r w:rsidRPr="002E42F1">
        <w:rPr>
          <w:sz w:val="28"/>
          <w:szCs w:val="28"/>
        </w:rPr>
        <w:t xml:space="preserve"> milj. EUR un pieaugums %)</w:t>
      </w:r>
    </w:p>
    <w:p w14:paraId="16D97B35" w14:textId="77777777" w:rsidR="00701021" w:rsidRPr="002E42F1" w:rsidRDefault="00701021" w:rsidP="006C282B">
      <w:pPr>
        <w:pStyle w:val="NoSpacing"/>
        <w:jc w:val="both"/>
        <w:rPr>
          <w:sz w:val="28"/>
          <w:szCs w:val="28"/>
        </w:rPr>
      </w:pPr>
    </w:p>
    <w:tbl>
      <w:tblPr>
        <w:tblW w:w="8789" w:type="dxa"/>
        <w:tblInd w:w="-5" w:type="dxa"/>
        <w:tblLook w:val="04A0" w:firstRow="1" w:lastRow="0" w:firstColumn="1" w:lastColumn="0" w:noHBand="0" w:noVBand="1"/>
      </w:tblPr>
      <w:tblGrid>
        <w:gridCol w:w="4395"/>
        <w:gridCol w:w="1275"/>
        <w:gridCol w:w="1418"/>
        <w:gridCol w:w="1701"/>
      </w:tblGrid>
      <w:tr w:rsidR="002E42F1" w:rsidRPr="002E42F1" w14:paraId="685C303F" w14:textId="77777777" w:rsidTr="0031783B">
        <w:trPr>
          <w:trHeight w:val="2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19F2" w14:textId="77777777" w:rsidR="00FB27D9" w:rsidRPr="002E42F1" w:rsidRDefault="00FB27D9" w:rsidP="00701021">
            <w:pPr>
              <w:pStyle w:val="NoSpacing"/>
              <w:jc w:val="center"/>
            </w:pPr>
            <w:r w:rsidRPr="002E42F1">
              <w:t>Preču grupa</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242736" w14:textId="735702A8" w:rsidR="00FB27D9" w:rsidRPr="002E42F1" w:rsidRDefault="00FB27D9" w:rsidP="00701021">
            <w:pPr>
              <w:pStyle w:val="NoSpacing"/>
              <w:jc w:val="center"/>
            </w:pPr>
            <w:r w:rsidRPr="002E42F1">
              <w:t>ZPI summa (milj. EUR bez PVN)</w:t>
            </w:r>
          </w:p>
        </w:tc>
        <w:tc>
          <w:tcPr>
            <w:tcW w:w="1701" w:type="dxa"/>
            <w:vMerge w:val="restart"/>
            <w:tcBorders>
              <w:top w:val="single" w:sz="4" w:space="0" w:color="auto"/>
              <w:left w:val="nil"/>
              <w:right w:val="single" w:sz="4" w:space="0" w:color="auto"/>
            </w:tcBorders>
            <w:shd w:val="clear" w:color="auto" w:fill="auto"/>
            <w:noWrap/>
            <w:vAlign w:val="center"/>
            <w:hideMark/>
          </w:tcPr>
          <w:p w14:paraId="36013BB4" w14:textId="06898B27" w:rsidR="00FB27D9" w:rsidRPr="002E42F1" w:rsidRDefault="00FB27D9" w:rsidP="00701021">
            <w:pPr>
              <w:pStyle w:val="NoSpacing"/>
              <w:jc w:val="center"/>
            </w:pPr>
            <w:r w:rsidRPr="002E42F1">
              <w:t>Pieaugums (%) 2018/2019</w:t>
            </w:r>
          </w:p>
        </w:tc>
      </w:tr>
      <w:tr w:rsidR="002E42F1" w:rsidRPr="002E42F1" w14:paraId="5AA3E014" w14:textId="77777777" w:rsidTr="0031783B">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3B3C225" w14:textId="77777777" w:rsidR="00FB27D9" w:rsidRPr="002E42F1" w:rsidRDefault="00FB27D9" w:rsidP="006C282B">
            <w:pPr>
              <w:pStyle w:val="NoSpacing"/>
              <w:jc w:val="both"/>
            </w:pPr>
          </w:p>
        </w:tc>
        <w:tc>
          <w:tcPr>
            <w:tcW w:w="1275" w:type="dxa"/>
            <w:tcBorders>
              <w:top w:val="nil"/>
              <w:left w:val="nil"/>
              <w:bottom w:val="single" w:sz="4" w:space="0" w:color="auto"/>
              <w:right w:val="single" w:sz="4" w:space="0" w:color="auto"/>
            </w:tcBorders>
            <w:shd w:val="clear" w:color="auto" w:fill="auto"/>
            <w:noWrap/>
            <w:vAlign w:val="center"/>
            <w:hideMark/>
          </w:tcPr>
          <w:p w14:paraId="122BD671" w14:textId="77777777" w:rsidR="00FB27D9" w:rsidRPr="002E42F1" w:rsidRDefault="00FB27D9" w:rsidP="00701021">
            <w:pPr>
              <w:pStyle w:val="NoSpacing"/>
              <w:jc w:val="center"/>
            </w:pPr>
            <w:r w:rsidRPr="002E42F1">
              <w:t>2018.</w:t>
            </w:r>
          </w:p>
        </w:tc>
        <w:tc>
          <w:tcPr>
            <w:tcW w:w="1418" w:type="dxa"/>
            <w:tcBorders>
              <w:top w:val="nil"/>
              <w:left w:val="nil"/>
              <w:bottom w:val="single" w:sz="4" w:space="0" w:color="auto"/>
              <w:right w:val="single" w:sz="4" w:space="0" w:color="auto"/>
            </w:tcBorders>
            <w:shd w:val="clear" w:color="auto" w:fill="auto"/>
            <w:noWrap/>
            <w:vAlign w:val="center"/>
            <w:hideMark/>
          </w:tcPr>
          <w:p w14:paraId="36CE6E17" w14:textId="77777777" w:rsidR="00FB27D9" w:rsidRPr="002E42F1" w:rsidRDefault="00FB27D9" w:rsidP="00701021">
            <w:pPr>
              <w:pStyle w:val="NoSpacing"/>
              <w:jc w:val="center"/>
            </w:pPr>
            <w:r w:rsidRPr="002E42F1">
              <w:t>2019.</w:t>
            </w:r>
          </w:p>
        </w:tc>
        <w:tc>
          <w:tcPr>
            <w:tcW w:w="1701" w:type="dxa"/>
            <w:vMerge/>
            <w:tcBorders>
              <w:left w:val="nil"/>
              <w:bottom w:val="single" w:sz="4" w:space="0" w:color="auto"/>
              <w:right w:val="single" w:sz="4" w:space="0" w:color="auto"/>
            </w:tcBorders>
            <w:shd w:val="clear" w:color="auto" w:fill="auto"/>
            <w:noWrap/>
            <w:vAlign w:val="center"/>
            <w:hideMark/>
          </w:tcPr>
          <w:p w14:paraId="2862354F" w14:textId="6CA796D5" w:rsidR="00FB27D9" w:rsidRPr="002E42F1" w:rsidRDefault="00FB27D9" w:rsidP="006C282B">
            <w:pPr>
              <w:pStyle w:val="NoSpacing"/>
              <w:jc w:val="both"/>
            </w:pPr>
          </w:p>
        </w:tc>
      </w:tr>
      <w:tr w:rsidR="002E42F1" w:rsidRPr="002E42F1" w14:paraId="7D3D048F"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BD84AF0" w14:textId="77777777" w:rsidR="00FB27D9" w:rsidRPr="002E42F1" w:rsidRDefault="00FB27D9" w:rsidP="00701021">
            <w:pPr>
              <w:pStyle w:val="NoSpacing"/>
            </w:pPr>
            <w:r w:rsidRPr="002E42F1">
              <w:t>Asmeņserveri un datu glabātuves</w:t>
            </w:r>
          </w:p>
        </w:tc>
        <w:tc>
          <w:tcPr>
            <w:tcW w:w="1275" w:type="dxa"/>
            <w:tcBorders>
              <w:top w:val="nil"/>
              <w:left w:val="nil"/>
              <w:bottom w:val="single" w:sz="4" w:space="0" w:color="auto"/>
              <w:right w:val="single" w:sz="4" w:space="0" w:color="auto"/>
            </w:tcBorders>
            <w:shd w:val="clear" w:color="auto" w:fill="auto"/>
            <w:noWrap/>
            <w:vAlign w:val="center"/>
            <w:hideMark/>
          </w:tcPr>
          <w:p w14:paraId="13BFB3B4" w14:textId="77777777" w:rsidR="00FB27D9" w:rsidRPr="002E42F1" w:rsidRDefault="00FB27D9" w:rsidP="00701021">
            <w:pPr>
              <w:pStyle w:val="NoSpacing"/>
              <w:jc w:val="right"/>
            </w:pPr>
            <w:r w:rsidRPr="002E42F1">
              <w:t>2,1</w:t>
            </w:r>
          </w:p>
        </w:tc>
        <w:tc>
          <w:tcPr>
            <w:tcW w:w="1418" w:type="dxa"/>
            <w:tcBorders>
              <w:top w:val="nil"/>
              <w:left w:val="nil"/>
              <w:bottom w:val="single" w:sz="4" w:space="0" w:color="auto"/>
              <w:right w:val="single" w:sz="4" w:space="0" w:color="auto"/>
            </w:tcBorders>
            <w:shd w:val="clear" w:color="auto" w:fill="auto"/>
            <w:noWrap/>
            <w:vAlign w:val="center"/>
            <w:hideMark/>
          </w:tcPr>
          <w:p w14:paraId="3C5DC40D" w14:textId="77777777" w:rsidR="00FB27D9" w:rsidRPr="002E42F1" w:rsidRDefault="00FB27D9" w:rsidP="00701021">
            <w:pPr>
              <w:pStyle w:val="NoSpacing"/>
              <w:jc w:val="right"/>
            </w:pPr>
            <w:r w:rsidRPr="002E42F1">
              <w:t>2,2</w:t>
            </w:r>
          </w:p>
        </w:tc>
        <w:tc>
          <w:tcPr>
            <w:tcW w:w="1701" w:type="dxa"/>
            <w:tcBorders>
              <w:top w:val="nil"/>
              <w:left w:val="nil"/>
              <w:bottom w:val="single" w:sz="4" w:space="0" w:color="auto"/>
              <w:right w:val="single" w:sz="4" w:space="0" w:color="auto"/>
            </w:tcBorders>
            <w:shd w:val="clear" w:color="auto" w:fill="auto"/>
            <w:noWrap/>
            <w:vAlign w:val="center"/>
            <w:hideMark/>
          </w:tcPr>
          <w:p w14:paraId="74370162" w14:textId="77777777" w:rsidR="00FB27D9" w:rsidRPr="002E42F1" w:rsidRDefault="00FB27D9" w:rsidP="00701021">
            <w:pPr>
              <w:pStyle w:val="NoSpacing"/>
              <w:jc w:val="right"/>
            </w:pPr>
            <w:r w:rsidRPr="002E42F1">
              <w:t>4,5</w:t>
            </w:r>
          </w:p>
        </w:tc>
      </w:tr>
      <w:tr w:rsidR="002E42F1" w:rsidRPr="002E42F1" w14:paraId="14487F95"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8E4DACF" w14:textId="77777777" w:rsidR="00FB27D9" w:rsidRPr="002E42F1" w:rsidRDefault="00FB27D9" w:rsidP="00701021">
            <w:pPr>
              <w:pStyle w:val="NoSpacing"/>
            </w:pPr>
            <w:r w:rsidRPr="002E42F1">
              <w:t>Datortehnika</w:t>
            </w:r>
          </w:p>
        </w:tc>
        <w:tc>
          <w:tcPr>
            <w:tcW w:w="1275" w:type="dxa"/>
            <w:tcBorders>
              <w:top w:val="nil"/>
              <w:left w:val="nil"/>
              <w:bottom w:val="single" w:sz="4" w:space="0" w:color="auto"/>
              <w:right w:val="single" w:sz="4" w:space="0" w:color="auto"/>
            </w:tcBorders>
            <w:shd w:val="clear" w:color="auto" w:fill="auto"/>
            <w:noWrap/>
            <w:vAlign w:val="center"/>
            <w:hideMark/>
          </w:tcPr>
          <w:p w14:paraId="6EAB1096" w14:textId="77777777" w:rsidR="00FB27D9" w:rsidRPr="002E42F1" w:rsidRDefault="00FB27D9" w:rsidP="00701021">
            <w:pPr>
              <w:pStyle w:val="NoSpacing"/>
              <w:jc w:val="right"/>
            </w:pPr>
            <w:r w:rsidRPr="002E42F1">
              <w:t>5,8</w:t>
            </w:r>
          </w:p>
        </w:tc>
        <w:tc>
          <w:tcPr>
            <w:tcW w:w="1418" w:type="dxa"/>
            <w:tcBorders>
              <w:top w:val="nil"/>
              <w:left w:val="nil"/>
              <w:bottom w:val="single" w:sz="4" w:space="0" w:color="auto"/>
              <w:right w:val="single" w:sz="4" w:space="0" w:color="auto"/>
            </w:tcBorders>
            <w:shd w:val="clear" w:color="auto" w:fill="auto"/>
            <w:noWrap/>
            <w:vAlign w:val="center"/>
            <w:hideMark/>
          </w:tcPr>
          <w:p w14:paraId="33A83F15" w14:textId="77777777" w:rsidR="00FB27D9" w:rsidRPr="002E42F1" w:rsidRDefault="00FB27D9" w:rsidP="00701021">
            <w:pPr>
              <w:pStyle w:val="NoSpacing"/>
              <w:jc w:val="right"/>
            </w:pPr>
            <w:r w:rsidRPr="002E42F1">
              <w:t>6,3</w:t>
            </w:r>
          </w:p>
        </w:tc>
        <w:tc>
          <w:tcPr>
            <w:tcW w:w="1701" w:type="dxa"/>
            <w:tcBorders>
              <w:top w:val="nil"/>
              <w:left w:val="nil"/>
              <w:bottom w:val="single" w:sz="4" w:space="0" w:color="auto"/>
              <w:right w:val="single" w:sz="4" w:space="0" w:color="auto"/>
            </w:tcBorders>
            <w:shd w:val="clear" w:color="auto" w:fill="auto"/>
            <w:noWrap/>
            <w:vAlign w:val="center"/>
            <w:hideMark/>
          </w:tcPr>
          <w:p w14:paraId="5888D461" w14:textId="77777777" w:rsidR="00FB27D9" w:rsidRPr="002E42F1" w:rsidRDefault="00FB27D9" w:rsidP="00701021">
            <w:pPr>
              <w:pStyle w:val="NoSpacing"/>
              <w:jc w:val="right"/>
            </w:pPr>
            <w:r w:rsidRPr="002E42F1">
              <w:t>7,5</w:t>
            </w:r>
          </w:p>
        </w:tc>
      </w:tr>
      <w:tr w:rsidR="002E42F1" w:rsidRPr="002E42F1" w14:paraId="6E4D88ED"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C5331A6" w14:textId="77777777" w:rsidR="00FB27D9" w:rsidRPr="002E42F1" w:rsidRDefault="00FB27D9" w:rsidP="00701021">
            <w:pPr>
              <w:pStyle w:val="NoSpacing"/>
            </w:pPr>
            <w:r w:rsidRPr="002E42F1">
              <w:t>EKO datortehnika</w:t>
            </w:r>
          </w:p>
        </w:tc>
        <w:tc>
          <w:tcPr>
            <w:tcW w:w="1275" w:type="dxa"/>
            <w:tcBorders>
              <w:top w:val="nil"/>
              <w:left w:val="nil"/>
              <w:bottom w:val="single" w:sz="4" w:space="0" w:color="auto"/>
              <w:right w:val="single" w:sz="4" w:space="0" w:color="auto"/>
            </w:tcBorders>
            <w:shd w:val="clear" w:color="auto" w:fill="auto"/>
            <w:noWrap/>
            <w:vAlign w:val="center"/>
            <w:hideMark/>
          </w:tcPr>
          <w:p w14:paraId="5EA481D2" w14:textId="77777777" w:rsidR="00FB27D9" w:rsidRPr="002E42F1" w:rsidRDefault="00FB27D9" w:rsidP="00701021">
            <w:pPr>
              <w:pStyle w:val="NoSpacing"/>
              <w:jc w:val="right"/>
            </w:pPr>
            <w:r w:rsidRPr="002E42F1">
              <w:t>4,1</w:t>
            </w:r>
          </w:p>
        </w:tc>
        <w:tc>
          <w:tcPr>
            <w:tcW w:w="1418" w:type="dxa"/>
            <w:tcBorders>
              <w:top w:val="nil"/>
              <w:left w:val="nil"/>
              <w:bottom w:val="single" w:sz="4" w:space="0" w:color="auto"/>
              <w:right w:val="single" w:sz="4" w:space="0" w:color="auto"/>
            </w:tcBorders>
            <w:shd w:val="clear" w:color="auto" w:fill="auto"/>
            <w:noWrap/>
            <w:vAlign w:val="center"/>
            <w:hideMark/>
          </w:tcPr>
          <w:p w14:paraId="6815514B" w14:textId="77777777" w:rsidR="00FB27D9" w:rsidRPr="002E42F1" w:rsidRDefault="00FB27D9" w:rsidP="00701021">
            <w:pPr>
              <w:pStyle w:val="NoSpacing"/>
              <w:jc w:val="right"/>
            </w:pPr>
            <w:r w:rsidRPr="002E42F1">
              <w:t>6,4</w:t>
            </w:r>
          </w:p>
        </w:tc>
        <w:tc>
          <w:tcPr>
            <w:tcW w:w="1701" w:type="dxa"/>
            <w:tcBorders>
              <w:top w:val="nil"/>
              <w:left w:val="nil"/>
              <w:bottom w:val="single" w:sz="4" w:space="0" w:color="auto"/>
              <w:right w:val="single" w:sz="4" w:space="0" w:color="auto"/>
            </w:tcBorders>
            <w:shd w:val="clear" w:color="auto" w:fill="auto"/>
            <w:noWrap/>
            <w:vAlign w:val="center"/>
            <w:hideMark/>
          </w:tcPr>
          <w:p w14:paraId="14DC9BB1" w14:textId="77777777" w:rsidR="00FB27D9" w:rsidRPr="002E42F1" w:rsidRDefault="00FB27D9" w:rsidP="00701021">
            <w:pPr>
              <w:pStyle w:val="NoSpacing"/>
              <w:jc w:val="right"/>
            </w:pPr>
            <w:r w:rsidRPr="002E42F1">
              <w:t>56,1</w:t>
            </w:r>
          </w:p>
        </w:tc>
      </w:tr>
      <w:tr w:rsidR="002E42F1" w:rsidRPr="002E42F1" w14:paraId="7AA9FEC9"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F8ACBB5" w14:textId="77777777" w:rsidR="00FB27D9" w:rsidRPr="002E42F1" w:rsidRDefault="00FB27D9" w:rsidP="00701021">
            <w:pPr>
              <w:pStyle w:val="NoSpacing"/>
            </w:pPr>
            <w:r w:rsidRPr="002E42F1">
              <w:t>Drukas iekārtas</w:t>
            </w:r>
          </w:p>
        </w:tc>
        <w:tc>
          <w:tcPr>
            <w:tcW w:w="1275" w:type="dxa"/>
            <w:tcBorders>
              <w:top w:val="nil"/>
              <w:left w:val="nil"/>
              <w:bottom w:val="single" w:sz="4" w:space="0" w:color="auto"/>
              <w:right w:val="single" w:sz="4" w:space="0" w:color="auto"/>
            </w:tcBorders>
            <w:shd w:val="clear" w:color="auto" w:fill="auto"/>
            <w:noWrap/>
            <w:vAlign w:val="center"/>
            <w:hideMark/>
          </w:tcPr>
          <w:p w14:paraId="7AB5AFE6" w14:textId="77777777" w:rsidR="00FB27D9" w:rsidRPr="002E42F1" w:rsidRDefault="00FB27D9" w:rsidP="00701021">
            <w:pPr>
              <w:pStyle w:val="NoSpacing"/>
              <w:jc w:val="right"/>
            </w:pPr>
            <w:r w:rsidRPr="002E42F1">
              <w:t>1,2</w:t>
            </w:r>
          </w:p>
        </w:tc>
        <w:tc>
          <w:tcPr>
            <w:tcW w:w="1418" w:type="dxa"/>
            <w:tcBorders>
              <w:top w:val="nil"/>
              <w:left w:val="nil"/>
              <w:bottom w:val="single" w:sz="4" w:space="0" w:color="auto"/>
              <w:right w:val="single" w:sz="4" w:space="0" w:color="auto"/>
            </w:tcBorders>
            <w:shd w:val="clear" w:color="auto" w:fill="auto"/>
            <w:noWrap/>
            <w:vAlign w:val="center"/>
            <w:hideMark/>
          </w:tcPr>
          <w:p w14:paraId="2729FFE5" w14:textId="77777777" w:rsidR="00FB27D9" w:rsidRPr="002E42F1" w:rsidRDefault="00FB27D9" w:rsidP="00701021">
            <w:pPr>
              <w:pStyle w:val="NoSpacing"/>
              <w:jc w:val="right"/>
            </w:pPr>
            <w:r w:rsidRPr="002E42F1">
              <w:t>1,2</w:t>
            </w:r>
          </w:p>
        </w:tc>
        <w:tc>
          <w:tcPr>
            <w:tcW w:w="1701" w:type="dxa"/>
            <w:tcBorders>
              <w:top w:val="nil"/>
              <w:left w:val="nil"/>
              <w:bottom w:val="single" w:sz="4" w:space="0" w:color="auto"/>
              <w:right w:val="single" w:sz="4" w:space="0" w:color="auto"/>
            </w:tcBorders>
            <w:shd w:val="clear" w:color="auto" w:fill="auto"/>
            <w:noWrap/>
            <w:vAlign w:val="center"/>
            <w:hideMark/>
          </w:tcPr>
          <w:p w14:paraId="114AB90E" w14:textId="77777777" w:rsidR="00FB27D9" w:rsidRPr="002E42F1" w:rsidRDefault="00FB27D9" w:rsidP="00701021">
            <w:pPr>
              <w:pStyle w:val="NoSpacing"/>
              <w:jc w:val="right"/>
            </w:pPr>
            <w:r w:rsidRPr="002E42F1">
              <w:t>3,5</w:t>
            </w:r>
          </w:p>
        </w:tc>
      </w:tr>
      <w:tr w:rsidR="002E42F1" w:rsidRPr="002E42F1" w14:paraId="7249CBFB"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6A067C4" w14:textId="77777777" w:rsidR="00FB27D9" w:rsidRPr="002E42F1" w:rsidRDefault="00FB27D9" w:rsidP="00701021">
            <w:pPr>
              <w:pStyle w:val="NoSpacing"/>
            </w:pPr>
            <w:r w:rsidRPr="002E42F1">
              <w:t>Kancelejas preces un biroja papīrs</w:t>
            </w:r>
          </w:p>
        </w:tc>
        <w:tc>
          <w:tcPr>
            <w:tcW w:w="1275" w:type="dxa"/>
            <w:tcBorders>
              <w:top w:val="nil"/>
              <w:left w:val="nil"/>
              <w:bottom w:val="single" w:sz="4" w:space="0" w:color="auto"/>
              <w:right w:val="single" w:sz="4" w:space="0" w:color="auto"/>
            </w:tcBorders>
            <w:shd w:val="clear" w:color="auto" w:fill="auto"/>
            <w:noWrap/>
            <w:vAlign w:val="center"/>
            <w:hideMark/>
          </w:tcPr>
          <w:p w14:paraId="32B9C90F" w14:textId="77777777" w:rsidR="00FB27D9" w:rsidRPr="002E42F1" w:rsidRDefault="00FB27D9" w:rsidP="00701021">
            <w:pPr>
              <w:pStyle w:val="NoSpacing"/>
              <w:jc w:val="right"/>
            </w:pPr>
            <w:r w:rsidRPr="002E42F1">
              <w:t>1,5</w:t>
            </w:r>
          </w:p>
        </w:tc>
        <w:tc>
          <w:tcPr>
            <w:tcW w:w="1418" w:type="dxa"/>
            <w:tcBorders>
              <w:top w:val="nil"/>
              <w:left w:val="nil"/>
              <w:bottom w:val="single" w:sz="4" w:space="0" w:color="auto"/>
              <w:right w:val="single" w:sz="4" w:space="0" w:color="auto"/>
            </w:tcBorders>
            <w:shd w:val="clear" w:color="auto" w:fill="auto"/>
            <w:noWrap/>
            <w:vAlign w:val="center"/>
            <w:hideMark/>
          </w:tcPr>
          <w:p w14:paraId="1C630BC9" w14:textId="77777777" w:rsidR="00FB27D9" w:rsidRPr="002E42F1" w:rsidRDefault="00FB27D9" w:rsidP="00701021">
            <w:pPr>
              <w:pStyle w:val="NoSpacing"/>
              <w:jc w:val="right"/>
            </w:pPr>
            <w:r w:rsidRPr="002E42F1">
              <w:t>1,3</w:t>
            </w:r>
          </w:p>
        </w:tc>
        <w:tc>
          <w:tcPr>
            <w:tcW w:w="1701" w:type="dxa"/>
            <w:tcBorders>
              <w:top w:val="nil"/>
              <w:left w:val="nil"/>
              <w:bottom w:val="single" w:sz="4" w:space="0" w:color="auto"/>
              <w:right w:val="single" w:sz="4" w:space="0" w:color="auto"/>
            </w:tcBorders>
            <w:shd w:val="clear" w:color="auto" w:fill="auto"/>
            <w:noWrap/>
            <w:vAlign w:val="center"/>
            <w:hideMark/>
          </w:tcPr>
          <w:p w14:paraId="1EC7CE80" w14:textId="77777777" w:rsidR="00FB27D9" w:rsidRPr="002E42F1" w:rsidRDefault="00FB27D9" w:rsidP="00701021">
            <w:pPr>
              <w:pStyle w:val="NoSpacing"/>
              <w:jc w:val="right"/>
            </w:pPr>
            <w:r w:rsidRPr="002E42F1">
              <w:t>-10,3</w:t>
            </w:r>
          </w:p>
        </w:tc>
      </w:tr>
      <w:tr w:rsidR="002E42F1" w:rsidRPr="002E42F1" w14:paraId="5A96F7BF"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42340F7" w14:textId="77777777" w:rsidR="00FB27D9" w:rsidRPr="002E42F1" w:rsidRDefault="00FB27D9" w:rsidP="00701021">
            <w:pPr>
              <w:pStyle w:val="NoSpacing"/>
            </w:pPr>
            <w:r w:rsidRPr="002E42F1">
              <w:t>Medicīnas preces</w:t>
            </w:r>
          </w:p>
        </w:tc>
        <w:tc>
          <w:tcPr>
            <w:tcW w:w="1275" w:type="dxa"/>
            <w:tcBorders>
              <w:top w:val="nil"/>
              <w:left w:val="nil"/>
              <w:bottom w:val="single" w:sz="4" w:space="0" w:color="auto"/>
              <w:right w:val="single" w:sz="4" w:space="0" w:color="auto"/>
            </w:tcBorders>
            <w:shd w:val="clear" w:color="auto" w:fill="auto"/>
            <w:noWrap/>
            <w:vAlign w:val="center"/>
            <w:hideMark/>
          </w:tcPr>
          <w:p w14:paraId="2780030C" w14:textId="77777777" w:rsidR="00FB27D9" w:rsidRPr="002E42F1" w:rsidRDefault="00FB27D9" w:rsidP="00701021">
            <w:pPr>
              <w:pStyle w:val="NoSpacing"/>
              <w:jc w:val="right"/>
            </w:pPr>
            <w:r w:rsidRPr="002E42F1">
              <w:t> </w:t>
            </w:r>
          </w:p>
        </w:tc>
        <w:tc>
          <w:tcPr>
            <w:tcW w:w="1418" w:type="dxa"/>
            <w:tcBorders>
              <w:top w:val="nil"/>
              <w:left w:val="nil"/>
              <w:bottom w:val="single" w:sz="4" w:space="0" w:color="auto"/>
              <w:right w:val="single" w:sz="4" w:space="0" w:color="auto"/>
            </w:tcBorders>
            <w:shd w:val="clear" w:color="auto" w:fill="auto"/>
            <w:noWrap/>
            <w:vAlign w:val="center"/>
            <w:hideMark/>
          </w:tcPr>
          <w:p w14:paraId="7501A97D" w14:textId="77777777" w:rsidR="00FB27D9" w:rsidRPr="002E42F1" w:rsidRDefault="00FB27D9" w:rsidP="00701021">
            <w:pPr>
              <w:pStyle w:val="NoSpacing"/>
              <w:jc w:val="right"/>
            </w:pPr>
            <w:r w:rsidRPr="002E42F1">
              <w:t>0,02</w:t>
            </w:r>
          </w:p>
        </w:tc>
        <w:tc>
          <w:tcPr>
            <w:tcW w:w="1701" w:type="dxa"/>
            <w:tcBorders>
              <w:top w:val="nil"/>
              <w:left w:val="nil"/>
              <w:bottom w:val="single" w:sz="4" w:space="0" w:color="auto"/>
              <w:right w:val="single" w:sz="4" w:space="0" w:color="auto"/>
            </w:tcBorders>
            <w:shd w:val="clear" w:color="auto" w:fill="auto"/>
            <w:noWrap/>
            <w:vAlign w:val="center"/>
            <w:hideMark/>
          </w:tcPr>
          <w:p w14:paraId="5BD02136" w14:textId="77777777" w:rsidR="00FB27D9" w:rsidRPr="002E42F1" w:rsidRDefault="00FB27D9" w:rsidP="00701021">
            <w:pPr>
              <w:pStyle w:val="NoSpacing"/>
              <w:jc w:val="right"/>
            </w:pPr>
            <w:r w:rsidRPr="002E42F1">
              <w:t> </w:t>
            </w:r>
          </w:p>
        </w:tc>
      </w:tr>
      <w:tr w:rsidR="002E42F1" w:rsidRPr="002E42F1" w14:paraId="5A89811C"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CAB4023" w14:textId="77777777" w:rsidR="00FB27D9" w:rsidRPr="002E42F1" w:rsidRDefault="00FB27D9" w:rsidP="00701021">
            <w:pPr>
              <w:pStyle w:val="NoSpacing"/>
            </w:pPr>
            <w:r w:rsidRPr="002E42F1">
              <w:t>Pārtikas preces</w:t>
            </w:r>
          </w:p>
        </w:tc>
        <w:tc>
          <w:tcPr>
            <w:tcW w:w="1275" w:type="dxa"/>
            <w:tcBorders>
              <w:top w:val="nil"/>
              <w:left w:val="nil"/>
              <w:bottom w:val="single" w:sz="4" w:space="0" w:color="auto"/>
              <w:right w:val="single" w:sz="4" w:space="0" w:color="auto"/>
            </w:tcBorders>
            <w:shd w:val="clear" w:color="auto" w:fill="auto"/>
            <w:noWrap/>
            <w:vAlign w:val="center"/>
            <w:hideMark/>
          </w:tcPr>
          <w:p w14:paraId="00C8722F" w14:textId="77777777" w:rsidR="00FB27D9" w:rsidRPr="002E42F1" w:rsidRDefault="00FB27D9" w:rsidP="00701021">
            <w:pPr>
              <w:pStyle w:val="NoSpacing"/>
              <w:jc w:val="right"/>
            </w:pPr>
            <w:r w:rsidRPr="002E42F1">
              <w:t>0,01</w:t>
            </w:r>
          </w:p>
        </w:tc>
        <w:tc>
          <w:tcPr>
            <w:tcW w:w="1418" w:type="dxa"/>
            <w:tcBorders>
              <w:top w:val="nil"/>
              <w:left w:val="nil"/>
              <w:bottom w:val="single" w:sz="4" w:space="0" w:color="auto"/>
              <w:right w:val="single" w:sz="4" w:space="0" w:color="auto"/>
            </w:tcBorders>
            <w:shd w:val="clear" w:color="auto" w:fill="auto"/>
            <w:noWrap/>
            <w:vAlign w:val="center"/>
            <w:hideMark/>
          </w:tcPr>
          <w:p w14:paraId="24D1251B" w14:textId="77777777" w:rsidR="00FB27D9" w:rsidRPr="002E42F1" w:rsidRDefault="00FB27D9" w:rsidP="00701021">
            <w:pPr>
              <w:pStyle w:val="NoSpacing"/>
              <w:jc w:val="right"/>
            </w:pPr>
            <w:r w:rsidRPr="002E42F1">
              <w:t>0,09</w:t>
            </w:r>
          </w:p>
        </w:tc>
        <w:tc>
          <w:tcPr>
            <w:tcW w:w="1701" w:type="dxa"/>
            <w:tcBorders>
              <w:top w:val="nil"/>
              <w:left w:val="nil"/>
              <w:bottom w:val="single" w:sz="4" w:space="0" w:color="auto"/>
              <w:right w:val="single" w:sz="4" w:space="0" w:color="auto"/>
            </w:tcBorders>
            <w:shd w:val="clear" w:color="auto" w:fill="auto"/>
            <w:noWrap/>
            <w:vAlign w:val="center"/>
            <w:hideMark/>
          </w:tcPr>
          <w:p w14:paraId="068940D9" w14:textId="77777777" w:rsidR="00FB27D9" w:rsidRPr="002E42F1" w:rsidRDefault="00FB27D9" w:rsidP="00701021">
            <w:pPr>
              <w:pStyle w:val="NoSpacing"/>
              <w:jc w:val="right"/>
            </w:pPr>
            <w:r w:rsidRPr="002E42F1">
              <w:t>573,9</w:t>
            </w:r>
          </w:p>
        </w:tc>
      </w:tr>
      <w:tr w:rsidR="002E42F1" w:rsidRPr="002E42F1" w14:paraId="70F5E78B"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82B012C" w14:textId="77777777" w:rsidR="00FB27D9" w:rsidRPr="002E42F1" w:rsidRDefault="00FB27D9" w:rsidP="00701021">
            <w:pPr>
              <w:pStyle w:val="NoSpacing"/>
            </w:pPr>
            <w:r w:rsidRPr="002E42F1">
              <w:t>Saimniecības preces</w:t>
            </w:r>
          </w:p>
        </w:tc>
        <w:tc>
          <w:tcPr>
            <w:tcW w:w="1275" w:type="dxa"/>
            <w:tcBorders>
              <w:top w:val="nil"/>
              <w:left w:val="nil"/>
              <w:bottom w:val="single" w:sz="4" w:space="0" w:color="auto"/>
              <w:right w:val="single" w:sz="4" w:space="0" w:color="auto"/>
            </w:tcBorders>
            <w:shd w:val="clear" w:color="auto" w:fill="auto"/>
            <w:noWrap/>
            <w:vAlign w:val="center"/>
            <w:hideMark/>
          </w:tcPr>
          <w:p w14:paraId="54D8F004" w14:textId="77777777" w:rsidR="00FB27D9" w:rsidRPr="002E42F1" w:rsidRDefault="00FB27D9" w:rsidP="00701021">
            <w:pPr>
              <w:pStyle w:val="NoSpacing"/>
              <w:jc w:val="right"/>
            </w:pPr>
            <w:r w:rsidRPr="002E42F1">
              <w:t>1,4</w:t>
            </w:r>
          </w:p>
        </w:tc>
        <w:tc>
          <w:tcPr>
            <w:tcW w:w="1418" w:type="dxa"/>
            <w:tcBorders>
              <w:top w:val="nil"/>
              <w:left w:val="nil"/>
              <w:bottom w:val="single" w:sz="4" w:space="0" w:color="auto"/>
              <w:right w:val="single" w:sz="4" w:space="0" w:color="auto"/>
            </w:tcBorders>
            <w:shd w:val="clear" w:color="auto" w:fill="auto"/>
            <w:noWrap/>
            <w:vAlign w:val="center"/>
            <w:hideMark/>
          </w:tcPr>
          <w:p w14:paraId="217CAD09" w14:textId="77777777" w:rsidR="00FB27D9" w:rsidRPr="002E42F1" w:rsidRDefault="00FB27D9" w:rsidP="00701021">
            <w:pPr>
              <w:pStyle w:val="NoSpacing"/>
              <w:jc w:val="right"/>
            </w:pPr>
            <w:r w:rsidRPr="002E42F1">
              <w:t>1,6</w:t>
            </w:r>
          </w:p>
        </w:tc>
        <w:tc>
          <w:tcPr>
            <w:tcW w:w="1701" w:type="dxa"/>
            <w:tcBorders>
              <w:top w:val="nil"/>
              <w:left w:val="nil"/>
              <w:bottom w:val="single" w:sz="4" w:space="0" w:color="auto"/>
              <w:right w:val="single" w:sz="4" w:space="0" w:color="auto"/>
            </w:tcBorders>
            <w:shd w:val="clear" w:color="auto" w:fill="auto"/>
            <w:noWrap/>
            <w:vAlign w:val="center"/>
            <w:hideMark/>
          </w:tcPr>
          <w:p w14:paraId="4706F51B" w14:textId="77777777" w:rsidR="00FB27D9" w:rsidRPr="002E42F1" w:rsidRDefault="00FB27D9" w:rsidP="00701021">
            <w:pPr>
              <w:pStyle w:val="NoSpacing"/>
              <w:jc w:val="right"/>
            </w:pPr>
            <w:r w:rsidRPr="002E42F1">
              <w:t>13,5</w:t>
            </w:r>
          </w:p>
        </w:tc>
      </w:tr>
      <w:tr w:rsidR="002E42F1" w:rsidRPr="002E42F1" w14:paraId="5C9C27F7" w14:textId="77777777" w:rsidTr="00FB27D9">
        <w:trPr>
          <w:trHeight w:val="25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4C0BE6D" w14:textId="77777777" w:rsidR="00FB27D9" w:rsidRPr="002E42F1" w:rsidRDefault="00FB27D9" w:rsidP="00701021">
            <w:pPr>
              <w:pStyle w:val="NoSpacing"/>
              <w:rPr>
                <w:b/>
                <w:bCs/>
              </w:rPr>
            </w:pPr>
            <w:r w:rsidRPr="002E42F1">
              <w:rPr>
                <w:b/>
                <w:bCs/>
              </w:rPr>
              <w:t>KOPĀ</w:t>
            </w:r>
          </w:p>
        </w:tc>
        <w:tc>
          <w:tcPr>
            <w:tcW w:w="1275" w:type="dxa"/>
            <w:tcBorders>
              <w:top w:val="nil"/>
              <w:left w:val="nil"/>
              <w:bottom w:val="single" w:sz="4" w:space="0" w:color="auto"/>
              <w:right w:val="single" w:sz="4" w:space="0" w:color="auto"/>
            </w:tcBorders>
            <w:shd w:val="clear" w:color="auto" w:fill="auto"/>
            <w:noWrap/>
            <w:vAlign w:val="center"/>
            <w:hideMark/>
          </w:tcPr>
          <w:p w14:paraId="11562A0D" w14:textId="77777777" w:rsidR="00FB27D9" w:rsidRPr="002E42F1" w:rsidRDefault="00FB27D9" w:rsidP="00701021">
            <w:pPr>
              <w:pStyle w:val="NoSpacing"/>
              <w:jc w:val="right"/>
              <w:rPr>
                <w:b/>
                <w:bCs/>
              </w:rPr>
            </w:pPr>
            <w:r w:rsidRPr="002E42F1">
              <w:rPr>
                <w:b/>
                <w:bCs/>
              </w:rPr>
              <w:t>16,1</w:t>
            </w:r>
          </w:p>
        </w:tc>
        <w:tc>
          <w:tcPr>
            <w:tcW w:w="1418" w:type="dxa"/>
            <w:tcBorders>
              <w:top w:val="nil"/>
              <w:left w:val="nil"/>
              <w:bottom w:val="single" w:sz="4" w:space="0" w:color="auto"/>
              <w:right w:val="single" w:sz="4" w:space="0" w:color="auto"/>
            </w:tcBorders>
            <w:shd w:val="clear" w:color="auto" w:fill="auto"/>
            <w:noWrap/>
            <w:vAlign w:val="center"/>
            <w:hideMark/>
          </w:tcPr>
          <w:p w14:paraId="3197EF05" w14:textId="77777777" w:rsidR="00FB27D9" w:rsidRPr="002E42F1" w:rsidRDefault="00FB27D9" w:rsidP="00701021">
            <w:pPr>
              <w:pStyle w:val="NoSpacing"/>
              <w:jc w:val="right"/>
              <w:rPr>
                <w:b/>
                <w:bCs/>
              </w:rPr>
            </w:pPr>
            <w:r w:rsidRPr="002E42F1">
              <w:rPr>
                <w:b/>
                <w:bCs/>
              </w:rPr>
              <w:t>19,1</w:t>
            </w:r>
          </w:p>
        </w:tc>
        <w:tc>
          <w:tcPr>
            <w:tcW w:w="1701" w:type="dxa"/>
            <w:tcBorders>
              <w:top w:val="nil"/>
              <w:left w:val="nil"/>
              <w:bottom w:val="single" w:sz="4" w:space="0" w:color="auto"/>
              <w:right w:val="single" w:sz="4" w:space="0" w:color="auto"/>
            </w:tcBorders>
            <w:shd w:val="clear" w:color="auto" w:fill="auto"/>
            <w:noWrap/>
            <w:vAlign w:val="center"/>
            <w:hideMark/>
          </w:tcPr>
          <w:p w14:paraId="2CB9526F" w14:textId="77777777" w:rsidR="00FB27D9" w:rsidRPr="002E42F1" w:rsidRDefault="00FB27D9" w:rsidP="00701021">
            <w:pPr>
              <w:pStyle w:val="NoSpacing"/>
              <w:jc w:val="right"/>
              <w:rPr>
                <w:b/>
                <w:bCs/>
              </w:rPr>
            </w:pPr>
            <w:r w:rsidRPr="002E42F1">
              <w:rPr>
                <w:b/>
                <w:bCs/>
              </w:rPr>
              <w:t>18,8</w:t>
            </w:r>
          </w:p>
        </w:tc>
      </w:tr>
    </w:tbl>
    <w:p w14:paraId="693014DF" w14:textId="7428EF17" w:rsidR="00B7695A" w:rsidRPr="002E42F1" w:rsidRDefault="007E114F" w:rsidP="006C282B">
      <w:pPr>
        <w:pStyle w:val="NoSpacing"/>
        <w:jc w:val="both"/>
        <w:rPr>
          <w:sz w:val="28"/>
          <w:szCs w:val="28"/>
        </w:rPr>
      </w:pPr>
      <w:r w:rsidRPr="002E42F1">
        <w:rPr>
          <w:sz w:val="28"/>
          <w:szCs w:val="28"/>
        </w:rPr>
        <w:t>Avots: VRAA dati</w:t>
      </w:r>
    </w:p>
    <w:p w14:paraId="61692E2E" w14:textId="77777777" w:rsidR="007E114F" w:rsidRPr="002E42F1" w:rsidRDefault="007E114F" w:rsidP="006C282B">
      <w:pPr>
        <w:pStyle w:val="NoSpacing"/>
        <w:jc w:val="both"/>
        <w:rPr>
          <w:sz w:val="28"/>
          <w:szCs w:val="28"/>
        </w:rPr>
      </w:pPr>
    </w:p>
    <w:p w14:paraId="267E432F" w14:textId="77777777" w:rsidR="00616AD9" w:rsidRDefault="00616AD9" w:rsidP="006C282B">
      <w:pPr>
        <w:pStyle w:val="NoSpacing"/>
        <w:jc w:val="both"/>
        <w:rPr>
          <w:sz w:val="28"/>
          <w:szCs w:val="28"/>
        </w:rPr>
      </w:pPr>
    </w:p>
    <w:p w14:paraId="7C73B457" w14:textId="77777777" w:rsidR="00D0472F" w:rsidRDefault="00D0472F" w:rsidP="006C282B">
      <w:pPr>
        <w:pStyle w:val="NoSpacing"/>
        <w:jc w:val="both"/>
        <w:rPr>
          <w:sz w:val="28"/>
          <w:szCs w:val="28"/>
        </w:rPr>
      </w:pPr>
    </w:p>
    <w:p w14:paraId="7DDA63EA" w14:textId="77777777" w:rsidR="00D0472F" w:rsidRPr="002E42F1" w:rsidRDefault="00D0472F" w:rsidP="006C282B">
      <w:pPr>
        <w:pStyle w:val="NoSpacing"/>
        <w:jc w:val="both"/>
        <w:rPr>
          <w:sz w:val="28"/>
          <w:szCs w:val="28"/>
        </w:rPr>
      </w:pPr>
    </w:p>
    <w:p w14:paraId="54E41C11" w14:textId="77777777" w:rsidR="00616AD9" w:rsidRPr="002E42F1" w:rsidRDefault="00616AD9" w:rsidP="006C282B">
      <w:pPr>
        <w:pStyle w:val="NoSpacing"/>
        <w:jc w:val="both"/>
        <w:rPr>
          <w:sz w:val="28"/>
          <w:szCs w:val="28"/>
        </w:rPr>
      </w:pPr>
    </w:p>
    <w:p w14:paraId="0A216E63" w14:textId="7B50019C" w:rsidR="007C405F" w:rsidRPr="002E42F1" w:rsidRDefault="007C405F" w:rsidP="00701021">
      <w:pPr>
        <w:pStyle w:val="NoSpacing"/>
        <w:jc w:val="both"/>
        <w:rPr>
          <w:sz w:val="28"/>
          <w:szCs w:val="28"/>
        </w:rPr>
      </w:pPr>
      <w:r w:rsidRPr="002E42F1">
        <w:rPr>
          <w:sz w:val="28"/>
          <w:szCs w:val="28"/>
        </w:rPr>
        <w:lastRenderedPageBreak/>
        <w:t>Būtiskāko izmaiņu skaidrojums:</w:t>
      </w:r>
    </w:p>
    <w:p w14:paraId="0598DBCC" w14:textId="34CAD944" w:rsidR="007C405F" w:rsidRPr="002E42F1" w:rsidRDefault="007C405F" w:rsidP="00701021">
      <w:pPr>
        <w:pStyle w:val="NoSpacing"/>
        <w:numPr>
          <w:ilvl w:val="0"/>
          <w:numId w:val="39"/>
        </w:numPr>
        <w:jc w:val="both"/>
        <w:rPr>
          <w:sz w:val="28"/>
          <w:szCs w:val="28"/>
        </w:rPr>
      </w:pPr>
      <w:r w:rsidRPr="002E42F1">
        <w:rPr>
          <w:sz w:val="28"/>
          <w:szCs w:val="28"/>
        </w:rPr>
        <w:t>EKO datortehnikas katalogā tika nodrošināta iespēja iegādāties tehniku ar attālinātas pārvaldības iespējām, kas iestādēm ir būtiski pārstrukturējot datorparka pārvaldību</w:t>
      </w:r>
      <w:r w:rsidR="00492BD1" w:rsidRPr="002E42F1">
        <w:rPr>
          <w:sz w:val="28"/>
          <w:szCs w:val="28"/>
        </w:rPr>
        <w:t>.</w:t>
      </w:r>
      <w:r w:rsidRPr="002E42F1">
        <w:rPr>
          <w:sz w:val="28"/>
          <w:szCs w:val="28"/>
        </w:rPr>
        <w:t xml:space="preserve"> </w:t>
      </w:r>
      <w:r w:rsidR="00492BD1" w:rsidRPr="002E42F1">
        <w:rPr>
          <w:sz w:val="28"/>
          <w:szCs w:val="28"/>
        </w:rPr>
        <w:t>L</w:t>
      </w:r>
      <w:r w:rsidRPr="002E42F1">
        <w:rPr>
          <w:sz w:val="28"/>
          <w:szCs w:val="28"/>
        </w:rPr>
        <w:t>īdz ar to palielinājās pieprasījums pēc precēm šī kataloga ietvaros. </w:t>
      </w:r>
    </w:p>
    <w:p w14:paraId="5434DC9A" w14:textId="6DF75CE7" w:rsidR="007C405F" w:rsidRPr="002E42F1" w:rsidRDefault="007C405F" w:rsidP="00701021">
      <w:pPr>
        <w:pStyle w:val="NoSpacing"/>
        <w:numPr>
          <w:ilvl w:val="0"/>
          <w:numId w:val="39"/>
        </w:numPr>
        <w:jc w:val="both"/>
        <w:rPr>
          <w:sz w:val="28"/>
          <w:szCs w:val="28"/>
        </w:rPr>
      </w:pPr>
      <w:r w:rsidRPr="002E42F1">
        <w:rPr>
          <w:sz w:val="28"/>
          <w:szCs w:val="28"/>
        </w:rPr>
        <w:t>Ka</w:t>
      </w:r>
      <w:r w:rsidR="00492BD1" w:rsidRPr="002E42F1">
        <w:rPr>
          <w:sz w:val="28"/>
          <w:szCs w:val="28"/>
        </w:rPr>
        <w:t>ncelejas preču un biroja papīra katalogā</w:t>
      </w:r>
      <w:r w:rsidRPr="002E42F1">
        <w:rPr>
          <w:sz w:val="28"/>
          <w:szCs w:val="28"/>
        </w:rPr>
        <w:t xml:space="preserve"> ZPI kritēriji attiecas tikai uz biroja papīru. Turpinot e-pārvaldes ieviešanu, notiek arvien pieaugoša pāreja uz elektronisku dokumentu apriti gan iestāžu iekšējā dokumentu apritē, gan ārējās korespondences nodrošināšanā elektroniski. Līdz ar to samazinās</w:t>
      </w:r>
      <w:r w:rsidR="00492BD1" w:rsidRPr="002E42F1">
        <w:rPr>
          <w:sz w:val="28"/>
          <w:szCs w:val="28"/>
        </w:rPr>
        <w:t xml:space="preserve"> pieprasījums</w:t>
      </w:r>
      <w:r w:rsidRPr="002E42F1">
        <w:rPr>
          <w:sz w:val="28"/>
          <w:szCs w:val="28"/>
        </w:rPr>
        <w:t xml:space="preserve"> </w:t>
      </w:r>
      <w:r w:rsidR="00492BD1" w:rsidRPr="002E42F1">
        <w:rPr>
          <w:sz w:val="28"/>
          <w:szCs w:val="28"/>
        </w:rPr>
        <w:t xml:space="preserve">pēc </w:t>
      </w:r>
      <w:r w:rsidRPr="002E42F1">
        <w:rPr>
          <w:sz w:val="28"/>
          <w:szCs w:val="28"/>
        </w:rPr>
        <w:t>biroja papīra.</w:t>
      </w:r>
      <w:r w:rsidR="00EB06A9" w:rsidRPr="002E42F1">
        <w:rPr>
          <w:sz w:val="28"/>
          <w:szCs w:val="28"/>
        </w:rPr>
        <w:t xml:space="preserve"> Šīs grupas apjoma izmaiņu tendence jāturpina vērot nākotnē.</w:t>
      </w:r>
    </w:p>
    <w:p w14:paraId="0AFFE254" w14:textId="677177B7" w:rsidR="007C405F" w:rsidRPr="002E42F1" w:rsidRDefault="006F5379" w:rsidP="00701021">
      <w:pPr>
        <w:pStyle w:val="NoSpacing"/>
        <w:numPr>
          <w:ilvl w:val="0"/>
          <w:numId w:val="39"/>
        </w:numPr>
        <w:jc w:val="both"/>
        <w:rPr>
          <w:sz w:val="28"/>
          <w:szCs w:val="28"/>
        </w:rPr>
      </w:pPr>
      <w:r w:rsidRPr="002E42F1">
        <w:rPr>
          <w:sz w:val="28"/>
          <w:szCs w:val="28"/>
        </w:rPr>
        <w:t xml:space="preserve">Pārtikas preču katalogs </w:t>
      </w:r>
      <w:r w:rsidR="007C405F" w:rsidRPr="002E42F1">
        <w:rPr>
          <w:sz w:val="28"/>
          <w:szCs w:val="28"/>
        </w:rPr>
        <w:t>2019.</w:t>
      </w:r>
      <w:r w:rsidR="001E3B1A" w:rsidRPr="002E42F1">
        <w:rPr>
          <w:sz w:val="28"/>
          <w:szCs w:val="28"/>
        </w:rPr>
        <w:t xml:space="preserve"> </w:t>
      </w:r>
      <w:r w:rsidR="007C405F" w:rsidRPr="002E42F1">
        <w:rPr>
          <w:sz w:val="28"/>
          <w:szCs w:val="28"/>
        </w:rPr>
        <w:t xml:space="preserve">gadā tika </w:t>
      </w:r>
      <w:r w:rsidRPr="002E42F1">
        <w:rPr>
          <w:sz w:val="28"/>
          <w:szCs w:val="28"/>
        </w:rPr>
        <w:t xml:space="preserve">būtiski paplašināts ar ZPI preču sortimentu (to veicināja arī </w:t>
      </w:r>
      <w:r w:rsidR="007C405F" w:rsidRPr="002E42F1">
        <w:rPr>
          <w:sz w:val="28"/>
          <w:szCs w:val="28"/>
        </w:rPr>
        <w:t>MK noteikumu Nr.</w:t>
      </w:r>
      <w:r w:rsidR="000465E6">
        <w:rPr>
          <w:sz w:val="28"/>
          <w:szCs w:val="28"/>
        </w:rPr>
        <w:t xml:space="preserve"> </w:t>
      </w:r>
      <w:r w:rsidR="007C405F" w:rsidRPr="002E42F1">
        <w:rPr>
          <w:sz w:val="28"/>
          <w:szCs w:val="28"/>
        </w:rPr>
        <w:t>353 par obligātajiem ZPI kritērijiem</w:t>
      </w:r>
      <w:r w:rsidRPr="002E42F1">
        <w:rPr>
          <w:sz w:val="28"/>
          <w:szCs w:val="28"/>
        </w:rPr>
        <w:t xml:space="preserve"> pieņemšana, padarot ZPI </w:t>
      </w:r>
      <w:r w:rsidR="007E114F" w:rsidRPr="002E42F1">
        <w:rPr>
          <w:sz w:val="28"/>
          <w:szCs w:val="28"/>
        </w:rPr>
        <w:t>prasības obligātas pārtikas preču grupā</w:t>
      </w:r>
      <w:r w:rsidRPr="002E42F1">
        <w:rPr>
          <w:sz w:val="28"/>
          <w:szCs w:val="28"/>
        </w:rPr>
        <w:t>)</w:t>
      </w:r>
      <w:r w:rsidR="007C405F" w:rsidRPr="002E42F1">
        <w:rPr>
          <w:sz w:val="28"/>
          <w:szCs w:val="28"/>
        </w:rPr>
        <w:t xml:space="preserve">. </w:t>
      </w:r>
      <w:r w:rsidR="007E114F" w:rsidRPr="002E42F1">
        <w:rPr>
          <w:sz w:val="28"/>
          <w:szCs w:val="28"/>
        </w:rPr>
        <w:t>Pap</w:t>
      </w:r>
      <w:r w:rsidR="007C405F" w:rsidRPr="002E42F1">
        <w:rPr>
          <w:sz w:val="28"/>
          <w:szCs w:val="28"/>
        </w:rPr>
        <w:t>laš</w:t>
      </w:r>
      <w:r w:rsidR="007E114F" w:rsidRPr="002E42F1">
        <w:rPr>
          <w:sz w:val="28"/>
          <w:szCs w:val="28"/>
        </w:rPr>
        <w:t>inātais</w:t>
      </w:r>
      <w:r w:rsidR="007C405F" w:rsidRPr="002E42F1">
        <w:rPr>
          <w:sz w:val="28"/>
          <w:szCs w:val="28"/>
        </w:rPr>
        <w:t xml:space="preserve"> preču sortiments katalogā</w:t>
      </w:r>
      <w:r w:rsidR="007E114F" w:rsidRPr="002E42F1">
        <w:rPr>
          <w:sz w:val="28"/>
          <w:szCs w:val="28"/>
        </w:rPr>
        <w:t xml:space="preserve"> veicinājis tā </w:t>
      </w:r>
      <w:r w:rsidR="007C405F" w:rsidRPr="002E42F1">
        <w:rPr>
          <w:sz w:val="28"/>
          <w:szCs w:val="28"/>
        </w:rPr>
        <w:t>izmanto</w:t>
      </w:r>
      <w:r w:rsidR="007E114F" w:rsidRPr="002E42F1">
        <w:rPr>
          <w:sz w:val="28"/>
          <w:szCs w:val="28"/>
        </w:rPr>
        <w:t>šanu</w:t>
      </w:r>
      <w:r w:rsidR="007C405F" w:rsidRPr="002E42F1">
        <w:rPr>
          <w:sz w:val="28"/>
          <w:szCs w:val="28"/>
        </w:rPr>
        <w:t>.</w:t>
      </w:r>
    </w:p>
    <w:p w14:paraId="77746D60" w14:textId="0DCF72EC" w:rsidR="00B7695A" w:rsidRPr="002E42F1" w:rsidRDefault="00B7695A" w:rsidP="006C282B">
      <w:pPr>
        <w:pStyle w:val="NoSpacing"/>
        <w:jc w:val="both"/>
        <w:rPr>
          <w:sz w:val="28"/>
          <w:szCs w:val="28"/>
        </w:rPr>
      </w:pPr>
    </w:p>
    <w:p w14:paraId="5888E949" w14:textId="64C6991A" w:rsidR="00E22C6B" w:rsidRPr="002E42F1" w:rsidRDefault="009A4849" w:rsidP="00701021">
      <w:pPr>
        <w:pStyle w:val="NoSpacing"/>
        <w:jc w:val="right"/>
        <w:rPr>
          <w:sz w:val="28"/>
          <w:szCs w:val="28"/>
        </w:rPr>
      </w:pPr>
      <w:r w:rsidRPr="002E42F1">
        <w:rPr>
          <w:sz w:val="28"/>
          <w:szCs w:val="28"/>
        </w:rPr>
        <w:t>1</w:t>
      </w:r>
      <w:r w:rsidR="0057580F" w:rsidRPr="002E42F1">
        <w:rPr>
          <w:sz w:val="28"/>
          <w:szCs w:val="28"/>
        </w:rPr>
        <w:t>3</w:t>
      </w:r>
      <w:r w:rsidR="00C30D60" w:rsidRPr="002E42F1">
        <w:rPr>
          <w:sz w:val="28"/>
          <w:szCs w:val="28"/>
        </w:rPr>
        <w:t>.</w:t>
      </w:r>
      <w:r w:rsidR="00776752" w:rsidRPr="002E42F1">
        <w:rPr>
          <w:sz w:val="28"/>
          <w:szCs w:val="28"/>
        </w:rPr>
        <w:t xml:space="preserve"> attēls</w:t>
      </w:r>
    </w:p>
    <w:p w14:paraId="167E22D2" w14:textId="43671FCA" w:rsidR="00256E4F" w:rsidRPr="002E42F1" w:rsidRDefault="00256E4F" w:rsidP="00701021">
      <w:pPr>
        <w:pStyle w:val="NoSpacing"/>
        <w:jc w:val="center"/>
        <w:rPr>
          <w:sz w:val="28"/>
          <w:szCs w:val="28"/>
        </w:rPr>
      </w:pPr>
      <w:r w:rsidRPr="002E42F1">
        <w:rPr>
          <w:sz w:val="28"/>
          <w:szCs w:val="28"/>
        </w:rPr>
        <w:t>ZPI iepirkumi EIS sistēmā 2019. gadā</w:t>
      </w:r>
      <w:r w:rsidR="00A40606" w:rsidRPr="002E42F1">
        <w:rPr>
          <w:sz w:val="28"/>
          <w:szCs w:val="28"/>
        </w:rPr>
        <w:t xml:space="preserve"> pa preču grupām</w:t>
      </w:r>
    </w:p>
    <w:p w14:paraId="176A8637" w14:textId="563C89CD" w:rsidR="00E22C6B" w:rsidRPr="002E42F1" w:rsidRDefault="00256E4F" w:rsidP="00701021">
      <w:pPr>
        <w:pStyle w:val="NoSpacing"/>
        <w:jc w:val="center"/>
        <w:rPr>
          <w:sz w:val="28"/>
          <w:szCs w:val="28"/>
        </w:rPr>
      </w:pPr>
      <w:r w:rsidRPr="002E42F1">
        <w:rPr>
          <w:sz w:val="28"/>
          <w:szCs w:val="28"/>
        </w:rPr>
        <w:t>(p</w:t>
      </w:r>
      <w:r w:rsidR="00E22C6B" w:rsidRPr="002E42F1">
        <w:rPr>
          <w:sz w:val="28"/>
          <w:szCs w:val="28"/>
        </w:rPr>
        <w:t>reču</w:t>
      </w:r>
      <w:r w:rsidR="002919FD" w:rsidRPr="002E42F1">
        <w:rPr>
          <w:sz w:val="28"/>
          <w:szCs w:val="28"/>
        </w:rPr>
        <w:t xml:space="preserve"> grupu</w:t>
      </w:r>
      <w:r w:rsidR="00E22C6B" w:rsidRPr="002E42F1">
        <w:rPr>
          <w:sz w:val="28"/>
          <w:szCs w:val="28"/>
        </w:rPr>
        <w:t xml:space="preserve"> īpatsvars</w:t>
      </w:r>
      <w:r w:rsidRPr="002E42F1">
        <w:rPr>
          <w:sz w:val="28"/>
          <w:szCs w:val="28"/>
        </w:rPr>
        <w:t xml:space="preserve"> %</w:t>
      </w:r>
      <w:r w:rsidR="00BA594C" w:rsidRPr="002E42F1">
        <w:rPr>
          <w:sz w:val="28"/>
          <w:szCs w:val="28"/>
        </w:rPr>
        <w:t xml:space="preserve"> pēc līgumcenas EUR</w:t>
      </w:r>
      <w:r w:rsidRPr="002E42F1">
        <w:rPr>
          <w:sz w:val="28"/>
          <w:szCs w:val="28"/>
        </w:rPr>
        <w:t>)</w:t>
      </w:r>
    </w:p>
    <w:p w14:paraId="3305EFEA" w14:textId="04B78F06" w:rsidR="00256E4F" w:rsidRPr="002E42F1" w:rsidRDefault="00256E4F" w:rsidP="006C282B">
      <w:pPr>
        <w:pStyle w:val="NoSpacing"/>
        <w:jc w:val="both"/>
        <w:rPr>
          <w:sz w:val="28"/>
          <w:szCs w:val="28"/>
        </w:rPr>
      </w:pPr>
    </w:p>
    <w:p w14:paraId="0BBE301C" w14:textId="0BF7EEC3" w:rsidR="00256E4F" w:rsidRPr="002E42F1" w:rsidRDefault="00BC6E4C" w:rsidP="00701021">
      <w:pPr>
        <w:pStyle w:val="NoSpacing"/>
        <w:jc w:val="center"/>
        <w:rPr>
          <w:sz w:val="28"/>
          <w:szCs w:val="28"/>
        </w:rPr>
      </w:pPr>
      <w:r w:rsidRPr="002E42F1">
        <w:rPr>
          <w:noProof/>
          <w:sz w:val="28"/>
          <w:szCs w:val="28"/>
        </w:rPr>
        <w:drawing>
          <wp:inline distT="0" distB="0" distL="0" distR="0" wp14:anchorId="5582A184" wp14:editId="5A178ED2">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00D663" w14:textId="6A2F1CE7" w:rsidR="00D6436A" w:rsidRPr="002E42F1" w:rsidRDefault="00D6436A" w:rsidP="006C282B">
      <w:pPr>
        <w:pStyle w:val="NoSpacing"/>
        <w:jc w:val="both"/>
        <w:rPr>
          <w:sz w:val="28"/>
          <w:szCs w:val="28"/>
        </w:rPr>
      </w:pPr>
      <w:r w:rsidRPr="002E42F1">
        <w:rPr>
          <w:sz w:val="28"/>
          <w:szCs w:val="28"/>
        </w:rPr>
        <w:t xml:space="preserve"> Avots: VRAA dati</w:t>
      </w:r>
    </w:p>
    <w:p w14:paraId="2C74BC43" w14:textId="77777777" w:rsidR="00BC6E4C" w:rsidRPr="002E42F1" w:rsidRDefault="00BC6E4C" w:rsidP="006C282B">
      <w:pPr>
        <w:pStyle w:val="NoSpacing"/>
        <w:jc w:val="both"/>
        <w:rPr>
          <w:sz w:val="28"/>
          <w:szCs w:val="28"/>
        </w:rPr>
      </w:pPr>
    </w:p>
    <w:p w14:paraId="336C95C1" w14:textId="74C2F74A" w:rsidR="00864C8F" w:rsidRPr="002E42F1" w:rsidRDefault="002919FD" w:rsidP="00701021">
      <w:pPr>
        <w:pStyle w:val="NoSpacing"/>
        <w:ind w:firstLine="720"/>
        <w:jc w:val="both"/>
        <w:rPr>
          <w:sz w:val="28"/>
          <w:szCs w:val="28"/>
        </w:rPr>
      </w:pPr>
      <w:r w:rsidRPr="002E42F1">
        <w:rPr>
          <w:sz w:val="28"/>
          <w:szCs w:val="28"/>
        </w:rPr>
        <w:t>Salīdzinoši ar 201</w:t>
      </w:r>
      <w:r w:rsidR="00BA1BD0" w:rsidRPr="002E42F1">
        <w:rPr>
          <w:sz w:val="28"/>
          <w:szCs w:val="28"/>
        </w:rPr>
        <w:t>8</w:t>
      </w:r>
      <w:r w:rsidRPr="002E42F1">
        <w:rPr>
          <w:sz w:val="28"/>
          <w:szCs w:val="28"/>
        </w:rPr>
        <w:t>. gadu 201</w:t>
      </w:r>
      <w:r w:rsidR="00BA1BD0" w:rsidRPr="002E42F1">
        <w:rPr>
          <w:sz w:val="28"/>
          <w:szCs w:val="28"/>
        </w:rPr>
        <w:t>9</w:t>
      </w:r>
      <w:r w:rsidRPr="002E42F1">
        <w:rPr>
          <w:sz w:val="28"/>
          <w:szCs w:val="28"/>
        </w:rPr>
        <w:t>. ga</w:t>
      </w:r>
      <w:r w:rsidR="00864C8F" w:rsidRPr="002E42F1">
        <w:rPr>
          <w:sz w:val="28"/>
          <w:szCs w:val="28"/>
        </w:rPr>
        <w:t>dā ZPI preču katalogu īpatsvari kopējā apjomā nav mainījušies vairāk par +/-2%, izņemot datortehnikas un Ek</w:t>
      </w:r>
      <w:r w:rsidR="00263A61" w:rsidRPr="002E42F1">
        <w:rPr>
          <w:sz w:val="28"/>
          <w:szCs w:val="28"/>
        </w:rPr>
        <w:t>o datortehnikas grupās, kas abas kopā sastāda 66</w:t>
      </w:r>
      <w:r w:rsidR="00FB3E85" w:rsidRPr="002E42F1">
        <w:rPr>
          <w:sz w:val="28"/>
          <w:szCs w:val="28"/>
        </w:rPr>
        <w:t>,3</w:t>
      </w:r>
      <w:r w:rsidR="00263A61" w:rsidRPr="002E42F1">
        <w:rPr>
          <w:sz w:val="28"/>
          <w:szCs w:val="28"/>
        </w:rPr>
        <w:t>% no visiem EIS ZPI iepirkumiem (2018. gad</w:t>
      </w:r>
      <w:r w:rsidR="00FB3E85" w:rsidRPr="002E42F1">
        <w:rPr>
          <w:sz w:val="28"/>
          <w:szCs w:val="28"/>
        </w:rPr>
        <w:t>ā 61,7</w:t>
      </w:r>
      <w:r w:rsidR="00263A61" w:rsidRPr="002E42F1">
        <w:rPr>
          <w:sz w:val="28"/>
          <w:szCs w:val="28"/>
        </w:rPr>
        <w:t>%) un to kopējais īpatsvara pieaugums ir 4,6% (2018. g. – 9,9 milj.</w:t>
      </w:r>
      <w:r w:rsidR="00864C8F" w:rsidRPr="002E42F1">
        <w:rPr>
          <w:sz w:val="28"/>
          <w:szCs w:val="28"/>
        </w:rPr>
        <w:t xml:space="preserve"> </w:t>
      </w:r>
      <w:r w:rsidR="00263A61" w:rsidRPr="002E42F1">
        <w:rPr>
          <w:sz w:val="28"/>
          <w:szCs w:val="28"/>
        </w:rPr>
        <w:t>EUR; 2019.g. – 12,7 milj. EUR).</w:t>
      </w:r>
    </w:p>
    <w:p w14:paraId="491F7BCE" w14:textId="49E6D878" w:rsidR="00A03643" w:rsidRPr="002E42F1" w:rsidRDefault="00A03643" w:rsidP="006C282B">
      <w:pPr>
        <w:pStyle w:val="NoSpacing"/>
        <w:jc w:val="both"/>
        <w:rPr>
          <w:sz w:val="28"/>
          <w:szCs w:val="28"/>
        </w:rPr>
      </w:pPr>
      <w:r w:rsidRPr="002E42F1">
        <w:rPr>
          <w:sz w:val="28"/>
          <w:szCs w:val="28"/>
        </w:rPr>
        <w:br w:type="page"/>
      </w:r>
    </w:p>
    <w:p w14:paraId="302D9418" w14:textId="658EDE6F" w:rsidR="009B508E" w:rsidRPr="002E42F1" w:rsidRDefault="00910385" w:rsidP="00004C80">
      <w:pPr>
        <w:pStyle w:val="Heading1"/>
        <w:numPr>
          <w:ilvl w:val="0"/>
          <w:numId w:val="44"/>
        </w:numPr>
      </w:pPr>
      <w:bookmarkStart w:id="7" w:name="_Toc37334425"/>
      <w:r w:rsidRPr="002E42F1">
        <w:lastRenderedPageBreak/>
        <w:t>Secinājumi un priekšlikumi turpmākai rīcībai</w:t>
      </w:r>
      <w:bookmarkEnd w:id="7"/>
    </w:p>
    <w:p w14:paraId="726633FE" w14:textId="77777777" w:rsidR="00701021" w:rsidRPr="002E42F1" w:rsidRDefault="00701021" w:rsidP="00701021">
      <w:pPr>
        <w:pStyle w:val="NoSpacing"/>
        <w:jc w:val="both"/>
        <w:rPr>
          <w:sz w:val="28"/>
          <w:szCs w:val="28"/>
        </w:rPr>
      </w:pPr>
    </w:p>
    <w:p w14:paraId="767E9CC0" w14:textId="410F9DBB" w:rsidR="004314ED" w:rsidRPr="002E42F1" w:rsidRDefault="003B21A8" w:rsidP="00FE6BF9">
      <w:pPr>
        <w:pStyle w:val="NoSpacing"/>
        <w:ind w:firstLine="720"/>
        <w:jc w:val="both"/>
        <w:rPr>
          <w:sz w:val="28"/>
          <w:szCs w:val="28"/>
        </w:rPr>
      </w:pPr>
      <w:r w:rsidRPr="002E42F1">
        <w:rPr>
          <w:sz w:val="28"/>
          <w:szCs w:val="28"/>
        </w:rPr>
        <w:t>Izvērtējot 201</w:t>
      </w:r>
      <w:r w:rsidR="00AC3680" w:rsidRPr="002E42F1">
        <w:rPr>
          <w:sz w:val="28"/>
          <w:szCs w:val="28"/>
        </w:rPr>
        <w:t>9</w:t>
      </w:r>
      <w:r w:rsidRPr="002E42F1">
        <w:rPr>
          <w:sz w:val="28"/>
          <w:szCs w:val="28"/>
        </w:rPr>
        <w:t xml:space="preserve">. gada zaļā iepirkuma izpildes rādītājus, var secināt, ka tā īpatsvars finansiālā izteiksmē ir </w:t>
      </w:r>
      <w:r w:rsidR="0061596A" w:rsidRPr="002E42F1">
        <w:rPr>
          <w:sz w:val="28"/>
          <w:szCs w:val="28"/>
        </w:rPr>
        <w:t>nedaudz samazinā</w:t>
      </w:r>
      <w:r w:rsidR="003E6AE5" w:rsidRPr="002E42F1">
        <w:rPr>
          <w:sz w:val="28"/>
          <w:szCs w:val="28"/>
        </w:rPr>
        <w:t>j</w:t>
      </w:r>
      <w:r w:rsidR="0061596A" w:rsidRPr="002E42F1">
        <w:rPr>
          <w:sz w:val="28"/>
          <w:szCs w:val="28"/>
        </w:rPr>
        <w:t>ies no 18,3</w:t>
      </w:r>
      <w:r w:rsidR="007605CB" w:rsidRPr="002E42F1">
        <w:rPr>
          <w:sz w:val="28"/>
          <w:szCs w:val="28"/>
        </w:rPr>
        <w:t>%</w:t>
      </w:r>
      <w:r w:rsidR="001671F0" w:rsidRPr="002E42F1">
        <w:rPr>
          <w:sz w:val="28"/>
          <w:szCs w:val="28"/>
        </w:rPr>
        <w:t xml:space="preserve"> </w:t>
      </w:r>
      <w:r w:rsidR="003E6AE5" w:rsidRPr="002E42F1">
        <w:rPr>
          <w:sz w:val="28"/>
          <w:szCs w:val="28"/>
        </w:rPr>
        <w:t>uz 17</w:t>
      </w:r>
      <w:r w:rsidR="007605CB" w:rsidRPr="002E42F1">
        <w:rPr>
          <w:sz w:val="28"/>
          <w:szCs w:val="28"/>
        </w:rPr>
        <w:t>,</w:t>
      </w:r>
      <w:r w:rsidR="003E6AE5" w:rsidRPr="002E42F1">
        <w:rPr>
          <w:sz w:val="28"/>
          <w:szCs w:val="28"/>
        </w:rPr>
        <w:t>3</w:t>
      </w:r>
      <w:r w:rsidR="007605CB" w:rsidRPr="002E42F1">
        <w:rPr>
          <w:sz w:val="28"/>
          <w:szCs w:val="28"/>
        </w:rPr>
        <w:t>%</w:t>
      </w:r>
      <w:r w:rsidRPr="002E42F1">
        <w:rPr>
          <w:sz w:val="28"/>
          <w:szCs w:val="28"/>
        </w:rPr>
        <w:t xml:space="preserve">. </w:t>
      </w:r>
      <w:r w:rsidR="004314ED" w:rsidRPr="002E42F1">
        <w:rPr>
          <w:sz w:val="28"/>
          <w:szCs w:val="28"/>
        </w:rPr>
        <w:t xml:space="preserve">Būtiskākā ietekme uz izmaiņām bijusi ZPI īpatsvara samazinājumam datortehnikas un IKT, ielu apgaismojuma transporta un mežsaimniecības jomās. </w:t>
      </w:r>
      <w:r w:rsidR="004A0D78" w:rsidRPr="002E42F1">
        <w:rPr>
          <w:sz w:val="28"/>
          <w:szCs w:val="28"/>
        </w:rPr>
        <w:t xml:space="preserve">ZPI īpatsvara līmenis </w:t>
      </w:r>
      <w:r w:rsidR="00FE6BF9" w:rsidRPr="002E42F1">
        <w:rPr>
          <w:sz w:val="28"/>
          <w:szCs w:val="28"/>
        </w:rPr>
        <w:t xml:space="preserve">palielinājies </w:t>
      </w:r>
      <w:r w:rsidR="004A0D78" w:rsidRPr="002E42F1">
        <w:rPr>
          <w:sz w:val="28"/>
          <w:szCs w:val="28"/>
        </w:rPr>
        <w:t xml:space="preserve">pārtikas un ēdināšanas, tīrīšanas līdzekļu un uzkopšanas pakalpojumu, </w:t>
      </w:r>
      <w:r w:rsidR="00FE6BF9" w:rsidRPr="002E42F1">
        <w:rPr>
          <w:sz w:val="28"/>
          <w:szCs w:val="28"/>
        </w:rPr>
        <w:t>būvdarbu jomās. Izmaiņu iemesli skaidroti ziņojuma iepriekšējās daļās.</w:t>
      </w:r>
    </w:p>
    <w:p w14:paraId="54394A49" w14:textId="25ABA899" w:rsidR="00C233CA" w:rsidRPr="002E42F1" w:rsidRDefault="00FE6BF9" w:rsidP="00056337">
      <w:pPr>
        <w:pStyle w:val="NoSpacing"/>
        <w:ind w:firstLine="720"/>
        <w:jc w:val="both"/>
        <w:rPr>
          <w:sz w:val="28"/>
          <w:szCs w:val="28"/>
        </w:rPr>
      </w:pPr>
      <w:r w:rsidRPr="002E42F1">
        <w:rPr>
          <w:sz w:val="28"/>
          <w:szCs w:val="28"/>
        </w:rPr>
        <w:t>MK noteikumu 1. pielikuma – “ZPI obligātajās”</w:t>
      </w:r>
      <w:r w:rsidR="00056337" w:rsidRPr="002E42F1">
        <w:rPr>
          <w:sz w:val="28"/>
          <w:szCs w:val="28"/>
        </w:rPr>
        <w:t xml:space="preserve"> –</w:t>
      </w:r>
      <w:r w:rsidRPr="002E42F1">
        <w:rPr>
          <w:sz w:val="28"/>
          <w:szCs w:val="28"/>
        </w:rPr>
        <w:t xml:space="preserve"> grupās vidējais ZPI īpatsvars 2019. gadā </w:t>
      </w:r>
      <w:r w:rsidR="00056337" w:rsidRPr="002E42F1">
        <w:rPr>
          <w:sz w:val="28"/>
          <w:szCs w:val="28"/>
        </w:rPr>
        <w:t>bija 83,1</w:t>
      </w:r>
      <w:r w:rsidR="00524C01" w:rsidRPr="002E42F1">
        <w:rPr>
          <w:sz w:val="28"/>
          <w:szCs w:val="28"/>
        </w:rPr>
        <w:t>%</w:t>
      </w:r>
      <w:r w:rsidR="00056337" w:rsidRPr="002E42F1">
        <w:rPr>
          <w:sz w:val="28"/>
          <w:szCs w:val="28"/>
        </w:rPr>
        <w:t xml:space="preserve"> (2018. gadā 74,3%). MK noteikumu 2. pielikuma – “ZPI </w:t>
      </w:r>
      <w:r w:rsidR="009B2FFF" w:rsidRPr="002E42F1">
        <w:rPr>
          <w:sz w:val="28"/>
          <w:szCs w:val="28"/>
        </w:rPr>
        <w:t>brīvprātīgi piemērojamās</w:t>
      </w:r>
      <w:r w:rsidR="00056337" w:rsidRPr="002E42F1">
        <w:rPr>
          <w:sz w:val="28"/>
          <w:szCs w:val="28"/>
        </w:rPr>
        <w:t xml:space="preserve">” – grupās vidējais ZPI īpatsvars 2019. gadā bija </w:t>
      </w:r>
      <w:r w:rsidR="00515593" w:rsidRPr="002E42F1">
        <w:rPr>
          <w:sz w:val="28"/>
          <w:szCs w:val="28"/>
        </w:rPr>
        <w:t>22,7</w:t>
      </w:r>
      <w:r w:rsidR="00056337" w:rsidRPr="002E42F1">
        <w:rPr>
          <w:sz w:val="28"/>
          <w:szCs w:val="28"/>
        </w:rPr>
        <w:t xml:space="preserve">% (2018. gadā </w:t>
      </w:r>
      <w:r w:rsidR="00515593" w:rsidRPr="002E42F1">
        <w:rPr>
          <w:sz w:val="28"/>
          <w:szCs w:val="28"/>
        </w:rPr>
        <w:t>22,2</w:t>
      </w:r>
      <w:r w:rsidR="00056337" w:rsidRPr="002E42F1">
        <w:rPr>
          <w:sz w:val="28"/>
          <w:szCs w:val="28"/>
        </w:rPr>
        <w:t>%).</w:t>
      </w:r>
      <w:r w:rsidR="006824F2" w:rsidRPr="002E42F1">
        <w:rPr>
          <w:sz w:val="28"/>
          <w:szCs w:val="28"/>
        </w:rPr>
        <w:t xml:space="preserve"> </w:t>
      </w:r>
    </w:p>
    <w:p w14:paraId="051CBC41" w14:textId="30302256" w:rsidR="00FB4FCE" w:rsidRPr="002E42F1" w:rsidRDefault="00FB4FCE" w:rsidP="00FB4FCE">
      <w:pPr>
        <w:pStyle w:val="NoSpacing"/>
        <w:ind w:firstLine="720"/>
        <w:jc w:val="both"/>
        <w:rPr>
          <w:sz w:val="28"/>
          <w:szCs w:val="28"/>
        </w:rPr>
      </w:pPr>
      <w:r w:rsidRPr="002E42F1">
        <w:rPr>
          <w:sz w:val="28"/>
          <w:szCs w:val="28"/>
        </w:rPr>
        <w:t>Ilustrācijai 1</w:t>
      </w:r>
      <w:r w:rsidR="004675E7" w:rsidRPr="002E42F1">
        <w:rPr>
          <w:sz w:val="28"/>
          <w:szCs w:val="28"/>
        </w:rPr>
        <w:t>4</w:t>
      </w:r>
      <w:r w:rsidRPr="002E42F1">
        <w:rPr>
          <w:sz w:val="28"/>
          <w:szCs w:val="28"/>
        </w:rPr>
        <w:t xml:space="preserve">. attēlā ir parādītas ZPI īpatsvara pieauguma tendences tajās preču un pakalpojumu grupās, kurās ar MK noteikumiem ZPI ir noteikts obligāti. </w:t>
      </w:r>
    </w:p>
    <w:p w14:paraId="3A6ECD20" w14:textId="77777777" w:rsidR="00FB4FCE" w:rsidRPr="002E42F1" w:rsidRDefault="00FB4FCE" w:rsidP="00FB4FCE">
      <w:pPr>
        <w:pStyle w:val="NoSpacing"/>
        <w:jc w:val="both"/>
        <w:rPr>
          <w:sz w:val="28"/>
          <w:szCs w:val="28"/>
        </w:rPr>
      </w:pPr>
    </w:p>
    <w:p w14:paraId="47C0115A" w14:textId="6A63934A" w:rsidR="00FB4FCE" w:rsidRPr="002E42F1" w:rsidRDefault="00FB4FCE" w:rsidP="00FB4FCE">
      <w:pPr>
        <w:pStyle w:val="NoSpacing"/>
        <w:jc w:val="right"/>
        <w:rPr>
          <w:sz w:val="28"/>
          <w:szCs w:val="28"/>
        </w:rPr>
      </w:pPr>
      <w:r w:rsidRPr="002E42F1">
        <w:rPr>
          <w:sz w:val="28"/>
          <w:szCs w:val="28"/>
        </w:rPr>
        <w:t>1</w:t>
      </w:r>
      <w:r w:rsidR="0057580F" w:rsidRPr="002E42F1">
        <w:rPr>
          <w:sz w:val="28"/>
          <w:szCs w:val="28"/>
        </w:rPr>
        <w:t>4</w:t>
      </w:r>
      <w:r w:rsidRPr="002E42F1">
        <w:rPr>
          <w:sz w:val="28"/>
          <w:szCs w:val="28"/>
        </w:rPr>
        <w:t xml:space="preserve">. attēls </w:t>
      </w:r>
    </w:p>
    <w:p w14:paraId="2E668389" w14:textId="77777777" w:rsidR="00FB4FCE" w:rsidRPr="002E42F1" w:rsidRDefault="00FB4FCE" w:rsidP="00FB4FCE">
      <w:pPr>
        <w:pStyle w:val="NoSpacing"/>
        <w:jc w:val="center"/>
        <w:rPr>
          <w:sz w:val="28"/>
          <w:szCs w:val="28"/>
        </w:rPr>
      </w:pPr>
      <w:r w:rsidRPr="002E42F1">
        <w:rPr>
          <w:sz w:val="28"/>
          <w:szCs w:val="28"/>
        </w:rPr>
        <w:t xml:space="preserve">ZPI īpatsvars MK noteikumu grupās, kur ZPI piemērojams </w:t>
      </w:r>
      <w:r w:rsidRPr="002E42F1">
        <w:rPr>
          <w:sz w:val="28"/>
          <w:szCs w:val="28"/>
          <w:u w:val="single"/>
        </w:rPr>
        <w:t>obligāti</w:t>
      </w:r>
      <w:r w:rsidRPr="002E42F1">
        <w:rPr>
          <w:sz w:val="28"/>
          <w:szCs w:val="28"/>
        </w:rPr>
        <w:t xml:space="preserve"> </w:t>
      </w:r>
    </w:p>
    <w:p w14:paraId="5693E93C" w14:textId="77777777" w:rsidR="00FB4FCE" w:rsidRPr="002E42F1" w:rsidRDefault="00FB4FCE" w:rsidP="00FB4FCE">
      <w:pPr>
        <w:pStyle w:val="NoSpacing"/>
        <w:jc w:val="center"/>
        <w:rPr>
          <w:sz w:val="28"/>
          <w:szCs w:val="28"/>
        </w:rPr>
      </w:pPr>
      <w:r w:rsidRPr="002E42F1">
        <w:rPr>
          <w:sz w:val="28"/>
          <w:szCs w:val="28"/>
        </w:rPr>
        <w:t xml:space="preserve">(MK noteikumi 1. pielikums) 2015. – 2019. gadā </w:t>
      </w:r>
    </w:p>
    <w:p w14:paraId="2DD0F071" w14:textId="58949138" w:rsidR="00FB4FCE" w:rsidRPr="002E42F1" w:rsidRDefault="00FB4FCE" w:rsidP="00FB4FCE">
      <w:pPr>
        <w:pStyle w:val="NoSpacing"/>
        <w:jc w:val="center"/>
        <w:rPr>
          <w:sz w:val="28"/>
          <w:szCs w:val="28"/>
        </w:rPr>
      </w:pPr>
      <w:r w:rsidRPr="002E42F1">
        <w:rPr>
          <w:sz w:val="28"/>
          <w:szCs w:val="28"/>
        </w:rPr>
        <w:t>(pēc līgumcenas)</w:t>
      </w:r>
    </w:p>
    <w:p w14:paraId="43A4F871" w14:textId="77777777" w:rsidR="00FB4FCE" w:rsidRPr="002E42F1" w:rsidRDefault="00FB4FCE" w:rsidP="00FB4FCE">
      <w:pPr>
        <w:pStyle w:val="NoSpacing"/>
        <w:jc w:val="both"/>
        <w:rPr>
          <w:sz w:val="28"/>
          <w:szCs w:val="28"/>
        </w:rPr>
      </w:pPr>
    </w:p>
    <w:p w14:paraId="2ADBD547" w14:textId="1FC06987" w:rsidR="00FB4FCE" w:rsidRPr="002E42F1" w:rsidRDefault="00FB4FCE" w:rsidP="00FB4FCE">
      <w:pPr>
        <w:pStyle w:val="NoSpacing"/>
        <w:jc w:val="center"/>
        <w:rPr>
          <w:sz w:val="28"/>
          <w:szCs w:val="28"/>
        </w:rPr>
      </w:pPr>
      <w:r w:rsidRPr="002E42F1">
        <w:rPr>
          <w:noProof/>
        </w:rPr>
        <w:drawing>
          <wp:inline distT="0" distB="0" distL="0" distR="0" wp14:anchorId="4AFA56D6" wp14:editId="1A67D6DB">
            <wp:extent cx="4576762" cy="2667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BB3D30" w14:textId="77777777" w:rsidR="00FB4FCE" w:rsidRPr="002E42F1" w:rsidRDefault="00FB4FCE" w:rsidP="00FB4FCE">
      <w:pPr>
        <w:pStyle w:val="NoSpacing"/>
        <w:jc w:val="both"/>
        <w:rPr>
          <w:sz w:val="28"/>
          <w:szCs w:val="28"/>
        </w:rPr>
      </w:pPr>
      <w:r w:rsidRPr="002E42F1">
        <w:rPr>
          <w:sz w:val="28"/>
          <w:szCs w:val="28"/>
        </w:rPr>
        <w:t>Avots: IUB dati</w:t>
      </w:r>
    </w:p>
    <w:p w14:paraId="4E91D08B" w14:textId="77777777" w:rsidR="00FB4FCE" w:rsidRPr="002E42F1" w:rsidRDefault="00FB4FCE" w:rsidP="00FB4FCE">
      <w:pPr>
        <w:pStyle w:val="NoSpacing"/>
        <w:jc w:val="center"/>
        <w:rPr>
          <w:sz w:val="28"/>
          <w:szCs w:val="28"/>
        </w:rPr>
      </w:pPr>
    </w:p>
    <w:p w14:paraId="108BCB66" w14:textId="5EC8745E" w:rsidR="00FE6BF9" w:rsidRPr="002E42F1" w:rsidRDefault="00FB4FCE" w:rsidP="00FB4FCE">
      <w:pPr>
        <w:pStyle w:val="NoSpacing"/>
        <w:ind w:firstLine="720"/>
        <w:jc w:val="both"/>
        <w:rPr>
          <w:sz w:val="28"/>
          <w:szCs w:val="28"/>
        </w:rPr>
      </w:pPr>
      <w:r w:rsidRPr="002E42F1">
        <w:rPr>
          <w:sz w:val="28"/>
          <w:szCs w:val="28"/>
        </w:rPr>
        <w:t>Analizējot datus</w:t>
      </w:r>
      <w:r w:rsidR="006824F2" w:rsidRPr="002E42F1">
        <w:rPr>
          <w:sz w:val="28"/>
          <w:szCs w:val="28"/>
        </w:rPr>
        <w:t xml:space="preserve"> var izdarīt 2 secinājumus:</w:t>
      </w:r>
    </w:p>
    <w:p w14:paraId="58EB3279" w14:textId="0E64F08D" w:rsidR="00681FF4" w:rsidRPr="002E42F1" w:rsidRDefault="006824F2" w:rsidP="006824F2">
      <w:pPr>
        <w:pStyle w:val="NoSpacing"/>
        <w:numPr>
          <w:ilvl w:val="0"/>
          <w:numId w:val="42"/>
        </w:numPr>
        <w:jc w:val="both"/>
        <w:rPr>
          <w:sz w:val="28"/>
          <w:szCs w:val="28"/>
        </w:rPr>
      </w:pPr>
      <w:r w:rsidRPr="002E42F1">
        <w:rPr>
          <w:sz w:val="28"/>
          <w:szCs w:val="28"/>
        </w:rPr>
        <w:t xml:space="preserve">Lai gan teorētiski </w:t>
      </w:r>
      <w:r w:rsidRPr="002E42F1">
        <w:rPr>
          <w:sz w:val="28"/>
          <w:szCs w:val="28"/>
          <w:u w:val="single"/>
        </w:rPr>
        <w:t>obligāti</w:t>
      </w:r>
      <w:r w:rsidRPr="002E42F1">
        <w:rPr>
          <w:sz w:val="28"/>
          <w:szCs w:val="28"/>
        </w:rPr>
        <w:t xml:space="preserve"> piemērojamas prasības būtu jāpiemēro 100% gad</w:t>
      </w:r>
      <w:r w:rsidR="00945797" w:rsidRPr="002E42F1">
        <w:rPr>
          <w:sz w:val="28"/>
          <w:szCs w:val="28"/>
        </w:rPr>
        <w:t xml:space="preserve">ījumu, tās tomēr vienmēr netiek ievērotas. Iespējamais iemesls, lai gan MK noteikumi nosaka prasības par obligātām, tajos nav noteikts tiešs kontroles mehānisms un atbildība par regulējuma neievērošanu. </w:t>
      </w:r>
    </w:p>
    <w:p w14:paraId="0794FA31" w14:textId="28920A6B" w:rsidR="006824F2" w:rsidRPr="002E42F1" w:rsidRDefault="00681FF4" w:rsidP="006824F2">
      <w:pPr>
        <w:pStyle w:val="NoSpacing"/>
        <w:numPr>
          <w:ilvl w:val="0"/>
          <w:numId w:val="42"/>
        </w:numPr>
        <w:jc w:val="both"/>
        <w:rPr>
          <w:sz w:val="28"/>
          <w:szCs w:val="28"/>
        </w:rPr>
      </w:pPr>
      <w:r w:rsidRPr="002E42F1">
        <w:rPr>
          <w:sz w:val="28"/>
          <w:szCs w:val="28"/>
        </w:rPr>
        <w:t xml:space="preserve">ZPI </w:t>
      </w:r>
      <w:r w:rsidR="009B2FFF" w:rsidRPr="002E42F1">
        <w:rPr>
          <w:sz w:val="28"/>
          <w:szCs w:val="28"/>
        </w:rPr>
        <w:t xml:space="preserve">brīvprātīgi piemērojamās </w:t>
      </w:r>
      <w:r w:rsidRPr="002E42F1">
        <w:rPr>
          <w:sz w:val="28"/>
          <w:szCs w:val="28"/>
        </w:rPr>
        <w:t xml:space="preserve">grupās vides prasību piemērošana ir kūtra, nereti to nosaka ārējās vides apstākļi, nevis pasūtītāja tieša vēlme rīkoties “zaļi”. Piemēram, apgaismojuma jomā energoefektīvākās LED </w:t>
      </w:r>
      <w:r w:rsidRPr="002E42F1">
        <w:rPr>
          <w:sz w:val="28"/>
          <w:szCs w:val="28"/>
        </w:rPr>
        <w:lastRenderedPageBreak/>
        <w:t xml:space="preserve">tehnoloģijas šobrīd jau ir dominējošā </w:t>
      </w:r>
      <w:r w:rsidR="00807730" w:rsidRPr="002E42F1">
        <w:rPr>
          <w:sz w:val="28"/>
          <w:szCs w:val="28"/>
        </w:rPr>
        <w:t xml:space="preserve">tehnoloģija tirgū; jauni automobiļi jau tiek ražoti ar augstas efektivitātes un zema izmešu apjoma dzinējiem. Atsevišķos gadījumos, piemēram mežrūpniecībā, </w:t>
      </w:r>
      <w:r w:rsidR="00880B2C" w:rsidRPr="002E42F1">
        <w:rPr>
          <w:sz w:val="28"/>
          <w:szCs w:val="28"/>
        </w:rPr>
        <w:t>“zaļā” komponente ir konkurētspējas elements, jo “zaļā” sertifikāta esamība būtiski palielina produkta konkurētspēju. Šajos gadījumos valsts un pašvaldību uzņēmumi ZPI izmanto</w:t>
      </w:r>
      <w:r w:rsidR="006E6D57" w:rsidRPr="002E42F1">
        <w:rPr>
          <w:sz w:val="28"/>
          <w:szCs w:val="28"/>
        </w:rPr>
        <w:t xml:space="preserve"> pamatojoties uz</w:t>
      </w:r>
      <w:r w:rsidR="00880B2C" w:rsidRPr="002E42F1">
        <w:rPr>
          <w:sz w:val="28"/>
          <w:szCs w:val="28"/>
        </w:rPr>
        <w:t xml:space="preserve"> biznesa </w:t>
      </w:r>
      <w:r w:rsidR="006E6D57" w:rsidRPr="002E42F1">
        <w:rPr>
          <w:sz w:val="28"/>
          <w:szCs w:val="28"/>
        </w:rPr>
        <w:t>apsvērumiem,</w:t>
      </w:r>
      <w:r w:rsidR="00880B2C" w:rsidRPr="002E42F1">
        <w:rPr>
          <w:sz w:val="28"/>
          <w:szCs w:val="28"/>
        </w:rPr>
        <w:t xml:space="preserve">  neatkarīgi no MK noteikumu prasīb</w:t>
      </w:r>
      <w:r w:rsidR="004B418A" w:rsidRPr="002E42F1">
        <w:rPr>
          <w:sz w:val="28"/>
          <w:szCs w:val="28"/>
        </w:rPr>
        <w:t>ām</w:t>
      </w:r>
      <w:r w:rsidR="00880B2C" w:rsidRPr="002E42F1">
        <w:rPr>
          <w:sz w:val="28"/>
          <w:szCs w:val="28"/>
        </w:rPr>
        <w:t>.</w:t>
      </w:r>
    </w:p>
    <w:p w14:paraId="71E8B0F5" w14:textId="4CB6EC63" w:rsidR="00FE6BF9" w:rsidRPr="002E42F1" w:rsidRDefault="00FE6BF9" w:rsidP="00701021">
      <w:pPr>
        <w:pStyle w:val="NoSpacing"/>
        <w:ind w:firstLine="720"/>
        <w:jc w:val="both"/>
        <w:rPr>
          <w:sz w:val="28"/>
          <w:szCs w:val="28"/>
        </w:rPr>
      </w:pPr>
    </w:p>
    <w:p w14:paraId="20976E47" w14:textId="1EE6E52E" w:rsidR="00590D0D" w:rsidRPr="002E42F1" w:rsidRDefault="00590D0D" w:rsidP="00701021">
      <w:pPr>
        <w:pStyle w:val="NoSpacing"/>
        <w:ind w:firstLine="720"/>
        <w:jc w:val="both"/>
        <w:rPr>
          <w:sz w:val="28"/>
          <w:szCs w:val="28"/>
        </w:rPr>
      </w:pPr>
      <w:r w:rsidRPr="002E42F1">
        <w:rPr>
          <w:sz w:val="28"/>
          <w:szCs w:val="28"/>
        </w:rPr>
        <w:t>Gatavojot ziņojumu, nostiprinājusies pārliecība, ka “Zaļā iepirkuma veicināšanas plānā 2015. – 2017. gadam” nospraustais mērķis – ZPI īpatsvars kopējā publisko iepirkumu apjomā ir vismaz 30%</w:t>
      </w:r>
      <w:r w:rsidR="004B418A" w:rsidRPr="002E42F1">
        <w:rPr>
          <w:sz w:val="28"/>
          <w:szCs w:val="28"/>
        </w:rPr>
        <w:t xml:space="preserve"> –</w:t>
      </w:r>
      <w:r w:rsidRPr="002E42F1">
        <w:rPr>
          <w:sz w:val="28"/>
          <w:szCs w:val="28"/>
        </w:rPr>
        <w:t xml:space="preserve"> ir bijis pārlieku vispārīgs. Uzmanība būtu jāvērš uz MK noteikumu </w:t>
      </w:r>
      <w:r w:rsidR="001F2F15" w:rsidRPr="002E42F1">
        <w:rPr>
          <w:sz w:val="28"/>
          <w:szCs w:val="28"/>
        </w:rPr>
        <w:t>“obligātajām” grupām, nodrošinot tajās ZPI īpatsvara tuvināšanos 100%, vienlaikus nosakot kritisko, zemāko robežu, piemēram 80%.</w:t>
      </w:r>
    </w:p>
    <w:p w14:paraId="66D24428" w14:textId="2354E501" w:rsidR="001F2F15" w:rsidRPr="002E42F1" w:rsidRDefault="001F2F15" w:rsidP="00701021">
      <w:pPr>
        <w:pStyle w:val="NoSpacing"/>
        <w:ind w:firstLine="720"/>
        <w:jc w:val="both"/>
        <w:rPr>
          <w:sz w:val="28"/>
          <w:szCs w:val="28"/>
        </w:rPr>
      </w:pPr>
      <w:r w:rsidRPr="002E42F1">
        <w:rPr>
          <w:sz w:val="28"/>
          <w:szCs w:val="28"/>
        </w:rPr>
        <w:t xml:space="preserve">MK noteikumu </w:t>
      </w:r>
      <w:r w:rsidR="009B2FFF" w:rsidRPr="002E42F1">
        <w:rPr>
          <w:sz w:val="28"/>
          <w:szCs w:val="28"/>
        </w:rPr>
        <w:t>brīvprātīgi piemērojamās</w:t>
      </w:r>
      <w:r w:rsidRPr="002E42F1">
        <w:rPr>
          <w:sz w:val="28"/>
          <w:szCs w:val="28"/>
        </w:rPr>
        <w:t xml:space="preserve"> grupās ZPI īpatsvara apmērs nav primārs mērķis, lai gan ir noderīgs blakus rādītājs. Šajās grupās ieteicams veikt </w:t>
      </w:r>
      <w:r w:rsidR="002332FD" w:rsidRPr="002E42F1">
        <w:rPr>
          <w:sz w:val="28"/>
          <w:szCs w:val="28"/>
        </w:rPr>
        <w:t xml:space="preserve">ZPI prasību aprobāciju, ar mērķi šīs grupas turpmāk iekļaut obligātajās grupās. </w:t>
      </w:r>
      <w:r w:rsidR="00E96977" w:rsidRPr="002E42F1">
        <w:rPr>
          <w:sz w:val="28"/>
          <w:szCs w:val="28"/>
        </w:rPr>
        <w:t xml:space="preserve">Šāds pārejas mehānisms dotu iespēju tirgum savlaicīgi sagatavoties gaidāmajām pārmaiņām, bet pasūtītājiem </w:t>
      </w:r>
      <w:r w:rsidR="00B673F2" w:rsidRPr="002E42F1">
        <w:rPr>
          <w:sz w:val="28"/>
          <w:szCs w:val="28"/>
        </w:rPr>
        <w:t>iemācīties lietot jaunās prasības.</w:t>
      </w:r>
    </w:p>
    <w:p w14:paraId="2593DF4E" w14:textId="2214752C" w:rsidR="002332FD" w:rsidRPr="002E42F1" w:rsidRDefault="00B673F2" w:rsidP="00701021">
      <w:pPr>
        <w:pStyle w:val="NoSpacing"/>
        <w:ind w:firstLine="720"/>
        <w:jc w:val="both"/>
        <w:rPr>
          <w:sz w:val="28"/>
          <w:szCs w:val="28"/>
        </w:rPr>
      </w:pPr>
      <w:r w:rsidRPr="002E42F1">
        <w:rPr>
          <w:sz w:val="28"/>
          <w:szCs w:val="28"/>
        </w:rPr>
        <w:t>Lai gan ziņojuma izklāsts parāda, ka ZPI īpatsvars</w:t>
      </w:r>
      <w:r w:rsidR="002332FD" w:rsidRPr="002E42F1">
        <w:rPr>
          <w:sz w:val="28"/>
          <w:szCs w:val="28"/>
        </w:rPr>
        <w:t xml:space="preserve"> kopējā iepirkumu apjomā</w:t>
      </w:r>
      <w:r w:rsidRPr="002E42F1">
        <w:rPr>
          <w:sz w:val="28"/>
          <w:szCs w:val="28"/>
        </w:rPr>
        <w:t xml:space="preserve"> ir nepastāvīgs un to </w:t>
      </w:r>
      <w:r w:rsidR="00EE08A1" w:rsidRPr="002E42F1">
        <w:rPr>
          <w:sz w:val="28"/>
          <w:szCs w:val="28"/>
        </w:rPr>
        <w:t>bieži ietekmē gadījuma rakstura apstākļi</w:t>
      </w:r>
      <w:r w:rsidR="002332FD" w:rsidRPr="002E42F1">
        <w:rPr>
          <w:sz w:val="28"/>
          <w:szCs w:val="28"/>
        </w:rPr>
        <w:t xml:space="preserve">, tieši šis rādītājs tiek lietots </w:t>
      </w:r>
      <w:r w:rsidR="007B4DC6" w:rsidRPr="002E42F1">
        <w:rPr>
          <w:sz w:val="28"/>
          <w:szCs w:val="28"/>
        </w:rPr>
        <w:t xml:space="preserve">vispārējos starpvalstu salīdzinājumos. </w:t>
      </w:r>
      <w:r w:rsidR="00EE08A1" w:rsidRPr="002E42F1">
        <w:rPr>
          <w:sz w:val="28"/>
          <w:szCs w:val="28"/>
        </w:rPr>
        <w:t xml:space="preserve">ZPI īpatsvars kopējā </w:t>
      </w:r>
      <w:r w:rsidR="00145323" w:rsidRPr="002E42F1">
        <w:rPr>
          <w:sz w:val="28"/>
          <w:szCs w:val="28"/>
        </w:rPr>
        <w:t>iepirkumu apjomā ir primārs</w:t>
      </w:r>
      <w:r w:rsidR="00AA4C95" w:rsidRPr="002E42F1">
        <w:rPr>
          <w:sz w:val="28"/>
          <w:szCs w:val="28"/>
        </w:rPr>
        <w:t>,</w:t>
      </w:r>
      <w:r w:rsidR="00145323" w:rsidRPr="002E42F1">
        <w:rPr>
          <w:sz w:val="28"/>
          <w:szCs w:val="28"/>
        </w:rPr>
        <w:t xml:space="preserve"> reprezentatīvs rādītājs, kam jāpievērš adekvāta uzmanība.</w:t>
      </w:r>
      <w:r w:rsidR="00F61803" w:rsidRPr="002E42F1">
        <w:rPr>
          <w:sz w:val="28"/>
          <w:szCs w:val="28"/>
        </w:rPr>
        <w:t xml:space="preserve"> </w:t>
      </w:r>
      <w:r w:rsidR="00951A45" w:rsidRPr="002E42F1">
        <w:rPr>
          <w:sz w:val="28"/>
          <w:szCs w:val="28"/>
        </w:rPr>
        <w:t xml:space="preserve">Kopējā </w:t>
      </w:r>
      <w:r w:rsidR="005E3020" w:rsidRPr="002E42F1">
        <w:rPr>
          <w:sz w:val="28"/>
          <w:szCs w:val="28"/>
        </w:rPr>
        <w:t xml:space="preserve">ZPI īpatsvara dinamika pēc iepirkumu procedūru skaita un pēc līgumcenas atainota 15. tabulā, kur salīdzinājumam pievienoti arī dati par </w:t>
      </w:r>
      <w:r w:rsidR="00616AD9" w:rsidRPr="002E42F1">
        <w:rPr>
          <w:sz w:val="28"/>
          <w:szCs w:val="28"/>
        </w:rPr>
        <w:t>ZPI īpatsvaru MK noteikumu ietvarā, obligātajās grupās, brīvprātīgi piemērojamās grupās.</w:t>
      </w:r>
    </w:p>
    <w:p w14:paraId="79954742" w14:textId="3DB6A3FA" w:rsidR="00D4527E" w:rsidRPr="002E42F1" w:rsidRDefault="00B328B9" w:rsidP="00D4527E">
      <w:pPr>
        <w:pStyle w:val="NoSpacing"/>
        <w:jc w:val="right"/>
        <w:rPr>
          <w:sz w:val="28"/>
          <w:szCs w:val="28"/>
        </w:rPr>
      </w:pPr>
      <w:r w:rsidRPr="002E42F1">
        <w:rPr>
          <w:sz w:val="28"/>
          <w:szCs w:val="28"/>
        </w:rPr>
        <w:t>15</w:t>
      </w:r>
      <w:r w:rsidR="00D4527E" w:rsidRPr="002E42F1">
        <w:rPr>
          <w:sz w:val="28"/>
          <w:szCs w:val="28"/>
        </w:rPr>
        <w:t>. tabula</w:t>
      </w:r>
    </w:p>
    <w:p w14:paraId="4222F8A3" w14:textId="71D200A8" w:rsidR="00D4527E" w:rsidRPr="002E42F1" w:rsidRDefault="00D4527E" w:rsidP="00D4527E">
      <w:pPr>
        <w:pStyle w:val="NoSpacing"/>
        <w:jc w:val="center"/>
        <w:rPr>
          <w:sz w:val="28"/>
          <w:szCs w:val="28"/>
        </w:rPr>
      </w:pPr>
      <w:r w:rsidRPr="002E42F1">
        <w:rPr>
          <w:sz w:val="28"/>
          <w:szCs w:val="28"/>
        </w:rPr>
        <w:t>ZPI</w:t>
      </w:r>
      <w:r w:rsidR="00B565B2" w:rsidRPr="002E42F1">
        <w:rPr>
          <w:sz w:val="28"/>
          <w:szCs w:val="28"/>
        </w:rPr>
        <w:t xml:space="preserve"> </w:t>
      </w:r>
      <w:r w:rsidR="00592953" w:rsidRPr="002E42F1">
        <w:rPr>
          <w:sz w:val="28"/>
          <w:szCs w:val="28"/>
        </w:rPr>
        <w:t>īpatsvara dinamika</w:t>
      </w:r>
      <w:r w:rsidR="00F61803" w:rsidRPr="002E42F1">
        <w:rPr>
          <w:sz w:val="28"/>
          <w:szCs w:val="28"/>
        </w:rPr>
        <w:t xml:space="preserve"> </w:t>
      </w:r>
      <w:r w:rsidRPr="002E42F1">
        <w:rPr>
          <w:sz w:val="28"/>
          <w:szCs w:val="28"/>
        </w:rPr>
        <w:t>2015.</w:t>
      </w:r>
      <w:r w:rsidR="00C16966" w:rsidRPr="002E42F1">
        <w:rPr>
          <w:sz w:val="28"/>
          <w:szCs w:val="28"/>
        </w:rPr>
        <w:t xml:space="preserve"> – </w:t>
      </w:r>
      <w:r w:rsidRPr="002E42F1">
        <w:rPr>
          <w:sz w:val="28"/>
          <w:szCs w:val="28"/>
        </w:rPr>
        <w:t>2019.</w:t>
      </w:r>
      <w:r w:rsidR="006E7CEA" w:rsidRPr="002E42F1">
        <w:rPr>
          <w:sz w:val="28"/>
          <w:szCs w:val="28"/>
        </w:rPr>
        <w:t xml:space="preserve"> </w:t>
      </w:r>
      <w:r w:rsidRPr="002E42F1">
        <w:rPr>
          <w:sz w:val="28"/>
          <w:szCs w:val="28"/>
        </w:rPr>
        <w:t>gad</w:t>
      </w:r>
      <w:r w:rsidR="00C16966" w:rsidRPr="002E42F1">
        <w:rPr>
          <w:sz w:val="28"/>
          <w:szCs w:val="28"/>
        </w:rPr>
        <w:t>ā</w:t>
      </w:r>
    </w:p>
    <w:p w14:paraId="28FEF5C0" w14:textId="19D6DA71" w:rsidR="00D4527E" w:rsidRPr="002E42F1" w:rsidRDefault="00D4527E" w:rsidP="006C282B">
      <w:pPr>
        <w:pStyle w:val="NoSpacing"/>
        <w:jc w:val="both"/>
        <w:rPr>
          <w:sz w:val="28"/>
          <w:szCs w:val="28"/>
        </w:rPr>
      </w:pPr>
    </w:p>
    <w:tbl>
      <w:tblPr>
        <w:tblW w:w="9072" w:type="dxa"/>
        <w:tblLayout w:type="fixed"/>
        <w:tblLook w:val="04A0" w:firstRow="1" w:lastRow="0" w:firstColumn="1" w:lastColumn="0" w:noHBand="0" w:noVBand="1"/>
      </w:tblPr>
      <w:tblGrid>
        <w:gridCol w:w="4253"/>
        <w:gridCol w:w="963"/>
        <w:gridCol w:w="964"/>
        <w:gridCol w:w="964"/>
        <w:gridCol w:w="964"/>
        <w:gridCol w:w="964"/>
      </w:tblGrid>
      <w:tr w:rsidR="002E42F1" w:rsidRPr="002E42F1" w14:paraId="3077885E" w14:textId="77777777" w:rsidTr="009B2FFF">
        <w:tc>
          <w:tcPr>
            <w:tcW w:w="4253" w:type="dxa"/>
            <w:tcBorders>
              <w:top w:val="nil"/>
              <w:left w:val="nil"/>
              <w:bottom w:val="nil"/>
              <w:right w:val="nil"/>
            </w:tcBorders>
            <w:shd w:val="clear" w:color="auto" w:fill="auto"/>
            <w:noWrap/>
            <w:vAlign w:val="bottom"/>
            <w:hideMark/>
          </w:tcPr>
          <w:p w14:paraId="69F3C883" w14:textId="77777777" w:rsidR="003A4650" w:rsidRPr="002E42F1" w:rsidRDefault="003A4650" w:rsidP="003A4650">
            <w:pPr>
              <w:spacing w:after="0" w:line="240" w:lineRule="auto"/>
            </w:pPr>
          </w:p>
        </w:tc>
        <w:tc>
          <w:tcPr>
            <w:tcW w:w="48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04658" w14:textId="77777777" w:rsidR="003A4650" w:rsidRPr="002E42F1" w:rsidRDefault="003A4650" w:rsidP="003A4650">
            <w:pPr>
              <w:spacing w:after="0" w:line="240" w:lineRule="auto"/>
              <w:jc w:val="center"/>
            </w:pPr>
            <w:r w:rsidRPr="002E42F1">
              <w:t>Gads / īpatsvars (%)</w:t>
            </w:r>
          </w:p>
        </w:tc>
      </w:tr>
      <w:tr w:rsidR="002E42F1" w:rsidRPr="002E42F1" w14:paraId="19FFD922" w14:textId="77777777" w:rsidTr="009B2FFF">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554A" w14:textId="77777777" w:rsidR="003A4650" w:rsidRPr="002E42F1" w:rsidRDefault="003A4650" w:rsidP="003A4650">
            <w:pPr>
              <w:spacing w:after="0" w:line="240" w:lineRule="auto"/>
              <w:jc w:val="center"/>
              <w:rPr>
                <w:b/>
              </w:rPr>
            </w:pPr>
            <w:r w:rsidRPr="002E42F1">
              <w:rPr>
                <w:b/>
              </w:rPr>
              <w:t>Pēc iepirkumu procedūru skaita</w:t>
            </w:r>
          </w:p>
        </w:tc>
        <w:tc>
          <w:tcPr>
            <w:tcW w:w="963" w:type="dxa"/>
            <w:tcBorders>
              <w:top w:val="nil"/>
              <w:left w:val="nil"/>
              <w:bottom w:val="single" w:sz="4" w:space="0" w:color="auto"/>
              <w:right w:val="single" w:sz="4" w:space="0" w:color="auto"/>
            </w:tcBorders>
            <w:shd w:val="clear" w:color="auto" w:fill="auto"/>
            <w:noWrap/>
            <w:vAlign w:val="bottom"/>
            <w:hideMark/>
          </w:tcPr>
          <w:p w14:paraId="384FDB3D" w14:textId="77777777" w:rsidR="003A4650" w:rsidRPr="002E42F1" w:rsidRDefault="003A4650" w:rsidP="003A4650">
            <w:pPr>
              <w:spacing w:after="0" w:line="240" w:lineRule="auto"/>
              <w:jc w:val="center"/>
              <w:rPr>
                <w:b/>
              </w:rPr>
            </w:pPr>
            <w:r w:rsidRPr="002E42F1">
              <w:rPr>
                <w:b/>
              </w:rPr>
              <w:t>2015</w:t>
            </w:r>
          </w:p>
        </w:tc>
        <w:tc>
          <w:tcPr>
            <w:tcW w:w="964" w:type="dxa"/>
            <w:tcBorders>
              <w:top w:val="nil"/>
              <w:left w:val="nil"/>
              <w:bottom w:val="single" w:sz="4" w:space="0" w:color="auto"/>
              <w:right w:val="single" w:sz="4" w:space="0" w:color="auto"/>
            </w:tcBorders>
            <w:shd w:val="clear" w:color="auto" w:fill="auto"/>
            <w:noWrap/>
            <w:vAlign w:val="bottom"/>
            <w:hideMark/>
          </w:tcPr>
          <w:p w14:paraId="6A9A879A" w14:textId="77777777" w:rsidR="003A4650" w:rsidRPr="002E42F1" w:rsidRDefault="003A4650" w:rsidP="003A4650">
            <w:pPr>
              <w:spacing w:after="0" w:line="240" w:lineRule="auto"/>
              <w:jc w:val="center"/>
              <w:rPr>
                <w:b/>
              </w:rPr>
            </w:pPr>
            <w:r w:rsidRPr="002E42F1">
              <w:rPr>
                <w:b/>
              </w:rPr>
              <w:t>2016</w:t>
            </w:r>
          </w:p>
        </w:tc>
        <w:tc>
          <w:tcPr>
            <w:tcW w:w="964" w:type="dxa"/>
            <w:tcBorders>
              <w:top w:val="nil"/>
              <w:left w:val="nil"/>
              <w:bottom w:val="single" w:sz="4" w:space="0" w:color="auto"/>
              <w:right w:val="single" w:sz="4" w:space="0" w:color="auto"/>
            </w:tcBorders>
            <w:shd w:val="clear" w:color="auto" w:fill="auto"/>
            <w:noWrap/>
            <w:vAlign w:val="bottom"/>
            <w:hideMark/>
          </w:tcPr>
          <w:p w14:paraId="455113FC" w14:textId="77777777" w:rsidR="003A4650" w:rsidRPr="002E42F1" w:rsidRDefault="003A4650" w:rsidP="003A4650">
            <w:pPr>
              <w:spacing w:after="0" w:line="240" w:lineRule="auto"/>
              <w:jc w:val="center"/>
              <w:rPr>
                <w:b/>
              </w:rPr>
            </w:pPr>
            <w:r w:rsidRPr="002E42F1">
              <w:rPr>
                <w:b/>
              </w:rPr>
              <w:t>2017</w:t>
            </w:r>
          </w:p>
        </w:tc>
        <w:tc>
          <w:tcPr>
            <w:tcW w:w="964" w:type="dxa"/>
            <w:tcBorders>
              <w:top w:val="nil"/>
              <w:left w:val="nil"/>
              <w:bottom w:val="single" w:sz="4" w:space="0" w:color="auto"/>
              <w:right w:val="single" w:sz="4" w:space="0" w:color="auto"/>
            </w:tcBorders>
            <w:shd w:val="clear" w:color="auto" w:fill="auto"/>
            <w:noWrap/>
            <w:vAlign w:val="bottom"/>
            <w:hideMark/>
          </w:tcPr>
          <w:p w14:paraId="527879BF" w14:textId="77777777" w:rsidR="003A4650" w:rsidRPr="002E42F1" w:rsidRDefault="003A4650" w:rsidP="003A4650">
            <w:pPr>
              <w:spacing w:after="0" w:line="240" w:lineRule="auto"/>
              <w:jc w:val="center"/>
              <w:rPr>
                <w:b/>
              </w:rPr>
            </w:pPr>
            <w:r w:rsidRPr="002E42F1">
              <w:rPr>
                <w:b/>
              </w:rPr>
              <w:t>2018</w:t>
            </w:r>
          </w:p>
        </w:tc>
        <w:tc>
          <w:tcPr>
            <w:tcW w:w="964" w:type="dxa"/>
            <w:tcBorders>
              <w:top w:val="nil"/>
              <w:left w:val="nil"/>
              <w:bottom w:val="single" w:sz="4" w:space="0" w:color="auto"/>
              <w:right w:val="single" w:sz="4" w:space="0" w:color="auto"/>
            </w:tcBorders>
            <w:shd w:val="clear" w:color="auto" w:fill="auto"/>
            <w:noWrap/>
            <w:vAlign w:val="bottom"/>
            <w:hideMark/>
          </w:tcPr>
          <w:p w14:paraId="72E36E00" w14:textId="77777777" w:rsidR="003A4650" w:rsidRPr="002E42F1" w:rsidRDefault="003A4650" w:rsidP="003A4650">
            <w:pPr>
              <w:spacing w:after="0" w:line="240" w:lineRule="auto"/>
              <w:jc w:val="center"/>
              <w:rPr>
                <w:b/>
              </w:rPr>
            </w:pPr>
            <w:r w:rsidRPr="002E42F1">
              <w:rPr>
                <w:b/>
              </w:rPr>
              <w:t>2019</w:t>
            </w:r>
          </w:p>
        </w:tc>
      </w:tr>
      <w:tr w:rsidR="002E42F1" w:rsidRPr="002E42F1" w14:paraId="1E3C15AA" w14:textId="77777777" w:rsidTr="009B2FFF">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739ACD2" w14:textId="79D4BCF5" w:rsidR="003A4650" w:rsidRPr="002E42F1" w:rsidRDefault="00665D7F" w:rsidP="00665D7F">
            <w:pPr>
              <w:spacing w:after="0" w:line="240" w:lineRule="auto"/>
            </w:pPr>
            <w:r w:rsidRPr="002E42F1">
              <w:t xml:space="preserve">ZPI </w:t>
            </w:r>
            <w:r w:rsidR="003A4650" w:rsidRPr="002E42F1">
              <w:t>obligātajās MK</w:t>
            </w:r>
            <w:r w:rsidR="004B418A" w:rsidRPr="002E42F1">
              <w:t xml:space="preserve"> noteikumu</w:t>
            </w:r>
            <w:r w:rsidR="003A4650" w:rsidRPr="002E42F1">
              <w:t xml:space="preserve"> grupās</w:t>
            </w:r>
          </w:p>
        </w:tc>
        <w:tc>
          <w:tcPr>
            <w:tcW w:w="963" w:type="dxa"/>
            <w:tcBorders>
              <w:top w:val="nil"/>
              <w:left w:val="nil"/>
              <w:bottom w:val="single" w:sz="4" w:space="0" w:color="auto"/>
              <w:right w:val="single" w:sz="4" w:space="0" w:color="auto"/>
            </w:tcBorders>
            <w:shd w:val="clear" w:color="auto" w:fill="auto"/>
            <w:noWrap/>
            <w:vAlign w:val="bottom"/>
            <w:hideMark/>
          </w:tcPr>
          <w:p w14:paraId="4AA7A1FF" w14:textId="77777777" w:rsidR="003A4650" w:rsidRPr="002E42F1" w:rsidRDefault="003A4650" w:rsidP="003A4650">
            <w:pPr>
              <w:spacing w:after="0" w:line="240" w:lineRule="auto"/>
              <w:jc w:val="right"/>
            </w:pPr>
            <w:r w:rsidRPr="002E42F1">
              <w:t>23</w:t>
            </w:r>
          </w:p>
        </w:tc>
        <w:tc>
          <w:tcPr>
            <w:tcW w:w="964" w:type="dxa"/>
            <w:tcBorders>
              <w:top w:val="nil"/>
              <w:left w:val="nil"/>
              <w:bottom w:val="single" w:sz="4" w:space="0" w:color="auto"/>
              <w:right w:val="single" w:sz="4" w:space="0" w:color="auto"/>
            </w:tcBorders>
            <w:shd w:val="clear" w:color="auto" w:fill="auto"/>
            <w:noWrap/>
            <w:vAlign w:val="bottom"/>
            <w:hideMark/>
          </w:tcPr>
          <w:p w14:paraId="1BFE85D6" w14:textId="77777777" w:rsidR="003A4650" w:rsidRPr="002E42F1" w:rsidRDefault="003A4650" w:rsidP="003A4650">
            <w:pPr>
              <w:spacing w:after="0" w:line="240" w:lineRule="auto"/>
              <w:jc w:val="right"/>
            </w:pPr>
            <w:r w:rsidRPr="002E42F1">
              <w:t>21</w:t>
            </w:r>
          </w:p>
        </w:tc>
        <w:tc>
          <w:tcPr>
            <w:tcW w:w="964" w:type="dxa"/>
            <w:tcBorders>
              <w:top w:val="nil"/>
              <w:left w:val="nil"/>
              <w:bottom w:val="single" w:sz="4" w:space="0" w:color="auto"/>
              <w:right w:val="single" w:sz="4" w:space="0" w:color="auto"/>
            </w:tcBorders>
            <w:shd w:val="clear" w:color="auto" w:fill="auto"/>
            <w:noWrap/>
            <w:vAlign w:val="bottom"/>
            <w:hideMark/>
          </w:tcPr>
          <w:p w14:paraId="0E612030" w14:textId="77777777" w:rsidR="003A4650" w:rsidRPr="002E42F1" w:rsidRDefault="003A4650" w:rsidP="003A4650">
            <w:pPr>
              <w:spacing w:after="0" w:line="240" w:lineRule="auto"/>
              <w:jc w:val="right"/>
            </w:pPr>
            <w:r w:rsidRPr="002E42F1">
              <w:t>33</w:t>
            </w:r>
          </w:p>
        </w:tc>
        <w:tc>
          <w:tcPr>
            <w:tcW w:w="964" w:type="dxa"/>
            <w:tcBorders>
              <w:top w:val="nil"/>
              <w:left w:val="nil"/>
              <w:bottom w:val="single" w:sz="4" w:space="0" w:color="auto"/>
              <w:right w:val="single" w:sz="4" w:space="0" w:color="auto"/>
            </w:tcBorders>
            <w:shd w:val="clear" w:color="auto" w:fill="auto"/>
            <w:noWrap/>
            <w:vAlign w:val="bottom"/>
            <w:hideMark/>
          </w:tcPr>
          <w:p w14:paraId="3F1C82D1" w14:textId="77777777" w:rsidR="003A4650" w:rsidRPr="002E42F1" w:rsidRDefault="003A4650" w:rsidP="003A4650">
            <w:pPr>
              <w:spacing w:after="0" w:line="240" w:lineRule="auto"/>
              <w:jc w:val="right"/>
            </w:pPr>
            <w:r w:rsidRPr="002E42F1">
              <w:t>51</w:t>
            </w:r>
          </w:p>
        </w:tc>
        <w:tc>
          <w:tcPr>
            <w:tcW w:w="964" w:type="dxa"/>
            <w:tcBorders>
              <w:top w:val="nil"/>
              <w:left w:val="nil"/>
              <w:bottom w:val="single" w:sz="4" w:space="0" w:color="auto"/>
              <w:right w:val="single" w:sz="4" w:space="0" w:color="auto"/>
            </w:tcBorders>
            <w:shd w:val="clear" w:color="auto" w:fill="auto"/>
            <w:noWrap/>
            <w:vAlign w:val="bottom"/>
            <w:hideMark/>
          </w:tcPr>
          <w:p w14:paraId="43D35A4D" w14:textId="77777777" w:rsidR="003A4650" w:rsidRPr="002E42F1" w:rsidRDefault="003A4650" w:rsidP="003A4650">
            <w:pPr>
              <w:spacing w:after="0" w:line="240" w:lineRule="auto"/>
              <w:jc w:val="right"/>
            </w:pPr>
            <w:r w:rsidRPr="002E42F1">
              <w:t>61</w:t>
            </w:r>
          </w:p>
        </w:tc>
      </w:tr>
      <w:tr w:rsidR="002E42F1" w:rsidRPr="002E42F1" w14:paraId="75FDFBDE" w14:textId="77777777" w:rsidTr="009B2FFF">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217DE7F" w14:textId="3D2DE6B0" w:rsidR="003A4650" w:rsidRPr="002E42F1" w:rsidRDefault="00665D7F" w:rsidP="00665D7F">
            <w:pPr>
              <w:spacing w:after="0" w:line="240" w:lineRule="auto"/>
            </w:pPr>
            <w:r w:rsidRPr="002E42F1">
              <w:t xml:space="preserve">ZPI </w:t>
            </w:r>
            <w:r w:rsidR="009B2FFF" w:rsidRPr="002E42F1">
              <w:t xml:space="preserve">brīvprātīgi piemērojamās </w:t>
            </w:r>
            <w:r w:rsidR="003A4650" w:rsidRPr="002E42F1">
              <w:t>MK</w:t>
            </w:r>
            <w:r w:rsidR="004B418A" w:rsidRPr="002E42F1">
              <w:t xml:space="preserve"> noteikumu</w:t>
            </w:r>
            <w:r w:rsidR="003A4650" w:rsidRPr="002E42F1">
              <w:t xml:space="preserve"> grupās</w:t>
            </w:r>
          </w:p>
        </w:tc>
        <w:tc>
          <w:tcPr>
            <w:tcW w:w="963" w:type="dxa"/>
            <w:tcBorders>
              <w:top w:val="nil"/>
              <w:left w:val="nil"/>
              <w:bottom w:val="single" w:sz="4" w:space="0" w:color="auto"/>
              <w:right w:val="single" w:sz="4" w:space="0" w:color="auto"/>
            </w:tcBorders>
            <w:shd w:val="clear" w:color="auto" w:fill="auto"/>
            <w:noWrap/>
            <w:vAlign w:val="bottom"/>
            <w:hideMark/>
          </w:tcPr>
          <w:p w14:paraId="68BF6967" w14:textId="77777777" w:rsidR="003A4650" w:rsidRPr="002E42F1" w:rsidRDefault="003A4650" w:rsidP="003A4650">
            <w:pPr>
              <w:spacing w:after="0" w:line="240" w:lineRule="auto"/>
              <w:jc w:val="right"/>
            </w:pPr>
            <w:r w:rsidRPr="002E42F1">
              <w:t>8</w:t>
            </w:r>
          </w:p>
        </w:tc>
        <w:tc>
          <w:tcPr>
            <w:tcW w:w="964" w:type="dxa"/>
            <w:tcBorders>
              <w:top w:val="nil"/>
              <w:left w:val="nil"/>
              <w:bottom w:val="single" w:sz="4" w:space="0" w:color="auto"/>
              <w:right w:val="single" w:sz="4" w:space="0" w:color="auto"/>
            </w:tcBorders>
            <w:shd w:val="clear" w:color="auto" w:fill="auto"/>
            <w:noWrap/>
            <w:vAlign w:val="bottom"/>
            <w:hideMark/>
          </w:tcPr>
          <w:p w14:paraId="123B8843" w14:textId="77777777" w:rsidR="003A4650" w:rsidRPr="002E42F1" w:rsidRDefault="003A4650" w:rsidP="003A4650">
            <w:pPr>
              <w:spacing w:after="0" w:line="240" w:lineRule="auto"/>
              <w:jc w:val="right"/>
            </w:pPr>
            <w:r w:rsidRPr="002E42F1">
              <w:t>11</w:t>
            </w:r>
          </w:p>
        </w:tc>
        <w:tc>
          <w:tcPr>
            <w:tcW w:w="964" w:type="dxa"/>
            <w:tcBorders>
              <w:top w:val="nil"/>
              <w:left w:val="nil"/>
              <w:bottom w:val="single" w:sz="4" w:space="0" w:color="auto"/>
              <w:right w:val="single" w:sz="4" w:space="0" w:color="auto"/>
            </w:tcBorders>
            <w:shd w:val="clear" w:color="auto" w:fill="auto"/>
            <w:noWrap/>
            <w:vAlign w:val="bottom"/>
            <w:hideMark/>
          </w:tcPr>
          <w:p w14:paraId="10E735C7" w14:textId="77777777" w:rsidR="003A4650" w:rsidRPr="002E42F1" w:rsidRDefault="003A4650" w:rsidP="003A4650">
            <w:pPr>
              <w:spacing w:after="0" w:line="240" w:lineRule="auto"/>
              <w:jc w:val="right"/>
            </w:pPr>
            <w:r w:rsidRPr="002E42F1">
              <w:t>10</w:t>
            </w:r>
          </w:p>
        </w:tc>
        <w:tc>
          <w:tcPr>
            <w:tcW w:w="964" w:type="dxa"/>
            <w:tcBorders>
              <w:top w:val="nil"/>
              <w:left w:val="nil"/>
              <w:bottom w:val="single" w:sz="4" w:space="0" w:color="auto"/>
              <w:right w:val="single" w:sz="4" w:space="0" w:color="auto"/>
            </w:tcBorders>
            <w:shd w:val="clear" w:color="auto" w:fill="auto"/>
            <w:noWrap/>
            <w:vAlign w:val="bottom"/>
            <w:hideMark/>
          </w:tcPr>
          <w:p w14:paraId="1106D90E" w14:textId="77777777" w:rsidR="003A4650" w:rsidRPr="002E42F1" w:rsidRDefault="003A4650" w:rsidP="003A4650">
            <w:pPr>
              <w:spacing w:after="0" w:line="240" w:lineRule="auto"/>
              <w:jc w:val="right"/>
            </w:pPr>
            <w:r w:rsidRPr="002E42F1">
              <w:t>12</w:t>
            </w:r>
          </w:p>
        </w:tc>
        <w:tc>
          <w:tcPr>
            <w:tcW w:w="964" w:type="dxa"/>
            <w:tcBorders>
              <w:top w:val="nil"/>
              <w:left w:val="nil"/>
              <w:bottom w:val="single" w:sz="4" w:space="0" w:color="auto"/>
              <w:right w:val="single" w:sz="4" w:space="0" w:color="auto"/>
            </w:tcBorders>
            <w:shd w:val="clear" w:color="auto" w:fill="auto"/>
            <w:noWrap/>
            <w:vAlign w:val="bottom"/>
            <w:hideMark/>
          </w:tcPr>
          <w:p w14:paraId="4EC1A5AF" w14:textId="77777777" w:rsidR="003A4650" w:rsidRPr="002E42F1" w:rsidRDefault="003A4650" w:rsidP="003A4650">
            <w:pPr>
              <w:spacing w:after="0" w:line="240" w:lineRule="auto"/>
              <w:jc w:val="right"/>
            </w:pPr>
            <w:r w:rsidRPr="002E42F1">
              <w:t>15</w:t>
            </w:r>
          </w:p>
        </w:tc>
      </w:tr>
      <w:tr w:rsidR="002E42F1" w:rsidRPr="002E42F1" w14:paraId="2D283EDE" w14:textId="77777777" w:rsidTr="009B2FFF">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476ED" w14:textId="0BA87AF6" w:rsidR="003A4650" w:rsidRPr="002E42F1" w:rsidRDefault="00665D7F" w:rsidP="00665D7F">
            <w:pPr>
              <w:spacing w:after="0" w:line="240" w:lineRule="auto"/>
            </w:pPr>
            <w:r w:rsidRPr="002E42F1">
              <w:t xml:space="preserve">ZPI </w:t>
            </w:r>
            <w:r w:rsidR="003A4650" w:rsidRPr="002E42F1">
              <w:t>visās MK</w:t>
            </w:r>
            <w:r w:rsidR="004B418A" w:rsidRPr="002E42F1">
              <w:t xml:space="preserve"> noteikumu</w:t>
            </w:r>
            <w:r w:rsidR="003A4650" w:rsidRPr="002E42F1">
              <w:t xml:space="preserve"> grupās kopā</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5431E91" w14:textId="77777777" w:rsidR="003A4650" w:rsidRPr="002E42F1" w:rsidRDefault="003A4650" w:rsidP="003A4650">
            <w:pPr>
              <w:spacing w:after="0" w:line="240" w:lineRule="auto"/>
              <w:jc w:val="right"/>
            </w:pPr>
            <w:r w:rsidRPr="002E42F1">
              <w:t>13</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3AF86A8E" w14:textId="77777777" w:rsidR="003A4650" w:rsidRPr="002E42F1" w:rsidRDefault="003A4650" w:rsidP="003A4650">
            <w:pPr>
              <w:spacing w:after="0" w:line="240" w:lineRule="auto"/>
              <w:jc w:val="right"/>
            </w:pPr>
            <w:r w:rsidRPr="002E42F1">
              <w:t>13</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71CA72B" w14:textId="77777777" w:rsidR="003A4650" w:rsidRPr="002E42F1" w:rsidRDefault="003A4650" w:rsidP="003A4650">
            <w:pPr>
              <w:spacing w:after="0" w:line="240" w:lineRule="auto"/>
              <w:jc w:val="right"/>
            </w:pPr>
            <w:r w:rsidRPr="002E42F1">
              <w:t>14</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514617CD" w14:textId="77777777" w:rsidR="003A4650" w:rsidRPr="002E42F1" w:rsidRDefault="003A4650" w:rsidP="003A4650">
            <w:pPr>
              <w:spacing w:after="0" w:line="240" w:lineRule="auto"/>
              <w:jc w:val="right"/>
            </w:pPr>
            <w:r w:rsidRPr="002E42F1">
              <w:t>19</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90C04FE" w14:textId="77777777" w:rsidR="003A4650" w:rsidRPr="002E42F1" w:rsidRDefault="003A4650" w:rsidP="003A4650">
            <w:pPr>
              <w:spacing w:after="0" w:line="240" w:lineRule="auto"/>
              <w:jc w:val="right"/>
            </w:pPr>
            <w:r w:rsidRPr="002E42F1">
              <w:t>24</w:t>
            </w:r>
          </w:p>
        </w:tc>
      </w:tr>
      <w:tr w:rsidR="002E42F1" w:rsidRPr="002E42F1" w14:paraId="35BF4040" w14:textId="77777777" w:rsidTr="009B2FFF">
        <w:tc>
          <w:tcPr>
            <w:tcW w:w="425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319E38B" w14:textId="65CCF17C" w:rsidR="00665D7F" w:rsidRPr="002E42F1" w:rsidRDefault="00E63F15" w:rsidP="00592953">
            <w:pPr>
              <w:spacing w:after="0" w:line="240" w:lineRule="auto"/>
              <w:rPr>
                <w:b/>
              </w:rPr>
            </w:pPr>
            <w:r w:rsidRPr="002E42F1">
              <w:rPr>
                <w:b/>
              </w:rPr>
              <w:t xml:space="preserve">ZPI </w:t>
            </w:r>
            <w:r w:rsidR="00592953" w:rsidRPr="002E42F1">
              <w:rPr>
                <w:b/>
              </w:rPr>
              <w:t>kopējā</w:t>
            </w:r>
            <w:r w:rsidR="005E3020" w:rsidRPr="002E42F1">
              <w:rPr>
                <w:b/>
              </w:rPr>
              <w:t xml:space="preserve"> iepirkumu</w:t>
            </w:r>
            <w:r w:rsidR="00592953" w:rsidRPr="002E42F1">
              <w:rPr>
                <w:b/>
              </w:rPr>
              <w:t xml:space="preserve"> apjomā</w:t>
            </w:r>
          </w:p>
        </w:tc>
        <w:tc>
          <w:tcPr>
            <w:tcW w:w="963" w:type="dxa"/>
            <w:tcBorders>
              <w:top w:val="single" w:sz="4" w:space="0" w:color="auto"/>
              <w:left w:val="nil"/>
              <w:bottom w:val="double" w:sz="6" w:space="0" w:color="auto"/>
              <w:right w:val="single" w:sz="4" w:space="0" w:color="auto"/>
            </w:tcBorders>
            <w:shd w:val="clear" w:color="auto" w:fill="auto"/>
            <w:noWrap/>
            <w:vAlign w:val="bottom"/>
          </w:tcPr>
          <w:p w14:paraId="733B3A20" w14:textId="072C34F8" w:rsidR="00665D7F" w:rsidRPr="002E42F1" w:rsidRDefault="00E63F15" w:rsidP="003A4650">
            <w:pPr>
              <w:spacing w:after="0" w:line="240" w:lineRule="auto"/>
              <w:jc w:val="right"/>
              <w:rPr>
                <w:b/>
              </w:rPr>
            </w:pPr>
            <w:r w:rsidRPr="002E42F1">
              <w:rPr>
                <w:b/>
              </w:rPr>
              <w:t>6</w:t>
            </w:r>
          </w:p>
        </w:tc>
        <w:tc>
          <w:tcPr>
            <w:tcW w:w="964" w:type="dxa"/>
            <w:tcBorders>
              <w:top w:val="single" w:sz="4" w:space="0" w:color="auto"/>
              <w:left w:val="nil"/>
              <w:bottom w:val="double" w:sz="6" w:space="0" w:color="auto"/>
              <w:right w:val="single" w:sz="4" w:space="0" w:color="auto"/>
            </w:tcBorders>
            <w:shd w:val="clear" w:color="auto" w:fill="auto"/>
            <w:noWrap/>
            <w:vAlign w:val="bottom"/>
          </w:tcPr>
          <w:p w14:paraId="4231D210" w14:textId="7F658BF7" w:rsidR="00665D7F" w:rsidRPr="002E42F1" w:rsidRDefault="00E63F15" w:rsidP="003A4650">
            <w:pPr>
              <w:spacing w:after="0" w:line="240" w:lineRule="auto"/>
              <w:jc w:val="right"/>
              <w:rPr>
                <w:b/>
              </w:rPr>
            </w:pPr>
            <w:r w:rsidRPr="002E42F1">
              <w:rPr>
                <w:b/>
              </w:rPr>
              <w:t>6</w:t>
            </w:r>
          </w:p>
        </w:tc>
        <w:tc>
          <w:tcPr>
            <w:tcW w:w="964" w:type="dxa"/>
            <w:tcBorders>
              <w:top w:val="single" w:sz="4" w:space="0" w:color="auto"/>
              <w:left w:val="nil"/>
              <w:bottom w:val="double" w:sz="6" w:space="0" w:color="auto"/>
              <w:right w:val="single" w:sz="4" w:space="0" w:color="auto"/>
            </w:tcBorders>
            <w:shd w:val="clear" w:color="auto" w:fill="auto"/>
            <w:noWrap/>
            <w:vAlign w:val="bottom"/>
          </w:tcPr>
          <w:p w14:paraId="0C549425" w14:textId="20CE7824" w:rsidR="00665D7F" w:rsidRPr="002E42F1" w:rsidRDefault="00E63F15" w:rsidP="003A4650">
            <w:pPr>
              <w:spacing w:after="0" w:line="240" w:lineRule="auto"/>
              <w:jc w:val="right"/>
              <w:rPr>
                <w:b/>
              </w:rPr>
            </w:pPr>
            <w:r w:rsidRPr="002E42F1">
              <w:rPr>
                <w:b/>
              </w:rPr>
              <w:t>9</w:t>
            </w:r>
          </w:p>
        </w:tc>
        <w:tc>
          <w:tcPr>
            <w:tcW w:w="964" w:type="dxa"/>
            <w:tcBorders>
              <w:top w:val="single" w:sz="4" w:space="0" w:color="auto"/>
              <w:left w:val="nil"/>
              <w:bottom w:val="double" w:sz="6" w:space="0" w:color="auto"/>
              <w:right w:val="single" w:sz="4" w:space="0" w:color="auto"/>
            </w:tcBorders>
            <w:shd w:val="clear" w:color="auto" w:fill="auto"/>
            <w:noWrap/>
            <w:vAlign w:val="bottom"/>
          </w:tcPr>
          <w:p w14:paraId="23C40B3C" w14:textId="5EB143CC" w:rsidR="00665D7F" w:rsidRPr="002E42F1" w:rsidRDefault="00E63F15" w:rsidP="003A4650">
            <w:pPr>
              <w:spacing w:after="0" w:line="240" w:lineRule="auto"/>
              <w:jc w:val="right"/>
              <w:rPr>
                <w:b/>
              </w:rPr>
            </w:pPr>
            <w:r w:rsidRPr="002E42F1">
              <w:rPr>
                <w:b/>
              </w:rPr>
              <w:t>11</w:t>
            </w:r>
          </w:p>
        </w:tc>
        <w:tc>
          <w:tcPr>
            <w:tcW w:w="964" w:type="dxa"/>
            <w:tcBorders>
              <w:top w:val="single" w:sz="4" w:space="0" w:color="auto"/>
              <w:left w:val="nil"/>
              <w:bottom w:val="double" w:sz="6" w:space="0" w:color="auto"/>
              <w:right w:val="single" w:sz="4" w:space="0" w:color="auto"/>
            </w:tcBorders>
            <w:shd w:val="clear" w:color="auto" w:fill="auto"/>
            <w:noWrap/>
            <w:vAlign w:val="bottom"/>
          </w:tcPr>
          <w:p w14:paraId="32EFD4B0" w14:textId="73FB97F1" w:rsidR="00665D7F" w:rsidRPr="002E42F1" w:rsidRDefault="00E63F15" w:rsidP="003A4650">
            <w:pPr>
              <w:spacing w:after="0" w:line="240" w:lineRule="auto"/>
              <w:jc w:val="right"/>
              <w:rPr>
                <w:b/>
              </w:rPr>
            </w:pPr>
            <w:r w:rsidRPr="002E42F1">
              <w:rPr>
                <w:b/>
              </w:rPr>
              <w:t>13</w:t>
            </w:r>
          </w:p>
        </w:tc>
      </w:tr>
      <w:tr w:rsidR="002E42F1" w:rsidRPr="002E42F1" w14:paraId="72450BB8" w14:textId="77777777" w:rsidTr="009B2FFF">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00A622" w14:textId="77777777" w:rsidR="003A4650" w:rsidRPr="002E42F1" w:rsidRDefault="003A4650" w:rsidP="003A4650">
            <w:pPr>
              <w:spacing w:after="0" w:line="240" w:lineRule="auto"/>
              <w:jc w:val="center"/>
              <w:rPr>
                <w:b/>
              </w:rPr>
            </w:pPr>
            <w:r w:rsidRPr="002E42F1">
              <w:rPr>
                <w:b/>
              </w:rPr>
              <w:t>Pēc līgumcenas</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FF25E3D" w14:textId="77777777" w:rsidR="003A4650" w:rsidRPr="002E42F1" w:rsidRDefault="003A4650" w:rsidP="003A4650">
            <w:pPr>
              <w:spacing w:after="0" w:line="240" w:lineRule="auto"/>
              <w:jc w:val="center"/>
              <w:rPr>
                <w:b/>
              </w:rPr>
            </w:pPr>
            <w:r w:rsidRPr="002E42F1">
              <w:rPr>
                <w:b/>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5016159D" w14:textId="77777777" w:rsidR="003A4650" w:rsidRPr="002E42F1" w:rsidRDefault="003A4650" w:rsidP="003A4650">
            <w:pPr>
              <w:spacing w:after="0" w:line="240" w:lineRule="auto"/>
              <w:jc w:val="center"/>
              <w:rPr>
                <w:b/>
              </w:rPr>
            </w:pPr>
            <w:r w:rsidRPr="002E42F1">
              <w:rPr>
                <w: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7A47FE80" w14:textId="77777777" w:rsidR="003A4650" w:rsidRPr="002E42F1" w:rsidRDefault="003A4650" w:rsidP="003A4650">
            <w:pPr>
              <w:spacing w:after="0" w:line="240" w:lineRule="auto"/>
              <w:jc w:val="center"/>
              <w:rPr>
                <w:b/>
              </w:rPr>
            </w:pPr>
            <w:r w:rsidRPr="002E42F1">
              <w:rPr>
                <w:b/>
              </w:rPr>
              <w:t>2017</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36FB65DE" w14:textId="77777777" w:rsidR="003A4650" w:rsidRPr="002E42F1" w:rsidRDefault="003A4650" w:rsidP="003A4650">
            <w:pPr>
              <w:spacing w:after="0" w:line="240" w:lineRule="auto"/>
              <w:jc w:val="center"/>
              <w:rPr>
                <w:b/>
              </w:rPr>
            </w:pPr>
            <w:r w:rsidRPr="002E42F1">
              <w:rPr>
                <w:b/>
              </w:rPr>
              <w:t>2018</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57FC8BE" w14:textId="77777777" w:rsidR="003A4650" w:rsidRPr="002E42F1" w:rsidRDefault="003A4650" w:rsidP="003A4650">
            <w:pPr>
              <w:spacing w:after="0" w:line="240" w:lineRule="auto"/>
              <w:jc w:val="center"/>
              <w:rPr>
                <w:b/>
              </w:rPr>
            </w:pPr>
            <w:r w:rsidRPr="002E42F1">
              <w:rPr>
                <w:b/>
              </w:rPr>
              <w:t>2019</w:t>
            </w:r>
          </w:p>
        </w:tc>
      </w:tr>
      <w:tr w:rsidR="002E42F1" w:rsidRPr="002E42F1" w14:paraId="05F97CE8" w14:textId="77777777" w:rsidTr="009B2FFF">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DDF84DB" w14:textId="4FA9BB1F" w:rsidR="003A4650" w:rsidRPr="002E42F1" w:rsidRDefault="00665D7F" w:rsidP="00665D7F">
            <w:pPr>
              <w:spacing w:after="0" w:line="240" w:lineRule="auto"/>
            </w:pPr>
            <w:r w:rsidRPr="002E42F1">
              <w:t xml:space="preserve">ZPI </w:t>
            </w:r>
            <w:r w:rsidR="003A4650" w:rsidRPr="002E42F1">
              <w:t xml:space="preserve">obligātajās MK </w:t>
            </w:r>
            <w:r w:rsidR="004B418A" w:rsidRPr="002E42F1">
              <w:t xml:space="preserve">noteikumu </w:t>
            </w:r>
            <w:r w:rsidR="003A4650" w:rsidRPr="002E42F1">
              <w:t>grupās</w:t>
            </w:r>
          </w:p>
        </w:tc>
        <w:tc>
          <w:tcPr>
            <w:tcW w:w="963" w:type="dxa"/>
            <w:tcBorders>
              <w:top w:val="nil"/>
              <w:left w:val="nil"/>
              <w:bottom w:val="single" w:sz="4" w:space="0" w:color="auto"/>
              <w:right w:val="single" w:sz="4" w:space="0" w:color="auto"/>
            </w:tcBorders>
            <w:shd w:val="clear" w:color="auto" w:fill="auto"/>
            <w:noWrap/>
            <w:vAlign w:val="bottom"/>
            <w:hideMark/>
          </w:tcPr>
          <w:p w14:paraId="62F8BEDE" w14:textId="77777777" w:rsidR="003A4650" w:rsidRPr="002E42F1" w:rsidRDefault="003A4650" w:rsidP="003A4650">
            <w:pPr>
              <w:spacing w:after="0" w:line="240" w:lineRule="auto"/>
              <w:jc w:val="right"/>
            </w:pPr>
            <w:r w:rsidRPr="002E42F1">
              <w:t>56</w:t>
            </w:r>
          </w:p>
        </w:tc>
        <w:tc>
          <w:tcPr>
            <w:tcW w:w="964" w:type="dxa"/>
            <w:tcBorders>
              <w:top w:val="nil"/>
              <w:left w:val="nil"/>
              <w:bottom w:val="single" w:sz="4" w:space="0" w:color="auto"/>
              <w:right w:val="single" w:sz="4" w:space="0" w:color="auto"/>
            </w:tcBorders>
            <w:shd w:val="clear" w:color="auto" w:fill="auto"/>
            <w:noWrap/>
            <w:vAlign w:val="bottom"/>
            <w:hideMark/>
          </w:tcPr>
          <w:p w14:paraId="7BBF2768" w14:textId="77777777" w:rsidR="003A4650" w:rsidRPr="002E42F1" w:rsidRDefault="003A4650" w:rsidP="003A4650">
            <w:pPr>
              <w:spacing w:after="0" w:line="240" w:lineRule="auto"/>
              <w:jc w:val="right"/>
            </w:pPr>
            <w:r w:rsidRPr="002E42F1">
              <w:t>58</w:t>
            </w:r>
          </w:p>
        </w:tc>
        <w:tc>
          <w:tcPr>
            <w:tcW w:w="964" w:type="dxa"/>
            <w:tcBorders>
              <w:top w:val="nil"/>
              <w:left w:val="nil"/>
              <w:bottom w:val="single" w:sz="4" w:space="0" w:color="auto"/>
              <w:right w:val="single" w:sz="4" w:space="0" w:color="auto"/>
            </w:tcBorders>
            <w:shd w:val="clear" w:color="auto" w:fill="auto"/>
            <w:noWrap/>
            <w:vAlign w:val="bottom"/>
            <w:hideMark/>
          </w:tcPr>
          <w:p w14:paraId="6F57BC09" w14:textId="77777777" w:rsidR="003A4650" w:rsidRPr="002E42F1" w:rsidRDefault="003A4650" w:rsidP="003A4650">
            <w:pPr>
              <w:spacing w:after="0" w:line="240" w:lineRule="auto"/>
              <w:jc w:val="right"/>
            </w:pPr>
            <w:r w:rsidRPr="002E42F1">
              <w:t>46</w:t>
            </w:r>
          </w:p>
        </w:tc>
        <w:tc>
          <w:tcPr>
            <w:tcW w:w="964" w:type="dxa"/>
            <w:tcBorders>
              <w:top w:val="nil"/>
              <w:left w:val="nil"/>
              <w:bottom w:val="single" w:sz="4" w:space="0" w:color="auto"/>
              <w:right w:val="single" w:sz="4" w:space="0" w:color="auto"/>
            </w:tcBorders>
            <w:shd w:val="clear" w:color="auto" w:fill="auto"/>
            <w:noWrap/>
            <w:vAlign w:val="bottom"/>
            <w:hideMark/>
          </w:tcPr>
          <w:p w14:paraId="13D59DD5" w14:textId="77777777" w:rsidR="003A4650" w:rsidRPr="002E42F1" w:rsidRDefault="003A4650" w:rsidP="003A4650">
            <w:pPr>
              <w:spacing w:after="0" w:line="240" w:lineRule="auto"/>
              <w:jc w:val="right"/>
            </w:pPr>
            <w:r w:rsidRPr="002E42F1">
              <w:t>74</w:t>
            </w:r>
          </w:p>
        </w:tc>
        <w:tc>
          <w:tcPr>
            <w:tcW w:w="964" w:type="dxa"/>
            <w:tcBorders>
              <w:top w:val="nil"/>
              <w:left w:val="nil"/>
              <w:bottom w:val="single" w:sz="4" w:space="0" w:color="auto"/>
              <w:right w:val="single" w:sz="4" w:space="0" w:color="auto"/>
            </w:tcBorders>
            <w:shd w:val="clear" w:color="auto" w:fill="auto"/>
            <w:noWrap/>
            <w:vAlign w:val="bottom"/>
            <w:hideMark/>
          </w:tcPr>
          <w:p w14:paraId="0514B1E6" w14:textId="77777777" w:rsidR="003A4650" w:rsidRPr="002E42F1" w:rsidRDefault="003A4650" w:rsidP="003A4650">
            <w:pPr>
              <w:spacing w:after="0" w:line="240" w:lineRule="auto"/>
              <w:jc w:val="right"/>
            </w:pPr>
            <w:r w:rsidRPr="002E42F1">
              <w:t>83</w:t>
            </w:r>
          </w:p>
        </w:tc>
      </w:tr>
      <w:tr w:rsidR="002E42F1" w:rsidRPr="002E42F1" w14:paraId="2E6C6611" w14:textId="77777777" w:rsidTr="009B2FFF">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F39742C" w14:textId="482B7B08" w:rsidR="003A4650" w:rsidRPr="002E42F1" w:rsidRDefault="00665D7F" w:rsidP="00665D7F">
            <w:pPr>
              <w:spacing w:after="0" w:line="240" w:lineRule="auto"/>
            </w:pPr>
            <w:r w:rsidRPr="002E42F1">
              <w:t xml:space="preserve">ZPI </w:t>
            </w:r>
            <w:r w:rsidR="009B2FFF" w:rsidRPr="002E42F1">
              <w:t xml:space="preserve">brīvprātīgi piemērojamās </w:t>
            </w:r>
            <w:r w:rsidR="003A4650" w:rsidRPr="002E42F1">
              <w:t>MK</w:t>
            </w:r>
            <w:r w:rsidR="004B418A" w:rsidRPr="002E42F1">
              <w:t xml:space="preserve"> noteikumu</w:t>
            </w:r>
            <w:r w:rsidR="003A4650" w:rsidRPr="002E42F1">
              <w:t xml:space="preserve"> grupās</w:t>
            </w:r>
          </w:p>
        </w:tc>
        <w:tc>
          <w:tcPr>
            <w:tcW w:w="963" w:type="dxa"/>
            <w:tcBorders>
              <w:top w:val="nil"/>
              <w:left w:val="nil"/>
              <w:bottom w:val="single" w:sz="4" w:space="0" w:color="auto"/>
              <w:right w:val="single" w:sz="4" w:space="0" w:color="auto"/>
            </w:tcBorders>
            <w:shd w:val="clear" w:color="auto" w:fill="auto"/>
            <w:noWrap/>
            <w:vAlign w:val="bottom"/>
            <w:hideMark/>
          </w:tcPr>
          <w:p w14:paraId="6A2A960C" w14:textId="77777777" w:rsidR="003A4650" w:rsidRPr="002E42F1" w:rsidRDefault="003A4650" w:rsidP="003A4650">
            <w:pPr>
              <w:spacing w:after="0" w:line="240" w:lineRule="auto"/>
              <w:jc w:val="right"/>
            </w:pPr>
            <w:r w:rsidRPr="002E42F1">
              <w:t>11</w:t>
            </w:r>
          </w:p>
        </w:tc>
        <w:tc>
          <w:tcPr>
            <w:tcW w:w="964" w:type="dxa"/>
            <w:tcBorders>
              <w:top w:val="nil"/>
              <w:left w:val="nil"/>
              <w:bottom w:val="single" w:sz="4" w:space="0" w:color="auto"/>
              <w:right w:val="single" w:sz="4" w:space="0" w:color="auto"/>
            </w:tcBorders>
            <w:shd w:val="clear" w:color="auto" w:fill="auto"/>
            <w:noWrap/>
            <w:vAlign w:val="bottom"/>
            <w:hideMark/>
          </w:tcPr>
          <w:p w14:paraId="7ECB30EF" w14:textId="77777777" w:rsidR="003A4650" w:rsidRPr="002E42F1" w:rsidRDefault="003A4650" w:rsidP="003A4650">
            <w:pPr>
              <w:spacing w:after="0" w:line="240" w:lineRule="auto"/>
              <w:jc w:val="right"/>
            </w:pPr>
            <w:r w:rsidRPr="002E42F1">
              <w:t>13</w:t>
            </w:r>
          </w:p>
        </w:tc>
        <w:tc>
          <w:tcPr>
            <w:tcW w:w="964" w:type="dxa"/>
            <w:tcBorders>
              <w:top w:val="nil"/>
              <w:left w:val="nil"/>
              <w:bottom w:val="single" w:sz="4" w:space="0" w:color="auto"/>
              <w:right w:val="single" w:sz="4" w:space="0" w:color="auto"/>
            </w:tcBorders>
            <w:shd w:val="clear" w:color="auto" w:fill="auto"/>
            <w:noWrap/>
            <w:vAlign w:val="bottom"/>
            <w:hideMark/>
          </w:tcPr>
          <w:p w14:paraId="54213436" w14:textId="77777777" w:rsidR="003A4650" w:rsidRPr="002E42F1" w:rsidRDefault="003A4650" w:rsidP="003A4650">
            <w:pPr>
              <w:spacing w:after="0" w:line="240" w:lineRule="auto"/>
              <w:jc w:val="right"/>
            </w:pPr>
            <w:r w:rsidRPr="002E42F1">
              <w:t>16</w:t>
            </w:r>
          </w:p>
        </w:tc>
        <w:tc>
          <w:tcPr>
            <w:tcW w:w="964" w:type="dxa"/>
            <w:tcBorders>
              <w:top w:val="nil"/>
              <w:left w:val="nil"/>
              <w:bottom w:val="single" w:sz="4" w:space="0" w:color="auto"/>
              <w:right w:val="single" w:sz="4" w:space="0" w:color="auto"/>
            </w:tcBorders>
            <w:shd w:val="clear" w:color="auto" w:fill="auto"/>
            <w:noWrap/>
            <w:vAlign w:val="bottom"/>
            <w:hideMark/>
          </w:tcPr>
          <w:p w14:paraId="18DCF155" w14:textId="77777777" w:rsidR="003A4650" w:rsidRPr="002E42F1" w:rsidRDefault="003A4650" w:rsidP="003A4650">
            <w:pPr>
              <w:spacing w:after="0" w:line="240" w:lineRule="auto"/>
              <w:jc w:val="right"/>
            </w:pPr>
            <w:r w:rsidRPr="002E42F1">
              <w:t>22</w:t>
            </w:r>
          </w:p>
        </w:tc>
        <w:tc>
          <w:tcPr>
            <w:tcW w:w="964" w:type="dxa"/>
            <w:tcBorders>
              <w:top w:val="nil"/>
              <w:left w:val="nil"/>
              <w:bottom w:val="single" w:sz="4" w:space="0" w:color="auto"/>
              <w:right w:val="single" w:sz="4" w:space="0" w:color="auto"/>
            </w:tcBorders>
            <w:shd w:val="clear" w:color="auto" w:fill="auto"/>
            <w:noWrap/>
            <w:vAlign w:val="bottom"/>
            <w:hideMark/>
          </w:tcPr>
          <w:p w14:paraId="6F230B10" w14:textId="77777777" w:rsidR="003A4650" w:rsidRPr="002E42F1" w:rsidRDefault="003A4650" w:rsidP="003A4650">
            <w:pPr>
              <w:spacing w:after="0" w:line="240" w:lineRule="auto"/>
              <w:jc w:val="right"/>
            </w:pPr>
            <w:r w:rsidRPr="002E42F1">
              <w:t>23</w:t>
            </w:r>
          </w:p>
        </w:tc>
      </w:tr>
      <w:tr w:rsidR="002E42F1" w:rsidRPr="002E42F1" w14:paraId="347DBB98" w14:textId="77777777" w:rsidTr="009B2FFF">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5A65" w14:textId="6A17276D" w:rsidR="003A4650" w:rsidRPr="002E42F1" w:rsidRDefault="00665D7F" w:rsidP="00665D7F">
            <w:pPr>
              <w:spacing w:after="0" w:line="240" w:lineRule="auto"/>
            </w:pPr>
            <w:r w:rsidRPr="002E42F1">
              <w:t xml:space="preserve">ZPI </w:t>
            </w:r>
            <w:r w:rsidR="003A4650" w:rsidRPr="002E42F1">
              <w:t>visās MK</w:t>
            </w:r>
            <w:r w:rsidR="004B418A" w:rsidRPr="002E42F1">
              <w:t xml:space="preserve"> noteikumu</w:t>
            </w:r>
            <w:r w:rsidR="003A4650" w:rsidRPr="002E42F1">
              <w:t xml:space="preserve"> grupās kopā</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7B5B" w14:textId="77777777" w:rsidR="003A4650" w:rsidRPr="002E42F1" w:rsidRDefault="003A4650" w:rsidP="003A4650">
            <w:pPr>
              <w:spacing w:after="0" w:line="240" w:lineRule="auto"/>
              <w:jc w:val="right"/>
            </w:pPr>
            <w:r w:rsidRPr="002E42F1">
              <w:t>22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52168" w14:textId="77777777" w:rsidR="003A4650" w:rsidRPr="002E42F1" w:rsidRDefault="003A4650" w:rsidP="003A4650">
            <w:pPr>
              <w:spacing w:after="0" w:line="240" w:lineRule="auto"/>
              <w:jc w:val="right"/>
            </w:pPr>
            <w:r w:rsidRPr="002E42F1">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F7A56" w14:textId="77777777" w:rsidR="003A4650" w:rsidRPr="002E42F1" w:rsidRDefault="003A4650" w:rsidP="003A4650">
            <w:pPr>
              <w:spacing w:after="0" w:line="240" w:lineRule="auto"/>
              <w:jc w:val="right"/>
            </w:pPr>
            <w:r w:rsidRPr="002E42F1">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E9EB" w14:textId="77777777" w:rsidR="003A4650" w:rsidRPr="002E42F1" w:rsidRDefault="003A4650" w:rsidP="003A4650">
            <w:pPr>
              <w:spacing w:after="0" w:line="240" w:lineRule="auto"/>
              <w:jc w:val="right"/>
            </w:pPr>
            <w:r w:rsidRPr="002E42F1">
              <w:t>28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EAA72" w14:textId="77777777" w:rsidR="003A4650" w:rsidRPr="002E42F1" w:rsidRDefault="003A4650" w:rsidP="003A4650">
            <w:pPr>
              <w:spacing w:after="0" w:line="240" w:lineRule="auto"/>
              <w:jc w:val="right"/>
            </w:pPr>
            <w:r w:rsidRPr="002E42F1">
              <w:t>30</w:t>
            </w:r>
          </w:p>
        </w:tc>
      </w:tr>
      <w:tr w:rsidR="002E42F1" w:rsidRPr="002E42F1" w14:paraId="2786D155" w14:textId="77777777" w:rsidTr="009B2FFF">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DCBBB" w14:textId="02590794" w:rsidR="00665D7F" w:rsidRPr="002E42F1" w:rsidRDefault="00592953" w:rsidP="00665D7F">
            <w:pPr>
              <w:spacing w:after="0" w:line="240" w:lineRule="auto"/>
              <w:rPr>
                <w:b/>
              </w:rPr>
            </w:pPr>
            <w:r w:rsidRPr="002E42F1">
              <w:rPr>
                <w:b/>
              </w:rPr>
              <w:t>ZPI kopējā</w:t>
            </w:r>
            <w:r w:rsidR="005E3020" w:rsidRPr="002E42F1">
              <w:rPr>
                <w:b/>
              </w:rPr>
              <w:t xml:space="preserve"> iepirkumu</w:t>
            </w:r>
            <w:r w:rsidRPr="002E42F1">
              <w:rPr>
                <w:b/>
              </w:rPr>
              <w:t xml:space="preserve"> apjomā</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DAA16" w14:textId="4F85C796" w:rsidR="00665D7F" w:rsidRPr="002E42F1" w:rsidRDefault="00E63F15" w:rsidP="003A4650">
            <w:pPr>
              <w:spacing w:after="0" w:line="240" w:lineRule="auto"/>
              <w:jc w:val="right"/>
              <w:rPr>
                <w:b/>
              </w:rPr>
            </w:pPr>
            <w:r w:rsidRPr="002E42F1">
              <w:rPr>
                <w:b/>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2F014" w14:textId="6EC213E4" w:rsidR="00665D7F" w:rsidRPr="002E42F1" w:rsidRDefault="00E63F15" w:rsidP="003A4650">
            <w:pPr>
              <w:spacing w:after="0" w:line="240" w:lineRule="auto"/>
              <w:jc w:val="right"/>
              <w:rPr>
                <w:b/>
              </w:rPr>
            </w:pPr>
            <w:r w:rsidRPr="002E42F1">
              <w:rPr>
                <w:b/>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0D9D4" w14:textId="1FF0BC8A" w:rsidR="00665D7F" w:rsidRPr="002E42F1" w:rsidRDefault="00E63F15" w:rsidP="003A4650">
            <w:pPr>
              <w:spacing w:after="0" w:line="240" w:lineRule="auto"/>
              <w:jc w:val="right"/>
              <w:rPr>
                <w:b/>
              </w:rPr>
            </w:pPr>
            <w:r w:rsidRPr="002E42F1">
              <w:rPr>
                <w:b/>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15415" w14:textId="1792DC57" w:rsidR="00665D7F" w:rsidRPr="002E42F1" w:rsidRDefault="00E63F15" w:rsidP="003A4650">
            <w:pPr>
              <w:spacing w:after="0" w:line="240" w:lineRule="auto"/>
              <w:jc w:val="right"/>
              <w:rPr>
                <w:b/>
              </w:rPr>
            </w:pPr>
            <w:r w:rsidRPr="002E42F1">
              <w:rPr>
                <w:b/>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3A110" w14:textId="67609D3F" w:rsidR="00665D7F" w:rsidRPr="002E42F1" w:rsidRDefault="00E63F15" w:rsidP="003A4650">
            <w:pPr>
              <w:spacing w:after="0" w:line="240" w:lineRule="auto"/>
              <w:jc w:val="right"/>
              <w:rPr>
                <w:b/>
              </w:rPr>
            </w:pPr>
            <w:r w:rsidRPr="002E42F1">
              <w:rPr>
                <w:b/>
              </w:rPr>
              <w:t>17</w:t>
            </w:r>
          </w:p>
        </w:tc>
      </w:tr>
    </w:tbl>
    <w:p w14:paraId="690AD461" w14:textId="77777777" w:rsidR="00D4527E" w:rsidRPr="002E42F1" w:rsidRDefault="00D4527E" w:rsidP="00D4527E">
      <w:pPr>
        <w:pStyle w:val="NoSpacing"/>
        <w:jc w:val="both"/>
        <w:rPr>
          <w:sz w:val="28"/>
          <w:szCs w:val="28"/>
        </w:rPr>
      </w:pPr>
      <w:r w:rsidRPr="002E42F1">
        <w:rPr>
          <w:sz w:val="28"/>
          <w:szCs w:val="28"/>
        </w:rPr>
        <w:t>Avots: IUB dati</w:t>
      </w:r>
    </w:p>
    <w:p w14:paraId="4D9760E0" w14:textId="77777777" w:rsidR="00D4527E" w:rsidRPr="002E42F1" w:rsidRDefault="00D4527E" w:rsidP="006C282B">
      <w:pPr>
        <w:pStyle w:val="NoSpacing"/>
        <w:jc w:val="both"/>
        <w:rPr>
          <w:sz w:val="28"/>
          <w:szCs w:val="28"/>
        </w:rPr>
      </w:pPr>
    </w:p>
    <w:p w14:paraId="29CAC0AA" w14:textId="32579028" w:rsidR="00482A48" w:rsidRPr="002E42F1" w:rsidRDefault="003E37C9" w:rsidP="00701021">
      <w:pPr>
        <w:pStyle w:val="NoSpacing"/>
        <w:ind w:firstLine="720"/>
        <w:jc w:val="both"/>
        <w:rPr>
          <w:sz w:val="28"/>
          <w:szCs w:val="28"/>
        </w:rPr>
      </w:pPr>
      <w:r w:rsidRPr="002E42F1">
        <w:rPr>
          <w:sz w:val="28"/>
          <w:szCs w:val="28"/>
        </w:rPr>
        <w:lastRenderedPageBreak/>
        <w:t xml:space="preserve">VARAM ir izvērtējis arī </w:t>
      </w:r>
      <w:r w:rsidR="00482A48" w:rsidRPr="002E42F1">
        <w:rPr>
          <w:sz w:val="28"/>
          <w:szCs w:val="28"/>
        </w:rPr>
        <w:t>veikto ZPI iepirkuma procedūru skaita izmaiņas, ta</w:t>
      </w:r>
      <w:r w:rsidR="00C63DC6" w:rsidRPr="002E42F1">
        <w:rPr>
          <w:sz w:val="28"/>
          <w:szCs w:val="28"/>
        </w:rPr>
        <w:t>s katru gadu konsekventi pieaug 201</w:t>
      </w:r>
      <w:r w:rsidR="00AC3680" w:rsidRPr="002E42F1">
        <w:rPr>
          <w:sz w:val="28"/>
          <w:szCs w:val="28"/>
        </w:rPr>
        <w:t>9</w:t>
      </w:r>
      <w:r w:rsidR="00C63DC6" w:rsidRPr="002E42F1">
        <w:rPr>
          <w:sz w:val="28"/>
          <w:szCs w:val="28"/>
        </w:rPr>
        <w:t>. gadā sasniedzot 1</w:t>
      </w:r>
      <w:r w:rsidR="004A5694" w:rsidRPr="002E42F1">
        <w:rPr>
          <w:sz w:val="28"/>
          <w:szCs w:val="28"/>
        </w:rPr>
        <w:t>3,</w:t>
      </w:r>
      <w:r w:rsidR="00056337" w:rsidRPr="002E42F1">
        <w:rPr>
          <w:sz w:val="28"/>
          <w:szCs w:val="28"/>
        </w:rPr>
        <w:t>2</w:t>
      </w:r>
      <w:r w:rsidR="00C63DC6" w:rsidRPr="002E42F1">
        <w:rPr>
          <w:sz w:val="28"/>
          <w:szCs w:val="28"/>
        </w:rPr>
        <w:t>%</w:t>
      </w:r>
      <w:r w:rsidR="004A5694" w:rsidRPr="002E42F1">
        <w:rPr>
          <w:sz w:val="28"/>
          <w:szCs w:val="28"/>
        </w:rPr>
        <w:t xml:space="preserve"> (2018. gadā 11,4%)</w:t>
      </w:r>
      <w:r w:rsidR="00C63DC6" w:rsidRPr="002E42F1">
        <w:rPr>
          <w:sz w:val="28"/>
          <w:szCs w:val="28"/>
        </w:rPr>
        <w:t>.</w:t>
      </w:r>
      <w:r w:rsidR="001671F0" w:rsidRPr="002E42F1">
        <w:rPr>
          <w:sz w:val="28"/>
          <w:szCs w:val="28"/>
        </w:rPr>
        <w:t xml:space="preserve"> </w:t>
      </w:r>
      <w:r w:rsidR="00C63DC6" w:rsidRPr="002E42F1">
        <w:rPr>
          <w:sz w:val="28"/>
          <w:szCs w:val="28"/>
        </w:rPr>
        <w:t>T</w:t>
      </w:r>
      <w:r w:rsidR="00482A48" w:rsidRPr="002E42F1">
        <w:rPr>
          <w:sz w:val="28"/>
          <w:szCs w:val="28"/>
        </w:rPr>
        <w:t>as liecina, ka ZPI piemērošana publiskajā sektorā</w:t>
      </w:r>
      <w:r w:rsidR="004A5694" w:rsidRPr="002E42F1">
        <w:rPr>
          <w:sz w:val="28"/>
          <w:szCs w:val="28"/>
        </w:rPr>
        <w:t xml:space="preserve"> lēni, bet konsekventi tiek aizvien plašāk izmantota, iegūst atpazīstamību un izpratni.</w:t>
      </w:r>
      <w:r w:rsidR="00C63DC6" w:rsidRPr="002E42F1">
        <w:rPr>
          <w:sz w:val="28"/>
          <w:szCs w:val="28"/>
        </w:rPr>
        <w:t xml:space="preserve"> Šādu secinājumu ļauj izdarīt arvien pieaugošais pieprasījums </w:t>
      </w:r>
      <w:r w:rsidR="00482A48" w:rsidRPr="002E42F1">
        <w:rPr>
          <w:sz w:val="28"/>
          <w:szCs w:val="28"/>
        </w:rPr>
        <w:t>pēc skaidrojoš</w:t>
      </w:r>
      <w:r w:rsidR="00C63DC6" w:rsidRPr="002E42F1">
        <w:rPr>
          <w:sz w:val="28"/>
          <w:szCs w:val="28"/>
        </w:rPr>
        <w:t>iem</w:t>
      </w:r>
      <w:r w:rsidR="00482A48" w:rsidRPr="002E42F1">
        <w:rPr>
          <w:sz w:val="28"/>
          <w:szCs w:val="28"/>
        </w:rPr>
        <w:t xml:space="preserve"> seminār</w:t>
      </w:r>
      <w:r w:rsidR="00C63DC6" w:rsidRPr="002E42F1">
        <w:rPr>
          <w:sz w:val="28"/>
          <w:szCs w:val="28"/>
        </w:rPr>
        <w:t>iem, konsultācijām u</w:t>
      </w:r>
      <w:r w:rsidR="00482A48" w:rsidRPr="002E42F1">
        <w:rPr>
          <w:sz w:val="28"/>
          <w:szCs w:val="28"/>
        </w:rPr>
        <w:t>n ministrijas organi</w:t>
      </w:r>
      <w:r w:rsidR="00842C50" w:rsidRPr="002E42F1">
        <w:rPr>
          <w:sz w:val="28"/>
          <w:szCs w:val="28"/>
        </w:rPr>
        <w:t>zēto semināru apmeklējums</w:t>
      </w:r>
      <w:r w:rsidR="00482A48" w:rsidRPr="002E42F1">
        <w:rPr>
          <w:sz w:val="28"/>
          <w:szCs w:val="28"/>
        </w:rPr>
        <w:t xml:space="preserve">. </w:t>
      </w:r>
      <w:r w:rsidR="00842C50" w:rsidRPr="002E42F1">
        <w:rPr>
          <w:sz w:val="28"/>
          <w:szCs w:val="28"/>
        </w:rPr>
        <w:t>Iniciatīvu par izglītošanu ZPI jautājumos izrāda arī nozaru organizācijas, sabiedriskā</w:t>
      </w:r>
      <w:r w:rsidR="00232DB0" w:rsidRPr="002E42F1">
        <w:rPr>
          <w:sz w:val="28"/>
          <w:szCs w:val="28"/>
        </w:rPr>
        <w:t xml:space="preserve"> un privātā</w:t>
      </w:r>
      <w:r w:rsidR="00842C50" w:rsidRPr="002E42F1">
        <w:rPr>
          <w:sz w:val="28"/>
          <w:szCs w:val="28"/>
        </w:rPr>
        <w:t xml:space="preserve"> sektora organizācijas un interešu grupas, rīkojot seminārus, diskusiju sanāksmes, kurās nereti pieaicina VARAM un IUB pārstāvjus.</w:t>
      </w:r>
    </w:p>
    <w:p w14:paraId="48A19B25" w14:textId="5E20FAD1" w:rsidR="00482A48" w:rsidRPr="002E42F1" w:rsidRDefault="00482A48" w:rsidP="00701021">
      <w:pPr>
        <w:pStyle w:val="NoSpacing"/>
        <w:ind w:firstLine="720"/>
        <w:jc w:val="both"/>
        <w:rPr>
          <w:sz w:val="28"/>
          <w:szCs w:val="28"/>
        </w:rPr>
      </w:pPr>
      <w:r w:rsidRPr="002E42F1">
        <w:rPr>
          <w:sz w:val="28"/>
          <w:szCs w:val="28"/>
        </w:rPr>
        <w:t>Ņemot vērā</w:t>
      </w:r>
      <w:r w:rsidR="00024169" w:rsidRPr="002E42F1">
        <w:rPr>
          <w:sz w:val="28"/>
          <w:szCs w:val="28"/>
        </w:rPr>
        <w:t xml:space="preserve"> uzkrāto atgriezenisko informāciju no nozaru pārstāvjiem un praktiskajiem iepirkumu veicējiem</w:t>
      </w:r>
      <w:r w:rsidR="007605CB" w:rsidRPr="002E42F1">
        <w:rPr>
          <w:sz w:val="28"/>
          <w:szCs w:val="28"/>
        </w:rPr>
        <w:t>,</w:t>
      </w:r>
      <w:r w:rsidRPr="002E42F1">
        <w:rPr>
          <w:sz w:val="28"/>
          <w:szCs w:val="28"/>
        </w:rPr>
        <w:t xml:space="preserve"> 2019. gadā </w:t>
      </w:r>
      <w:r w:rsidR="007605CB" w:rsidRPr="002E42F1">
        <w:rPr>
          <w:sz w:val="28"/>
          <w:szCs w:val="28"/>
        </w:rPr>
        <w:t xml:space="preserve">uzsākts pārskatīt </w:t>
      </w:r>
      <w:r w:rsidRPr="002E42F1">
        <w:rPr>
          <w:sz w:val="28"/>
          <w:szCs w:val="28"/>
        </w:rPr>
        <w:t>MK noteikumu</w:t>
      </w:r>
      <w:r w:rsidR="007605CB" w:rsidRPr="002E42F1">
        <w:rPr>
          <w:sz w:val="28"/>
          <w:szCs w:val="28"/>
        </w:rPr>
        <w:t>s</w:t>
      </w:r>
      <w:r w:rsidRPr="002E42F1">
        <w:rPr>
          <w:sz w:val="28"/>
          <w:szCs w:val="28"/>
        </w:rPr>
        <w:t xml:space="preserve">, lai </w:t>
      </w:r>
      <w:r w:rsidR="00024169" w:rsidRPr="002E42F1">
        <w:rPr>
          <w:sz w:val="28"/>
          <w:szCs w:val="28"/>
        </w:rPr>
        <w:t xml:space="preserve">aktualizētu </w:t>
      </w:r>
      <w:r w:rsidRPr="002E42F1">
        <w:rPr>
          <w:sz w:val="28"/>
          <w:szCs w:val="28"/>
        </w:rPr>
        <w:t>preču, pakalpojumu un b</w:t>
      </w:r>
      <w:r w:rsidR="000D138E" w:rsidRPr="002E42F1">
        <w:rPr>
          <w:sz w:val="28"/>
          <w:szCs w:val="28"/>
        </w:rPr>
        <w:t>ūvdarb</w:t>
      </w:r>
      <w:r w:rsidRPr="002E42F1">
        <w:rPr>
          <w:sz w:val="28"/>
          <w:szCs w:val="28"/>
        </w:rPr>
        <w:t xml:space="preserve">u tehnisko specifikāciju prasības un vērtēšanas kritērijus, </w:t>
      </w:r>
      <w:r w:rsidR="007605CB" w:rsidRPr="002E42F1">
        <w:rPr>
          <w:sz w:val="28"/>
          <w:szCs w:val="28"/>
        </w:rPr>
        <w:t>kas</w:t>
      </w:r>
      <w:r w:rsidRPr="002E42F1">
        <w:rPr>
          <w:sz w:val="28"/>
          <w:szCs w:val="28"/>
        </w:rPr>
        <w:t xml:space="preserve"> atvieglotu to piemērošanu valsts un pašvaldību iepirkumos. Vienlaicīgi, līdz ar pieejamākām jaunajām tehnoloģijām un pilnveidotām Eiropas Komisijas vadlīnijām </w:t>
      </w:r>
      <w:r w:rsidR="00D57545" w:rsidRPr="002E42F1">
        <w:rPr>
          <w:sz w:val="28"/>
          <w:szCs w:val="28"/>
        </w:rPr>
        <w:t>zaļajam</w:t>
      </w:r>
      <w:r w:rsidRPr="002E42F1">
        <w:rPr>
          <w:sz w:val="28"/>
          <w:szCs w:val="28"/>
        </w:rPr>
        <w:t xml:space="preserve"> iepirkumam</w:t>
      </w:r>
      <w:r w:rsidR="007605CB" w:rsidRPr="002E42F1">
        <w:rPr>
          <w:sz w:val="28"/>
          <w:szCs w:val="28"/>
        </w:rPr>
        <w:t>,</w:t>
      </w:r>
      <w:r w:rsidR="000D138E" w:rsidRPr="002E42F1">
        <w:rPr>
          <w:sz w:val="28"/>
          <w:szCs w:val="28"/>
        </w:rPr>
        <w:t xml:space="preserve"> ir jāveic pilnveidojumi noteikumu pielikumos izvirzītajās prasībās, lai ņemtu vērā arī tehnoloģisko progresu.</w:t>
      </w:r>
    </w:p>
    <w:p w14:paraId="106E3FBA" w14:textId="610109ED" w:rsidR="000D138E" w:rsidRPr="002E42F1" w:rsidRDefault="000D138E" w:rsidP="00701021">
      <w:pPr>
        <w:pStyle w:val="NoSpacing"/>
        <w:ind w:firstLine="720"/>
        <w:jc w:val="both"/>
        <w:rPr>
          <w:sz w:val="28"/>
          <w:szCs w:val="28"/>
        </w:rPr>
      </w:pPr>
      <w:r w:rsidRPr="002E42F1">
        <w:rPr>
          <w:sz w:val="28"/>
          <w:szCs w:val="28"/>
        </w:rPr>
        <w:t>Lai nodrošinātu Aprites ekonomikas princi</w:t>
      </w:r>
      <w:r w:rsidR="007E7FC7" w:rsidRPr="002E42F1">
        <w:rPr>
          <w:sz w:val="28"/>
          <w:szCs w:val="28"/>
        </w:rPr>
        <w:t>pu piemērošanu un VARAM īstenoto</w:t>
      </w:r>
      <w:r w:rsidRPr="002E42F1">
        <w:rPr>
          <w:sz w:val="28"/>
          <w:szCs w:val="28"/>
        </w:rPr>
        <w:t xml:space="preserve"> projekt</w:t>
      </w:r>
      <w:r w:rsidR="007E7FC7" w:rsidRPr="002E42F1">
        <w:rPr>
          <w:sz w:val="28"/>
          <w:szCs w:val="28"/>
        </w:rPr>
        <w:t>u:</w:t>
      </w:r>
      <w:r w:rsidRPr="002E42F1">
        <w:rPr>
          <w:sz w:val="28"/>
          <w:szCs w:val="28"/>
        </w:rPr>
        <w:t xml:space="preserve"> “</w:t>
      </w:r>
      <w:r w:rsidRPr="002E42F1">
        <w:rPr>
          <w:i/>
          <w:sz w:val="28"/>
          <w:szCs w:val="28"/>
        </w:rPr>
        <w:t>Metodiskais atbalsts zaļā iepirkuma piemērošanai</w:t>
      </w:r>
      <w:r w:rsidRPr="002E42F1">
        <w:rPr>
          <w:sz w:val="28"/>
          <w:szCs w:val="28"/>
        </w:rPr>
        <w:t>” rekomendāciju nolietoto riepu pārstrādes un pārstrādes galaproduktu</w:t>
      </w:r>
      <w:r w:rsidR="001671F0" w:rsidRPr="002E42F1">
        <w:rPr>
          <w:sz w:val="28"/>
          <w:szCs w:val="28"/>
        </w:rPr>
        <w:t xml:space="preserve"> </w:t>
      </w:r>
      <w:r w:rsidR="007E7FC7" w:rsidRPr="002E42F1">
        <w:rPr>
          <w:sz w:val="28"/>
          <w:szCs w:val="28"/>
        </w:rPr>
        <w:t xml:space="preserve">izmantošanas veicināšanai un </w:t>
      </w:r>
      <w:r w:rsidR="007E7FC7" w:rsidRPr="002E42F1">
        <w:rPr>
          <w:rFonts w:cs="Tahoma"/>
          <w:sz w:val="28"/>
          <w:szCs w:val="28"/>
        </w:rPr>
        <w:t>“</w:t>
      </w:r>
      <w:r w:rsidR="007E7FC7" w:rsidRPr="002E42F1">
        <w:rPr>
          <w:rFonts w:cs="Tahoma"/>
          <w:i/>
          <w:sz w:val="28"/>
          <w:szCs w:val="28"/>
        </w:rPr>
        <w:t>Sniegt atbalstu zaļā publiskā iepirkuma prasību padziļinātai izpētei un to piemērošanai 2019. gadā, tai skaitā sabiedrības informēšana par zaļo iepirkumu</w:t>
      </w:r>
      <w:r w:rsidR="007E7FC7" w:rsidRPr="002E42F1">
        <w:rPr>
          <w:rFonts w:cs="Tahoma"/>
          <w:sz w:val="28"/>
          <w:szCs w:val="28"/>
        </w:rPr>
        <w:t>”</w:t>
      </w:r>
      <w:r w:rsidR="004C0662" w:rsidRPr="002E42F1">
        <w:rPr>
          <w:rFonts w:cs="Tahoma"/>
          <w:sz w:val="28"/>
          <w:szCs w:val="28"/>
        </w:rPr>
        <w:t xml:space="preserve"> ietvaros izdarītajiem secinājumiem,</w:t>
      </w:r>
      <w:r w:rsidRPr="002E42F1">
        <w:rPr>
          <w:sz w:val="28"/>
          <w:szCs w:val="28"/>
        </w:rPr>
        <w:t xml:space="preserve"> plānots precizēt</w:t>
      </w:r>
      <w:r w:rsidR="004C0662" w:rsidRPr="002E42F1">
        <w:rPr>
          <w:sz w:val="28"/>
          <w:szCs w:val="28"/>
        </w:rPr>
        <w:t xml:space="preserve"> MK noteikumu prasības un kritērijus grupās: datortehnika un IKT infrastruktūra, pārtika un ēdināšanas pakalpojumi, tīrīšanas līdzekļi un pakalpojumi, iekštelpu apgaismojums, ielu apgaismojums un satiksmes signāli, </w:t>
      </w:r>
      <w:r w:rsidR="00645A03" w:rsidRPr="002E42F1">
        <w:rPr>
          <w:sz w:val="28"/>
          <w:szCs w:val="28"/>
        </w:rPr>
        <w:t xml:space="preserve">būvdarbi, </w:t>
      </w:r>
      <w:r w:rsidRPr="002E42F1">
        <w:rPr>
          <w:sz w:val="28"/>
          <w:szCs w:val="28"/>
        </w:rPr>
        <w:t>ceļu būve</w:t>
      </w:r>
      <w:r w:rsidR="00645A03" w:rsidRPr="002E42F1">
        <w:rPr>
          <w:sz w:val="28"/>
          <w:szCs w:val="28"/>
        </w:rPr>
        <w:t xml:space="preserve"> un satiksmes zīmes, mēbeles, transports</w:t>
      </w:r>
      <w:r w:rsidR="008500EB" w:rsidRPr="002E42F1">
        <w:rPr>
          <w:sz w:val="28"/>
          <w:szCs w:val="28"/>
        </w:rPr>
        <w:t xml:space="preserve">. Papildus plānots </w:t>
      </w:r>
      <w:r w:rsidR="00C63DC6" w:rsidRPr="002E42F1">
        <w:rPr>
          <w:sz w:val="28"/>
          <w:szCs w:val="28"/>
        </w:rPr>
        <w:t>papildināt MK noteikumus ar</w:t>
      </w:r>
      <w:r w:rsidRPr="002E42F1">
        <w:rPr>
          <w:sz w:val="28"/>
          <w:szCs w:val="28"/>
        </w:rPr>
        <w:t xml:space="preserve"> jaunu preču un pakalpojumu grupu “</w:t>
      </w:r>
      <w:r w:rsidR="00645A03" w:rsidRPr="002E42F1">
        <w:rPr>
          <w:sz w:val="28"/>
          <w:szCs w:val="28"/>
        </w:rPr>
        <w:t>Atpūtas un sporta infrastruktūra</w:t>
      </w:r>
      <w:r w:rsidR="008500EB" w:rsidRPr="002E42F1">
        <w:rPr>
          <w:sz w:val="28"/>
          <w:szCs w:val="28"/>
        </w:rPr>
        <w:t>”, kur uzsvars tiks likts uz nolietoto riepu</w:t>
      </w:r>
      <w:r w:rsidRPr="002E42F1">
        <w:rPr>
          <w:sz w:val="28"/>
          <w:szCs w:val="28"/>
        </w:rPr>
        <w:t xml:space="preserve"> </w:t>
      </w:r>
      <w:r w:rsidR="008500EB" w:rsidRPr="002E42F1">
        <w:rPr>
          <w:sz w:val="28"/>
          <w:szCs w:val="28"/>
        </w:rPr>
        <w:t xml:space="preserve">pārstrādes produktu izmantošanu. </w:t>
      </w:r>
    </w:p>
    <w:p w14:paraId="4FD0E151" w14:textId="5A7F44E8" w:rsidR="008500EB" w:rsidRPr="002E42F1" w:rsidRDefault="00C63DC6" w:rsidP="00701021">
      <w:pPr>
        <w:pStyle w:val="NoSpacing"/>
        <w:ind w:firstLine="720"/>
        <w:jc w:val="both"/>
        <w:rPr>
          <w:sz w:val="28"/>
          <w:szCs w:val="28"/>
        </w:rPr>
      </w:pPr>
      <w:r w:rsidRPr="002E42F1">
        <w:rPr>
          <w:sz w:val="28"/>
          <w:szCs w:val="28"/>
        </w:rPr>
        <w:t>MK n</w:t>
      </w:r>
      <w:r w:rsidR="008500EB" w:rsidRPr="002E42F1">
        <w:rPr>
          <w:sz w:val="28"/>
          <w:szCs w:val="28"/>
        </w:rPr>
        <w:t xml:space="preserve">oteikumu pārskats tiek </w:t>
      </w:r>
      <w:r w:rsidR="00F83F76" w:rsidRPr="002E42F1">
        <w:rPr>
          <w:sz w:val="28"/>
          <w:szCs w:val="28"/>
        </w:rPr>
        <w:t>veikts ciešā sadarbībā ar nozaru</w:t>
      </w:r>
      <w:r w:rsidR="008500EB" w:rsidRPr="002E42F1">
        <w:rPr>
          <w:sz w:val="28"/>
          <w:szCs w:val="28"/>
        </w:rPr>
        <w:t xml:space="preserve"> </w:t>
      </w:r>
      <w:r w:rsidR="00D57545" w:rsidRPr="002E42F1">
        <w:rPr>
          <w:sz w:val="28"/>
          <w:szCs w:val="28"/>
        </w:rPr>
        <w:t>uzņēmumiem</w:t>
      </w:r>
      <w:r w:rsidR="008500EB" w:rsidRPr="002E42F1">
        <w:rPr>
          <w:sz w:val="28"/>
          <w:szCs w:val="28"/>
        </w:rPr>
        <w:t xml:space="preserve">, nevalstisko sektoru, lai nodrošinātu prasību un kritēriju atbilstību esošai tirgus situācijai un veicinātu apkārtējai videi draudzīgu, vietējo preču noietu un pakalpojumu tirgus attīstību. </w:t>
      </w:r>
      <w:r w:rsidR="00AE27A4" w:rsidRPr="002E42F1">
        <w:rPr>
          <w:sz w:val="28"/>
          <w:szCs w:val="28"/>
        </w:rPr>
        <w:t>P</w:t>
      </w:r>
      <w:r w:rsidR="008500EB" w:rsidRPr="002E42F1">
        <w:rPr>
          <w:sz w:val="28"/>
          <w:szCs w:val="28"/>
        </w:rPr>
        <w:t>ārskatīto</w:t>
      </w:r>
      <w:r w:rsidR="00AE27A4" w:rsidRPr="002E42F1">
        <w:rPr>
          <w:sz w:val="28"/>
          <w:szCs w:val="28"/>
        </w:rPr>
        <w:t xml:space="preserve"> MK</w:t>
      </w:r>
      <w:r w:rsidR="008500EB" w:rsidRPr="002E42F1">
        <w:rPr>
          <w:sz w:val="28"/>
          <w:szCs w:val="28"/>
        </w:rPr>
        <w:t xml:space="preserve"> noteikumu projektu </w:t>
      </w:r>
      <w:r w:rsidR="00AE27A4" w:rsidRPr="002E42F1">
        <w:rPr>
          <w:sz w:val="28"/>
          <w:szCs w:val="28"/>
        </w:rPr>
        <w:t xml:space="preserve">plānots </w:t>
      </w:r>
      <w:r w:rsidR="008500EB" w:rsidRPr="002E42F1">
        <w:rPr>
          <w:sz w:val="28"/>
          <w:szCs w:val="28"/>
        </w:rPr>
        <w:t xml:space="preserve">iesniegt Ministru kabinetā </w:t>
      </w:r>
      <w:r w:rsidR="00D57545" w:rsidRPr="002E42F1">
        <w:rPr>
          <w:sz w:val="28"/>
          <w:szCs w:val="28"/>
        </w:rPr>
        <w:t>apstiprināšanai</w:t>
      </w:r>
      <w:r w:rsidR="00AE27A4" w:rsidRPr="002E42F1">
        <w:rPr>
          <w:sz w:val="28"/>
          <w:szCs w:val="28"/>
        </w:rPr>
        <w:t xml:space="preserve"> līdz</w:t>
      </w:r>
      <w:r w:rsidR="008500EB" w:rsidRPr="002E42F1">
        <w:rPr>
          <w:sz w:val="28"/>
          <w:szCs w:val="28"/>
        </w:rPr>
        <w:t xml:space="preserve"> 2020</w:t>
      </w:r>
      <w:r w:rsidR="00EC3CBA" w:rsidRPr="002E42F1">
        <w:rPr>
          <w:sz w:val="28"/>
          <w:szCs w:val="28"/>
        </w:rPr>
        <w:t>.</w:t>
      </w:r>
      <w:r w:rsidR="008500EB" w:rsidRPr="002E42F1">
        <w:rPr>
          <w:sz w:val="28"/>
          <w:szCs w:val="28"/>
        </w:rPr>
        <w:t xml:space="preserve"> gada </w:t>
      </w:r>
      <w:r w:rsidR="009B2FFF" w:rsidRPr="002E42F1">
        <w:rPr>
          <w:sz w:val="28"/>
          <w:szCs w:val="28"/>
        </w:rPr>
        <w:t>30</w:t>
      </w:r>
      <w:r w:rsidR="00AE27A4" w:rsidRPr="002E42F1">
        <w:rPr>
          <w:sz w:val="28"/>
          <w:szCs w:val="28"/>
        </w:rPr>
        <w:t>. jū</w:t>
      </w:r>
      <w:r w:rsidR="009B2FFF" w:rsidRPr="002E42F1">
        <w:rPr>
          <w:sz w:val="28"/>
          <w:szCs w:val="28"/>
        </w:rPr>
        <w:t>n</w:t>
      </w:r>
      <w:r w:rsidR="00AE27A4" w:rsidRPr="002E42F1">
        <w:rPr>
          <w:sz w:val="28"/>
          <w:szCs w:val="28"/>
        </w:rPr>
        <w:t>ijam</w:t>
      </w:r>
      <w:r w:rsidR="008500EB" w:rsidRPr="002E42F1">
        <w:rPr>
          <w:sz w:val="28"/>
          <w:szCs w:val="28"/>
        </w:rPr>
        <w:t xml:space="preserve">. </w:t>
      </w:r>
    </w:p>
    <w:p w14:paraId="4DA3A94F" w14:textId="77777777" w:rsidR="00366054" w:rsidRPr="002E42F1" w:rsidRDefault="00366054" w:rsidP="006C282B">
      <w:pPr>
        <w:pStyle w:val="NoSpacing"/>
        <w:jc w:val="both"/>
        <w:rPr>
          <w:sz w:val="28"/>
          <w:szCs w:val="28"/>
        </w:rPr>
      </w:pPr>
    </w:p>
    <w:p w14:paraId="47B3D0C5" w14:textId="77777777" w:rsidR="00086086" w:rsidRPr="002E42F1" w:rsidRDefault="00086086" w:rsidP="006C282B">
      <w:pPr>
        <w:pStyle w:val="NoSpacing"/>
        <w:jc w:val="both"/>
        <w:rPr>
          <w:sz w:val="28"/>
          <w:szCs w:val="28"/>
        </w:rPr>
      </w:pPr>
    </w:p>
    <w:p w14:paraId="6F80F099" w14:textId="77777777" w:rsidR="00340B7D" w:rsidRPr="002E42F1" w:rsidRDefault="00340B7D" w:rsidP="006C282B">
      <w:pPr>
        <w:pStyle w:val="NoSpacing"/>
        <w:jc w:val="both"/>
        <w:rPr>
          <w:sz w:val="28"/>
          <w:szCs w:val="28"/>
        </w:rPr>
      </w:pPr>
      <w:r w:rsidRPr="002E42F1">
        <w:rPr>
          <w:sz w:val="28"/>
          <w:szCs w:val="28"/>
        </w:rPr>
        <w:t>Vides aizsardzības un</w:t>
      </w:r>
    </w:p>
    <w:p w14:paraId="19A5DF35" w14:textId="38DC4D83" w:rsidR="008500EB" w:rsidRPr="002E42F1" w:rsidRDefault="00340B7D" w:rsidP="006C282B">
      <w:pPr>
        <w:pStyle w:val="NoSpacing"/>
        <w:jc w:val="both"/>
        <w:rPr>
          <w:sz w:val="28"/>
          <w:szCs w:val="28"/>
        </w:rPr>
      </w:pPr>
      <w:r w:rsidRPr="002E42F1">
        <w:rPr>
          <w:sz w:val="28"/>
          <w:szCs w:val="28"/>
        </w:rPr>
        <w:t>reģionālās attīstības ministrs</w:t>
      </w:r>
      <w:r w:rsidR="001671F0" w:rsidRPr="002E42F1">
        <w:rPr>
          <w:sz w:val="28"/>
          <w:szCs w:val="28"/>
        </w:rPr>
        <w:tab/>
      </w:r>
      <w:r w:rsidR="001671F0" w:rsidRPr="002E42F1">
        <w:rPr>
          <w:sz w:val="28"/>
          <w:szCs w:val="28"/>
        </w:rPr>
        <w:tab/>
      </w:r>
      <w:r w:rsidR="001671F0" w:rsidRPr="002E42F1">
        <w:rPr>
          <w:sz w:val="28"/>
          <w:szCs w:val="28"/>
        </w:rPr>
        <w:tab/>
      </w:r>
      <w:r w:rsidR="001671F0" w:rsidRPr="002E42F1">
        <w:rPr>
          <w:sz w:val="28"/>
          <w:szCs w:val="28"/>
        </w:rPr>
        <w:tab/>
      </w:r>
      <w:r w:rsidR="001671F0" w:rsidRPr="002E42F1">
        <w:rPr>
          <w:sz w:val="28"/>
          <w:szCs w:val="28"/>
        </w:rPr>
        <w:tab/>
      </w:r>
      <w:r w:rsidR="001671F0" w:rsidRPr="002E42F1">
        <w:rPr>
          <w:sz w:val="28"/>
          <w:szCs w:val="28"/>
        </w:rPr>
        <w:tab/>
      </w:r>
      <w:r w:rsidR="001671F0" w:rsidRPr="002E42F1">
        <w:rPr>
          <w:sz w:val="28"/>
          <w:szCs w:val="28"/>
        </w:rPr>
        <w:tab/>
      </w:r>
      <w:r w:rsidR="008500EB" w:rsidRPr="002E42F1">
        <w:rPr>
          <w:sz w:val="28"/>
          <w:szCs w:val="28"/>
        </w:rPr>
        <w:t>J. Pūce</w:t>
      </w:r>
    </w:p>
    <w:p w14:paraId="227A196B" w14:textId="77777777" w:rsidR="00701021" w:rsidRDefault="00701021" w:rsidP="006C282B">
      <w:pPr>
        <w:pStyle w:val="NoSpacing"/>
        <w:jc w:val="both"/>
        <w:rPr>
          <w:sz w:val="28"/>
          <w:szCs w:val="28"/>
        </w:rPr>
      </w:pPr>
    </w:p>
    <w:p w14:paraId="7939FA55" w14:textId="77777777" w:rsidR="00445329" w:rsidRPr="002E42F1" w:rsidRDefault="00445329" w:rsidP="006C282B">
      <w:pPr>
        <w:pStyle w:val="NoSpacing"/>
        <w:jc w:val="both"/>
        <w:rPr>
          <w:sz w:val="28"/>
          <w:szCs w:val="28"/>
        </w:rPr>
      </w:pPr>
    </w:p>
    <w:p w14:paraId="5D9810D1" w14:textId="484A4222" w:rsidR="00240096" w:rsidRPr="00445329" w:rsidRDefault="00207F1A" w:rsidP="006C282B">
      <w:pPr>
        <w:pStyle w:val="NoSpacing"/>
        <w:jc w:val="both"/>
        <w:rPr>
          <w:sz w:val="20"/>
          <w:szCs w:val="20"/>
          <w:shd w:val="clear" w:color="auto" w:fill="FFFFFF"/>
        </w:rPr>
      </w:pPr>
      <w:r w:rsidRPr="00445329">
        <w:rPr>
          <w:sz w:val="20"/>
          <w:szCs w:val="20"/>
        </w:rPr>
        <w:t>Z.Legzdiņš</w:t>
      </w:r>
      <w:r w:rsidR="00340B7D" w:rsidRPr="00445329">
        <w:rPr>
          <w:sz w:val="20"/>
          <w:szCs w:val="20"/>
        </w:rPr>
        <w:t>,</w:t>
      </w:r>
      <w:r w:rsidR="00340B7D" w:rsidRPr="00445329">
        <w:rPr>
          <w:sz w:val="20"/>
          <w:szCs w:val="20"/>
          <w:shd w:val="clear" w:color="auto" w:fill="FFFFFF"/>
        </w:rPr>
        <w:t xml:space="preserve"> </w:t>
      </w:r>
      <w:r w:rsidR="00044281" w:rsidRPr="00445329">
        <w:rPr>
          <w:sz w:val="20"/>
          <w:szCs w:val="20"/>
          <w:shd w:val="clear" w:color="auto" w:fill="FFFFFF"/>
        </w:rPr>
        <w:t>67026590,</w:t>
      </w:r>
    </w:p>
    <w:p w14:paraId="3D89694D" w14:textId="4B79CA08" w:rsidR="00F04636" w:rsidRPr="00445329" w:rsidRDefault="007E15E6" w:rsidP="006C282B">
      <w:pPr>
        <w:pStyle w:val="NoSpacing"/>
        <w:jc w:val="both"/>
        <w:rPr>
          <w:sz w:val="20"/>
          <w:szCs w:val="20"/>
        </w:rPr>
      </w:pPr>
      <w:hyperlink r:id="rId25" w:history="1">
        <w:r w:rsidR="00207F1A" w:rsidRPr="00445329">
          <w:rPr>
            <w:rStyle w:val="Hyperlink"/>
            <w:sz w:val="20"/>
            <w:szCs w:val="20"/>
          </w:rPr>
          <w:t>Zigmars.Legzdins@varam.gov.lv</w:t>
        </w:r>
      </w:hyperlink>
      <w:r w:rsidR="00207F1A" w:rsidRPr="00445329">
        <w:rPr>
          <w:color w:val="FF0000"/>
          <w:sz w:val="20"/>
          <w:szCs w:val="20"/>
        </w:rPr>
        <w:t xml:space="preserve"> </w:t>
      </w:r>
    </w:p>
    <w:sectPr w:rsidR="00F04636" w:rsidRPr="00445329" w:rsidSect="00865D1B">
      <w:headerReference w:type="default" r:id="rId26"/>
      <w:footerReference w:type="default" r:id="rId27"/>
      <w:headerReference w:type="first" r:id="rId28"/>
      <w:footerReference w:type="first" r:id="rId29"/>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F284" w14:textId="77777777" w:rsidR="007E15E6" w:rsidRDefault="007E15E6" w:rsidP="006C4037">
      <w:r>
        <w:separator/>
      </w:r>
    </w:p>
  </w:endnote>
  <w:endnote w:type="continuationSeparator" w:id="0">
    <w:p w14:paraId="76732955" w14:textId="77777777" w:rsidR="007E15E6" w:rsidRDefault="007E15E6" w:rsidP="006C4037">
      <w:r>
        <w:continuationSeparator/>
      </w:r>
    </w:p>
  </w:endnote>
  <w:endnote w:type="continuationNotice" w:id="1">
    <w:p w14:paraId="66BFE7E5" w14:textId="77777777" w:rsidR="00055F9A" w:rsidRDefault="00055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38274706"/>
      <w:docPartObj>
        <w:docPartGallery w:val="Page Numbers (Bottom of Page)"/>
        <w:docPartUnique/>
      </w:docPartObj>
    </w:sdtPr>
    <w:sdtContent>
      <w:p w14:paraId="3A2D16D5" w14:textId="666F12F0" w:rsidR="007E15E6" w:rsidRPr="00290EAC" w:rsidRDefault="007E15E6" w:rsidP="00290EAC">
        <w:pPr>
          <w:pStyle w:val="NoSpacing"/>
          <w:rPr>
            <w:sz w:val="20"/>
            <w:szCs w:val="20"/>
          </w:rPr>
        </w:pPr>
        <w:r w:rsidRPr="00290EAC">
          <w:rPr>
            <w:sz w:val="20"/>
            <w:szCs w:val="20"/>
          </w:rPr>
          <w:fldChar w:fldCharType="begin"/>
        </w:r>
        <w:r w:rsidRPr="00290EAC">
          <w:rPr>
            <w:sz w:val="20"/>
            <w:szCs w:val="20"/>
          </w:rPr>
          <w:instrText xml:space="preserve"> FILENAME   \* MERGEFORMAT </w:instrText>
        </w:r>
        <w:r w:rsidRPr="00290EAC">
          <w:rPr>
            <w:sz w:val="20"/>
            <w:szCs w:val="20"/>
          </w:rPr>
          <w:fldChar w:fldCharType="separate"/>
        </w:r>
        <w:r>
          <w:rPr>
            <w:noProof/>
            <w:sz w:val="20"/>
            <w:szCs w:val="20"/>
          </w:rPr>
          <w:t>VARAMzino_140420_ZPI-2019</w:t>
        </w:r>
        <w:r w:rsidRPr="00290EA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BFE" w14:textId="3DEE60AA" w:rsidR="007E15E6" w:rsidRPr="00140BE2" w:rsidRDefault="007E15E6">
    <w:pPr>
      <w:pStyle w:val="Footer"/>
      <w:rPr>
        <w:sz w:val="20"/>
        <w:szCs w:val="20"/>
      </w:rPr>
    </w:pPr>
    <w:r w:rsidRPr="00140BE2">
      <w:rPr>
        <w:sz w:val="20"/>
        <w:szCs w:val="20"/>
      </w:rPr>
      <w:fldChar w:fldCharType="begin"/>
    </w:r>
    <w:r w:rsidRPr="00140BE2">
      <w:rPr>
        <w:sz w:val="20"/>
        <w:szCs w:val="20"/>
      </w:rPr>
      <w:instrText xml:space="preserve"> FILENAME   \* MERGEFORMAT </w:instrText>
    </w:r>
    <w:r w:rsidRPr="00140BE2">
      <w:rPr>
        <w:sz w:val="20"/>
        <w:szCs w:val="20"/>
      </w:rPr>
      <w:fldChar w:fldCharType="separate"/>
    </w:r>
    <w:r>
      <w:rPr>
        <w:noProof/>
        <w:sz w:val="20"/>
        <w:szCs w:val="20"/>
      </w:rPr>
      <w:t>VARAMzino_140420_ZPI-2019</w:t>
    </w:r>
    <w:r w:rsidRPr="00140BE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93DFB" w14:textId="77777777" w:rsidR="007E15E6" w:rsidRDefault="007E15E6" w:rsidP="006C4037">
      <w:r>
        <w:separator/>
      </w:r>
    </w:p>
  </w:footnote>
  <w:footnote w:type="continuationSeparator" w:id="0">
    <w:p w14:paraId="24E9268A" w14:textId="77777777" w:rsidR="007E15E6" w:rsidRDefault="007E15E6" w:rsidP="006C4037">
      <w:r>
        <w:continuationSeparator/>
      </w:r>
    </w:p>
  </w:footnote>
  <w:footnote w:type="continuationNotice" w:id="1">
    <w:p w14:paraId="657C9520" w14:textId="77777777" w:rsidR="00055F9A" w:rsidRDefault="00055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942500"/>
      <w:docPartObj>
        <w:docPartGallery w:val="Page Numbers (Top of Page)"/>
        <w:docPartUnique/>
      </w:docPartObj>
    </w:sdtPr>
    <w:sdtEndPr>
      <w:rPr>
        <w:noProof/>
      </w:rPr>
    </w:sdtEndPr>
    <w:sdtContent>
      <w:p w14:paraId="56246B84" w14:textId="00A5723C" w:rsidR="007E15E6" w:rsidRDefault="007E15E6" w:rsidP="008F55C3">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DD5F" w14:textId="77777777" w:rsidR="007E15E6" w:rsidRDefault="007E15E6">
    <w:pPr>
      <w:pStyle w:val="Header"/>
      <w:jc w:val="center"/>
    </w:pPr>
  </w:p>
  <w:p w14:paraId="13B738B1" w14:textId="77777777" w:rsidR="007E15E6" w:rsidRDefault="007E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BD"/>
    <w:multiLevelType w:val="hybridMultilevel"/>
    <w:tmpl w:val="83A28434"/>
    <w:lvl w:ilvl="0" w:tplc="BEA2EE46">
      <w:start w:val="1"/>
      <w:numFmt w:val="decimal"/>
      <w:lvlText w:val="%1."/>
      <w:lvlJc w:val="left"/>
      <w:pPr>
        <w:ind w:left="1128" w:hanging="360"/>
      </w:pPr>
      <w:rPr>
        <w:rFonts w:hint="default"/>
        <w:b w:val="0"/>
      </w:rPr>
    </w:lvl>
    <w:lvl w:ilvl="1" w:tplc="04260019" w:tentative="1">
      <w:start w:val="1"/>
      <w:numFmt w:val="lowerLetter"/>
      <w:lvlText w:val="%2."/>
      <w:lvlJc w:val="left"/>
      <w:pPr>
        <w:ind w:left="1848" w:hanging="360"/>
      </w:pPr>
    </w:lvl>
    <w:lvl w:ilvl="2" w:tplc="0426001B" w:tentative="1">
      <w:start w:val="1"/>
      <w:numFmt w:val="lowerRoman"/>
      <w:lvlText w:val="%3."/>
      <w:lvlJc w:val="right"/>
      <w:pPr>
        <w:ind w:left="2568" w:hanging="180"/>
      </w:pPr>
    </w:lvl>
    <w:lvl w:ilvl="3" w:tplc="0426000F" w:tentative="1">
      <w:start w:val="1"/>
      <w:numFmt w:val="decimal"/>
      <w:lvlText w:val="%4."/>
      <w:lvlJc w:val="left"/>
      <w:pPr>
        <w:ind w:left="3288" w:hanging="360"/>
      </w:pPr>
    </w:lvl>
    <w:lvl w:ilvl="4" w:tplc="04260019" w:tentative="1">
      <w:start w:val="1"/>
      <w:numFmt w:val="lowerLetter"/>
      <w:lvlText w:val="%5."/>
      <w:lvlJc w:val="left"/>
      <w:pPr>
        <w:ind w:left="4008" w:hanging="360"/>
      </w:pPr>
    </w:lvl>
    <w:lvl w:ilvl="5" w:tplc="0426001B" w:tentative="1">
      <w:start w:val="1"/>
      <w:numFmt w:val="lowerRoman"/>
      <w:lvlText w:val="%6."/>
      <w:lvlJc w:val="right"/>
      <w:pPr>
        <w:ind w:left="4728" w:hanging="180"/>
      </w:pPr>
    </w:lvl>
    <w:lvl w:ilvl="6" w:tplc="0426000F" w:tentative="1">
      <w:start w:val="1"/>
      <w:numFmt w:val="decimal"/>
      <w:lvlText w:val="%7."/>
      <w:lvlJc w:val="left"/>
      <w:pPr>
        <w:ind w:left="5448" w:hanging="360"/>
      </w:pPr>
    </w:lvl>
    <w:lvl w:ilvl="7" w:tplc="04260019" w:tentative="1">
      <w:start w:val="1"/>
      <w:numFmt w:val="lowerLetter"/>
      <w:lvlText w:val="%8."/>
      <w:lvlJc w:val="left"/>
      <w:pPr>
        <w:ind w:left="6168" w:hanging="360"/>
      </w:pPr>
    </w:lvl>
    <w:lvl w:ilvl="8" w:tplc="0426001B" w:tentative="1">
      <w:start w:val="1"/>
      <w:numFmt w:val="lowerRoman"/>
      <w:lvlText w:val="%9."/>
      <w:lvlJc w:val="right"/>
      <w:pPr>
        <w:ind w:left="6888" w:hanging="180"/>
      </w:pPr>
    </w:lvl>
  </w:abstractNum>
  <w:abstractNum w:abstractNumId="1" w15:restartNumberingAfterBreak="0">
    <w:nsid w:val="01DF0594"/>
    <w:multiLevelType w:val="hybridMultilevel"/>
    <w:tmpl w:val="68A03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25C35"/>
    <w:multiLevelType w:val="hybridMultilevel"/>
    <w:tmpl w:val="0EE829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A06106"/>
    <w:multiLevelType w:val="hybridMultilevel"/>
    <w:tmpl w:val="FE521D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741143"/>
    <w:multiLevelType w:val="hybridMultilevel"/>
    <w:tmpl w:val="F73C6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8514F7"/>
    <w:multiLevelType w:val="hybridMultilevel"/>
    <w:tmpl w:val="D5409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391329"/>
    <w:multiLevelType w:val="hybridMultilevel"/>
    <w:tmpl w:val="722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D6DB7"/>
    <w:multiLevelType w:val="multilevel"/>
    <w:tmpl w:val="F8022D6C"/>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998665B"/>
    <w:multiLevelType w:val="hybridMultilevel"/>
    <w:tmpl w:val="FA2894B6"/>
    <w:lvl w:ilvl="0" w:tplc="0426000F">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2EA06879"/>
    <w:multiLevelType w:val="hybridMultilevel"/>
    <w:tmpl w:val="FFA89C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FB32DD4"/>
    <w:multiLevelType w:val="hybridMultilevel"/>
    <w:tmpl w:val="AB4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3615C"/>
    <w:multiLevelType w:val="hybridMultilevel"/>
    <w:tmpl w:val="82A8E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0A5633"/>
    <w:multiLevelType w:val="multilevel"/>
    <w:tmpl w:val="871235FE"/>
    <w:lvl w:ilvl="0">
      <w:start w:val="1"/>
      <w:numFmt w:val="decimal"/>
      <w:lvlText w:val="%1."/>
      <w:lvlJc w:val="left"/>
      <w:pPr>
        <w:ind w:left="2859" w:hanging="360"/>
      </w:pPr>
      <w:rPr>
        <w:rFonts w:hint="default"/>
      </w:rPr>
    </w:lvl>
    <w:lvl w:ilvl="1">
      <w:start w:val="1"/>
      <w:numFmt w:val="decimal"/>
      <w:isLgl/>
      <w:lvlText w:val="%1.%2."/>
      <w:lvlJc w:val="left"/>
      <w:pPr>
        <w:ind w:left="3939" w:hanging="720"/>
      </w:pPr>
      <w:rPr>
        <w:rFonts w:hint="default"/>
        <w:b/>
        <w:color w:val="auto"/>
      </w:rPr>
    </w:lvl>
    <w:lvl w:ilvl="2">
      <w:start w:val="1"/>
      <w:numFmt w:val="decimal"/>
      <w:isLgl/>
      <w:lvlText w:val="%1.%2.%3."/>
      <w:lvlJc w:val="left"/>
      <w:pPr>
        <w:ind w:left="3939" w:hanging="720"/>
      </w:pPr>
      <w:rPr>
        <w:rFonts w:hint="default"/>
        <w:b/>
        <w:color w:val="auto"/>
      </w:rPr>
    </w:lvl>
    <w:lvl w:ilvl="3">
      <w:start w:val="1"/>
      <w:numFmt w:val="decimal"/>
      <w:isLgl/>
      <w:lvlText w:val="%1.%2.%3.%4."/>
      <w:lvlJc w:val="left"/>
      <w:pPr>
        <w:ind w:left="4299" w:hanging="1080"/>
      </w:pPr>
      <w:rPr>
        <w:rFonts w:hint="default"/>
        <w:b/>
        <w:color w:val="auto"/>
      </w:rPr>
    </w:lvl>
    <w:lvl w:ilvl="4">
      <w:start w:val="1"/>
      <w:numFmt w:val="decimal"/>
      <w:isLgl/>
      <w:lvlText w:val="%1.%2.%3.%4.%5."/>
      <w:lvlJc w:val="left"/>
      <w:pPr>
        <w:ind w:left="4299" w:hanging="1080"/>
      </w:pPr>
      <w:rPr>
        <w:rFonts w:hint="default"/>
        <w:b/>
        <w:color w:val="auto"/>
      </w:rPr>
    </w:lvl>
    <w:lvl w:ilvl="5">
      <w:start w:val="1"/>
      <w:numFmt w:val="decimal"/>
      <w:isLgl/>
      <w:lvlText w:val="%1.%2.%3.%4.%5.%6."/>
      <w:lvlJc w:val="left"/>
      <w:pPr>
        <w:ind w:left="4659" w:hanging="1440"/>
      </w:pPr>
      <w:rPr>
        <w:rFonts w:hint="default"/>
        <w:b/>
        <w:color w:val="auto"/>
      </w:rPr>
    </w:lvl>
    <w:lvl w:ilvl="6">
      <w:start w:val="1"/>
      <w:numFmt w:val="decimal"/>
      <w:isLgl/>
      <w:lvlText w:val="%1.%2.%3.%4.%5.%6.%7."/>
      <w:lvlJc w:val="left"/>
      <w:pPr>
        <w:ind w:left="5019" w:hanging="1800"/>
      </w:pPr>
      <w:rPr>
        <w:rFonts w:hint="default"/>
        <w:b/>
        <w:color w:val="auto"/>
      </w:rPr>
    </w:lvl>
    <w:lvl w:ilvl="7">
      <w:start w:val="1"/>
      <w:numFmt w:val="decimal"/>
      <w:isLgl/>
      <w:lvlText w:val="%1.%2.%3.%4.%5.%6.%7.%8."/>
      <w:lvlJc w:val="left"/>
      <w:pPr>
        <w:ind w:left="5019" w:hanging="1800"/>
      </w:pPr>
      <w:rPr>
        <w:rFonts w:hint="default"/>
        <w:b/>
        <w:color w:val="auto"/>
      </w:rPr>
    </w:lvl>
    <w:lvl w:ilvl="8">
      <w:start w:val="1"/>
      <w:numFmt w:val="decimal"/>
      <w:isLgl/>
      <w:lvlText w:val="%1.%2.%3.%4.%5.%6.%7.%8.%9."/>
      <w:lvlJc w:val="left"/>
      <w:pPr>
        <w:ind w:left="5379" w:hanging="2160"/>
      </w:pPr>
      <w:rPr>
        <w:rFonts w:hint="default"/>
        <w:b/>
        <w:color w:val="auto"/>
      </w:rPr>
    </w:lvl>
  </w:abstractNum>
  <w:abstractNum w:abstractNumId="13" w15:restartNumberingAfterBreak="0">
    <w:nsid w:val="39083765"/>
    <w:multiLevelType w:val="hybridMultilevel"/>
    <w:tmpl w:val="94BA17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B5912DF"/>
    <w:multiLevelType w:val="multilevel"/>
    <w:tmpl w:val="35C0931E"/>
    <w:lvl w:ilvl="0">
      <w:start w:val="1"/>
      <w:numFmt w:val="decimal"/>
      <w:lvlText w:val="%1."/>
      <w:lvlJc w:val="left"/>
      <w:pPr>
        <w:ind w:left="644" w:hanging="360"/>
      </w:pPr>
      <w:rPr>
        <w:rFonts w:hint="default"/>
      </w:rPr>
    </w:lvl>
    <w:lvl w:ilvl="1">
      <w:start w:val="1"/>
      <w:numFmt w:val="decimal"/>
      <w:isLgl/>
      <w:lvlText w:val="%1.%2."/>
      <w:lvlJc w:val="left"/>
      <w:pPr>
        <w:ind w:left="2160" w:hanging="720"/>
      </w:pPr>
      <w:rPr>
        <w:rFonts w:hint="default"/>
        <w:b/>
        <w:color w:val="auto"/>
      </w:rPr>
    </w:lvl>
    <w:lvl w:ilvl="2">
      <w:start w:val="1"/>
      <w:numFmt w:val="decimal"/>
      <w:isLgl/>
      <w:lvlText w:val="%1.%2.%3."/>
      <w:lvlJc w:val="left"/>
      <w:pPr>
        <w:ind w:left="3240" w:hanging="720"/>
      </w:pPr>
      <w:rPr>
        <w:rFonts w:hint="default"/>
        <w:b/>
        <w:color w:val="auto"/>
      </w:rPr>
    </w:lvl>
    <w:lvl w:ilvl="3">
      <w:start w:val="1"/>
      <w:numFmt w:val="decimal"/>
      <w:isLgl/>
      <w:lvlText w:val="%1.%2.%3.%4."/>
      <w:lvlJc w:val="left"/>
      <w:pPr>
        <w:ind w:left="4680" w:hanging="1080"/>
      </w:pPr>
      <w:rPr>
        <w:rFonts w:hint="default"/>
        <w:b/>
        <w:color w:val="auto"/>
      </w:rPr>
    </w:lvl>
    <w:lvl w:ilvl="4">
      <w:start w:val="1"/>
      <w:numFmt w:val="decimal"/>
      <w:isLgl/>
      <w:lvlText w:val="%1.%2.%3.%4.%5."/>
      <w:lvlJc w:val="left"/>
      <w:pPr>
        <w:ind w:left="5760" w:hanging="1080"/>
      </w:pPr>
      <w:rPr>
        <w:rFonts w:hint="default"/>
        <w:b/>
        <w:color w:val="auto"/>
      </w:rPr>
    </w:lvl>
    <w:lvl w:ilvl="5">
      <w:start w:val="1"/>
      <w:numFmt w:val="decimal"/>
      <w:isLgl/>
      <w:lvlText w:val="%1.%2.%3.%4.%5.%6."/>
      <w:lvlJc w:val="left"/>
      <w:pPr>
        <w:ind w:left="7200" w:hanging="1440"/>
      </w:pPr>
      <w:rPr>
        <w:rFonts w:hint="default"/>
        <w:b/>
        <w:color w:val="auto"/>
      </w:rPr>
    </w:lvl>
    <w:lvl w:ilvl="6">
      <w:start w:val="1"/>
      <w:numFmt w:val="decimal"/>
      <w:isLgl/>
      <w:lvlText w:val="%1.%2.%3.%4.%5.%6.%7."/>
      <w:lvlJc w:val="left"/>
      <w:pPr>
        <w:ind w:left="8640" w:hanging="1800"/>
      </w:pPr>
      <w:rPr>
        <w:rFonts w:hint="default"/>
        <w:b/>
        <w:color w:val="auto"/>
      </w:rPr>
    </w:lvl>
    <w:lvl w:ilvl="7">
      <w:start w:val="1"/>
      <w:numFmt w:val="decimal"/>
      <w:isLgl/>
      <w:lvlText w:val="%1.%2.%3.%4.%5.%6.%7.%8."/>
      <w:lvlJc w:val="left"/>
      <w:pPr>
        <w:ind w:left="9720" w:hanging="1800"/>
      </w:pPr>
      <w:rPr>
        <w:rFonts w:hint="default"/>
        <w:b/>
        <w:color w:val="auto"/>
      </w:rPr>
    </w:lvl>
    <w:lvl w:ilvl="8">
      <w:start w:val="1"/>
      <w:numFmt w:val="decimal"/>
      <w:isLgl/>
      <w:lvlText w:val="%1.%2.%3.%4.%5.%6.%7.%8.%9."/>
      <w:lvlJc w:val="left"/>
      <w:pPr>
        <w:ind w:left="11160" w:hanging="2160"/>
      </w:pPr>
      <w:rPr>
        <w:rFonts w:hint="default"/>
        <w:b/>
        <w:color w:val="auto"/>
      </w:rPr>
    </w:lvl>
  </w:abstractNum>
  <w:abstractNum w:abstractNumId="15" w15:restartNumberingAfterBreak="0">
    <w:nsid w:val="3C6658DE"/>
    <w:multiLevelType w:val="hybridMultilevel"/>
    <w:tmpl w:val="0EE829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2194B"/>
    <w:multiLevelType w:val="hybridMultilevel"/>
    <w:tmpl w:val="232A82D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437A32"/>
    <w:multiLevelType w:val="multilevel"/>
    <w:tmpl w:val="BD109D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94670C"/>
    <w:multiLevelType w:val="hybridMultilevel"/>
    <w:tmpl w:val="F47E30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EAD2CBC"/>
    <w:multiLevelType w:val="hybridMultilevel"/>
    <w:tmpl w:val="AB40443C"/>
    <w:lvl w:ilvl="0" w:tplc="A350AC76">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0" w15:restartNumberingAfterBreak="0">
    <w:nsid w:val="41F92E62"/>
    <w:multiLevelType w:val="hybridMultilevel"/>
    <w:tmpl w:val="30C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B6377"/>
    <w:multiLevelType w:val="hybridMultilevel"/>
    <w:tmpl w:val="4F40D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593C69"/>
    <w:multiLevelType w:val="hybridMultilevel"/>
    <w:tmpl w:val="A810E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57C722D"/>
    <w:multiLevelType w:val="multilevel"/>
    <w:tmpl w:val="F8022D6C"/>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4748657A"/>
    <w:multiLevelType w:val="hybridMultilevel"/>
    <w:tmpl w:val="AF167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3B4F30"/>
    <w:multiLevelType w:val="multilevel"/>
    <w:tmpl w:val="87765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D0D37C9"/>
    <w:multiLevelType w:val="hybridMultilevel"/>
    <w:tmpl w:val="CDBA0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37655D"/>
    <w:multiLevelType w:val="hybridMultilevel"/>
    <w:tmpl w:val="D3ECBA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F54008"/>
    <w:multiLevelType w:val="hybridMultilevel"/>
    <w:tmpl w:val="5104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86373"/>
    <w:multiLevelType w:val="hybridMultilevel"/>
    <w:tmpl w:val="38E29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027AD3"/>
    <w:multiLevelType w:val="multilevel"/>
    <w:tmpl w:val="AA4E23B0"/>
    <w:lvl w:ilvl="0">
      <w:start w:val="4"/>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1" w15:restartNumberingAfterBreak="0">
    <w:nsid w:val="58492237"/>
    <w:multiLevelType w:val="hybridMultilevel"/>
    <w:tmpl w:val="0F9E7E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F40A5A"/>
    <w:multiLevelType w:val="hybridMultilevel"/>
    <w:tmpl w:val="73643FD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678C3F9C"/>
    <w:multiLevelType w:val="multilevel"/>
    <w:tmpl w:val="8776545E"/>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A7B3DB3"/>
    <w:multiLevelType w:val="hybridMultilevel"/>
    <w:tmpl w:val="B312423E"/>
    <w:lvl w:ilvl="0" w:tplc="290277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A9710E"/>
    <w:multiLevelType w:val="hybridMultilevel"/>
    <w:tmpl w:val="C76E3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EF4E28"/>
    <w:multiLevelType w:val="multilevel"/>
    <w:tmpl w:val="3B36E56E"/>
    <w:lvl w:ilvl="0">
      <w:start w:val="4"/>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7" w15:restartNumberingAfterBreak="0">
    <w:nsid w:val="76CD6234"/>
    <w:multiLevelType w:val="multilevel"/>
    <w:tmpl w:val="6C7C290A"/>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8" w15:restartNumberingAfterBreak="0">
    <w:nsid w:val="76DA4BD4"/>
    <w:multiLevelType w:val="hybridMultilevel"/>
    <w:tmpl w:val="0C9298D8"/>
    <w:lvl w:ilvl="0" w:tplc="42B23B44">
      <w:start w:val="789"/>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827458B"/>
    <w:multiLevelType w:val="hybridMultilevel"/>
    <w:tmpl w:val="4586A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5F3E48"/>
    <w:multiLevelType w:val="hybridMultilevel"/>
    <w:tmpl w:val="1212B0EC"/>
    <w:lvl w:ilvl="0" w:tplc="A5844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C686938"/>
    <w:multiLevelType w:val="hybridMultilevel"/>
    <w:tmpl w:val="D36C5AF2"/>
    <w:lvl w:ilvl="0" w:tplc="C52CD578">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EFF5D7A"/>
    <w:multiLevelType w:val="hybridMultilevel"/>
    <w:tmpl w:val="CE68EB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2"/>
  </w:num>
  <w:num w:numId="2">
    <w:abstractNumId w:val="10"/>
  </w:num>
  <w:num w:numId="3">
    <w:abstractNumId w:val="20"/>
  </w:num>
  <w:num w:numId="4">
    <w:abstractNumId w:val="24"/>
  </w:num>
  <w:num w:numId="5">
    <w:abstractNumId w:val="15"/>
  </w:num>
  <w:num w:numId="6">
    <w:abstractNumId w:val="12"/>
  </w:num>
  <w:num w:numId="7">
    <w:abstractNumId w:val="28"/>
  </w:num>
  <w:num w:numId="8">
    <w:abstractNumId w:val="6"/>
  </w:num>
  <w:num w:numId="9">
    <w:abstractNumId w:val="8"/>
  </w:num>
  <w:num w:numId="10">
    <w:abstractNumId w:val="16"/>
  </w:num>
  <w:num w:numId="11">
    <w:abstractNumId w:val="23"/>
  </w:num>
  <w:num w:numId="12">
    <w:abstractNumId w:val="7"/>
  </w:num>
  <w:num w:numId="13">
    <w:abstractNumId w:val="36"/>
  </w:num>
  <w:num w:numId="14">
    <w:abstractNumId w:val="2"/>
  </w:num>
  <w:num w:numId="15">
    <w:abstractNumId w:val="32"/>
  </w:num>
  <w:num w:numId="16">
    <w:abstractNumId w:val="30"/>
  </w:num>
  <w:num w:numId="17">
    <w:abstractNumId w:val="31"/>
  </w:num>
  <w:num w:numId="18">
    <w:abstractNumId w:val="38"/>
  </w:num>
  <w:num w:numId="19">
    <w:abstractNumId w:val="41"/>
  </w:num>
  <w:num w:numId="20">
    <w:abstractNumId w:val="18"/>
  </w:num>
  <w:num w:numId="21">
    <w:abstractNumId w:val="13"/>
  </w:num>
  <w:num w:numId="22">
    <w:abstractNumId w:val="37"/>
  </w:num>
  <w:num w:numId="23">
    <w:abstractNumId w:val="14"/>
  </w:num>
  <w:num w:numId="24">
    <w:abstractNumId w:val="0"/>
  </w:num>
  <w:num w:numId="25">
    <w:abstractNumId w:val="29"/>
  </w:num>
  <w:num w:numId="26">
    <w:abstractNumId w:val="3"/>
  </w:num>
  <w:num w:numId="27">
    <w:abstractNumId w:val="1"/>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9"/>
  </w:num>
  <w:num w:numId="32">
    <w:abstractNumId w:val="35"/>
  </w:num>
  <w:num w:numId="33">
    <w:abstractNumId w:val="22"/>
  </w:num>
  <w:num w:numId="34">
    <w:abstractNumId w:val="17"/>
  </w:num>
  <w:num w:numId="35">
    <w:abstractNumId w:val="33"/>
  </w:num>
  <w:num w:numId="36">
    <w:abstractNumId w:val="26"/>
  </w:num>
  <w:num w:numId="37">
    <w:abstractNumId w:val="5"/>
  </w:num>
  <w:num w:numId="38">
    <w:abstractNumId w:val="11"/>
  </w:num>
  <w:num w:numId="39">
    <w:abstractNumId w:val="27"/>
  </w:num>
  <w:num w:numId="40">
    <w:abstractNumId w:val="4"/>
  </w:num>
  <w:num w:numId="41">
    <w:abstractNumId w:val="19"/>
  </w:num>
  <w:num w:numId="42">
    <w:abstractNumId w:val="34"/>
  </w:num>
  <w:num w:numId="43">
    <w:abstractNumId w:val="4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08"/>
    <w:rsid w:val="000010C2"/>
    <w:rsid w:val="0000187A"/>
    <w:rsid w:val="00004C80"/>
    <w:rsid w:val="0000611E"/>
    <w:rsid w:val="00010984"/>
    <w:rsid w:val="000115DC"/>
    <w:rsid w:val="00015B1C"/>
    <w:rsid w:val="00020194"/>
    <w:rsid w:val="0002110B"/>
    <w:rsid w:val="000228F1"/>
    <w:rsid w:val="00024169"/>
    <w:rsid w:val="00024D41"/>
    <w:rsid w:val="00027CB5"/>
    <w:rsid w:val="000350EB"/>
    <w:rsid w:val="00035FBA"/>
    <w:rsid w:val="00037129"/>
    <w:rsid w:val="00040F29"/>
    <w:rsid w:val="00042D6A"/>
    <w:rsid w:val="0004325B"/>
    <w:rsid w:val="0004375A"/>
    <w:rsid w:val="00043A6B"/>
    <w:rsid w:val="00044281"/>
    <w:rsid w:val="00045FCA"/>
    <w:rsid w:val="000465E6"/>
    <w:rsid w:val="000468A0"/>
    <w:rsid w:val="00047208"/>
    <w:rsid w:val="00047581"/>
    <w:rsid w:val="0005012C"/>
    <w:rsid w:val="000520D7"/>
    <w:rsid w:val="00052463"/>
    <w:rsid w:val="000545A4"/>
    <w:rsid w:val="00055F9A"/>
    <w:rsid w:val="00056337"/>
    <w:rsid w:val="00056AD9"/>
    <w:rsid w:val="00057B24"/>
    <w:rsid w:val="00063C96"/>
    <w:rsid w:val="00064D8B"/>
    <w:rsid w:val="000668A8"/>
    <w:rsid w:val="00067534"/>
    <w:rsid w:val="000706DD"/>
    <w:rsid w:val="00070D49"/>
    <w:rsid w:val="00071A94"/>
    <w:rsid w:val="00076C66"/>
    <w:rsid w:val="00077168"/>
    <w:rsid w:val="00082837"/>
    <w:rsid w:val="0008484F"/>
    <w:rsid w:val="00086086"/>
    <w:rsid w:val="00087A7F"/>
    <w:rsid w:val="00097073"/>
    <w:rsid w:val="000A04B6"/>
    <w:rsid w:val="000A3EF2"/>
    <w:rsid w:val="000A6BF4"/>
    <w:rsid w:val="000B2B1F"/>
    <w:rsid w:val="000B58F1"/>
    <w:rsid w:val="000B6F30"/>
    <w:rsid w:val="000C1A5D"/>
    <w:rsid w:val="000C2453"/>
    <w:rsid w:val="000D003B"/>
    <w:rsid w:val="000D05A4"/>
    <w:rsid w:val="000D0D7F"/>
    <w:rsid w:val="000D138E"/>
    <w:rsid w:val="000D42E7"/>
    <w:rsid w:val="000D5700"/>
    <w:rsid w:val="000D6781"/>
    <w:rsid w:val="000D6DDF"/>
    <w:rsid w:val="000D7167"/>
    <w:rsid w:val="000D75A2"/>
    <w:rsid w:val="000E0A88"/>
    <w:rsid w:val="000E0CBF"/>
    <w:rsid w:val="000E1731"/>
    <w:rsid w:val="000E1C77"/>
    <w:rsid w:val="000E3414"/>
    <w:rsid w:val="000E615E"/>
    <w:rsid w:val="000F0B92"/>
    <w:rsid w:val="000F3334"/>
    <w:rsid w:val="000F3A0C"/>
    <w:rsid w:val="00100516"/>
    <w:rsid w:val="00100E68"/>
    <w:rsid w:val="00101EA6"/>
    <w:rsid w:val="00106ABC"/>
    <w:rsid w:val="00111464"/>
    <w:rsid w:val="00113832"/>
    <w:rsid w:val="001148C4"/>
    <w:rsid w:val="001148E7"/>
    <w:rsid w:val="00114C25"/>
    <w:rsid w:val="00115683"/>
    <w:rsid w:val="001167C5"/>
    <w:rsid w:val="001219A2"/>
    <w:rsid w:val="00121A08"/>
    <w:rsid w:val="00126171"/>
    <w:rsid w:val="00133B3C"/>
    <w:rsid w:val="001370C0"/>
    <w:rsid w:val="00140BE2"/>
    <w:rsid w:val="001435ED"/>
    <w:rsid w:val="00145323"/>
    <w:rsid w:val="001503C1"/>
    <w:rsid w:val="00153EAC"/>
    <w:rsid w:val="00156AB5"/>
    <w:rsid w:val="00160B9A"/>
    <w:rsid w:val="00166EA3"/>
    <w:rsid w:val="001671F0"/>
    <w:rsid w:val="001674E8"/>
    <w:rsid w:val="001674FA"/>
    <w:rsid w:val="0016761E"/>
    <w:rsid w:val="00170B7C"/>
    <w:rsid w:val="00172FD5"/>
    <w:rsid w:val="001730DA"/>
    <w:rsid w:val="001733FA"/>
    <w:rsid w:val="0017569A"/>
    <w:rsid w:val="001775A1"/>
    <w:rsid w:val="00180B7B"/>
    <w:rsid w:val="001817AE"/>
    <w:rsid w:val="00183E2B"/>
    <w:rsid w:val="00195F47"/>
    <w:rsid w:val="001A362F"/>
    <w:rsid w:val="001A4223"/>
    <w:rsid w:val="001B7D1E"/>
    <w:rsid w:val="001C3112"/>
    <w:rsid w:val="001C6C8B"/>
    <w:rsid w:val="001D1A32"/>
    <w:rsid w:val="001D44F8"/>
    <w:rsid w:val="001E3B1A"/>
    <w:rsid w:val="001E6AAC"/>
    <w:rsid w:val="001F289A"/>
    <w:rsid w:val="001F28E3"/>
    <w:rsid w:val="001F2F15"/>
    <w:rsid w:val="001F5382"/>
    <w:rsid w:val="0020119F"/>
    <w:rsid w:val="00203353"/>
    <w:rsid w:val="002051B9"/>
    <w:rsid w:val="00206AF7"/>
    <w:rsid w:val="002073D1"/>
    <w:rsid w:val="00207F1A"/>
    <w:rsid w:val="00212881"/>
    <w:rsid w:val="00214585"/>
    <w:rsid w:val="00215256"/>
    <w:rsid w:val="0021606D"/>
    <w:rsid w:val="002178C9"/>
    <w:rsid w:val="002246A0"/>
    <w:rsid w:val="00224875"/>
    <w:rsid w:val="0022593C"/>
    <w:rsid w:val="0022656E"/>
    <w:rsid w:val="00232DB0"/>
    <w:rsid w:val="002332FD"/>
    <w:rsid w:val="00233E3E"/>
    <w:rsid w:val="00235EC4"/>
    <w:rsid w:val="002375AB"/>
    <w:rsid w:val="00240096"/>
    <w:rsid w:val="0025162E"/>
    <w:rsid w:val="00252604"/>
    <w:rsid w:val="002539C0"/>
    <w:rsid w:val="00253F76"/>
    <w:rsid w:val="00255063"/>
    <w:rsid w:val="00256E4F"/>
    <w:rsid w:val="00257B5B"/>
    <w:rsid w:val="002622D8"/>
    <w:rsid w:val="00263A61"/>
    <w:rsid w:val="00266576"/>
    <w:rsid w:val="00266B0F"/>
    <w:rsid w:val="00267249"/>
    <w:rsid w:val="0026777E"/>
    <w:rsid w:val="00270BE3"/>
    <w:rsid w:val="002714F4"/>
    <w:rsid w:val="00271E24"/>
    <w:rsid w:val="00274048"/>
    <w:rsid w:val="0027539A"/>
    <w:rsid w:val="00277DB5"/>
    <w:rsid w:val="0028217A"/>
    <w:rsid w:val="00282463"/>
    <w:rsid w:val="00286A05"/>
    <w:rsid w:val="00286B7D"/>
    <w:rsid w:val="00290891"/>
    <w:rsid w:val="00290EAC"/>
    <w:rsid w:val="002919FD"/>
    <w:rsid w:val="00291D3F"/>
    <w:rsid w:val="00293619"/>
    <w:rsid w:val="00293A9B"/>
    <w:rsid w:val="00297794"/>
    <w:rsid w:val="002A0781"/>
    <w:rsid w:val="002A20E7"/>
    <w:rsid w:val="002A4994"/>
    <w:rsid w:val="002A6B2D"/>
    <w:rsid w:val="002A7FF6"/>
    <w:rsid w:val="002B0917"/>
    <w:rsid w:val="002B1B5E"/>
    <w:rsid w:val="002B1D66"/>
    <w:rsid w:val="002B50C6"/>
    <w:rsid w:val="002B5B6F"/>
    <w:rsid w:val="002B61AB"/>
    <w:rsid w:val="002C27BA"/>
    <w:rsid w:val="002C3997"/>
    <w:rsid w:val="002C50A8"/>
    <w:rsid w:val="002C5B20"/>
    <w:rsid w:val="002D4F1B"/>
    <w:rsid w:val="002D71C8"/>
    <w:rsid w:val="002E2FCB"/>
    <w:rsid w:val="002E42F1"/>
    <w:rsid w:val="002E51AD"/>
    <w:rsid w:val="002F12D4"/>
    <w:rsid w:val="002F2749"/>
    <w:rsid w:val="002F3140"/>
    <w:rsid w:val="002F3AEE"/>
    <w:rsid w:val="002F421D"/>
    <w:rsid w:val="002F4315"/>
    <w:rsid w:val="002F4886"/>
    <w:rsid w:val="002F7E02"/>
    <w:rsid w:val="00307B9D"/>
    <w:rsid w:val="00310289"/>
    <w:rsid w:val="00311D82"/>
    <w:rsid w:val="00312068"/>
    <w:rsid w:val="003156BD"/>
    <w:rsid w:val="003157E8"/>
    <w:rsid w:val="0031783B"/>
    <w:rsid w:val="00323659"/>
    <w:rsid w:val="003258DF"/>
    <w:rsid w:val="003323DF"/>
    <w:rsid w:val="00333DB4"/>
    <w:rsid w:val="003349C4"/>
    <w:rsid w:val="00335862"/>
    <w:rsid w:val="00335A34"/>
    <w:rsid w:val="00337FA2"/>
    <w:rsid w:val="00340B7D"/>
    <w:rsid w:val="00342D76"/>
    <w:rsid w:val="0034508D"/>
    <w:rsid w:val="00345189"/>
    <w:rsid w:val="0034589C"/>
    <w:rsid w:val="00350888"/>
    <w:rsid w:val="00351D94"/>
    <w:rsid w:val="00353441"/>
    <w:rsid w:val="00353FC9"/>
    <w:rsid w:val="00360947"/>
    <w:rsid w:val="00363871"/>
    <w:rsid w:val="00363F6B"/>
    <w:rsid w:val="00364D7E"/>
    <w:rsid w:val="0036506B"/>
    <w:rsid w:val="003650DB"/>
    <w:rsid w:val="00366054"/>
    <w:rsid w:val="00367414"/>
    <w:rsid w:val="003705D7"/>
    <w:rsid w:val="00371E0E"/>
    <w:rsid w:val="003738AB"/>
    <w:rsid w:val="0037509E"/>
    <w:rsid w:val="0037736B"/>
    <w:rsid w:val="00380B51"/>
    <w:rsid w:val="003830A7"/>
    <w:rsid w:val="003832AB"/>
    <w:rsid w:val="00383830"/>
    <w:rsid w:val="003845E8"/>
    <w:rsid w:val="00384901"/>
    <w:rsid w:val="0038593A"/>
    <w:rsid w:val="00385EE8"/>
    <w:rsid w:val="00391F58"/>
    <w:rsid w:val="00392485"/>
    <w:rsid w:val="00393178"/>
    <w:rsid w:val="00395BFA"/>
    <w:rsid w:val="003A0CFF"/>
    <w:rsid w:val="003A2A44"/>
    <w:rsid w:val="003A38C9"/>
    <w:rsid w:val="003A4650"/>
    <w:rsid w:val="003A79F1"/>
    <w:rsid w:val="003B099F"/>
    <w:rsid w:val="003B21A8"/>
    <w:rsid w:val="003B2308"/>
    <w:rsid w:val="003B319F"/>
    <w:rsid w:val="003B32AF"/>
    <w:rsid w:val="003B4B59"/>
    <w:rsid w:val="003B5C50"/>
    <w:rsid w:val="003C0DCB"/>
    <w:rsid w:val="003C4AEB"/>
    <w:rsid w:val="003D1229"/>
    <w:rsid w:val="003D4CCE"/>
    <w:rsid w:val="003D660C"/>
    <w:rsid w:val="003E2171"/>
    <w:rsid w:val="003E34ED"/>
    <w:rsid w:val="003E37C9"/>
    <w:rsid w:val="003E494A"/>
    <w:rsid w:val="003E562F"/>
    <w:rsid w:val="003E59B8"/>
    <w:rsid w:val="003E6AE5"/>
    <w:rsid w:val="003E6ED3"/>
    <w:rsid w:val="003E7DF5"/>
    <w:rsid w:val="003F46A7"/>
    <w:rsid w:val="003F568A"/>
    <w:rsid w:val="003F7B2C"/>
    <w:rsid w:val="00403D46"/>
    <w:rsid w:val="00403D7A"/>
    <w:rsid w:val="004047F7"/>
    <w:rsid w:val="00404A57"/>
    <w:rsid w:val="00411A52"/>
    <w:rsid w:val="00413088"/>
    <w:rsid w:val="004151FF"/>
    <w:rsid w:val="00416469"/>
    <w:rsid w:val="00416E89"/>
    <w:rsid w:val="004216A6"/>
    <w:rsid w:val="00422214"/>
    <w:rsid w:val="0042554D"/>
    <w:rsid w:val="004314ED"/>
    <w:rsid w:val="00431A0E"/>
    <w:rsid w:val="00431FDE"/>
    <w:rsid w:val="004400C4"/>
    <w:rsid w:val="00440EB4"/>
    <w:rsid w:val="00441AEA"/>
    <w:rsid w:val="0044338E"/>
    <w:rsid w:val="00443869"/>
    <w:rsid w:val="00445224"/>
    <w:rsid w:val="00445329"/>
    <w:rsid w:val="00450099"/>
    <w:rsid w:val="004502F6"/>
    <w:rsid w:val="00452A08"/>
    <w:rsid w:val="00452A89"/>
    <w:rsid w:val="004542D7"/>
    <w:rsid w:val="0046190E"/>
    <w:rsid w:val="004675E7"/>
    <w:rsid w:val="004702AE"/>
    <w:rsid w:val="00470BF9"/>
    <w:rsid w:val="004728BD"/>
    <w:rsid w:val="00477D8F"/>
    <w:rsid w:val="004815F7"/>
    <w:rsid w:val="00481677"/>
    <w:rsid w:val="00482099"/>
    <w:rsid w:val="00482A48"/>
    <w:rsid w:val="00482F04"/>
    <w:rsid w:val="004846E1"/>
    <w:rsid w:val="00487DE1"/>
    <w:rsid w:val="00491EAF"/>
    <w:rsid w:val="00492BD1"/>
    <w:rsid w:val="004A0D78"/>
    <w:rsid w:val="004A12E5"/>
    <w:rsid w:val="004A33FA"/>
    <w:rsid w:val="004A354F"/>
    <w:rsid w:val="004A5694"/>
    <w:rsid w:val="004B1E60"/>
    <w:rsid w:val="004B2884"/>
    <w:rsid w:val="004B30A1"/>
    <w:rsid w:val="004B3B1E"/>
    <w:rsid w:val="004B418A"/>
    <w:rsid w:val="004B51AB"/>
    <w:rsid w:val="004C0035"/>
    <w:rsid w:val="004C0662"/>
    <w:rsid w:val="004C1710"/>
    <w:rsid w:val="004C31E5"/>
    <w:rsid w:val="004D0EF0"/>
    <w:rsid w:val="004D2F03"/>
    <w:rsid w:val="004D6460"/>
    <w:rsid w:val="004D6660"/>
    <w:rsid w:val="004D68D2"/>
    <w:rsid w:val="004D6DEE"/>
    <w:rsid w:val="004E0C95"/>
    <w:rsid w:val="004E1645"/>
    <w:rsid w:val="004E2348"/>
    <w:rsid w:val="004E239E"/>
    <w:rsid w:val="004E391F"/>
    <w:rsid w:val="004E4BC6"/>
    <w:rsid w:val="004E4D38"/>
    <w:rsid w:val="004E5489"/>
    <w:rsid w:val="004F1E0E"/>
    <w:rsid w:val="004F1F2C"/>
    <w:rsid w:val="004F3AB9"/>
    <w:rsid w:val="004F778B"/>
    <w:rsid w:val="00501D68"/>
    <w:rsid w:val="00501FCA"/>
    <w:rsid w:val="005076F4"/>
    <w:rsid w:val="00507F0E"/>
    <w:rsid w:val="00510504"/>
    <w:rsid w:val="00511A39"/>
    <w:rsid w:val="00514098"/>
    <w:rsid w:val="00515593"/>
    <w:rsid w:val="00515AD8"/>
    <w:rsid w:val="005162AB"/>
    <w:rsid w:val="00521BB9"/>
    <w:rsid w:val="00522CC2"/>
    <w:rsid w:val="00524C01"/>
    <w:rsid w:val="0052669D"/>
    <w:rsid w:val="00526E65"/>
    <w:rsid w:val="0053252E"/>
    <w:rsid w:val="005354A9"/>
    <w:rsid w:val="005376B2"/>
    <w:rsid w:val="005413F1"/>
    <w:rsid w:val="00544387"/>
    <w:rsid w:val="0054608D"/>
    <w:rsid w:val="00546312"/>
    <w:rsid w:val="00546512"/>
    <w:rsid w:val="005518AA"/>
    <w:rsid w:val="00551AF7"/>
    <w:rsid w:val="00555A1B"/>
    <w:rsid w:val="0055606C"/>
    <w:rsid w:val="00560F78"/>
    <w:rsid w:val="0056236B"/>
    <w:rsid w:val="0057580F"/>
    <w:rsid w:val="00576FD5"/>
    <w:rsid w:val="0058093D"/>
    <w:rsid w:val="00581C99"/>
    <w:rsid w:val="00583C90"/>
    <w:rsid w:val="005847EF"/>
    <w:rsid w:val="00584CA2"/>
    <w:rsid w:val="00585832"/>
    <w:rsid w:val="00587BA4"/>
    <w:rsid w:val="00590D0D"/>
    <w:rsid w:val="00590FE2"/>
    <w:rsid w:val="00591798"/>
    <w:rsid w:val="005925AD"/>
    <w:rsid w:val="00592953"/>
    <w:rsid w:val="00593881"/>
    <w:rsid w:val="00593BCA"/>
    <w:rsid w:val="00593DB7"/>
    <w:rsid w:val="005940EF"/>
    <w:rsid w:val="00594493"/>
    <w:rsid w:val="00596940"/>
    <w:rsid w:val="00596C1A"/>
    <w:rsid w:val="005A274B"/>
    <w:rsid w:val="005A3281"/>
    <w:rsid w:val="005A42B1"/>
    <w:rsid w:val="005A677A"/>
    <w:rsid w:val="005A7604"/>
    <w:rsid w:val="005B20D0"/>
    <w:rsid w:val="005B533F"/>
    <w:rsid w:val="005B7988"/>
    <w:rsid w:val="005B7A42"/>
    <w:rsid w:val="005C17A2"/>
    <w:rsid w:val="005C751E"/>
    <w:rsid w:val="005D1251"/>
    <w:rsid w:val="005D1AC4"/>
    <w:rsid w:val="005D22D2"/>
    <w:rsid w:val="005D2F2E"/>
    <w:rsid w:val="005D5F2D"/>
    <w:rsid w:val="005D6527"/>
    <w:rsid w:val="005E3020"/>
    <w:rsid w:val="005F0117"/>
    <w:rsid w:val="005F17B8"/>
    <w:rsid w:val="005F2C52"/>
    <w:rsid w:val="006000C3"/>
    <w:rsid w:val="00600233"/>
    <w:rsid w:val="00603944"/>
    <w:rsid w:val="00610ADB"/>
    <w:rsid w:val="00611788"/>
    <w:rsid w:val="00612ED5"/>
    <w:rsid w:val="00613411"/>
    <w:rsid w:val="00613C3C"/>
    <w:rsid w:val="006151A3"/>
    <w:rsid w:val="006151F9"/>
    <w:rsid w:val="0061596A"/>
    <w:rsid w:val="0061692D"/>
    <w:rsid w:val="00616AD9"/>
    <w:rsid w:val="0062140A"/>
    <w:rsid w:val="00621A50"/>
    <w:rsid w:val="006251AD"/>
    <w:rsid w:val="00625A86"/>
    <w:rsid w:val="0063029B"/>
    <w:rsid w:val="00636AD2"/>
    <w:rsid w:val="00637340"/>
    <w:rsid w:val="0064174A"/>
    <w:rsid w:val="00641B88"/>
    <w:rsid w:val="00642951"/>
    <w:rsid w:val="00645A03"/>
    <w:rsid w:val="00650D86"/>
    <w:rsid w:val="00651D40"/>
    <w:rsid w:val="00654A27"/>
    <w:rsid w:val="00655287"/>
    <w:rsid w:val="00656EBD"/>
    <w:rsid w:val="00663C8A"/>
    <w:rsid w:val="00664680"/>
    <w:rsid w:val="0066468C"/>
    <w:rsid w:val="00665D7F"/>
    <w:rsid w:val="006674E5"/>
    <w:rsid w:val="00671526"/>
    <w:rsid w:val="00673A0F"/>
    <w:rsid w:val="00675FCA"/>
    <w:rsid w:val="00681154"/>
    <w:rsid w:val="00681C72"/>
    <w:rsid w:val="00681FF4"/>
    <w:rsid w:val="006824F2"/>
    <w:rsid w:val="0068397B"/>
    <w:rsid w:val="00685476"/>
    <w:rsid w:val="006862FD"/>
    <w:rsid w:val="0069110D"/>
    <w:rsid w:val="00692474"/>
    <w:rsid w:val="006929BB"/>
    <w:rsid w:val="00693E95"/>
    <w:rsid w:val="0069730F"/>
    <w:rsid w:val="006A229B"/>
    <w:rsid w:val="006A2C70"/>
    <w:rsid w:val="006A45CB"/>
    <w:rsid w:val="006A4F69"/>
    <w:rsid w:val="006A6EE7"/>
    <w:rsid w:val="006A70EE"/>
    <w:rsid w:val="006A7AF9"/>
    <w:rsid w:val="006B18CA"/>
    <w:rsid w:val="006B1FA2"/>
    <w:rsid w:val="006B4518"/>
    <w:rsid w:val="006B6E7F"/>
    <w:rsid w:val="006B74CC"/>
    <w:rsid w:val="006C1E1E"/>
    <w:rsid w:val="006C282B"/>
    <w:rsid w:val="006C3606"/>
    <w:rsid w:val="006C36B3"/>
    <w:rsid w:val="006C4037"/>
    <w:rsid w:val="006C589C"/>
    <w:rsid w:val="006C6BC3"/>
    <w:rsid w:val="006D5A15"/>
    <w:rsid w:val="006D6074"/>
    <w:rsid w:val="006D7678"/>
    <w:rsid w:val="006E20F5"/>
    <w:rsid w:val="006E2B10"/>
    <w:rsid w:val="006E327F"/>
    <w:rsid w:val="006E4479"/>
    <w:rsid w:val="006E6798"/>
    <w:rsid w:val="006E6D57"/>
    <w:rsid w:val="006E7CEA"/>
    <w:rsid w:val="006F1F22"/>
    <w:rsid w:val="006F4AAD"/>
    <w:rsid w:val="006F51EA"/>
    <w:rsid w:val="006F5379"/>
    <w:rsid w:val="006F7535"/>
    <w:rsid w:val="007001DE"/>
    <w:rsid w:val="00701021"/>
    <w:rsid w:val="0070744F"/>
    <w:rsid w:val="00707E72"/>
    <w:rsid w:val="00710BEE"/>
    <w:rsid w:val="00711178"/>
    <w:rsid w:val="00712E30"/>
    <w:rsid w:val="0071388D"/>
    <w:rsid w:val="007165D8"/>
    <w:rsid w:val="00716C7F"/>
    <w:rsid w:val="00721429"/>
    <w:rsid w:val="00723CF5"/>
    <w:rsid w:val="00725FFC"/>
    <w:rsid w:val="007278C8"/>
    <w:rsid w:val="007303F8"/>
    <w:rsid w:val="00730E1F"/>
    <w:rsid w:val="00730FF6"/>
    <w:rsid w:val="00731B91"/>
    <w:rsid w:val="00732057"/>
    <w:rsid w:val="00732763"/>
    <w:rsid w:val="00733208"/>
    <w:rsid w:val="00736437"/>
    <w:rsid w:val="00736C48"/>
    <w:rsid w:val="00740CFB"/>
    <w:rsid w:val="00741947"/>
    <w:rsid w:val="00742FED"/>
    <w:rsid w:val="00744B30"/>
    <w:rsid w:val="00747030"/>
    <w:rsid w:val="00747346"/>
    <w:rsid w:val="00750E63"/>
    <w:rsid w:val="0075413B"/>
    <w:rsid w:val="00754862"/>
    <w:rsid w:val="007605CB"/>
    <w:rsid w:val="00761A4A"/>
    <w:rsid w:val="00765A66"/>
    <w:rsid w:val="00770191"/>
    <w:rsid w:val="007714D7"/>
    <w:rsid w:val="00776752"/>
    <w:rsid w:val="00776970"/>
    <w:rsid w:val="0078039C"/>
    <w:rsid w:val="007837E0"/>
    <w:rsid w:val="007871B9"/>
    <w:rsid w:val="007926CC"/>
    <w:rsid w:val="007A0159"/>
    <w:rsid w:val="007A1070"/>
    <w:rsid w:val="007A273E"/>
    <w:rsid w:val="007A2C66"/>
    <w:rsid w:val="007A2FD2"/>
    <w:rsid w:val="007A33A3"/>
    <w:rsid w:val="007A5AC6"/>
    <w:rsid w:val="007A6340"/>
    <w:rsid w:val="007B4665"/>
    <w:rsid w:val="007B4783"/>
    <w:rsid w:val="007B4DC6"/>
    <w:rsid w:val="007B7DA9"/>
    <w:rsid w:val="007C16B1"/>
    <w:rsid w:val="007C405F"/>
    <w:rsid w:val="007C62AC"/>
    <w:rsid w:val="007C6363"/>
    <w:rsid w:val="007D0D44"/>
    <w:rsid w:val="007D2808"/>
    <w:rsid w:val="007D36F9"/>
    <w:rsid w:val="007E0AE6"/>
    <w:rsid w:val="007E114F"/>
    <w:rsid w:val="007E15E6"/>
    <w:rsid w:val="007E17A6"/>
    <w:rsid w:val="007E2548"/>
    <w:rsid w:val="007E695D"/>
    <w:rsid w:val="007E7FC7"/>
    <w:rsid w:val="007F3656"/>
    <w:rsid w:val="007F3746"/>
    <w:rsid w:val="007F3FC6"/>
    <w:rsid w:val="007F444D"/>
    <w:rsid w:val="007F4450"/>
    <w:rsid w:val="007F46EE"/>
    <w:rsid w:val="0080142F"/>
    <w:rsid w:val="00805398"/>
    <w:rsid w:val="00807588"/>
    <w:rsid w:val="0080767E"/>
    <w:rsid w:val="00807730"/>
    <w:rsid w:val="00812598"/>
    <w:rsid w:val="00816424"/>
    <w:rsid w:val="008168FE"/>
    <w:rsid w:val="0082228B"/>
    <w:rsid w:val="008235EE"/>
    <w:rsid w:val="008263CD"/>
    <w:rsid w:val="008303CF"/>
    <w:rsid w:val="008314EE"/>
    <w:rsid w:val="0083368F"/>
    <w:rsid w:val="008370C3"/>
    <w:rsid w:val="00837258"/>
    <w:rsid w:val="008410D0"/>
    <w:rsid w:val="00842C50"/>
    <w:rsid w:val="00843618"/>
    <w:rsid w:val="008447C1"/>
    <w:rsid w:val="00844FB1"/>
    <w:rsid w:val="00845CF3"/>
    <w:rsid w:val="00846BB7"/>
    <w:rsid w:val="008500EB"/>
    <w:rsid w:val="008546FA"/>
    <w:rsid w:val="008555B7"/>
    <w:rsid w:val="00855736"/>
    <w:rsid w:val="00855E30"/>
    <w:rsid w:val="008563C0"/>
    <w:rsid w:val="0085731D"/>
    <w:rsid w:val="00861237"/>
    <w:rsid w:val="0086267A"/>
    <w:rsid w:val="00864C8F"/>
    <w:rsid w:val="00865D1B"/>
    <w:rsid w:val="00866118"/>
    <w:rsid w:val="0087623D"/>
    <w:rsid w:val="00876755"/>
    <w:rsid w:val="00876F5E"/>
    <w:rsid w:val="008805FE"/>
    <w:rsid w:val="00880B2C"/>
    <w:rsid w:val="00882AE6"/>
    <w:rsid w:val="0088343E"/>
    <w:rsid w:val="008852E6"/>
    <w:rsid w:val="00885BDD"/>
    <w:rsid w:val="00886738"/>
    <w:rsid w:val="008901B4"/>
    <w:rsid w:val="008903DD"/>
    <w:rsid w:val="00892296"/>
    <w:rsid w:val="00892766"/>
    <w:rsid w:val="008933FC"/>
    <w:rsid w:val="0089575E"/>
    <w:rsid w:val="008969F0"/>
    <w:rsid w:val="00897B6E"/>
    <w:rsid w:val="008A1F9C"/>
    <w:rsid w:val="008A3C67"/>
    <w:rsid w:val="008A4714"/>
    <w:rsid w:val="008A4799"/>
    <w:rsid w:val="008A7E51"/>
    <w:rsid w:val="008B09B6"/>
    <w:rsid w:val="008B21A1"/>
    <w:rsid w:val="008B2B9B"/>
    <w:rsid w:val="008B3962"/>
    <w:rsid w:val="008B5F21"/>
    <w:rsid w:val="008C116C"/>
    <w:rsid w:val="008C2E6A"/>
    <w:rsid w:val="008D0BAF"/>
    <w:rsid w:val="008D0CBE"/>
    <w:rsid w:val="008D225F"/>
    <w:rsid w:val="008D3E4B"/>
    <w:rsid w:val="008E2BE5"/>
    <w:rsid w:val="008F2465"/>
    <w:rsid w:val="008F55C3"/>
    <w:rsid w:val="008F6481"/>
    <w:rsid w:val="008F6DEE"/>
    <w:rsid w:val="00900282"/>
    <w:rsid w:val="00904152"/>
    <w:rsid w:val="00910385"/>
    <w:rsid w:val="00914A12"/>
    <w:rsid w:val="009154CE"/>
    <w:rsid w:val="00917AB3"/>
    <w:rsid w:val="00920445"/>
    <w:rsid w:val="00927A8F"/>
    <w:rsid w:val="0093236D"/>
    <w:rsid w:val="00932D8C"/>
    <w:rsid w:val="00936AA7"/>
    <w:rsid w:val="0093701B"/>
    <w:rsid w:val="00942D95"/>
    <w:rsid w:val="00945797"/>
    <w:rsid w:val="00951473"/>
    <w:rsid w:val="00951A45"/>
    <w:rsid w:val="0095290F"/>
    <w:rsid w:val="00952B29"/>
    <w:rsid w:val="00953DFB"/>
    <w:rsid w:val="00954282"/>
    <w:rsid w:val="009546A2"/>
    <w:rsid w:val="00960BD7"/>
    <w:rsid w:val="009651F7"/>
    <w:rsid w:val="009653D6"/>
    <w:rsid w:val="009667D5"/>
    <w:rsid w:val="0097332A"/>
    <w:rsid w:val="009746B8"/>
    <w:rsid w:val="0097565B"/>
    <w:rsid w:val="00975AC4"/>
    <w:rsid w:val="00977927"/>
    <w:rsid w:val="00990EC0"/>
    <w:rsid w:val="00993A74"/>
    <w:rsid w:val="00995878"/>
    <w:rsid w:val="00996045"/>
    <w:rsid w:val="00996291"/>
    <w:rsid w:val="00996CB4"/>
    <w:rsid w:val="00997728"/>
    <w:rsid w:val="009A26F2"/>
    <w:rsid w:val="009A4849"/>
    <w:rsid w:val="009A580E"/>
    <w:rsid w:val="009A590A"/>
    <w:rsid w:val="009A63B4"/>
    <w:rsid w:val="009B2FFF"/>
    <w:rsid w:val="009B508E"/>
    <w:rsid w:val="009B545A"/>
    <w:rsid w:val="009B7E05"/>
    <w:rsid w:val="009C0D30"/>
    <w:rsid w:val="009C163C"/>
    <w:rsid w:val="009C338E"/>
    <w:rsid w:val="009D030D"/>
    <w:rsid w:val="009D34FD"/>
    <w:rsid w:val="009D374D"/>
    <w:rsid w:val="009D4C83"/>
    <w:rsid w:val="009D5774"/>
    <w:rsid w:val="009E08E3"/>
    <w:rsid w:val="009E6CB9"/>
    <w:rsid w:val="009F517A"/>
    <w:rsid w:val="009F5ACF"/>
    <w:rsid w:val="00A00A31"/>
    <w:rsid w:val="00A02B4C"/>
    <w:rsid w:val="00A03643"/>
    <w:rsid w:val="00A04127"/>
    <w:rsid w:val="00A06F91"/>
    <w:rsid w:val="00A10ABA"/>
    <w:rsid w:val="00A11D44"/>
    <w:rsid w:val="00A13692"/>
    <w:rsid w:val="00A1732A"/>
    <w:rsid w:val="00A21D0F"/>
    <w:rsid w:val="00A266E2"/>
    <w:rsid w:val="00A300BA"/>
    <w:rsid w:val="00A351F4"/>
    <w:rsid w:val="00A40606"/>
    <w:rsid w:val="00A4076B"/>
    <w:rsid w:val="00A4727B"/>
    <w:rsid w:val="00A50D07"/>
    <w:rsid w:val="00A52F9B"/>
    <w:rsid w:val="00A553C2"/>
    <w:rsid w:val="00A55AAE"/>
    <w:rsid w:val="00A6264F"/>
    <w:rsid w:val="00A635B6"/>
    <w:rsid w:val="00A64D6D"/>
    <w:rsid w:val="00A6639F"/>
    <w:rsid w:val="00A676EA"/>
    <w:rsid w:val="00A67F92"/>
    <w:rsid w:val="00A70307"/>
    <w:rsid w:val="00A70565"/>
    <w:rsid w:val="00A71108"/>
    <w:rsid w:val="00A713AE"/>
    <w:rsid w:val="00A71F6D"/>
    <w:rsid w:val="00A72647"/>
    <w:rsid w:val="00A726A5"/>
    <w:rsid w:val="00A754CB"/>
    <w:rsid w:val="00A76D42"/>
    <w:rsid w:val="00A77DD6"/>
    <w:rsid w:val="00A77E94"/>
    <w:rsid w:val="00A843B3"/>
    <w:rsid w:val="00A856BC"/>
    <w:rsid w:val="00A90C19"/>
    <w:rsid w:val="00A92C8C"/>
    <w:rsid w:val="00A96238"/>
    <w:rsid w:val="00AA4AE2"/>
    <w:rsid w:val="00AA4C95"/>
    <w:rsid w:val="00AA52C5"/>
    <w:rsid w:val="00AB0A67"/>
    <w:rsid w:val="00AB10F2"/>
    <w:rsid w:val="00AB1889"/>
    <w:rsid w:val="00AB2552"/>
    <w:rsid w:val="00AB26D9"/>
    <w:rsid w:val="00AB561E"/>
    <w:rsid w:val="00AB5C3A"/>
    <w:rsid w:val="00AB5CED"/>
    <w:rsid w:val="00AB5E1D"/>
    <w:rsid w:val="00AB6F98"/>
    <w:rsid w:val="00AB778C"/>
    <w:rsid w:val="00AC3680"/>
    <w:rsid w:val="00AC46BD"/>
    <w:rsid w:val="00AD18AF"/>
    <w:rsid w:val="00AD3930"/>
    <w:rsid w:val="00AD5617"/>
    <w:rsid w:val="00AD6CEB"/>
    <w:rsid w:val="00AE018D"/>
    <w:rsid w:val="00AE27A4"/>
    <w:rsid w:val="00AE2B9C"/>
    <w:rsid w:val="00AE781E"/>
    <w:rsid w:val="00AF0C60"/>
    <w:rsid w:val="00AF250F"/>
    <w:rsid w:val="00AF27CE"/>
    <w:rsid w:val="00AF6E5D"/>
    <w:rsid w:val="00B04FFE"/>
    <w:rsid w:val="00B079B7"/>
    <w:rsid w:val="00B15E38"/>
    <w:rsid w:val="00B165DF"/>
    <w:rsid w:val="00B208BF"/>
    <w:rsid w:val="00B21500"/>
    <w:rsid w:val="00B25941"/>
    <w:rsid w:val="00B328B9"/>
    <w:rsid w:val="00B32A71"/>
    <w:rsid w:val="00B337F6"/>
    <w:rsid w:val="00B44155"/>
    <w:rsid w:val="00B46865"/>
    <w:rsid w:val="00B505AE"/>
    <w:rsid w:val="00B51291"/>
    <w:rsid w:val="00B5138A"/>
    <w:rsid w:val="00B526E2"/>
    <w:rsid w:val="00B52ED4"/>
    <w:rsid w:val="00B54120"/>
    <w:rsid w:val="00B543FB"/>
    <w:rsid w:val="00B54A8F"/>
    <w:rsid w:val="00B565B2"/>
    <w:rsid w:val="00B614CC"/>
    <w:rsid w:val="00B651EC"/>
    <w:rsid w:val="00B658DC"/>
    <w:rsid w:val="00B665F7"/>
    <w:rsid w:val="00B673F2"/>
    <w:rsid w:val="00B67E31"/>
    <w:rsid w:val="00B706CB"/>
    <w:rsid w:val="00B71165"/>
    <w:rsid w:val="00B74654"/>
    <w:rsid w:val="00B76224"/>
    <w:rsid w:val="00B7695A"/>
    <w:rsid w:val="00B77BB9"/>
    <w:rsid w:val="00B81D77"/>
    <w:rsid w:val="00B8412E"/>
    <w:rsid w:val="00B85D74"/>
    <w:rsid w:val="00B867CB"/>
    <w:rsid w:val="00B87275"/>
    <w:rsid w:val="00B901C5"/>
    <w:rsid w:val="00B925DF"/>
    <w:rsid w:val="00B925FD"/>
    <w:rsid w:val="00BA10AF"/>
    <w:rsid w:val="00BA1BD0"/>
    <w:rsid w:val="00BA2365"/>
    <w:rsid w:val="00BA26C9"/>
    <w:rsid w:val="00BA2B78"/>
    <w:rsid w:val="00BA2BCE"/>
    <w:rsid w:val="00BA4929"/>
    <w:rsid w:val="00BA594C"/>
    <w:rsid w:val="00BA5B41"/>
    <w:rsid w:val="00BA787F"/>
    <w:rsid w:val="00BA7EA8"/>
    <w:rsid w:val="00BB2B30"/>
    <w:rsid w:val="00BB2E9D"/>
    <w:rsid w:val="00BB343B"/>
    <w:rsid w:val="00BB37EF"/>
    <w:rsid w:val="00BB631D"/>
    <w:rsid w:val="00BB6CB6"/>
    <w:rsid w:val="00BC0987"/>
    <w:rsid w:val="00BC3819"/>
    <w:rsid w:val="00BC4FA1"/>
    <w:rsid w:val="00BC594D"/>
    <w:rsid w:val="00BC5A75"/>
    <w:rsid w:val="00BC6B1B"/>
    <w:rsid w:val="00BC6E4C"/>
    <w:rsid w:val="00BD1583"/>
    <w:rsid w:val="00BD2C02"/>
    <w:rsid w:val="00BD2DFF"/>
    <w:rsid w:val="00BD4550"/>
    <w:rsid w:val="00BE6E00"/>
    <w:rsid w:val="00BE70E9"/>
    <w:rsid w:val="00BF0632"/>
    <w:rsid w:val="00C00F52"/>
    <w:rsid w:val="00C014D2"/>
    <w:rsid w:val="00C1048E"/>
    <w:rsid w:val="00C16582"/>
    <w:rsid w:val="00C16966"/>
    <w:rsid w:val="00C17C7E"/>
    <w:rsid w:val="00C20120"/>
    <w:rsid w:val="00C20706"/>
    <w:rsid w:val="00C2190F"/>
    <w:rsid w:val="00C233CA"/>
    <w:rsid w:val="00C26433"/>
    <w:rsid w:val="00C276DA"/>
    <w:rsid w:val="00C30D60"/>
    <w:rsid w:val="00C33CBF"/>
    <w:rsid w:val="00C3414E"/>
    <w:rsid w:val="00C34AD3"/>
    <w:rsid w:val="00C400F1"/>
    <w:rsid w:val="00C47932"/>
    <w:rsid w:val="00C5163B"/>
    <w:rsid w:val="00C52062"/>
    <w:rsid w:val="00C52572"/>
    <w:rsid w:val="00C52851"/>
    <w:rsid w:val="00C5450F"/>
    <w:rsid w:val="00C54958"/>
    <w:rsid w:val="00C55301"/>
    <w:rsid w:val="00C557B4"/>
    <w:rsid w:val="00C6306E"/>
    <w:rsid w:val="00C63DC6"/>
    <w:rsid w:val="00C64A8D"/>
    <w:rsid w:val="00C655B7"/>
    <w:rsid w:val="00C67098"/>
    <w:rsid w:val="00C7518B"/>
    <w:rsid w:val="00C81535"/>
    <w:rsid w:val="00C83B9B"/>
    <w:rsid w:val="00C83E87"/>
    <w:rsid w:val="00C853AF"/>
    <w:rsid w:val="00C90176"/>
    <w:rsid w:val="00C91294"/>
    <w:rsid w:val="00C939A1"/>
    <w:rsid w:val="00C967BC"/>
    <w:rsid w:val="00CA232F"/>
    <w:rsid w:val="00CA4173"/>
    <w:rsid w:val="00CA45B5"/>
    <w:rsid w:val="00CA61E0"/>
    <w:rsid w:val="00CB1257"/>
    <w:rsid w:val="00CB3F47"/>
    <w:rsid w:val="00CB5F8C"/>
    <w:rsid w:val="00CB69A6"/>
    <w:rsid w:val="00CC0933"/>
    <w:rsid w:val="00CC1E50"/>
    <w:rsid w:val="00CD38C5"/>
    <w:rsid w:val="00CD4735"/>
    <w:rsid w:val="00CD559E"/>
    <w:rsid w:val="00CD57FA"/>
    <w:rsid w:val="00CE0272"/>
    <w:rsid w:val="00CE1956"/>
    <w:rsid w:val="00CE348F"/>
    <w:rsid w:val="00CE39D3"/>
    <w:rsid w:val="00CE5BAB"/>
    <w:rsid w:val="00CF3F58"/>
    <w:rsid w:val="00D018F1"/>
    <w:rsid w:val="00D0472F"/>
    <w:rsid w:val="00D0619D"/>
    <w:rsid w:val="00D06FB8"/>
    <w:rsid w:val="00D07174"/>
    <w:rsid w:val="00D10F2C"/>
    <w:rsid w:val="00D113E9"/>
    <w:rsid w:val="00D118AC"/>
    <w:rsid w:val="00D13D33"/>
    <w:rsid w:val="00D15684"/>
    <w:rsid w:val="00D2364A"/>
    <w:rsid w:val="00D2498F"/>
    <w:rsid w:val="00D26CEF"/>
    <w:rsid w:val="00D33364"/>
    <w:rsid w:val="00D36E4D"/>
    <w:rsid w:val="00D37AFA"/>
    <w:rsid w:val="00D41719"/>
    <w:rsid w:val="00D41A47"/>
    <w:rsid w:val="00D43C9C"/>
    <w:rsid w:val="00D44CAA"/>
    <w:rsid w:val="00D4527E"/>
    <w:rsid w:val="00D46A8B"/>
    <w:rsid w:val="00D50C7A"/>
    <w:rsid w:val="00D511EB"/>
    <w:rsid w:val="00D51503"/>
    <w:rsid w:val="00D51677"/>
    <w:rsid w:val="00D5219F"/>
    <w:rsid w:val="00D572BA"/>
    <w:rsid w:val="00D57545"/>
    <w:rsid w:val="00D6095A"/>
    <w:rsid w:val="00D6436A"/>
    <w:rsid w:val="00D64B65"/>
    <w:rsid w:val="00D66992"/>
    <w:rsid w:val="00D71F8B"/>
    <w:rsid w:val="00D80D21"/>
    <w:rsid w:val="00D80FB3"/>
    <w:rsid w:val="00D814A9"/>
    <w:rsid w:val="00D82255"/>
    <w:rsid w:val="00D824C2"/>
    <w:rsid w:val="00D85D0A"/>
    <w:rsid w:val="00D87EC0"/>
    <w:rsid w:val="00D904D0"/>
    <w:rsid w:val="00D93C71"/>
    <w:rsid w:val="00D951E6"/>
    <w:rsid w:val="00D967B1"/>
    <w:rsid w:val="00D96A30"/>
    <w:rsid w:val="00D970C9"/>
    <w:rsid w:val="00DA01B6"/>
    <w:rsid w:val="00DA0640"/>
    <w:rsid w:val="00DA0642"/>
    <w:rsid w:val="00DA26A9"/>
    <w:rsid w:val="00DA5DA8"/>
    <w:rsid w:val="00DA7E4E"/>
    <w:rsid w:val="00DB525B"/>
    <w:rsid w:val="00DB5F5F"/>
    <w:rsid w:val="00DB6E34"/>
    <w:rsid w:val="00DB765D"/>
    <w:rsid w:val="00DB7DF1"/>
    <w:rsid w:val="00DC04B5"/>
    <w:rsid w:val="00DC1A6E"/>
    <w:rsid w:val="00DC465A"/>
    <w:rsid w:val="00DC5B93"/>
    <w:rsid w:val="00DC7B83"/>
    <w:rsid w:val="00DD12FF"/>
    <w:rsid w:val="00DD4268"/>
    <w:rsid w:val="00DE4AB2"/>
    <w:rsid w:val="00DE550B"/>
    <w:rsid w:val="00DE5D61"/>
    <w:rsid w:val="00DF2FC9"/>
    <w:rsid w:val="00DF6648"/>
    <w:rsid w:val="00DF6776"/>
    <w:rsid w:val="00DF7DB1"/>
    <w:rsid w:val="00E00B4C"/>
    <w:rsid w:val="00E04044"/>
    <w:rsid w:val="00E07374"/>
    <w:rsid w:val="00E07741"/>
    <w:rsid w:val="00E135AE"/>
    <w:rsid w:val="00E13A66"/>
    <w:rsid w:val="00E1422B"/>
    <w:rsid w:val="00E22C6B"/>
    <w:rsid w:val="00E272C6"/>
    <w:rsid w:val="00E30E4A"/>
    <w:rsid w:val="00E325AB"/>
    <w:rsid w:val="00E33222"/>
    <w:rsid w:val="00E35F38"/>
    <w:rsid w:val="00E361E1"/>
    <w:rsid w:val="00E426EF"/>
    <w:rsid w:val="00E4293F"/>
    <w:rsid w:val="00E448CE"/>
    <w:rsid w:val="00E44F38"/>
    <w:rsid w:val="00E472E7"/>
    <w:rsid w:val="00E51169"/>
    <w:rsid w:val="00E539D8"/>
    <w:rsid w:val="00E55288"/>
    <w:rsid w:val="00E55DCF"/>
    <w:rsid w:val="00E5609C"/>
    <w:rsid w:val="00E61AAD"/>
    <w:rsid w:val="00E63F15"/>
    <w:rsid w:val="00E65FF2"/>
    <w:rsid w:val="00E67F15"/>
    <w:rsid w:val="00E74289"/>
    <w:rsid w:val="00E747BD"/>
    <w:rsid w:val="00E74AA0"/>
    <w:rsid w:val="00E752EF"/>
    <w:rsid w:val="00E838FC"/>
    <w:rsid w:val="00E8452C"/>
    <w:rsid w:val="00E8491E"/>
    <w:rsid w:val="00E8509A"/>
    <w:rsid w:val="00E862A4"/>
    <w:rsid w:val="00E9435B"/>
    <w:rsid w:val="00E951D5"/>
    <w:rsid w:val="00E96977"/>
    <w:rsid w:val="00EB06A9"/>
    <w:rsid w:val="00EB2B5B"/>
    <w:rsid w:val="00EB45EF"/>
    <w:rsid w:val="00EB7D7D"/>
    <w:rsid w:val="00EC170C"/>
    <w:rsid w:val="00EC2394"/>
    <w:rsid w:val="00EC3C3A"/>
    <w:rsid w:val="00EC3C7D"/>
    <w:rsid w:val="00EC3CBA"/>
    <w:rsid w:val="00EC3FDC"/>
    <w:rsid w:val="00ED0BE0"/>
    <w:rsid w:val="00ED2614"/>
    <w:rsid w:val="00ED2E78"/>
    <w:rsid w:val="00EE08A1"/>
    <w:rsid w:val="00EE494A"/>
    <w:rsid w:val="00EE4EE9"/>
    <w:rsid w:val="00EE525E"/>
    <w:rsid w:val="00EF0E25"/>
    <w:rsid w:val="00EF36F2"/>
    <w:rsid w:val="00EF479A"/>
    <w:rsid w:val="00EF4FD1"/>
    <w:rsid w:val="00EF520A"/>
    <w:rsid w:val="00EF6812"/>
    <w:rsid w:val="00EF7504"/>
    <w:rsid w:val="00F0112C"/>
    <w:rsid w:val="00F02539"/>
    <w:rsid w:val="00F04636"/>
    <w:rsid w:val="00F055BC"/>
    <w:rsid w:val="00F068AA"/>
    <w:rsid w:val="00F074AB"/>
    <w:rsid w:val="00F07685"/>
    <w:rsid w:val="00F077FD"/>
    <w:rsid w:val="00F16D73"/>
    <w:rsid w:val="00F201CC"/>
    <w:rsid w:val="00F21877"/>
    <w:rsid w:val="00F23CC0"/>
    <w:rsid w:val="00F2469F"/>
    <w:rsid w:val="00F32CE2"/>
    <w:rsid w:val="00F37AA3"/>
    <w:rsid w:val="00F425E9"/>
    <w:rsid w:val="00F436B8"/>
    <w:rsid w:val="00F5071F"/>
    <w:rsid w:val="00F51957"/>
    <w:rsid w:val="00F524AB"/>
    <w:rsid w:val="00F5489C"/>
    <w:rsid w:val="00F54F44"/>
    <w:rsid w:val="00F565D0"/>
    <w:rsid w:val="00F604DC"/>
    <w:rsid w:val="00F61803"/>
    <w:rsid w:val="00F65BEF"/>
    <w:rsid w:val="00F66923"/>
    <w:rsid w:val="00F67852"/>
    <w:rsid w:val="00F6795C"/>
    <w:rsid w:val="00F70347"/>
    <w:rsid w:val="00F709C6"/>
    <w:rsid w:val="00F7124E"/>
    <w:rsid w:val="00F71757"/>
    <w:rsid w:val="00F72454"/>
    <w:rsid w:val="00F7503C"/>
    <w:rsid w:val="00F75F9C"/>
    <w:rsid w:val="00F805BE"/>
    <w:rsid w:val="00F814E9"/>
    <w:rsid w:val="00F82CB9"/>
    <w:rsid w:val="00F83F76"/>
    <w:rsid w:val="00F8617F"/>
    <w:rsid w:val="00F91679"/>
    <w:rsid w:val="00F91DA1"/>
    <w:rsid w:val="00F92392"/>
    <w:rsid w:val="00FA00A7"/>
    <w:rsid w:val="00FA1EAE"/>
    <w:rsid w:val="00FA3ED8"/>
    <w:rsid w:val="00FA5992"/>
    <w:rsid w:val="00FA688F"/>
    <w:rsid w:val="00FA6A70"/>
    <w:rsid w:val="00FB0AD8"/>
    <w:rsid w:val="00FB15EC"/>
    <w:rsid w:val="00FB27D9"/>
    <w:rsid w:val="00FB3E85"/>
    <w:rsid w:val="00FB402F"/>
    <w:rsid w:val="00FB4900"/>
    <w:rsid w:val="00FB4FCE"/>
    <w:rsid w:val="00FB6B3C"/>
    <w:rsid w:val="00FC1259"/>
    <w:rsid w:val="00FC5F55"/>
    <w:rsid w:val="00FC61FF"/>
    <w:rsid w:val="00FC6BE2"/>
    <w:rsid w:val="00FC7EE3"/>
    <w:rsid w:val="00FD63FB"/>
    <w:rsid w:val="00FD6862"/>
    <w:rsid w:val="00FE2942"/>
    <w:rsid w:val="00FE43F3"/>
    <w:rsid w:val="00FE4509"/>
    <w:rsid w:val="00FE6BF9"/>
    <w:rsid w:val="00FF1948"/>
    <w:rsid w:val="00FF3B82"/>
    <w:rsid w:val="00FF56AB"/>
    <w:rsid w:val="00FF5CB5"/>
    <w:rsid w:val="00FF7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65AA3"/>
  <w15:docId w15:val="{68FFB5EE-7934-446E-BABF-96D79B7A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B9A"/>
    <w:rPr>
      <w:rFonts w:ascii="Times New Roman" w:eastAsia="Times New Roman" w:hAnsi="Times New Roman" w:cs="Times New Roman"/>
      <w:sz w:val="24"/>
      <w:szCs w:val="24"/>
      <w:lang w:eastAsia="lv-LV"/>
    </w:rPr>
  </w:style>
  <w:style w:type="paragraph" w:styleId="Heading1">
    <w:name w:val="heading 1"/>
    <w:basedOn w:val="NoSpacing"/>
    <w:next w:val="Normal"/>
    <w:link w:val="Heading1Char"/>
    <w:uiPriority w:val="9"/>
    <w:qFormat/>
    <w:rsid w:val="000B6F30"/>
    <w:pPr>
      <w:ind w:left="720"/>
      <w:jc w:val="center"/>
      <w:outlineLvl w:val="0"/>
    </w:pPr>
    <w:rPr>
      <w:b/>
      <w:sz w:val="28"/>
      <w:szCs w:val="28"/>
    </w:rPr>
  </w:style>
  <w:style w:type="paragraph" w:styleId="Heading2">
    <w:name w:val="heading 2"/>
    <w:basedOn w:val="NoSpacing"/>
    <w:next w:val="Normal"/>
    <w:link w:val="Heading2Char"/>
    <w:uiPriority w:val="9"/>
    <w:unhideWhenUsed/>
    <w:qFormat/>
    <w:rsid w:val="000B6F30"/>
    <w:pPr>
      <w:numPr>
        <w:ilvl w:val="1"/>
        <w:numId w:val="35"/>
      </w:numPr>
      <w:jc w:val="both"/>
      <w:outlineLvl w:val="1"/>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C4037"/>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C4037"/>
    <w:rPr>
      <w:color w:val="0000FF"/>
      <w:u w:val="single"/>
    </w:rPr>
  </w:style>
  <w:style w:type="paragraph" w:styleId="FootnoteText">
    <w:name w:val="footnote text"/>
    <w:aliases w:val="Footnote,Fußnote,Char, Char,Footnote Text Char1,Vēres teksts Char Char Char Char Char Char Char Char Char Char Char Char1,Char Char Char Char Char Char Char Char Char Char Char Char Char Char Char Char Char Char Char1,-E Fußnotentext,f"/>
    <w:basedOn w:val="Normal"/>
    <w:link w:val="FootnoteTextChar"/>
    <w:uiPriority w:val="99"/>
    <w:unhideWhenUsed/>
    <w:rsid w:val="006C4037"/>
    <w:rPr>
      <w:sz w:val="20"/>
      <w:szCs w:val="20"/>
    </w:rPr>
  </w:style>
  <w:style w:type="character" w:customStyle="1" w:styleId="FootnoteTextChar">
    <w:name w:val="Footnote Text Char"/>
    <w:aliases w:val="Footnote Char,Fußnote Char,Char Char, Char Char,Footnote Text Char1 Char,Vēres teksts Char Char Char Char Char Char Char Char Char Char Char Char1 Char,-E Fußnotentext Char,f Char"/>
    <w:basedOn w:val="DefaultParagraphFont"/>
    <w:link w:val="FootnoteText"/>
    <w:uiPriority w:val="99"/>
    <w:rsid w:val="006C403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C4037"/>
    <w:rPr>
      <w:vertAlign w:val="superscript"/>
    </w:rPr>
  </w:style>
  <w:style w:type="paragraph" w:styleId="ListParagraph">
    <w:name w:val="List Paragraph"/>
    <w:aliases w:val="H&amp;P List Paragraph,2"/>
    <w:basedOn w:val="Normal"/>
    <w:link w:val="ListParagraphChar"/>
    <w:uiPriority w:val="34"/>
    <w:qFormat/>
    <w:rsid w:val="00E5609C"/>
    <w:pPr>
      <w:ind w:left="720"/>
      <w:contextualSpacing/>
    </w:pPr>
  </w:style>
  <w:style w:type="paragraph" w:customStyle="1" w:styleId="Default">
    <w:name w:val="Default"/>
    <w:rsid w:val="000F3A0C"/>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customStyle="1" w:styleId="ListParagraphChar">
    <w:name w:val="List Paragraph Char"/>
    <w:aliases w:val="H&amp;P List Paragraph Char,2 Char"/>
    <w:link w:val="ListParagraph"/>
    <w:locked/>
    <w:rsid w:val="000F3A0C"/>
    <w:rPr>
      <w:rFonts w:ascii="Times New Roman" w:eastAsia="Times New Roman" w:hAnsi="Times New Roman" w:cs="Times New Roman"/>
      <w:sz w:val="24"/>
      <w:szCs w:val="24"/>
      <w:lang w:eastAsia="lv-LV"/>
    </w:rPr>
  </w:style>
  <w:style w:type="paragraph" w:customStyle="1" w:styleId="naisc">
    <w:name w:val="naisc"/>
    <w:basedOn w:val="Normal"/>
    <w:uiPriority w:val="99"/>
    <w:rsid w:val="000F3A0C"/>
    <w:pPr>
      <w:spacing w:before="75" w:after="75"/>
      <w:jc w:val="center"/>
    </w:pPr>
  </w:style>
  <w:style w:type="paragraph" w:customStyle="1" w:styleId="Text1">
    <w:name w:val="Text 1"/>
    <w:basedOn w:val="Normal"/>
    <w:rsid w:val="00EF4FD1"/>
    <w:pPr>
      <w:spacing w:before="120" w:after="120"/>
      <w:ind w:left="850"/>
      <w:jc w:val="both"/>
    </w:pPr>
    <w:rPr>
      <w:lang w:eastAsia="de-DE"/>
    </w:rPr>
  </w:style>
  <w:style w:type="paragraph" w:customStyle="1" w:styleId="Prliminairetitre">
    <w:name w:val="Préliminaire titre"/>
    <w:basedOn w:val="Normal"/>
    <w:next w:val="Normal"/>
    <w:rsid w:val="00EF4FD1"/>
    <w:pPr>
      <w:spacing w:before="360" w:after="360"/>
      <w:jc w:val="center"/>
    </w:pPr>
    <w:rPr>
      <w:b/>
      <w:lang w:eastAsia="de-DE"/>
    </w:rPr>
  </w:style>
  <w:style w:type="paragraph" w:styleId="NormalWeb">
    <w:name w:val="Normal (Web)"/>
    <w:basedOn w:val="Normal"/>
    <w:uiPriority w:val="99"/>
    <w:unhideWhenUsed/>
    <w:rsid w:val="00EF4FD1"/>
    <w:pPr>
      <w:spacing w:before="100" w:beforeAutospacing="1" w:after="100" w:afterAutospacing="1"/>
    </w:pPr>
    <w:rPr>
      <w:rFonts w:ascii="Times" w:eastAsiaTheme="minorEastAsia" w:hAnsi="Times"/>
      <w:sz w:val="20"/>
      <w:szCs w:val="20"/>
      <w:lang w:val="en-US" w:eastAsia="en-US"/>
    </w:rPr>
  </w:style>
  <w:style w:type="character" w:customStyle="1" w:styleId="apple-converted-space">
    <w:name w:val="apple-converted-space"/>
    <w:basedOn w:val="DefaultParagraphFont"/>
    <w:rsid w:val="00C400F1"/>
  </w:style>
  <w:style w:type="character" w:styleId="Strong">
    <w:name w:val="Strong"/>
    <w:basedOn w:val="DefaultParagraphFont"/>
    <w:uiPriority w:val="22"/>
    <w:qFormat/>
    <w:rsid w:val="00C400F1"/>
    <w:rPr>
      <w:b/>
      <w:bCs/>
    </w:rPr>
  </w:style>
  <w:style w:type="paragraph" w:styleId="BalloonText">
    <w:name w:val="Balloon Text"/>
    <w:basedOn w:val="Normal"/>
    <w:link w:val="BalloonTextChar"/>
    <w:uiPriority w:val="99"/>
    <w:semiHidden/>
    <w:unhideWhenUsed/>
    <w:rsid w:val="00040F29"/>
    <w:rPr>
      <w:rFonts w:ascii="Tahoma" w:hAnsi="Tahoma" w:cs="Tahoma"/>
      <w:sz w:val="16"/>
      <w:szCs w:val="16"/>
    </w:rPr>
  </w:style>
  <w:style w:type="character" w:customStyle="1" w:styleId="BalloonTextChar">
    <w:name w:val="Balloon Text Char"/>
    <w:basedOn w:val="DefaultParagraphFont"/>
    <w:link w:val="BalloonText"/>
    <w:uiPriority w:val="99"/>
    <w:semiHidden/>
    <w:rsid w:val="00040F29"/>
    <w:rPr>
      <w:rFonts w:ascii="Tahoma" w:eastAsia="Times New Roman" w:hAnsi="Tahoma" w:cs="Tahoma"/>
      <w:sz w:val="16"/>
      <w:szCs w:val="16"/>
      <w:lang w:eastAsia="lv-LV"/>
    </w:rPr>
  </w:style>
  <w:style w:type="paragraph" w:styleId="Header">
    <w:name w:val="header"/>
    <w:basedOn w:val="Normal"/>
    <w:link w:val="HeaderChar"/>
    <w:uiPriority w:val="99"/>
    <w:unhideWhenUsed/>
    <w:rsid w:val="00077168"/>
    <w:pPr>
      <w:tabs>
        <w:tab w:val="center" w:pos="4153"/>
        <w:tab w:val="right" w:pos="8306"/>
      </w:tabs>
    </w:pPr>
  </w:style>
  <w:style w:type="character" w:customStyle="1" w:styleId="HeaderChar">
    <w:name w:val="Header Char"/>
    <w:basedOn w:val="DefaultParagraphFont"/>
    <w:link w:val="Header"/>
    <w:uiPriority w:val="99"/>
    <w:rsid w:val="000771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77168"/>
    <w:pPr>
      <w:tabs>
        <w:tab w:val="center" w:pos="4153"/>
        <w:tab w:val="right" w:pos="8306"/>
      </w:tabs>
    </w:pPr>
  </w:style>
  <w:style w:type="character" w:customStyle="1" w:styleId="FooterChar">
    <w:name w:val="Footer Char"/>
    <w:basedOn w:val="DefaultParagraphFont"/>
    <w:link w:val="Footer"/>
    <w:uiPriority w:val="99"/>
    <w:rsid w:val="00077168"/>
    <w:rPr>
      <w:rFonts w:ascii="Times New Roman" w:eastAsia="Times New Roman" w:hAnsi="Times New Roman" w:cs="Times New Roman"/>
      <w:sz w:val="24"/>
      <w:szCs w:val="24"/>
      <w:lang w:eastAsia="lv-LV"/>
    </w:rPr>
  </w:style>
  <w:style w:type="paragraph" w:styleId="NoSpacing">
    <w:name w:val="No Spacing"/>
    <w:uiPriority w:val="1"/>
    <w:qFormat/>
    <w:rsid w:val="0048167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04325B"/>
    <w:rPr>
      <w:sz w:val="16"/>
      <w:szCs w:val="16"/>
    </w:rPr>
  </w:style>
  <w:style w:type="paragraph" w:styleId="CommentText">
    <w:name w:val="annotation text"/>
    <w:basedOn w:val="Normal"/>
    <w:link w:val="CommentTextChar"/>
    <w:unhideWhenUsed/>
    <w:rsid w:val="0004325B"/>
    <w:pPr>
      <w:spacing w:after="160"/>
    </w:pPr>
    <w:rPr>
      <w:rFonts w:ascii="Calibri" w:eastAsia="Calibri" w:hAnsi="Calibri"/>
      <w:sz w:val="20"/>
      <w:szCs w:val="20"/>
      <w:lang w:val="en-US" w:eastAsia="ja-JP"/>
    </w:rPr>
  </w:style>
  <w:style w:type="character" w:customStyle="1" w:styleId="CommentTextChar">
    <w:name w:val="Comment Text Char"/>
    <w:basedOn w:val="DefaultParagraphFont"/>
    <w:link w:val="CommentText"/>
    <w:rsid w:val="0004325B"/>
    <w:rPr>
      <w:rFonts w:ascii="Calibri" w:eastAsia="Calibri" w:hAnsi="Calibri" w:cs="Times New Roman"/>
      <w:sz w:val="20"/>
      <w:szCs w:val="20"/>
      <w:lang w:val="en-US" w:eastAsia="ja-JP"/>
    </w:rPr>
  </w:style>
  <w:style w:type="table" w:styleId="TableGrid">
    <w:name w:val="Table Grid"/>
    <w:basedOn w:val="TableNormal"/>
    <w:uiPriority w:val="39"/>
    <w:rsid w:val="00C5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3178"/>
    <w:pPr>
      <w:spacing w:after="0"/>
    </w:pPr>
    <w:rPr>
      <w:rFonts w:ascii="Times New Roman" w:eastAsia="Times New Roman" w:hAnsi="Times New Roman"/>
      <w:b/>
      <w:bCs/>
      <w:lang w:val="lv-LV" w:eastAsia="lv-LV"/>
    </w:rPr>
  </w:style>
  <w:style w:type="character" w:customStyle="1" w:styleId="CommentSubjectChar">
    <w:name w:val="Comment Subject Char"/>
    <w:basedOn w:val="CommentTextChar"/>
    <w:link w:val="CommentSubject"/>
    <w:uiPriority w:val="99"/>
    <w:semiHidden/>
    <w:rsid w:val="00393178"/>
    <w:rPr>
      <w:rFonts w:ascii="Times New Roman" w:eastAsia="Times New Roman" w:hAnsi="Times New Roman" w:cs="Times New Roman"/>
      <w:b/>
      <w:bCs/>
      <w:sz w:val="20"/>
      <w:szCs w:val="20"/>
      <w:lang w:val="en-US" w:eastAsia="lv-LV"/>
    </w:rPr>
  </w:style>
  <w:style w:type="paragraph" w:customStyle="1" w:styleId="CharCharCharChar">
    <w:name w:val="Char Char Char Char"/>
    <w:aliases w:val="Char2"/>
    <w:basedOn w:val="Normal"/>
    <w:next w:val="Normal"/>
    <w:link w:val="FootnoteReference"/>
    <w:uiPriority w:val="99"/>
    <w:rsid w:val="00B925DF"/>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DocumentMap">
    <w:name w:val="Document Map"/>
    <w:basedOn w:val="Normal"/>
    <w:link w:val="DocumentMapChar"/>
    <w:uiPriority w:val="99"/>
    <w:semiHidden/>
    <w:unhideWhenUsed/>
    <w:rsid w:val="00E472E7"/>
    <w:rPr>
      <w:rFonts w:ascii="Tahoma" w:hAnsi="Tahoma" w:cs="Tahoma"/>
      <w:sz w:val="16"/>
      <w:szCs w:val="16"/>
    </w:rPr>
  </w:style>
  <w:style w:type="character" w:customStyle="1" w:styleId="DocumentMapChar">
    <w:name w:val="Document Map Char"/>
    <w:basedOn w:val="DefaultParagraphFont"/>
    <w:link w:val="DocumentMap"/>
    <w:uiPriority w:val="99"/>
    <w:semiHidden/>
    <w:rsid w:val="00E472E7"/>
    <w:rPr>
      <w:rFonts w:ascii="Tahoma" w:eastAsia="Times New Roman" w:hAnsi="Tahoma" w:cs="Tahoma"/>
      <w:sz w:val="16"/>
      <w:szCs w:val="16"/>
      <w:lang w:eastAsia="lv-LV"/>
    </w:rPr>
  </w:style>
  <w:style w:type="paragraph" w:customStyle="1" w:styleId="naiskr">
    <w:name w:val="naiskr"/>
    <w:basedOn w:val="Normal"/>
    <w:uiPriority w:val="99"/>
    <w:rsid w:val="00671526"/>
    <w:pPr>
      <w:spacing w:before="75" w:after="75"/>
    </w:pPr>
  </w:style>
  <w:style w:type="character" w:styleId="FollowedHyperlink">
    <w:name w:val="FollowedHyperlink"/>
    <w:basedOn w:val="DefaultParagraphFont"/>
    <w:uiPriority w:val="99"/>
    <w:semiHidden/>
    <w:unhideWhenUsed/>
    <w:rsid w:val="00D64B65"/>
    <w:rPr>
      <w:color w:val="800080" w:themeColor="followedHyperlink"/>
      <w:u w:val="single"/>
    </w:rPr>
  </w:style>
  <w:style w:type="paragraph" w:styleId="TOC1">
    <w:name w:val="toc 1"/>
    <w:basedOn w:val="Normal"/>
    <w:next w:val="Normal"/>
    <w:autoRedefine/>
    <w:uiPriority w:val="39"/>
    <w:unhideWhenUsed/>
    <w:rsid w:val="0080767E"/>
    <w:pPr>
      <w:spacing w:after="100"/>
    </w:pPr>
  </w:style>
  <w:style w:type="character" w:customStyle="1" w:styleId="Heading1Char">
    <w:name w:val="Heading 1 Char"/>
    <w:basedOn w:val="DefaultParagraphFont"/>
    <w:link w:val="Heading1"/>
    <w:uiPriority w:val="9"/>
    <w:rsid w:val="000B6F30"/>
    <w:rPr>
      <w:rFonts w:ascii="Times New Roman" w:eastAsia="Times New Roman" w:hAnsi="Times New Roman" w:cs="Times New Roman"/>
      <w:b/>
      <w:sz w:val="28"/>
      <w:szCs w:val="28"/>
      <w:lang w:eastAsia="lv-LV"/>
    </w:rPr>
  </w:style>
  <w:style w:type="character" w:customStyle="1" w:styleId="Heading2Char">
    <w:name w:val="Heading 2 Char"/>
    <w:basedOn w:val="DefaultParagraphFont"/>
    <w:link w:val="Heading2"/>
    <w:uiPriority w:val="9"/>
    <w:rsid w:val="000B6F30"/>
    <w:rPr>
      <w:rFonts w:ascii="Times New Roman" w:eastAsia="Times New Roman" w:hAnsi="Times New Roman" w:cs="Times New Roman"/>
      <w:b/>
      <w:sz w:val="28"/>
      <w:szCs w:val="28"/>
      <w:lang w:eastAsia="lv-LV"/>
    </w:rPr>
  </w:style>
  <w:style w:type="paragraph" w:styleId="TOCHeading">
    <w:name w:val="TOC Heading"/>
    <w:basedOn w:val="Heading1"/>
    <w:next w:val="Normal"/>
    <w:uiPriority w:val="39"/>
    <w:unhideWhenUsed/>
    <w:qFormat/>
    <w:rsid w:val="00F055BC"/>
    <w:pPr>
      <w:keepNext/>
      <w:keepLines/>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F055B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025">
      <w:bodyDiv w:val="1"/>
      <w:marLeft w:val="0"/>
      <w:marRight w:val="0"/>
      <w:marTop w:val="0"/>
      <w:marBottom w:val="0"/>
      <w:divBdr>
        <w:top w:val="none" w:sz="0" w:space="0" w:color="auto"/>
        <w:left w:val="none" w:sz="0" w:space="0" w:color="auto"/>
        <w:bottom w:val="none" w:sz="0" w:space="0" w:color="auto"/>
        <w:right w:val="none" w:sz="0" w:space="0" w:color="auto"/>
      </w:divBdr>
    </w:div>
    <w:div w:id="42296885">
      <w:bodyDiv w:val="1"/>
      <w:marLeft w:val="0"/>
      <w:marRight w:val="0"/>
      <w:marTop w:val="0"/>
      <w:marBottom w:val="0"/>
      <w:divBdr>
        <w:top w:val="none" w:sz="0" w:space="0" w:color="auto"/>
        <w:left w:val="none" w:sz="0" w:space="0" w:color="auto"/>
        <w:bottom w:val="none" w:sz="0" w:space="0" w:color="auto"/>
        <w:right w:val="none" w:sz="0" w:space="0" w:color="auto"/>
      </w:divBdr>
    </w:div>
    <w:div w:id="89283135">
      <w:bodyDiv w:val="1"/>
      <w:marLeft w:val="0"/>
      <w:marRight w:val="0"/>
      <w:marTop w:val="0"/>
      <w:marBottom w:val="0"/>
      <w:divBdr>
        <w:top w:val="none" w:sz="0" w:space="0" w:color="auto"/>
        <w:left w:val="none" w:sz="0" w:space="0" w:color="auto"/>
        <w:bottom w:val="none" w:sz="0" w:space="0" w:color="auto"/>
        <w:right w:val="none" w:sz="0" w:space="0" w:color="auto"/>
      </w:divBdr>
    </w:div>
    <w:div w:id="90317594">
      <w:bodyDiv w:val="1"/>
      <w:marLeft w:val="0"/>
      <w:marRight w:val="0"/>
      <w:marTop w:val="0"/>
      <w:marBottom w:val="0"/>
      <w:divBdr>
        <w:top w:val="none" w:sz="0" w:space="0" w:color="auto"/>
        <w:left w:val="none" w:sz="0" w:space="0" w:color="auto"/>
        <w:bottom w:val="none" w:sz="0" w:space="0" w:color="auto"/>
        <w:right w:val="none" w:sz="0" w:space="0" w:color="auto"/>
      </w:divBdr>
    </w:div>
    <w:div w:id="92556118">
      <w:bodyDiv w:val="1"/>
      <w:marLeft w:val="0"/>
      <w:marRight w:val="0"/>
      <w:marTop w:val="0"/>
      <w:marBottom w:val="0"/>
      <w:divBdr>
        <w:top w:val="none" w:sz="0" w:space="0" w:color="auto"/>
        <w:left w:val="none" w:sz="0" w:space="0" w:color="auto"/>
        <w:bottom w:val="none" w:sz="0" w:space="0" w:color="auto"/>
        <w:right w:val="none" w:sz="0" w:space="0" w:color="auto"/>
      </w:divBdr>
    </w:div>
    <w:div w:id="120341589">
      <w:bodyDiv w:val="1"/>
      <w:marLeft w:val="0"/>
      <w:marRight w:val="0"/>
      <w:marTop w:val="0"/>
      <w:marBottom w:val="0"/>
      <w:divBdr>
        <w:top w:val="none" w:sz="0" w:space="0" w:color="auto"/>
        <w:left w:val="none" w:sz="0" w:space="0" w:color="auto"/>
        <w:bottom w:val="none" w:sz="0" w:space="0" w:color="auto"/>
        <w:right w:val="none" w:sz="0" w:space="0" w:color="auto"/>
      </w:divBdr>
    </w:div>
    <w:div w:id="151482315">
      <w:bodyDiv w:val="1"/>
      <w:marLeft w:val="0"/>
      <w:marRight w:val="0"/>
      <w:marTop w:val="0"/>
      <w:marBottom w:val="0"/>
      <w:divBdr>
        <w:top w:val="none" w:sz="0" w:space="0" w:color="auto"/>
        <w:left w:val="none" w:sz="0" w:space="0" w:color="auto"/>
        <w:bottom w:val="none" w:sz="0" w:space="0" w:color="auto"/>
        <w:right w:val="none" w:sz="0" w:space="0" w:color="auto"/>
      </w:divBdr>
    </w:div>
    <w:div w:id="230190436">
      <w:bodyDiv w:val="1"/>
      <w:marLeft w:val="0"/>
      <w:marRight w:val="0"/>
      <w:marTop w:val="0"/>
      <w:marBottom w:val="0"/>
      <w:divBdr>
        <w:top w:val="none" w:sz="0" w:space="0" w:color="auto"/>
        <w:left w:val="none" w:sz="0" w:space="0" w:color="auto"/>
        <w:bottom w:val="none" w:sz="0" w:space="0" w:color="auto"/>
        <w:right w:val="none" w:sz="0" w:space="0" w:color="auto"/>
      </w:divBdr>
    </w:div>
    <w:div w:id="236013532">
      <w:bodyDiv w:val="1"/>
      <w:marLeft w:val="0"/>
      <w:marRight w:val="0"/>
      <w:marTop w:val="0"/>
      <w:marBottom w:val="0"/>
      <w:divBdr>
        <w:top w:val="none" w:sz="0" w:space="0" w:color="auto"/>
        <w:left w:val="none" w:sz="0" w:space="0" w:color="auto"/>
        <w:bottom w:val="none" w:sz="0" w:space="0" w:color="auto"/>
        <w:right w:val="none" w:sz="0" w:space="0" w:color="auto"/>
      </w:divBdr>
    </w:div>
    <w:div w:id="322511899">
      <w:bodyDiv w:val="1"/>
      <w:marLeft w:val="0"/>
      <w:marRight w:val="0"/>
      <w:marTop w:val="0"/>
      <w:marBottom w:val="0"/>
      <w:divBdr>
        <w:top w:val="none" w:sz="0" w:space="0" w:color="auto"/>
        <w:left w:val="none" w:sz="0" w:space="0" w:color="auto"/>
        <w:bottom w:val="none" w:sz="0" w:space="0" w:color="auto"/>
        <w:right w:val="none" w:sz="0" w:space="0" w:color="auto"/>
      </w:divBdr>
    </w:div>
    <w:div w:id="343169059">
      <w:bodyDiv w:val="1"/>
      <w:marLeft w:val="0"/>
      <w:marRight w:val="0"/>
      <w:marTop w:val="0"/>
      <w:marBottom w:val="0"/>
      <w:divBdr>
        <w:top w:val="none" w:sz="0" w:space="0" w:color="auto"/>
        <w:left w:val="none" w:sz="0" w:space="0" w:color="auto"/>
        <w:bottom w:val="none" w:sz="0" w:space="0" w:color="auto"/>
        <w:right w:val="none" w:sz="0" w:space="0" w:color="auto"/>
      </w:divBdr>
    </w:div>
    <w:div w:id="350568259">
      <w:bodyDiv w:val="1"/>
      <w:marLeft w:val="0"/>
      <w:marRight w:val="0"/>
      <w:marTop w:val="0"/>
      <w:marBottom w:val="0"/>
      <w:divBdr>
        <w:top w:val="none" w:sz="0" w:space="0" w:color="auto"/>
        <w:left w:val="none" w:sz="0" w:space="0" w:color="auto"/>
        <w:bottom w:val="none" w:sz="0" w:space="0" w:color="auto"/>
        <w:right w:val="none" w:sz="0" w:space="0" w:color="auto"/>
      </w:divBdr>
    </w:div>
    <w:div w:id="371805877">
      <w:bodyDiv w:val="1"/>
      <w:marLeft w:val="0"/>
      <w:marRight w:val="0"/>
      <w:marTop w:val="0"/>
      <w:marBottom w:val="0"/>
      <w:divBdr>
        <w:top w:val="none" w:sz="0" w:space="0" w:color="auto"/>
        <w:left w:val="none" w:sz="0" w:space="0" w:color="auto"/>
        <w:bottom w:val="none" w:sz="0" w:space="0" w:color="auto"/>
        <w:right w:val="none" w:sz="0" w:space="0" w:color="auto"/>
      </w:divBdr>
    </w:div>
    <w:div w:id="393892263">
      <w:bodyDiv w:val="1"/>
      <w:marLeft w:val="0"/>
      <w:marRight w:val="0"/>
      <w:marTop w:val="0"/>
      <w:marBottom w:val="0"/>
      <w:divBdr>
        <w:top w:val="none" w:sz="0" w:space="0" w:color="auto"/>
        <w:left w:val="none" w:sz="0" w:space="0" w:color="auto"/>
        <w:bottom w:val="none" w:sz="0" w:space="0" w:color="auto"/>
        <w:right w:val="none" w:sz="0" w:space="0" w:color="auto"/>
      </w:divBdr>
    </w:div>
    <w:div w:id="400060443">
      <w:bodyDiv w:val="1"/>
      <w:marLeft w:val="0"/>
      <w:marRight w:val="0"/>
      <w:marTop w:val="0"/>
      <w:marBottom w:val="0"/>
      <w:divBdr>
        <w:top w:val="none" w:sz="0" w:space="0" w:color="auto"/>
        <w:left w:val="none" w:sz="0" w:space="0" w:color="auto"/>
        <w:bottom w:val="none" w:sz="0" w:space="0" w:color="auto"/>
        <w:right w:val="none" w:sz="0" w:space="0" w:color="auto"/>
      </w:divBdr>
    </w:div>
    <w:div w:id="488717021">
      <w:bodyDiv w:val="1"/>
      <w:marLeft w:val="0"/>
      <w:marRight w:val="0"/>
      <w:marTop w:val="0"/>
      <w:marBottom w:val="0"/>
      <w:divBdr>
        <w:top w:val="none" w:sz="0" w:space="0" w:color="auto"/>
        <w:left w:val="none" w:sz="0" w:space="0" w:color="auto"/>
        <w:bottom w:val="none" w:sz="0" w:space="0" w:color="auto"/>
        <w:right w:val="none" w:sz="0" w:space="0" w:color="auto"/>
      </w:divBdr>
    </w:div>
    <w:div w:id="494758279">
      <w:bodyDiv w:val="1"/>
      <w:marLeft w:val="0"/>
      <w:marRight w:val="0"/>
      <w:marTop w:val="0"/>
      <w:marBottom w:val="0"/>
      <w:divBdr>
        <w:top w:val="none" w:sz="0" w:space="0" w:color="auto"/>
        <w:left w:val="none" w:sz="0" w:space="0" w:color="auto"/>
        <w:bottom w:val="none" w:sz="0" w:space="0" w:color="auto"/>
        <w:right w:val="none" w:sz="0" w:space="0" w:color="auto"/>
      </w:divBdr>
    </w:div>
    <w:div w:id="497305891">
      <w:bodyDiv w:val="1"/>
      <w:marLeft w:val="0"/>
      <w:marRight w:val="0"/>
      <w:marTop w:val="0"/>
      <w:marBottom w:val="0"/>
      <w:divBdr>
        <w:top w:val="none" w:sz="0" w:space="0" w:color="auto"/>
        <w:left w:val="none" w:sz="0" w:space="0" w:color="auto"/>
        <w:bottom w:val="none" w:sz="0" w:space="0" w:color="auto"/>
        <w:right w:val="none" w:sz="0" w:space="0" w:color="auto"/>
      </w:divBdr>
    </w:div>
    <w:div w:id="528840906">
      <w:bodyDiv w:val="1"/>
      <w:marLeft w:val="0"/>
      <w:marRight w:val="0"/>
      <w:marTop w:val="0"/>
      <w:marBottom w:val="0"/>
      <w:divBdr>
        <w:top w:val="none" w:sz="0" w:space="0" w:color="auto"/>
        <w:left w:val="none" w:sz="0" w:space="0" w:color="auto"/>
        <w:bottom w:val="none" w:sz="0" w:space="0" w:color="auto"/>
        <w:right w:val="none" w:sz="0" w:space="0" w:color="auto"/>
      </w:divBdr>
    </w:div>
    <w:div w:id="583271173">
      <w:bodyDiv w:val="1"/>
      <w:marLeft w:val="0"/>
      <w:marRight w:val="0"/>
      <w:marTop w:val="0"/>
      <w:marBottom w:val="0"/>
      <w:divBdr>
        <w:top w:val="none" w:sz="0" w:space="0" w:color="auto"/>
        <w:left w:val="none" w:sz="0" w:space="0" w:color="auto"/>
        <w:bottom w:val="none" w:sz="0" w:space="0" w:color="auto"/>
        <w:right w:val="none" w:sz="0" w:space="0" w:color="auto"/>
      </w:divBdr>
    </w:div>
    <w:div w:id="611935517">
      <w:bodyDiv w:val="1"/>
      <w:marLeft w:val="0"/>
      <w:marRight w:val="0"/>
      <w:marTop w:val="0"/>
      <w:marBottom w:val="0"/>
      <w:divBdr>
        <w:top w:val="none" w:sz="0" w:space="0" w:color="auto"/>
        <w:left w:val="none" w:sz="0" w:space="0" w:color="auto"/>
        <w:bottom w:val="none" w:sz="0" w:space="0" w:color="auto"/>
        <w:right w:val="none" w:sz="0" w:space="0" w:color="auto"/>
      </w:divBdr>
    </w:div>
    <w:div w:id="614020575">
      <w:bodyDiv w:val="1"/>
      <w:marLeft w:val="0"/>
      <w:marRight w:val="0"/>
      <w:marTop w:val="0"/>
      <w:marBottom w:val="0"/>
      <w:divBdr>
        <w:top w:val="none" w:sz="0" w:space="0" w:color="auto"/>
        <w:left w:val="none" w:sz="0" w:space="0" w:color="auto"/>
        <w:bottom w:val="none" w:sz="0" w:space="0" w:color="auto"/>
        <w:right w:val="none" w:sz="0" w:space="0" w:color="auto"/>
      </w:divBdr>
    </w:div>
    <w:div w:id="620260628">
      <w:bodyDiv w:val="1"/>
      <w:marLeft w:val="0"/>
      <w:marRight w:val="0"/>
      <w:marTop w:val="0"/>
      <w:marBottom w:val="0"/>
      <w:divBdr>
        <w:top w:val="none" w:sz="0" w:space="0" w:color="auto"/>
        <w:left w:val="none" w:sz="0" w:space="0" w:color="auto"/>
        <w:bottom w:val="none" w:sz="0" w:space="0" w:color="auto"/>
        <w:right w:val="none" w:sz="0" w:space="0" w:color="auto"/>
      </w:divBdr>
    </w:div>
    <w:div w:id="623659126">
      <w:bodyDiv w:val="1"/>
      <w:marLeft w:val="0"/>
      <w:marRight w:val="0"/>
      <w:marTop w:val="0"/>
      <w:marBottom w:val="0"/>
      <w:divBdr>
        <w:top w:val="none" w:sz="0" w:space="0" w:color="auto"/>
        <w:left w:val="none" w:sz="0" w:space="0" w:color="auto"/>
        <w:bottom w:val="none" w:sz="0" w:space="0" w:color="auto"/>
        <w:right w:val="none" w:sz="0" w:space="0" w:color="auto"/>
      </w:divBdr>
    </w:div>
    <w:div w:id="631057485">
      <w:bodyDiv w:val="1"/>
      <w:marLeft w:val="0"/>
      <w:marRight w:val="0"/>
      <w:marTop w:val="0"/>
      <w:marBottom w:val="0"/>
      <w:divBdr>
        <w:top w:val="none" w:sz="0" w:space="0" w:color="auto"/>
        <w:left w:val="none" w:sz="0" w:space="0" w:color="auto"/>
        <w:bottom w:val="none" w:sz="0" w:space="0" w:color="auto"/>
        <w:right w:val="none" w:sz="0" w:space="0" w:color="auto"/>
      </w:divBdr>
    </w:div>
    <w:div w:id="633095179">
      <w:bodyDiv w:val="1"/>
      <w:marLeft w:val="0"/>
      <w:marRight w:val="0"/>
      <w:marTop w:val="0"/>
      <w:marBottom w:val="0"/>
      <w:divBdr>
        <w:top w:val="none" w:sz="0" w:space="0" w:color="auto"/>
        <w:left w:val="none" w:sz="0" w:space="0" w:color="auto"/>
        <w:bottom w:val="none" w:sz="0" w:space="0" w:color="auto"/>
        <w:right w:val="none" w:sz="0" w:space="0" w:color="auto"/>
      </w:divBdr>
    </w:div>
    <w:div w:id="645545421">
      <w:bodyDiv w:val="1"/>
      <w:marLeft w:val="0"/>
      <w:marRight w:val="0"/>
      <w:marTop w:val="0"/>
      <w:marBottom w:val="0"/>
      <w:divBdr>
        <w:top w:val="none" w:sz="0" w:space="0" w:color="auto"/>
        <w:left w:val="none" w:sz="0" w:space="0" w:color="auto"/>
        <w:bottom w:val="none" w:sz="0" w:space="0" w:color="auto"/>
        <w:right w:val="none" w:sz="0" w:space="0" w:color="auto"/>
      </w:divBdr>
    </w:div>
    <w:div w:id="693926143">
      <w:bodyDiv w:val="1"/>
      <w:marLeft w:val="0"/>
      <w:marRight w:val="0"/>
      <w:marTop w:val="0"/>
      <w:marBottom w:val="0"/>
      <w:divBdr>
        <w:top w:val="none" w:sz="0" w:space="0" w:color="auto"/>
        <w:left w:val="none" w:sz="0" w:space="0" w:color="auto"/>
        <w:bottom w:val="none" w:sz="0" w:space="0" w:color="auto"/>
        <w:right w:val="none" w:sz="0" w:space="0" w:color="auto"/>
      </w:divBdr>
    </w:div>
    <w:div w:id="753018178">
      <w:bodyDiv w:val="1"/>
      <w:marLeft w:val="0"/>
      <w:marRight w:val="0"/>
      <w:marTop w:val="0"/>
      <w:marBottom w:val="0"/>
      <w:divBdr>
        <w:top w:val="none" w:sz="0" w:space="0" w:color="auto"/>
        <w:left w:val="none" w:sz="0" w:space="0" w:color="auto"/>
        <w:bottom w:val="none" w:sz="0" w:space="0" w:color="auto"/>
        <w:right w:val="none" w:sz="0" w:space="0" w:color="auto"/>
      </w:divBdr>
    </w:div>
    <w:div w:id="823936232">
      <w:bodyDiv w:val="1"/>
      <w:marLeft w:val="0"/>
      <w:marRight w:val="0"/>
      <w:marTop w:val="0"/>
      <w:marBottom w:val="0"/>
      <w:divBdr>
        <w:top w:val="none" w:sz="0" w:space="0" w:color="auto"/>
        <w:left w:val="none" w:sz="0" w:space="0" w:color="auto"/>
        <w:bottom w:val="none" w:sz="0" w:space="0" w:color="auto"/>
        <w:right w:val="none" w:sz="0" w:space="0" w:color="auto"/>
      </w:divBdr>
    </w:div>
    <w:div w:id="853302973">
      <w:bodyDiv w:val="1"/>
      <w:marLeft w:val="0"/>
      <w:marRight w:val="0"/>
      <w:marTop w:val="0"/>
      <w:marBottom w:val="0"/>
      <w:divBdr>
        <w:top w:val="none" w:sz="0" w:space="0" w:color="auto"/>
        <w:left w:val="none" w:sz="0" w:space="0" w:color="auto"/>
        <w:bottom w:val="none" w:sz="0" w:space="0" w:color="auto"/>
        <w:right w:val="none" w:sz="0" w:space="0" w:color="auto"/>
      </w:divBdr>
    </w:div>
    <w:div w:id="935940275">
      <w:bodyDiv w:val="1"/>
      <w:marLeft w:val="0"/>
      <w:marRight w:val="0"/>
      <w:marTop w:val="0"/>
      <w:marBottom w:val="0"/>
      <w:divBdr>
        <w:top w:val="none" w:sz="0" w:space="0" w:color="auto"/>
        <w:left w:val="none" w:sz="0" w:space="0" w:color="auto"/>
        <w:bottom w:val="none" w:sz="0" w:space="0" w:color="auto"/>
        <w:right w:val="none" w:sz="0" w:space="0" w:color="auto"/>
      </w:divBdr>
    </w:div>
    <w:div w:id="937175829">
      <w:bodyDiv w:val="1"/>
      <w:marLeft w:val="0"/>
      <w:marRight w:val="0"/>
      <w:marTop w:val="0"/>
      <w:marBottom w:val="0"/>
      <w:divBdr>
        <w:top w:val="none" w:sz="0" w:space="0" w:color="auto"/>
        <w:left w:val="none" w:sz="0" w:space="0" w:color="auto"/>
        <w:bottom w:val="none" w:sz="0" w:space="0" w:color="auto"/>
        <w:right w:val="none" w:sz="0" w:space="0" w:color="auto"/>
      </w:divBdr>
    </w:div>
    <w:div w:id="945842730">
      <w:bodyDiv w:val="1"/>
      <w:marLeft w:val="0"/>
      <w:marRight w:val="0"/>
      <w:marTop w:val="0"/>
      <w:marBottom w:val="0"/>
      <w:divBdr>
        <w:top w:val="none" w:sz="0" w:space="0" w:color="auto"/>
        <w:left w:val="none" w:sz="0" w:space="0" w:color="auto"/>
        <w:bottom w:val="none" w:sz="0" w:space="0" w:color="auto"/>
        <w:right w:val="none" w:sz="0" w:space="0" w:color="auto"/>
      </w:divBdr>
    </w:div>
    <w:div w:id="1009408523">
      <w:bodyDiv w:val="1"/>
      <w:marLeft w:val="0"/>
      <w:marRight w:val="0"/>
      <w:marTop w:val="0"/>
      <w:marBottom w:val="0"/>
      <w:divBdr>
        <w:top w:val="none" w:sz="0" w:space="0" w:color="auto"/>
        <w:left w:val="none" w:sz="0" w:space="0" w:color="auto"/>
        <w:bottom w:val="none" w:sz="0" w:space="0" w:color="auto"/>
        <w:right w:val="none" w:sz="0" w:space="0" w:color="auto"/>
      </w:divBdr>
    </w:div>
    <w:div w:id="1015963067">
      <w:bodyDiv w:val="1"/>
      <w:marLeft w:val="0"/>
      <w:marRight w:val="0"/>
      <w:marTop w:val="0"/>
      <w:marBottom w:val="0"/>
      <w:divBdr>
        <w:top w:val="none" w:sz="0" w:space="0" w:color="auto"/>
        <w:left w:val="none" w:sz="0" w:space="0" w:color="auto"/>
        <w:bottom w:val="none" w:sz="0" w:space="0" w:color="auto"/>
        <w:right w:val="none" w:sz="0" w:space="0" w:color="auto"/>
      </w:divBdr>
    </w:div>
    <w:div w:id="1040476200">
      <w:bodyDiv w:val="1"/>
      <w:marLeft w:val="0"/>
      <w:marRight w:val="0"/>
      <w:marTop w:val="0"/>
      <w:marBottom w:val="0"/>
      <w:divBdr>
        <w:top w:val="none" w:sz="0" w:space="0" w:color="auto"/>
        <w:left w:val="none" w:sz="0" w:space="0" w:color="auto"/>
        <w:bottom w:val="none" w:sz="0" w:space="0" w:color="auto"/>
        <w:right w:val="none" w:sz="0" w:space="0" w:color="auto"/>
      </w:divBdr>
    </w:div>
    <w:div w:id="1047948171">
      <w:bodyDiv w:val="1"/>
      <w:marLeft w:val="0"/>
      <w:marRight w:val="0"/>
      <w:marTop w:val="0"/>
      <w:marBottom w:val="0"/>
      <w:divBdr>
        <w:top w:val="none" w:sz="0" w:space="0" w:color="auto"/>
        <w:left w:val="none" w:sz="0" w:space="0" w:color="auto"/>
        <w:bottom w:val="none" w:sz="0" w:space="0" w:color="auto"/>
        <w:right w:val="none" w:sz="0" w:space="0" w:color="auto"/>
      </w:divBdr>
    </w:div>
    <w:div w:id="1092631118">
      <w:bodyDiv w:val="1"/>
      <w:marLeft w:val="0"/>
      <w:marRight w:val="0"/>
      <w:marTop w:val="0"/>
      <w:marBottom w:val="0"/>
      <w:divBdr>
        <w:top w:val="none" w:sz="0" w:space="0" w:color="auto"/>
        <w:left w:val="none" w:sz="0" w:space="0" w:color="auto"/>
        <w:bottom w:val="none" w:sz="0" w:space="0" w:color="auto"/>
        <w:right w:val="none" w:sz="0" w:space="0" w:color="auto"/>
      </w:divBdr>
    </w:div>
    <w:div w:id="1126117749">
      <w:bodyDiv w:val="1"/>
      <w:marLeft w:val="0"/>
      <w:marRight w:val="0"/>
      <w:marTop w:val="0"/>
      <w:marBottom w:val="0"/>
      <w:divBdr>
        <w:top w:val="none" w:sz="0" w:space="0" w:color="auto"/>
        <w:left w:val="none" w:sz="0" w:space="0" w:color="auto"/>
        <w:bottom w:val="none" w:sz="0" w:space="0" w:color="auto"/>
        <w:right w:val="none" w:sz="0" w:space="0" w:color="auto"/>
      </w:divBdr>
    </w:div>
    <w:div w:id="1133862804">
      <w:bodyDiv w:val="1"/>
      <w:marLeft w:val="0"/>
      <w:marRight w:val="0"/>
      <w:marTop w:val="0"/>
      <w:marBottom w:val="0"/>
      <w:divBdr>
        <w:top w:val="none" w:sz="0" w:space="0" w:color="auto"/>
        <w:left w:val="none" w:sz="0" w:space="0" w:color="auto"/>
        <w:bottom w:val="none" w:sz="0" w:space="0" w:color="auto"/>
        <w:right w:val="none" w:sz="0" w:space="0" w:color="auto"/>
      </w:divBdr>
    </w:div>
    <w:div w:id="1144815470">
      <w:bodyDiv w:val="1"/>
      <w:marLeft w:val="0"/>
      <w:marRight w:val="0"/>
      <w:marTop w:val="0"/>
      <w:marBottom w:val="0"/>
      <w:divBdr>
        <w:top w:val="none" w:sz="0" w:space="0" w:color="auto"/>
        <w:left w:val="none" w:sz="0" w:space="0" w:color="auto"/>
        <w:bottom w:val="none" w:sz="0" w:space="0" w:color="auto"/>
        <w:right w:val="none" w:sz="0" w:space="0" w:color="auto"/>
      </w:divBdr>
    </w:div>
    <w:div w:id="1179005938">
      <w:bodyDiv w:val="1"/>
      <w:marLeft w:val="0"/>
      <w:marRight w:val="0"/>
      <w:marTop w:val="0"/>
      <w:marBottom w:val="0"/>
      <w:divBdr>
        <w:top w:val="none" w:sz="0" w:space="0" w:color="auto"/>
        <w:left w:val="none" w:sz="0" w:space="0" w:color="auto"/>
        <w:bottom w:val="none" w:sz="0" w:space="0" w:color="auto"/>
        <w:right w:val="none" w:sz="0" w:space="0" w:color="auto"/>
      </w:divBdr>
    </w:div>
    <w:div w:id="1238514724">
      <w:bodyDiv w:val="1"/>
      <w:marLeft w:val="0"/>
      <w:marRight w:val="0"/>
      <w:marTop w:val="0"/>
      <w:marBottom w:val="0"/>
      <w:divBdr>
        <w:top w:val="none" w:sz="0" w:space="0" w:color="auto"/>
        <w:left w:val="none" w:sz="0" w:space="0" w:color="auto"/>
        <w:bottom w:val="none" w:sz="0" w:space="0" w:color="auto"/>
        <w:right w:val="none" w:sz="0" w:space="0" w:color="auto"/>
      </w:divBdr>
    </w:div>
    <w:div w:id="1259798569">
      <w:bodyDiv w:val="1"/>
      <w:marLeft w:val="0"/>
      <w:marRight w:val="0"/>
      <w:marTop w:val="0"/>
      <w:marBottom w:val="0"/>
      <w:divBdr>
        <w:top w:val="none" w:sz="0" w:space="0" w:color="auto"/>
        <w:left w:val="none" w:sz="0" w:space="0" w:color="auto"/>
        <w:bottom w:val="none" w:sz="0" w:space="0" w:color="auto"/>
        <w:right w:val="none" w:sz="0" w:space="0" w:color="auto"/>
      </w:divBdr>
    </w:div>
    <w:div w:id="1316498028">
      <w:bodyDiv w:val="1"/>
      <w:marLeft w:val="0"/>
      <w:marRight w:val="0"/>
      <w:marTop w:val="0"/>
      <w:marBottom w:val="0"/>
      <w:divBdr>
        <w:top w:val="none" w:sz="0" w:space="0" w:color="auto"/>
        <w:left w:val="none" w:sz="0" w:space="0" w:color="auto"/>
        <w:bottom w:val="none" w:sz="0" w:space="0" w:color="auto"/>
        <w:right w:val="none" w:sz="0" w:space="0" w:color="auto"/>
      </w:divBdr>
    </w:div>
    <w:div w:id="1333413336">
      <w:bodyDiv w:val="1"/>
      <w:marLeft w:val="0"/>
      <w:marRight w:val="0"/>
      <w:marTop w:val="0"/>
      <w:marBottom w:val="0"/>
      <w:divBdr>
        <w:top w:val="none" w:sz="0" w:space="0" w:color="auto"/>
        <w:left w:val="none" w:sz="0" w:space="0" w:color="auto"/>
        <w:bottom w:val="none" w:sz="0" w:space="0" w:color="auto"/>
        <w:right w:val="none" w:sz="0" w:space="0" w:color="auto"/>
      </w:divBdr>
    </w:div>
    <w:div w:id="1363824638">
      <w:bodyDiv w:val="1"/>
      <w:marLeft w:val="0"/>
      <w:marRight w:val="0"/>
      <w:marTop w:val="0"/>
      <w:marBottom w:val="0"/>
      <w:divBdr>
        <w:top w:val="none" w:sz="0" w:space="0" w:color="auto"/>
        <w:left w:val="none" w:sz="0" w:space="0" w:color="auto"/>
        <w:bottom w:val="none" w:sz="0" w:space="0" w:color="auto"/>
        <w:right w:val="none" w:sz="0" w:space="0" w:color="auto"/>
      </w:divBdr>
    </w:div>
    <w:div w:id="1376855629">
      <w:bodyDiv w:val="1"/>
      <w:marLeft w:val="0"/>
      <w:marRight w:val="0"/>
      <w:marTop w:val="0"/>
      <w:marBottom w:val="0"/>
      <w:divBdr>
        <w:top w:val="none" w:sz="0" w:space="0" w:color="auto"/>
        <w:left w:val="none" w:sz="0" w:space="0" w:color="auto"/>
        <w:bottom w:val="none" w:sz="0" w:space="0" w:color="auto"/>
        <w:right w:val="none" w:sz="0" w:space="0" w:color="auto"/>
      </w:divBdr>
    </w:div>
    <w:div w:id="1415398362">
      <w:bodyDiv w:val="1"/>
      <w:marLeft w:val="0"/>
      <w:marRight w:val="0"/>
      <w:marTop w:val="0"/>
      <w:marBottom w:val="0"/>
      <w:divBdr>
        <w:top w:val="none" w:sz="0" w:space="0" w:color="auto"/>
        <w:left w:val="none" w:sz="0" w:space="0" w:color="auto"/>
        <w:bottom w:val="none" w:sz="0" w:space="0" w:color="auto"/>
        <w:right w:val="none" w:sz="0" w:space="0" w:color="auto"/>
      </w:divBdr>
    </w:div>
    <w:div w:id="1423792103">
      <w:bodyDiv w:val="1"/>
      <w:marLeft w:val="0"/>
      <w:marRight w:val="0"/>
      <w:marTop w:val="0"/>
      <w:marBottom w:val="0"/>
      <w:divBdr>
        <w:top w:val="none" w:sz="0" w:space="0" w:color="auto"/>
        <w:left w:val="none" w:sz="0" w:space="0" w:color="auto"/>
        <w:bottom w:val="none" w:sz="0" w:space="0" w:color="auto"/>
        <w:right w:val="none" w:sz="0" w:space="0" w:color="auto"/>
      </w:divBdr>
    </w:div>
    <w:div w:id="1453207036">
      <w:bodyDiv w:val="1"/>
      <w:marLeft w:val="0"/>
      <w:marRight w:val="0"/>
      <w:marTop w:val="0"/>
      <w:marBottom w:val="0"/>
      <w:divBdr>
        <w:top w:val="none" w:sz="0" w:space="0" w:color="auto"/>
        <w:left w:val="none" w:sz="0" w:space="0" w:color="auto"/>
        <w:bottom w:val="none" w:sz="0" w:space="0" w:color="auto"/>
        <w:right w:val="none" w:sz="0" w:space="0" w:color="auto"/>
      </w:divBdr>
    </w:div>
    <w:div w:id="1500000430">
      <w:bodyDiv w:val="1"/>
      <w:marLeft w:val="0"/>
      <w:marRight w:val="0"/>
      <w:marTop w:val="0"/>
      <w:marBottom w:val="0"/>
      <w:divBdr>
        <w:top w:val="none" w:sz="0" w:space="0" w:color="auto"/>
        <w:left w:val="none" w:sz="0" w:space="0" w:color="auto"/>
        <w:bottom w:val="none" w:sz="0" w:space="0" w:color="auto"/>
        <w:right w:val="none" w:sz="0" w:space="0" w:color="auto"/>
      </w:divBdr>
    </w:div>
    <w:div w:id="1520270493">
      <w:bodyDiv w:val="1"/>
      <w:marLeft w:val="0"/>
      <w:marRight w:val="0"/>
      <w:marTop w:val="0"/>
      <w:marBottom w:val="0"/>
      <w:divBdr>
        <w:top w:val="none" w:sz="0" w:space="0" w:color="auto"/>
        <w:left w:val="none" w:sz="0" w:space="0" w:color="auto"/>
        <w:bottom w:val="none" w:sz="0" w:space="0" w:color="auto"/>
        <w:right w:val="none" w:sz="0" w:space="0" w:color="auto"/>
      </w:divBdr>
    </w:div>
    <w:div w:id="1523321617">
      <w:bodyDiv w:val="1"/>
      <w:marLeft w:val="0"/>
      <w:marRight w:val="0"/>
      <w:marTop w:val="0"/>
      <w:marBottom w:val="0"/>
      <w:divBdr>
        <w:top w:val="none" w:sz="0" w:space="0" w:color="auto"/>
        <w:left w:val="none" w:sz="0" w:space="0" w:color="auto"/>
        <w:bottom w:val="none" w:sz="0" w:space="0" w:color="auto"/>
        <w:right w:val="none" w:sz="0" w:space="0" w:color="auto"/>
      </w:divBdr>
    </w:div>
    <w:div w:id="1542132846">
      <w:bodyDiv w:val="1"/>
      <w:marLeft w:val="0"/>
      <w:marRight w:val="0"/>
      <w:marTop w:val="0"/>
      <w:marBottom w:val="0"/>
      <w:divBdr>
        <w:top w:val="none" w:sz="0" w:space="0" w:color="auto"/>
        <w:left w:val="none" w:sz="0" w:space="0" w:color="auto"/>
        <w:bottom w:val="none" w:sz="0" w:space="0" w:color="auto"/>
        <w:right w:val="none" w:sz="0" w:space="0" w:color="auto"/>
      </w:divBdr>
    </w:div>
    <w:div w:id="1643382658">
      <w:bodyDiv w:val="1"/>
      <w:marLeft w:val="0"/>
      <w:marRight w:val="0"/>
      <w:marTop w:val="0"/>
      <w:marBottom w:val="0"/>
      <w:divBdr>
        <w:top w:val="none" w:sz="0" w:space="0" w:color="auto"/>
        <w:left w:val="none" w:sz="0" w:space="0" w:color="auto"/>
        <w:bottom w:val="none" w:sz="0" w:space="0" w:color="auto"/>
        <w:right w:val="none" w:sz="0" w:space="0" w:color="auto"/>
      </w:divBdr>
    </w:div>
    <w:div w:id="1679118108">
      <w:bodyDiv w:val="1"/>
      <w:marLeft w:val="0"/>
      <w:marRight w:val="0"/>
      <w:marTop w:val="0"/>
      <w:marBottom w:val="0"/>
      <w:divBdr>
        <w:top w:val="none" w:sz="0" w:space="0" w:color="auto"/>
        <w:left w:val="none" w:sz="0" w:space="0" w:color="auto"/>
        <w:bottom w:val="none" w:sz="0" w:space="0" w:color="auto"/>
        <w:right w:val="none" w:sz="0" w:space="0" w:color="auto"/>
      </w:divBdr>
    </w:div>
    <w:div w:id="1690451454">
      <w:bodyDiv w:val="1"/>
      <w:marLeft w:val="0"/>
      <w:marRight w:val="0"/>
      <w:marTop w:val="0"/>
      <w:marBottom w:val="0"/>
      <w:divBdr>
        <w:top w:val="none" w:sz="0" w:space="0" w:color="auto"/>
        <w:left w:val="none" w:sz="0" w:space="0" w:color="auto"/>
        <w:bottom w:val="none" w:sz="0" w:space="0" w:color="auto"/>
        <w:right w:val="none" w:sz="0" w:space="0" w:color="auto"/>
      </w:divBdr>
    </w:div>
    <w:div w:id="1738432238">
      <w:bodyDiv w:val="1"/>
      <w:marLeft w:val="0"/>
      <w:marRight w:val="0"/>
      <w:marTop w:val="0"/>
      <w:marBottom w:val="0"/>
      <w:divBdr>
        <w:top w:val="none" w:sz="0" w:space="0" w:color="auto"/>
        <w:left w:val="none" w:sz="0" w:space="0" w:color="auto"/>
        <w:bottom w:val="none" w:sz="0" w:space="0" w:color="auto"/>
        <w:right w:val="none" w:sz="0" w:space="0" w:color="auto"/>
      </w:divBdr>
    </w:div>
    <w:div w:id="1758793194">
      <w:bodyDiv w:val="1"/>
      <w:marLeft w:val="0"/>
      <w:marRight w:val="0"/>
      <w:marTop w:val="0"/>
      <w:marBottom w:val="0"/>
      <w:divBdr>
        <w:top w:val="none" w:sz="0" w:space="0" w:color="auto"/>
        <w:left w:val="none" w:sz="0" w:space="0" w:color="auto"/>
        <w:bottom w:val="none" w:sz="0" w:space="0" w:color="auto"/>
        <w:right w:val="none" w:sz="0" w:space="0" w:color="auto"/>
      </w:divBdr>
    </w:div>
    <w:div w:id="1767774606">
      <w:bodyDiv w:val="1"/>
      <w:marLeft w:val="0"/>
      <w:marRight w:val="0"/>
      <w:marTop w:val="0"/>
      <w:marBottom w:val="0"/>
      <w:divBdr>
        <w:top w:val="none" w:sz="0" w:space="0" w:color="auto"/>
        <w:left w:val="none" w:sz="0" w:space="0" w:color="auto"/>
        <w:bottom w:val="none" w:sz="0" w:space="0" w:color="auto"/>
        <w:right w:val="none" w:sz="0" w:space="0" w:color="auto"/>
      </w:divBdr>
    </w:div>
    <w:div w:id="1777552889">
      <w:bodyDiv w:val="1"/>
      <w:marLeft w:val="0"/>
      <w:marRight w:val="0"/>
      <w:marTop w:val="0"/>
      <w:marBottom w:val="0"/>
      <w:divBdr>
        <w:top w:val="none" w:sz="0" w:space="0" w:color="auto"/>
        <w:left w:val="none" w:sz="0" w:space="0" w:color="auto"/>
        <w:bottom w:val="none" w:sz="0" w:space="0" w:color="auto"/>
        <w:right w:val="none" w:sz="0" w:space="0" w:color="auto"/>
      </w:divBdr>
    </w:div>
    <w:div w:id="1787118828">
      <w:bodyDiv w:val="1"/>
      <w:marLeft w:val="0"/>
      <w:marRight w:val="0"/>
      <w:marTop w:val="0"/>
      <w:marBottom w:val="0"/>
      <w:divBdr>
        <w:top w:val="none" w:sz="0" w:space="0" w:color="auto"/>
        <w:left w:val="none" w:sz="0" w:space="0" w:color="auto"/>
        <w:bottom w:val="none" w:sz="0" w:space="0" w:color="auto"/>
        <w:right w:val="none" w:sz="0" w:space="0" w:color="auto"/>
      </w:divBdr>
    </w:div>
    <w:div w:id="1798181879">
      <w:bodyDiv w:val="1"/>
      <w:marLeft w:val="0"/>
      <w:marRight w:val="0"/>
      <w:marTop w:val="0"/>
      <w:marBottom w:val="0"/>
      <w:divBdr>
        <w:top w:val="none" w:sz="0" w:space="0" w:color="auto"/>
        <w:left w:val="none" w:sz="0" w:space="0" w:color="auto"/>
        <w:bottom w:val="none" w:sz="0" w:space="0" w:color="auto"/>
        <w:right w:val="none" w:sz="0" w:space="0" w:color="auto"/>
      </w:divBdr>
    </w:div>
    <w:div w:id="1819033561">
      <w:bodyDiv w:val="1"/>
      <w:marLeft w:val="0"/>
      <w:marRight w:val="0"/>
      <w:marTop w:val="0"/>
      <w:marBottom w:val="0"/>
      <w:divBdr>
        <w:top w:val="none" w:sz="0" w:space="0" w:color="auto"/>
        <w:left w:val="none" w:sz="0" w:space="0" w:color="auto"/>
        <w:bottom w:val="none" w:sz="0" w:space="0" w:color="auto"/>
        <w:right w:val="none" w:sz="0" w:space="0" w:color="auto"/>
      </w:divBdr>
    </w:div>
    <w:div w:id="1857235245">
      <w:bodyDiv w:val="1"/>
      <w:marLeft w:val="0"/>
      <w:marRight w:val="0"/>
      <w:marTop w:val="0"/>
      <w:marBottom w:val="0"/>
      <w:divBdr>
        <w:top w:val="none" w:sz="0" w:space="0" w:color="auto"/>
        <w:left w:val="none" w:sz="0" w:space="0" w:color="auto"/>
        <w:bottom w:val="none" w:sz="0" w:space="0" w:color="auto"/>
        <w:right w:val="none" w:sz="0" w:space="0" w:color="auto"/>
      </w:divBdr>
    </w:div>
    <w:div w:id="1874920383">
      <w:bodyDiv w:val="1"/>
      <w:marLeft w:val="0"/>
      <w:marRight w:val="0"/>
      <w:marTop w:val="0"/>
      <w:marBottom w:val="0"/>
      <w:divBdr>
        <w:top w:val="none" w:sz="0" w:space="0" w:color="auto"/>
        <w:left w:val="none" w:sz="0" w:space="0" w:color="auto"/>
        <w:bottom w:val="none" w:sz="0" w:space="0" w:color="auto"/>
        <w:right w:val="none" w:sz="0" w:space="0" w:color="auto"/>
      </w:divBdr>
    </w:div>
    <w:div w:id="1970237364">
      <w:bodyDiv w:val="1"/>
      <w:marLeft w:val="0"/>
      <w:marRight w:val="0"/>
      <w:marTop w:val="0"/>
      <w:marBottom w:val="0"/>
      <w:divBdr>
        <w:top w:val="none" w:sz="0" w:space="0" w:color="auto"/>
        <w:left w:val="none" w:sz="0" w:space="0" w:color="auto"/>
        <w:bottom w:val="none" w:sz="0" w:space="0" w:color="auto"/>
        <w:right w:val="none" w:sz="0" w:space="0" w:color="auto"/>
      </w:divBdr>
    </w:div>
    <w:div w:id="1975255530">
      <w:bodyDiv w:val="1"/>
      <w:marLeft w:val="0"/>
      <w:marRight w:val="0"/>
      <w:marTop w:val="0"/>
      <w:marBottom w:val="0"/>
      <w:divBdr>
        <w:top w:val="none" w:sz="0" w:space="0" w:color="auto"/>
        <w:left w:val="none" w:sz="0" w:space="0" w:color="auto"/>
        <w:bottom w:val="none" w:sz="0" w:space="0" w:color="auto"/>
        <w:right w:val="none" w:sz="0" w:space="0" w:color="auto"/>
      </w:divBdr>
    </w:div>
    <w:div w:id="1978417220">
      <w:bodyDiv w:val="1"/>
      <w:marLeft w:val="0"/>
      <w:marRight w:val="0"/>
      <w:marTop w:val="0"/>
      <w:marBottom w:val="0"/>
      <w:divBdr>
        <w:top w:val="none" w:sz="0" w:space="0" w:color="auto"/>
        <w:left w:val="none" w:sz="0" w:space="0" w:color="auto"/>
        <w:bottom w:val="none" w:sz="0" w:space="0" w:color="auto"/>
        <w:right w:val="none" w:sz="0" w:space="0" w:color="auto"/>
      </w:divBdr>
    </w:div>
    <w:div w:id="1981379403">
      <w:bodyDiv w:val="1"/>
      <w:marLeft w:val="0"/>
      <w:marRight w:val="0"/>
      <w:marTop w:val="0"/>
      <w:marBottom w:val="0"/>
      <w:divBdr>
        <w:top w:val="none" w:sz="0" w:space="0" w:color="auto"/>
        <w:left w:val="none" w:sz="0" w:space="0" w:color="auto"/>
        <w:bottom w:val="none" w:sz="0" w:space="0" w:color="auto"/>
        <w:right w:val="none" w:sz="0" w:space="0" w:color="auto"/>
      </w:divBdr>
    </w:div>
    <w:div w:id="2013336535">
      <w:bodyDiv w:val="1"/>
      <w:marLeft w:val="0"/>
      <w:marRight w:val="0"/>
      <w:marTop w:val="0"/>
      <w:marBottom w:val="0"/>
      <w:divBdr>
        <w:top w:val="none" w:sz="0" w:space="0" w:color="auto"/>
        <w:left w:val="none" w:sz="0" w:space="0" w:color="auto"/>
        <w:bottom w:val="none" w:sz="0" w:space="0" w:color="auto"/>
        <w:right w:val="none" w:sz="0" w:space="0" w:color="auto"/>
      </w:divBdr>
    </w:div>
    <w:div w:id="2083483917">
      <w:bodyDiv w:val="1"/>
      <w:marLeft w:val="0"/>
      <w:marRight w:val="0"/>
      <w:marTop w:val="0"/>
      <w:marBottom w:val="0"/>
      <w:divBdr>
        <w:top w:val="none" w:sz="0" w:space="0" w:color="auto"/>
        <w:left w:val="none" w:sz="0" w:space="0" w:color="auto"/>
        <w:bottom w:val="none" w:sz="0" w:space="0" w:color="auto"/>
        <w:right w:val="none" w:sz="0" w:space="0" w:color="auto"/>
      </w:divBdr>
    </w:div>
    <w:div w:id="2100251413">
      <w:bodyDiv w:val="1"/>
      <w:marLeft w:val="0"/>
      <w:marRight w:val="0"/>
      <w:marTop w:val="0"/>
      <w:marBottom w:val="0"/>
      <w:divBdr>
        <w:top w:val="none" w:sz="0" w:space="0" w:color="auto"/>
        <w:left w:val="none" w:sz="0" w:space="0" w:color="auto"/>
        <w:bottom w:val="none" w:sz="0" w:space="0" w:color="auto"/>
        <w:right w:val="none" w:sz="0" w:space="0" w:color="auto"/>
      </w:divBdr>
    </w:div>
    <w:div w:id="21453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mailto:Zigmars.Legzdins@varam.gov.lv"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0032020\ZPI%20informativais%20zinojums%202019\DATI_IUB%20un%20EIS_tabulas_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pa%20ZPI%20MK%20not%20grupam_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pa%20ZPI%20MK%20not%20grupam_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pa%20ZPI%20MK%20not%20grupam_2.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IUB%20un%20EIS_tabulas_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zigmars.legzdins\Documents\ZPI%20informativais%20zinojums%202019\DATI_pa%20ZPI%20MK%20not%20grupam_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B9DF-4DE4-96A2-009D4C0DB6A5}"/>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B9DF-4DE4-96A2-009D4C0DB6A5}"/>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B9DF-4DE4-96A2-009D4C0DB6A5}"/>
              </c:ext>
            </c:extLst>
          </c:dPt>
          <c:dLbls>
            <c:dLbl>
              <c:idx val="0"/>
              <c:layout>
                <c:manualLayout>
                  <c:x val="-3.3333223972003515E-2"/>
                  <c:y val="-2.9520295202952029E-2"/>
                </c:manualLayout>
              </c:layout>
              <c:tx>
                <c:rich>
                  <a:bodyPr/>
                  <a:lstStyle/>
                  <a:p>
                    <a:r>
                      <a:rPr lang="en-US"/>
                      <a:t>IKP - 30 476 milj.</a:t>
                    </a:r>
                  </a:p>
                </c:rich>
              </c:tx>
              <c:dLblPos val="bestFit"/>
              <c:showLegendKey val="0"/>
              <c:showVal val="1"/>
              <c:showCatName val="0"/>
              <c:showSerName val="1"/>
              <c:showPercent val="0"/>
              <c:showBubbleSize val="0"/>
              <c:extLst>
                <c:ext xmlns:c15="http://schemas.microsoft.com/office/drawing/2012/chart" uri="{CE6537A1-D6FC-4f65-9D91-7224C49458BB}">
                  <c15:layout>
                    <c:manualLayout>
                      <c:w val="0.21963888888888883"/>
                      <c:h val="0.13485854858548585"/>
                    </c:manualLayout>
                  </c15:layout>
                </c:ext>
                <c:ext xmlns:c16="http://schemas.microsoft.com/office/drawing/2014/chart" uri="{C3380CC4-5D6E-409C-BE32-E72D297353CC}">
                  <c16:uniqueId val="{00000001-B9DF-4DE4-96A2-009D4C0DB6A5}"/>
                </c:ext>
              </c:extLst>
            </c:dLbl>
            <c:dLbl>
              <c:idx val="1"/>
              <c:tx>
                <c:rich>
                  <a:bodyPr/>
                  <a:lstStyle/>
                  <a:p>
                    <a:fld id="{64E42F4E-A35A-4F96-9840-CD3340389559}" type="VALUE">
                      <a:rPr lang="en-US" baseline="0"/>
                      <a:pPr/>
                      <a:t>[VALUE]</a:t>
                    </a:fld>
                    <a:r>
                      <a:rPr lang="en-US" baseline="0"/>
                      <a:t> milj. - 12%</a:t>
                    </a:r>
                  </a:p>
                </c:rich>
              </c:tx>
              <c:dLblPos val="outEnd"/>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9DF-4DE4-96A2-009D4C0DB6A5}"/>
                </c:ext>
              </c:extLst>
            </c:dLbl>
            <c:dLbl>
              <c:idx val="2"/>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C1323F83-B1AD-4A76-9F12-BF735CDE58BD}" type="VALUE">
                      <a:rPr lang="en-US" baseline="0"/>
                      <a:pPr>
                        <a:defRPr sz="1000" b="0" i="0" u="none" strike="noStrike" kern="1200" baseline="0">
                          <a:solidFill>
                            <a:sysClr val="windowText" lastClr="000000"/>
                          </a:solidFill>
                          <a:latin typeface="+mn-lt"/>
                          <a:ea typeface="+mn-ea"/>
                          <a:cs typeface="+mn-cs"/>
                        </a:defRPr>
                      </a:pPr>
                      <a:t>[VALUE]</a:t>
                    </a:fld>
                    <a:r>
                      <a:rPr lang="en-US" baseline="0"/>
                      <a:t> milj. - 2%</a:t>
                    </a:r>
                  </a:p>
                </c:rich>
              </c:tx>
              <c:spPr>
                <a:noFill/>
                <a:ln>
                  <a:noFill/>
                </a:ln>
                <a:effectLst/>
              </c:spPr>
              <c:dLblPos val="outEnd"/>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B9DF-4DE4-96A2-009D4C0DB6A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1"/>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'DATI_Sheet1 (2)'!$D$83:$F$83</c:f>
              <c:strCache>
                <c:ptCount val="3"/>
                <c:pt idx="0">
                  <c:v>IKP</c:v>
                </c:pt>
                <c:pt idx="1">
                  <c:v>Publiskais iepirkums bez ZPI</c:v>
                </c:pt>
                <c:pt idx="2">
                  <c:v>ZPI</c:v>
                </c:pt>
              </c:strCache>
            </c:strRef>
          </c:cat>
          <c:val>
            <c:numRef>
              <c:f>'DATI_Sheet1 (2)'!$D$87:$F$87</c:f>
              <c:numCache>
                <c:formatCode>#,##0</c:formatCode>
                <c:ptCount val="3"/>
                <c:pt idx="0">
                  <c:v>26201.715622539999</c:v>
                </c:pt>
                <c:pt idx="1">
                  <c:v>3074.7177842999999</c:v>
                </c:pt>
                <c:pt idx="2">
                  <c:v>599.82679658000006</c:v>
                </c:pt>
              </c:numCache>
            </c:numRef>
          </c:val>
          <c:extLst>
            <c:ext xmlns:c16="http://schemas.microsoft.com/office/drawing/2014/chart" uri="{C3380CC4-5D6E-409C-BE32-E72D297353CC}">
              <c16:uniqueId val="{00000006-B9DF-4DE4-96A2-009D4C0DB6A5}"/>
            </c:ext>
          </c:extLst>
        </c:ser>
        <c:dLbls>
          <c:showLegendKey val="0"/>
          <c:showVal val="0"/>
          <c:showCatName val="0"/>
          <c:showSerName val="0"/>
          <c:showPercent val="0"/>
          <c:showBubbleSize val="0"/>
          <c:showLeaderLines val="1"/>
        </c:dLbls>
        <c:firstSliceAng val="9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IUB_2019_ana_gadi!$F$120:$K$120</c:f>
              <c:strCache>
                <c:ptCount val="6"/>
                <c:pt idx="0">
                  <c:v>Preces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IUB_2019_ana_gadi!$L$119:$AB$119</c:f>
              <c:numCache>
                <c:formatCode>0</c:formatCode>
                <c:ptCount val="5"/>
                <c:pt idx="0">
                  <c:v>2015</c:v>
                </c:pt>
                <c:pt idx="1">
                  <c:v>2016</c:v>
                </c:pt>
                <c:pt idx="2">
                  <c:v>2017</c:v>
                </c:pt>
                <c:pt idx="3">
                  <c:v>2018</c:v>
                </c:pt>
                <c:pt idx="4">
                  <c:v>2019</c:v>
                </c:pt>
              </c:numCache>
            </c:numRef>
          </c:cat>
          <c:val>
            <c:numRef>
              <c:f>IUB_2019_ana_gadi!$L$120:$AB$120</c:f>
              <c:numCache>
                <c:formatCode>0</c:formatCode>
                <c:ptCount val="5"/>
                <c:pt idx="0">
                  <c:v>30.677904999999999</c:v>
                </c:pt>
                <c:pt idx="1">
                  <c:v>59.534109000000001</c:v>
                </c:pt>
                <c:pt idx="2">
                  <c:v>102.421173</c:v>
                </c:pt>
                <c:pt idx="3">
                  <c:v>73.731808999999998</c:v>
                </c:pt>
                <c:pt idx="4">
                  <c:v>82.389266000000006</c:v>
                </c:pt>
              </c:numCache>
            </c:numRef>
          </c:val>
          <c:extLst>
            <c:ext xmlns:c16="http://schemas.microsoft.com/office/drawing/2014/chart" uri="{C3380CC4-5D6E-409C-BE32-E72D297353CC}">
              <c16:uniqueId val="{00000000-A8F6-4862-A964-5AC8914CDCB4}"/>
            </c:ext>
          </c:extLst>
        </c:ser>
        <c:ser>
          <c:idx val="1"/>
          <c:order val="1"/>
          <c:tx>
            <c:strRef>
              <c:f>IUB_2019_ana_gadi!$F$121:$K$121</c:f>
              <c:strCache>
                <c:ptCount val="6"/>
                <c:pt idx="0">
                  <c:v>Pakalpojumi</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IUB_2019_ana_gadi!$L$119:$AB$119</c:f>
              <c:numCache>
                <c:formatCode>0</c:formatCode>
                <c:ptCount val="5"/>
                <c:pt idx="0">
                  <c:v>2015</c:v>
                </c:pt>
                <c:pt idx="1">
                  <c:v>2016</c:v>
                </c:pt>
                <c:pt idx="2">
                  <c:v>2017</c:v>
                </c:pt>
                <c:pt idx="3">
                  <c:v>2018</c:v>
                </c:pt>
                <c:pt idx="4">
                  <c:v>2019</c:v>
                </c:pt>
              </c:numCache>
            </c:numRef>
          </c:cat>
          <c:val>
            <c:numRef>
              <c:f>IUB_2019_ana_gadi!$L$121:$AB$121</c:f>
              <c:numCache>
                <c:formatCode>0</c:formatCode>
                <c:ptCount val="5"/>
                <c:pt idx="0">
                  <c:v>60.50996</c:v>
                </c:pt>
                <c:pt idx="1">
                  <c:v>57.500292000000002</c:v>
                </c:pt>
                <c:pt idx="2">
                  <c:v>60.565812999999999</c:v>
                </c:pt>
                <c:pt idx="3">
                  <c:v>114.005061</c:v>
                </c:pt>
                <c:pt idx="4">
                  <c:v>93.402439999999999</c:v>
                </c:pt>
              </c:numCache>
            </c:numRef>
          </c:val>
          <c:extLst>
            <c:ext xmlns:c16="http://schemas.microsoft.com/office/drawing/2014/chart" uri="{C3380CC4-5D6E-409C-BE32-E72D297353CC}">
              <c16:uniqueId val="{00000001-A8F6-4862-A964-5AC8914CDCB4}"/>
            </c:ext>
          </c:extLst>
        </c:ser>
        <c:ser>
          <c:idx val="2"/>
          <c:order val="2"/>
          <c:tx>
            <c:strRef>
              <c:f>IUB_2019_ana_gadi!$F$122:$K$122</c:f>
              <c:strCache>
                <c:ptCount val="6"/>
                <c:pt idx="0">
                  <c:v>Būvdarbi</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IUB_2019_ana_gadi!$L$119:$AB$119</c:f>
              <c:numCache>
                <c:formatCode>0</c:formatCode>
                <c:ptCount val="5"/>
                <c:pt idx="0">
                  <c:v>2015</c:v>
                </c:pt>
                <c:pt idx="1">
                  <c:v>2016</c:v>
                </c:pt>
                <c:pt idx="2">
                  <c:v>2017</c:v>
                </c:pt>
                <c:pt idx="3">
                  <c:v>2018</c:v>
                </c:pt>
                <c:pt idx="4">
                  <c:v>2019</c:v>
                </c:pt>
              </c:numCache>
            </c:numRef>
          </c:cat>
          <c:val>
            <c:numRef>
              <c:f>IUB_2019_ana_gadi!$L$122:$AB$122</c:f>
              <c:numCache>
                <c:formatCode>0</c:formatCode>
                <c:ptCount val="5"/>
                <c:pt idx="0">
                  <c:v>58.582999000000001</c:v>
                </c:pt>
                <c:pt idx="1">
                  <c:v>95.934241</c:v>
                </c:pt>
                <c:pt idx="2">
                  <c:v>80.908286000000004</c:v>
                </c:pt>
                <c:pt idx="3">
                  <c:v>234.05517399999999</c:v>
                </c:pt>
                <c:pt idx="4">
                  <c:v>272.54609099999999</c:v>
                </c:pt>
              </c:numCache>
            </c:numRef>
          </c:val>
          <c:extLst>
            <c:ext xmlns:c16="http://schemas.microsoft.com/office/drawing/2014/chart" uri="{C3380CC4-5D6E-409C-BE32-E72D297353CC}">
              <c16:uniqueId val="{00000002-A8F6-4862-A964-5AC8914CDCB4}"/>
            </c:ext>
          </c:extLst>
        </c:ser>
        <c:dLbls>
          <c:showLegendKey val="0"/>
          <c:showVal val="0"/>
          <c:showCatName val="0"/>
          <c:showSerName val="0"/>
          <c:showPercent val="0"/>
          <c:showBubbleSize val="0"/>
        </c:dLbls>
        <c:gapWidth val="100"/>
        <c:overlap val="-24"/>
        <c:axId val="318342568"/>
        <c:axId val="318344920"/>
      </c:barChart>
      <c:catAx>
        <c:axId val="31834256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4920"/>
        <c:crosses val="autoZero"/>
        <c:auto val="1"/>
        <c:lblAlgn val="ctr"/>
        <c:lblOffset val="100"/>
        <c:noMultiLvlLbl val="0"/>
      </c:catAx>
      <c:valAx>
        <c:axId val="318344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2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IUB_2019_ana_gadi!$F$115:$K$115</c:f>
              <c:strCache>
                <c:ptCount val="6"/>
                <c:pt idx="0">
                  <c:v>ZPI obligātās grupas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IUB_2019_ana_gadi!$L$114:$AB$114</c:f>
              <c:numCache>
                <c:formatCode>General</c:formatCode>
                <c:ptCount val="5"/>
                <c:pt idx="0">
                  <c:v>2015</c:v>
                </c:pt>
                <c:pt idx="1">
                  <c:v>2016</c:v>
                </c:pt>
                <c:pt idx="2">
                  <c:v>2017</c:v>
                </c:pt>
                <c:pt idx="3">
                  <c:v>2018</c:v>
                </c:pt>
                <c:pt idx="4">
                  <c:v>2018</c:v>
                </c:pt>
              </c:numCache>
            </c:numRef>
          </c:cat>
          <c:val>
            <c:numRef>
              <c:f>IUB_2019_ana_gadi!$L$115:$AB$115</c:f>
              <c:numCache>
                <c:formatCode>0</c:formatCode>
                <c:ptCount val="5"/>
                <c:pt idx="0">
                  <c:v>91.187865000000002</c:v>
                </c:pt>
                <c:pt idx="1">
                  <c:v>83.224956000000006</c:v>
                </c:pt>
                <c:pt idx="2">
                  <c:v>93.770358000000002</c:v>
                </c:pt>
                <c:pt idx="3">
                  <c:v>133.23065700000001</c:v>
                </c:pt>
                <c:pt idx="4">
                  <c:v>149.26474899999999</c:v>
                </c:pt>
              </c:numCache>
            </c:numRef>
          </c:val>
          <c:extLst>
            <c:ext xmlns:c16="http://schemas.microsoft.com/office/drawing/2014/chart" uri="{C3380CC4-5D6E-409C-BE32-E72D297353CC}">
              <c16:uniqueId val="{00000000-6643-4BEF-A1D5-650F914BBCB1}"/>
            </c:ext>
          </c:extLst>
        </c:ser>
        <c:ser>
          <c:idx val="1"/>
          <c:order val="1"/>
          <c:tx>
            <c:strRef>
              <c:f>IUB_2019_ana_gadi!$F$116:$K$116</c:f>
              <c:strCache>
                <c:ptCount val="6"/>
                <c:pt idx="0">
                  <c:v>ZPI vēlamās grupas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IUB_2019_ana_gadi!$L$114:$AB$114</c:f>
              <c:numCache>
                <c:formatCode>General</c:formatCode>
                <c:ptCount val="5"/>
                <c:pt idx="0">
                  <c:v>2015</c:v>
                </c:pt>
                <c:pt idx="1">
                  <c:v>2016</c:v>
                </c:pt>
                <c:pt idx="2">
                  <c:v>2017</c:v>
                </c:pt>
                <c:pt idx="3">
                  <c:v>2018</c:v>
                </c:pt>
                <c:pt idx="4">
                  <c:v>2018</c:v>
                </c:pt>
              </c:numCache>
            </c:numRef>
          </c:cat>
          <c:val>
            <c:numRef>
              <c:f>IUB_2019_ana_gadi!$L$116:$AB$116</c:f>
              <c:numCache>
                <c:formatCode>0</c:formatCode>
                <c:ptCount val="5"/>
                <c:pt idx="0">
                  <c:v>58.582999000000001</c:v>
                </c:pt>
                <c:pt idx="1">
                  <c:v>129.743686</c:v>
                </c:pt>
                <c:pt idx="2">
                  <c:v>150.12491399999999</c:v>
                </c:pt>
                <c:pt idx="3">
                  <c:v>288.56138700000002</c:v>
                </c:pt>
                <c:pt idx="4">
                  <c:v>299.07304799999997</c:v>
                </c:pt>
              </c:numCache>
            </c:numRef>
          </c:val>
          <c:extLst>
            <c:ext xmlns:c16="http://schemas.microsoft.com/office/drawing/2014/chart" uri="{C3380CC4-5D6E-409C-BE32-E72D297353CC}">
              <c16:uniqueId val="{00000001-6643-4BEF-A1D5-650F914BBCB1}"/>
            </c:ext>
          </c:extLst>
        </c:ser>
        <c:dLbls>
          <c:showLegendKey val="0"/>
          <c:showVal val="0"/>
          <c:showCatName val="0"/>
          <c:showSerName val="0"/>
          <c:showPercent val="0"/>
          <c:showBubbleSize val="0"/>
        </c:dLbls>
        <c:gapWidth val="100"/>
        <c:overlap val="-24"/>
        <c:axId val="318341784"/>
        <c:axId val="318342960"/>
      </c:barChart>
      <c:catAx>
        <c:axId val="318341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2960"/>
        <c:crosses val="autoZero"/>
        <c:auto val="1"/>
        <c:lblAlgn val="ctr"/>
        <c:lblOffset val="100"/>
        <c:noMultiLvlLbl val="0"/>
      </c:catAx>
      <c:valAx>
        <c:axId val="318342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1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lv-LV">
                <a:solidFill>
                  <a:sysClr val="windowText" lastClr="000000"/>
                </a:solidFill>
              </a:rPr>
              <a:t>Pēc iepirkumu skaita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'3.2._SPSIL__att'!$B$9</c:f>
              <c:strCache>
                <c:ptCount val="1"/>
                <c:pt idx="0">
                  <c:v>Kopējais iepirkumu skaits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'3.2._SPSIL__att'!$A$10:$A$13</c:f>
              <c:numCache>
                <c:formatCode>General</c:formatCode>
                <c:ptCount val="4"/>
                <c:pt idx="0">
                  <c:v>2016</c:v>
                </c:pt>
                <c:pt idx="1">
                  <c:v>2017</c:v>
                </c:pt>
                <c:pt idx="2">
                  <c:v>2018</c:v>
                </c:pt>
                <c:pt idx="3">
                  <c:v>2019</c:v>
                </c:pt>
              </c:numCache>
            </c:numRef>
          </c:cat>
          <c:val>
            <c:numRef>
              <c:f>'3.2._SPSIL__att'!$B$10:$B$13</c:f>
              <c:numCache>
                <c:formatCode>#,##0</c:formatCode>
                <c:ptCount val="4"/>
                <c:pt idx="0">
                  <c:v>121</c:v>
                </c:pt>
                <c:pt idx="1">
                  <c:v>118</c:v>
                </c:pt>
                <c:pt idx="2">
                  <c:v>164</c:v>
                </c:pt>
                <c:pt idx="3">
                  <c:v>138</c:v>
                </c:pt>
              </c:numCache>
            </c:numRef>
          </c:val>
          <c:extLst>
            <c:ext xmlns:c16="http://schemas.microsoft.com/office/drawing/2014/chart" uri="{C3380CC4-5D6E-409C-BE32-E72D297353CC}">
              <c16:uniqueId val="{00000000-B281-44D2-AB13-AF929C79D75B}"/>
            </c:ext>
          </c:extLst>
        </c:ser>
        <c:ser>
          <c:idx val="1"/>
          <c:order val="1"/>
          <c:tx>
            <c:strRef>
              <c:f>'3.2._SPSIL__att'!$C$9</c:f>
              <c:strCache>
                <c:ptCount val="1"/>
                <c:pt idx="0">
                  <c:v>ZPI Iepirkumu skaits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'3.2._SPSIL__att'!$A$10:$A$13</c:f>
              <c:numCache>
                <c:formatCode>General</c:formatCode>
                <c:ptCount val="4"/>
                <c:pt idx="0">
                  <c:v>2016</c:v>
                </c:pt>
                <c:pt idx="1">
                  <c:v>2017</c:v>
                </c:pt>
                <c:pt idx="2">
                  <c:v>2018</c:v>
                </c:pt>
                <c:pt idx="3">
                  <c:v>2019</c:v>
                </c:pt>
              </c:numCache>
            </c:numRef>
          </c:cat>
          <c:val>
            <c:numRef>
              <c:f>'3.2._SPSIL__att'!$C$10:$C$13</c:f>
              <c:numCache>
                <c:formatCode>#,##0</c:formatCode>
                <c:ptCount val="4"/>
                <c:pt idx="0">
                  <c:v>10</c:v>
                </c:pt>
                <c:pt idx="1">
                  <c:v>8</c:v>
                </c:pt>
                <c:pt idx="2">
                  <c:v>17</c:v>
                </c:pt>
                <c:pt idx="3">
                  <c:v>16</c:v>
                </c:pt>
              </c:numCache>
            </c:numRef>
          </c:val>
          <c:extLst>
            <c:ext xmlns:c16="http://schemas.microsoft.com/office/drawing/2014/chart" uri="{C3380CC4-5D6E-409C-BE32-E72D297353CC}">
              <c16:uniqueId val="{00000001-B281-44D2-AB13-AF929C79D75B}"/>
            </c:ext>
          </c:extLst>
        </c:ser>
        <c:dLbls>
          <c:showLegendKey val="0"/>
          <c:showVal val="0"/>
          <c:showCatName val="0"/>
          <c:showSerName val="0"/>
          <c:showPercent val="0"/>
          <c:showBubbleSize val="0"/>
        </c:dLbls>
        <c:gapWidth val="219"/>
        <c:overlap val="-27"/>
        <c:axId val="318343352"/>
        <c:axId val="318339824"/>
      </c:barChart>
      <c:lineChart>
        <c:grouping val="stacked"/>
        <c:varyColors val="0"/>
        <c:ser>
          <c:idx val="2"/>
          <c:order val="2"/>
          <c:tx>
            <c:strRef>
              <c:f>'3.2._SPSIL__att'!$D$9</c:f>
              <c:strCache>
                <c:ptCount val="1"/>
                <c:pt idx="0">
                  <c:v>ZPI Iepirkumu īpatsvars (%)</c:v>
                </c:pt>
              </c:strCache>
            </c:strRef>
          </c:tx>
          <c:spPr>
            <a:ln w="15875" cap="rnd">
              <a:solidFill>
                <a:schemeClr val="accent3"/>
              </a:solidFill>
              <a:round/>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'3.2._SPSIL__att'!$A$10:$A$13</c:f>
              <c:numCache>
                <c:formatCode>General</c:formatCode>
                <c:ptCount val="4"/>
                <c:pt idx="0">
                  <c:v>2016</c:v>
                </c:pt>
                <c:pt idx="1">
                  <c:v>2017</c:v>
                </c:pt>
                <c:pt idx="2">
                  <c:v>2018</c:v>
                </c:pt>
                <c:pt idx="3">
                  <c:v>2019</c:v>
                </c:pt>
              </c:numCache>
            </c:numRef>
          </c:cat>
          <c:val>
            <c:numRef>
              <c:f>'3.2._SPSIL__att'!$D$10:$D$13</c:f>
              <c:numCache>
                <c:formatCode>#,##0.0</c:formatCode>
                <c:ptCount val="4"/>
                <c:pt idx="0">
                  <c:v>8.2644628099173545</c:v>
                </c:pt>
                <c:pt idx="1">
                  <c:v>6.7796610169491522</c:v>
                </c:pt>
                <c:pt idx="2">
                  <c:v>10.365853658536585</c:v>
                </c:pt>
                <c:pt idx="3">
                  <c:v>11.594202898550725</c:v>
                </c:pt>
              </c:numCache>
            </c:numRef>
          </c:val>
          <c:smooth val="0"/>
          <c:extLst>
            <c:ext xmlns:c16="http://schemas.microsoft.com/office/drawing/2014/chart" uri="{C3380CC4-5D6E-409C-BE32-E72D297353CC}">
              <c16:uniqueId val="{00000002-B281-44D2-AB13-AF929C79D75B}"/>
            </c:ext>
          </c:extLst>
        </c:ser>
        <c:dLbls>
          <c:showLegendKey val="0"/>
          <c:showVal val="0"/>
          <c:showCatName val="0"/>
          <c:showSerName val="0"/>
          <c:showPercent val="0"/>
          <c:showBubbleSize val="0"/>
        </c:dLbls>
        <c:marker val="1"/>
        <c:smooth val="0"/>
        <c:axId val="318344136"/>
        <c:axId val="318341000"/>
      </c:lineChart>
      <c:catAx>
        <c:axId val="31834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39824"/>
        <c:crosses val="autoZero"/>
        <c:auto val="1"/>
        <c:lblAlgn val="ctr"/>
        <c:lblOffset val="100"/>
        <c:noMultiLvlLbl val="0"/>
      </c:catAx>
      <c:valAx>
        <c:axId val="318339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3352"/>
        <c:crosses val="autoZero"/>
        <c:crossBetween val="between"/>
      </c:valAx>
      <c:valAx>
        <c:axId val="31834100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4136"/>
        <c:crosses val="max"/>
        <c:crossBetween val="between"/>
      </c:valAx>
      <c:catAx>
        <c:axId val="318344136"/>
        <c:scaling>
          <c:orientation val="minMax"/>
        </c:scaling>
        <c:delete val="1"/>
        <c:axPos val="b"/>
        <c:numFmt formatCode="General" sourceLinked="1"/>
        <c:majorTickMark val="none"/>
        <c:minorTickMark val="none"/>
        <c:tickLblPos val="nextTo"/>
        <c:crossAx val="3183410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lv-LV">
                <a:solidFill>
                  <a:sysClr val="windowText" lastClr="000000"/>
                </a:solidFill>
              </a:rPr>
              <a:t>pēc līgumcenas (milj. EUR)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'3.2._SPSIL__att'!$E$9</c:f>
              <c:strCache>
                <c:ptCount val="1"/>
                <c:pt idx="0">
                  <c:v>Kopējā līgumcena milj. EUR (bez PVN)</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'3.2._SPSIL__att'!$A$10:$A$13</c:f>
              <c:numCache>
                <c:formatCode>General</c:formatCode>
                <c:ptCount val="4"/>
                <c:pt idx="0">
                  <c:v>2016</c:v>
                </c:pt>
                <c:pt idx="1">
                  <c:v>2017</c:v>
                </c:pt>
                <c:pt idx="2">
                  <c:v>2018</c:v>
                </c:pt>
                <c:pt idx="3">
                  <c:v>2019</c:v>
                </c:pt>
              </c:numCache>
            </c:numRef>
          </c:cat>
          <c:val>
            <c:numRef>
              <c:f>'3.2._SPSIL__att'!$E$10:$E$13</c:f>
              <c:numCache>
                <c:formatCode>#,##0</c:formatCode>
                <c:ptCount val="4"/>
                <c:pt idx="0">
                  <c:v>655.22841900000003</c:v>
                </c:pt>
                <c:pt idx="1">
                  <c:v>238.06738367</c:v>
                </c:pt>
                <c:pt idx="2">
                  <c:v>431.27918199999999</c:v>
                </c:pt>
                <c:pt idx="3">
                  <c:v>590.32901800000002</c:v>
                </c:pt>
              </c:numCache>
            </c:numRef>
          </c:val>
          <c:extLst>
            <c:ext xmlns:c16="http://schemas.microsoft.com/office/drawing/2014/chart" uri="{C3380CC4-5D6E-409C-BE32-E72D297353CC}">
              <c16:uniqueId val="{00000000-884E-4AF0-A305-B631F4672795}"/>
            </c:ext>
          </c:extLst>
        </c:ser>
        <c:ser>
          <c:idx val="1"/>
          <c:order val="1"/>
          <c:tx>
            <c:strRef>
              <c:f>'3.2._SPSIL__att'!$F$9</c:f>
              <c:strCache>
                <c:ptCount val="1"/>
                <c:pt idx="0">
                  <c:v>ZPI līgumcena milj. EUR (bez PVN)</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1"/>
              <c:layout>
                <c:manualLayout>
                  <c:x val="2.7303754266211604E-2"/>
                  <c:y val="1.6326530612244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5B-4B6B-B6CF-67097EDE42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'3.2._SPSIL__att'!$A$10:$A$13</c:f>
              <c:numCache>
                <c:formatCode>General</c:formatCode>
                <c:ptCount val="4"/>
                <c:pt idx="0">
                  <c:v>2016</c:v>
                </c:pt>
                <c:pt idx="1">
                  <c:v>2017</c:v>
                </c:pt>
                <c:pt idx="2">
                  <c:v>2018</c:v>
                </c:pt>
                <c:pt idx="3">
                  <c:v>2019</c:v>
                </c:pt>
              </c:numCache>
            </c:numRef>
          </c:cat>
          <c:val>
            <c:numRef>
              <c:f>'3.2._SPSIL__att'!$F$10:$F$13</c:f>
              <c:numCache>
                <c:formatCode>#,##0</c:formatCode>
                <c:ptCount val="4"/>
                <c:pt idx="0">
                  <c:v>131.103465</c:v>
                </c:pt>
                <c:pt idx="1">
                  <c:v>4.6815191400000007</c:v>
                </c:pt>
                <c:pt idx="2">
                  <c:v>106.894278</c:v>
                </c:pt>
                <c:pt idx="3">
                  <c:v>65.306809999999999</c:v>
                </c:pt>
              </c:numCache>
            </c:numRef>
          </c:val>
          <c:extLst>
            <c:ext xmlns:c16="http://schemas.microsoft.com/office/drawing/2014/chart" uri="{C3380CC4-5D6E-409C-BE32-E72D297353CC}">
              <c16:uniqueId val="{00000001-884E-4AF0-A305-B631F4672795}"/>
            </c:ext>
          </c:extLst>
        </c:ser>
        <c:dLbls>
          <c:showLegendKey val="0"/>
          <c:showVal val="1"/>
          <c:showCatName val="0"/>
          <c:showSerName val="0"/>
          <c:showPercent val="0"/>
          <c:showBubbleSize val="0"/>
        </c:dLbls>
        <c:gapWidth val="219"/>
        <c:overlap val="-27"/>
        <c:axId val="380662760"/>
        <c:axId val="380658448"/>
      </c:barChart>
      <c:lineChart>
        <c:grouping val="stacked"/>
        <c:varyColors val="0"/>
        <c:ser>
          <c:idx val="2"/>
          <c:order val="2"/>
          <c:tx>
            <c:strRef>
              <c:f>'3.2._SPSIL__att'!$G$9</c:f>
              <c:strCache>
                <c:ptCount val="1"/>
                <c:pt idx="0">
                  <c:v>ZPI Iepirkumu īpatsvars (%)</c:v>
                </c:pt>
              </c:strCache>
            </c:strRef>
          </c:tx>
          <c:spPr>
            <a:ln w="15875" cap="rnd">
              <a:solidFill>
                <a:schemeClr val="accent3"/>
              </a:solidFill>
              <a:round/>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dLbl>
              <c:idx val="0"/>
              <c:layout>
                <c:manualLayout>
                  <c:x val="0"/>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4E-4AF0-A305-B631F4672795}"/>
                </c:ext>
              </c:extLst>
            </c:dLbl>
            <c:dLbl>
              <c:idx val="1"/>
              <c:layout>
                <c:manualLayout>
                  <c:x val="0"/>
                  <c:y val="-0.203703703703703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4E-4AF0-A305-B631F4672795}"/>
                </c:ext>
              </c:extLst>
            </c:dLbl>
            <c:dLbl>
              <c:idx val="2"/>
              <c:layout>
                <c:manualLayout>
                  <c:x val="-5.00000000000001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4E-4AF0-A305-B631F4672795}"/>
                </c:ext>
              </c:extLst>
            </c:dLbl>
            <c:dLbl>
              <c:idx val="3"/>
              <c:layout>
                <c:manualLayout>
                  <c:x val="-2.7777777777777779E-3"/>
                  <c:y val="-6.018518518518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4E-4AF0-A305-B631F46727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'3.2._SPSIL__att'!$A$10:$A$13</c:f>
              <c:numCache>
                <c:formatCode>General</c:formatCode>
                <c:ptCount val="4"/>
                <c:pt idx="0">
                  <c:v>2016</c:v>
                </c:pt>
                <c:pt idx="1">
                  <c:v>2017</c:v>
                </c:pt>
                <c:pt idx="2">
                  <c:v>2018</c:v>
                </c:pt>
                <c:pt idx="3">
                  <c:v>2019</c:v>
                </c:pt>
              </c:numCache>
            </c:numRef>
          </c:cat>
          <c:val>
            <c:numRef>
              <c:f>'3.2._SPSIL__att'!$G$10:$G$13</c:f>
              <c:numCache>
                <c:formatCode>#,##0.0</c:formatCode>
                <c:ptCount val="4"/>
                <c:pt idx="0">
                  <c:v>20.008818481971247</c:v>
                </c:pt>
                <c:pt idx="1">
                  <c:v>1.9664680931216287</c:v>
                </c:pt>
                <c:pt idx="2">
                  <c:v>24.785401767897064</c:v>
                </c:pt>
                <c:pt idx="3">
                  <c:v>11.06278160291961</c:v>
                </c:pt>
              </c:numCache>
            </c:numRef>
          </c:val>
          <c:smooth val="0"/>
          <c:extLst>
            <c:ext xmlns:c16="http://schemas.microsoft.com/office/drawing/2014/chart" uri="{C3380CC4-5D6E-409C-BE32-E72D297353CC}">
              <c16:uniqueId val="{00000006-884E-4AF0-A305-B631F4672795}"/>
            </c:ext>
          </c:extLst>
        </c:ser>
        <c:dLbls>
          <c:showLegendKey val="0"/>
          <c:showVal val="1"/>
          <c:showCatName val="0"/>
          <c:showSerName val="0"/>
          <c:showPercent val="0"/>
          <c:showBubbleSize val="0"/>
        </c:dLbls>
        <c:marker val="1"/>
        <c:smooth val="0"/>
        <c:axId val="380658840"/>
        <c:axId val="380664328"/>
      </c:lineChart>
      <c:catAx>
        <c:axId val="38066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80658448"/>
        <c:crosses val="autoZero"/>
        <c:auto val="1"/>
        <c:lblAlgn val="ctr"/>
        <c:lblOffset val="100"/>
        <c:noMultiLvlLbl val="0"/>
      </c:catAx>
      <c:valAx>
        <c:axId val="380658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80662760"/>
        <c:crosses val="autoZero"/>
        <c:crossBetween val="between"/>
      </c:valAx>
      <c:valAx>
        <c:axId val="38066432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80658840"/>
        <c:crosses val="max"/>
        <c:crossBetween val="between"/>
      </c:valAx>
      <c:catAx>
        <c:axId val="380658840"/>
        <c:scaling>
          <c:orientation val="minMax"/>
        </c:scaling>
        <c:delete val="1"/>
        <c:axPos val="b"/>
        <c:numFmt formatCode="General" sourceLinked="1"/>
        <c:majorTickMark val="none"/>
        <c:minorTickMark val="none"/>
        <c:tickLblPos val="nextTo"/>
        <c:crossAx val="380664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lv-LV">
                <a:solidFill>
                  <a:sysClr val="windowText" lastClr="000000"/>
                </a:solidFill>
              </a:rPr>
              <a:t>pēc līgumcenas (EUR)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lv-LV"/>
        </a:p>
      </c:txPr>
    </c:title>
    <c:autoTitleDeleted val="0"/>
    <c:plotArea>
      <c:layout/>
      <c:pieChart>
        <c:varyColors val="1"/>
        <c:ser>
          <c:idx val="1"/>
          <c:order val="0"/>
          <c:dPt>
            <c:idx val="0"/>
            <c:bubble3D val="0"/>
            <c:explosion val="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0-E165-40F3-A5E2-AAB47B80D5C4}"/>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2-E165-40F3-A5E2-AAB47B80D5C4}"/>
              </c:ext>
            </c:extLst>
          </c:dPt>
          <c:dLbls>
            <c:dLbl>
              <c:idx val="0"/>
              <c:layout>
                <c:manualLayout>
                  <c:x val="-0.14278215223097113"/>
                  <c:y val="-0.239614242405366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165-40F3-A5E2-AAB47B80D5C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'3.2._EIS_I_att'!$B$25:$C$25</c:f>
              <c:strCache>
                <c:ptCount val="2"/>
                <c:pt idx="0">
                  <c:v>EIS citi</c:v>
                </c:pt>
                <c:pt idx="1">
                  <c:v>EIS ZPI</c:v>
                </c:pt>
              </c:strCache>
            </c:strRef>
          </c:cat>
          <c:val>
            <c:numRef>
              <c:f>'3.2._EIS_I_att'!$B$26:$C$26</c:f>
              <c:numCache>
                <c:formatCode>#,##0</c:formatCode>
                <c:ptCount val="2"/>
                <c:pt idx="0">
                  <c:v>78.619821299999998</c:v>
                </c:pt>
                <c:pt idx="1">
                  <c:v>19.109833579999997</c:v>
                </c:pt>
              </c:numCache>
            </c:numRef>
          </c:val>
          <c:extLst>
            <c:ext xmlns:c16="http://schemas.microsoft.com/office/drawing/2014/chart" uri="{C3380CC4-5D6E-409C-BE32-E72D297353CC}">
              <c16:uniqueId val="{00000003-E165-40F3-A5E2-AAB47B80D5C4}"/>
            </c:ext>
          </c:extLst>
        </c:ser>
        <c:ser>
          <c:idx val="0"/>
          <c:order val="1"/>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E165-40F3-A5E2-AAB47B80D5C4}"/>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E165-40F3-A5E2-AAB47B80D5C4}"/>
              </c:ext>
            </c:extLst>
          </c:dPt>
          <c:cat>
            <c:strRef>
              <c:f>'3.2._EIS_I_att'!$B$41:$C$41</c:f>
              <c:strCache>
                <c:ptCount val="2"/>
                <c:pt idx="0">
                  <c:v>EIS citi</c:v>
                </c:pt>
                <c:pt idx="1">
                  <c:v>EIS ZPI</c:v>
                </c:pt>
              </c:strCache>
            </c:strRef>
          </c:cat>
          <c:val>
            <c:numRef>
              <c:f>'3.2._EIS_I_att'!$B$42:$C$42</c:f>
              <c:numCache>
                <c:formatCode>#,##0</c:formatCode>
                <c:ptCount val="2"/>
                <c:pt idx="0">
                  <c:v>91690</c:v>
                </c:pt>
                <c:pt idx="1">
                  <c:v>26528</c:v>
                </c:pt>
              </c:numCache>
            </c:numRef>
          </c:val>
          <c:extLst>
            <c:ext xmlns:c16="http://schemas.microsoft.com/office/drawing/2014/chart" uri="{C3380CC4-5D6E-409C-BE32-E72D297353CC}">
              <c16:uniqueId val="{00000008-E165-40F3-A5E2-AAB47B80D5C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lv-LV">
                <a:solidFill>
                  <a:sysClr val="windowText" lastClr="000000"/>
                </a:solidFill>
              </a:rPr>
              <a:t>pēc darījumu skaita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8D1D-447F-9D8D-52F705FF1E2A}"/>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8D1D-447F-9D8D-52F705FF1E2A}"/>
              </c:ext>
            </c:extLst>
          </c:dPt>
          <c:dLbls>
            <c:dLbl>
              <c:idx val="0"/>
              <c:layout>
                <c:manualLayout>
                  <c:x val="-0.15507900438619676"/>
                  <c:y val="-0.202115165423394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1D-447F-9D8D-52F705FF1E2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'3.2._EIS_I_att'!$B$41:$C$41</c:f>
              <c:strCache>
                <c:ptCount val="2"/>
                <c:pt idx="0">
                  <c:v>EIS citi</c:v>
                </c:pt>
                <c:pt idx="1">
                  <c:v>EIS ZPI</c:v>
                </c:pt>
              </c:strCache>
            </c:strRef>
          </c:cat>
          <c:val>
            <c:numRef>
              <c:f>'3.2._EIS_I_att'!$B$42:$C$42</c:f>
              <c:numCache>
                <c:formatCode>#,##0</c:formatCode>
                <c:ptCount val="2"/>
                <c:pt idx="0">
                  <c:v>91690</c:v>
                </c:pt>
                <c:pt idx="1">
                  <c:v>26528</c:v>
                </c:pt>
              </c:numCache>
            </c:numRef>
          </c:val>
          <c:extLst>
            <c:ext xmlns:c16="http://schemas.microsoft.com/office/drawing/2014/chart" uri="{C3380CC4-5D6E-409C-BE32-E72D297353CC}">
              <c16:uniqueId val="{00000004-8D1D-447F-9D8D-52F705FF1E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Sheet5!$E$6</c:f>
              <c:strCache>
                <c:ptCount val="1"/>
                <c:pt idx="0">
                  <c:v>2019.</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C987-4147-ACBB-B4A2A07CBF32}"/>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C987-4147-ACBB-B4A2A07CBF32}"/>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C987-4147-ACBB-B4A2A07CBF32}"/>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C987-4147-ACBB-B4A2A07CBF32}"/>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C987-4147-ACBB-B4A2A07CBF32}"/>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C987-4147-ACBB-B4A2A07CBF32}"/>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C987-4147-ACBB-B4A2A07CBF32}"/>
              </c:ext>
            </c:extLst>
          </c:dPt>
          <c:dPt>
            <c:idx val="7"/>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F-C987-4147-ACBB-B4A2A07CBF32}"/>
              </c:ext>
            </c:extLst>
          </c:dPt>
          <c:dLbls>
            <c:dLbl>
              <c:idx val="3"/>
              <c:layout>
                <c:manualLayout>
                  <c:x val="-2.7075240594925633E-2"/>
                  <c:y val="-4.60345581802274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987-4147-ACBB-B4A2A07CBF32}"/>
                </c:ext>
              </c:extLst>
            </c:dLbl>
            <c:dLbl>
              <c:idx val="4"/>
              <c:layout>
                <c:manualLayout>
                  <c:x val="4.6435476815398072E-2"/>
                  <c:y val="-8.48523622047244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987-4147-ACBB-B4A2A07CBF32}"/>
                </c:ext>
              </c:extLst>
            </c:dLbl>
            <c:dLbl>
              <c:idx val="5"/>
              <c:layout>
                <c:manualLayout>
                  <c:x val="3.2088363954505685E-2"/>
                  <c:y val="-1.33880139982502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987-4147-ACBB-B4A2A07CBF32}"/>
                </c:ext>
              </c:extLst>
            </c:dLbl>
            <c:dLbl>
              <c:idx val="7"/>
              <c:layout>
                <c:manualLayout>
                  <c:x val="5.4062773403324479E-2"/>
                  <c:y val="0.12009878973461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987-4147-ACBB-B4A2A07CBF3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Sheet5!$A$7:$A$14</c:f>
              <c:strCache>
                <c:ptCount val="8"/>
                <c:pt idx="0">
                  <c:v>Asmeņserveri un datu glabātuves</c:v>
                </c:pt>
                <c:pt idx="1">
                  <c:v>Datortehnika</c:v>
                </c:pt>
                <c:pt idx="2">
                  <c:v>EKO datortehnika</c:v>
                </c:pt>
                <c:pt idx="3">
                  <c:v>Drukas iekārtas</c:v>
                </c:pt>
                <c:pt idx="4">
                  <c:v>Kancelejas preces un biroja papīrs</c:v>
                </c:pt>
                <c:pt idx="5">
                  <c:v>Medicīnas preces</c:v>
                </c:pt>
                <c:pt idx="6">
                  <c:v>Pārtikas preces</c:v>
                </c:pt>
                <c:pt idx="7">
                  <c:v>Saimniecības preces</c:v>
                </c:pt>
              </c:strCache>
            </c:strRef>
          </c:cat>
          <c:val>
            <c:numRef>
              <c:f>Sheet5!$E$7:$E$14</c:f>
              <c:numCache>
                <c:formatCode>#,##0</c:formatCode>
                <c:ptCount val="8"/>
                <c:pt idx="0">
                  <c:v>2208344.3199999998</c:v>
                </c:pt>
                <c:pt idx="1">
                  <c:v>6255264.5400000066</c:v>
                </c:pt>
                <c:pt idx="2">
                  <c:v>6412489.290000001</c:v>
                </c:pt>
                <c:pt idx="3">
                  <c:v>1205317.6299999999</c:v>
                </c:pt>
                <c:pt idx="4">
                  <c:v>1300351.93</c:v>
                </c:pt>
                <c:pt idx="5">
                  <c:v>24198.569999999971</c:v>
                </c:pt>
                <c:pt idx="6">
                  <c:v>92369.929999999935</c:v>
                </c:pt>
                <c:pt idx="7">
                  <c:v>1611497.3699999775</c:v>
                </c:pt>
              </c:numCache>
            </c:numRef>
          </c:val>
          <c:extLst>
            <c:ext xmlns:c16="http://schemas.microsoft.com/office/drawing/2014/chart" uri="{C3380CC4-5D6E-409C-BE32-E72D297353CC}">
              <c16:uniqueId val="{00000010-C987-4147-ACBB-B4A2A07CBF32}"/>
            </c:ext>
          </c:extLst>
        </c:ser>
        <c:dLbls>
          <c:showLegendKey val="0"/>
          <c:showVal val="0"/>
          <c:showCatName val="0"/>
          <c:showSerName val="0"/>
          <c:showPercent val="0"/>
          <c:showBubbleSize val="0"/>
          <c:showLeaderLines val="1"/>
        </c:dLbls>
        <c:firstSliceAng val="113"/>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'IUB_2019_dati (3)'!$AN$125</c:f>
              <c:strCache>
                <c:ptCount val="1"/>
                <c:pt idx="0">
                  <c:v>Kopējā līgumcena ZPI obligātajās grupās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manualLayout>
                  <c:x val="0"/>
                  <c:y val="0.114285714285714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425-47C9-9823-6E820A64003F}"/>
                </c:ext>
              </c:extLst>
            </c:dLbl>
            <c:dLbl>
              <c:idx val="1"/>
              <c:layout>
                <c:manualLayout>
                  <c:x val="0"/>
                  <c:y val="7.14285714285713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425-47C9-9823-6E820A64003F}"/>
                </c:ext>
              </c:extLst>
            </c:dLbl>
            <c:dLbl>
              <c:idx val="2"/>
              <c:layout>
                <c:manualLayout>
                  <c:x val="0"/>
                  <c:y val="9.04761904761904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425-47C9-9823-6E820A64003F}"/>
                </c:ext>
              </c:extLst>
            </c:dLbl>
            <c:dLbl>
              <c:idx val="3"/>
              <c:layout>
                <c:manualLayout>
                  <c:x val="-2.7742057426671718E-3"/>
                  <c:y val="7.61904761904761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25-47C9-9823-6E820A64003F}"/>
                </c:ext>
              </c:extLst>
            </c:dLbl>
            <c:dLbl>
              <c:idx val="4"/>
              <c:layout>
                <c:manualLayout>
                  <c:x val="-1.0174470232617279E-16"/>
                  <c:y val="6.9444444444444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25-47C9-9823-6E820A6400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'IUB_2019_dati (3)'!$AO$124:$AS$124</c:f>
              <c:numCache>
                <c:formatCode>General</c:formatCode>
                <c:ptCount val="5"/>
                <c:pt idx="0">
                  <c:v>2015</c:v>
                </c:pt>
                <c:pt idx="1">
                  <c:v>2016</c:v>
                </c:pt>
                <c:pt idx="2">
                  <c:v>2017</c:v>
                </c:pt>
                <c:pt idx="3">
                  <c:v>2018</c:v>
                </c:pt>
                <c:pt idx="4">
                  <c:v>2019</c:v>
                </c:pt>
              </c:numCache>
            </c:numRef>
          </c:cat>
          <c:val>
            <c:numRef>
              <c:f>'IUB_2019_dati (3)'!$AO$125:$AS$125</c:f>
              <c:numCache>
                <c:formatCode>0</c:formatCode>
                <c:ptCount val="5"/>
                <c:pt idx="0">
                  <c:v>162.54451299999999</c:v>
                </c:pt>
                <c:pt idx="1">
                  <c:v>144.36858100000001</c:v>
                </c:pt>
                <c:pt idx="2">
                  <c:v>203.31868600000001</c:v>
                </c:pt>
                <c:pt idx="3">
                  <c:v>179.267878</c:v>
                </c:pt>
                <c:pt idx="4">
                  <c:v>179.654754</c:v>
                </c:pt>
              </c:numCache>
            </c:numRef>
          </c:val>
          <c:extLst>
            <c:ext xmlns:c16="http://schemas.microsoft.com/office/drawing/2014/chart" uri="{C3380CC4-5D6E-409C-BE32-E72D297353CC}">
              <c16:uniqueId val="{00000002-9425-47C9-9823-6E820A64003F}"/>
            </c:ext>
          </c:extLst>
        </c:ser>
        <c:ser>
          <c:idx val="1"/>
          <c:order val="1"/>
          <c:tx>
            <c:strRef>
              <c:f>'IUB_2019_dati (3)'!$AN$126</c:f>
              <c:strCache>
                <c:ptCount val="1"/>
                <c:pt idx="0">
                  <c:v>ZPI kopējā līgumcena obligātajās grupās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'IUB_2019_dati (3)'!$AO$124:$AS$124</c:f>
              <c:numCache>
                <c:formatCode>General</c:formatCode>
                <c:ptCount val="5"/>
                <c:pt idx="0">
                  <c:v>2015</c:v>
                </c:pt>
                <c:pt idx="1">
                  <c:v>2016</c:v>
                </c:pt>
                <c:pt idx="2">
                  <c:v>2017</c:v>
                </c:pt>
                <c:pt idx="3">
                  <c:v>2018</c:v>
                </c:pt>
                <c:pt idx="4">
                  <c:v>2019</c:v>
                </c:pt>
              </c:numCache>
            </c:numRef>
          </c:cat>
          <c:val>
            <c:numRef>
              <c:f>'IUB_2019_dati (3)'!$AO$126:$AS$126</c:f>
              <c:numCache>
                <c:formatCode>0</c:formatCode>
                <c:ptCount val="5"/>
                <c:pt idx="0">
                  <c:v>91.187865000000002</c:v>
                </c:pt>
                <c:pt idx="1">
                  <c:v>83.224956000000006</c:v>
                </c:pt>
                <c:pt idx="2">
                  <c:v>93.770358000000002</c:v>
                </c:pt>
                <c:pt idx="3">
                  <c:v>133.23065700000001</c:v>
                </c:pt>
                <c:pt idx="4">
                  <c:v>149.26474899999999</c:v>
                </c:pt>
              </c:numCache>
            </c:numRef>
          </c:val>
          <c:extLst>
            <c:ext xmlns:c16="http://schemas.microsoft.com/office/drawing/2014/chart" uri="{C3380CC4-5D6E-409C-BE32-E72D297353CC}">
              <c16:uniqueId val="{00000003-9425-47C9-9823-6E820A64003F}"/>
            </c:ext>
          </c:extLst>
        </c:ser>
        <c:dLbls>
          <c:dLblPos val="outEnd"/>
          <c:showLegendKey val="0"/>
          <c:showVal val="1"/>
          <c:showCatName val="0"/>
          <c:showSerName val="0"/>
          <c:showPercent val="0"/>
          <c:showBubbleSize val="0"/>
        </c:dLbls>
        <c:gapWidth val="219"/>
        <c:overlap val="-27"/>
        <c:axId val="380660016"/>
        <c:axId val="380661584"/>
      </c:barChart>
      <c:lineChart>
        <c:grouping val="stacked"/>
        <c:varyColors val="0"/>
        <c:ser>
          <c:idx val="2"/>
          <c:order val="2"/>
          <c:tx>
            <c:strRef>
              <c:f>'IUB_2019_dati (3)'!$AN$127</c:f>
              <c:strCache>
                <c:ptCount val="1"/>
                <c:pt idx="0">
                  <c:v>ZPI piemērojuma īpatsvars obligātajās grupās (%)</c:v>
                </c:pt>
              </c:strCache>
            </c:strRef>
          </c:tx>
          <c:spPr>
            <a:ln w="15875" cap="rnd">
              <a:solidFill>
                <a:schemeClr val="accent3"/>
              </a:solidFill>
              <a:round/>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dLbl>
              <c:idx val="2"/>
              <c:layout>
                <c:manualLayout>
                  <c:x val="-2.3782433744970168E-2"/>
                  <c:y val="-8.14405699287589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25-47C9-9823-6E820A6400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'IUB_2019_dati (3)'!$AO$124:$AS$124</c:f>
              <c:numCache>
                <c:formatCode>General</c:formatCode>
                <c:ptCount val="5"/>
                <c:pt idx="0">
                  <c:v>2015</c:v>
                </c:pt>
                <c:pt idx="1">
                  <c:v>2016</c:v>
                </c:pt>
                <c:pt idx="2">
                  <c:v>2017</c:v>
                </c:pt>
                <c:pt idx="3">
                  <c:v>2018</c:v>
                </c:pt>
                <c:pt idx="4">
                  <c:v>2019</c:v>
                </c:pt>
              </c:numCache>
            </c:numRef>
          </c:cat>
          <c:val>
            <c:numRef>
              <c:f>'IUB_2019_dati (3)'!$AO$127:$AS$127</c:f>
              <c:numCache>
                <c:formatCode>#,##0</c:formatCode>
                <c:ptCount val="5"/>
                <c:pt idx="0">
                  <c:v>56.100241907273734</c:v>
                </c:pt>
                <c:pt idx="1">
                  <c:v>57.647554214029434</c:v>
                </c:pt>
                <c:pt idx="2">
                  <c:v>46.119891803746945</c:v>
                </c:pt>
                <c:pt idx="3">
                  <c:v>74.31931391523473</c:v>
                </c:pt>
                <c:pt idx="4">
                  <c:v>83.084218856796852</c:v>
                </c:pt>
              </c:numCache>
            </c:numRef>
          </c:val>
          <c:smooth val="0"/>
          <c:extLst>
            <c:ext xmlns:c16="http://schemas.microsoft.com/office/drawing/2014/chart" uri="{C3380CC4-5D6E-409C-BE32-E72D297353CC}">
              <c16:uniqueId val="{00000009-9425-47C9-9823-6E820A64003F}"/>
            </c:ext>
          </c:extLst>
        </c:ser>
        <c:dLbls>
          <c:showLegendKey val="0"/>
          <c:showVal val="0"/>
          <c:showCatName val="0"/>
          <c:showSerName val="0"/>
          <c:showPercent val="0"/>
          <c:showBubbleSize val="0"/>
        </c:dLbls>
        <c:marker val="1"/>
        <c:smooth val="0"/>
        <c:axId val="380665504"/>
        <c:axId val="380661976"/>
      </c:lineChart>
      <c:catAx>
        <c:axId val="38066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80661584"/>
        <c:crosses val="autoZero"/>
        <c:auto val="1"/>
        <c:lblAlgn val="ctr"/>
        <c:lblOffset val="100"/>
        <c:noMultiLvlLbl val="0"/>
      </c:catAx>
      <c:valAx>
        <c:axId val="380661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Līgumcena (milj. EUR)</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80660016"/>
        <c:crosses val="autoZero"/>
        <c:crossBetween val="between"/>
      </c:valAx>
      <c:valAx>
        <c:axId val="380661976"/>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Īpatsvars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80665504"/>
        <c:crosses val="max"/>
        <c:crossBetween val="between"/>
      </c:valAx>
      <c:catAx>
        <c:axId val="380665504"/>
        <c:scaling>
          <c:orientation val="minMax"/>
        </c:scaling>
        <c:delete val="1"/>
        <c:axPos val="b"/>
        <c:numFmt formatCode="General" sourceLinked="1"/>
        <c:majorTickMark val="none"/>
        <c:minorTickMark val="none"/>
        <c:tickLblPos val="nextTo"/>
        <c:crossAx val="3806619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D390-43ED-B5BE-4B00ECF5B2A0}"/>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D390-43ED-B5BE-4B00ECF5B2A0}"/>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D390-43ED-B5BE-4B00ECF5B2A0}"/>
              </c:ext>
            </c:extLst>
          </c:dPt>
          <c:dLbls>
            <c:dLbl>
              <c:idx val="0"/>
              <c:layout>
                <c:manualLayout>
                  <c:x val="9.8788276465441818E-2"/>
                  <c:y val="-0.2181831437736949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90-43ED-B5BE-4B00ECF5B2A0}"/>
                </c:ext>
              </c:extLst>
            </c:dLbl>
            <c:dLbl>
              <c:idx val="1"/>
              <c:layout>
                <c:manualLayout>
                  <c:x val="-8.6541994750656173E-2"/>
                  <c:y val="0.1992497812773403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90-43ED-B5BE-4B00ECF5B2A0}"/>
                </c:ext>
              </c:extLst>
            </c:dLbl>
            <c:dLbl>
              <c:idx val="2"/>
              <c:layout>
                <c:manualLayout>
                  <c:x val="-1.8662510936132983E-3"/>
                  <c:y val="-6.73483522892971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90-43ED-B5BE-4B00ECF5B2A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Sheet6!$C$26:$E$26</c:f>
              <c:strCache>
                <c:ptCount val="3"/>
                <c:pt idx="0">
                  <c:v>PIL</c:v>
                </c:pt>
                <c:pt idx="1">
                  <c:v>SPSIL</c:v>
                </c:pt>
                <c:pt idx="2">
                  <c:v>EIS</c:v>
                </c:pt>
              </c:strCache>
            </c:strRef>
          </c:cat>
          <c:val>
            <c:numRef>
              <c:f>Sheet6!$C$27:$E$27</c:f>
              <c:numCache>
                <c:formatCode>#,##0</c:formatCode>
                <c:ptCount val="3"/>
                <c:pt idx="0">
                  <c:v>2986496225</c:v>
                </c:pt>
                <c:pt idx="1">
                  <c:v>590329018</c:v>
                </c:pt>
                <c:pt idx="2">
                  <c:v>97729654.879999995</c:v>
                </c:pt>
              </c:numCache>
            </c:numRef>
          </c:val>
          <c:extLst>
            <c:ext xmlns:c16="http://schemas.microsoft.com/office/drawing/2014/chart" uri="{C3380CC4-5D6E-409C-BE32-E72D297353CC}">
              <c16:uniqueId val="{00000006-D390-43ED-B5BE-4B00ECF5B2A0}"/>
            </c:ext>
          </c:extLst>
        </c:ser>
        <c:dLbls>
          <c:showLegendKey val="0"/>
          <c:showVal val="1"/>
          <c:showCatName val="0"/>
          <c:showSerName val="0"/>
          <c:showPercent val="0"/>
          <c:showBubbleSize val="0"/>
          <c:showLeaderLines val="1"/>
        </c:dLbls>
        <c:firstSliceAng val="68"/>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D3F-4505-8619-48FD77242D7B}"/>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4D3F-4505-8619-48FD77242D7B}"/>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4D3F-4505-8619-48FD77242D7B}"/>
              </c:ext>
            </c:extLst>
          </c:dPt>
          <c:dLbls>
            <c:dLbl>
              <c:idx val="0"/>
              <c:layout>
                <c:manualLayout>
                  <c:x val="9.8788276465441818E-2"/>
                  <c:y val="-0.2181831437736949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3F-4505-8619-48FD77242D7B}"/>
                </c:ext>
              </c:extLst>
            </c:dLbl>
            <c:dLbl>
              <c:idx val="1"/>
              <c:layout>
                <c:manualLayout>
                  <c:x val="-8.654199475065627E-2"/>
                  <c:y val="0.15295348498104402"/>
                </c:manualLayout>
              </c:layout>
              <c:tx>
                <c:rich>
                  <a:bodyPr/>
                  <a:lstStyle/>
                  <a:p>
                    <a:fld id="{7593D314-B6AB-4A04-8BB1-4282414D457E}" type="CATEGORYNAME">
                      <a:rPr lang="en-US"/>
                      <a:pPr/>
                      <a:t>[CATEGORY NAME]</a:t>
                    </a:fld>
                    <a:r>
                      <a:rPr lang="en-US" baseline="0"/>
                      <a:t>
</a:t>
                    </a:r>
                    <a:fld id="{499A9527-989E-4A01-9B59-81A2BCDE74B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3F-4505-8619-48FD77242D7B}"/>
                </c:ext>
              </c:extLst>
            </c:dLbl>
            <c:dLbl>
              <c:idx val="2"/>
              <c:layout>
                <c:manualLayout>
                  <c:x val="-1.8662510936132983E-3"/>
                  <c:y val="-6.73483522892971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3F-4505-8619-48FD77242D7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'3.2._EIS_H_att'!$C$26:$E$26</c:f>
              <c:strCache>
                <c:ptCount val="3"/>
                <c:pt idx="0">
                  <c:v>PIL</c:v>
                </c:pt>
                <c:pt idx="1">
                  <c:v>SPSIL</c:v>
                </c:pt>
                <c:pt idx="2">
                  <c:v>EIS</c:v>
                </c:pt>
              </c:strCache>
            </c:strRef>
          </c:cat>
          <c:val>
            <c:numRef>
              <c:f>'3.2._EIS_H_att'!$C$27:$E$27</c:f>
              <c:numCache>
                <c:formatCode>#,##0</c:formatCode>
                <c:ptCount val="3"/>
                <c:pt idx="0">
                  <c:v>515410154</c:v>
                </c:pt>
                <c:pt idx="1">
                  <c:v>65306810</c:v>
                </c:pt>
                <c:pt idx="2">
                  <c:v>19109833.579999998</c:v>
                </c:pt>
              </c:numCache>
            </c:numRef>
          </c:val>
          <c:extLst>
            <c:ext xmlns:c16="http://schemas.microsoft.com/office/drawing/2014/chart" uri="{C3380CC4-5D6E-409C-BE32-E72D297353CC}">
              <c16:uniqueId val="{00000006-4D3F-4505-8619-48FD77242D7B}"/>
            </c:ext>
          </c:extLst>
        </c:ser>
        <c:dLbls>
          <c:showLegendKey val="0"/>
          <c:showVal val="1"/>
          <c:showCatName val="0"/>
          <c:showSerName val="0"/>
          <c:showPercent val="0"/>
          <c:showBubbleSize val="0"/>
          <c:showLeaderLines val="1"/>
        </c:dLbls>
        <c:firstSliceAng val="68"/>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'3.1._PIL_A_B_att'!$E$47</c:f>
              <c:strCache>
                <c:ptCount val="1"/>
                <c:pt idx="0">
                  <c:v>Kopējā līgumcena EUR (bez PVN)</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'3.1._PIL_A_B_att'!$A$48:$A$57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'3.1._PIL_A_B_att'!$E$48:$E$57</c:f>
              <c:numCache>
                <c:formatCode>#,##0</c:formatCode>
                <c:ptCount val="10"/>
                <c:pt idx="0">
                  <c:v>989.57041700000002</c:v>
                </c:pt>
                <c:pt idx="1">
                  <c:v>1354.163933</c:v>
                </c:pt>
                <c:pt idx="2">
                  <c:v>1242.3182469999999</c:v>
                </c:pt>
                <c:pt idx="3">
                  <c:v>1435.9377609999999</c:v>
                </c:pt>
                <c:pt idx="4">
                  <c:v>1827.3015479999999</c:v>
                </c:pt>
                <c:pt idx="5">
                  <c:v>1865.5069639999999</c:v>
                </c:pt>
                <c:pt idx="6">
                  <c:v>1876.278198</c:v>
                </c:pt>
                <c:pt idx="7">
                  <c:v>2297.9245610399998</c:v>
                </c:pt>
                <c:pt idx="8">
                  <c:v>2977.073605</c:v>
                </c:pt>
                <c:pt idx="9">
                  <c:v>2986.4962249999999</c:v>
                </c:pt>
              </c:numCache>
            </c:numRef>
          </c:val>
          <c:extLst>
            <c:ext xmlns:c16="http://schemas.microsoft.com/office/drawing/2014/chart" uri="{C3380CC4-5D6E-409C-BE32-E72D297353CC}">
              <c16:uniqueId val="{00000000-CC23-415E-8430-D435D37FB1AC}"/>
            </c:ext>
          </c:extLst>
        </c:ser>
        <c:ser>
          <c:idx val="1"/>
          <c:order val="1"/>
          <c:tx>
            <c:strRef>
              <c:f>'3.1._PIL_A_B_att'!$F$47</c:f>
              <c:strCache>
                <c:ptCount val="1"/>
                <c:pt idx="0">
                  <c:v>Kopējā līgumcena EUR (bez PVN) ar norādi par VAP</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'3.1._PIL_A_B_att'!$A$48:$A$57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'3.1._PIL_A_B_att'!$F$48:$F$57</c:f>
              <c:numCache>
                <c:formatCode>#,##0</c:formatCode>
                <c:ptCount val="10"/>
                <c:pt idx="0">
                  <c:v>47.121921999999998</c:v>
                </c:pt>
                <c:pt idx="1">
                  <c:v>191.71107799999999</c:v>
                </c:pt>
                <c:pt idx="2">
                  <c:v>150.26719700000001</c:v>
                </c:pt>
                <c:pt idx="3">
                  <c:v>99.344442999999998</c:v>
                </c:pt>
                <c:pt idx="4">
                  <c:v>208.593502</c:v>
                </c:pt>
                <c:pt idx="5">
                  <c:v>352.08061300000003</c:v>
                </c:pt>
                <c:pt idx="6">
                  <c:v>232.86245400000001</c:v>
                </c:pt>
                <c:pt idx="7">
                  <c:v>271.48791586999999</c:v>
                </c:pt>
                <c:pt idx="8">
                  <c:v>543.92837499999996</c:v>
                </c:pt>
                <c:pt idx="9">
                  <c:v>515.41015400000003</c:v>
                </c:pt>
              </c:numCache>
            </c:numRef>
          </c:val>
          <c:extLst>
            <c:ext xmlns:c16="http://schemas.microsoft.com/office/drawing/2014/chart" uri="{C3380CC4-5D6E-409C-BE32-E72D297353CC}">
              <c16:uniqueId val="{00000001-CC23-415E-8430-D435D37FB1AC}"/>
            </c:ext>
          </c:extLst>
        </c:ser>
        <c:dLbls>
          <c:showLegendKey val="0"/>
          <c:showVal val="0"/>
          <c:showCatName val="0"/>
          <c:showSerName val="0"/>
          <c:showPercent val="0"/>
          <c:showBubbleSize val="0"/>
        </c:dLbls>
        <c:gapWidth val="219"/>
        <c:axId val="268506288"/>
        <c:axId val="268515304"/>
      </c:barChart>
      <c:lineChart>
        <c:grouping val="stacked"/>
        <c:varyColors val="0"/>
        <c:ser>
          <c:idx val="2"/>
          <c:order val="2"/>
          <c:tx>
            <c:strRef>
              <c:f>'3.1._PIL_A_B_att'!$G$47</c:f>
              <c:strCache>
                <c:ptCount val="1"/>
                <c:pt idx="0">
                  <c:v>Kopējā līgumcena ar norādi par VAP (%)</c:v>
                </c:pt>
              </c:strCache>
            </c:strRef>
          </c:tx>
          <c:spPr>
            <a:ln w="15875" cap="rnd">
              <a:solidFill>
                <a:schemeClr val="accent3"/>
              </a:solidFill>
              <a:round/>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dLbl>
              <c:idx val="0"/>
              <c:layout>
                <c:manualLayout>
                  <c:x val="-3.7884510384829408E-2"/>
                  <c:y val="-5.8089687607946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23-415E-8430-D435D37FB1AC}"/>
                </c:ext>
              </c:extLst>
            </c:dLbl>
            <c:dLbl>
              <c:idx val="3"/>
              <c:layout>
                <c:manualLayout>
                  <c:x val="-3.1270024661094409E-2"/>
                  <c:y val="-8.05868754594652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23-415E-8430-D435D37FB1AC}"/>
                </c:ext>
              </c:extLst>
            </c:dLbl>
            <c:dLbl>
              <c:idx val="4"/>
              <c:layout>
                <c:manualLayout>
                  <c:x val="-4.7321176684024628E-2"/>
                  <c:y val="-5.059062499077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23-415E-8430-D435D37FB1AC}"/>
                </c:ext>
              </c:extLst>
            </c:dLbl>
            <c:dLbl>
              <c:idx val="5"/>
              <c:layout>
                <c:manualLayout>
                  <c:x val="-3.6297033811132993E-2"/>
                  <c:y val="-4.68410936821873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23-415E-8430-D435D37FB1AC}"/>
                </c:ext>
              </c:extLst>
            </c:dLbl>
            <c:dLbl>
              <c:idx val="6"/>
              <c:layout>
                <c:manualLayout>
                  <c:x val="-2.9682548087398095E-2"/>
                  <c:y val="-7.30878128422923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23-415E-8430-D435D37FB1AC}"/>
                </c:ext>
              </c:extLst>
            </c:dLbl>
            <c:dLbl>
              <c:idx val="7"/>
              <c:layout>
                <c:manualLayout>
                  <c:x val="-3.8501862385711322E-2"/>
                  <c:y val="-8.05868754594652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23-415E-8430-D435D37FB1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'3.1._PIL_A_B_att'!$A$48:$A$57</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'3.1._PIL_A_B_att'!$G$48:$G$57</c:f>
              <c:numCache>
                <c:formatCode>#,##0.0</c:formatCode>
                <c:ptCount val="10"/>
                <c:pt idx="0">
                  <c:v>4.7618563763108126</c:v>
                </c:pt>
                <c:pt idx="1">
                  <c:v>14.157154339156364</c:v>
                </c:pt>
                <c:pt idx="2">
                  <c:v>12.095708757628834</c:v>
                </c:pt>
                <c:pt idx="3">
                  <c:v>6.9184365575020212</c:v>
                </c:pt>
                <c:pt idx="4">
                  <c:v>11.415384736487949</c:v>
                </c:pt>
                <c:pt idx="5">
                  <c:v>18.873186741960616</c:v>
                </c:pt>
                <c:pt idx="6">
                  <c:v>12.410870320201845</c:v>
                </c:pt>
                <c:pt idx="7">
                  <c:v>11.814483402672252</c:v>
                </c:pt>
                <c:pt idx="8">
                  <c:v>18.270571949799002</c:v>
                </c:pt>
                <c:pt idx="9">
                  <c:v>17.258021278764552</c:v>
                </c:pt>
              </c:numCache>
            </c:numRef>
          </c:val>
          <c:smooth val="0"/>
          <c:extLst>
            <c:ext xmlns:c16="http://schemas.microsoft.com/office/drawing/2014/chart" uri="{C3380CC4-5D6E-409C-BE32-E72D297353CC}">
              <c16:uniqueId val="{00000002-CC23-415E-8430-D435D37FB1AC}"/>
            </c:ext>
          </c:extLst>
        </c:ser>
        <c:dLbls>
          <c:showLegendKey val="0"/>
          <c:showVal val="0"/>
          <c:showCatName val="0"/>
          <c:showSerName val="0"/>
          <c:showPercent val="0"/>
          <c:showBubbleSize val="0"/>
        </c:dLbls>
        <c:marker val="1"/>
        <c:smooth val="0"/>
        <c:axId val="268505896"/>
        <c:axId val="268516872"/>
      </c:lineChart>
      <c:catAx>
        <c:axId val="26850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68515304"/>
        <c:crosses val="autoZero"/>
        <c:auto val="1"/>
        <c:lblAlgn val="ctr"/>
        <c:lblOffset val="100"/>
        <c:noMultiLvlLbl val="0"/>
      </c:catAx>
      <c:valAx>
        <c:axId val="268515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Līgumcena (milj. EUR)</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68506288"/>
        <c:crosses val="autoZero"/>
        <c:crossBetween val="between"/>
      </c:valAx>
      <c:valAx>
        <c:axId val="268516872"/>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ZPI īpatsvars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68505896"/>
        <c:crosses val="max"/>
        <c:crossBetween val="between"/>
      </c:valAx>
      <c:catAx>
        <c:axId val="268505896"/>
        <c:scaling>
          <c:orientation val="minMax"/>
        </c:scaling>
        <c:delete val="1"/>
        <c:axPos val="b"/>
        <c:numFmt formatCode="General" sourceLinked="1"/>
        <c:majorTickMark val="none"/>
        <c:minorTickMark val="none"/>
        <c:tickLblPos val="nextTo"/>
        <c:crossAx val="2685168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'3.1._PIL_A_B_att'!$B$9</c:f>
              <c:strCache>
                <c:ptCount val="1"/>
                <c:pt idx="0">
                  <c:v>Kopējais iepirkumu skaits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7"/>
              <c:layout>
                <c:manualLayout>
                  <c:x val="0"/>
                  <c:y val="1.19471908116745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01-49E8-A758-D512C866B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'3.1._PIL_A_B_att'!$A$10:$A$19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'3.1._PIL_A_B_att'!$B$10:$B$19</c:f>
              <c:numCache>
                <c:formatCode>#,##0</c:formatCode>
                <c:ptCount val="10"/>
                <c:pt idx="0">
                  <c:v>12221</c:v>
                </c:pt>
                <c:pt idx="1">
                  <c:v>14001</c:v>
                </c:pt>
                <c:pt idx="2">
                  <c:v>13772</c:v>
                </c:pt>
                <c:pt idx="3">
                  <c:v>13869</c:v>
                </c:pt>
                <c:pt idx="4">
                  <c:v>15092</c:v>
                </c:pt>
                <c:pt idx="5">
                  <c:v>15436</c:v>
                </c:pt>
                <c:pt idx="6">
                  <c:v>15453</c:v>
                </c:pt>
                <c:pt idx="7">
                  <c:v>12592</c:v>
                </c:pt>
                <c:pt idx="8">
                  <c:v>12301</c:v>
                </c:pt>
                <c:pt idx="9">
                  <c:v>11331</c:v>
                </c:pt>
              </c:numCache>
            </c:numRef>
          </c:val>
          <c:extLst>
            <c:ext xmlns:c16="http://schemas.microsoft.com/office/drawing/2014/chart" uri="{C3380CC4-5D6E-409C-BE32-E72D297353CC}">
              <c16:uniqueId val="{00000001-E101-49E8-A758-D512C866B7F2}"/>
            </c:ext>
          </c:extLst>
        </c:ser>
        <c:ser>
          <c:idx val="1"/>
          <c:order val="1"/>
          <c:tx>
            <c:strRef>
              <c:f>'3.1._PIL_A_B_att'!$C$9</c:f>
              <c:strCache>
                <c:ptCount val="1"/>
                <c:pt idx="0">
                  <c:v>Iepirkumu skaits ar norādi par VAP</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'3.1._PIL_A_B_att'!$A$10:$A$19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'3.1._PIL_A_B_att'!$C$10:$C$19</c:f>
              <c:numCache>
                <c:formatCode>#,##0</c:formatCode>
                <c:ptCount val="10"/>
                <c:pt idx="0">
                  <c:v>478</c:v>
                </c:pt>
                <c:pt idx="1">
                  <c:v>734</c:v>
                </c:pt>
                <c:pt idx="2">
                  <c:v>648</c:v>
                </c:pt>
                <c:pt idx="3">
                  <c:v>547</c:v>
                </c:pt>
                <c:pt idx="4">
                  <c:v>654</c:v>
                </c:pt>
                <c:pt idx="5">
                  <c:v>877</c:v>
                </c:pt>
                <c:pt idx="6">
                  <c:v>913</c:v>
                </c:pt>
                <c:pt idx="7">
                  <c:v>1137</c:v>
                </c:pt>
                <c:pt idx="8">
                  <c:v>1407</c:v>
                </c:pt>
                <c:pt idx="9">
                  <c:v>1494</c:v>
                </c:pt>
              </c:numCache>
            </c:numRef>
          </c:val>
          <c:extLst>
            <c:ext xmlns:c16="http://schemas.microsoft.com/office/drawing/2014/chart" uri="{C3380CC4-5D6E-409C-BE32-E72D297353CC}">
              <c16:uniqueId val="{00000002-E101-49E8-A758-D512C866B7F2}"/>
            </c:ext>
          </c:extLst>
        </c:ser>
        <c:dLbls>
          <c:showLegendKey val="0"/>
          <c:showVal val="0"/>
          <c:showCatName val="0"/>
          <c:showSerName val="0"/>
          <c:showPercent val="0"/>
          <c:showBubbleSize val="0"/>
        </c:dLbls>
        <c:gapWidth val="219"/>
        <c:overlap val="-27"/>
        <c:axId val="268505112"/>
        <c:axId val="318342176"/>
      </c:barChart>
      <c:lineChart>
        <c:grouping val="stacked"/>
        <c:varyColors val="0"/>
        <c:ser>
          <c:idx val="2"/>
          <c:order val="2"/>
          <c:tx>
            <c:strRef>
              <c:f>'3.1._PIL_A_B_att'!$D$9</c:f>
              <c:strCache>
                <c:ptCount val="1"/>
                <c:pt idx="0">
                  <c:v>Iepirkumu skaits ar norādi par VAP (%)</c:v>
                </c:pt>
              </c:strCache>
            </c:strRef>
          </c:tx>
          <c:spPr>
            <a:ln w="15875" cap="rnd">
              <a:solidFill>
                <a:schemeClr val="accent3"/>
              </a:solidFill>
              <a:round/>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dLbl>
              <c:idx val="0"/>
              <c:layout>
                <c:manualLayout>
                  <c:x val="-1.8041053213624453E-2"/>
                  <c:y val="-4.696435971819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01-49E8-A758-D512C866B7F2}"/>
                </c:ext>
              </c:extLst>
            </c:dLbl>
            <c:dLbl>
              <c:idx val="1"/>
              <c:layout>
                <c:manualLayout>
                  <c:x val="-1.8041053213624491E-2"/>
                  <c:y val="-4.6964359718193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01-49E8-A758-D512C866B7F2}"/>
                </c:ext>
              </c:extLst>
            </c:dLbl>
            <c:dLbl>
              <c:idx val="2"/>
              <c:layout>
                <c:manualLayout>
                  <c:x val="-1.5836224639046166E-2"/>
                  <c:y val="-4.696435971819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01-49E8-A758-D512C866B7F2}"/>
                </c:ext>
              </c:extLst>
            </c:dLbl>
            <c:dLbl>
              <c:idx val="3"/>
              <c:layout>
                <c:manualLayout>
                  <c:x val="-1.8041053213624453E-2"/>
                  <c:y val="-4.696435971819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01-49E8-A758-D512C866B7F2}"/>
                </c:ext>
              </c:extLst>
            </c:dLbl>
            <c:dLbl>
              <c:idx val="4"/>
              <c:layout>
                <c:manualLayout>
                  <c:x val="-1.8041053213624533E-2"/>
                  <c:y val="-5.07237582144337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01-49E8-A758-D512C866B7F2}"/>
                </c:ext>
              </c:extLst>
            </c:dLbl>
            <c:dLbl>
              <c:idx val="5"/>
              <c:layout>
                <c:manualLayout>
                  <c:x val="-1.8041053213624453E-2"/>
                  <c:y val="-4.6964359718193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01-49E8-A758-D512C866B7F2}"/>
                </c:ext>
              </c:extLst>
            </c:dLbl>
            <c:dLbl>
              <c:idx val="6"/>
              <c:layout>
                <c:manualLayout>
                  <c:x val="-4.8120817661545731E-3"/>
                  <c:y val="9.426617725415833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01-49E8-A758-D512C866B7F2}"/>
                </c:ext>
              </c:extLst>
            </c:dLbl>
            <c:dLbl>
              <c:idx val="7"/>
              <c:layout>
                <c:manualLayout>
                  <c:x val="-9.2217389153111447E-3"/>
                  <c:y val="3.1983008702859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01-49E8-A758-D512C866B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'3.1._PIL_A_B_att'!$A$10:$A$19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'3.1._PIL_A_B_att'!$D$10:$D$19</c:f>
              <c:numCache>
                <c:formatCode>#,##0.0</c:formatCode>
                <c:ptCount val="10"/>
                <c:pt idx="0">
                  <c:v>3.9113002209311842</c:v>
                </c:pt>
                <c:pt idx="1">
                  <c:v>5.2424826798085853</c:v>
                </c:pt>
                <c:pt idx="2">
                  <c:v>4.7051989544002319</c:v>
                </c:pt>
                <c:pt idx="3">
                  <c:v>3.9440478765592326</c:v>
                </c:pt>
                <c:pt idx="4">
                  <c:v>4.3334216803604555</c:v>
                </c:pt>
                <c:pt idx="5">
                  <c:v>5.6815237108059087</c:v>
                </c:pt>
                <c:pt idx="6">
                  <c:v>5.9082378826117905</c:v>
                </c:pt>
                <c:pt idx="7">
                  <c:v>9.0295425667090221</c:v>
                </c:pt>
                <c:pt idx="8">
                  <c:v>11.438094463864726</c:v>
                </c:pt>
                <c:pt idx="9">
                  <c:v>13.18506751389992</c:v>
                </c:pt>
              </c:numCache>
            </c:numRef>
          </c:val>
          <c:smooth val="0"/>
          <c:extLst>
            <c:ext xmlns:c16="http://schemas.microsoft.com/office/drawing/2014/chart" uri="{C3380CC4-5D6E-409C-BE32-E72D297353CC}">
              <c16:uniqueId val="{00000003-E101-49E8-A758-D512C866B7F2}"/>
            </c:ext>
          </c:extLst>
        </c:ser>
        <c:dLbls>
          <c:showLegendKey val="0"/>
          <c:showVal val="0"/>
          <c:showCatName val="0"/>
          <c:showSerName val="0"/>
          <c:showPercent val="0"/>
          <c:showBubbleSize val="0"/>
        </c:dLbls>
        <c:marker val="1"/>
        <c:smooth val="0"/>
        <c:axId val="318345312"/>
        <c:axId val="318344528"/>
      </c:lineChart>
      <c:catAx>
        <c:axId val="26850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2176"/>
        <c:crosses val="autoZero"/>
        <c:auto val="1"/>
        <c:lblAlgn val="ctr"/>
        <c:lblOffset val="100"/>
        <c:noMultiLvlLbl val="0"/>
      </c:catAx>
      <c:valAx>
        <c:axId val="31834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Iepirkumu skaits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68505112"/>
        <c:crosses val="autoZero"/>
        <c:crossBetween val="between"/>
      </c:valAx>
      <c:valAx>
        <c:axId val="318344528"/>
        <c:scaling>
          <c:orientation val="minMax"/>
        </c:scaling>
        <c:delete val="0"/>
        <c:axPos val="r"/>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ZPI īpatsvars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8345312"/>
        <c:crosses val="max"/>
        <c:crossBetween val="between"/>
      </c:valAx>
      <c:catAx>
        <c:axId val="318345312"/>
        <c:scaling>
          <c:orientation val="minMax"/>
        </c:scaling>
        <c:delete val="1"/>
        <c:axPos val="b"/>
        <c:numFmt formatCode="General" sourceLinked="1"/>
        <c:majorTickMark val="none"/>
        <c:minorTickMark val="none"/>
        <c:tickLblPos val="nextTo"/>
        <c:crossAx val="318344528"/>
        <c:crosses val="autoZero"/>
        <c:auto val="1"/>
        <c:lblAlgn val="ctr"/>
        <c:lblOffset val="100"/>
        <c:noMultiLvlLbl val="0"/>
      </c:catAx>
      <c:spPr>
        <a:noFill/>
        <a:ln>
          <a:noFill/>
        </a:ln>
        <a:effectLst/>
      </c:spPr>
    </c:plotArea>
    <c:legend>
      <c:legendPos val="b"/>
      <c:layout>
        <c:manualLayout>
          <c:xMode val="edge"/>
          <c:yMode val="edge"/>
          <c:x val="0.1376021360795891"/>
          <c:y val="0.82825107227450223"/>
          <c:w val="0.7247955542322726"/>
          <c:h val="0.1473586838230586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lv-LV">
                <a:solidFill>
                  <a:sysClr val="windowText" lastClr="000000"/>
                </a:solidFill>
              </a:rPr>
              <a:t>pēc iepirkumu skaita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6272-48D6-BFAA-D837679BE335}"/>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6272-48D6-BFAA-D837679BE335}"/>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6272-48D6-BFAA-D837679BE335}"/>
              </c:ext>
            </c:extLst>
          </c:dPt>
          <c:dLbls>
            <c:dLbl>
              <c:idx val="0"/>
              <c:layout>
                <c:manualLayout>
                  <c:x val="-0.16779137405121658"/>
                  <c:y val="0.191634203619284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272-48D6-BFAA-D837679BE335}"/>
                </c:ext>
              </c:extLst>
            </c:dLbl>
            <c:dLbl>
              <c:idx val="1"/>
              <c:layout>
                <c:manualLayout>
                  <c:x val="-5.620983187912322E-2"/>
                  <c:y val="-0.183107769423558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72-48D6-BFAA-D837679BE335}"/>
                </c:ext>
              </c:extLst>
            </c:dLbl>
            <c:dLbl>
              <c:idx val="2"/>
              <c:layout>
                <c:manualLayout>
                  <c:x val="0.21195502589203377"/>
                  <c:y val="0.2294898663982791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702702702702703"/>
                      <c:h val="0.18045112781954886"/>
                    </c:manualLayout>
                  </c15:layout>
                </c:ext>
                <c:ext xmlns:c16="http://schemas.microsoft.com/office/drawing/2014/chart" uri="{C3380CC4-5D6E-409C-BE32-E72D297353CC}">
                  <c16:uniqueId val="{00000005-6272-48D6-BFAA-D837679BE3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'.1._PIL_att_tab'!$T$25:$V$25</c:f>
              <c:strCache>
                <c:ptCount val="3"/>
                <c:pt idx="0">
                  <c:v>Būvdarbi</c:v>
                </c:pt>
                <c:pt idx="1">
                  <c:v>Piegāde</c:v>
                </c:pt>
                <c:pt idx="2">
                  <c:v>Pakalpojumi</c:v>
                </c:pt>
              </c:strCache>
            </c:strRef>
          </c:cat>
          <c:val>
            <c:numRef>
              <c:f>'.1._PIL_att_tab'!$T$30:$V$30</c:f>
              <c:numCache>
                <c:formatCode>#,##0</c:formatCode>
                <c:ptCount val="3"/>
                <c:pt idx="0">
                  <c:v>305</c:v>
                </c:pt>
                <c:pt idx="1">
                  <c:v>825</c:v>
                </c:pt>
                <c:pt idx="2">
                  <c:v>364</c:v>
                </c:pt>
              </c:numCache>
            </c:numRef>
          </c:val>
          <c:extLst>
            <c:ext xmlns:c16="http://schemas.microsoft.com/office/drawing/2014/chart" uri="{C3380CC4-5D6E-409C-BE32-E72D297353CC}">
              <c16:uniqueId val="{00000006-6272-48D6-BFAA-D837679BE33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lv-LV">
                <a:solidFill>
                  <a:sysClr val="windowText" lastClr="000000"/>
                </a:solidFill>
              </a:rPr>
              <a:t>pēc kopējās līgumcenas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EDC4-4C0A-A923-2B4A972E1367}"/>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EDC4-4C0A-A923-2B4A972E1367}"/>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EDC4-4C0A-A923-2B4A972E1367}"/>
              </c:ext>
            </c:extLst>
          </c:dPt>
          <c:dLbls>
            <c:dLbl>
              <c:idx val="0"/>
              <c:layout>
                <c:manualLayout>
                  <c:x val="-0.24441264098744414"/>
                  <c:y val="1.44358936265042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C4-4C0A-A923-2B4A972E1367}"/>
                </c:ext>
              </c:extLst>
            </c:dLbl>
            <c:dLbl>
              <c:idx val="1"/>
              <c:layout>
                <c:manualLayout>
                  <c:x val="0.17336525501879832"/>
                  <c:y val="-0.1394110830485811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C4-4C0A-A923-2B4A972E1367}"/>
                </c:ext>
              </c:extLst>
            </c:dLbl>
            <c:dLbl>
              <c:idx val="2"/>
              <c:layout>
                <c:manualLayout>
                  <c:x val="0.21171171171171171"/>
                  <c:y val="0.2147233199623631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900900900900903"/>
                      <c:h val="0.17735849056603772"/>
                    </c:manualLayout>
                  </c15:layout>
                </c:ext>
                <c:ext xmlns:c16="http://schemas.microsoft.com/office/drawing/2014/chart" uri="{C3380CC4-5D6E-409C-BE32-E72D297353CC}">
                  <c16:uniqueId val="{00000005-EDC4-4C0A-A923-2B4A972E13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'.1._PIL_att_tab'!$AE$32:$AG$32</c:f>
              <c:strCache>
                <c:ptCount val="3"/>
                <c:pt idx="0">
                  <c:v>Būvdarbi</c:v>
                </c:pt>
                <c:pt idx="1">
                  <c:v>Piegāde</c:v>
                </c:pt>
                <c:pt idx="2">
                  <c:v>Pakalpojumi</c:v>
                </c:pt>
              </c:strCache>
            </c:strRef>
          </c:cat>
          <c:val>
            <c:numRef>
              <c:f>'.1._PIL_att_tab'!$AE$37:$AG$37</c:f>
              <c:numCache>
                <c:formatCode>#,##0</c:formatCode>
                <c:ptCount val="3"/>
                <c:pt idx="0">
                  <c:v>272.54608999999999</c:v>
                </c:pt>
                <c:pt idx="1">
                  <c:v>121.58239500000001</c:v>
                </c:pt>
                <c:pt idx="2">
                  <c:v>121.281668</c:v>
                </c:pt>
              </c:numCache>
            </c:numRef>
          </c:val>
          <c:extLst>
            <c:ext xmlns:c16="http://schemas.microsoft.com/office/drawing/2014/chart" uri="{C3380CC4-5D6E-409C-BE32-E72D297353CC}">
              <c16:uniqueId val="{00000006-EDC4-4C0A-A923-2B4A972E136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7"/>
          <c:order val="7"/>
          <c:tx>
            <c:strRef>
              <c:f>'.1._PIL_att_tab'!$AE$39</c:f>
              <c:strCache>
                <c:ptCount val="1"/>
                <c:pt idx="0">
                  <c:v>Būvdarbi</c:v>
                </c:pt>
              </c:strCache>
            </c:strRef>
          </c:tx>
          <c:spPr>
            <a:ln w="15875" cap="rnd">
              <a:solidFill>
                <a:schemeClr val="accent2">
                  <a:lumMod val="60000"/>
                </a:schemeClr>
              </a:solidFill>
              <a:round/>
            </a:ln>
            <a:effectLst>
              <a:outerShdw blurRad="40000" dist="20000" dir="5400000" rotWithShape="0">
                <a:srgbClr val="000000">
                  <a:alpha val="38000"/>
                </a:srgbClr>
              </a:outerShdw>
            </a:effectLst>
          </c:spPr>
          <c:marker>
            <c:symbol val="circle"/>
            <c:size val="5"/>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marker>
          <c:dLbls>
            <c:dLbl>
              <c:idx val="0"/>
              <c:layout>
                <c:manualLayout>
                  <c:x val="-8.4046313223644128E-2"/>
                  <c:y val="-1.95735562038003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F7-4429-86E3-5448DDD27E0D}"/>
                </c:ext>
              </c:extLst>
            </c:dLbl>
            <c:dLbl>
              <c:idx val="1"/>
              <c:layout>
                <c:manualLayout>
                  <c:x val="-9.6234003656307132E-2"/>
                  <c:y val="-3.77248612014252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F7-4429-86E3-5448DDD27E0D}"/>
                </c:ext>
              </c:extLst>
            </c:dLbl>
            <c:dLbl>
              <c:idx val="2"/>
              <c:layout>
                <c:manualLayout>
                  <c:x val="-4.748324192565509E-2"/>
                  <c:y val="-5.3621530348556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F7-4429-86E3-5448DDD27E0D}"/>
                </c:ext>
              </c:extLst>
            </c:dLbl>
            <c:dLbl>
              <c:idx val="4"/>
              <c:layout>
                <c:manualLayout>
                  <c:x val="-6.0450944546008535E-3"/>
                  <c:y val="-1.95735562038003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F7-4429-86E3-5448DDD27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'.1._PIL_att_tab'!$AE$40:$AE$44</c:f>
              <c:numCache>
                <c:formatCode>#,##0.0</c:formatCode>
                <c:ptCount val="5"/>
                <c:pt idx="0">
                  <c:v>11.23259326457358</c:v>
                </c:pt>
                <c:pt idx="1">
                  <c:v>12.517052460593773</c:v>
                </c:pt>
                <c:pt idx="2">
                  <c:v>10.154518490790608</c:v>
                </c:pt>
                <c:pt idx="3">
                  <c:v>21.157095943780543</c:v>
                </c:pt>
                <c:pt idx="4">
                  <c:v>23.048921951147658</c:v>
                </c:pt>
              </c:numCache>
            </c:numRef>
          </c:val>
          <c:smooth val="0"/>
          <c:extLst>
            <c:ext xmlns:c16="http://schemas.microsoft.com/office/drawing/2014/chart" uri="{C3380CC4-5D6E-409C-BE32-E72D297353CC}">
              <c16:uniqueId val="{00000004-13F7-4429-86E3-5448DDD27E0D}"/>
            </c:ext>
          </c:extLst>
        </c:ser>
        <c:ser>
          <c:idx val="8"/>
          <c:order val="8"/>
          <c:tx>
            <c:strRef>
              <c:f>'.1._PIL_att_tab'!$AF$39</c:f>
              <c:strCache>
                <c:ptCount val="1"/>
                <c:pt idx="0">
                  <c:v>Piegāde</c:v>
                </c:pt>
              </c:strCache>
            </c:strRef>
          </c:tx>
          <c:spPr>
            <a:ln w="15875" cap="rnd">
              <a:solidFill>
                <a:schemeClr val="accent3">
                  <a:lumMod val="60000"/>
                </a:schemeClr>
              </a:solidFill>
              <a:round/>
            </a:ln>
            <a:effectLst>
              <a:outerShdw blurRad="40000" dist="20000" dir="5400000" rotWithShape="0">
                <a:srgbClr val="000000">
                  <a:alpha val="38000"/>
                </a:srgbClr>
              </a:outerShdw>
            </a:effectLst>
          </c:spPr>
          <c:marker>
            <c:symbol val="circle"/>
            <c:size val="5"/>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marker>
          <c:dLbls>
            <c:dLbl>
              <c:idx val="0"/>
              <c:layout>
                <c:manualLayout>
                  <c:x val="-8.4046313223644128E-2"/>
                  <c:y val="-5.93152290716289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F7-4429-86E3-5448DDD27E0D}"/>
                </c:ext>
              </c:extLst>
            </c:dLbl>
            <c:dLbl>
              <c:idx val="1"/>
              <c:layout>
                <c:manualLayout>
                  <c:x val="-4.5045703839122528E-2"/>
                  <c:y val="4.573265182101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F7-4429-86E3-5448DDD27E0D}"/>
                </c:ext>
              </c:extLst>
            </c:dLbl>
            <c:dLbl>
              <c:idx val="3"/>
              <c:layout>
                <c:manualLayout>
                  <c:x val="-4.2608165752589883E-2"/>
                  <c:y val="4.573265182101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F7-4429-86E3-5448DDD27E0D}"/>
                </c:ext>
              </c:extLst>
            </c:dLbl>
            <c:dLbl>
              <c:idx val="4"/>
              <c:layout>
                <c:manualLayout>
                  <c:x val="-8.4826325411334544E-3"/>
                  <c:y val="-2.9776526627859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F7-4429-86E3-5448DDD27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'.1._PIL_att_tab'!$AF$40:$AF$44</c:f>
              <c:numCache>
                <c:formatCode>#,##0.0</c:formatCode>
                <c:ptCount val="5"/>
                <c:pt idx="0">
                  <c:v>14.906926892746855</c:v>
                </c:pt>
                <c:pt idx="1">
                  <c:v>10.500754972919758</c:v>
                </c:pt>
                <c:pt idx="2">
                  <c:v>19.450112192892142</c:v>
                </c:pt>
                <c:pt idx="3">
                  <c:v>13.440283827558488</c:v>
                </c:pt>
                <c:pt idx="4">
                  <c:v>13.957987423226268</c:v>
                </c:pt>
              </c:numCache>
            </c:numRef>
          </c:val>
          <c:smooth val="0"/>
          <c:extLst>
            <c:ext xmlns:c16="http://schemas.microsoft.com/office/drawing/2014/chart" uri="{C3380CC4-5D6E-409C-BE32-E72D297353CC}">
              <c16:uniqueId val="{00000009-13F7-4429-86E3-5448DDD27E0D}"/>
            </c:ext>
          </c:extLst>
        </c:ser>
        <c:ser>
          <c:idx val="9"/>
          <c:order val="9"/>
          <c:tx>
            <c:strRef>
              <c:f>'.1._PIL_att_tab'!$AG$39</c:f>
              <c:strCache>
                <c:ptCount val="1"/>
                <c:pt idx="0">
                  <c:v>Pakalpojumi</c:v>
                </c:pt>
              </c:strCache>
            </c:strRef>
          </c:tx>
          <c:spPr>
            <a:ln w="15875" cap="rnd">
              <a:solidFill>
                <a:srgbClr val="0070C0"/>
              </a:solidFill>
              <a:round/>
            </a:ln>
            <a:effectLst>
              <a:outerShdw blurRad="40000" dist="20000" dir="5400000" rotWithShape="0">
                <a:srgbClr val="000000">
                  <a:alpha val="38000"/>
                </a:srgbClr>
              </a:outerShdw>
            </a:effectLst>
          </c:spPr>
          <c:marker>
            <c:symbol val="circle"/>
            <c:size val="5"/>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rgbClr val="0070C0"/>
                </a:solidFill>
                <a:round/>
              </a:ln>
              <a:effectLst>
                <a:outerShdw blurRad="40000" dist="20000" dir="5400000" rotWithShape="0">
                  <a:srgbClr val="000000">
                    <a:alpha val="38000"/>
                  </a:srgbClr>
                </a:outerShdw>
              </a:effectLst>
            </c:spPr>
          </c:marker>
          <c:dLbls>
            <c:dLbl>
              <c:idx val="0"/>
              <c:layout>
                <c:manualLayout>
                  <c:x val="-8.4046313223644128E-2"/>
                  <c:y val="-5.990978953185570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F7-4429-86E3-5448DDD27E0D}"/>
                </c:ext>
              </c:extLst>
            </c:dLbl>
            <c:dLbl>
              <c:idx val="1"/>
              <c:layout>
                <c:manualLayout>
                  <c:x val="-4.0170627666057279E-2"/>
                  <c:y val="-8.1500157402058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F7-4429-86E3-5448DDD27E0D}"/>
                </c:ext>
              </c:extLst>
            </c:dLbl>
            <c:dLbl>
              <c:idx val="3"/>
              <c:layout>
                <c:manualLayout>
                  <c:x val="1.8330286410725167E-2"/>
                  <c:y val="-1.39393135267511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F7-4429-86E3-5448DDD27E0D}"/>
                </c:ext>
              </c:extLst>
            </c:dLbl>
            <c:dLbl>
              <c:idx val="4"/>
              <c:layout>
                <c:manualLayout>
                  <c:x val="-8.4826325411334544E-3"/>
                  <c:y val="2.182819205429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F7-4429-86E3-5448DDD27E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'.1._PIL_att_tab'!$AG$40:$AG$44</c:f>
              <c:numCache>
                <c:formatCode>#,##0.0</c:formatCode>
                <c:ptCount val="5"/>
                <c:pt idx="0">
                  <c:v>28.104395886302409</c:v>
                </c:pt>
                <c:pt idx="1">
                  <c:v>14.312414647351144</c:v>
                </c:pt>
                <c:pt idx="2">
                  <c:v>8.4002356230852531</c:v>
                </c:pt>
                <c:pt idx="3">
                  <c:v>18.347558214174541</c:v>
                </c:pt>
                <c:pt idx="4">
                  <c:v>12.99968622610414</c:v>
                </c:pt>
              </c:numCache>
            </c:numRef>
          </c:val>
          <c:smooth val="0"/>
          <c:extLst>
            <c:ext xmlns:c16="http://schemas.microsoft.com/office/drawing/2014/chart" uri="{C3380CC4-5D6E-409C-BE32-E72D297353CC}">
              <c16:uniqueId val="{0000000E-13F7-4429-86E3-5448DDD27E0D}"/>
            </c:ext>
          </c:extLst>
        </c:ser>
        <c:dLbls>
          <c:showLegendKey val="0"/>
          <c:showVal val="0"/>
          <c:showCatName val="0"/>
          <c:showSerName val="0"/>
          <c:showPercent val="0"/>
          <c:showBubbleSize val="0"/>
        </c:dLbls>
        <c:marker val="1"/>
        <c:smooth val="0"/>
        <c:axId val="315252720"/>
        <c:axId val="315251152"/>
      </c:lineChart>
      <c:lineChart>
        <c:grouping val="standard"/>
        <c:varyColors val="0"/>
        <c:ser>
          <c:idx val="0"/>
          <c:order val="0"/>
          <c:tx>
            <c:strRef>
              <c:f>'.1._PIL_att_tab'!$X$39</c:f>
              <c:strCache>
                <c:ptCount val="1"/>
                <c:pt idx="0">
                  <c:v>Būvdarbi</c:v>
                </c:pt>
              </c:strCache>
            </c:strRef>
          </c:tx>
          <c:spPr>
            <a:ln w="15875" cap="rnd">
              <a:solidFill>
                <a:schemeClr val="accent1"/>
              </a:solidFill>
              <a:round/>
            </a:ln>
            <a:effectLst>
              <a:outerShdw blurRad="40000" dist="20000" dir="5400000" rotWithShape="0">
                <a:srgbClr val="000000">
                  <a:alpha val="38000"/>
                </a:srgbClr>
              </a:outerShdw>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'.1._PIL_att_tab'!$X$40:$X$44</c:f>
            </c:numRef>
          </c:val>
          <c:smooth val="0"/>
          <c:extLst>
            <c:ext xmlns:c16="http://schemas.microsoft.com/office/drawing/2014/chart" uri="{C3380CC4-5D6E-409C-BE32-E72D297353CC}">
              <c16:uniqueId val="{0000000F-13F7-4429-86E3-5448DDD27E0D}"/>
            </c:ext>
          </c:extLst>
        </c:ser>
        <c:ser>
          <c:idx val="1"/>
          <c:order val="1"/>
          <c:tx>
            <c:strRef>
              <c:f>'.1._PIL_att_tab'!$Y$39</c:f>
              <c:strCache>
                <c:ptCount val="1"/>
                <c:pt idx="0">
                  <c:v>Piegāde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'.1._PIL_att_tab'!$Y$40:$Y$44</c:f>
            </c:numRef>
          </c:val>
          <c:smooth val="0"/>
          <c:extLst>
            <c:ext xmlns:c16="http://schemas.microsoft.com/office/drawing/2014/chart" uri="{C3380CC4-5D6E-409C-BE32-E72D297353CC}">
              <c16:uniqueId val="{00000010-13F7-4429-86E3-5448DDD27E0D}"/>
            </c:ext>
          </c:extLst>
        </c:ser>
        <c:ser>
          <c:idx val="2"/>
          <c:order val="2"/>
          <c:tx>
            <c:strRef>
              <c:f>'.1._PIL_att_tab'!$Z$39</c:f>
              <c:strCache>
                <c:ptCount val="1"/>
                <c:pt idx="0">
                  <c:v>Pakalpojumi</c:v>
                </c:pt>
              </c:strCache>
            </c:strRef>
          </c:tx>
          <c:spPr>
            <a:ln w="15875" cap="rnd">
              <a:solidFill>
                <a:schemeClr val="accent3"/>
              </a:solidFill>
              <a:round/>
            </a:ln>
            <a:effectLst>
              <a:outerShdw blurRad="40000" dist="20000" dir="5400000" rotWithShape="0">
                <a:srgbClr val="000000">
                  <a:alpha val="38000"/>
                </a:srgbClr>
              </a:outerShdw>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'.1._PIL_att_tab'!$Z$40:$Z$44</c:f>
            </c:numRef>
          </c:val>
          <c:smooth val="0"/>
          <c:extLst>
            <c:ext xmlns:c16="http://schemas.microsoft.com/office/drawing/2014/chart" uri="{C3380CC4-5D6E-409C-BE32-E72D297353CC}">
              <c16:uniqueId val="{00000011-13F7-4429-86E3-5448DDD27E0D}"/>
            </c:ext>
          </c:extLst>
        </c:ser>
        <c:ser>
          <c:idx val="3"/>
          <c:order val="3"/>
          <c:tx>
            <c:strRef>
              <c:f>'.1._PIL_att_tab'!$AA$39</c:f>
              <c:strCache>
                <c:ptCount val="1"/>
                <c:pt idx="0">
                  <c:v>Būvdarbi</c:v>
                </c:pt>
              </c:strCache>
            </c:strRef>
          </c:tx>
          <c:spPr>
            <a:ln w="15875" cap="rnd">
              <a:solidFill>
                <a:schemeClr val="accent4"/>
              </a:solidFill>
              <a:round/>
            </a:ln>
            <a:effectLst>
              <a:outerShdw blurRad="40000" dist="20000" dir="5400000" rotWithShape="0">
                <a:srgbClr val="000000">
                  <a:alpha val="38000"/>
                </a:srgbClr>
              </a:outerShdw>
            </a:effectLst>
          </c:spPr>
          <c:marker>
            <c:symbol val="circle"/>
            <c:size val="5"/>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'.1._PIL_att_tab'!$AA$40:$AA$44</c:f>
            </c:numRef>
          </c:val>
          <c:smooth val="0"/>
          <c:extLst>
            <c:ext xmlns:c16="http://schemas.microsoft.com/office/drawing/2014/chart" uri="{C3380CC4-5D6E-409C-BE32-E72D297353CC}">
              <c16:uniqueId val="{00000012-13F7-4429-86E3-5448DDD27E0D}"/>
            </c:ext>
          </c:extLst>
        </c:ser>
        <c:ser>
          <c:idx val="4"/>
          <c:order val="4"/>
          <c:tx>
            <c:strRef>
              <c:f>'.1._PIL_att_tab'!$AB$39</c:f>
              <c:strCache>
                <c:ptCount val="1"/>
                <c:pt idx="0">
                  <c:v>Piegāde</c:v>
                </c:pt>
              </c:strCache>
            </c:strRef>
          </c:tx>
          <c:spPr>
            <a:ln w="15875" cap="rnd">
              <a:solidFill>
                <a:schemeClr val="accent5"/>
              </a:solidFill>
              <a:round/>
            </a:ln>
            <a:effectLst>
              <a:outerShdw blurRad="40000" dist="20000" dir="5400000" rotWithShape="0">
                <a:srgbClr val="000000">
                  <a:alpha val="38000"/>
                </a:srgbClr>
              </a:outerShdw>
            </a:effectLst>
          </c:spPr>
          <c:marker>
            <c:symbol val="circle"/>
            <c:size val="5"/>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'.1._PIL_att_tab'!$AB$40:$AB$44</c:f>
            </c:numRef>
          </c:val>
          <c:smooth val="0"/>
          <c:extLst>
            <c:ext xmlns:c16="http://schemas.microsoft.com/office/drawing/2014/chart" uri="{C3380CC4-5D6E-409C-BE32-E72D297353CC}">
              <c16:uniqueId val="{00000013-13F7-4429-86E3-5448DDD27E0D}"/>
            </c:ext>
          </c:extLst>
        </c:ser>
        <c:ser>
          <c:idx val="5"/>
          <c:order val="5"/>
          <c:tx>
            <c:strRef>
              <c:f>'.1._PIL_att_tab'!$AC$39</c:f>
              <c:strCache>
                <c:ptCount val="1"/>
                <c:pt idx="0">
                  <c:v>Pakalpojumi</c:v>
                </c:pt>
              </c:strCache>
            </c:strRef>
          </c:tx>
          <c:spPr>
            <a:ln w="15875" cap="rnd">
              <a:solidFill>
                <a:schemeClr val="accent6"/>
              </a:solidFill>
              <a:round/>
            </a:ln>
            <a:effectLst>
              <a:outerShdw blurRad="40000" dist="20000" dir="5400000" rotWithShape="0">
                <a:srgbClr val="000000">
                  <a:alpha val="38000"/>
                </a:srgbClr>
              </a:outerShdw>
            </a:effectLst>
          </c:spPr>
          <c:marker>
            <c:symbol val="circle"/>
            <c:size val="5"/>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'.1._PIL_att_tab'!$AC$40:$AC$44</c:f>
            </c:numRef>
          </c:val>
          <c:smooth val="0"/>
          <c:extLst>
            <c:ext xmlns:c16="http://schemas.microsoft.com/office/drawing/2014/chart" uri="{C3380CC4-5D6E-409C-BE32-E72D297353CC}">
              <c16:uniqueId val="{00000014-13F7-4429-86E3-5448DDD27E0D}"/>
            </c:ext>
          </c:extLst>
        </c:ser>
        <c:ser>
          <c:idx val="6"/>
          <c:order val="6"/>
          <c:tx>
            <c:strRef>
              <c:f>'.1._PIL_att_tab'!$AD$39</c:f>
              <c:strCache>
                <c:ptCount val="1"/>
                <c:pt idx="0">
                  <c:v>Piegāde</c:v>
                </c:pt>
              </c:strCache>
            </c:strRef>
          </c:tx>
          <c:spPr>
            <a:ln w="15875" cap="rnd">
              <a:solidFill>
                <a:schemeClr val="accent1">
                  <a:lumMod val="60000"/>
                </a:schemeClr>
              </a:solidFill>
              <a:round/>
            </a:ln>
            <a:effectLst>
              <a:outerShdw blurRad="40000" dist="20000" dir="5400000" rotWithShape="0">
                <a:srgbClr val="000000">
                  <a:alpha val="38000"/>
                </a:srgbClr>
              </a:outerShdw>
            </a:effectLst>
          </c:spPr>
          <c:marker>
            <c:symbol val="circle"/>
            <c:size val="5"/>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'.1._PIL_att_tab'!$A$40:$W$44</c:f>
              <c:strCache>
                <c:ptCount val="5"/>
                <c:pt idx="0">
                  <c:v>2015</c:v>
                </c:pt>
                <c:pt idx="1">
                  <c:v>2016</c:v>
                </c:pt>
                <c:pt idx="2">
                  <c:v>2017</c:v>
                </c:pt>
                <c:pt idx="3">
                  <c:v>2018</c:v>
                </c:pt>
                <c:pt idx="4">
                  <c:v>2019</c:v>
                </c:pt>
              </c:strCache>
            </c:strRef>
          </c:cat>
          <c:val>
            <c:numRef>
              <c:f>'.1._PIL_att_tab'!$AD$40:$AD$44</c:f>
            </c:numRef>
          </c:val>
          <c:smooth val="0"/>
          <c:extLst>
            <c:ext xmlns:c16="http://schemas.microsoft.com/office/drawing/2014/chart" uri="{C3380CC4-5D6E-409C-BE32-E72D297353CC}">
              <c16:uniqueId val="{00000015-13F7-4429-86E3-5448DDD27E0D}"/>
            </c:ext>
          </c:extLst>
        </c:ser>
        <c:dLbls>
          <c:dLblPos val="t"/>
          <c:showLegendKey val="0"/>
          <c:showVal val="1"/>
          <c:showCatName val="0"/>
          <c:showSerName val="0"/>
          <c:showPercent val="0"/>
          <c:showBubbleSize val="0"/>
        </c:dLbls>
        <c:marker val="1"/>
        <c:smooth val="0"/>
        <c:axId val="315252720"/>
        <c:axId val="315251152"/>
      </c:lineChart>
      <c:catAx>
        <c:axId val="3152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5251152"/>
        <c:crosses val="autoZero"/>
        <c:auto val="1"/>
        <c:lblAlgn val="ctr"/>
        <c:lblOffset val="100"/>
        <c:noMultiLvlLbl val="0"/>
      </c:catAx>
      <c:valAx>
        <c:axId val="315251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1525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384511547623782E-2"/>
          <c:y val="0.15117660130716412"/>
          <c:w val="0.75828733105840485"/>
          <c:h val="0.68672097079401739"/>
        </c:manualLayout>
      </c:layout>
      <c:ofPieChart>
        <c:ofPieType val="pie"/>
        <c:varyColors val="1"/>
        <c:ser>
          <c:idx val="0"/>
          <c:order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3F0D-4379-8369-45370AE972F3}"/>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3F0D-4379-8369-45370AE972F3}"/>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3F0D-4379-8369-45370AE972F3}"/>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3F0D-4379-8369-45370AE972F3}"/>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3F0D-4379-8369-45370AE972F3}"/>
              </c:ext>
            </c:extLst>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B-3F0D-4379-8369-45370AE972F3}"/>
              </c:ext>
            </c:extLst>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D-3F0D-4379-8369-45370AE972F3}"/>
              </c:ext>
            </c:extLst>
          </c:dPt>
          <c:dPt>
            <c:idx val="7"/>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F-3F0D-4379-8369-45370AE972F3}"/>
              </c:ext>
            </c:extLst>
          </c:dPt>
          <c:dPt>
            <c:idx val="8"/>
            <c:bubble3D val="0"/>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1-3F0D-4379-8369-45370AE972F3}"/>
              </c:ext>
            </c:extLst>
          </c:dPt>
          <c:dPt>
            <c:idx val="9"/>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accent4">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3-3F0D-4379-8369-45370AE972F3}"/>
              </c:ext>
            </c:extLst>
          </c:dPt>
          <c:dPt>
            <c:idx val="10"/>
            <c:bubble3D val="0"/>
            <c:spPr>
              <a:gradFill rotWithShape="1">
                <a:gsLst>
                  <a:gs pos="0">
                    <a:schemeClr val="accent5">
                      <a:lumMod val="60000"/>
                      <a:tint val="50000"/>
                      <a:satMod val="300000"/>
                    </a:schemeClr>
                  </a:gs>
                  <a:gs pos="35000">
                    <a:schemeClr val="accent5">
                      <a:lumMod val="60000"/>
                      <a:tint val="37000"/>
                      <a:satMod val="300000"/>
                    </a:schemeClr>
                  </a:gs>
                  <a:gs pos="100000">
                    <a:schemeClr val="accent5">
                      <a:lumMod val="60000"/>
                      <a:tint val="15000"/>
                      <a:satMod val="350000"/>
                    </a:schemeClr>
                  </a:gs>
                </a:gsLst>
                <a:lin ang="16200000" scaled="1"/>
              </a:gradFill>
              <a:ln w="9525" cap="flat" cmpd="sng" algn="ctr">
                <a:solidFill>
                  <a:schemeClr val="accent5">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5-3F0D-4379-8369-45370AE972F3}"/>
              </c:ext>
            </c:extLst>
          </c:dPt>
          <c:dPt>
            <c:idx val="11"/>
            <c:bubble3D val="0"/>
            <c:spPr>
              <a:gradFill rotWithShape="1">
                <a:gsLst>
                  <a:gs pos="0">
                    <a:schemeClr val="accent6">
                      <a:lumMod val="60000"/>
                      <a:tint val="50000"/>
                      <a:satMod val="300000"/>
                    </a:schemeClr>
                  </a:gs>
                  <a:gs pos="35000">
                    <a:schemeClr val="accent6">
                      <a:lumMod val="60000"/>
                      <a:tint val="37000"/>
                      <a:satMod val="300000"/>
                    </a:schemeClr>
                  </a:gs>
                  <a:gs pos="100000">
                    <a:schemeClr val="accent6">
                      <a:lumMod val="60000"/>
                      <a:tint val="15000"/>
                      <a:satMod val="350000"/>
                    </a:schemeClr>
                  </a:gs>
                </a:gsLst>
                <a:lin ang="16200000" scaled="1"/>
              </a:gradFill>
              <a:ln w="9525" cap="flat" cmpd="sng" algn="ctr">
                <a:solidFill>
                  <a:schemeClr val="accent6">
                    <a:lumMod val="6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7-3F0D-4379-8369-45370AE972F3}"/>
              </c:ext>
            </c:extLst>
          </c:dPt>
          <c:dPt>
            <c:idx val="12"/>
            <c:bubble3D val="0"/>
            <c:spPr>
              <a:gradFill rotWithShape="1">
                <a:gsLst>
                  <a:gs pos="0">
                    <a:schemeClr val="accent1">
                      <a:lumMod val="80000"/>
                      <a:lumOff val="20000"/>
                      <a:tint val="50000"/>
                      <a:satMod val="300000"/>
                    </a:schemeClr>
                  </a:gs>
                  <a:gs pos="35000">
                    <a:schemeClr val="accent1">
                      <a:lumMod val="80000"/>
                      <a:lumOff val="20000"/>
                      <a:tint val="37000"/>
                      <a:satMod val="300000"/>
                    </a:schemeClr>
                  </a:gs>
                  <a:gs pos="100000">
                    <a:schemeClr val="accent1">
                      <a:lumMod val="80000"/>
                      <a:lumOff val="20000"/>
                      <a:tint val="15000"/>
                      <a:satMod val="350000"/>
                    </a:schemeClr>
                  </a:gs>
                </a:gsLst>
                <a:lin ang="16200000" scaled="1"/>
              </a:gradFill>
              <a:ln w="9525" cap="flat" cmpd="sng" algn="ctr">
                <a:solidFill>
                  <a:schemeClr val="accent1">
                    <a:lumMod val="80000"/>
                    <a:lumOff val="2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9-3F0D-4379-8369-45370AE972F3}"/>
              </c:ext>
            </c:extLst>
          </c:dPt>
          <c:dPt>
            <c:idx val="13"/>
            <c:bubble3D val="0"/>
            <c:spPr>
              <a:gradFill rotWithShape="1">
                <a:gsLst>
                  <a:gs pos="0">
                    <a:schemeClr val="accent2">
                      <a:lumMod val="80000"/>
                      <a:lumOff val="20000"/>
                      <a:tint val="50000"/>
                      <a:satMod val="300000"/>
                    </a:schemeClr>
                  </a:gs>
                  <a:gs pos="35000">
                    <a:schemeClr val="accent2">
                      <a:lumMod val="80000"/>
                      <a:lumOff val="20000"/>
                      <a:tint val="37000"/>
                      <a:satMod val="300000"/>
                    </a:schemeClr>
                  </a:gs>
                  <a:gs pos="100000">
                    <a:schemeClr val="accent2">
                      <a:lumMod val="80000"/>
                      <a:lumOff val="20000"/>
                      <a:tint val="15000"/>
                      <a:satMod val="350000"/>
                    </a:schemeClr>
                  </a:gs>
                </a:gsLst>
                <a:lin ang="16200000" scaled="1"/>
              </a:gradFill>
              <a:ln w="9525" cap="flat" cmpd="sng" algn="ctr">
                <a:solidFill>
                  <a:schemeClr val="accent2">
                    <a:lumMod val="80000"/>
                    <a:lumOff val="2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B-3F0D-4379-8369-45370AE972F3}"/>
              </c:ext>
            </c:extLst>
          </c:dPt>
          <c:dPt>
            <c:idx val="14"/>
            <c:bubble3D val="0"/>
            <c:spPr>
              <a:gradFill rotWithShape="1">
                <a:gsLst>
                  <a:gs pos="0">
                    <a:schemeClr val="accent3">
                      <a:lumMod val="80000"/>
                      <a:lumOff val="20000"/>
                      <a:tint val="50000"/>
                      <a:satMod val="300000"/>
                    </a:schemeClr>
                  </a:gs>
                  <a:gs pos="35000">
                    <a:schemeClr val="accent3">
                      <a:lumMod val="80000"/>
                      <a:lumOff val="20000"/>
                      <a:tint val="37000"/>
                      <a:satMod val="300000"/>
                    </a:schemeClr>
                  </a:gs>
                  <a:gs pos="100000">
                    <a:schemeClr val="accent3">
                      <a:lumMod val="80000"/>
                      <a:lumOff val="20000"/>
                      <a:tint val="15000"/>
                      <a:satMod val="350000"/>
                    </a:schemeClr>
                  </a:gs>
                </a:gsLst>
                <a:lin ang="16200000" scaled="1"/>
              </a:gradFill>
              <a:ln w="9525" cap="flat" cmpd="sng" algn="ctr">
                <a:solidFill>
                  <a:schemeClr val="accent3">
                    <a:lumMod val="80000"/>
                    <a:lumOff val="20000"/>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1D-3F0D-4379-8369-45370AE972F3}"/>
              </c:ext>
            </c:extLst>
          </c:dPt>
          <c:dLbls>
            <c:dLbl>
              <c:idx val="0"/>
              <c:layout>
                <c:manualLayout>
                  <c:x val="2.090419219214186E-2"/>
                  <c:y val="4.67662006870417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0D-4379-8369-45370AE972F3}"/>
                </c:ext>
              </c:extLst>
            </c:dLbl>
            <c:dLbl>
              <c:idx val="1"/>
              <c:layout>
                <c:manualLayout>
                  <c:x val="-4.0580998370683763E-3"/>
                  <c:y val="-1.71583332849790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F0D-4379-8369-45370AE972F3}"/>
                </c:ext>
              </c:extLst>
            </c:dLbl>
            <c:dLbl>
              <c:idx val="2"/>
              <c:layout>
                <c:manualLayout>
                  <c:x val="1.6400052394549029E-3"/>
                  <c:y val="-2.6415665127701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F0D-4379-8369-45370AE972F3}"/>
                </c:ext>
              </c:extLst>
            </c:dLbl>
            <c:dLbl>
              <c:idx val="3"/>
              <c:layout>
                <c:manualLayout>
                  <c:x val="5.1430182750420161E-3"/>
                  <c:y val="-5.26693783086656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F0D-4379-8369-45370AE972F3}"/>
                </c:ext>
              </c:extLst>
            </c:dLbl>
            <c:dLbl>
              <c:idx val="4"/>
              <c:layout>
                <c:manualLayout>
                  <c:x val="1.2635590091287964E-2"/>
                  <c:y val="2.85503978710220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F0D-4379-8369-45370AE972F3}"/>
                </c:ext>
              </c:extLst>
            </c:dLbl>
            <c:dLbl>
              <c:idx val="5"/>
              <c:layout>
                <c:manualLayout>
                  <c:x val="7.4787524836873065E-2"/>
                  <c:y val="6.62963693650305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F0D-4379-8369-45370AE972F3}"/>
                </c:ext>
              </c:extLst>
            </c:dLbl>
            <c:dLbl>
              <c:idx val="6"/>
              <c:layout>
                <c:manualLayout>
                  <c:x val="5.8618147266374871E-4"/>
                  <c:y val="-0.1008789538487501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F0D-4379-8369-45370AE972F3}"/>
                </c:ext>
              </c:extLst>
            </c:dLbl>
            <c:dLbl>
              <c:idx val="7"/>
              <c:layout>
                <c:manualLayout>
                  <c:x val="7.2522944136288025E-3"/>
                  <c:y val="-0.121515481381261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F0D-4379-8369-45370AE972F3}"/>
                </c:ext>
              </c:extLst>
            </c:dLbl>
            <c:dLbl>
              <c:idx val="8"/>
              <c:layout>
                <c:manualLayout>
                  <c:x val="1.5418119905810794E-2"/>
                  <c:y val="-0.110314355922162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F0D-4379-8369-45370AE972F3}"/>
                </c:ext>
              </c:extLst>
            </c:dLbl>
            <c:dLbl>
              <c:idx val="9"/>
              <c:layout>
                <c:manualLayout>
                  <c:x val="4.2091645326124659E-2"/>
                  <c:y val="-8.49018985317588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F0D-4379-8369-45370AE972F3}"/>
                </c:ext>
              </c:extLst>
            </c:dLbl>
            <c:dLbl>
              <c:idx val="10"/>
              <c:layout>
                <c:manualLayout>
                  <c:x val="4.5327916127772795E-2"/>
                  <c:y val="-5.14756388693226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F0D-4379-8369-45370AE972F3}"/>
                </c:ext>
              </c:extLst>
            </c:dLbl>
            <c:dLbl>
              <c:idx val="11"/>
              <c:layout>
                <c:manualLayout>
                  <c:x val="7.6225228627060285E-2"/>
                  <c:y val="-9.581411571612409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3F0D-4379-8369-45370AE972F3}"/>
                </c:ext>
              </c:extLst>
            </c:dLbl>
            <c:dLbl>
              <c:idx val="12"/>
              <c:layout>
                <c:manualLayout>
                  <c:x val="8.2209654044745117E-2"/>
                  <c:y val="3.5909976492665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3F0D-4379-8369-45370AE972F3}"/>
                </c:ext>
              </c:extLst>
            </c:dLbl>
            <c:dLbl>
              <c:idx val="13"/>
              <c:layout>
                <c:manualLayout>
                  <c:x val="5.0162313754476523E-2"/>
                  <c:y val="0.100717390742220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3F0D-4379-8369-45370AE972F3}"/>
                </c:ext>
              </c:extLst>
            </c:dLbl>
            <c:dLbl>
              <c:idx val="14"/>
              <c:tx>
                <c:rich>
                  <a:bodyPr/>
                  <a:lstStyle/>
                  <a:p>
                    <a:r>
                      <a:rPr lang="en-US" baseline="0"/>
                      <a:t>Pārējie
</a:t>
                    </a:r>
                    <a:fld id="{89E4AEB9-D19D-4E61-9D02-F4C7B6A1689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3F0D-4379-8369-45370AE972F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lv-LV"/>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Sheet2!$A$2:$A$15</c:f>
              <c:strCache>
                <c:ptCount val="14"/>
                <c:pt idx="0">
                  <c:v>Būvdarbi</c:v>
                </c:pt>
                <c:pt idx="1">
                  <c:v>Pārtika un ēdināšanas pakalpojumi</c:v>
                </c:pt>
                <c:pt idx="2">
                  <c:v>Tīrīšanas līdzekļi un pakalpojumi</c:v>
                </c:pt>
                <c:pt idx="3">
                  <c:v>Transports</c:v>
                </c:pt>
                <c:pt idx="4">
                  <c:v>Mežsaimniecība</c:v>
                </c:pt>
                <c:pt idx="5">
                  <c:v>Datortehnika un IKT</c:v>
                </c:pt>
                <c:pt idx="6">
                  <c:v>Ielu apgaismojums un satiksmes signāli</c:v>
                </c:pt>
                <c:pt idx="7">
                  <c:v>Dārzkopības produkti un pakalpojumi</c:v>
                </c:pt>
                <c:pt idx="8">
                  <c:v>Mēbeles</c:v>
                </c:pt>
                <c:pt idx="9">
                  <c:v>Inženiertehniskā projektēšana</c:v>
                </c:pt>
                <c:pt idx="10">
                  <c:v>Veselības aprūpes iekārtas</c:v>
                </c:pt>
                <c:pt idx="11">
                  <c:v>Elektroenerģija</c:v>
                </c:pt>
                <c:pt idx="12">
                  <c:v>Biroja papīrs</c:v>
                </c:pt>
                <c:pt idx="13">
                  <c:v>Iekštelpu apgaismojums</c:v>
                </c:pt>
              </c:strCache>
            </c:strRef>
          </c:cat>
          <c:val>
            <c:numRef>
              <c:f>Sheet2!$G$2:$G$15</c:f>
              <c:numCache>
                <c:formatCode>#,##0</c:formatCode>
                <c:ptCount val="14"/>
                <c:pt idx="0">
                  <c:v>272546091</c:v>
                </c:pt>
                <c:pt idx="1">
                  <c:v>125918677</c:v>
                </c:pt>
                <c:pt idx="2">
                  <c:v>18829771</c:v>
                </c:pt>
                <c:pt idx="3">
                  <c:v>17617278</c:v>
                </c:pt>
                <c:pt idx="4">
                  <c:v>6024758</c:v>
                </c:pt>
                <c:pt idx="5">
                  <c:v>2999257</c:v>
                </c:pt>
                <c:pt idx="6">
                  <c:v>1277250</c:v>
                </c:pt>
                <c:pt idx="7">
                  <c:v>1251483</c:v>
                </c:pt>
                <c:pt idx="8">
                  <c:v>545971</c:v>
                </c:pt>
                <c:pt idx="9">
                  <c:v>412336</c:v>
                </c:pt>
                <c:pt idx="10">
                  <c:v>365707</c:v>
                </c:pt>
                <c:pt idx="11">
                  <c:v>309424</c:v>
                </c:pt>
                <c:pt idx="12">
                  <c:v>211302</c:v>
                </c:pt>
                <c:pt idx="13">
                  <c:v>28492</c:v>
                </c:pt>
              </c:numCache>
            </c:numRef>
          </c:val>
          <c:extLst>
            <c:ext xmlns:c16="http://schemas.microsoft.com/office/drawing/2014/chart" uri="{C3380CC4-5D6E-409C-BE32-E72D297353CC}">
              <c16:uniqueId val="{0000001E-3F0D-4379-8369-45370AE972F3}"/>
            </c:ext>
          </c:extLst>
        </c:ser>
        <c:dLbls>
          <c:showLegendKey val="0"/>
          <c:showVal val="0"/>
          <c:showCatName val="0"/>
          <c:showSerName val="0"/>
          <c:showPercent val="0"/>
          <c:showBubbleSize val="0"/>
          <c:showLeaderLines val="1"/>
        </c:dLbls>
        <c:gapWidth val="50"/>
        <c:splitType val="percent"/>
        <c:splitPos val="3"/>
        <c:secondPieSize val="50"/>
        <c:serLines>
          <c:spPr>
            <a:ln w="9525">
              <a:solidFill>
                <a:schemeClr val="tx1">
                  <a:lumMod val="35000"/>
                  <a:lumOff val="65000"/>
                </a:schemeClr>
              </a:solidFill>
              <a:prstDash val="dash"/>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3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59946-10DA-4AF4-AB06-3B1C1A95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23175</Words>
  <Characters>13211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Par zaļā iepirkuma īstenošanu valsts pārvaldē 2019. gadā</vt:lpstr>
    </vt:vector>
  </TitlesOfParts>
  <Company>VARAM</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zaļā iepirkuma īstenošanu valsts pārvaldē 2019. gadā</dc:title>
  <dc:subject>Informatīvais ziņojums</dc:subject>
  <dc:creator>Zigmārs Legzdiņš</dc:creator>
  <dc:description>67026590; Zigmars.Legzdins@varam.gov.lv</dc:description>
  <cp:lastModifiedBy>Madara Gaile</cp:lastModifiedBy>
  <cp:revision>6</cp:revision>
  <cp:lastPrinted>2020-03-04T11:55:00Z</cp:lastPrinted>
  <dcterms:created xsi:type="dcterms:W3CDTF">2020-04-14T06:14:00Z</dcterms:created>
  <dcterms:modified xsi:type="dcterms:W3CDTF">2020-04-14T10:44:00Z</dcterms:modified>
  <cp:contentStatus/>
</cp:coreProperties>
</file>