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A855" w14:textId="4EF72EED" w:rsidR="00EB64D1" w:rsidRDefault="00F15799" w:rsidP="00EB64D1">
      <w:pPr>
        <w:jc w:val="center"/>
        <w:rPr>
          <w:b/>
          <w:sz w:val="28"/>
          <w:szCs w:val="28"/>
        </w:rPr>
      </w:pPr>
      <w:r w:rsidRPr="003338DA">
        <w:rPr>
          <w:b/>
          <w:bCs/>
          <w:sz w:val="28"/>
          <w:szCs w:val="28"/>
        </w:rPr>
        <w:t>Ministru kabineta rīkojuma</w:t>
      </w:r>
      <w:r w:rsidR="00171DE8">
        <w:rPr>
          <w:b/>
          <w:bCs/>
          <w:sz w:val="28"/>
          <w:szCs w:val="28"/>
        </w:rPr>
        <w:t xml:space="preserve"> </w:t>
      </w:r>
      <w:r w:rsidR="009C2E43">
        <w:rPr>
          <w:b/>
          <w:bCs/>
          <w:sz w:val="28"/>
          <w:szCs w:val="28"/>
        </w:rPr>
        <w:t xml:space="preserve">projekta </w:t>
      </w:r>
      <w:r w:rsidR="00024CBF">
        <w:rPr>
          <w:b/>
          <w:bCs/>
          <w:sz w:val="28"/>
          <w:szCs w:val="28"/>
        </w:rPr>
        <w:t>"</w:t>
      </w:r>
      <w:r w:rsidR="00EB64D1">
        <w:rPr>
          <w:b/>
          <w:sz w:val="28"/>
          <w:szCs w:val="28"/>
        </w:rPr>
        <w:t>Grozījumi Ministru kabineta 2017. gada 25.</w:t>
      </w:r>
      <w:r w:rsidR="00024CBF">
        <w:rPr>
          <w:b/>
          <w:sz w:val="28"/>
          <w:szCs w:val="28"/>
        </w:rPr>
        <w:t> </w:t>
      </w:r>
      <w:r w:rsidR="00EB64D1">
        <w:rPr>
          <w:b/>
          <w:sz w:val="28"/>
          <w:szCs w:val="28"/>
        </w:rPr>
        <w:t>septembra rīkojumā Nr. 532 "</w:t>
      </w:r>
      <w:r w:rsidR="00EB64D1" w:rsidRPr="00B4504B">
        <w:rPr>
          <w:b/>
          <w:sz w:val="28"/>
          <w:szCs w:val="28"/>
        </w:rPr>
        <w:t>Par informācijas sabiedrības attīstības pamatnostādņu ieviešanu publiskās pārvaldes informācijas sistēmu jomā (</w:t>
      </w:r>
      <w:proofErr w:type="spellStart"/>
      <w:r w:rsidR="00EB64D1" w:rsidRPr="00B4504B">
        <w:rPr>
          <w:b/>
          <w:sz w:val="28"/>
          <w:szCs w:val="28"/>
        </w:rPr>
        <w:t>mērķarhitektūras</w:t>
      </w:r>
      <w:proofErr w:type="spellEnd"/>
      <w:r w:rsidR="00EB64D1" w:rsidRPr="00B4504B">
        <w:rPr>
          <w:b/>
          <w:sz w:val="28"/>
          <w:szCs w:val="28"/>
        </w:rPr>
        <w:t xml:space="preserve"> 21.0. versija)"</w:t>
      </w:r>
      <w:r w:rsidR="00024CBF">
        <w:rPr>
          <w:b/>
          <w:sz w:val="28"/>
          <w:szCs w:val="28"/>
        </w:rPr>
        <w:t>"</w:t>
      </w:r>
    </w:p>
    <w:p w14:paraId="0DE03F95" w14:textId="638F214D" w:rsidR="00B559D5" w:rsidRDefault="00F15799" w:rsidP="00744A3E">
      <w:pPr>
        <w:jc w:val="center"/>
        <w:rPr>
          <w:b/>
          <w:bCs/>
          <w:sz w:val="28"/>
          <w:szCs w:val="28"/>
          <w:lang w:eastAsia="en-US"/>
        </w:rPr>
      </w:pPr>
      <w:r w:rsidRPr="003338DA">
        <w:rPr>
          <w:b/>
          <w:bCs/>
          <w:sz w:val="28"/>
          <w:szCs w:val="28"/>
        </w:rPr>
        <w:t>sākotnējās</w:t>
      </w:r>
      <w:r w:rsidRPr="003338DA">
        <w:rPr>
          <w:b/>
          <w:bCs/>
          <w:sz w:val="28"/>
          <w:szCs w:val="28"/>
          <w:lang w:eastAsia="en-US"/>
        </w:rPr>
        <w:t xml:space="preserve"> ietekmes novērtējuma ziņojums (anotācija)</w:t>
      </w:r>
    </w:p>
    <w:p w14:paraId="04FD67DC" w14:textId="77777777" w:rsidR="00024CBF" w:rsidRPr="00C15B8F" w:rsidRDefault="00024CBF" w:rsidP="00744A3E">
      <w:pPr>
        <w:jc w:val="center"/>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7"/>
        <w:gridCol w:w="5856"/>
      </w:tblGrid>
      <w:tr w:rsidR="004940F6" w14:paraId="2033DA32" w14:textId="77777777" w:rsidTr="00024CBF">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6EF3F611" w14:textId="77777777" w:rsidR="00B559D5" w:rsidRPr="00836FE4" w:rsidRDefault="00F15799" w:rsidP="00262DE5">
            <w:pPr>
              <w:jc w:val="center"/>
              <w:rPr>
                <w:b/>
                <w:bCs/>
                <w:iCs/>
                <w:color w:val="000000" w:themeColor="text1"/>
                <w:lang w:eastAsia="lv-LV"/>
              </w:rPr>
            </w:pPr>
            <w:r w:rsidRPr="00836FE4">
              <w:rPr>
                <w:b/>
                <w:bCs/>
                <w:iCs/>
                <w:color w:val="000000" w:themeColor="text1"/>
                <w:lang w:eastAsia="lv-LV"/>
              </w:rPr>
              <w:t>Tiesību akta projekta anotācijas kopsavilkums</w:t>
            </w:r>
          </w:p>
        </w:tc>
      </w:tr>
      <w:tr w:rsidR="004940F6" w14:paraId="4E3A55C6" w14:textId="77777777" w:rsidTr="00024CBF">
        <w:trPr>
          <w:tblCellSpacing w:w="15" w:type="dxa"/>
        </w:trPr>
        <w:tc>
          <w:tcPr>
            <w:tcW w:w="1697" w:type="pct"/>
            <w:tcBorders>
              <w:top w:val="outset" w:sz="6" w:space="0" w:color="auto"/>
              <w:left w:val="outset" w:sz="6" w:space="0" w:color="auto"/>
              <w:bottom w:val="outset" w:sz="6" w:space="0" w:color="auto"/>
              <w:right w:val="outset" w:sz="6" w:space="0" w:color="auto"/>
            </w:tcBorders>
            <w:hideMark/>
          </w:tcPr>
          <w:p w14:paraId="004678EC" w14:textId="77777777" w:rsidR="00B559D5" w:rsidRPr="00836FE4" w:rsidRDefault="00F15799" w:rsidP="00262DE5">
            <w:pPr>
              <w:rPr>
                <w:iCs/>
                <w:color w:val="000000" w:themeColor="text1"/>
                <w:lang w:eastAsia="lv-LV"/>
              </w:rPr>
            </w:pPr>
            <w:r w:rsidRPr="00836FE4">
              <w:rPr>
                <w:iCs/>
                <w:color w:val="000000" w:themeColor="text1"/>
                <w:lang w:eastAsia="lv-LV"/>
              </w:rPr>
              <w:t>Mērķis, risinājums un projekta spēkā stāšanās laiks (500 zīmes bez atstarpēm)</w:t>
            </w:r>
          </w:p>
        </w:tc>
        <w:tc>
          <w:tcPr>
            <w:tcW w:w="3259" w:type="pct"/>
            <w:tcBorders>
              <w:top w:val="outset" w:sz="6" w:space="0" w:color="auto"/>
              <w:left w:val="outset" w:sz="6" w:space="0" w:color="auto"/>
              <w:bottom w:val="outset" w:sz="6" w:space="0" w:color="auto"/>
              <w:right w:val="outset" w:sz="6" w:space="0" w:color="auto"/>
            </w:tcBorders>
            <w:hideMark/>
          </w:tcPr>
          <w:p w14:paraId="59F95BF3" w14:textId="0FEE3400" w:rsidR="00640AD9" w:rsidRPr="00744A3E" w:rsidRDefault="00F15799" w:rsidP="003B64FD">
            <w:pPr>
              <w:pStyle w:val="VPTitle"/>
              <w:spacing w:before="0" w:after="120" w:line="240" w:lineRule="auto"/>
              <w:jc w:val="both"/>
              <w:rPr>
                <w:rFonts w:ascii="Times New Roman" w:hAnsi="Times New Roman" w:cs="Times New Roman"/>
                <w:b w:val="0"/>
                <w:bCs w:val="0"/>
                <w:spacing w:val="0"/>
                <w:kern w:val="0"/>
                <w:sz w:val="24"/>
                <w:szCs w:val="24"/>
                <w:lang w:eastAsia="en-US"/>
              </w:rPr>
            </w:pPr>
            <w:r w:rsidRPr="00744A3E">
              <w:rPr>
                <w:rFonts w:ascii="Times New Roman" w:hAnsi="Times New Roman" w:cs="Times New Roman"/>
                <w:b w:val="0"/>
                <w:bCs w:val="0"/>
                <w:spacing w:val="0"/>
                <w:kern w:val="0"/>
                <w:sz w:val="24"/>
                <w:szCs w:val="24"/>
                <w:lang w:eastAsia="en-US"/>
              </w:rPr>
              <w:t xml:space="preserve">Ar </w:t>
            </w:r>
            <w:r w:rsidR="00160AC1" w:rsidRPr="00744A3E">
              <w:rPr>
                <w:rFonts w:ascii="Times New Roman" w:hAnsi="Times New Roman" w:cs="Times New Roman"/>
                <w:b w:val="0"/>
                <w:bCs w:val="0"/>
                <w:spacing w:val="0"/>
                <w:kern w:val="0"/>
                <w:sz w:val="24"/>
                <w:szCs w:val="24"/>
                <w:lang w:eastAsia="en-US"/>
              </w:rPr>
              <w:t xml:space="preserve">grozījumu </w:t>
            </w:r>
            <w:r w:rsidR="00744A3E" w:rsidRPr="00744A3E">
              <w:rPr>
                <w:rFonts w:ascii="Times New Roman" w:hAnsi="Times New Roman" w:cs="Times New Roman"/>
                <w:b w:val="0"/>
                <w:sz w:val="24"/>
                <w:szCs w:val="24"/>
              </w:rPr>
              <w:t>projekta "</w:t>
            </w:r>
            <w:r w:rsidR="00276992" w:rsidRPr="00276992">
              <w:rPr>
                <w:rFonts w:ascii="Times New Roman" w:hAnsi="Times New Roman" w:cs="Times New Roman"/>
                <w:b w:val="0"/>
                <w:sz w:val="24"/>
                <w:szCs w:val="24"/>
              </w:rPr>
              <w:t>Tiesu medicīnas ekspertīzes un izpētes procesu optimizācija un attīstība</w:t>
            </w:r>
            <w:r w:rsidR="00744A3E" w:rsidRPr="00744A3E">
              <w:rPr>
                <w:rFonts w:ascii="Times New Roman" w:hAnsi="Times New Roman" w:cs="Times New Roman"/>
                <w:b w:val="0"/>
                <w:sz w:val="24"/>
                <w:szCs w:val="24"/>
              </w:rPr>
              <w:t>" aprakstā</w:t>
            </w:r>
            <w:r w:rsidR="00744A3E" w:rsidRPr="00744A3E">
              <w:rPr>
                <w:rFonts w:ascii="Times New Roman" w:hAnsi="Times New Roman" w:cs="Times New Roman"/>
                <w:b w:val="0"/>
                <w:bCs w:val="0"/>
                <w:sz w:val="24"/>
                <w:szCs w:val="24"/>
              </w:rPr>
              <w:t xml:space="preserve">, kas apstiprināts ar </w:t>
            </w:r>
            <w:r w:rsidR="00160AC1" w:rsidRPr="00744A3E">
              <w:rPr>
                <w:rFonts w:ascii="Times New Roman" w:hAnsi="Times New Roman" w:cs="Times New Roman"/>
                <w:b w:val="0"/>
                <w:bCs w:val="0"/>
                <w:spacing w:val="0"/>
                <w:kern w:val="0"/>
                <w:sz w:val="24"/>
                <w:szCs w:val="24"/>
                <w:lang w:eastAsia="en-US"/>
              </w:rPr>
              <w:t xml:space="preserve">Ministru kabineta </w:t>
            </w:r>
            <w:r w:rsidR="00160AC1" w:rsidRPr="00744A3E">
              <w:rPr>
                <w:rFonts w:ascii="Times New Roman" w:hAnsi="Times New Roman" w:cs="Times New Roman"/>
                <w:b w:val="0"/>
                <w:sz w:val="24"/>
                <w:szCs w:val="24"/>
              </w:rPr>
              <w:t>201</w:t>
            </w:r>
            <w:r w:rsidR="00276992">
              <w:rPr>
                <w:rFonts w:ascii="Times New Roman" w:hAnsi="Times New Roman" w:cs="Times New Roman"/>
                <w:b w:val="0"/>
                <w:sz w:val="24"/>
                <w:szCs w:val="24"/>
              </w:rPr>
              <w:t>7</w:t>
            </w:r>
            <w:r w:rsidR="00160AC1" w:rsidRPr="00744A3E">
              <w:rPr>
                <w:rFonts w:ascii="Times New Roman" w:hAnsi="Times New Roman" w:cs="Times New Roman"/>
                <w:b w:val="0"/>
                <w:sz w:val="24"/>
                <w:szCs w:val="24"/>
              </w:rPr>
              <w:t xml:space="preserve">.g. </w:t>
            </w:r>
            <w:r w:rsidR="00276992">
              <w:rPr>
                <w:rFonts w:ascii="Times New Roman" w:hAnsi="Times New Roman" w:cs="Times New Roman"/>
                <w:b w:val="0"/>
                <w:sz w:val="24"/>
                <w:szCs w:val="24"/>
              </w:rPr>
              <w:t>25.septembra</w:t>
            </w:r>
            <w:r w:rsidR="00160AC1" w:rsidRPr="00744A3E">
              <w:rPr>
                <w:rFonts w:ascii="Times New Roman" w:hAnsi="Times New Roman" w:cs="Times New Roman"/>
                <w:b w:val="0"/>
                <w:sz w:val="24"/>
                <w:szCs w:val="24"/>
              </w:rPr>
              <w:t xml:space="preserve"> rīkojum</w:t>
            </w:r>
            <w:r w:rsidR="00744A3E" w:rsidRPr="00744A3E">
              <w:rPr>
                <w:rFonts w:ascii="Times New Roman" w:hAnsi="Times New Roman" w:cs="Times New Roman"/>
                <w:b w:val="0"/>
                <w:sz w:val="24"/>
                <w:szCs w:val="24"/>
              </w:rPr>
              <w:t>u</w:t>
            </w:r>
            <w:r w:rsidR="00160AC1" w:rsidRPr="00744A3E">
              <w:rPr>
                <w:rFonts w:ascii="Times New Roman" w:hAnsi="Times New Roman" w:cs="Times New Roman"/>
                <w:b w:val="0"/>
                <w:sz w:val="24"/>
                <w:szCs w:val="24"/>
              </w:rPr>
              <w:t xml:space="preserve"> Nr.5</w:t>
            </w:r>
            <w:r w:rsidR="00276992">
              <w:rPr>
                <w:rFonts w:ascii="Times New Roman" w:hAnsi="Times New Roman" w:cs="Times New Roman"/>
                <w:b w:val="0"/>
                <w:sz w:val="24"/>
                <w:szCs w:val="24"/>
              </w:rPr>
              <w:t>32</w:t>
            </w:r>
            <w:r w:rsidR="00160AC1" w:rsidRPr="00744A3E">
              <w:rPr>
                <w:rFonts w:ascii="Times New Roman" w:hAnsi="Times New Roman" w:cs="Times New Roman"/>
                <w:b w:val="0"/>
                <w:sz w:val="24"/>
                <w:szCs w:val="24"/>
              </w:rPr>
              <w:t xml:space="preserve"> “</w:t>
            </w:r>
            <w:r w:rsidR="00160AC1" w:rsidRPr="00744A3E">
              <w:rPr>
                <w:rFonts w:ascii="Times New Roman" w:hAnsi="Times New Roman" w:cs="Times New Roman"/>
                <w:b w:val="0"/>
                <w:bCs w:val="0"/>
                <w:sz w:val="24"/>
                <w:szCs w:val="24"/>
                <w:lang w:eastAsia="zh-CN"/>
              </w:rPr>
              <w:t>Par informācijas sabiedrības attīstības pamatnostādņu ieviešanu publiskās pārvaldes informācijas sistēmu jomā (</w:t>
            </w:r>
            <w:proofErr w:type="spellStart"/>
            <w:r w:rsidR="00160AC1" w:rsidRPr="00744A3E">
              <w:rPr>
                <w:rFonts w:ascii="Times New Roman" w:hAnsi="Times New Roman" w:cs="Times New Roman"/>
                <w:b w:val="0"/>
                <w:bCs w:val="0"/>
                <w:sz w:val="24"/>
                <w:szCs w:val="24"/>
                <w:lang w:eastAsia="zh-CN"/>
              </w:rPr>
              <w:t>mērķarhitektūras</w:t>
            </w:r>
            <w:proofErr w:type="spellEnd"/>
            <w:r w:rsidR="00160AC1" w:rsidRPr="00744A3E">
              <w:rPr>
                <w:rFonts w:ascii="Times New Roman" w:hAnsi="Times New Roman" w:cs="Times New Roman"/>
                <w:b w:val="0"/>
                <w:bCs w:val="0"/>
                <w:sz w:val="24"/>
                <w:szCs w:val="24"/>
                <w:lang w:eastAsia="zh-CN"/>
              </w:rPr>
              <w:t xml:space="preserve"> </w:t>
            </w:r>
            <w:r w:rsidR="00276992">
              <w:rPr>
                <w:rFonts w:ascii="Times New Roman" w:hAnsi="Times New Roman" w:cs="Times New Roman"/>
                <w:b w:val="0"/>
                <w:bCs w:val="0"/>
                <w:sz w:val="24"/>
                <w:szCs w:val="24"/>
                <w:lang w:eastAsia="zh-CN"/>
              </w:rPr>
              <w:t>21</w:t>
            </w:r>
            <w:r w:rsidR="00160AC1" w:rsidRPr="00744A3E">
              <w:rPr>
                <w:rFonts w:ascii="Times New Roman" w:hAnsi="Times New Roman" w:cs="Times New Roman"/>
                <w:b w:val="0"/>
                <w:bCs w:val="0"/>
                <w:sz w:val="24"/>
                <w:szCs w:val="24"/>
                <w:lang w:eastAsia="zh-CN"/>
              </w:rPr>
              <w:t xml:space="preserve">.0. </w:t>
            </w:r>
            <w:bookmarkStart w:id="0" w:name="_GoBack"/>
            <w:bookmarkEnd w:id="0"/>
            <w:r w:rsidR="00160AC1" w:rsidRPr="00744A3E">
              <w:rPr>
                <w:rFonts w:ascii="Times New Roman" w:hAnsi="Times New Roman" w:cs="Times New Roman"/>
                <w:b w:val="0"/>
                <w:bCs w:val="0"/>
                <w:sz w:val="24"/>
                <w:szCs w:val="24"/>
                <w:lang w:eastAsia="zh-CN"/>
              </w:rPr>
              <w:t>versija)</w:t>
            </w:r>
            <w:r w:rsidR="00160AC1" w:rsidRPr="00744A3E">
              <w:rPr>
                <w:rFonts w:ascii="Times New Roman" w:hAnsi="Times New Roman" w:cs="Times New Roman"/>
                <w:b w:val="0"/>
                <w:sz w:val="24"/>
                <w:szCs w:val="24"/>
              </w:rPr>
              <w:t>”</w:t>
            </w:r>
            <w:r w:rsidR="00744A3E" w:rsidRPr="00744A3E">
              <w:rPr>
                <w:rFonts w:ascii="Times New Roman" w:hAnsi="Times New Roman" w:cs="Times New Roman"/>
                <w:b w:val="0"/>
                <w:sz w:val="24"/>
                <w:szCs w:val="24"/>
              </w:rPr>
              <w:t>,</w:t>
            </w:r>
            <w:r w:rsidR="00160AC1" w:rsidRPr="00744A3E">
              <w:rPr>
                <w:rFonts w:ascii="Times New Roman" w:hAnsi="Times New Roman" w:cs="Times New Roman"/>
                <w:b w:val="0"/>
                <w:sz w:val="24"/>
                <w:szCs w:val="24"/>
              </w:rPr>
              <w:t xml:space="preserve"> </w:t>
            </w:r>
            <w:r w:rsidRPr="00744A3E">
              <w:rPr>
                <w:rFonts w:ascii="Times New Roman" w:hAnsi="Times New Roman" w:cs="Times New Roman"/>
                <w:b w:val="0"/>
                <w:bCs w:val="0"/>
                <w:spacing w:val="0"/>
                <w:kern w:val="0"/>
                <w:sz w:val="24"/>
                <w:szCs w:val="24"/>
                <w:lang w:eastAsia="en-US"/>
              </w:rPr>
              <w:t xml:space="preserve">tiek </w:t>
            </w:r>
            <w:r w:rsidR="006D577A" w:rsidRPr="00744A3E">
              <w:rPr>
                <w:rFonts w:ascii="Times New Roman" w:hAnsi="Times New Roman" w:cs="Times New Roman"/>
                <w:b w:val="0"/>
                <w:bCs w:val="0"/>
                <w:spacing w:val="0"/>
                <w:kern w:val="0"/>
                <w:sz w:val="24"/>
                <w:szCs w:val="24"/>
                <w:lang w:eastAsia="en-US"/>
              </w:rPr>
              <w:t>pagarināts</w:t>
            </w:r>
            <w:r w:rsidR="00640AD9" w:rsidRPr="00744A3E">
              <w:rPr>
                <w:rFonts w:ascii="Times New Roman" w:hAnsi="Times New Roman" w:cs="Times New Roman"/>
                <w:b w:val="0"/>
                <w:bCs w:val="0"/>
                <w:spacing w:val="0"/>
                <w:kern w:val="0"/>
                <w:sz w:val="24"/>
                <w:szCs w:val="24"/>
                <w:lang w:eastAsia="en-US"/>
              </w:rPr>
              <w:t xml:space="preserve"> IKT </w:t>
            </w:r>
            <w:proofErr w:type="spellStart"/>
            <w:r w:rsidR="00640AD9" w:rsidRPr="00744A3E">
              <w:rPr>
                <w:rFonts w:ascii="Times New Roman" w:hAnsi="Times New Roman" w:cs="Times New Roman"/>
                <w:b w:val="0"/>
                <w:bCs w:val="0"/>
                <w:spacing w:val="0"/>
                <w:kern w:val="0"/>
                <w:sz w:val="24"/>
                <w:szCs w:val="24"/>
                <w:lang w:eastAsia="en-US"/>
              </w:rPr>
              <w:t>mērķarhitektūrā</w:t>
            </w:r>
            <w:proofErr w:type="spellEnd"/>
            <w:r w:rsidR="00640AD9" w:rsidRPr="00744A3E">
              <w:rPr>
                <w:rFonts w:ascii="Times New Roman" w:hAnsi="Times New Roman" w:cs="Times New Roman"/>
                <w:b w:val="0"/>
                <w:bCs w:val="0"/>
                <w:spacing w:val="0"/>
                <w:kern w:val="0"/>
                <w:sz w:val="24"/>
                <w:szCs w:val="24"/>
                <w:lang w:eastAsia="en-US"/>
              </w:rPr>
              <w:t xml:space="preserve"> (</w:t>
            </w:r>
            <w:proofErr w:type="spellStart"/>
            <w:r w:rsidR="00640AD9" w:rsidRPr="00744A3E">
              <w:rPr>
                <w:rFonts w:ascii="Times New Roman" w:hAnsi="Times New Roman" w:cs="Times New Roman"/>
                <w:b w:val="0"/>
                <w:bCs w:val="0"/>
                <w:spacing w:val="0"/>
                <w:kern w:val="0"/>
                <w:sz w:val="24"/>
                <w:szCs w:val="24"/>
                <w:lang w:eastAsia="en-US"/>
              </w:rPr>
              <w:t>mērķarhitektūras</w:t>
            </w:r>
            <w:proofErr w:type="spellEnd"/>
            <w:r w:rsidR="00640AD9" w:rsidRPr="00744A3E">
              <w:rPr>
                <w:rFonts w:ascii="Times New Roman" w:hAnsi="Times New Roman" w:cs="Times New Roman"/>
                <w:b w:val="0"/>
                <w:bCs w:val="0"/>
                <w:spacing w:val="0"/>
                <w:kern w:val="0"/>
                <w:sz w:val="24"/>
                <w:szCs w:val="24"/>
                <w:lang w:eastAsia="en-US"/>
              </w:rPr>
              <w:t xml:space="preserve"> </w:t>
            </w:r>
            <w:r w:rsidR="00276992">
              <w:rPr>
                <w:rFonts w:ascii="Times New Roman" w:hAnsi="Times New Roman" w:cs="Times New Roman"/>
                <w:b w:val="0"/>
                <w:bCs w:val="0"/>
                <w:spacing w:val="0"/>
                <w:kern w:val="0"/>
                <w:sz w:val="24"/>
                <w:szCs w:val="24"/>
                <w:lang w:eastAsia="en-US"/>
              </w:rPr>
              <w:t>21.0</w:t>
            </w:r>
            <w:r w:rsidR="00640AD9" w:rsidRPr="00744A3E">
              <w:rPr>
                <w:rFonts w:ascii="Times New Roman" w:hAnsi="Times New Roman" w:cs="Times New Roman"/>
                <w:b w:val="0"/>
                <w:bCs w:val="0"/>
                <w:spacing w:val="0"/>
                <w:kern w:val="0"/>
                <w:sz w:val="24"/>
                <w:szCs w:val="24"/>
                <w:lang w:eastAsia="en-US"/>
              </w:rPr>
              <w:t xml:space="preserve">.versija) iekļautā </w:t>
            </w:r>
            <w:r w:rsidR="00276992">
              <w:rPr>
                <w:rFonts w:ascii="Times New Roman" w:hAnsi="Times New Roman" w:cs="Times New Roman"/>
                <w:b w:val="0"/>
                <w:bCs w:val="0"/>
                <w:spacing w:val="0"/>
                <w:kern w:val="0"/>
                <w:sz w:val="24"/>
                <w:szCs w:val="24"/>
                <w:lang w:eastAsia="en-US"/>
              </w:rPr>
              <w:t>Valsts tiesu medicīnas ekspertīzes centra</w:t>
            </w:r>
            <w:r w:rsidR="00640AD9" w:rsidRPr="00744A3E">
              <w:rPr>
                <w:rFonts w:ascii="Times New Roman" w:hAnsi="Times New Roman" w:cs="Times New Roman"/>
                <w:b w:val="0"/>
                <w:bCs w:val="0"/>
                <w:spacing w:val="0"/>
                <w:kern w:val="0"/>
                <w:sz w:val="24"/>
                <w:szCs w:val="24"/>
                <w:lang w:eastAsia="en-US"/>
              </w:rPr>
              <w:t xml:space="preserve"> projekta “</w:t>
            </w:r>
            <w:r w:rsidR="00276992" w:rsidRPr="00276992">
              <w:rPr>
                <w:rFonts w:ascii="Times New Roman" w:hAnsi="Times New Roman" w:cs="Times New Roman"/>
                <w:b w:val="0"/>
                <w:sz w:val="24"/>
                <w:szCs w:val="24"/>
              </w:rPr>
              <w:t>Tiesu medicīnas ekspertīzes un izpētes procesu optimizācija un attīstīb</w:t>
            </w:r>
            <w:r w:rsidR="00276992">
              <w:rPr>
                <w:rFonts w:ascii="Times New Roman" w:hAnsi="Times New Roman" w:cs="Times New Roman"/>
                <w:b w:val="0"/>
                <w:sz w:val="24"/>
                <w:szCs w:val="24"/>
              </w:rPr>
              <w:t>a</w:t>
            </w:r>
            <w:r w:rsidR="00640AD9" w:rsidRPr="00744A3E">
              <w:rPr>
                <w:rFonts w:ascii="Times New Roman" w:hAnsi="Times New Roman" w:cs="Times New Roman"/>
                <w:b w:val="0"/>
                <w:bCs w:val="0"/>
                <w:spacing w:val="0"/>
                <w:kern w:val="0"/>
                <w:sz w:val="24"/>
                <w:szCs w:val="24"/>
                <w:lang w:eastAsia="en-US"/>
              </w:rPr>
              <w:t>”</w:t>
            </w:r>
            <w:r w:rsidR="00E46664" w:rsidRPr="00744A3E">
              <w:rPr>
                <w:rFonts w:ascii="Times New Roman" w:hAnsi="Times New Roman" w:cs="Times New Roman"/>
                <w:b w:val="0"/>
                <w:bCs w:val="0"/>
                <w:spacing w:val="0"/>
                <w:kern w:val="0"/>
                <w:sz w:val="24"/>
                <w:szCs w:val="24"/>
                <w:lang w:eastAsia="en-US"/>
              </w:rPr>
              <w:t xml:space="preserve"> (turpmāk - Projekts)</w:t>
            </w:r>
            <w:r w:rsidR="00640AD9" w:rsidRPr="00744A3E">
              <w:rPr>
                <w:rFonts w:ascii="Times New Roman" w:hAnsi="Times New Roman" w:cs="Times New Roman"/>
                <w:b w:val="0"/>
                <w:bCs w:val="0"/>
                <w:spacing w:val="0"/>
                <w:kern w:val="0"/>
                <w:sz w:val="24"/>
                <w:szCs w:val="24"/>
                <w:lang w:eastAsia="en-US"/>
              </w:rPr>
              <w:t xml:space="preserve"> īstenošanas laiks</w:t>
            </w:r>
            <w:r w:rsidR="00E46664" w:rsidRPr="00744A3E">
              <w:rPr>
                <w:rFonts w:ascii="Times New Roman" w:hAnsi="Times New Roman" w:cs="Times New Roman"/>
                <w:b w:val="0"/>
                <w:bCs w:val="0"/>
                <w:spacing w:val="0"/>
                <w:kern w:val="0"/>
                <w:sz w:val="24"/>
                <w:szCs w:val="24"/>
                <w:lang w:eastAsia="en-US"/>
              </w:rPr>
              <w:t xml:space="preserve"> no 24 uz 36 mēnešiem.</w:t>
            </w:r>
          </w:p>
          <w:p w14:paraId="66225596" w14:textId="2A32802B" w:rsidR="00B559D5" w:rsidRPr="00744A3E" w:rsidRDefault="00F15799" w:rsidP="003B64FD">
            <w:pPr>
              <w:jc w:val="both"/>
              <w:rPr>
                <w:iCs/>
                <w:color w:val="000000" w:themeColor="text1"/>
                <w:lang w:eastAsia="lv-LV"/>
              </w:rPr>
            </w:pPr>
            <w:r w:rsidRPr="00744A3E">
              <w:rPr>
                <w:lang w:eastAsia="en-US"/>
              </w:rPr>
              <w:t>Rīkojuma projekts stāsies spēkā pēc tā pieņemšanas M</w:t>
            </w:r>
            <w:r w:rsidR="00836FE4" w:rsidRPr="00744A3E">
              <w:rPr>
                <w:lang w:eastAsia="en-US"/>
              </w:rPr>
              <w:t>inistru kabinetā</w:t>
            </w:r>
            <w:r w:rsidRPr="00744A3E">
              <w:rPr>
                <w:lang w:eastAsia="en-US"/>
              </w:rPr>
              <w:t>.</w:t>
            </w:r>
          </w:p>
        </w:tc>
      </w:tr>
    </w:tbl>
    <w:p w14:paraId="2EF9778E" w14:textId="77777777" w:rsidR="00B559D5" w:rsidRPr="00836FE4" w:rsidRDefault="00B559D5" w:rsidP="00B559D5">
      <w:pPr>
        <w:jc w:val="center"/>
        <w:rPr>
          <w:b/>
          <w:bCs/>
          <w:lang w:eastAsia="en-US"/>
        </w:rPr>
      </w:pPr>
    </w:p>
    <w:tbl>
      <w:tblPr>
        <w:tblW w:w="5000" w:type="pct"/>
        <w:tblCellMar>
          <w:left w:w="57" w:type="dxa"/>
          <w:right w:w="57" w:type="dxa"/>
        </w:tblCellMar>
        <w:tblLook w:val="0000" w:firstRow="0" w:lastRow="0" w:firstColumn="0" w:lastColumn="0" w:noHBand="0" w:noVBand="0"/>
      </w:tblPr>
      <w:tblGrid>
        <w:gridCol w:w="941"/>
        <w:gridCol w:w="1847"/>
        <w:gridCol w:w="6081"/>
      </w:tblGrid>
      <w:tr w:rsidR="004940F6" w14:paraId="5C1D560F" w14:textId="77777777" w:rsidTr="00024CBF">
        <w:trPr>
          <w:trHeight w:val="557"/>
        </w:trPr>
        <w:tc>
          <w:tcPr>
            <w:tcW w:w="5000" w:type="pct"/>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336C4845" w14:textId="77777777" w:rsidR="00B559D5" w:rsidRPr="00836FE4" w:rsidRDefault="00F15799" w:rsidP="00262DE5">
            <w:pPr>
              <w:jc w:val="center"/>
            </w:pPr>
            <w:r w:rsidRPr="00836FE4">
              <w:rPr>
                <w:b/>
                <w:bCs/>
                <w:lang w:eastAsia="en-US"/>
              </w:rPr>
              <w:t> I. Tiesību akta izstrādes nepieciešamība</w:t>
            </w:r>
          </w:p>
        </w:tc>
      </w:tr>
      <w:tr w:rsidR="004940F6" w14:paraId="390DFED0" w14:textId="77777777" w:rsidTr="00024CBF">
        <w:trPr>
          <w:trHeight w:val="271"/>
        </w:trPr>
        <w:tc>
          <w:tcPr>
            <w:tcW w:w="567" w:type="pct"/>
            <w:tcBorders>
              <w:top w:val="thickThinLargeGap" w:sz="6" w:space="0" w:color="C0C0C0"/>
              <w:left w:val="thickThinLargeGap" w:sz="6" w:space="0" w:color="C0C0C0"/>
              <w:bottom w:val="thickThinLargeGap" w:sz="6" w:space="0" w:color="C0C0C0"/>
            </w:tcBorders>
          </w:tcPr>
          <w:p w14:paraId="6C7B52DD" w14:textId="77777777" w:rsidR="00B559D5" w:rsidRPr="00836FE4" w:rsidRDefault="00F15799" w:rsidP="00262DE5">
            <w:r w:rsidRPr="00836FE4">
              <w:rPr>
                <w:lang w:eastAsia="en-US"/>
              </w:rPr>
              <w:t> 1.</w:t>
            </w:r>
          </w:p>
        </w:tc>
        <w:tc>
          <w:tcPr>
            <w:tcW w:w="968" w:type="pct"/>
            <w:tcBorders>
              <w:top w:val="thickThinLargeGap" w:sz="6" w:space="0" w:color="C0C0C0"/>
              <w:left w:val="thickThinLargeGap" w:sz="6" w:space="0" w:color="C0C0C0"/>
              <w:bottom w:val="thickThinLargeGap" w:sz="6" w:space="0" w:color="C0C0C0"/>
            </w:tcBorders>
          </w:tcPr>
          <w:p w14:paraId="5226EB2F" w14:textId="77777777" w:rsidR="00B559D5" w:rsidRPr="00836FE4" w:rsidRDefault="00F15799" w:rsidP="00262DE5">
            <w:r w:rsidRPr="00836FE4">
              <w:rPr>
                <w:lang w:eastAsia="en-US"/>
              </w:rPr>
              <w:t>Pamatojums</w:t>
            </w:r>
          </w:p>
        </w:tc>
        <w:tc>
          <w:tcPr>
            <w:tcW w:w="3465" w:type="pct"/>
            <w:tcBorders>
              <w:top w:val="thickThinLargeGap" w:sz="6" w:space="0" w:color="C0C0C0"/>
              <w:left w:val="thickThinLargeGap" w:sz="6" w:space="0" w:color="C0C0C0"/>
              <w:bottom w:val="thickThinLargeGap" w:sz="6" w:space="0" w:color="C0C0C0"/>
              <w:right w:val="thickThinLargeGap" w:sz="6" w:space="0" w:color="C0C0C0"/>
            </w:tcBorders>
          </w:tcPr>
          <w:p w14:paraId="634630CC" w14:textId="4F3CA0E9" w:rsidR="005A172F" w:rsidRDefault="005A172F" w:rsidP="001F102F">
            <w:pPr>
              <w:pStyle w:val="ListParagraph"/>
              <w:numPr>
                <w:ilvl w:val="0"/>
                <w:numId w:val="8"/>
              </w:numPr>
              <w:spacing w:line="20" w:lineRule="atLeast"/>
              <w:ind w:left="335" w:hanging="284"/>
              <w:jc w:val="both"/>
            </w:pPr>
            <w:r w:rsidRPr="00836FE4">
              <w:t xml:space="preserve">Ministru kabineta 2015. gada 17. novembra noteikumu Nr. 653 “Darbības programmas “Izaugsme un nodarbinātība” 2.2.1. specifiskā atbalsta mērķa “Nodrošināt publisko datu </w:t>
            </w:r>
            <w:proofErr w:type="spellStart"/>
            <w:r w:rsidRPr="00836FE4">
              <w:t>atkalizmantošanas</w:t>
            </w:r>
            <w:proofErr w:type="spellEnd"/>
            <w:r w:rsidRPr="00836FE4">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w:t>
            </w:r>
            <w:r w:rsidR="008C3579">
              <w:t>1</w:t>
            </w:r>
            <w:r w:rsidRPr="00836FE4">
              <w:t>4. punkts.</w:t>
            </w:r>
          </w:p>
          <w:p w14:paraId="75181C99" w14:textId="72CBCEB2" w:rsidR="001D603F" w:rsidRPr="00836FE4" w:rsidRDefault="006D10E7" w:rsidP="003B64FD">
            <w:pPr>
              <w:pStyle w:val="ListParagraph"/>
              <w:numPr>
                <w:ilvl w:val="0"/>
                <w:numId w:val="8"/>
              </w:numPr>
              <w:spacing w:line="20" w:lineRule="atLeast"/>
              <w:ind w:left="335" w:hanging="284"/>
              <w:jc w:val="both"/>
            </w:pPr>
            <w:r w:rsidRPr="00836FE4">
              <w:t>Ministru kabineta 2016.gada 10. februāra rīkojuma Nr.136 “Par informācijas sabiedrības attīstības pamatnostādņu ieviešanu publiskās pārvaldes informācijas sistēmu jomā” 4.</w:t>
            </w:r>
            <w:r w:rsidR="00744A3E">
              <w:rPr>
                <w:vertAlign w:val="superscript"/>
              </w:rPr>
              <w:t xml:space="preserve">1 </w:t>
            </w:r>
            <w:r w:rsidRPr="00836FE4">
              <w:t xml:space="preserve"> punkts</w:t>
            </w:r>
            <w:r w:rsidRPr="00446113">
              <w:t>.</w:t>
            </w:r>
            <w:r w:rsidRPr="00836FE4">
              <w:t xml:space="preserve"> </w:t>
            </w:r>
          </w:p>
        </w:tc>
      </w:tr>
      <w:tr w:rsidR="004940F6" w14:paraId="62537BCC" w14:textId="77777777" w:rsidTr="00024CBF">
        <w:trPr>
          <w:trHeight w:val="1545"/>
        </w:trPr>
        <w:tc>
          <w:tcPr>
            <w:tcW w:w="567" w:type="pct"/>
            <w:tcBorders>
              <w:top w:val="thickThinLargeGap" w:sz="6" w:space="0" w:color="C0C0C0"/>
              <w:left w:val="thickThinLargeGap" w:sz="6" w:space="0" w:color="C0C0C0"/>
              <w:bottom w:val="thickThinLargeGap" w:sz="6" w:space="0" w:color="C0C0C0"/>
            </w:tcBorders>
          </w:tcPr>
          <w:p w14:paraId="06C7A4DB" w14:textId="77777777" w:rsidR="00B559D5" w:rsidRDefault="00F15799" w:rsidP="00262DE5">
            <w:pPr>
              <w:rPr>
                <w:lang w:eastAsia="en-US"/>
              </w:rPr>
            </w:pPr>
            <w:r w:rsidRPr="00836FE4">
              <w:rPr>
                <w:lang w:eastAsia="en-US"/>
              </w:rPr>
              <w:t> 2.</w:t>
            </w:r>
          </w:p>
          <w:p w14:paraId="51E6A063" w14:textId="77777777" w:rsidR="005B4D30" w:rsidRPr="005B4D30" w:rsidRDefault="005B4D30" w:rsidP="005B4D30"/>
          <w:p w14:paraId="01203241" w14:textId="77777777" w:rsidR="005B4D30" w:rsidRPr="005B4D30" w:rsidRDefault="005B4D30" w:rsidP="005B4D30"/>
          <w:p w14:paraId="3D878383" w14:textId="77777777" w:rsidR="005B4D30" w:rsidRPr="005B4D30" w:rsidRDefault="005B4D30" w:rsidP="005B4D30"/>
          <w:p w14:paraId="5CD09F98" w14:textId="77777777" w:rsidR="005B4D30" w:rsidRPr="005B4D30" w:rsidRDefault="005B4D30" w:rsidP="005B4D30"/>
          <w:p w14:paraId="4821B918" w14:textId="77777777" w:rsidR="005B4D30" w:rsidRPr="005B4D30" w:rsidRDefault="005B4D30" w:rsidP="005B4D30"/>
          <w:p w14:paraId="70140ABF" w14:textId="77777777" w:rsidR="005B4D30" w:rsidRPr="005B4D30" w:rsidRDefault="005B4D30" w:rsidP="005B4D30"/>
          <w:p w14:paraId="68F53452" w14:textId="50C6A77B" w:rsidR="005B4D30" w:rsidRPr="005B4D30" w:rsidRDefault="005B4D30" w:rsidP="005B4D30"/>
        </w:tc>
        <w:tc>
          <w:tcPr>
            <w:tcW w:w="968" w:type="pct"/>
            <w:tcBorders>
              <w:top w:val="thickThinLargeGap" w:sz="6" w:space="0" w:color="C0C0C0"/>
              <w:left w:val="thickThinLargeGap" w:sz="6" w:space="0" w:color="C0C0C0"/>
              <w:bottom w:val="thickThinLargeGap" w:sz="6" w:space="0" w:color="C0C0C0"/>
            </w:tcBorders>
          </w:tcPr>
          <w:p w14:paraId="6886E930" w14:textId="77777777" w:rsidR="00B559D5" w:rsidRDefault="00F15799" w:rsidP="00262DE5">
            <w:pPr>
              <w:rPr>
                <w:lang w:eastAsia="en-US"/>
              </w:rPr>
            </w:pPr>
            <w:r w:rsidRPr="00836FE4">
              <w:rPr>
                <w:lang w:eastAsia="en-US"/>
              </w:rPr>
              <w:t>Pašreizējā situācija un problēmas, kuru risināšanai tiesību akta projekts izstrādāts, tiesiskā regulējuma mērķis un būtība</w:t>
            </w:r>
          </w:p>
          <w:p w14:paraId="721DD57B" w14:textId="6E71BA63" w:rsidR="005B4D30" w:rsidRDefault="005B4D30" w:rsidP="005B4D30">
            <w:pPr>
              <w:rPr>
                <w:lang w:eastAsia="en-US"/>
              </w:rPr>
            </w:pPr>
          </w:p>
          <w:p w14:paraId="1C08683F" w14:textId="77777777" w:rsidR="005B4D30" w:rsidRPr="005B4D30" w:rsidRDefault="005B4D30" w:rsidP="005B4D30">
            <w:pPr>
              <w:rPr>
                <w:lang w:eastAsia="en-US"/>
              </w:rPr>
            </w:pPr>
          </w:p>
          <w:p w14:paraId="145726A1" w14:textId="77777777" w:rsidR="005B4D30" w:rsidRPr="005B4D30" w:rsidRDefault="005B4D30" w:rsidP="005B4D30">
            <w:pPr>
              <w:rPr>
                <w:lang w:eastAsia="en-US"/>
              </w:rPr>
            </w:pPr>
          </w:p>
          <w:p w14:paraId="220476E8" w14:textId="77777777" w:rsidR="005B4D30" w:rsidRPr="005B4D30" w:rsidRDefault="005B4D30" w:rsidP="005B4D30">
            <w:pPr>
              <w:rPr>
                <w:lang w:eastAsia="en-US"/>
              </w:rPr>
            </w:pPr>
          </w:p>
          <w:p w14:paraId="242720E6" w14:textId="77777777" w:rsidR="005B4D30" w:rsidRPr="005B4D30" w:rsidRDefault="005B4D30" w:rsidP="005B4D30">
            <w:pPr>
              <w:rPr>
                <w:lang w:eastAsia="en-US"/>
              </w:rPr>
            </w:pPr>
          </w:p>
          <w:p w14:paraId="2B616037" w14:textId="77777777" w:rsidR="005B4D30" w:rsidRPr="005B4D30" w:rsidRDefault="005B4D30" w:rsidP="005B4D30"/>
          <w:p w14:paraId="21E527ED" w14:textId="1AACCC14" w:rsidR="005B4D30" w:rsidRPr="005B4D30" w:rsidRDefault="005B4D30" w:rsidP="005B4D30"/>
        </w:tc>
        <w:tc>
          <w:tcPr>
            <w:tcW w:w="3465" w:type="pct"/>
            <w:tcBorders>
              <w:top w:val="thickThinLargeGap" w:sz="6" w:space="0" w:color="C0C0C0"/>
              <w:left w:val="thickThinLargeGap" w:sz="6" w:space="0" w:color="C0C0C0"/>
              <w:bottom w:val="thickThinLargeGap" w:sz="6" w:space="0" w:color="C0C0C0"/>
              <w:right w:val="thickThinLargeGap" w:sz="6" w:space="0" w:color="C0C0C0"/>
            </w:tcBorders>
          </w:tcPr>
          <w:p w14:paraId="361C2C74" w14:textId="3978B821" w:rsidR="00CD2E51" w:rsidRDefault="00752FE4" w:rsidP="003B64FD">
            <w:pPr>
              <w:jc w:val="both"/>
              <w:rPr>
                <w:rFonts w:eastAsiaTheme="minorHAnsi"/>
                <w:color w:val="000000"/>
              </w:rPr>
            </w:pPr>
            <w:r>
              <w:lastRenderedPageBreak/>
              <w:t xml:space="preserve">Ministru Kabineta </w:t>
            </w:r>
            <w:r w:rsidR="0096300E">
              <w:t>2017</w:t>
            </w:r>
            <w:r w:rsidR="00CD2E51">
              <w:t>.g</w:t>
            </w:r>
            <w:r w:rsidR="005E1B07">
              <w:t>ada</w:t>
            </w:r>
            <w:r w:rsidR="00CD2E51">
              <w:t xml:space="preserve"> </w:t>
            </w:r>
            <w:r w:rsidR="0096300E">
              <w:t>25.septembra</w:t>
            </w:r>
            <w:r w:rsidR="00CD2E51">
              <w:t xml:space="preserve"> rīkojum</w:t>
            </w:r>
            <w:r w:rsidR="005B4D30">
              <w:t>a</w:t>
            </w:r>
            <w:r w:rsidR="0096300E">
              <w:t xml:space="preserve"> Nr.532</w:t>
            </w:r>
            <w:r w:rsidR="00CD2E51">
              <w:t xml:space="preserve"> “</w:t>
            </w:r>
            <w:r w:rsidR="00CD2E51" w:rsidRPr="00471A6D">
              <w:t>Par informācijas sabiedrības attīstības pamatnostādņu ieviešanu publiskās pārvaldes informācijas sistēmu jomā (</w:t>
            </w:r>
            <w:proofErr w:type="spellStart"/>
            <w:r w:rsidR="00CD2E51" w:rsidRPr="00471A6D">
              <w:t>mērķarhitektūras</w:t>
            </w:r>
            <w:proofErr w:type="spellEnd"/>
            <w:r w:rsidR="00CD2E51" w:rsidRPr="00471A6D">
              <w:t xml:space="preserve"> </w:t>
            </w:r>
            <w:r w:rsidR="0096300E">
              <w:t>2</w:t>
            </w:r>
            <w:r w:rsidR="00CD2E51" w:rsidRPr="00471A6D">
              <w:t>1.0. versija)</w:t>
            </w:r>
            <w:r w:rsidR="00CD2E51">
              <w:t xml:space="preserve">” </w:t>
            </w:r>
            <w:r w:rsidR="005B4D30">
              <w:t>Projekta apraksta kopsavilkumā Projekta īstenošanas termiņš ir norādīts 24 mēneši</w:t>
            </w:r>
            <w:r w:rsidR="00CD2E51">
              <w:rPr>
                <w:rFonts w:eastAsiaTheme="minorHAnsi"/>
                <w:color w:val="000000"/>
              </w:rPr>
              <w:t xml:space="preserve">. </w:t>
            </w:r>
          </w:p>
          <w:p w14:paraId="1C910555" w14:textId="30C5B1D6" w:rsidR="00CD2E51" w:rsidRPr="0096300E" w:rsidRDefault="00C51929" w:rsidP="0096300E">
            <w:pPr>
              <w:jc w:val="both"/>
            </w:pPr>
            <w:r>
              <w:t>201</w:t>
            </w:r>
            <w:r w:rsidR="00C020CE">
              <w:t>8</w:t>
            </w:r>
            <w:r>
              <w:t xml:space="preserve">.gada </w:t>
            </w:r>
            <w:r w:rsidR="00C020CE">
              <w:t>22.martā</w:t>
            </w:r>
            <w:r>
              <w:t xml:space="preserve"> </w:t>
            </w:r>
            <w:r w:rsidR="00C020CE">
              <w:t xml:space="preserve">parakstīta Vienošanās par projekta </w:t>
            </w:r>
            <w:r>
              <w:t>Nr. 2.2.1.1/1</w:t>
            </w:r>
            <w:r w:rsidR="00C020CE">
              <w:t>7</w:t>
            </w:r>
            <w:r>
              <w:t>/</w:t>
            </w:r>
            <w:r w:rsidRPr="00C020CE">
              <w:t>I/003 “</w:t>
            </w:r>
            <w:r w:rsidR="00C020CE" w:rsidRPr="00C020CE">
              <w:t>Tiesu medicīnas ekspertīzes un izpētes procesu optimizācija un attīstība”.</w:t>
            </w:r>
            <w:r w:rsidR="00A00172">
              <w:t xml:space="preserve"> </w:t>
            </w:r>
          </w:p>
          <w:p w14:paraId="514F804D" w14:textId="2B7B2D49" w:rsidR="00C020CE" w:rsidRDefault="00C020CE" w:rsidP="00C020CE">
            <w:pPr>
              <w:jc w:val="both"/>
              <w:rPr>
                <w:lang w:eastAsia="lv-LV"/>
              </w:rPr>
            </w:pPr>
            <w:r w:rsidRPr="00C020CE">
              <w:t xml:space="preserve">Valsts tiesu medicīnas ekspertīzes centrs (turpmāk – Centrs), lai realizētu </w:t>
            </w:r>
            <w:r w:rsidR="00E4187A">
              <w:t>P</w:t>
            </w:r>
            <w:r w:rsidRPr="00C020CE">
              <w:t>rojekta aktivitāti</w:t>
            </w:r>
            <w:r w:rsidRPr="00C020CE">
              <w:rPr>
                <w:lang w:eastAsia="lv-LV"/>
              </w:rPr>
              <w:t xml:space="preserve"> “Informācijas sistēmas izstrāde un ieviešana”, </w:t>
            </w:r>
            <w:r w:rsidR="00E4187A">
              <w:rPr>
                <w:lang w:eastAsia="lv-LV"/>
              </w:rPr>
              <w:t>2018.gada 26.oktobrī</w:t>
            </w:r>
            <w:r w:rsidRPr="00C020CE">
              <w:rPr>
                <w:lang w:eastAsia="lv-LV"/>
              </w:rPr>
              <w:t xml:space="preserve"> izsludināja </w:t>
            </w:r>
            <w:r w:rsidRPr="001635B8">
              <w:rPr>
                <w:bCs/>
                <w:lang w:eastAsia="lv-LV"/>
              </w:rPr>
              <w:t>iepirkumu atklāta konkursa procedūrā</w:t>
            </w:r>
            <w:r w:rsidRPr="00C020CE">
              <w:rPr>
                <w:b/>
                <w:lang w:eastAsia="lv-LV"/>
              </w:rPr>
              <w:t xml:space="preserve"> </w:t>
            </w:r>
            <w:r w:rsidRPr="00C020CE">
              <w:rPr>
                <w:lang w:eastAsia="lv-LV"/>
              </w:rPr>
              <w:t xml:space="preserve">“Tiesu medicīnas ekspertīzes </w:t>
            </w:r>
            <w:r w:rsidRPr="00C020CE">
              <w:rPr>
                <w:lang w:eastAsia="lv-LV"/>
              </w:rPr>
              <w:lastRenderedPageBreak/>
              <w:t>informācijas sistēmas (TME IS) izstrāde un uzturēšana” (Iepirkuma identifikācijas Nr. VTMEC 2018/2 ERAF)</w:t>
            </w:r>
            <w:r w:rsidR="00E4187A">
              <w:rPr>
                <w:lang w:eastAsia="lv-LV"/>
              </w:rPr>
              <w:t>, ar p</w:t>
            </w:r>
            <w:r w:rsidRPr="00C020CE">
              <w:rPr>
                <w:lang w:eastAsia="lv-LV"/>
              </w:rPr>
              <w:t>iedāvājumu iesniegšanas termiņ</w:t>
            </w:r>
            <w:r w:rsidR="00E4187A">
              <w:rPr>
                <w:lang w:eastAsia="lv-LV"/>
              </w:rPr>
              <w:t>u</w:t>
            </w:r>
            <w:r w:rsidRPr="00C020CE">
              <w:rPr>
                <w:lang w:eastAsia="lv-LV"/>
              </w:rPr>
              <w:t xml:space="preserve"> 2018.</w:t>
            </w:r>
            <w:r w:rsidR="00E4187A">
              <w:rPr>
                <w:lang w:eastAsia="lv-LV"/>
              </w:rPr>
              <w:t>gada 12.decembris.</w:t>
            </w:r>
            <w:r w:rsidRPr="00C020CE">
              <w:rPr>
                <w:lang w:eastAsia="lv-LV"/>
              </w:rPr>
              <w:t xml:space="preserve"> Sakarā ar to, ka </w:t>
            </w:r>
            <w:r w:rsidRPr="001635B8">
              <w:rPr>
                <w:bCs/>
                <w:lang w:eastAsia="lv-LV"/>
              </w:rPr>
              <w:t>netika iesniegts neviens piedāvājums</w:t>
            </w:r>
            <w:r w:rsidRPr="00C020CE">
              <w:rPr>
                <w:lang w:eastAsia="lv-LV"/>
              </w:rPr>
              <w:t xml:space="preserve">, iepirkuma komisija pieņēma lēmumu izbeigt iepirkumu bez rezultāta. Atbilstoši </w:t>
            </w:r>
            <w:proofErr w:type="spellStart"/>
            <w:r w:rsidRPr="00C020CE">
              <w:rPr>
                <w:lang w:eastAsia="lv-LV"/>
              </w:rPr>
              <w:t>priekšizpētes</w:t>
            </w:r>
            <w:proofErr w:type="spellEnd"/>
            <w:r w:rsidRPr="00C020CE">
              <w:rPr>
                <w:lang w:eastAsia="lv-LV"/>
              </w:rPr>
              <w:t xml:space="preserve"> rezultātiem, tika konstatēts, </w:t>
            </w:r>
            <w:r w:rsidRPr="001635B8">
              <w:rPr>
                <w:lang w:eastAsia="lv-LV"/>
              </w:rPr>
              <w:t>ka nav iespējams veikt iepirkumu sarunu procedūrā</w:t>
            </w:r>
            <w:r w:rsidRPr="00C020CE">
              <w:rPr>
                <w:lang w:eastAsia="lv-LV"/>
              </w:rPr>
              <w:t xml:space="preserve"> atbilstoši Publisko iepirkumu likuma 8.p</w:t>
            </w:r>
            <w:r w:rsidR="00E4187A">
              <w:rPr>
                <w:lang w:eastAsia="lv-LV"/>
              </w:rPr>
              <w:t xml:space="preserve">anta </w:t>
            </w:r>
            <w:r w:rsidRPr="00C020CE">
              <w:rPr>
                <w:lang w:eastAsia="lv-LV"/>
              </w:rPr>
              <w:t>7.d</w:t>
            </w:r>
            <w:r w:rsidR="00E4187A">
              <w:rPr>
                <w:lang w:eastAsia="lv-LV"/>
              </w:rPr>
              <w:t xml:space="preserve">aļas </w:t>
            </w:r>
            <w:r w:rsidRPr="00C020CE">
              <w:rPr>
                <w:lang w:eastAsia="lv-LV"/>
              </w:rPr>
              <w:t>1.p</w:t>
            </w:r>
            <w:r w:rsidR="00E4187A">
              <w:rPr>
                <w:lang w:eastAsia="lv-LV"/>
              </w:rPr>
              <w:t>unktam</w:t>
            </w:r>
            <w:r w:rsidRPr="00C020CE">
              <w:rPr>
                <w:lang w:eastAsia="lv-LV"/>
              </w:rPr>
              <w:t>, jo nepieciešams veikt grozījumus programmatūras izstrādes tehniskajā specifikācijā, samazinot apjomu, lai nodrošinātu izstrādi atbilstoši paredzamajai līgumcenai.</w:t>
            </w:r>
            <w:r w:rsidR="001635B8">
              <w:rPr>
                <w:lang w:eastAsia="lv-LV"/>
              </w:rPr>
              <w:t xml:space="preserve"> </w:t>
            </w:r>
            <w:r w:rsidRPr="001635B8">
              <w:rPr>
                <w:bCs/>
                <w:lang w:eastAsia="lv-LV"/>
              </w:rPr>
              <w:t>2019.</w:t>
            </w:r>
            <w:r w:rsidR="00E4187A" w:rsidRPr="001635B8">
              <w:rPr>
                <w:bCs/>
                <w:lang w:eastAsia="lv-LV"/>
              </w:rPr>
              <w:t>gada 16.aprīlī Elektroniskajā iepirkumu sistēmā</w:t>
            </w:r>
            <w:r w:rsidRPr="001635B8">
              <w:rPr>
                <w:bCs/>
                <w:lang w:eastAsia="lv-LV"/>
              </w:rPr>
              <w:t xml:space="preserve"> </w:t>
            </w:r>
            <w:r w:rsidR="00E4187A" w:rsidRPr="001635B8">
              <w:rPr>
                <w:bCs/>
                <w:lang w:eastAsia="lv-LV"/>
              </w:rPr>
              <w:t>(</w:t>
            </w:r>
            <w:r w:rsidRPr="001635B8">
              <w:rPr>
                <w:bCs/>
                <w:lang w:eastAsia="lv-LV"/>
              </w:rPr>
              <w:t>EIS</w:t>
            </w:r>
            <w:r w:rsidR="00E4187A" w:rsidRPr="001635B8">
              <w:rPr>
                <w:bCs/>
                <w:lang w:eastAsia="lv-LV"/>
              </w:rPr>
              <w:t>)</w:t>
            </w:r>
            <w:r w:rsidRPr="001635B8">
              <w:rPr>
                <w:bCs/>
                <w:lang w:eastAsia="lv-LV"/>
              </w:rPr>
              <w:t xml:space="preserve"> tika izsludināts atkārtots iepirkums</w:t>
            </w:r>
            <w:r w:rsidRPr="00C020CE">
              <w:rPr>
                <w:lang w:eastAsia="lv-LV"/>
              </w:rPr>
              <w:t xml:space="preserve"> atklāta konkursa procedūrā "Tiesu medicīnas ekspertīzes informācijas sistēmas izstrāde un uzturēšana", ID VTMEC 2019/2 ERAF</w:t>
            </w:r>
            <w:r w:rsidR="001635B8">
              <w:rPr>
                <w:lang w:eastAsia="lv-LV"/>
              </w:rPr>
              <w:t xml:space="preserve">. </w:t>
            </w:r>
            <w:r w:rsidRPr="00C020CE">
              <w:rPr>
                <w:lang w:eastAsia="lv-LV"/>
              </w:rPr>
              <w:t xml:space="preserve">Iepirkuma rezultātā </w:t>
            </w:r>
            <w:r w:rsidRPr="001635B8">
              <w:rPr>
                <w:bCs/>
                <w:lang w:eastAsia="lv-LV"/>
              </w:rPr>
              <w:t>2019.</w:t>
            </w:r>
            <w:r w:rsidR="00011CBE" w:rsidRPr="001635B8">
              <w:rPr>
                <w:bCs/>
                <w:lang w:eastAsia="lv-LV"/>
              </w:rPr>
              <w:t>gada 31.jūlijā</w:t>
            </w:r>
            <w:r w:rsidRPr="001635B8">
              <w:rPr>
                <w:bCs/>
                <w:lang w:eastAsia="lv-LV"/>
              </w:rPr>
              <w:t xml:space="preserve"> tika parakstīt</w:t>
            </w:r>
            <w:r w:rsidR="00011CBE" w:rsidRPr="001635B8">
              <w:rPr>
                <w:bCs/>
                <w:lang w:eastAsia="lv-LV"/>
              </w:rPr>
              <w:t>s</w:t>
            </w:r>
            <w:r w:rsidRPr="001635B8">
              <w:rPr>
                <w:bCs/>
                <w:lang w:eastAsia="lv-LV"/>
              </w:rPr>
              <w:t xml:space="preserve"> </w:t>
            </w:r>
            <w:r w:rsidR="00011CBE" w:rsidRPr="001635B8">
              <w:rPr>
                <w:bCs/>
                <w:lang w:eastAsia="lv-LV"/>
              </w:rPr>
              <w:t>līgums</w:t>
            </w:r>
            <w:r w:rsidRPr="001635B8">
              <w:rPr>
                <w:bCs/>
                <w:lang w:eastAsia="lv-LV"/>
              </w:rPr>
              <w:t xml:space="preserve"> ar uzvarētāju</w:t>
            </w:r>
            <w:r w:rsidR="00011CBE">
              <w:rPr>
                <w:lang w:eastAsia="lv-LV"/>
              </w:rPr>
              <w:t xml:space="preserve">. </w:t>
            </w:r>
            <w:r w:rsidRPr="001635B8">
              <w:rPr>
                <w:lang w:eastAsia="lv-LV"/>
              </w:rPr>
              <w:t>Kopējais uz TME IS izstrādi projekta ietvaros attiecināmais darba dienu skaits var sasniegt 345 darba dienas</w:t>
            </w:r>
            <w:r w:rsidRPr="00C020CE">
              <w:rPr>
                <w:lang w:eastAsia="lv-LV"/>
              </w:rPr>
              <w:t>. Līdz ar to TME IS izstrādes pilnīga pabeigšana iespējama 2020.gada decembrī.</w:t>
            </w:r>
          </w:p>
          <w:p w14:paraId="003B386C" w14:textId="7D4F0C89" w:rsidR="00B42A97" w:rsidRDefault="004B3ADF" w:rsidP="00C020CE">
            <w:pPr>
              <w:jc w:val="both"/>
              <w:rPr>
                <w:lang w:eastAsia="lv-LV"/>
              </w:rPr>
            </w:pPr>
            <w:r>
              <w:rPr>
                <w:lang w:eastAsia="lv-LV"/>
              </w:rPr>
              <w:t>Informācijas sistēmas izstrādei seko P</w:t>
            </w:r>
            <w:r w:rsidR="00B42A97">
              <w:rPr>
                <w:lang w:eastAsia="lv-LV"/>
              </w:rPr>
              <w:t>rojekt</w:t>
            </w:r>
            <w:r>
              <w:rPr>
                <w:lang w:eastAsia="lv-LV"/>
              </w:rPr>
              <w:t>a</w:t>
            </w:r>
            <w:r w:rsidR="00B42A97">
              <w:rPr>
                <w:lang w:eastAsia="lv-LV"/>
              </w:rPr>
              <w:t xml:space="preserve"> aktivitāt</w:t>
            </w:r>
            <w:r>
              <w:rPr>
                <w:lang w:eastAsia="lv-LV"/>
              </w:rPr>
              <w:t>e</w:t>
            </w:r>
            <w:r w:rsidR="00B42A97">
              <w:rPr>
                <w:lang w:eastAsia="lv-LV"/>
              </w:rPr>
              <w:t xml:space="preserve"> “Drošības un veiktspējas audits”</w:t>
            </w:r>
            <w:r>
              <w:rPr>
                <w:lang w:eastAsia="lv-LV"/>
              </w:rPr>
              <w:t xml:space="preserve">, kas orientējoši </w:t>
            </w:r>
            <w:r w:rsidR="00B42D5C">
              <w:rPr>
                <w:lang w:eastAsia="lv-LV"/>
              </w:rPr>
              <w:t xml:space="preserve">prognozējamas </w:t>
            </w:r>
            <w:r w:rsidR="00B42A97">
              <w:rPr>
                <w:lang w:eastAsia="lv-LV"/>
              </w:rPr>
              <w:t xml:space="preserve">vismaz </w:t>
            </w:r>
            <w:r w:rsidR="00B42A97" w:rsidRPr="00B42D5C">
              <w:rPr>
                <w:bCs/>
                <w:lang w:eastAsia="lv-LV"/>
              </w:rPr>
              <w:t>22 izpildes darba dienas</w:t>
            </w:r>
            <w:r w:rsidR="00B42A97">
              <w:rPr>
                <w:lang w:eastAsia="lv-LV"/>
              </w:rPr>
              <w:t xml:space="preserve"> un vismaz 10 darba dienas pakalpojuma pieņemšanai Pasūtītāja pusē. </w:t>
            </w:r>
            <w:r w:rsidR="00B42D5C">
              <w:rPr>
                <w:lang w:eastAsia="lv-LV"/>
              </w:rPr>
              <w:t xml:space="preserve">Kā arī noslēgumā </w:t>
            </w:r>
            <w:r w:rsidR="00B42A97">
              <w:rPr>
                <w:lang w:eastAsia="lv-LV"/>
              </w:rPr>
              <w:t>Centram ir jāveic norēķini ar izpildītājiem</w:t>
            </w:r>
            <w:r w:rsidR="00B42D5C">
              <w:rPr>
                <w:lang w:eastAsia="lv-LV"/>
              </w:rPr>
              <w:t xml:space="preserve">, nodrošinot </w:t>
            </w:r>
            <w:r w:rsidR="00B42A97">
              <w:rPr>
                <w:lang w:eastAsia="lv-LV"/>
              </w:rPr>
              <w:t xml:space="preserve"> gala maksājuma pieprasījums.</w:t>
            </w:r>
            <w:r w:rsidR="003C1202">
              <w:rPr>
                <w:lang w:eastAsia="lv-LV"/>
              </w:rPr>
              <w:t xml:space="preserve"> </w:t>
            </w:r>
            <w:r w:rsidR="004634C1">
              <w:rPr>
                <w:lang w:eastAsia="lv-LV"/>
              </w:rPr>
              <w:t>Līdz ar to</w:t>
            </w:r>
            <w:r>
              <w:rPr>
                <w:lang w:eastAsia="lv-LV"/>
              </w:rPr>
              <w:t xml:space="preserve"> projekt</w:t>
            </w:r>
            <w:r w:rsidR="00B42D5C">
              <w:rPr>
                <w:lang w:eastAsia="lv-LV"/>
              </w:rPr>
              <w:t xml:space="preserve">a </w:t>
            </w:r>
            <w:r w:rsidR="003C1202">
              <w:rPr>
                <w:lang w:eastAsia="lv-LV"/>
              </w:rPr>
              <w:t>pilnīga īstenošana iespējama 2021.gada 1.cetuksnī.</w:t>
            </w:r>
          </w:p>
          <w:p w14:paraId="2F342496" w14:textId="77777777" w:rsidR="00913886" w:rsidRPr="00C020CE" w:rsidRDefault="00913886" w:rsidP="00C020CE">
            <w:pPr>
              <w:jc w:val="both"/>
              <w:rPr>
                <w:lang w:eastAsia="lv-LV"/>
              </w:rPr>
            </w:pPr>
          </w:p>
          <w:p w14:paraId="66FA2AEA" w14:textId="646F7B61" w:rsidR="00C020CE" w:rsidRDefault="00C020CE" w:rsidP="00C020CE">
            <w:pPr>
              <w:pStyle w:val="VPTitle"/>
              <w:spacing w:before="0" w:after="120" w:line="240" w:lineRule="auto"/>
              <w:jc w:val="both"/>
              <w:rPr>
                <w:rFonts w:ascii="Times New Roman" w:hAnsi="Times New Roman" w:cs="Times New Roman"/>
                <w:b w:val="0"/>
                <w:sz w:val="24"/>
                <w:szCs w:val="24"/>
              </w:rPr>
            </w:pPr>
            <w:r w:rsidRPr="006E6BBB">
              <w:rPr>
                <w:rFonts w:ascii="Times New Roman" w:hAnsi="Times New Roman" w:cs="Times New Roman"/>
                <w:b w:val="0"/>
                <w:sz w:val="24"/>
                <w:szCs w:val="24"/>
              </w:rPr>
              <w:t xml:space="preserve">Atbilstoši Vienošanās par Eiropas Savienības fonda projekta īstenošanu Nr.2.2.1.1/17/I/033 “Tiesu medicīnas ekspertīzes un izpētes procesu optimizācija un attīstība”, kas 2018.gada 22.martā noslēgta starp Sadarbības iestādi un Finansējuma saņēmēju, Projekta ilgums tika plānots 24 mēneši. Sakarā ar objektīvu nepieciešamību pagarināt Projekta īstenošanas termiņu, kas izriet no atkārtoti veikta informācijas sistēmas izstrādes iepirkuma un atbilstoši iesniegtajam piedāvājumam, </w:t>
            </w:r>
            <w:r w:rsidR="003C1202">
              <w:rPr>
                <w:rFonts w:ascii="Times New Roman" w:hAnsi="Times New Roman" w:cs="Times New Roman"/>
                <w:b w:val="0"/>
                <w:sz w:val="24"/>
                <w:szCs w:val="24"/>
              </w:rPr>
              <w:t xml:space="preserve">pamatojoties </w:t>
            </w:r>
            <w:r w:rsidR="000C0253" w:rsidRPr="000C0253">
              <w:rPr>
                <w:rFonts w:ascii="Times New Roman" w:hAnsi="Times New Roman" w:cs="Times New Roman"/>
                <w:b w:val="0"/>
                <w:sz w:val="24"/>
                <w:szCs w:val="24"/>
              </w:rPr>
              <w:t>uz Ministru kabineta 2014.gada 16.decembra noteikumu Nr.784 “Kārtība, kādā Eiropas Savienības struktūrfondu un Kohēzijas fonda vadībā iesaistītās institūcijas nodrošina plānošanas dokumentu sagatavošanu un šo fondu ieviešanu 2014.-2020. gada plānošanas periodā” 51</w:t>
            </w:r>
            <w:r w:rsidR="000C0253" w:rsidRPr="00721F2D">
              <w:rPr>
                <w:rFonts w:ascii="Times New Roman" w:hAnsi="Times New Roman" w:cs="Times New Roman"/>
                <w:b w:val="0"/>
                <w:sz w:val="24"/>
                <w:szCs w:val="24"/>
                <w:vertAlign w:val="superscript"/>
              </w:rPr>
              <w:t>4</w:t>
            </w:r>
            <w:r w:rsidR="00545CD9">
              <w:rPr>
                <w:rFonts w:ascii="Times New Roman" w:hAnsi="Times New Roman" w:cs="Times New Roman"/>
                <w:b w:val="0"/>
                <w:sz w:val="24"/>
                <w:szCs w:val="24"/>
              </w:rPr>
              <w:t xml:space="preserve">. </w:t>
            </w:r>
            <w:r w:rsidR="000C0253" w:rsidRPr="000C0253">
              <w:rPr>
                <w:rFonts w:ascii="Times New Roman" w:hAnsi="Times New Roman" w:cs="Times New Roman"/>
                <w:b w:val="0"/>
                <w:sz w:val="24"/>
                <w:szCs w:val="24"/>
              </w:rPr>
              <w:t>2.1. punktu</w:t>
            </w:r>
            <w:r w:rsidRPr="006E6BBB">
              <w:rPr>
                <w:rFonts w:ascii="Times New Roman" w:hAnsi="Times New Roman" w:cs="Times New Roman"/>
                <w:b w:val="0"/>
                <w:sz w:val="24"/>
                <w:szCs w:val="24"/>
              </w:rPr>
              <w:t xml:space="preserve">, </w:t>
            </w:r>
            <w:r w:rsidRPr="00B41A16">
              <w:rPr>
                <w:rFonts w:ascii="Times New Roman" w:hAnsi="Times New Roman" w:cs="Times New Roman"/>
                <w:b w:val="0"/>
                <w:sz w:val="24"/>
                <w:szCs w:val="24"/>
              </w:rPr>
              <w:t>Projekta</w:t>
            </w:r>
            <w:r w:rsidRPr="006E6BBB">
              <w:rPr>
                <w:rFonts w:ascii="Times New Roman" w:hAnsi="Times New Roman" w:cs="Times New Roman"/>
                <w:b w:val="0"/>
                <w:sz w:val="24"/>
                <w:szCs w:val="24"/>
              </w:rPr>
              <w:t xml:space="preserve"> īstenošanas ilgum</w:t>
            </w:r>
            <w:r w:rsidR="003C1202">
              <w:rPr>
                <w:rFonts w:ascii="Times New Roman" w:hAnsi="Times New Roman" w:cs="Times New Roman"/>
                <w:b w:val="0"/>
                <w:sz w:val="24"/>
                <w:szCs w:val="24"/>
              </w:rPr>
              <w:t>s jāpagarina</w:t>
            </w:r>
            <w:r w:rsidRPr="006E6BBB">
              <w:rPr>
                <w:rFonts w:ascii="Times New Roman" w:hAnsi="Times New Roman" w:cs="Times New Roman"/>
                <w:b w:val="0"/>
                <w:sz w:val="24"/>
                <w:szCs w:val="24"/>
              </w:rPr>
              <w:t xml:space="preserve"> uz 36 mēnešiem</w:t>
            </w:r>
            <w:r w:rsidR="003C1202">
              <w:rPr>
                <w:rFonts w:ascii="Times New Roman" w:hAnsi="Times New Roman" w:cs="Times New Roman"/>
                <w:b w:val="0"/>
                <w:sz w:val="24"/>
                <w:szCs w:val="24"/>
              </w:rPr>
              <w:t>.</w:t>
            </w:r>
          </w:p>
          <w:p w14:paraId="7F38B210" w14:textId="3234610E" w:rsidR="00296250" w:rsidRPr="006E6BBB" w:rsidRDefault="00296250" w:rsidP="00C020CE">
            <w:pPr>
              <w:pStyle w:val="VPTitle"/>
              <w:spacing w:before="0" w:after="120" w:line="240" w:lineRule="auto"/>
              <w:jc w:val="both"/>
              <w:rPr>
                <w:rFonts w:ascii="Times New Roman" w:hAnsi="Times New Roman" w:cs="Times New Roman"/>
                <w:b w:val="0"/>
                <w:bCs w:val="0"/>
                <w:spacing w:val="0"/>
                <w:kern w:val="0"/>
                <w:sz w:val="24"/>
                <w:szCs w:val="24"/>
                <w:lang w:eastAsia="en-US"/>
              </w:rPr>
            </w:pPr>
            <w:r>
              <w:rPr>
                <w:rFonts w:ascii="Times New Roman" w:hAnsi="Times New Roman" w:cs="Times New Roman"/>
                <w:b w:val="0"/>
                <w:sz w:val="24"/>
                <w:szCs w:val="24"/>
              </w:rPr>
              <w:t xml:space="preserve">Ievērojot to, ka Centra tiesu medicīnas ekspertīzes procesi ir attiecināmi ne tikai uz kriminālprocesu, par ko dati tiek uzkrāti Kriminālprocesa informācijas sistēmā, bet arī administratīvo pārkāpumu procesu, par ko dati tiek uzkrāti Integrētās </w:t>
            </w:r>
            <w:proofErr w:type="spellStart"/>
            <w:r>
              <w:rPr>
                <w:rFonts w:ascii="Times New Roman" w:hAnsi="Times New Roman" w:cs="Times New Roman"/>
                <w:b w:val="0"/>
                <w:sz w:val="24"/>
                <w:szCs w:val="24"/>
              </w:rPr>
              <w:t>iekšlietu</w:t>
            </w:r>
            <w:proofErr w:type="spellEnd"/>
            <w:r>
              <w:rPr>
                <w:rFonts w:ascii="Times New Roman" w:hAnsi="Times New Roman" w:cs="Times New Roman"/>
                <w:b w:val="0"/>
                <w:sz w:val="24"/>
                <w:szCs w:val="24"/>
              </w:rPr>
              <w:t xml:space="preserve"> informācijas sistēmas apakšsistēmā “Admin</w:t>
            </w:r>
            <w:r w:rsidR="009814C6">
              <w:rPr>
                <w:rFonts w:ascii="Times New Roman" w:hAnsi="Times New Roman" w:cs="Times New Roman"/>
                <w:b w:val="0"/>
                <w:sz w:val="24"/>
                <w:szCs w:val="24"/>
              </w:rPr>
              <w:t>i</w:t>
            </w:r>
            <w:r>
              <w:rPr>
                <w:rFonts w:ascii="Times New Roman" w:hAnsi="Times New Roman" w:cs="Times New Roman"/>
                <w:b w:val="0"/>
                <w:sz w:val="24"/>
                <w:szCs w:val="24"/>
              </w:rPr>
              <w:t>str</w:t>
            </w:r>
            <w:r w:rsidR="00A63C4B">
              <w:rPr>
                <w:rFonts w:ascii="Times New Roman" w:hAnsi="Times New Roman" w:cs="Times New Roman"/>
                <w:b w:val="0"/>
                <w:sz w:val="24"/>
                <w:szCs w:val="24"/>
              </w:rPr>
              <w:t>at</w:t>
            </w:r>
            <w:r>
              <w:rPr>
                <w:rFonts w:ascii="Times New Roman" w:hAnsi="Times New Roman" w:cs="Times New Roman"/>
                <w:b w:val="0"/>
                <w:sz w:val="24"/>
                <w:szCs w:val="24"/>
              </w:rPr>
              <w:t>īvos pārkāpumus izdarījušās personas”</w:t>
            </w:r>
            <w:r w:rsidR="00574B84">
              <w:rPr>
                <w:rFonts w:ascii="Times New Roman" w:hAnsi="Times New Roman" w:cs="Times New Roman"/>
                <w:b w:val="0"/>
                <w:sz w:val="24"/>
                <w:szCs w:val="24"/>
              </w:rPr>
              <w:t>, ko regulē</w:t>
            </w:r>
            <w:r w:rsidR="002834E9">
              <w:rPr>
                <w:rFonts w:ascii="Times New Roman" w:hAnsi="Times New Roman" w:cs="Times New Roman"/>
                <w:b w:val="0"/>
                <w:sz w:val="24"/>
                <w:szCs w:val="24"/>
              </w:rPr>
              <w:t xml:space="preserve">, </w:t>
            </w:r>
            <w:r w:rsidR="00AA2895">
              <w:rPr>
                <w:rFonts w:ascii="Times New Roman" w:hAnsi="Times New Roman" w:cs="Times New Roman"/>
                <w:b w:val="0"/>
                <w:sz w:val="24"/>
                <w:szCs w:val="24"/>
              </w:rPr>
              <w:t>detalizēt</w:t>
            </w:r>
            <w:r w:rsidR="006D2D82">
              <w:rPr>
                <w:rFonts w:ascii="Times New Roman" w:hAnsi="Times New Roman" w:cs="Times New Roman"/>
                <w:b w:val="0"/>
                <w:sz w:val="24"/>
                <w:szCs w:val="24"/>
              </w:rPr>
              <w:t>o</w:t>
            </w:r>
            <w:r w:rsidR="00AA2895">
              <w:rPr>
                <w:rFonts w:ascii="Times New Roman" w:hAnsi="Times New Roman" w:cs="Times New Roman"/>
                <w:b w:val="0"/>
                <w:sz w:val="24"/>
                <w:szCs w:val="24"/>
              </w:rPr>
              <w:t xml:space="preserve"> projekta aprakst</w:t>
            </w:r>
            <w:r w:rsidR="006D2D82">
              <w:rPr>
                <w:rFonts w:ascii="Times New Roman" w:hAnsi="Times New Roman" w:cs="Times New Roman"/>
                <w:b w:val="0"/>
                <w:sz w:val="24"/>
                <w:szCs w:val="24"/>
              </w:rPr>
              <w:t>u</w:t>
            </w:r>
            <w:r w:rsidR="00AA2895">
              <w:rPr>
                <w:rFonts w:ascii="Times New Roman" w:hAnsi="Times New Roman" w:cs="Times New Roman"/>
                <w:b w:val="0"/>
                <w:sz w:val="24"/>
                <w:szCs w:val="24"/>
              </w:rPr>
              <w:t xml:space="preserve">, papildus Projektā </w:t>
            </w:r>
            <w:r w:rsidR="006D2D82">
              <w:rPr>
                <w:rFonts w:ascii="Times New Roman" w:hAnsi="Times New Roman" w:cs="Times New Roman"/>
                <w:b w:val="0"/>
                <w:sz w:val="24"/>
                <w:szCs w:val="24"/>
              </w:rPr>
              <w:t xml:space="preserve">jau </w:t>
            </w:r>
            <w:r w:rsidR="00AA2895">
              <w:rPr>
                <w:rFonts w:ascii="Times New Roman" w:hAnsi="Times New Roman" w:cs="Times New Roman"/>
                <w:b w:val="0"/>
                <w:sz w:val="24"/>
                <w:szCs w:val="24"/>
              </w:rPr>
              <w:t xml:space="preserve">paredzētajai datu apmaiņai ar Kriminālprocesa informācijas sistēmu,  nepieciešams papildināt ar informāciju par datu nodošanu </w:t>
            </w:r>
            <w:r w:rsidR="00AA2895" w:rsidRPr="00C15B8F">
              <w:rPr>
                <w:rFonts w:ascii="Times New Roman" w:hAnsi="Times New Roman" w:cs="Times New Roman"/>
                <w:b w:val="0"/>
                <w:sz w:val="24"/>
                <w:szCs w:val="24"/>
              </w:rPr>
              <w:t>Sodu reģistr</w:t>
            </w:r>
            <w:r w:rsidR="00AA2895">
              <w:rPr>
                <w:rFonts w:ascii="Times New Roman" w:hAnsi="Times New Roman" w:cs="Times New Roman"/>
                <w:b w:val="0"/>
                <w:sz w:val="24"/>
                <w:szCs w:val="24"/>
              </w:rPr>
              <w:t>a</w:t>
            </w:r>
            <w:r w:rsidR="00412672">
              <w:rPr>
                <w:rFonts w:ascii="Times New Roman" w:hAnsi="Times New Roman" w:cs="Times New Roman"/>
                <w:b w:val="0"/>
                <w:sz w:val="24"/>
                <w:szCs w:val="24"/>
              </w:rPr>
              <w:t>m</w:t>
            </w:r>
            <w:r w:rsidR="006D2D82">
              <w:rPr>
                <w:rFonts w:ascii="Times New Roman" w:hAnsi="Times New Roman" w:cs="Times New Roman"/>
                <w:b w:val="0"/>
                <w:sz w:val="24"/>
                <w:szCs w:val="24"/>
              </w:rPr>
              <w:t xml:space="preserve">. </w:t>
            </w:r>
            <w:r w:rsidR="00574B84">
              <w:rPr>
                <w:rFonts w:ascii="Times New Roman" w:hAnsi="Times New Roman" w:cs="Times New Roman"/>
                <w:b w:val="0"/>
                <w:sz w:val="24"/>
                <w:szCs w:val="24"/>
              </w:rPr>
              <w:t>D</w:t>
            </w:r>
            <w:r w:rsidR="006D2D82">
              <w:rPr>
                <w:rFonts w:ascii="Times New Roman" w:hAnsi="Times New Roman" w:cs="Times New Roman"/>
                <w:b w:val="0"/>
                <w:sz w:val="24"/>
                <w:szCs w:val="24"/>
              </w:rPr>
              <w:t xml:space="preserve">atu apjoms un no tā izrietošo tiesību aktu </w:t>
            </w:r>
            <w:r w:rsidR="006D2D82">
              <w:rPr>
                <w:rFonts w:ascii="Times New Roman" w:hAnsi="Times New Roman" w:cs="Times New Roman"/>
                <w:b w:val="0"/>
                <w:sz w:val="24"/>
                <w:szCs w:val="24"/>
              </w:rPr>
              <w:lastRenderedPageBreak/>
              <w:t xml:space="preserve">grozījumu veikšana Projekta gaitā tiks precizēta ar Projekta sadarbības partneri </w:t>
            </w:r>
            <w:proofErr w:type="spellStart"/>
            <w:r w:rsidR="006D2D82">
              <w:rPr>
                <w:rFonts w:ascii="Times New Roman" w:hAnsi="Times New Roman" w:cs="Times New Roman"/>
                <w:b w:val="0"/>
                <w:sz w:val="24"/>
                <w:szCs w:val="24"/>
              </w:rPr>
              <w:t>Iekšlietu</w:t>
            </w:r>
            <w:proofErr w:type="spellEnd"/>
            <w:r w:rsidR="006D2D82">
              <w:rPr>
                <w:rFonts w:ascii="Times New Roman" w:hAnsi="Times New Roman" w:cs="Times New Roman"/>
                <w:b w:val="0"/>
                <w:sz w:val="24"/>
                <w:szCs w:val="24"/>
              </w:rPr>
              <w:t xml:space="preserve"> ministrijas Informācijas centru.</w:t>
            </w:r>
          </w:p>
          <w:p w14:paraId="7634CAC2" w14:textId="2536A3AF" w:rsidR="00B559D5" w:rsidRPr="00836FE4" w:rsidRDefault="00A755CF" w:rsidP="003B64FD">
            <w:pPr>
              <w:pStyle w:val="VPTitle"/>
              <w:spacing w:before="0" w:after="120" w:line="240" w:lineRule="auto"/>
              <w:jc w:val="both"/>
            </w:pPr>
            <w:r>
              <w:rPr>
                <w:rFonts w:ascii="Times New Roman" w:hAnsi="Times New Roman" w:cs="Times New Roman"/>
                <w:b w:val="0"/>
                <w:bCs w:val="0"/>
                <w:spacing w:val="0"/>
                <w:kern w:val="0"/>
                <w:sz w:val="24"/>
                <w:szCs w:val="24"/>
                <w:lang w:eastAsia="en-US"/>
              </w:rPr>
              <w:t xml:space="preserve">Projekta īstenošanas laika izmaiņas </w:t>
            </w:r>
            <w:r w:rsidR="00F15799" w:rsidRPr="00836FE4">
              <w:rPr>
                <w:rFonts w:ascii="Times New Roman" w:hAnsi="Times New Roman" w:cs="Times New Roman"/>
                <w:b w:val="0"/>
                <w:bCs w:val="0"/>
                <w:spacing w:val="0"/>
                <w:kern w:val="0"/>
                <w:sz w:val="24"/>
                <w:szCs w:val="24"/>
                <w:lang w:eastAsia="en-US"/>
              </w:rPr>
              <w:t>tika izvērtēt</w:t>
            </w:r>
            <w:r>
              <w:rPr>
                <w:rFonts w:ascii="Times New Roman" w:hAnsi="Times New Roman" w:cs="Times New Roman"/>
                <w:b w:val="0"/>
                <w:bCs w:val="0"/>
                <w:spacing w:val="0"/>
                <w:kern w:val="0"/>
                <w:sz w:val="24"/>
                <w:szCs w:val="24"/>
                <w:lang w:eastAsia="en-US"/>
              </w:rPr>
              <w:t>a</w:t>
            </w:r>
            <w:r w:rsidR="00F15799" w:rsidRPr="00836FE4">
              <w:rPr>
                <w:rFonts w:ascii="Times New Roman" w:hAnsi="Times New Roman" w:cs="Times New Roman"/>
                <w:b w:val="0"/>
                <w:bCs w:val="0"/>
                <w:spacing w:val="0"/>
                <w:kern w:val="0"/>
                <w:sz w:val="24"/>
                <w:szCs w:val="24"/>
                <w:lang w:eastAsia="en-US"/>
              </w:rPr>
              <w:t xml:space="preserve">s </w:t>
            </w:r>
            <w:r w:rsidR="006F2877">
              <w:rPr>
                <w:rFonts w:ascii="Times New Roman" w:hAnsi="Times New Roman" w:cs="Times New Roman"/>
                <w:b w:val="0"/>
                <w:bCs w:val="0"/>
                <w:spacing w:val="0"/>
                <w:kern w:val="0"/>
                <w:sz w:val="24"/>
                <w:szCs w:val="24"/>
                <w:lang w:eastAsia="en-US"/>
              </w:rPr>
              <w:t>un atbalstīt</w:t>
            </w:r>
            <w:r>
              <w:rPr>
                <w:rFonts w:ascii="Times New Roman" w:hAnsi="Times New Roman" w:cs="Times New Roman"/>
                <w:b w:val="0"/>
                <w:bCs w:val="0"/>
                <w:spacing w:val="0"/>
                <w:kern w:val="0"/>
                <w:sz w:val="24"/>
                <w:szCs w:val="24"/>
                <w:lang w:eastAsia="en-US"/>
              </w:rPr>
              <w:t>a</w:t>
            </w:r>
            <w:r w:rsidR="006F2877">
              <w:rPr>
                <w:rFonts w:ascii="Times New Roman" w:hAnsi="Times New Roman" w:cs="Times New Roman"/>
                <w:b w:val="0"/>
                <w:bCs w:val="0"/>
                <w:spacing w:val="0"/>
                <w:kern w:val="0"/>
                <w:sz w:val="24"/>
                <w:szCs w:val="24"/>
                <w:lang w:eastAsia="en-US"/>
              </w:rPr>
              <w:t xml:space="preserve">s </w:t>
            </w:r>
            <w:r w:rsidR="00F15799" w:rsidRPr="00836FE4">
              <w:rPr>
                <w:rFonts w:ascii="Times New Roman" w:hAnsi="Times New Roman" w:cs="Times New Roman"/>
                <w:b w:val="0"/>
                <w:bCs w:val="0"/>
                <w:spacing w:val="0"/>
                <w:kern w:val="0"/>
                <w:sz w:val="24"/>
                <w:szCs w:val="24"/>
                <w:lang w:eastAsia="en-US"/>
              </w:rPr>
              <w:t>Vides aizsardzības un reģionālās attīstības ministrij</w:t>
            </w:r>
            <w:r>
              <w:rPr>
                <w:rFonts w:ascii="Times New Roman" w:hAnsi="Times New Roman" w:cs="Times New Roman"/>
                <w:b w:val="0"/>
                <w:bCs w:val="0"/>
                <w:spacing w:val="0"/>
                <w:kern w:val="0"/>
                <w:sz w:val="24"/>
                <w:szCs w:val="24"/>
                <w:lang w:eastAsia="en-US"/>
              </w:rPr>
              <w:t>ā</w:t>
            </w:r>
            <w:r w:rsidR="00F15799" w:rsidRPr="00836FE4">
              <w:rPr>
                <w:sz w:val="24"/>
                <w:szCs w:val="24"/>
              </w:rPr>
              <w:t>.</w:t>
            </w:r>
          </w:p>
        </w:tc>
      </w:tr>
      <w:tr w:rsidR="004940F6" w14:paraId="05472508" w14:textId="77777777" w:rsidTr="00024CBF">
        <w:trPr>
          <w:trHeight w:val="476"/>
        </w:trPr>
        <w:tc>
          <w:tcPr>
            <w:tcW w:w="567" w:type="pct"/>
            <w:tcBorders>
              <w:top w:val="thickThinLargeGap" w:sz="6" w:space="0" w:color="C0C0C0"/>
              <w:left w:val="thickThinLargeGap" w:sz="6" w:space="0" w:color="C0C0C0"/>
              <w:bottom w:val="thickThinLargeGap" w:sz="6" w:space="0" w:color="C0C0C0"/>
            </w:tcBorders>
          </w:tcPr>
          <w:p w14:paraId="37C12823" w14:textId="77777777" w:rsidR="00B559D5" w:rsidRPr="00836FE4" w:rsidRDefault="00F15799" w:rsidP="00262DE5">
            <w:r w:rsidRPr="00836FE4">
              <w:rPr>
                <w:lang w:eastAsia="en-US"/>
              </w:rPr>
              <w:lastRenderedPageBreak/>
              <w:t> 3.</w:t>
            </w:r>
          </w:p>
        </w:tc>
        <w:tc>
          <w:tcPr>
            <w:tcW w:w="968" w:type="pct"/>
            <w:tcBorders>
              <w:top w:val="thickThinLargeGap" w:sz="6" w:space="0" w:color="C0C0C0"/>
              <w:left w:val="thickThinLargeGap" w:sz="6" w:space="0" w:color="C0C0C0"/>
              <w:bottom w:val="thickThinLargeGap" w:sz="6" w:space="0" w:color="C0C0C0"/>
            </w:tcBorders>
          </w:tcPr>
          <w:p w14:paraId="082D9731" w14:textId="77777777" w:rsidR="00B559D5" w:rsidRPr="00836FE4" w:rsidRDefault="00F15799" w:rsidP="00262DE5">
            <w:r w:rsidRPr="00836FE4">
              <w:rPr>
                <w:lang w:eastAsia="en-US"/>
              </w:rPr>
              <w:t>Projekta izstrādē iesaistītās institūcijas un publiskas personas kapitālsabiedrības</w:t>
            </w:r>
          </w:p>
        </w:tc>
        <w:tc>
          <w:tcPr>
            <w:tcW w:w="3465" w:type="pct"/>
            <w:tcBorders>
              <w:top w:val="thickThinLargeGap" w:sz="6" w:space="0" w:color="C0C0C0"/>
              <w:left w:val="thickThinLargeGap" w:sz="6" w:space="0" w:color="C0C0C0"/>
              <w:bottom w:val="thickThinLargeGap" w:sz="6" w:space="0" w:color="C0C0C0"/>
              <w:right w:val="thickThinLargeGap" w:sz="6" w:space="0" w:color="C0C0C0"/>
            </w:tcBorders>
          </w:tcPr>
          <w:p w14:paraId="28C0BE09" w14:textId="618CBEEF" w:rsidR="00B559D5" w:rsidRPr="00836FE4" w:rsidRDefault="00E43D53" w:rsidP="00262DE5">
            <w:pPr>
              <w:pStyle w:val="VPBody"/>
              <w:spacing w:after="120" w:line="276" w:lineRule="auto"/>
              <w:rPr>
                <w:sz w:val="24"/>
                <w:szCs w:val="24"/>
              </w:rPr>
            </w:pPr>
            <w:r w:rsidRPr="00C020CE">
              <w:t xml:space="preserve">Valsts tiesu medicīnas ekspertīzes centrs </w:t>
            </w:r>
          </w:p>
        </w:tc>
      </w:tr>
      <w:tr w:rsidR="004940F6" w14:paraId="7892BBAA" w14:textId="77777777" w:rsidTr="00024CBF">
        <w:tc>
          <w:tcPr>
            <w:tcW w:w="567" w:type="pct"/>
            <w:tcBorders>
              <w:top w:val="thickThinLargeGap" w:sz="6" w:space="0" w:color="C0C0C0"/>
              <w:left w:val="thickThinLargeGap" w:sz="6" w:space="0" w:color="C0C0C0"/>
              <w:bottom w:val="thickThinLargeGap" w:sz="6" w:space="0" w:color="C0C0C0"/>
            </w:tcBorders>
          </w:tcPr>
          <w:p w14:paraId="15645B82" w14:textId="77777777" w:rsidR="00B559D5" w:rsidRPr="00836FE4" w:rsidRDefault="00F15799" w:rsidP="00262DE5">
            <w:r w:rsidRPr="00836FE4">
              <w:rPr>
                <w:lang w:eastAsia="en-US"/>
              </w:rPr>
              <w:t> 4.</w:t>
            </w:r>
          </w:p>
        </w:tc>
        <w:tc>
          <w:tcPr>
            <w:tcW w:w="968" w:type="pct"/>
            <w:tcBorders>
              <w:top w:val="thickThinLargeGap" w:sz="6" w:space="0" w:color="C0C0C0"/>
              <w:left w:val="thickThinLargeGap" w:sz="6" w:space="0" w:color="C0C0C0"/>
              <w:bottom w:val="thickThinLargeGap" w:sz="6" w:space="0" w:color="C0C0C0"/>
            </w:tcBorders>
          </w:tcPr>
          <w:p w14:paraId="46173529" w14:textId="77777777" w:rsidR="00B559D5" w:rsidRPr="00836FE4" w:rsidRDefault="00F15799" w:rsidP="00262DE5">
            <w:r w:rsidRPr="00836FE4">
              <w:rPr>
                <w:lang w:eastAsia="en-US"/>
              </w:rPr>
              <w:t> Cita informācija</w:t>
            </w:r>
          </w:p>
        </w:tc>
        <w:tc>
          <w:tcPr>
            <w:tcW w:w="3465" w:type="pct"/>
            <w:tcBorders>
              <w:top w:val="thickThinLargeGap" w:sz="6" w:space="0" w:color="C0C0C0"/>
              <w:left w:val="thickThinLargeGap" w:sz="6" w:space="0" w:color="C0C0C0"/>
              <w:bottom w:val="thickThinLargeGap" w:sz="6" w:space="0" w:color="C0C0C0"/>
              <w:right w:val="thickThinLargeGap" w:sz="6" w:space="0" w:color="C0C0C0"/>
            </w:tcBorders>
          </w:tcPr>
          <w:p w14:paraId="035F42CF" w14:textId="77777777" w:rsidR="00B559D5" w:rsidRPr="00836FE4" w:rsidRDefault="00F15799" w:rsidP="00262DE5">
            <w:pPr>
              <w:jc w:val="both"/>
            </w:pPr>
            <w:r w:rsidRPr="00836FE4">
              <w:rPr>
                <w:lang w:eastAsia="en-US"/>
              </w:rPr>
              <w:t>Nav.</w:t>
            </w:r>
          </w:p>
        </w:tc>
      </w:tr>
    </w:tbl>
    <w:p w14:paraId="30365900" w14:textId="77777777" w:rsidR="00B559D5" w:rsidRPr="00836FE4" w:rsidRDefault="00F15799" w:rsidP="00B559D5">
      <w:pPr>
        <w:jc w:val="both"/>
      </w:pPr>
      <w:r w:rsidRPr="00836FE4">
        <w:t> </w:t>
      </w:r>
    </w:p>
    <w:tbl>
      <w:tblPr>
        <w:tblW w:w="5000" w:type="pct"/>
        <w:tblCellMar>
          <w:left w:w="0" w:type="dxa"/>
          <w:right w:w="0" w:type="dxa"/>
        </w:tblCellMar>
        <w:tblLook w:val="0000" w:firstRow="0" w:lastRow="0" w:firstColumn="0" w:lastColumn="0" w:noHBand="0" w:noVBand="0"/>
      </w:tblPr>
      <w:tblGrid>
        <w:gridCol w:w="1050"/>
        <w:gridCol w:w="2317"/>
        <w:gridCol w:w="5502"/>
      </w:tblGrid>
      <w:tr w:rsidR="004940F6" w14:paraId="3904390E" w14:textId="77777777" w:rsidTr="00024CBF">
        <w:trPr>
          <w:trHeight w:val="585"/>
        </w:trPr>
        <w:tc>
          <w:tcPr>
            <w:tcW w:w="5000" w:type="pct"/>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0132BD" w14:textId="77777777" w:rsidR="00B559D5" w:rsidRPr="00836FE4" w:rsidRDefault="00F15799" w:rsidP="00262DE5">
            <w:pPr>
              <w:jc w:val="center"/>
            </w:pPr>
            <w:r w:rsidRPr="00836FE4">
              <w:rPr>
                <w:b/>
                <w:bCs/>
              </w:rPr>
              <w:t> II. Tiesību akta projekta ietekme uz sabiedrību, tautsaimniecības attīstību un administratīvo slogu</w:t>
            </w:r>
          </w:p>
        </w:tc>
      </w:tr>
      <w:tr w:rsidR="004940F6" w14:paraId="412C7E0B" w14:textId="77777777" w:rsidTr="00024CBF">
        <w:tblPrEx>
          <w:tblCellMar>
            <w:left w:w="57" w:type="dxa"/>
            <w:right w:w="57" w:type="dxa"/>
          </w:tblCellMar>
        </w:tblPrEx>
        <w:trPr>
          <w:trHeight w:val="905"/>
        </w:trPr>
        <w:tc>
          <w:tcPr>
            <w:tcW w:w="592" w:type="pct"/>
            <w:tcBorders>
              <w:top w:val="thickThinLargeGap" w:sz="6" w:space="0" w:color="C0C0C0"/>
              <w:left w:val="thickThinLargeGap" w:sz="6" w:space="0" w:color="C0C0C0"/>
              <w:bottom w:val="thickThinLargeGap" w:sz="6" w:space="0" w:color="C0C0C0"/>
            </w:tcBorders>
          </w:tcPr>
          <w:p w14:paraId="720D90FF" w14:textId="77777777" w:rsidR="00B559D5" w:rsidRPr="00836FE4" w:rsidRDefault="00F15799" w:rsidP="00262DE5">
            <w:r w:rsidRPr="00836FE4">
              <w:rPr>
                <w:lang w:eastAsia="en-US"/>
              </w:rPr>
              <w:t>1.</w:t>
            </w:r>
          </w:p>
        </w:tc>
        <w:tc>
          <w:tcPr>
            <w:tcW w:w="1306" w:type="pct"/>
            <w:tcBorders>
              <w:top w:val="thickThinLargeGap" w:sz="6" w:space="0" w:color="C0C0C0"/>
              <w:left w:val="thickThinLargeGap" w:sz="6" w:space="0" w:color="C0C0C0"/>
              <w:bottom w:val="thickThinLargeGap" w:sz="6" w:space="0" w:color="C0C0C0"/>
            </w:tcBorders>
          </w:tcPr>
          <w:p w14:paraId="0D806859" w14:textId="77777777" w:rsidR="00B559D5" w:rsidRPr="00836FE4" w:rsidRDefault="00F15799" w:rsidP="00262DE5">
            <w:r w:rsidRPr="00836FE4">
              <w:rPr>
                <w:lang w:eastAsia="en-US"/>
              </w:rPr>
              <w:t xml:space="preserve">Sabiedrības </w:t>
            </w:r>
            <w:proofErr w:type="spellStart"/>
            <w:r w:rsidRPr="00836FE4">
              <w:rPr>
                <w:lang w:eastAsia="en-US"/>
              </w:rPr>
              <w:t>mērķgrupas</w:t>
            </w:r>
            <w:proofErr w:type="spellEnd"/>
            <w:r w:rsidRPr="00836FE4">
              <w:rPr>
                <w:lang w:eastAsia="en-US"/>
              </w:rPr>
              <w:t>, kuras tiesiskais regulējums ietekmē vai varētu ietekmēt</w:t>
            </w:r>
          </w:p>
        </w:tc>
        <w:tc>
          <w:tcPr>
            <w:tcW w:w="3102" w:type="pct"/>
            <w:tcBorders>
              <w:top w:val="thickThinLargeGap" w:sz="6" w:space="0" w:color="C0C0C0"/>
              <w:left w:val="thickThinLargeGap" w:sz="6" w:space="0" w:color="C0C0C0"/>
              <w:bottom w:val="thickThinLargeGap" w:sz="6" w:space="0" w:color="C0C0C0"/>
              <w:right w:val="thickThinLargeGap" w:sz="6" w:space="0" w:color="C0C0C0"/>
            </w:tcBorders>
          </w:tcPr>
          <w:p w14:paraId="595729C2" w14:textId="77777777" w:rsidR="00B16558" w:rsidRDefault="00B16558" w:rsidP="00B16558">
            <w:pPr>
              <w:pStyle w:val="naiskr"/>
              <w:spacing w:before="0" w:after="0"/>
              <w:ind w:left="71"/>
              <w:jc w:val="both"/>
            </w:pPr>
            <w:r>
              <w:rPr>
                <w:lang w:eastAsia="en-US"/>
              </w:rPr>
              <w:t>V</w:t>
            </w:r>
            <w:r w:rsidRPr="00106DC3">
              <w:rPr>
                <w:lang w:eastAsia="en-US"/>
              </w:rPr>
              <w:t>alsts pārvalde</w:t>
            </w:r>
            <w:r>
              <w:rPr>
                <w:lang w:eastAsia="en-US"/>
              </w:rPr>
              <w:t xml:space="preserve">, jo īpaši, </w:t>
            </w:r>
            <w:proofErr w:type="spellStart"/>
            <w:r>
              <w:rPr>
                <w:lang w:eastAsia="en-US"/>
              </w:rPr>
              <w:t>tiesībsargājošās</w:t>
            </w:r>
            <w:proofErr w:type="spellEnd"/>
            <w:r>
              <w:rPr>
                <w:lang w:eastAsia="en-US"/>
              </w:rPr>
              <w:t xml:space="preserve"> iestādes,</w:t>
            </w:r>
            <w:r w:rsidRPr="00106DC3">
              <w:rPr>
                <w:lang w:eastAsia="en-US"/>
              </w:rPr>
              <w:t xml:space="preserve"> </w:t>
            </w:r>
            <w:r>
              <w:rPr>
                <w:lang w:eastAsia="en-US"/>
              </w:rPr>
              <w:t>iedzīvotāji, komersanti.</w:t>
            </w:r>
          </w:p>
          <w:p w14:paraId="7BE95345" w14:textId="7FE9CFE3" w:rsidR="00B559D5" w:rsidRPr="00836FE4" w:rsidRDefault="00B16558" w:rsidP="00B16558">
            <w:pPr>
              <w:pStyle w:val="naiskr"/>
              <w:ind w:left="71"/>
              <w:jc w:val="both"/>
            </w:pPr>
            <w:r w:rsidRPr="008B0188">
              <w:rPr>
                <w:lang w:eastAsia="en-US"/>
              </w:rPr>
              <w:t xml:space="preserve">Netiešā veidā var tikt ietekmēta jebkura sabiedrības </w:t>
            </w:r>
            <w:proofErr w:type="spellStart"/>
            <w:r w:rsidRPr="008B0188">
              <w:rPr>
                <w:lang w:eastAsia="en-US"/>
              </w:rPr>
              <w:t>mērķgrupa</w:t>
            </w:r>
            <w:proofErr w:type="spellEnd"/>
          </w:p>
        </w:tc>
      </w:tr>
      <w:tr w:rsidR="004940F6" w14:paraId="5EFABE2A" w14:textId="77777777" w:rsidTr="00024CBF">
        <w:tblPrEx>
          <w:tblCellMar>
            <w:left w:w="57" w:type="dxa"/>
            <w:right w:w="57" w:type="dxa"/>
          </w:tblCellMar>
        </w:tblPrEx>
        <w:trPr>
          <w:trHeight w:val="628"/>
        </w:trPr>
        <w:tc>
          <w:tcPr>
            <w:tcW w:w="592" w:type="pct"/>
            <w:tcBorders>
              <w:top w:val="thickThinLargeGap" w:sz="6" w:space="0" w:color="C0C0C0"/>
              <w:left w:val="thickThinLargeGap" w:sz="6" w:space="0" w:color="C0C0C0"/>
              <w:bottom w:val="thickThinLargeGap" w:sz="6" w:space="0" w:color="C0C0C0"/>
            </w:tcBorders>
          </w:tcPr>
          <w:p w14:paraId="62EC4F20" w14:textId="77777777" w:rsidR="00B559D5" w:rsidRPr="00836FE4" w:rsidRDefault="00F15799" w:rsidP="00262DE5">
            <w:r w:rsidRPr="00836FE4">
              <w:rPr>
                <w:lang w:eastAsia="en-US"/>
              </w:rPr>
              <w:t>2.</w:t>
            </w:r>
          </w:p>
        </w:tc>
        <w:tc>
          <w:tcPr>
            <w:tcW w:w="1306" w:type="pct"/>
            <w:tcBorders>
              <w:top w:val="thickThinLargeGap" w:sz="6" w:space="0" w:color="C0C0C0"/>
              <w:left w:val="thickThinLargeGap" w:sz="6" w:space="0" w:color="C0C0C0"/>
              <w:bottom w:val="thickThinLargeGap" w:sz="6" w:space="0" w:color="C0C0C0"/>
            </w:tcBorders>
          </w:tcPr>
          <w:p w14:paraId="1EA46461" w14:textId="77777777" w:rsidR="00B559D5" w:rsidRPr="00836FE4" w:rsidRDefault="00F15799" w:rsidP="00262DE5">
            <w:r w:rsidRPr="00836FE4">
              <w:rPr>
                <w:lang w:eastAsia="en-US"/>
              </w:rPr>
              <w:t>Tiesiskā regulējuma ietekme uz tautsaimniecību un administratīvo slogu</w:t>
            </w:r>
          </w:p>
        </w:tc>
        <w:tc>
          <w:tcPr>
            <w:tcW w:w="3102" w:type="pct"/>
            <w:tcBorders>
              <w:top w:val="thickThinLargeGap" w:sz="6" w:space="0" w:color="C0C0C0"/>
              <w:left w:val="thickThinLargeGap" w:sz="6" w:space="0" w:color="C0C0C0"/>
              <w:bottom w:val="thickThinLargeGap" w:sz="6" w:space="0" w:color="C0C0C0"/>
              <w:right w:val="thickThinLargeGap" w:sz="6" w:space="0" w:color="C0C0C0"/>
            </w:tcBorders>
          </w:tcPr>
          <w:p w14:paraId="58B2BDEE" w14:textId="7C6636B4" w:rsidR="00752FE4" w:rsidRPr="00836FE4" w:rsidRDefault="00B16558" w:rsidP="00752FE4">
            <w:pPr>
              <w:pStyle w:val="naiskr"/>
              <w:spacing w:before="0" w:after="0"/>
              <w:ind w:left="71"/>
              <w:jc w:val="both"/>
            </w:pPr>
            <w:r w:rsidRPr="008B0188">
              <w:t xml:space="preserve">Projektā paredzētās aktivitātes ir </w:t>
            </w:r>
            <w:r>
              <w:t xml:space="preserve">tiesu medicīniskās ekspertīzes un saistīto procesu efektivitātes paaugstināšanu, </w:t>
            </w:r>
            <w:r w:rsidRPr="00D0303C">
              <w:t xml:space="preserve">tādejādi uzlabojot </w:t>
            </w:r>
            <w:r>
              <w:t xml:space="preserve">VTMEC </w:t>
            </w:r>
            <w:r w:rsidRPr="00D0303C">
              <w:t>sniegto pakalpojumu kvalitāti</w:t>
            </w:r>
            <w:r>
              <w:t xml:space="preserve"> un pieejamību</w:t>
            </w:r>
            <w:r w:rsidRPr="00D0303C">
              <w:t>.</w:t>
            </w:r>
          </w:p>
          <w:p w14:paraId="0BB2A1ED" w14:textId="6B7F1E83" w:rsidR="00B559D5" w:rsidRPr="00836FE4" w:rsidRDefault="00B559D5" w:rsidP="00262DE5">
            <w:pPr>
              <w:pStyle w:val="naiskr"/>
              <w:spacing w:before="0" w:after="0"/>
              <w:ind w:left="71"/>
              <w:jc w:val="both"/>
            </w:pPr>
          </w:p>
        </w:tc>
      </w:tr>
      <w:tr w:rsidR="004940F6" w14:paraId="7DF48EF0" w14:textId="77777777" w:rsidTr="00024CBF">
        <w:tblPrEx>
          <w:tblCellMar>
            <w:left w:w="57" w:type="dxa"/>
            <w:right w:w="57" w:type="dxa"/>
          </w:tblCellMar>
        </w:tblPrEx>
        <w:tc>
          <w:tcPr>
            <w:tcW w:w="592" w:type="pct"/>
            <w:tcBorders>
              <w:top w:val="thickThinLargeGap" w:sz="6" w:space="0" w:color="C0C0C0"/>
              <w:left w:val="thickThinLargeGap" w:sz="6" w:space="0" w:color="C0C0C0"/>
              <w:bottom w:val="thickThinLargeGap" w:sz="6" w:space="0" w:color="C0C0C0"/>
            </w:tcBorders>
          </w:tcPr>
          <w:p w14:paraId="545E2C85" w14:textId="77777777" w:rsidR="00B559D5" w:rsidRPr="00836FE4" w:rsidRDefault="00F15799" w:rsidP="00262DE5">
            <w:r w:rsidRPr="00836FE4">
              <w:rPr>
                <w:lang w:eastAsia="en-US"/>
              </w:rPr>
              <w:t>3.</w:t>
            </w:r>
          </w:p>
        </w:tc>
        <w:tc>
          <w:tcPr>
            <w:tcW w:w="1306" w:type="pct"/>
            <w:tcBorders>
              <w:top w:val="thickThinLargeGap" w:sz="6" w:space="0" w:color="C0C0C0"/>
              <w:left w:val="thickThinLargeGap" w:sz="6" w:space="0" w:color="C0C0C0"/>
              <w:bottom w:val="thickThinLargeGap" w:sz="6" w:space="0" w:color="C0C0C0"/>
            </w:tcBorders>
          </w:tcPr>
          <w:p w14:paraId="3BDECD4C" w14:textId="77777777" w:rsidR="00B559D5" w:rsidRPr="00836FE4" w:rsidRDefault="00F15799" w:rsidP="00262DE5">
            <w:r w:rsidRPr="00836FE4">
              <w:rPr>
                <w:lang w:eastAsia="en-US"/>
              </w:rPr>
              <w:t>Administratīvo izmaksu monetārais novērtējums</w:t>
            </w:r>
          </w:p>
        </w:tc>
        <w:tc>
          <w:tcPr>
            <w:tcW w:w="3102" w:type="pct"/>
            <w:tcBorders>
              <w:top w:val="thickThinLargeGap" w:sz="6" w:space="0" w:color="C0C0C0"/>
              <w:left w:val="thickThinLargeGap" w:sz="6" w:space="0" w:color="C0C0C0"/>
              <w:bottom w:val="thickThinLargeGap" w:sz="6" w:space="0" w:color="C0C0C0"/>
              <w:right w:val="thickThinLargeGap" w:sz="6" w:space="0" w:color="C0C0C0"/>
            </w:tcBorders>
          </w:tcPr>
          <w:p w14:paraId="6D76B46C" w14:textId="77777777" w:rsidR="00B559D5" w:rsidRPr="00836FE4" w:rsidRDefault="00F15799" w:rsidP="00262DE5">
            <w:pPr>
              <w:jc w:val="both"/>
            </w:pPr>
            <w:r w:rsidRPr="00836FE4">
              <w:t>Nav attiecināms</w:t>
            </w:r>
          </w:p>
        </w:tc>
      </w:tr>
      <w:tr w:rsidR="004940F6" w14:paraId="6632FD16" w14:textId="77777777" w:rsidTr="00024CBF">
        <w:tblPrEx>
          <w:tblCellMar>
            <w:left w:w="57" w:type="dxa"/>
            <w:right w:w="57" w:type="dxa"/>
          </w:tblCellMar>
        </w:tblPrEx>
        <w:tc>
          <w:tcPr>
            <w:tcW w:w="592" w:type="pct"/>
            <w:tcBorders>
              <w:top w:val="thickThinLargeGap" w:sz="6" w:space="0" w:color="C0C0C0"/>
              <w:left w:val="thickThinLargeGap" w:sz="6" w:space="0" w:color="C0C0C0"/>
              <w:bottom w:val="thickThinLargeGap" w:sz="6" w:space="0" w:color="C0C0C0"/>
            </w:tcBorders>
          </w:tcPr>
          <w:p w14:paraId="2A1C8932" w14:textId="77777777" w:rsidR="00B559D5" w:rsidRPr="00836FE4" w:rsidRDefault="00F15799" w:rsidP="00262DE5">
            <w:r w:rsidRPr="00836FE4">
              <w:rPr>
                <w:lang w:eastAsia="en-US"/>
              </w:rPr>
              <w:t>4.</w:t>
            </w:r>
          </w:p>
        </w:tc>
        <w:tc>
          <w:tcPr>
            <w:tcW w:w="1306" w:type="pct"/>
            <w:tcBorders>
              <w:top w:val="thickThinLargeGap" w:sz="6" w:space="0" w:color="C0C0C0"/>
              <w:left w:val="thickThinLargeGap" w:sz="6" w:space="0" w:color="C0C0C0"/>
              <w:bottom w:val="thickThinLargeGap" w:sz="6" w:space="0" w:color="C0C0C0"/>
            </w:tcBorders>
          </w:tcPr>
          <w:p w14:paraId="23C80E52" w14:textId="77777777" w:rsidR="00B559D5" w:rsidRPr="00836FE4" w:rsidRDefault="00F15799" w:rsidP="00262DE5">
            <w:r w:rsidRPr="00836FE4">
              <w:rPr>
                <w:lang w:eastAsia="en-US"/>
              </w:rPr>
              <w:t>Cita informācija</w:t>
            </w:r>
          </w:p>
        </w:tc>
        <w:tc>
          <w:tcPr>
            <w:tcW w:w="3102" w:type="pct"/>
            <w:tcBorders>
              <w:top w:val="thickThinLargeGap" w:sz="6" w:space="0" w:color="C0C0C0"/>
              <w:left w:val="thickThinLargeGap" w:sz="6" w:space="0" w:color="C0C0C0"/>
              <w:bottom w:val="thickThinLargeGap" w:sz="6" w:space="0" w:color="C0C0C0"/>
              <w:right w:val="thickThinLargeGap" w:sz="6" w:space="0" w:color="C0C0C0"/>
            </w:tcBorders>
          </w:tcPr>
          <w:p w14:paraId="4CDA1A62" w14:textId="77777777" w:rsidR="00B559D5" w:rsidRPr="00836FE4" w:rsidRDefault="00F15799" w:rsidP="00262DE5">
            <w:pPr>
              <w:jc w:val="both"/>
            </w:pPr>
            <w:r w:rsidRPr="00836FE4">
              <w:rPr>
                <w:lang w:eastAsia="en-US"/>
              </w:rPr>
              <w:t xml:space="preserve">Nav </w:t>
            </w:r>
          </w:p>
        </w:tc>
      </w:tr>
    </w:tbl>
    <w:p w14:paraId="6CEDB14C" w14:textId="77777777" w:rsidR="00A9591E" w:rsidRPr="00836FE4" w:rsidRDefault="00A9591E" w:rsidP="00B559D5">
      <w:pPr>
        <w:jc w:val="both"/>
      </w:pPr>
    </w:p>
    <w:tbl>
      <w:tblPr>
        <w:tblpPr w:leftFromText="180" w:rightFromText="180" w:vertAnchor="text" w:tblpXSpec="center" w:tblpY="1"/>
        <w:tblOverlap w:val="neve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8"/>
        <w:gridCol w:w="960"/>
        <w:gridCol w:w="1054"/>
        <w:gridCol w:w="867"/>
        <w:gridCol w:w="1054"/>
        <w:gridCol w:w="867"/>
        <w:gridCol w:w="1054"/>
        <w:gridCol w:w="1069"/>
      </w:tblGrid>
      <w:tr w:rsidR="00A9591E" w14:paraId="7C4E5144" w14:textId="755D5EEB" w:rsidTr="00024CBF">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Pr>
          <w:p w14:paraId="1A0F5063" w14:textId="397C4571" w:rsidR="00A9591E" w:rsidRPr="00836FE4" w:rsidRDefault="00A9591E" w:rsidP="007E7A79">
            <w:pPr>
              <w:rPr>
                <w:b/>
                <w:bCs/>
                <w:iCs/>
                <w:color w:val="414142"/>
                <w:lang w:eastAsia="lv-LV"/>
              </w:rPr>
            </w:pPr>
            <w:r w:rsidRPr="00836FE4">
              <w:rPr>
                <w:b/>
                <w:bCs/>
                <w:iCs/>
                <w:color w:val="414142"/>
                <w:lang w:eastAsia="lv-LV"/>
              </w:rPr>
              <w:t>III. Tiesību akta projekta ietekme uz valsts budžetu un pašvaldību budžetiem</w:t>
            </w:r>
          </w:p>
        </w:tc>
      </w:tr>
      <w:tr w:rsidR="00A9591E" w14:paraId="316E9348" w14:textId="588BB8E9" w:rsidTr="00024CBF">
        <w:trPr>
          <w:tblCellSpacing w:w="15" w:type="dxa"/>
          <w:jc w:val="center"/>
        </w:trPr>
        <w:tc>
          <w:tcPr>
            <w:tcW w:w="1277" w:type="pct"/>
            <w:vMerge w:val="restart"/>
            <w:tcBorders>
              <w:top w:val="outset" w:sz="6" w:space="0" w:color="auto"/>
              <w:left w:val="outset" w:sz="6" w:space="0" w:color="auto"/>
              <w:bottom w:val="outset" w:sz="6" w:space="0" w:color="auto"/>
              <w:right w:val="outset" w:sz="6" w:space="0" w:color="auto"/>
            </w:tcBorders>
            <w:vAlign w:val="center"/>
            <w:hideMark/>
          </w:tcPr>
          <w:p w14:paraId="63908F38" w14:textId="77777777" w:rsidR="00A9591E" w:rsidRPr="00836FE4" w:rsidRDefault="00A9591E" w:rsidP="007E7A79">
            <w:pPr>
              <w:rPr>
                <w:iCs/>
                <w:color w:val="414142"/>
                <w:lang w:eastAsia="lv-LV"/>
              </w:rPr>
            </w:pPr>
            <w:r w:rsidRPr="00836FE4">
              <w:rPr>
                <w:iCs/>
                <w:color w:val="414142"/>
                <w:lang w:eastAsia="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BD33860" w14:textId="44F4B498" w:rsidR="00A9591E" w:rsidRPr="00836FE4" w:rsidRDefault="00A9591E" w:rsidP="007E7A79">
            <w:pPr>
              <w:rPr>
                <w:iCs/>
                <w:color w:val="414142"/>
                <w:lang w:eastAsia="lv-LV"/>
              </w:rPr>
            </w:pPr>
            <w:r w:rsidRPr="00836FE4">
              <w:rPr>
                <w:iCs/>
                <w:color w:val="414142"/>
                <w:lang w:eastAsia="lv-LV"/>
              </w:rPr>
              <w:t>20</w:t>
            </w:r>
            <w:r w:rsidR="00017002">
              <w:rPr>
                <w:iCs/>
                <w:color w:val="414142"/>
                <w:lang w:eastAsia="lv-LV"/>
              </w:rPr>
              <w:t>20</w:t>
            </w:r>
          </w:p>
        </w:tc>
        <w:tc>
          <w:tcPr>
            <w:tcW w:w="2651" w:type="pct"/>
            <w:gridSpan w:val="5"/>
            <w:tcBorders>
              <w:top w:val="outset" w:sz="6" w:space="0" w:color="auto"/>
              <w:left w:val="outset" w:sz="6" w:space="0" w:color="auto"/>
              <w:bottom w:val="outset" w:sz="6" w:space="0" w:color="auto"/>
              <w:right w:val="outset" w:sz="6" w:space="0" w:color="auto"/>
            </w:tcBorders>
          </w:tcPr>
          <w:p w14:paraId="03419F69" w14:textId="14C749D6" w:rsidR="00A9591E" w:rsidRPr="00836FE4" w:rsidRDefault="00A9591E" w:rsidP="007E7A79">
            <w:pPr>
              <w:rPr>
                <w:iCs/>
                <w:color w:val="414142"/>
                <w:lang w:eastAsia="lv-LV"/>
              </w:rPr>
            </w:pPr>
            <w:r w:rsidRPr="00836FE4">
              <w:rPr>
                <w:iCs/>
                <w:color w:val="414142"/>
                <w:lang w:eastAsia="lv-LV"/>
              </w:rPr>
              <w:t>Turpmākie trīs gadi (</w:t>
            </w:r>
            <w:proofErr w:type="spellStart"/>
            <w:r w:rsidRPr="00836FE4">
              <w:rPr>
                <w:i/>
                <w:iCs/>
                <w:color w:val="414142"/>
                <w:lang w:eastAsia="lv-LV"/>
              </w:rPr>
              <w:t>euro</w:t>
            </w:r>
            <w:proofErr w:type="spellEnd"/>
            <w:r w:rsidRPr="00836FE4">
              <w:rPr>
                <w:iCs/>
                <w:color w:val="414142"/>
                <w:lang w:eastAsia="lv-LV"/>
              </w:rPr>
              <w:t>)</w:t>
            </w:r>
          </w:p>
        </w:tc>
      </w:tr>
      <w:tr w:rsidR="00A9591E" w14:paraId="2FD5D7C7" w14:textId="078D2DAE" w:rsidTr="00024CBF">
        <w:trPr>
          <w:tblCellSpacing w:w="15" w:type="dxa"/>
          <w:jc w:val="center"/>
        </w:trPr>
        <w:tc>
          <w:tcPr>
            <w:tcW w:w="1277" w:type="pct"/>
            <w:vMerge/>
            <w:tcBorders>
              <w:top w:val="outset" w:sz="6" w:space="0" w:color="auto"/>
              <w:left w:val="outset" w:sz="6" w:space="0" w:color="auto"/>
              <w:bottom w:val="outset" w:sz="6" w:space="0" w:color="auto"/>
              <w:right w:val="outset" w:sz="6" w:space="0" w:color="auto"/>
            </w:tcBorders>
            <w:vAlign w:val="center"/>
            <w:hideMark/>
          </w:tcPr>
          <w:p w14:paraId="7A14FCFB" w14:textId="77777777" w:rsidR="00A9591E" w:rsidRPr="00836FE4" w:rsidRDefault="00A9591E" w:rsidP="007E7A79">
            <w:pPr>
              <w:rPr>
                <w:iCs/>
                <w:color w:val="414142"/>
                <w:lang w:eastAsia="lv-LV"/>
              </w:rPr>
            </w:pPr>
          </w:p>
        </w:tc>
        <w:tc>
          <w:tcPr>
            <w:tcW w:w="1014" w:type="pct"/>
            <w:gridSpan w:val="2"/>
            <w:vMerge/>
            <w:tcBorders>
              <w:top w:val="outset" w:sz="6" w:space="0" w:color="auto"/>
              <w:left w:val="outset" w:sz="6" w:space="0" w:color="auto"/>
              <w:bottom w:val="outset" w:sz="6" w:space="0" w:color="auto"/>
              <w:right w:val="outset" w:sz="6" w:space="0" w:color="auto"/>
            </w:tcBorders>
            <w:vAlign w:val="center"/>
            <w:hideMark/>
          </w:tcPr>
          <w:p w14:paraId="123A227F" w14:textId="77777777" w:rsidR="00A9591E" w:rsidRPr="00836FE4" w:rsidRDefault="00A9591E" w:rsidP="007E7A79">
            <w:pPr>
              <w:rPr>
                <w:iCs/>
                <w:color w:val="414142"/>
                <w:lang w:eastAsia="lv-LV"/>
              </w:rPr>
            </w:pPr>
          </w:p>
        </w:tc>
        <w:tc>
          <w:tcPr>
            <w:tcW w:w="1014" w:type="pct"/>
            <w:gridSpan w:val="2"/>
            <w:tcBorders>
              <w:top w:val="outset" w:sz="6" w:space="0" w:color="auto"/>
              <w:left w:val="outset" w:sz="6" w:space="0" w:color="auto"/>
              <w:bottom w:val="outset" w:sz="6" w:space="0" w:color="auto"/>
              <w:right w:val="outset" w:sz="6" w:space="0" w:color="auto"/>
            </w:tcBorders>
            <w:vAlign w:val="center"/>
            <w:hideMark/>
          </w:tcPr>
          <w:p w14:paraId="2A724DFF" w14:textId="571D4274" w:rsidR="00A9591E" w:rsidRPr="00836FE4" w:rsidRDefault="00A9591E" w:rsidP="007E7A79">
            <w:pPr>
              <w:rPr>
                <w:iCs/>
                <w:color w:val="414142"/>
                <w:lang w:eastAsia="lv-LV"/>
              </w:rPr>
            </w:pPr>
            <w:r w:rsidRPr="00836FE4">
              <w:rPr>
                <w:iCs/>
                <w:color w:val="414142"/>
                <w:lang w:eastAsia="lv-LV"/>
              </w:rPr>
              <w:t>20</w:t>
            </w:r>
            <w:r>
              <w:rPr>
                <w:iCs/>
                <w:color w:val="414142"/>
                <w:lang w:eastAsia="lv-LV"/>
              </w:rPr>
              <w:t>2</w:t>
            </w:r>
            <w:r w:rsidR="00017002">
              <w:rPr>
                <w:iCs/>
                <w:color w:val="414142"/>
                <w:lang w:eastAsia="lv-LV"/>
              </w:rPr>
              <w:t>1</w:t>
            </w:r>
          </w:p>
        </w:tc>
        <w:tc>
          <w:tcPr>
            <w:tcW w:w="1014" w:type="pct"/>
            <w:gridSpan w:val="2"/>
            <w:tcBorders>
              <w:top w:val="outset" w:sz="6" w:space="0" w:color="auto"/>
              <w:left w:val="outset" w:sz="6" w:space="0" w:color="auto"/>
              <w:bottom w:val="outset" w:sz="6" w:space="0" w:color="auto"/>
              <w:right w:val="outset" w:sz="6" w:space="0" w:color="auto"/>
            </w:tcBorders>
            <w:vAlign w:val="center"/>
            <w:hideMark/>
          </w:tcPr>
          <w:p w14:paraId="1C1ECB63" w14:textId="2EBCBA34" w:rsidR="00A9591E" w:rsidRPr="00836FE4" w:rsidRDefault="00A9591E" w:rsidP="007E7A79">
            <w:pPr>
              <w:rPr>
                <w:iCs/>
                <w:color w:val="414142"/>
                <w:lang w:eastAsia="lv-LV"/>
              </w:rPr>
            </w:pPr>
            <w:r w:rsidRPr="00836FE4">
              <w:rPr>
                <w:iCs/>
                <w:color w:val="414142"/>
                <w:lang w:eastAsia="lv-LV"/>
              </w:rPr>
              <w:t>202</w:t>
            </w:r>
            <w:r w:rsidR="00017002">
              <w:rPr>
                <w:iCs/>
                <w:color w:val="414142"/>
                <w:lang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4E1E17F9" w14:textId="4D195148" w:rsidR="00A9591E" w:rsidRPr="00836FE4" w:rsidRDefault="00A9591E" w:rsidP="007E7A79">
            <w:pPr>
              <w:rPr>
                <w:iCs/>
                <w:color w:val="414142"/>
                <w:lang w:eastAsia="lv-LV"/>
              </w:rPr>
            </w:pPr>
            <w:r w:rsidRPr="00836FE4">
              <w:rPr>
                <w:iCs/>
                <w:color w:val="414142"/>
                <w:lang w:eastAsia="lv-LV"/>
              </w:rPr>
              <w:t>202</w:t>
            </w:r>
            <w:r w:rsidR="00017002">
              <w:rPr>
                <w:iCs/>
                <w:color w:val="414142"/>
                <w:lang w:eastAsia="lv-LV"/>
              </w:rPr>
              <w:t>3</w:t>
            </w:r>
          </w:p>
        </w:tc>
      </w:tr>
      <w:tr w:rsidR="00194750" w14:paraId="63C29CB8" w14:textId="738A78EC" w:rsidTr="00024CBF">
        <w:trPr>
          <w:tblCellSpacing w:w="15" w:type="dxa"/>
          <w:jc w:val="center"/>
        </w:trPr>
        <w:tc>
          <w:tcPr>
            <w:tcW w:w="1277" w:type="pct"/>
            <w:vMerge/>
            <w:tcBorders>
              <w:top w:val="outset" w:sz="6" w:space="0" w:color="auto"/>
              <w:left w:val="outset" w:sz="6" w:space="0" w:color="auto"/>
              <w:bottom w:val="outset" w:sz="6" w:space="0" w:color="auto"/>
              <w:right w:val="outset" w:sz="6" w:space="0" w:color="auto"/>
            </w:tcBorders>
            <w:vAlign w:val="center"/>
            <w:hideMark/>
          </w:tcPr>
          <w:p w14:paraId="39C3C5A2" w14:textId="77777777" w:rsidR="00194750" w:rsidRPr="00836FE4" w:rsidRDefault="00194750" w:rsidP="007E7A79">
            <w:pPr>
              <w:rPr>
                <w:iCs/>
                <w:color w:val="414142"/>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2681B79D" w14:textId="77777777" w:rsidR="00194750" w:rsidRPr="00836FE4" w:rsidRDefault="00194750" w:rsidP="007E7A79">
            <w:pPr>
              <w:rPr>
                <w:iCs/>
                <w:color w:val="414142"/>
                <w:lang w:eastAsia="lv-LV"/>
              </w:rPr>
            </w:pPr>
            <w:r w:rsidRPr="00836FE4">
              <w:rPr>
                <w:iCs/>
                <w:color w:val="414142"/>
                <w:lang w:eastAsia="lv-LV"/>
              </w:rPr>
              <w:t>saskaņā ar valsts budžetu kārtējam gadam</w:t>
            </w:r>
          </w:p>
        </w:tc>
        <w:tc>
          <w:tcPr>
            <w:tcW w:w="534" w:type="pct"/>
            <w:tcBorders>
              <w:top w:val="outset" w:sz="6" w:space="0" w:color="auto"/>
              <w:left w:val="outset" w:sz="6" w:space="0" w:color="auto"/>
              <w:bottom w:val="outset" w:sz="6" w:space="0" w:color="auto"/>
              <w:right w:val="outset" w:sz="6" w:space="0" w:color="auto"/>
            </w:tcBorders>
            <w:vAlign w:val="center"/>
            <w:hideMark/>
          </w:tcPr>
          <w:p w14:paraId="596DBAC1" w14:textId="77777777" w:rsidR="00194750" w:rsidRPr="00836FE4" w:rsidRDefault="00194750" w:rsidP="007E7A79">
            <w:pPr>
              <w:rPr>
                <w:iCs/>
                <w:color w:val="414142"/>
                <w:lang w:eastAsia="lv-LV"/>
              </w:rPr>
            </w:pPr>
            <w:r w:rsidRPr="00836FE4">
              <w:rPr>
                <w:iCs/>
                <w:color w:val="414142"/>
                <w:lang w:eastAsia="lv-LV"/>
              </w:rPr>
              <w:t>izmaiņas kārtējā gadā, salīdzinot ar valsts budžetu kārtējam 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2EF7BC14" w14:textId="6C9068F5" w:rsidR="00194750" w:rsidRPr="00836FE4" w:rsidRDefault="00194750" w:rsidP="00A9591E">
            <w:pPr>
              <w:rPr>
                <w:iCs/>
                <w:color w:val="414142"/>
                <w:lang w:eastAsia="lv-LV"/>
              </w:rPr>
            </w:pPr>
            <w:r w:rsidRPr="00836FE4">
              <w:rPr>
                <w:iCs/>
                <w:color w:val="414142"/>
                <w:lang w:eastAsia="lv-LV"/>
              </w:rPr>
              <w:t xml:space="preserve">saskaņā ar </w:t>
            </w:r>
            <w:r>
              <w:rPr>
                <w:iCs/>
                <w:color w:val="414142"/>
                <w:lang w:eastAsia="lv-LV"/>
              </w:rPr>
              <w:t xml:space="preserve">vidēja termiņa </w:t>
            </w:r>
            <w:r w:rsidRPr="00836FE4">
              <w:rPr>
                <w:iCs/>
                <w:color w:val="414142"/>
                <w:lang w:eastAsia="lv-LV"/>
              </w:rPr>
              <w:t>budžet</w:t>
            </w:r>
            <w:r>
              <w:rPr>
                <w:iCs/>
                <w:color w:val="414142"/>
                <w:lang w:eastAsia="lv-LV"/>
              </w:rPr>
              <w:t>a ietvaru</w:t>
            </w:r>
          </w:p>
        </w:tc>
        <w:tc>
          <w:tcPr>
            <w:tcW w:w="534" w:type="pct"/>
            <w:tcBorders>
              <w:top w:val="outset" w:sz="6" w:space="0" w:color="auto"/>
              <w:left w:val="outset" w:sz="6" w:space="0" w:color="auto"/>
              <w:bottom w:val="outset" w:sz="6" w:space="0" w:color="auto"/>
              <w:right w:val="outset" w:sz="6" w:space="0" w:color="auto"/>
            </w:tcBorders>
            <w:vAlign w:val="center"/>
          </w:tcPr>
          <w:p w14:paraId="3AEB3BC2" w14:textId="3A7E7F9B" w:rsidR="00194750" w:rsidRPr="00836FE4" w:rsidRDefault="00194750" w:rsidP="007E7A79">
            <w:pPr>
              <w:rPr>
                <w:iCs/>
                <w:color w:val="414142"/>
                <w:lang w:eastAsia="lv-LV"/>
              </w:rPr>
            </w:pPr>
            <w:r w:rsidRPr="00836FE4">
              <w:rPr>
                <w:iCs/>
                <w:color w:val="414142"/>
                <w:lang w:eastAsia="lv-LV"/>
              </w:rPr>
              <w:t>izmaiņas, salīdzinot ar vidēja termiņa budžeta ietvaru 20</w:t>
            </w:r>
            <w:r>
              <w:rPr>
                <w:iCs/>
                <w:color w:val="414142"/>
                <w:lang w:eastAsia="lv-LV"/>
              </w:rPr>
              <w:t xml:space="preserve">20 </w:t>
            </w:r>
            <w:r w:rsidRPr="00836FE4">
              <w:rPr>
                <w:iCs/>
                <w:color w:val="414142"/>
                <w:lang w:eastAsia="lv-LV"/>
              </w:rPr>
              <w:t>gadam</w:t>
            </w:r>
          </w:p>
        </w:tc>
        <w:tc>
          <w:tcPr>
            <w:tcW w:w="465" w:type="pct"/>
            <w:tcBorders>
              <w:top w:val="outset" w:sz="6" w:space="0" w:color="auto"/>
              <w:left w:val="outset" w:sz="6" w:space="0" w:color="auto"/>
              <w:bottom w:val="outset" w:sz="6" w:space="0" w:color="auto"/>
              <w:right w:val="outset" w:sz="6" w:space="0" w:color="auto"/>
            </w:tcBorders>
            <w:vAlign w:val="center"/>
            <w:hideMark/>
          </w:tcPr>
          <w:p w14:paraId="759795BA" w14:textId="2E320F07" w:rsidR="00194750" w:rsidRPr="00836FE4" w:rsidRDefault="00194750" w:rsidP="007E7A79">
            <w:pPr>
              <w:rPr>
                <w:iCs/>
                <w:color w:val="414142"/>
                <w:lang w:eastAsia="lv-LV"/>
              </w:rPr>
            </w:pPr>
            <w:r w:rsidRPr="00836FE4">
              <w:rPr>
                <w:iCs/>
                <w:color w:val="414142"/>
                <w:lang w:eastAsia="lv-LV"/>
              </w:rPr>
              <w:t xml:space="preserve">saskaņā ar </w:t>
            </w:r>
            <w:r>
              <w:rPr>
                <w:iCs/>
                <w:color w:val="414142"/>
                <w:lang w:eastAsia="lv-LV"/>
              </w:rPr>
              <w:t xml:space="preserve">vidēja termiņa </w:t>
            </w:r>
            <w:r w:rsidRPr="00836FE4">
              <w:rPr>
                <w:iCs/>
                <w:color w:val="414142"/>
                <w:lang w:eastAsia="lv-LV"/>
              </w:rPr>
              <w:t>budžet</w:t>
            </w:r>
            <w:r>
              <w:rPr>
                <w:iCs/>
                <w:color w:val="414142"/>
                <w:lang w:eastAsia="lv-LV"/>
              </w:rPr>
              <w:t>a ietvaru</w:t>
            </w:r>
          </w:p>
          <w:p w14:paraId="50C8177A" w14:textId="2507FCA0" w:rsidR="00194750" w:rsidRPr="00836FE4" w:rsidRDefault="00194750" w:rsidP="007E7A79">
            <w:pPr>
              <w:rPr>
                <w:iCs/>
                <w:color w:val="414142"/>
                <w:lang w:eastAsia="lv-LV"/>
              </w:rPr>
            </w:pPr>
          </w:p>
        </w:tc>
        <w:tc>
          <w:tcPr>
            <w:tcW w:w="534" w:type="pct"/>
            <w:tcBorders>
              <w:top w:val="outset" w:sz="6" w:space="0" w:color="auto"/>
              <w:left w:val="outset" w:sz="6" w:space="0" w:color="auto"/>
              <w:bottom w:val="outset" w:sz="6" w:space="0" w:color="auto"/>
              <w:right w:val="outset" w:sz="6" w:space="0" w:color="auto"/>
            </w:tcBorders>
            <w:vAlign w:val="center"/>
          </w:tcPr>
          <w:p w14:paraId="5160F320" w14:textId="3E733B53" w:rsidR="00194750" w:rsidRPr="00836FE4" w:rsidRDefault="00194750" w:rsidP="007E7A79">
            <w:pPr>
              <w:rPr>
                <w:iCs/>
                <w:color w:val="414142"/>
                <w:lang w:eastAsia="lv-LV"/>
              </w:rPr>
            </w:pPr>
            <w:r w:rsidRPr="00836FE4">
              <w:rPr>
                <w:iCs/>
                <w:color w:val="414142"/>
                <w:lang w:eastAsia="lv-LV"/>
              </w:rPr>
              <w:t>izmaiņas, salīdzinot ar vidēja termiņa budžeta ietvaru 202</w:t>
            </w:r>
            <w:r>
              <w:rPr>
                <w:iCs/>
                <w:color w:val="414142"/>
                <w:lang w:eastAsia="lv-LV"/>
              </w:rPr>
              <w:t>1</w:t>
            </w:r>
            <w:r w:rsidRPr="00836FE4">
              <w:rPr>
                <w:iCs/>
                <w:color w:val="414142"/>
                <w:lang w:eastAsia="lv-LV"/>
              </w:rPr>
              <w:t xml:space="preserve"> gadam</w:t>
            </w:r>
          </w:p>
        </w:tc>
        <w:tc>
          <w:tcPr>
            <w:tcW w:w="595" w:type="pct"/>
            <w:tcBorders>
              <w:top w:val="outset" w:sz="6" w:space="0" w:color="auto"/>
              <w:left w:val="outset" w:sz="6" w:space="0" w:color="auto"/>
              <w:bottom w:val="outset" w:sz="6" w:space="0" w:color="auto"/>
              <w:right w:val="outset" w:sz="6" w:space="0" w:color="auto"/>
            </w:tcBorders>
            <w:vAlign w:val="center"/>
          </w:tcPr>
          <w:p w14:paraId="224DDF9C" w14:textId="17C00BD7" w:rsidR="00194750" w:rsidRPr="00836FE4" w:rsidRDefault="00194750" w:rsidP="007E7A79">
            <w:pPr>
              <w:rPr>
                <w:iCs/>
                <w:color w:val="414142"/>
                <w:lang w:eastAsia="lv-LV"/>
              </w:rPr>
            </w:pPr>
            <w:r w:rsidRPr="00836FE4">
              <w:rPr>
                <w:iCs/>
                <w:color w:val="414142"/>
                <w:lang w:eastAsia="lv-LV"/>
              </w:rPr>
              <w:t>izmaiņas, salīdzinot ar vidēja termiņa budžeta ietvaru 202</w:t>
            </w:r>
            <w:r>
              <w:rPr>
                <w:iCs/>
                <w:color w:val="414142"/>
                <w:lang w:eastAsia="lv-LV"/>
              </w:rPr>
              <w:t>2</w:t>
            </w:r>
            <w:r w:rsidRPr="00836FE4">
              <w:rPr>
                <w:iCs/>
                <w:color w:val="414142"/>
                <w:lang w:eastAsia="lv-LV"/>
              </w:rPr>
              <w:t xml:space="preserve"> gadam</w:t>
            </w:r>
          </w:p>
        </w:tc>
      </w:tr>
      <w:tr w:rsidR="00194750" w14:paraId="5F540591" w14:textId="2088307A"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vAlign w:val="center"/>
            <w:hideMark/>
          </w:tcPr>
          <w:p w14:paraId="3C0330A9" w14:textId="77777777" w:rsidR="00194750" w:rsidRPr="00836FE4" w:rsidRDefault="00194750" w:rsidP="007E7A79">
            <w:pPr>
              <w:jc w:val="center"/>
              <w:rPr>
                <w:iCs/>
                <w:color w:val="414142"/>
                <w:lang w:eastAsia="lv-LV"/>
              </w:rPr>
            </w:pPr>
            <w:r w:rsidRPr="00836FE4">
              <w:rPr>
                <w:iCs/>
                <w:color w:val="414142"/>
                <w:lang w:eastAsia="lv-LV"/>
              </w:rPr>
              <w:t>1</w:t>
            </w:r>
          </w:p>
        </w:tc>
        <w:tc>
          <w:tcPr>
            <w:tcW w:w="465" w:type="pct"/>
            <w:tcBorders>
              <w:top w:val="outset" w:sz="6" w:space="0" w:color="auto"/>
              <w:left w:val="outset" w:sz="6" w:space="0" w:color="auto"/>
              <w:bottom w:val="outset" w:sz="6" w:space="0" w:color="auto"/>
              <w:right w:val="outset" w:sz="6" w:space="0" w:color="auto"/>
            </w:tcBorders>
            <w:vAlign w:val="center"/>
            <w:hideMark/>
          </w:tcPr>
          <w:p w14:paraId="616E99DC" w14:textId="77777777" w:rsidR="00194750" w:rsidRPr="00836FE4" w:rsidRDefault="00194750" w:rsidP="007E7A79">
            <w:pPr>
              <w:jc w:val="center"/>
              <w:rPr>
                <w:iCs/>
                <w:color w:val="414142"/>
                <w:lang w:eastAsia="lv-LV"/>
              </w:rPr>
            </w:pPr>
            <w:r w:rsidRPr="00836FE4">
              <w:rPr>
                <w:iCs/>
                <w:color w:val="414142"/>
                <w:lang w:eastAsia="lv-LV"/>
              </w:rPr>
              <w:t>2</w:t>
            </w:r>
          </w:p>
        </w:tc>
        <w:tc>
          <w:tcPr>
            <w:tcW w:w="534" w:type="pct"/>
            <w:tcBorders>
              <w:top w:val="outset" w:sz="6" w:space="0" w:color="auto"/>
              <w:left w:val="outset" w:sz="6" w:space="0" w:color="auto"/>
              <w:bottom w:val="outset" w:sz="6" w:space="0" w:color="auto"/>
              <w:right w:val="outset" w:sz="6" w:space="0" w:color="auto"/>
            </w:tcBorders>
            <w:vAlign w:val="center"/>
            <w:hideMark/>
          </w:tcPr>
          <w:p w14:paraId="6B117E49" w14:textId="77777777" w:rsidR="00194750" w:rsidRPr="00836FE4" w:rsidRDefault="00194750" w:rsidP="007E7A79">
            <w:pPr>
              <w:jc w:val="center"/>
              <w:rPr>
                <w:iCs/>
                <w:color w:val="414142"/>
                <w:lang w:eastAsia="lv-LV"/>
              </w:rPr>
            </w:pPr>
            <w:r w:rsidRPr="00836FE4">
              <w:rPr>
                <w:iCs/>
                <w:color w:val="414142"/>
                <w:lang w:eastAsia="lv-LV"/>
              </w:rPr>
              <w:t>3</w:t>
            </w:r>
          </w:p>
        </w:tc>
        <w:tc>
          <w:tcPr>
            <w:tcW w:w="465" w:type="pct"/>
            <w:tcBorders>
              <w:top w:val="outset" w:sz="6" w:space="0" w:color="auto"/>
              <w:left w:val="outset" w:sz="6" w:space="0" w:color="auto"/>
              <w:bottom w:val="outset" w:sz="6" w:space="0" w:color="auto"/>
              <w:right w:val="outset" w:sz="6" w:space="0" w:color="auto"/>
            </w:tcBorders>
            <w:vAlign w:val="center"/>
          </w:tcPr>
          <w:p w14:paraId="7C3714A5" w14:textId="3840977A" w:rsidR="00194750" w:rsidRPr="00836FE4" w:rsidRDefault="00194750" w:rsidP="00774006">
            <w:pPr>
              <w:jc w:val="center"/>
              <w:rPr>
                <w:iCs/>
                <w:color w:val="414142"/>
                <w:lang w:eastAsia="lv-LV"/>
              </w:rPr>
            </w:pPr>
            <w:r>
              <w:rPr>
                <w:iCs/>
                <w:color w:val="414142"/>
                <w:lang w:eastAsia="lv-LV"/>
              </w:rPr>
              <w:t>4</w:t>
            </w:r>
          </w:p>
        </w:tc>
        <w:tc>
          <w:tcPr>
            <w:tcW w:w="534" w:type="pct"/>
            <w:tcBorders>
              <w:top w:val="outset" w:sz="6" w:space="0" w:color="auto"/>
              <w:left w:val="outset" w:sz="6" w:space="0" w:color="auto"/>
              <w:bottom w:val="outset" w:sz="6" w:space="0" w:color="auto"/>
              <w:right w:val="outset" w:sz="6" w:space="0" w:color="auto"/>
            </w:tcBorders>
            <w:vAlign w:val="center"/>
          </w:tcPr>
          <w:p w14:paraId="265C6FED" w14:textId="20FFFD50" w:rsidR="00194750" w:rsidRPr="00836FE4" w:rsidRDefault="00194750" w:rsidP="007E7A79">
            <w:pPr>
              <w:jc w:val="center"/>
              <w:rPr>
                <w:iCs/>
                <w:color w:val="414142"/>
                <w:lang w:eastAsia="lv-LV"/>
              </w:rPr>
            </w:pPr>
            <w:r>
              <w:rPr>
                <w:iCs/>
                <w:color w:val="414142"/>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tcPr>
          <w:p w14:paraId="2D09D2EA" w14:textId="47DD6AD9" w:rsidR="00194750" w:rsidRPr="00836FE4" w:rsidRDefault="00194750" w:rsidP="007E7A79">
            <w:pPr>
              <w:jc w:val="center"/>
              <w:rPr>
                <w:iCs/>
                <w:color w:val="414142"/>
                <w:lang w:eastAsia="lv-LV"/>
              </w:rPr>
            </w:pPr>
            <w:r>
              <w:rPr>
                <w:iCs/>
                <w:color w:val="414142"/>
                <w:lang w:eastAsia="lv-LV"/>
              </w:rPr>
              <w:t>6</w:t>
            </w:r>
          </w:p>
        </w:tc>
        <w:tc>
          <w:tcPr>
            <w:tcW w:w="534" w:type="pct"/>
            <w:tcBorders>
              <w:top w:val="outset" w:sz="6" w:space="0" w:color="auto"/>
              <w:left w:val="outset" w:sz="6" w:space="0" w:color="auto"/>
              <w:bottom w:val="outset" w:sz="6" w:space="0" w:color="auto"/>
              <w:right w:val="outset" w:sz="6" w:space="0" w:color="auto"/>
            </w:tcBorders>
            <w:vAlign w:val="center"/>
          </w:tcPr>
          <w:p w14:paraId="54D33FAB" w14:textId="1458D5CF" w:rsidR="00194750" w:rsidRPr="00836FE4" w:rsidRDefault="00194750" w:rsidP="007E7A79">
            <w:pPr>
              <w:jc w:val="center"/>
              <w:rPr>
                <w:iCs/>
                <w:color w:val="414142"/>
                <w:lang w:eastAsia="lv-LV"/>
              </w:rPr>
            </w:pPr>
            <w:r>
              <w:rPr>
                <w:iCs/>
                <w:color w:val="414142"/>
                <w:lang w:eastAsia="lv-LV"/>
              </w:rPr>
              <w:t>7</w:t>
            </w:r>
          </w:p>
        </w:tc>
        <w:tc>
          <w:tcPr>
            <w:tcW w:w="595" w:type="pct"/>
            <w:tcBorders>
              <w:top w:val="outset" w:sz="6" w:space="0" w:color="auto"/>
              <w:left w:val="outset" w:sz="6" w:space="0" w:color="auto"/>
              <w:bottom w:val="outset" w:sz="6" w:space="0" w:color="auto"/>
              <w:right w:val="outset" w:sz="6" w:space="0" w:color="auto"/>
            </w:tcBorders>
            <w:vAlign w:val="center"/>
          </w:tcPr>
          <w:p w14:paraId="23B872C4" w14:textId="2F0F2AE9" w:rsidR="00194750" w:rsidRPr="00836FE4" w:rsidRDefault="00194750" w:rsidP="007E7A79">
            <w:pPr>
              <w:jc w:val="center"/>
              <w:rPr>
                <w:iCs/>
                <w:color w:val="414142"/>
                <w:lang w:eastAsia="lv-LV"/>
              </w:rPr>
            </w:pPr>
            <w:r>
              <w:rPr>
                <w:iCs/>
                <w:color w:val="414142"/>
                <w:lang w:eastAsia="lv-LV"/>
              </w:rPr>
              <w:t>9</w:t>
            </w:r>
          </w:p>
        </w:tc>
      </w:tr>
      <w:tr w:rsidR="00194750" w14:paraId="4D821198" w14:textId="761796C0"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356682BD" w14:textId="77777777" w:rsidR="00194750" w:rsidRPr="00836FE4" w:rsidRDefault="00194750" w:rsidP="007E7A79">
            <w:pPr>
              <w:rPr>
                <w:iCs/>
                <w:color w:val="414142"/>
                <w:lang w:eastAsia="lv-LV"/>
              </w:rPr>
            </w:pPr>
            <w:r w:rsidRPr="00836FE4">
              <w:rPr>
                <w:iCs/>
                <w:color w:val="414142"/>
                <w:lang w:eastAsia="lv-LV"/>
              </w:rPr>
              <w:t>1. Budžeta ieņēmumi</w:t>
            </w:r>
          </w:p>
        </w:tc>
        <w:tc>
          <w:tcPr>
            <w:tcW w:w="465" w:type="pct"/>
            <w:tcBorders>
              <w:top w:val="outset" w:sz="6" w:space="0" w:color="auto"/>
              <w:left w:val="outset" w:sz="6" w:space="0" w:color="auto"/>
              <w:bottom w:val="outset" w:sz="6" w:space="0" w:color="auto"/>
              <w:right w:val="outset" w:sz="6" w:space="0" w:color="auto"/>
            </w:tcBorders>
            <w:vAlign w:val="center"/>
            <w:hideMark/>
          </w:tcPr>
          <w:p w14:paraId="38B25830" w14:textId="765A8F6C" w:rsidR="00194750" w:rsidRPr="00836FE4" w:rsidRDefault="00194750" w:rsidP="007E7A79">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2CEE06E0" w14:textId="29F92E5E" w:rsidR="00194750" w:rsidRPr="00836FE4" w:rsidRDefault="00017002" w:rsidP="00207590">
            <w:pPr>
              <w:jc w:val="right"/>
              <w:rPr>
                <w:iCs/>
                <w:color w:val="414142"/>
                <w:lang w:eastAsia="lv-LV"/>
              </w:rPr>
            </w:pPr>
            <w:r>
              <w:rPr>
                <w:iCs/>
                <w:color w:val="414142"/>
                <w:lang w:eastAsia="lv-LV"/>
              </w:rPr>
              <w:t>171 539</w:t>
            </w:r>
          </w:p>
        </w:tc>
        <w:tc>
          <w:tcPr>
            <w:tcW w:w="465" w:type="pct"/>
            <w:tcBorders>
              <w:top w:val="outset" w:sz="6" w:space="0" w:color="auto"/>
              <w:left w:val="outset" w:sz="6" w:space="0" w:color="auto"/>
              <w:bottom w:val="outset" w:sz="6" w:space="0" w:color="auto"/>
              <w:right w:val="outset" w:sz="6" w:space="0" w:color="auto"/>
            </w:tcBorders>
            <w:vAlign w:val="center"/>
          </w:tcPr>
          <w:p w14:paraId="574D655F" w14:textId="3A749B3E"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tcPr>
          <w:p w14:paraId="52AFEB8E" w14:textId="59945FC8" w:rsidR="00194750" w:rsidRDefault="00921745" w:rsidP="00207590">
            <w:pPr>
              <w:jc w:val="right"/>
              <w:rPr>
                <w:iCs/>
                <w:color w:val="414142"/>
                <w:lang w:eastAsia="lv-LV"/>
              </w:rPr>
            </w:pPr>
            <w:r>
              <w:rPr>
                <w:iCs/>
                <w:color w:val="414142"/>
                <w:lang w:eastAsia="lv-LV"/>
              </w:rPr>
              <w:t>5 146</w:t>
            </w:r>
          </w:p>
        </w:tc>
        <w:tc>
          <w:tcPr>
            <w:tcW w:w="465" w:type="pct"/>
            <w:tcBorders>
              <w:top w:val="outset" w:sz="6" w:space="0" w:color="auto"/>
              <w:left w:val="outset" w:sz="6" w:space="0" w:color="auto"/>
              <w:bottom w:val="outset" w:sz="6" w:space="0" w:color="auto"/>
              <w:right w:val="outset" w:sz="6" w:space="0" w:color="auto"/>
            </w:tcBorders>
            <w:vAlign w:val="center"/>
          </w:tcPr>
          <w:p w14:paraId="047EEE61" w14:textId="26747A68"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tcPr>
          <w:p w14:paraId="403EA6FE" w14:textId="7DE075BD" w:rsidR="00194750" w:rsidRDefault="00921745"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tcPr>
          <w:p w14:paraId="01FF43E2" w14:textId="7286709E" w:rsidR="00194750" w:rsidRDefault="00921745" w:rsidP="00207590">
            <w:pPr>
              <w:jc w:val="right"/>
              <w:rPr>
                <w:iCs/>
                <w:color w:val="414142"/>
                <w:lang w:eastAsia="lv-LV"/>
              </w:rPr>
            </w:pPr>
            <w:r>
              <w:rPr>
                <w:iCs/>
                <w:color w:val="414142"/>
                <w:lang w:eastAsia="lv-LV"/>
              </w:rPr>
              <w:t>0</w:t>
            </w:r>
          </w:p>
        </w:tc>
      </w:tr>
      <w:tr w:rsidR="00194750" w14:paraId="2496EB73" w14:textId="38DBD998"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1E9C78B" w14:textId="77777777" w:rsidR="00194750" w:rsidRPr="00836FE4" w:rsidRDefault="00194750" w:rsidP="007E7A79">
            <w:pPr>
              <w:rPr>
                <w:iCs/>
                <w:color w:val="414142"/>
                <w:lang w:eastAsia="lv-LV"/>
              </w:rPr>
            </w:pPr>
            <w:r w:rsidRPr="00836FE4">
              <w:rPr>
                <w:iCs/>
                <w:color w:val="414142"/>
                <w:lang w:eastAsia="lv-LV"/>
              </w:rPr>
              <w:lastRenderedPageBreak/>
              <w:t>1.1. valsts pamatbudžets, tai skaitā ieņēmumi no maksas pakalpojumiem un citi pašu ieņēmumi</w:t>
            </w:r>
          </w:p>
        </w:tc>
        <w:tc>
          <w:tcPr>
            <w:tcW w:w="465" w:type="pct"/>
            <w:tcBorders>
              <w:top w:val="outset" w:sz="6" w:space="0" w:color="auto"/>
              <w:left w:val="outset" w:sz="6" w:space="0" w:color="auto"/>
              <w:bottom w:val="outset" w:sz="6" w:space="0" w:color="auto"/>
              <w:right w:val="outset" w:sz="6" w:space="0" w:color="auto"/>
            </w:tcBorders>
            <w:vAlign w:val="center"/>
            <w:hideMark/>
          </w:tcPr>
          <w:p w14:paraId="5098D25F"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1CB6D2B" w14:textId="5768B1BA" w:rsidR="00194750" w:rsidRPr="00836FE4" w:rsidRDefault="00017002" w:rsidP="007E7A79">
            <w:pPr>
              <w:jc w:val="right"/>
              <w:rPr>
                <w:iCs/>
                <w:color w:val="414142"/>
                <w:lang w:eastAsia="lv-LV"/>
              </w:rPr>
            </w:pPr>
            <w:r>
              <w:rPr>
                <w:iCs/>
                <w:color w:val="414142"/>
                <w:lang w:eastAsia="lv-LV"/>
              </w:rPr>
              <w:t>171 539</w:t>
            </w:r>
          </w:p>
        </w:tc>
        <w:tc>
          <w:tcPr>
            <w:tcW w:w="465" w:type="pct"/>
            <w:tcBorders>
              <w:top w:val="outset" w:sz="6" w:space="0" w:color="auto"/>
              <w:left w:val="outset" w:sz="6" w:space="0" w:color="auto"/>
              <w:bottom w:val="outset" w:sz="6" w:space="0" w:color="auto"/>
              <w:right w:val="outset" w:sz="6" w:space="0" w:color="auto"/>
            </w:tcBorders>
            <w:vAlign w:val="center"/>
          </w:tcPr>
          <w:p w14:paraId="42D460D7" w14:textId="1D78252C" w:rsidR="00194750" w:rsidRPr="00836FE4" w:rsidRDefault="00194750" w:rsidP="00160AC1">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99760CE" w14:textId="6DC57836" w:rsidR="00194750" w:rsidRDefault="00194750" w:rsidP="00160AC1">
            <w:pPr>
              <w:jc w:val="right"/>
              <w:rPr>
                <w:iCs/>
                <w:color w:val="414142"/>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14:paraId="10D20A47" w14:textId="41EC842C" w:rsidR="00194750" w:rsidRPr="00836FE4" w:rsidRDefault="00194750" w:rsidP="00160AC1">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8FBCBD6" w14:textId="75C906CC" w:rsidR="00194750" w:rsidRDefault="00921745" w:rsidP="007E7A79">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6537614E" w14:textId="23CD6101" w:rsidR="00194750" w:rsidRDefault="00921745" w:rsidP="007E7A79">
            <w:pPr>
              <w:jc w:val="right"/>
              <w:rPr>
                <w:iCs/>
                <w:color w:val="414142"/>
                <w:lang w:eastAsia="lv-LV"/>
              </w:rPr>
            </w:pPr>
            <w:r>
              <w:rPr>
                <w:iCs/>
                <w:color w:val="414142"/>
                <w:lang w:eastAsia="lv-LV"/>
              </w:rPr>
              <w:t>0</w:t>
            </w:r>
          </w:p>
        </w:tc>
      </w:tr>
      <w:tr w:rsidR="00194750" w14:paraId="65877CB0" w14:textId="189CC9F3"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4CD35CA4" w14:textId="77777777" w:rsidR="00194750" w:rsidRPr="00836FE4" w:rsidRDefault="00194750" w:rsidP="007E7A79">
            <w:pPr>
              <w:rPr>
                <w:iCs/>
                <w:color w:val="414142"/>
                <w:lang w:eastAsia="lv-LV"/>
              </w:rPr>
            </w:pPr>
            <w:r w:rsidRPr="00836FE4">
              <w:rPr>
                <w:iCs/>
                <w:color w:val="414142"/>
                <w:lang w:eastAsia="lv-LV"/>
              </w:rPr>
              <w:t>1.2. valsts speciālais 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6395CC74" w14:textId="77777777" w:rsidR="00194750" w:rsidRPr="00836FE4" w:rsidRDefault="00194750" w:rsidP="007E7A79">
            <w:pPr>
              <w:jc w:val="right"/>
              <w:rPr>
                <w:iCs/>
                <w:color w:val="414142"/>
                <w:lang w:eastAsia="lv-LV"/>
              </w:rPr>
            </w:pPr>
            <w:r w:rsidRPr="00836FE4">
              <w:rPr>
                <w:iCs/>
                <w:color w:val="414142"/>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4D165EC" w14:textId="77777777" w:rsidR="00194750" w:rsidRPr="00836FE4" w:rsidRDefault="00194750" w:rsidP="007E7A79">
            <w:pPr>
              <w:jc w:val="right"/>
              <w:rPr>
                <w:iCs/>
                <w:color w:val="414142"/>
                <w:lang w:eastAsia="lv-LV"/>
              </w:rPr>
            </w:pPr>
            <w:r w:rsidRPr="00836FE4">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5694DF9C" w14:textId="7B133729" w:rsidR="00194750" w:rsidRPr="00836FE4" w:rsidRDefault="00194750" w:rsidP="00160AC1">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7EDF8FDD" w14:textId="49EE36E7" w:rsidR="00194750" w:rsidRPr="00836FE4" w:rsidRDefault="00194750" w:rsidP="00160AC1">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1F627A1F" w14:textId="3DD5842C" w:rsidR="00194750" w:rsidRPr="00836FE4" w:rsidRDefault="00194750" w:rsidP="00160AC1">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97B2F3F" w14:textId="433C5650" w:rsidR="00194750" w:rsidRPr="00836FE4" w:rsidRDefault="00194750" w:rsidP="007E7A79">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1FC363C" w14:textId="7C1C36E5" w:rsidR="00194750" w:rsidRPr="00836FE4" w:rsidRDefault="00194750" w:rsidP="007E7A79">
            <w:pPr>
              <w:jc w:val="right"/>
              <w:rPr>
                <w:iCs/>
                <w:color w:val="414142"/>
                <w:lang w:eastAsia="lv-LV"/>
              </w:rPr>
            </w:pPr>
            <w:r>
              <w:rPr>
                <w:iCs/>
                <w:color w:val="414142"/>
                <w:lang w:eastAsia="lv-LV"/>
              </w:rPr>
              <w:t>0</w:t>
            </w:r>
          </w:p>
        </w:tc>
      </w:tr>
      <w:tr w:rsidR="00194750" w14:paraId="0FBFFD8B" w14:textId="53B97629"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9C75511" w14:textId="77777777" w:rsidR="00194750" w:rsidRPr="00836FE4" w:rsidRDefault="00194750" w:rsidP="007E7A79">
            <w:pPr>
              <w:rPr>
                <w:iCs/>
                <w:color w:val="414142"/>
                <w:lang w:eastAsia="lv-LV"/>
              </w:rPr>
            </w:pPr>
            <w:r w:rsidRPr="00836FE4">
              <w:rPr>
                <w:iCs/>
                <w:color w:val="414142"/>
                <w:lang w:eastAsia="lv-LV"/>
              </w:rPr>
              <w:t>1.3. pašvaldību 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0F171A96"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463A2D2" w14:textId="77777777" w:rsidR="00194750" w:rsidRPr="00836FE4" w:rsidRDefault="00194750" w:rsidP="00207590">
            <w:pPr>
              <w:jc w:val="right"/>
              <w:rPr>
                <w:iCs/>
                <w:color w:val="414142"/>
                <w:lang w:eastAsia="lv-LV"/>
              </w:rPr>
            </w:pPr>
            <w:r w:rsidRPr="00836FE4">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65A2F670" w14:textId="236DAE3F" w:rsidR="00194750" w:rsidRPr="00836FE4" w:rsidRDefault="00194750" w:rsidP="00207590">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EADF750" w14:textId="6172EF51" w:rsidR="00194750" w:rsidRPr="00836FE4"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01E98810" w14:textId="619F1322" w:rsidR="00194750" w:rsidRPr="00836FE4" w:rsidRDefault="00194750" w:rsidP="00207590">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443B6AAB" w14:textId="1153E7A5" w:rsidR="00194750" w:rsidRPr="00836FE4" w:rsidRDefault="00194750"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CF6DEFC" w14:textId="5AEA6A06" w:rsidR="00194750" w:rsidRPr="00836FE4" w:rsidRDefault="00194750" w:rsidP="00207590">
            <w:pPr>
              <w:jc w:val="right"/>
              <w:rPr>
                <w:iCs/>
                <w:color w:val="414142"/>
                <w:lang w:eastAsia="lv-LV"/>
              </w:rPr>
            </w:pPr>
            <w:r>
              <w:rPr>
                <w:iCs/>
                <w:color w:val="414142"/>
                <w:lang w:eastAsia="lv-LV"/>
              </w:rPr>
              <w:t>0</w:t>
            </w:r>
          </w:p>
        </w:tc>
      </w:tr>
      <w:tr w:rsidR="00194750" w14:paraId="1652984E" w14:textId="75D52616"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536E6E46" w14:textId="77777777" w:rsidR="00194750" w:rsidRPr="00836FE4" w:rsidRDefault="00194750" w:rsidP="007E7A79">
            <w:pPr>
              <w:rPr>
                <w:iCs/>
                <w:color w:val="414142"/>
                <w:lang w:eastAsia="lv-LV"/>
              </w:rPr>
            </w:pPr>
            <w:r w:rsidRPr="00836FE4">
              <w:rPr>
                <w:iCs/>
                <w:color w:val="414142"/>
                <w:lang w:eastAsia="lv-LV"/>
              </w:rPr>
              <w:t>2. Budžeta izdevumi</w:t>
            </w:r>
          </w:p>
        </w:tc>
        <w:tc>
          <w:tcPr>
            <w:tcW w:w="465" w:type="pct"/>
            <w:tcBorders>
              <w:top w:val="outset" w:sz="6" w:space="0" w:color="auto"/>
              <w:left w:val="outset" w:sz="6" w:space="0" w:color="auto"/>
              <w:bottom w:val="outset" w:sz="6" w:space="0" w:color="auto"/>
              <w:right w:val="outset" w:sz="6" w:space="0" w:color="auto"/>
            </w:tcBorders>
            <w:vAlign w:val="center"/>
            <w:hideMark/>
          </w:tcPr>
          <w:p w14:paraId="4E8956C9"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5D33151" w14:textId="615D640C" w:rsidR="00194750" w:rsidRPr="00836FE4" w:rsidRDefault="00017002" w:rsidP="00207590">
            <w:pPr>
              <w:jc w:val="right"/>
              <w:rPr>
                <w:iCs/>
                <w:color w:val="414142"/>
                <w:lang w:eastAsia="lv-LV"/>
              </w:rPr>
            </w:pPr>
            <w:r>
              <w:rPr>
                <w:iCs/>
                <w:color w:val="414142"/>
                <w:lang w:eastAsia="lv-LV"/>
              </w:rPr>
              <w:t>201 811</w:t>
            </w:r>
          </w:p>
        </w:tc>
        <w:tc>
          <w:tcPr>
            <w:tcW w:w="465" w:type="pct"/>
            <w:tcBorders>
              <w:top w:val="outset" w:sz="6" w:space="0" w:color="auto"/>
              <w:left w:val="outset" w:sz="6" w:space="0" w:color="auto"/>
              <w:bottom w:val="outset" w:sz="6" w:space="0" w:color="auto"/>
              <w:right w:val="outset" w:sz="6" w:space="0" w:color="auto"/>
            </w:tcBorders>
            <w:vAlign w:val="center"/>
          </w:tcPr>
          <w:p w14:paraId="31F46FB3" w14:textId="6DF25426"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00CE8966" w14:textId="7ADCC564" w:rsidR="00194750" w:rsidRDefault="00921745" w:rsidP="00207590">
            <w:pPr>
              <w:jc w:val="right"/>
              <w:rPr>
                <w:iCs/>
                <w:color w:val="414142"/>
                <w:lang w:eastAsia="lv-LV"/>
              </w:rPr>
            </w:pPr>
            <w:r>
              <w:rPr>
                <w:iCs/>
                <w:color w:val="414142"/>
                <w:lang w:eastAsia="lv-LV"/>
              </w:rPr>
              <w:t>21 05</w:t>
            </w:r>
            <w:r w:rsidR="00C847ED">
              <w:rPr>
                <w:iCs/>
                <w:color w:val="414142"/>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tcPr>
          <w:p w14:paraId="5BD85B00" w14:textId="04932C32"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31EA967C" w14:textId="2A157016" w:rsidR="00194750" w:rsidRDefault="00921745" w:rsidP="00207590">
            <w:pPr>
              <w:jc w:val="right"/>
              <w:rPr>
                <w:iCs/>
                <w:color w:val="414142"/>
                <w:lang w:eastAsia="lv-LV"/>
              </w:rPr>
            </w:pPr>
            <w:r>
              <w:rPr>
                <w:iCs/>
                <w:color w:val="414142"/>
                <w:lang w:eastAsia="lv-LV"/>
              </w:rPr>
              <w:t>18 000</w:t>
            </w:r>
          </w:p>
        </w:tc>
        <w:tc>
          <w:tcPr>
            <w:tcW w:w="595" w:type="pct"/>
            <w:tcBorders>
              <w:top w:val="outset" w:sz="6" w:space="0" w:color="auto"/>
              <w:left w:val="outset" w:sz="6" w:space="0" w:color="auto"/>
              <w:bottom w:val="outset" w:sz="6" w:space="0" w:color="auto"/>
              <w:right w:val="outset" w:sz="6" w:space="0" w:color="auto"/>
            </w:tcBorders>
            <w:vAlign w:val="center"/>
          </w:tcPr>
          <w:p w14:paraId="0D231135" w14:textId="28C56FDB" w:rsidR="00194750" w:rsidRDefault="00921745" w:rsidP="00207590">
            <w:pPr>
              <w:jc w:val="right"/>
              <w:rPr>
                <w:iCs/>
                <w:color w:val="414142"/>
                <w:lang w:eastAsia="lv-LV"/>
              </w:rPr>
            </w:pPr>
            <w:r>
              <w:rPr>
                <w:iCs/>
                <w:color w:val="414142"/>
                <w:lang w:eastAsia="lv-LV"/>
              </w:rPr>
              <w:t>18 000</w:t>
            </w:r>
          </w:p>
        </w:tc>
      </w:tr>
      <w:tr w:rsidR="00194750" w14:paraId="33AC614B" w14:textId="1557D16F"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79A99524" w14:textId="77777777" w:rsidR="00194750" w:rsidRPr="00836FE4" w:rsidRDefault="00194750" w:rsidP="007E7A79">
            <w:pPr>
              <w:rPr>
                <w:iCs/>
                <w:color w:val="414142"/>
                <w:lang w:eastAsia="lv-LV"/>
              </w:rPr>
            </w:pPr>
            <w:r w:rsidRPr="00836FE4">
              <w:rPr>
                <w:iCs/>
                <w:color w:val="414142"/>
                <w:lang w:eastAsia="lv-LV"/>
              </w:rPr>
              <w:t>2.1. valsts pamatbudžets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79CB77BE"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DBDA2FF" w14:textId="218D9606" w:rsidR="00194750" w:rsidRPr="00836FE4" w:rsidRDefault="00017002" w:rsidP="00207590">
            <w:pPr>
              <w:jc w:val="right"/>
              <w:rPr>
                <w:iCs/>
                <w:color w:val="414142"/>
                <w:lang w:eastAsia="lv-LV"/>
              </w:rPr>
            </w:pPr>
            <w:r>
              <w:rPr>
                <w:iCs/>
                <w:color w:val="414142"/>
                <w:lang w:eastAsia="lv-LV"/>
              </w:rPr>
              <w:t>201 811</w:t>
            </w:r>
          </w:p>
        </w:tc>
        <w:tc>
          <w:tcPr>
            <w:tcW w:w="465" w:type="pct"/>
            <w:tcBorders>
              <w:top w:val="outset" w:sz="6" w:space="0" w:color="auto"/>
              <w:left w:val="outset" w:sz="6" w:space="0" w:color="auto"/>
              <w:bottom w:val="outset" w:sz="6" w:space="0" w:color="auto"/>
              <w:right w:val="outset" w:sz="6" w:space="0" w:color="auto"/>
            </w:tcBorders>
            <w:vAlign w:val="center"/>
          </w:tcPr>
          <w:p w14:paraId="33DB9D6F" w14:textId="64E6F2C9"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6DD78909" w14:textId="0C6161CF" w:rsidR="00194750" w:rsidRDefault="00921745" w:rsidP="00207590">
            <w:pPr>
              <w:jc w:val="right"/>
              <w:rPr>
                <w:iCs/>
                <w:color w:val="414142"/>
                <w:lang w:eastAsia="lv-LV"/>
              </w:rPr>
            </w:pPr>
            <w:r>
              <w:rPr>
                <w:iCs/>
                <w:color w:val="414142"/>
                <w:lang w:eastAsia="lv-LV"/>
              </w:rPr>
              <w:t>21 05</w:t>
            </w:r>
            <w:r w:rsidR="00C847ED">
              <w:rPr>
                <w:iCs/>
                <w:color w:val="414142"/>
                <w:lang w:eastAsia="lv-LV"/>
              </w:rPr>
              <w:t>5</w:t>
            </w:r>
          </w:p>
        </w:tc>
        <w:tc>
          <w:tcPr>
            <w:tcW w:w="465" w:type="pct"/>
            <w:tcBorders>
              <w:top w:val="outset" w:sz="6" w:space="0" w:color="auto"/>
              <w:left w:val="outset" w:sz="6" w:space="0" w:color="auto"/>
              <w:bottom w:val="outset" w:sz="6" w:space="0" w:color="auto"/>
              <w:right w:val="outset" w:sz="6" w:space="0" w:color="auto"/>
            </w:tcBorders>
            <w:vAlign w:val="center"/>
          </w:tcPr>
          <w:p w14:paraId="4EC29962" w14:textId="0E79B313"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67C82114" w14:textId="59E3BD53" w:rsidR="00194750" w:rsidRDefault="00921745" w:rsidP="00207590">
            <w:pPr>
              <w:jc w:val="right"/>
              <w:rPr>
                <w:iCs/>
                <w:color w:val="414142"/>
                <w:lang w:eastAsia="lv-LV"/>
              </w:rPr>
            </w:pPr>
            <w:r>
              <w:rPr>
                <w:iCs/>
                <w:color w:val="414142"/>
                <w:lang w:eastAsia="lv-LV"/>
              </w:rPr>
              <w:t>18 000</w:t>
            </w:r>
          </w:p>
        </w:tc>
        <w:tc>
          <w:tcPr>
            <w:tcW w:w="595" w:type="pct"/>
            <w:tcBorders>
              <w:top w:val="outset" w:sz="6" w:space="0" w:color="auto"/>
              <w:left w:val="outset" w:sz="6" w:space="0" w:color="auto"/>
              <w:bottom w:val="outset" w:sz="6" w:space="0" w:color="auto"/>
              <w:right w:val="outset" w:sz="6" w:space="0" w:color="auto"/>
            </w:tcBorders>
            <w:vAlign w:val="center"/>
          </w:tcPr>
          <w:p w14:paraId="650A451F" w14:textId="75A4A2D3" w:rsidR="00194750" w:rsidRDefault="00921745" w:rsidP="00207590">
            <w:pPr>
              <w:jc w:val="right"/>
              <w:rPr>
                <w:iCs/>
                <w:color w:val="414142"/>
                <w:lang w:eastAsia="lv-LV"/>
              </w:rPr>
            </w:pPr>
            <w:r>
              <w:rPr>
                <w:iCs/>
                <w:color w:val="414142"/>
                <w:lang w:eastAsia="lv-LV"/>
              </w:rPr>
              <w:t>18 000</w:t>
            </w:r>
          </w:p>
        </w:tc>
      </w:tr>
      <w:tr w:rsidR="00194750" w14:paraId="744A74F3" w14:textId="560AA022"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771D4000" w14:textId="77777777" w:rsidR="00194750" w:rsidRPr="00836FE4" w:rsidRDefault="00194750" w:rsidP="007E7A79">
            <w:pPr>
              <w:rPr>
                <w:iCs/>
                <w:color w:val="414142"/>
                <w:lang w:eastAsia="lv-LV"/>
              </w:rPr>
            </w:pPr>
            <w:r w:rsidRPr="00836FE4">
              <w:rPr>
                <w:iCs/>
                <w:color w:val="414142"/>
                <w:lang w:eastAsia="lv-LV"/>
              </w:rPr>
              <w:t>2.2. valsts speciālais 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382D4453" w14:textId="77777777" w:rsidR="00194750" w:rsidRPr="00836FE4" w:rsidRDefault="00194750" w:rsidP="007E7A79">
            <w:pPr>
              <w:jc w:val="right"/>
              <w:rPr>
                <w:iCs/>
                <w:color w:val="414142"/>
                <w:lang w:eastAsia="lv-LV"/>
              </w:rPr>
            </w:pPr>
            <w:r w:rsidRPr="00836FE4">
              <w:rPr>
                <w:iCs/>
                <w:color w:val="414142"/>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3BA2F59A" w14:textId="77777777" w:rsidR="00194750" w:rsidRPr="00836FE4" w:rsidRDefault="00194750" w:rsidP="00207590">
            <w:pPr>
              <w:jc w:val="right"/>
              <w:rPr>
                <w:iCs/>
                <w:color w:val="414142"/>
                <w:lang w:eastAsia="lv-LV"/>
              </w:rPr>
            </w:pPr>
            <w:r w:rsidRPr="00836FE4">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36062B8D" w14:textId="53E756F9"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609084F" w14:textId="11A8BCA6" w:rsidR="00194750"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0CFB839D" w14:textId="00B11F43"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B2D7A6E" w14:textId="1159D42B" w:rsidR="00194750" w:rsidRDefault="00194750"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70AE2B70" w14:textId="36664B14" w:rsidR="00194750" w:rsidRDefault="00194750" w:rsidP="00207590">
            <w:pPr>
              <w:jc w:val="right"/>
              <w:rPr>
                <w:iCs/>
                <w:color w:val="414142"/>
                <w:lang w:eastAsia="lv-LV"/>
              </w:rPr>
            </w:pPr>
            <w:r>
              <w:rPr>
                <w:iCs/>
                <w:color w:val="414142"/>
                <w:lang w:eastAsia="lv-LV"/>
              </w:rPr>
              <w:t>0</w:t>
            </w:r>
          </w:p>
        </w:tc>
      </w:tr>
      <w:tr w:rsidR="00194750" w14:paraId="7F453EE9" w14:textId="64C567E3"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67759539" w14:textId="77777777" w:rsidR="00194750" w:rsidRPr="00836FE4" w:rsidRDefault="00194750" w:rsidP="007E7A79">
            <w:pPr>
              <w:rPr>
                <w:iCs/>
                <w:color w:val="414142"/>
                <w:lang w:eastAsia="lv-LV"/>
              </w:rPr>
            </w:pPr>
            <w:r w:rsidRPr="00836FE4">
              <w:rPr>
                <w:iCs/>
                <w:color w:val="414142"/>
                <w:lang w:eastAsia="lv-LV"/>
              </w:rPr>
              <w:t>2.3. pašvaldību 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24EA8ACB"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54DB547A" w14:textId="4375E857" w:rsidR="00194750" w:rsidRPr="00836FE4"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50592587" w14:textId="7D64C0C1"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CF0E68B" w14:textId="0D5B12CA" w:rsidR="00194750"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61B072CE" w14:textId="439096AB"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4EF6181E" w14:textId="79EC7EA9" w:rsidR="00194750" w:rsidRDefault="00194750"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42F6794" w14:textId="00C40AD7" w:rsidR="00194750" w:rsidRDefault="00194750" w:rsidP="00207590">
            <w:pPr>
              <w:jc w:val="right"/>
              <w:rPr>
                <w:iCs/>
                <w:color w:val="414142"/>
                <w:lang w:eastAsia="lv-LV"/>
              </w:rPr>
            </w:pPr>
            <w:r>
              <w:rPr>
                <w:iCs/>
                <w:color w:val="414142"/>
                <w:lang w:eastAsia="lv-LV"/>
              </w:rPr>
              <w:t>0</w:t>
            </w:r>
          </w:p>
        </w:tc>
      </w:tr>
      <w:tr w:rsidR="00194750" w14:paraId="64333EEE" w14:textId="29A552C3"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E8B660F" w14:textId="77777777" w:rsidR="00194750" w:rsidRPr="00836FE4" w:rsidRDefault="00194750" w:rsidP="007E7A79">
            <w:pPr>
              <w:rPr>
                <w:iCs/>
                <w:color w:val="414142"/>
                <w:lang w:eastAsia="lv-LV"/>
              </w:rPr>
            </w:pPr>
            <w:r w:rsidRPr="00836FE4">
              <w:rPr>
                <w:iCs/>
                <w:color w:val="414142"/>
                <w:lang w:eastAsia="lv-LV"/>
              </w:rPr>
              <w:t>3. Finansiālā ietekme</w:t>
            </w:r>
          </w:p>
        </w:tc>
        <w:tc>
          <w:tcPr>
            <w:tcW w:w="465" w:type="pct"/>
            <w:tcBorders>
              <w:top w:val="outset" w:sz="6" w:space="0" w:color="auto"/>
              <w:left w:val="outset" w:sz="6" w:space="0" w:color="auto"/>
              <w:bottom w:val="outset" w:sz="6" w:space="0" w:color="auto"/>
              <w:right w:val="outset" w:sz="6" w:space="0" w:color="auto"/>
            </w:tcBorders>
            <w:vAlign w:val="center"/>
            <w:hideMark/>
          </w:tcPr>
          <w:p w14:paraId="64D71933" w14:textId="77777777" w:rsidR="00194750" w:rsidRPr="00836FE4" w:rsidRDefault="00194750" w:rsidP="007E7A79">
            <w:pPr>
              <w:jc w:val="right"/>
              <w:rPr>
                <w:iCs/>
                <w:color w:val="414142"/>
                <w:lang w:eastAsia="lv-LV"/>
              </w:rPr>
            </w:pPr>
            <w:r w:rsidRPr="00836FE4">
              <w:rPr>
                <w:iCs/>
                <w:color w:val="414142"/>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tcPr>
          <w:p w14:paraId="2AEEABDF" w14:textId="7FE0FCBA" w:rsidR="00194750" w:rsidRPr="00836FE4" w:rsidRDefault="00194750" w:rsidP="00207590">
            <w:pPr>
              <w:jc w:val="right"/>
              <w:rPr>
                <w:iCs/>
                <w:color w:val="414142"/>
                <w:lang w:eastAsia="lv-LV"/>
              </w:rPr>
            </w:pPr>
            <w:r>
              <w:rPr>
                <w:iCs/>
                <w:color w:val="414142"/>
                <w:lang w:eastAsia="lv-LV"/>
              </w:rPr>
              <w:t>-</w:t>
            </w:r>
            <w:r w:rsidR="00017002">
              <w:rPr>
                <w:iCs/>
                <w:color w:val="414142"/>
                <w:lang w:eastAsia="lv-LV"/>
              </w:rPr>
              <w:t>30 27</w:t>
            </w:r>
            <w:r w:rsidR="00C847ED">
              <w:rPr>
                <w:iCs/>
                <w:color w:val="414142"/>
                <w:lang w:eastAsia="lv-LV"/>
              </w:rPr>
              <w:t>2</w:t>
            </w:r>
          </w:p>
        </w:tc>
        <w:tc>
          <w:tcPr>
            <w:tcW w:w="465" w:type="pct"/>
            <w:tcBorders>
              <w:top w:val="outset" w:sz="6" w:space="0" w:color="auto"/>
              <w:left w:val="outset" w:sz="6" w:space="0" w:color="auto"/>
              <w:bottom w:val="outset" w:sz="6" w:space="0" w:color="auto"/>
              <w:right w:val="outset" w:sz="6" w:space="0" w:color="auto"/>
            </w:tcBorders>
            <w:vAlign w:val="center"/>
          </w:tcPr>
          <w:p w14:paraId="5305E9ED" w14:textId="7BE08DE1"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DB01F61" w14:textId="19706FD7" w:rsidR="00194750" w:rsidRDefault="00194750" w:rsidP="00207590">
            <w:pPr>
              <w:jc w:val="right"/>
              <w:rPr>
                <w:iCs/>
                <w:color w:val="414142"/>
                <w:lang w:eastAsia="lv-LV"/>
              </w:rPr>
            </w:pPr>
            <w:r>
              <w:rPr>
                <w:iCs/>
                <w:color w:val="414142"/>
                <w:lang w:eastAsia="lv-LV"/>
              </w:rPr>
              <w:t>-</w:t>
            </w:r>
            <w:r w:rsidR="00921745">
              <w:rPr>
                <w:iCs/>
                <w:color w:val="414142"/>
                <w:lang w:eastAsia="lv-LV"/>
              </w:rPr>
              <w:t>15 908</w:t>
            </w:r>
          </w:p>
        </w:tc>
        <w:tc>
          <w:tcPr>
            <w:tcW w:w="465" w:type="pct"/>
            <w:tcBorders>
              <w:top w:val="outset" w:sz="6" w:space="0" w:color="auto"/>
              <w:left w:val="outset" w:sz="6" w:space="0" w:color="auto"/>
              <w:bottom w:val="outset" w:sz="6" w:space="0" w:color="auto"/>
              <w:right w:val="outset" w:sz="6" w:space="0" w:color="auto"/>
            </w:tcBorders>
            <w:vAlign w:val="center"/>
          </w:tcPr>
          <w:p w14:paraId="0C988A1B" w14:textId="70AFDE48"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D1A75F1" w14:textId="3E251904" w:rsidR="00194750" w:rsidRDefault="00194750" w:rsidP="00207590">
            <w:pPr>
              <w:jc w:val="right"/>
              <w:rPr>
                <w:iCs/>
                <w:color w:val="414142"/>
                <w:lang w:eastAsia="lv-LV"/>
              </w:rPr>
            </w:pPr>
            <w:r>
              <w:rPr>
                <w:iCs/>
                <w:color w:val="414142"/>
                <w:lang w:eastAsia="lv-LV"/>
              </w:rPr>
              <w:t>-</w:t>
            </w:r>
            <w:r w:rsidR="00921745">
              <w:rPr>
                <w:iCs/>
                <w:color w:val="414142"/>
                <w:lang w:eastAsia="lv-LV"/>
              </w:rPr>
              <w:t>18 000</w:t>
            </w:r>
          </w:p>
        </w:tc>
        <w:tc>
          <w:tcPr>
            <w:tcW w:w="595" w:type="pct"/>
            <w:tcBorders>
              <w:top w:val="outset" w:sz="6" w:space="0" w:color="auto"/>
              <w:left w:val="outset" w:sz="6" w:space="0" w:color="auto"/>
              <w:bottom w:val="outset" w:sz="6" w:space="0" w:color="auto"/>
              <w:right w:val="outset" w:sz="6" w:space="0" w:color="auto"/>
            </w:tcBorders>
            <w:vAlign w:val="center"/>
          </w:tcPr>
          <w:p w14:paraId="4664CCF2" w14:textId="65C5023B" w:rsidR="00194750" w:rsidRDefault="00194750" w:rsidP="00207590">
            <w:pPr>
              <w:jc w:val="right"/>
              <w:rPr>
                <w:iCs/>
                <w:color w:val="414142"/>
                <w:lang w:eastAsia="lv-LV"/>
              </w:rPr>
            </w:pPr>
            <w:r>
              <w:rPr>
                <w:iCs/>
                <w:color w:val="414142"/>
                <w:lang w:eastAsia="lv-LV"/>
              </w:rPr>
              <w:t>-</w:t>
            </w:r>
            <w:r w:rsidR="00921745">
              <w:rPr>
                <w:iCs/>
                <w:color w:val="414142"/>
                <w:lang w:eastAsia="lv-LV"/>
              </w:rPr>
              <w:t>18 000</w:t>
            </w:r>
          </w:p>
        </w:tc>
      </w:tr>
      <w:tr w:rsidR="00194750" w14:paraId="44E2F1B2" w14:textId="24172C0B"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D0227F9" w14:textId="77777777" w:rsidR="00194750" w:rsidRPr="00836FE4" w:rsidRDefault="00194750" w:rsidP="007E7A79">
            <w:pPr>
              <w:rPr>
                <w:iCs/>
                <w:color w:val="414142"/>
                <w:lang w:eastAsia="lv-LV"/>
              </w:rPr>
            </w:pPr>
            <w:r w:rsidRPr="00836FE4">
              <w:rPr>
                <w:iCs/>
                <w:color w:val="414142"/>
                <w:lang w:eastAsia="lv-LV"/>
              </w:rPr>
              <w:t>3.1. valsts pamatbudžets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76C44A6E"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63684908" w14:textId="0D3A3A6D" w:rsidR="00194750" w:rsidRPr="00836FE4" w:rsidRDefault="001B521A" w:rsidP="00207590">
            <w:pPr>
              <w:jc w:val="right"/>
              <w:rPr>
                <w:iCs/>
                <w:color w:val="414142"/>
                <w:lang w:eastAsia="lv-LV"/>
              </w:rPr>
            </w:pPr>
            <w:r>
              <w:rPr>
                <w:iCs/>
                <w:color w:val="414142"/>
                <w:lang w:eastAsia="lv-LV"/>
              </w:rPr>
              <w:t>-</w:t>
            </w:r>
            <w:r w:rsidR="00017002">
              <w:rPr>
                <w:iCs/>
                <w:color w:val="414142"/>
                <w:lang w:eastAsia="lv-LV"/>
              </w:rPr>
              <w:t>30 27</w:t>
            </w:r>
            <w:r w:rsidR="00C847ED">
              <w:rPr>
                <w:iCs/>
                <w:color w:val="414142"/>
                <w:lang w:eastAsia="lv-LV"/>
              </w:rPr>
              <w:t>2</w:t>
            </w:r>
          </w:p>
        </w:tc>
        <w:tc>
          <w:tcPr>
            <w:tcW w:w="465" w:type="pct"/>
            <w:tcBorders>
              <w:top w:val="outset" w:sz="6" w:space="0" w:color="auto"/>
              <w:left w:val="outset" w:sz="6" w:space="0" w:color="auto"/>
              <w:bottom w:val="outset" w:sz="6" w:space="0" w:color="auto"/>
              <w:right w:val="outset" w:sz="6" w:space="0" w:color="auto"/>
            </w:tcBorders>
            <w:vAlign w:val="center"/>
          </w:tcPr>
          <w:p w14:paraId="0A13B88F" w14:textId="47B7F6DD"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7B254757" w14:textId="4CA3B9A7" w:rsidR="00194750" w:rsidRDefault="001B521A" w:rsidP="00207590">
            <w:pPr>
              <w:jc w:val="right"/>
              <w:rPr>
                <w:iCs/>
                <w:color w:val="414142"/>
                <w:lang w:eastAsia="lv-LV"/>
              </w:rPr>
            </w:pPr>
            <w:r>
              <w:rPr>
                <w:iCs/>
                <w:color w:val="414142"/>
                <w:lang w:eastAsia="lv-LV"/>
              </w:rPr>
              <w:t>-</w:t>
            </w:r>
            <w:r w:rsidR="00921745">
              <w:rPr>
                <w:iCs/>
                <w:color w:val="414142"/>
                <w:lang w:eastAsia="lv-LV"/>
              </w:rPr>
              <w:t>15 908</w:t>
            </w:r>
          </w:p>
        </w:tc>
        <w:tc>
          <w:tcPr>
            <w:tcW w:w="465" w:type="pct"/>
            <w:tcBorders>
              <w:top w:val="outset" w:sz="6" w:space="0" w:color="auto"/>
              <w:left w:val="outset" w:sz="6" w:space="0" w:color="auto"/>
              <w:bottom w:val="outset" w:sz="6" w:space="0" w:color="auto"/>
              <w:right w:val="outset" w:sz="6" w:space="0" w:color="auto"/>
            </w:tcBorders>
            <w:vAlign w:val="center"/>
          </w:tcPr>
          <w:p w14:paraId="46CB2722" w14:textId="08B0A136"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6C3DD6F0" w14:textId="2B138AAC" w:rsidR="00194750" w:rsidRDefault="001B521A" w:rsidP="00207590">
            <w:pPr>
              <w:jc w:val="right"/>
              <w:rPr>
                <w:iCs/>
                <w:color w:val="414142"/>
                <w:lang w:eastAsia="lv-LV"/>
              </w:rPr>
            </w:pPr>
            <w:r>
              <w:rPr>
                <w:iCs/>
                <w:color w:val="414142"/>
                <w:lang w:eastAsia="lv-LV"/>
              </w:rPr>
              <w:t>-</w:t>
            </w:r>
            <w:r w:rsidR="00921745">
              <w:rPr>
                <w:iCs/>
                <w:color w:val="414142"/>
                <w:lang w:eastAsia="lv-LV"/>
              </w:rPr>
              <w:t>18 000</w:t>
            </w:r>
          </w:p>
        </w:tc>
        <w:tc>
          <w:tcPr>
            <w:tcW w:w="595" w:type="pct"/>
            <w:tcBorders>
              <w:top w:val="outset" w:sz="6" w:space="0" w:color="auto"/>
              <w:left w:val="outset" w:sz="6" w:space="0" w:color="auto"/>
              <w:bottom w:val="outset" w:sz="6" w:space="0" w:color="auto"/>
              <w:right w:val="outset" w:sz="6" w:space="0" w:color="auto"/>
            </w:tcBorders>
            <w:vAlign w:val="center"/>
          </w:tcPr>
          <w:p w14:paraId="28016A74" w14:textId="0788D301" w:rsidR="00194750" w:rsidRDefault="001B521A" w:rsidP="00207590">
            <w:pPr>
              <w:jc w:val="right"/>
              <w:rPr>
                <w:iCs/>
                <w:color w:val="414142"/>
                <w:lang w:eastAsia="lv-LV"/>
              </w:rPr>
            </w:pPr>
            <w:r>
              <w:rPr>
                <w:iCs/>
                <w:color w:val="414142"/>
                <w:lang w:eastAsia="lv-LV"/>
              </w:rPr>
              <w:t>-</w:t>
            </w:r>
            <w:r w:rsidR="00921745">
              <w:rPr>
                <w:iCs/>
                <w:color w:val="414142"/>
                <w:lang w:eastAsia="lv-LV"/>
              </w:rPr>
              <w:t>18 000</w:t>
            </w:r>
          </w:p>
        </w:tc>
      </w:tr>
      <w:tr w:rsidR="00194750" w14:paraId="7A01DCF8" w14:textId="595DB06B"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515F20B1" w14:textId="77777777" w:rsidR="00194750" w:rsidRPr="00836FE4" w:rsidRDefault="00194750" w:rsidP="007E7A79">
            <w:pPr>
              <w:rPr>
                <w:iCs/>
                <w:color w:val="414142"/>
                <w:lang w:eastAsia="lv-LV"/>
              </w:rPr>
            </w:pPr>
            <w:r w:rsidRPr="00836FE4">
              <w:rPr>
                <w:iCs/>
                <w:color w:val="414142"/>
                <w:lang w:eastAsia="lv-LV"/>
              </w:rPr>
              <w:t>3.2. speciālais 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4975F6C6" w14:textId="77777777" w:rsidR="00194750" w:rsidRPr="00836FE4" w:rsidRDefault="00194750" w:rsidP="007E7A79">
            <w:pPr>
              <w:jc w:val="right"/>
              <w:rPr>
                <w:iCs/>
                <w:color w:val="414142"/>
                <w:lang w:eastAsia="lv-LV"/>
              </w:rPr>
            </w:pPr>
            <w:r w:rsidRPr="00836FE4">
              <w:rPr>
                <w:iCs/>
                <w:color w:val="414142"/>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tcPr>
          <w:p w14:paraId="4D88E6EA" w14:textId="1647E1D9" w:rsidR="00194750" w:rsidRPr="00836FE4"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270032F6" w14:textId="770A8226"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7F7BBCCF" w14:textId="6E998B2F" w:rsidR="00194750"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6A3DDB07" w14:textId="602ED3AF"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0E73AB25" w14:textId="4F6B6367" w:rsidR="00194750" w:rsidRDefault="00194750"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7A45CF43" w14:textId="77777777" w:rsidR="00194750" w:rsidRDefault="00194750" w:rsidP="00207590">
            <w:pPr>
              <w:jc w:val="right"/>
              <w:rPr>
                <w:iCs/>
                <w:color w:val="414142"/>
                <w:lang w:eastAsia="lv-LV"/>
              </w:rPr>
            </w:pPr>
          </w:p>
        </w:tc>
      </w:tr>
      <w:tr w:rsidR="00194750" w14:paraId="25595AE5" w14:textId="632D27BC"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34870656" w14:textId="77777777" w:rsidR="00194750" w:rsidRPr="00836FE4" w:rsidRDefault="00194750" w:rsidP="007E7A79">
            <w:pPr>
              <w:rPr>
                <w:iCs/>
                <w:color w:val="414142"/>
                <w:lang w:eastAsia="lv-LV"/>
              </w:rPr>
            </w:pPr>
            <w:r w:rsidRPr="00836FE4">
              <w:rPr>
                <w:iCs/>
                <w:color w:val="414142"/>
                <w:lang w:eastAsia="lv-LV"/>
              </w:rPr>
              <w:t>3.3. pašvaldību budžets</w:t>
            </w:r>
          </w:p>
        </w:tc>
        <w:tc>
          <w:tcPr>
            <w:tcW w:w="465" w:type="pct"/>
            <w:tcBorders>
              <w:top w:val="outset" w:sz="6" w:space="0" w:color="auto"/>
              <w:left w:val="outset" w:sz="6" w:space="0" w:color="auto"/>
              <w:bottom w:val="outset" w:sz="6" w:space="0" w:color="auto"/>
              <w:right w:val="outset" w:sz="6" w:space="0" w:color="auto"/>
            </w:tcBorders>
            <w:vAlign w:val="center"/>
            <w:hideMark/>
          </w:tcPr>
          <w:p w14:paraId="3B0AEEFA" w14:textId="77777777" w:rsidR="00194750" w:rsidRPr="00836FE4" w:rsidRDefault="00194750" w:rsidP="007E7A79">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7ECF94" w14:textId="77777777" w:rsidR="00194750" w:rsidRPr="00836FE4" w:rsidRDefault="00194750" w:rsidP="00207590">
            <w:pPr>
              <w:jc w:val="right"/>
              <w:rPr>
                <w:iCs/>
                <w:color w:val="414142"/>
                <w:lang w:eastAsia="lv-LV"/>
              </w:rPr>
            </w:pPr>
            <w:r w:rsidRPr="00836FE4">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6EDB858D" w14:textId="7F91DB9F"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367D68C1" w14:textId="137D6F91" w:rsidR="00194750"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5D269AA8" w14:textId="4907420A"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7934709E" w14:textId="65D15589" w:rsidR="00194750" w:rsidRDefault="00194750"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65A54CD" w14:textId="77777777" w:rsidR="00194750" w:rsidRDefault="00194750" w:rsidP="00207590">
            <w:pPr>
              <w:jc w:val="right"/>
              <w:rPr>
                <w:iCs/>
                <w:color w:val="414142"/>
                <w:lang w:eastAsia="lv-LV"/>
              </w:rPr>
            </w:pPr>
          </w:p>
        </w:tc>
      </w:tr>
      <w:tr w:rsidR="00194750" w14:paraId="39EB5B28" w14:textId="62741FD3"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7000BC36" w14:textId="77777777" w:rsidR="00194750" w:rsidRPr="00836FE4" w:rsidRDefault="00194750" w:rsidP="007E7A79">
            <w:pPr>
              <w:rPr>
                <w:iCs/>
                <w:color w:val="414142"/>
                <w:lang w:eastAsia="lv-LV"/>
              </w:rPr>
            </w:pPr>
            <w:r w:rsidRPr="00836FE4">
              <w:rPr>
                <w:iCs/>
                <w:color w:val="414142"/>
                <w:lang w:eastAsia="lv-LV"/>
              </w:rPr>
              <w:t>4. Finanšu līdzekļi papildu izdevumu finansēšanai (kompensējošu izdevumu samazinājumu norāda ar "+" zīmi)</w:t>
            </w:r>
          </w:p>
        </w:tc>
        <w:tc>
          <w:tcPr>
            <w:tcW w:w="465" w:type="pct"/>
            <w:tcBorders>
              <w:top w:val="outset" w:sz="6" w:space="0" w:color="auto"/>
              <w:left w:val="outset" w:sz="6" w:space="0" w:color="auto"/>
              <w:bottom w:val="outset" w:sz="6" w:space="0" w:color="auto"/>
              <w:right w:val="outset" w:sz="6" w:space="0" w:color="auto"/>
            </w:tcBorders>
            <w:vAlign w:val="center"/>
            <w:hideMark/>
          </w:tcPr>
          <w:p w14:paraId="67414639" w14:textId="77777777" w:rsidR="00194750" w:rsidRPr="00836FE4" w:rsidRDefault="00194750" w:rsidP="007E7A79">
            <w:pPr>
              <w:jc w:val="right"/>
              <w:rPr>
                <w:iCs/>
                <w:color w:val="414142"/>
                <w:lang w:eastAsia="lv-LV"/>
              </w:rPr>
            </w:pPr>
            <w:r w:rsidRPr="00836FE4">
              <w:rPr>
                <w:iCs/>
                <w:color w:val="414142"/>
                <w:lang w:eastAsia="lv-LV"/>
              </w:rPr>
              <w:t>X</w:t>
            </w:r>
          </w:p>
        </w:tc>
        <w:tc>
          <w:tcPr>
            <w:tcW w:w="534" w:type="pct"/>
            <w:tcBorders>
              <w:top w:val="outset" w:sz="6" w:space="0" w:color="auto"/>
              <w:left w:val="outset" w:sz="6" w:space="0" w:color="auto"/>
              <w:bottom w:val="outset" w:sz="6" w:space="0" w:color="auto"/>
              <w:right w:val="outset" w:sz="6" w:space="0" w:color="auto"/>
            </w:tcBorders>
            <w:vAlign w:val="center"/>
            <w:hideMark/>
          </w:tcPr>
          <w:p w14:paraId="4E2FD40B" w14:textId="0F0377DC" w:rsidR="00194750" w:rsidRPr="00836FE4"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77C67E9B" w14:textId="6E427684"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F3FE4D4" w14:textId="4E2DD5AE" w:rsidR="00194750" w:rsidRDefault="00194750" w:rsidP="00207590">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14:paraId="6F265A5F" w14:textId="042875E8"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58E41B6B" w14:textId="2ACB50EC" w:rsidR="00194750" w:rsidRDefault="00194750" w:rsidP="00207590">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BF5DC50" w14:textId="54EC33A4" w:rsidR="00194750" w:rsidRDefault="00194750" w:rsidP="00207590">
            <w:pPr>
              <w:jc w:val="right"/>
              <w:rPr>
                <w:iCs/>
                <w:color w:val="414142"/>
                <w:lang w:eastAsia="lv-LV"/>
              </w:rPr>
            </w:pPr>
            <w:r>
              <w:rPr>
                <w:iCs/>
                <w:color w:val="414142"/>
                <w:lang w:eastAsia="lv-LV"/>
              </w:rPr>
              <w:t>0</w:t>
            </w:r>
          </w:p>
        </w:tc>
      </w:tr>
      <w:tr w:rsidR="00194750" w14:paraId="17F4141F" w14:textId="4211A9CD"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514E919" w14:textId="77777777" w:rsidR="00194750" w:rsidRPr="00836FE4" w:rsidRDefault="00194750" w:rsidP="007E7A79">
            <w:pPr>
              <w:rPr>
                <w:iCs/>
                <w:color w:val="414142"/>
                <w:lang w:eastAsia="lv-LV"/>
              </w:rPr>
            </w:pPr>
            <w:r w:rsidRPr="00836FE4">
              <w:rPr>
                <w:iCs/>
                <w:color w:val="414142"/>
                <w:lang w:eastAsia="lv-LV"/>
              </w:rPr>
              <w:t>5. Precizēta finansiālā ietekme</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14:paraId="2E131414" w14:textId="77777777" w:rsidR="00194750" w:rsidRPr="00836FE4" w:rsidRDefault="00194750" w:rsidP="00446113">
            <w:pPr>
              <w:jc w:val="right"/>
              <w:rPr>
                <w:iCs/>
                <w:color w:val="414142"/>
                <w:lang w:eastAsia="lv-LV"/>
              </w:rPr>
            </w:pPr>
            <w:r w:rsidRPr="00836FE4">
              <w:rPr>
                <w:iCs/>
                <w:color w:val="414142"/>
                <w:lang w:eastAsia="lv-LV"/>
              </w:rPr>
              <w:t>X</w:t>
            </w:r>
          </w:p>
        </w:tc>
        <w:tc>
          <w:tcPr>
            <w:tcW w:w="534" w:type="pct"/>
            <w:tcBorders>
              <w:top w:val="outset" w:sz="6" w:space="0" w:color="auto"/>
              <w:left w:val="outset" w:sz="6" w:space="0" w:color="auto"/>
              <w:bottom w:val="outset" w:sz="6" w:space="0" w:color="auto"/>
              <w:right w:val="outset" w:sz="6" w:space="0" w:color="auto"/>
            </w:tcBorders>
            <w:vAlign w:val="center"/>
            <w:hideMark/>
          </w:tcPr>
          <w:p w14:paraId="2CF6026F" w14:textId="68C94197" w:rsidR="00194750" w:rsidRPr="00836FE4" w:rsidRDefault="00194750" w:rsidP="00207590">
            <w:pPr>
              <w:jc w:val="right"/>
              <w:rPr>
                <w:iCs/>
                <w:color w:val="414142"/>
                <w:lang w:eastAsia="lv-LV"/>
              </w:rPr>
            </w:pPr>
            <w:r>
              <w:rPr>
                <w:iCs/>
                <w:color w:val="414142"/>
                <w:lang w:eastAsia="lv-LV"/>
              </w:rPr>
              <w:t>-</w:t>
            </w:r>
            <w:r w:rsidR="00017002">
              <w:rPr>
                <w:iCs/>
                <w:color w:val="414142"/>
                <w:lang w:eastAsia="lv-LV"/>
              </w:rPr>
              <w:t>30 27</w:t>
            </w:r>
            <w:r w:rsidR="00C847ED">
              <w:rPr>
                <w:iCs/>
                <w:color w:val="414142"/>
                <w:lang w:eastAsia="lv-LV"/>
              </w:rPr>
              <w:t>2</w:t>
            </w:r>
          </w:p>
        </w:tc>
        <w:tc>
          <w:tcPr>
            <w:tcW w:w="465" w:type="pct"/>
            <w:tcBorders>
              <w:top w:val="outset" w:sz="6" w:space="0" w:color="auto"/>
              <w:left w:val="outset" w:sz="6" w:space="0" w:color="auto"/>
              <w:bottom w:val="outset" w:sz="6" w:space="0" w:color="auto"/>
              <w:right w:val="outset" w:sz="6" w:space="0" w:color="auto"/>
            </w:tcBorders>
            <w:vAlign w:val="center"/>
          </w:tcPr>
          <w:p w14:paraId="0270445E" w14:textId="0486067B"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674A1047" w14:textId="2B3E02A6" w:rsidR="00194750" w:rsidRDefault="00194750" w:rsidP="00207590">
            <w:pPr>
              <w:jc w:val="right"/>
              <w:rPr>
                <w:iCs/>
                <w:color w:val="414142"/>
                <w:lang w:eastAsia="lv-LV"/>
              </w:rPr>
            </w:pPr>
            <w:r>
              <w:rPr>
                <w:iCs/>
                <w:color w:val="414142"/>
                <w:lang w:eastAsia="lv-LV"/>
              </w:rPr>
              <w:t>-</w:t>
            </w:r>
            <w:r w:rsidR="00921745">
              <w:rPr>
                <w:iCs/>
                <w:color w:val="414142"/>
                <w:lang w:eastAsia="lv-LV"/>
              </w:rPr>
              <w:t>15 908</w:t>
            </w:r>
          </w:p>
        </w:tc>
        <w:tc>
          <w:tcPr>
            <w:tcW w:w="465" w:type="pct"/>
            <w:tcBorders>
              <w:top w:val="outset" w:sz="6" w:space="0" w:color="auto"/>
              <w:left w:val="outset" w:sz="6" w:space="0" w:color="auto"/>
              <w:bottom w:val="outset" w:sz="6" w:space="0" w:color="auto"/>
              <w:right w:val="outset" w:sz="6" w:space="0" w:color="auto"/>
            </w:tcBorders>
            <w:vAlign w:val="center"/>
          </w:tcPr>
          <w:p w14:paraId="1FB3C3A4" w14:textId="24B33F61" w:rsidR="00194750" w:rsidRPr="00836FE4" w:rsidRDefault="00194750" w:rsidP="00207590">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9D23B68" w14:textId="31AA30A2" w:rsidR="00194750" w:rsidRDefault="00194750" w:rsidP="00207590">
            <w:pPr>
              <w:jc w:val="right"/>
              <w:rPr>
                <w:iCs/>
                <w:color w:val="414142"/>
                <w:lang w:eastAsia="lv-LV"/>
              </w:rPr>
            </w:pPr>
            <w:r>
              <w:rPr>
                <w:iCs/>
                <w:color w:val="414142"/>
                <w:lang w:eastAsia="lv-LV"/>
              </w:rPr>
              <w:t>-</w:t>
            </w:r>
            <w:r w:rsidR="00921745">
              <w:rPr>
                <w:iCs/>
                <w:color w:val="414142"/>
                <w:lang w:eastAsia="lv-LV"/>
              </w:rPr>
              <w:t>18 000</w:t>
            </w:r>
          </w:p>
        </w:tc>
        <w:tc>
          <w:tcPr>
            <w:tcW w:w="595" w:type="pct"/>
            <w:tcBorders>
              <w:top w:val="outset" w:sz="6" w:space="0" w:color="auto"/>
              <w:left w:val="outset" w:sz="6" w:space="0" w:color="auto"/>
              <w:bottom w:val="outset" w:sz="6" w:space="0" w:color="auto"/>
              <w:right w:val="outset" w:sz="6" w:space="0" w:color="auto"/>
            </w:tcBorders>
            <w:vAlign w:val="center"/>
          </w:tcPr>
          <w:p w14:paraId="3AABF4EA" w14:textId="08FE4629" w:rsidR="00194750" w:rsidRDefault="00194750" w:rsidP="00207590">
            <w:pPr>
              <w:jc w:val="right"/>
              <w:rPr>
                <w:iCs/>
                <w:color w:val="414142"/>
                <w:lang w:eastAsia="lv-LV"/>
              </w:rPr>
            </w:pPr>
            <w:r>
              <w:rPr>
                <w:iCs/>
                <w:color w:val="414142"/>
                <w:lang w:eastAsia="lv-LV"/>
              </w:rPr>
              <w:t>-</w:t>
            </w:r>
            <w:r w:rsidR="00921745">
              <w:rPr>
                <w:iCs/>
                <w:color w:val="414142"/>
                <w:lang w:eastAsia="lv-LV"/>
              </w:rPr>
              <w:t>18 000</w:t>
            </w:r>
          </w:p>
        </w:tc>
      </w:tr>
      <w:tr w:rsidR="001B521A" w14:paraId="27232154" w14:textId="71DF8DDF"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09B4BAB6" w14:textId="77777777" w:rsidR="001B521A" w:rsidRPr="00836FE4" w:rsidRDefault="001B521A" w:rsidP="001B521A">
            <w:pPr>
              <w:rPr>
                <w:iCs/>
                <w:color w:val="414142"/>
                <w:lang w:eastAsia="lv-LV"/>
              </w:rPr>
            </w:pPr>
            <w:r w:rsidRPr="00836FE4">
              <w:rPr>
                <w:iCs/>
                <w:color w:val="414142"/>
                <w:lang w:eastAsia="lv-LV"/>
              </w:rPr>
              <w:t>5.1. valsts pamatbudžets</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756B9C99" w14:textId="77777777" w:rsidR="001B521A" w:rsidRPr="00836FE4" w:rsidRDefault="001B521A" w:rsidP="001B521A">
            <w:pPr>
              <w:jc w:val="right"/>
              <w:rPr>
                <w:iCs/>
                <w:color w:val="414142"/>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3C639A89" w14:textId="18E22E67" w:rsidR="001B521A" w:rsidRPr="00836FE4" w:rsidRDefault="001B521A" w:rsidP="001B521A">
            <w:pPr>
              <w:jc w:val="right"/>
              <w:rPr>
                <w:iCs/>
                <w:color w:val="414142"/>
                <w:lang w:eastAsia="lv-LV"/>
              </w:rPr>
            </w:pPr>
            <w:r>
              <w:rPr>
                <w:iCs/>
                <w:color w:val="414142"/>
                <w:lang w:eastAsia="lv-LV"/>
              </w:rPr>
              <w:t>-</w:t>
            </w:r>
            <w:r w:rsidR="00017002">
              <w:rPr>
                <w:iCs/>
                <w:color w:val="414142"/>
                <w:lang w:eastAsia="lv-LV"/>
              </w:rPr>
              <w:t>30 27</w:t>
            </w:r>
            <w:r w:rsidR="00C847ED">
              <w:rPr>
                <w:iCs/>
                <w:color w:val="414142"/>
                <w:lang w:eastAsia="lv-LV"/>
              </w:rPr>
              <w:t>2</w:t>
            </w:r>
          </w:p>
        </w:tc>
        <w:tc>
          <w:tcPr>
            <w:tcW w:w="465" w:type="pct"/>
            <w:tcBorders>
              <w:top w:val="outset" w:sz="6" w:space="0" w:color="auto"/>
              <w:left w:val="outset" w:sz="6" w:space="0" w:color="auto"/>
              <w:bottom w:val="outset" w:sz="6" w:space="0" w:color="auto"/>
              <w:right w:val="outset" w:sz="6" w:space="0" w:color="auto"/>
            </w:tcBorders>
            <w:vAlign w:val="center"/>
          </w:tcPr>
          <w:p w14:paraId="414BB378" w14:textId="16F3F09D" w:rsidR="001B521A" w:rsidRPr="00836FE4" w:rsidRDefault="001B521A" w:rsidP="001B521A">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6C78ACD" w14:textId="487E78C8" w:rsidR="001B521A" w:rsidRDefault="001B521A" w:rsidP="001B521A">
            <w:pPr>
              <w:jc w:val="right"/>
              <w:rPr>
                <w:iCs/>
                <w:color w:val="414142"/>
                <w:lang w:eastAsia="lv-LV"/>
              </w:rPr>
            </w:pPr>
            <w:r>
              <w:rPr>
                <w:iCs/>
                <w:color w:val="414142"/>
                <w:lang w:eastAsia="lv-LV"/>
              </w:rPr>
              <w:t>-</w:t>
            </w:r>
            <w:r w:rsidR="00921745">
              <w:rPr>
                <w:iCs/>
                <w:color w:val="414142"/>
                <w:lang w:eastAsia="lv-LV"/>
              </w:rPr>
              <w:t>15 908</w:t>
            </w:r>
          </w:p>
        </w:tc>
        <w:tc>
          <w:tcPr>
            <w:tcW w:w="465" w:type="pct"/>
            <w:tcBorders>
              <w:top w:val="outset" w:sz="6" w:space="0" w:color="auto"/>
              <w:left w:val="outset" w:sz="6" w:space="0" w:color="auto"/>
              <w:bottom w:val="outset" w:sz="6" w:space="0" w:color="auto"/>
              <w:right w:val="outset" w:sz="6" w:space="0" w:color="auto"/>
            </w:tcBorders>
            <w:vAlign w:val="center"/>
          </w:tcPr>
          <w:p w14:paraId="3BB974B0" w14:textId="1F5F5188" w:rsidR="001B521A" w:rsidRPr="00836FE4" w:rsidRDefault="001B521A" w:rsidP="001B521A">
            <w:pPr>
              <w:jc w:val="right"/>
              <w:rPr>
                <w:iCs/>
                <w:color w:val="414142"/>
                <w:lang w:eastAsia="lv-LV"/>
              </w:rPr>
            </w:pPr>
            <w:r>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B59250B" w14:textId="6C9F1D0D" w:rsidR="001B521A" w:rsidRDefault="001B521A" w:rsidP="001B521A">
            <w:pPr>
              <w:jc w:val="right"/>
              <w:rPr>
                <w:iCs/>
                <w:color w:val="414142"/>
                <w:lang w:eastAsia="lv-LV"/>
              </w:rPr>
            </w:pPr>
            <w:r>
              <w:rPr>
                <w:iCs/>
                <w:color w:val="414142"/>
                <w:lang w:eastAsia="lv-LV"/>
              </w:rPr>
              <w:t>-</w:t>
            </w:r>
            <w:r w:rsidR="00921745">
              <w:rPr>
                <w:iCs/>
                <w:color w:val="414142"/>
                <w:lang w:eastAsia="lv-LV"/>
              </w:rPr>
              <w:t>18 000</w:t>
            </w:r>
          </w:p>
        </w:tc>
        <w:tc>
          <w:tcPr>
            <w:tcW w:w="595" w:type="pct"/>
            <w:tcBorders>
              <w:top w:val="outset" w:sz="6" w:space="0" w:color="auto"/>
              <w:left w:val="outset" w:sz="6" w:space="0" w:color="auto"/>
              <w:bottom w:val="outset" w:sz="6" w:space="0" w:color="auto"/>
              <w:right w:val="outset" w:sz="6" w:space="0" w:color="auto"/>
            </w:tcBorders>
            <w:vAlign w:val="center"/>
          </w:tcPr>
          <w:p w14:paraId="28528E30" w14:textId="401A1EE6" w:rsidR="001B521A" w:rsidRDefault="001B521A" w:rsidP="001B521A">
            <w:pPr>
              <w:jc w:val="right"/>
              <w:rPr>
                <w:iCs/>
                <w:color w:val="414142"/>
                <w:lang w:eastAsia="lv-LV"/>
              </w:rPr>
            </w:pPr>
            <w:r>
              <w:rPr>
                <w:iCs/>
                <w:color w:val="414142"/>
                <w:lang w:eastAsia="lv-LV"/>
              </w:rPr>
              <w:t>-</w:t>
            </w:r>
            <w:r w:rsidR="00921745">
              <w:rPr>
                <w:iCs/>
                <w:color w:val="414142"/>
                <w:lang w:eastAsia="lv-LV"/>
              </w:rPr>
              <w:t>18 000</w:t>
            </w:r>
          </w:p>
        </w:tc>
      </w:tr>
      <w:tr w:rsidR="001B521A" w14:paraId="4A935AD9" w14:textId="022589C1"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09C25349" w14:textId="77777777" w:rsidR="001B521A" w:rsidRPr="00836FE4" w:rsidRDefault="001B521A" w:rsidP="001B521A">
            <w:pPr>
              <w:rPr>
                <w:iCs/>
                <w:color w:val="414142"/>
                <w:lang w:eastAsia="lv-LV"/>
              </w:rPr>
            </w:pPr>
            <w:r w:rsidRPr="00836FE4">
              <w:rPr>
                <w:iCs/>
                <w:color w:val="414142"/>
                <w:lang w:eastAsia="lv-LV"/>
              </w:rPr>
              <w:t>5.2. speciālais budžets</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7F01BABB" w14:textId="77777777" w:rsidR="001B521A" w:rsidRPr="00836FE4" w:rsidRDefault="001B521A" w:rsidP="001B521A">
            <w:pPr>
              <w:jc w:val="right"/>
              <w:rPr>
                <w:iCs/>
                <w:color w:val="414142"/>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0065A660" w14:textId="77777777" w:rsidR="001B521A" w:rsidRPr="00836FE4" w:rsidRDefault="001B521A" w:rsidP="001B521A">
            <w:pPr>
              <w:jc w:val="right"/>
              <w:rPr>
                <w:iCs/>
                <w:color w:val="414142"/>
                <w:lang w:eastAsia="lv-LV"/>
              </w:rPr>
            </w:pPr>
            <w:r w:rsidRPr="00836FE4">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304D4E74" w14:textId="77777777" w:rsidR="001B521A" w:rsidRPr="00836FE4" w:rsidRDefault="001B521A" w:rsidP="001B521A">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27B69A4F" w14:textId="119EBBEC" w:rsidR="001B521A" w:rsidRPr="00836FE4" w:rsidRDefault="001B521A" w:rsidP="001B521A">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222FA7C1" w14:textId="50249D62" w:rsidR="001B521A" w:rsidRPr="00836FE4" w:rsidRDefault="001B521A" w:rsidP="001B521A">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0655C490" w14:textId="119C09A7" w:rsidR="001B521A" w:rsidRPr="00836FE4" w:rsidRDefault="001B521A" w:rsidP="001B521A">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75225B12" w14:textId="2A2B18FF" w:rsidR="001B521A" w:rsidRPr="00836FE4" w:rsidRDefault="001B521A" w:rsidP="001B521A">
            <w:pPr>
              <w:jc w:val="right"/>
              <w:rPr>
                <w:iCs/>
                <w:color w:val="414142"/>
                <w:lang w:eastAsia="lv-LV"/>
              </w:rPr>
            </w:pPr>
            <w:r>
              <w:rPr>
                <w:iCs/>
                <w:color w:val="414142"/>
                <w:lang w:eastAsia="lv-LV"/>
              </w:rPr>
              <w:t>0</w:t>
            </w:r>
          </w:p>
        </w:tc>
      </w:tr>
      <w:tr w:rsidR="001B521A" w14:paraId="1F2A2862" w14:textId="420CB6F4"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21113AC" w14:textId="77777777" w:rsidR="001B521A" w:rsidRPr="00836FE4" w:rsidRDefault="001B521A" w:rsidP="001B521A">
            <w:pPr>
              <w:rPr>
                <w:iCs/>
                <w:color w:val="414142"/>
                <w:lang w:eastAsia="lv-LV"/>
              </w:rPr>
            </w:pPr>
            <w:r w:rsidRPr="00836FE4">
              <w:rPr>
                <w:iCs/>
                <w:color w:val="414142"/>
                <w:lang w:eastAsia="lv-LV"/>
              </w:rPr>
              <w:t>5.3. pašvaldību budžets</w:t>
            </w:r>
          </w:p>
        </w:tc>
        <w:tc>
          <w:tcPr>
            <w:tcW w:w="465" w:type="pct"/>
            <w:vMerge/>
            <w:tcBorders>
              <w:top w:val="outset" w:sz="6" w:space="0" w:color="auto"/>
              <w:left w:val="outset" w:sz="6" w:space="0" w:color="auto"/>
              <w:bottom w:val="outset" w:sz="6" w:space="0" w:color="auto"/>
              <w:right w:val="outset" w:sz="6" w:space="0" w:color="auto"/>
            </w:tcBorders>
            <w:vAlign w:val="center"/>
            <w:hideMark/>
          </w:tcPr>
          <w:p w14:paraId="342C62FC" w14:textId="77777777" w:rsidR="001B521A" w:rsidRPr="00836FE4" w:rsidRDefault="001B521A" w:rsidP="001B521A">
            <w:pPr>
              <w:jc w:val="right"/>
              <w:rPr>
                <w:iCs/>
                <w:color w:val="414142"/>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5DE2B8D" w14:textId="77777777" w:rsidR="001B521A" w:rsidRPr="00836FE4" w:rsidRDefault="001B521A" w:rsidP="001B521A">
            <w:pPr>
              <w:jc w:val="right"/>
              <w:rPr>
                <w:iCs/>
                <w:color w:val="414142"/>
                <w:lang w:eastAsia="lv-LV"/>
              </w:rPr>
            </w:pPr>
            <w:r w:rsidRPr="00836FE4">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5299C5E1" w14:textId="77777777" w:rsidR="001B521A" w:rsidRPr="00836FE4" w:rsidRDefault="001B521A" w:rsidP="001B521A">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007B631F" w14:textId="526AB37F" w:rsidR="001B521A" w:rsidRPr="00836FE4" w:rsidRDefault="001B521A" w:rsidP="001B521A">
            <w:pPr>
              <w:jc w:val="right"/>
              <w:rPr>
                <w:iCs/>
                <w:color w:val="414142"/>
                <w:lang w:eastAsia="lv-LV"/>
              </w:rPr>
            </w:pPr>
            <w:r>
              <w:rPr>
                <w:iCs/>
                <w:color w:val="414142"/>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14:paraId="41A36F39" w14:textId="234A9D25" w:rsidR="001B521A" w:rsidRPr="00836FE4" w:rsidRDefault="001B521A" w:rsidP="001B521A">
            <w:pPr>
              <w:jc w:val="right"/>
              <w:rPr>
                <w:iCs/>
                <w:color w:val="414142"/>
                <w:lang w:eastAsia="lv-LV"/>
              </w:rPr>
            </w:pPr>
            <w:r w:rsidRPr="00836FE4">
              <w:rPr>
                <w:iCs/>
                <w:color w:val="414142"/>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tcPr>
          <w:p w14:paraId="131A12BB" w14:textId="6274E634" w:rsidR="001B521A" w:rsidRPr="00836FE4" w:rsidRDefault="001B521A" w:rsidP="001B521A">
            <w:pPr>
              <w:jc w:val="right"/>
              <w:rPr>
                <w:iCs/>
                <w:color w:val="414142"/>
                <w:lang w:eastAsia="lv-LV"/>
              </w:rPr>
            </w:pPr>
            <w:r>
              <w:rPr>
                <w:iCs/>
                <w:color w:val="414142"/>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7CD39151" w14:textId="39B03547" w:rsidR="001B521A" w:rsidRPr="00836FE4" w:rsidRDefault="001B521A" w:rsidP="001B521A">
            <w:pPr>
              <w:jc w:val="right"/>
              <w:rPr>
                <w:iCs/>
                <w:color w:val="414142"/>
                <w:lang w:eastAsia="lv-LV"/>
              </w:rPr>
            </w:pPr>
            <w:r>
              <w:rPr>
                <w:iCs/>
                <w:color w:val="414142"/>
                <w:lang w:eastAsia="lv-LV"/>
              </w:rPr>
              <w:t>0</w:t>
            </w:r>
          </w:p>
        </w:tc>
      </w:tr>
      <w:tr w:rsidR="001B521A" w14:paraId="11D84F75" w14:textId="5B7AD918"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2F5BF592" w14:textId="77777777" w:rsidR="001B521A" w:rsidRPr="00836FE4" w:rsidRDefault="001B521A" w:rsidP="001B521A">
            <w:pPr>
              <w:rPr>
                <w:iCs/>
                <w:color w:val="414142"/>
                <w:lang w:eastAsia="lv-LV"/>
              </w:rPr>
            </w:pPr>
            <w:r w:rsidRPr="00836FE4">
              <w:rPr>
                <w:iCs/>
                <w:color w:val="414142"/>
                <w:lang w:eastAsia="lv-LV"/>
              </w:rPr>
              <w:lastRenderedPageBreak/>
              <w:t>6. Detalizēts ieņēmumu un izdevumu aprēķins (ja nepieciešams, detalizētu ieņēmumu un izdevumu aprēķinu var pievienot anotācijas pielikumā)</w:t>
            </w:r>
          </w:p>
        </w:tc>
        <w:tc>
          <w:tcPr>
            <w:tcW w:w="3679" w:type="pct"/>
            <w:gridSpan w:val="7"/>
            <w:vMerge w:val="restart"/>
            <w:tcBorders>
              <w:top w:val="outset" w:sz="6" w:space="0" w:color="auto"/>
              <w:left w:val="outset" w:sz="6" w:space="0" w:color="auto"/>
              <w:right w:val="outset" w:sz="6" w:space="0" w:color="auto"/>
            </w:tcBorders>
          </w:tcPr>
          <w:p w14:paraId="55365F29" w14:textId="36EC5CEF" w:rsidR="001B521A" w:rsidRPr="004A5520" w:rsidRDefault="0072690E" w:rsidP="0072690E">
            <w:pPr>
              <w:shd w:val="clear" w:color="auto" w:fill="FFFFFF"/>
              <w:spacing w:line="293" w:lineRule="atLeast"/>
              <w:jc w:val="both"/>
            </w:pPr>
            <w:r w:rsidRPr="00CA6D25">
              <w:t xml:space="preserve">Projekts tiks līdzfinansēts no Eiropas reģionālās attīstības fonda (turpmāk - ERAF) līdzekļiem un tā kopējais finansējuma apjoms (kopējās attiecināmās izmaksas) </w:t>
            </w:r>
            <w:r>
              <w:t>ir</w:t>
            </w:r>
            <w:r w:rsidRPr="00CA6D25">
              <w:t xml:space="preserve"> 300 000 </w:t>
            </w:r>
            <w:proofErr w:type="spellStart"/>
            <w:r w:rsidRPr="00CA6D25">
              <w:rPr>
                <w:i/>
                <w:iCs/>
              </w:rPr>
              <w:t>euro</w:t>
            </w:r>
            <w:proofErr w:type="spellEnd"/>
            <w:r w:rsidRPr="00CA6D25">
              <w:t xml:space="preserve">, tai skaitā, ERAF </w:t>
            </w:r>
            <w:r w:rsidRPr="004A5520">
              <w:t xml:space="preserve">finansējums 255 000 </w:t>
            </w:r>
            <w:proofErr w:type="spellStart"/>
            <w:r w:rsidRPr="004A5520">
              <w:rPr>
                <w:i/>
                <w:iCs/>
              </w:rPr>
              <w:t>euro</w:t>
            </w:r>
            <w:proofErr w:type="spellEnd"/>
            <w:r w:rsidRPr="004A5520">
              <w:t xml:space="preserve"> un valsts budžeta finansējums 45 000 </w:t>
            </w:r>
            <w:proofErr w:type="spellStart"/>
            <w:r w:rsidRPr="004A5520">
              <w:rPr>
                <w:i/>
                <w:iCs/>
              </w:rPr>
              <w:t>euro</w:t>
            </w:r>
            <w:proofErr w:type="spellEnd"/>
            <w:r w:rsidRPr="004A5520">
              <w:t>.</w:t>
            </w:r>
          </w:p>
          <w:p w14:paraId="7B2A45C9" w14:textId="77777777" w:rsidR="008577DB" w:rsidRPr="004A5520" w:rsidRDefault="00921745" w:rsidP="0072690E">
            <w:pPr>
              <w:shd w:val="clear" w:color="auto" w:fill="FFFFFF"/>
              <w:spacing w:line="293" w:lineRule="atLeast"/>
              <w:jc w:val="both"/>
            </w:pPr>
            <w:r w:rsidRPr="004A5520">
              <w:t xml:space="preserve">Projekta izdevumi: </w:t>
            </w:r>
          </w:p>
          <w:p w14:paraId="3197E989" w14:textId="0EE6DE02" w:rsidR="004A5520" w:rsidRPr="004A5520" w:rsidRDefault="004A5520" w:rsidP="004A5520">
            <w:pPr>
              <w:shd w:val="clear" w:color="auto" w:fill="FFFFFF"/>
              <w:spacing w:line="293" w:lineRule="atLeast"/>
              <w:jc w:val="both"/>
            </w:pPr>
            <w:r w:rsidRPr="004A5520">
              <w:t xml:space="preserve">2018.gadā apgūti 20 606 </w:t>
            </w:r>
            <w:proofErr w:type="spellStart"/>
            <w:r w:rsidRPr="004A5520">
              <w:rPr>
                <w:i/>
                <w:iCs/>
              </w:rPr>
              <w:t>euro</w:t>
            </w:r>
            <w:proofErr w:type="spellEnd"/>
            <w:r w:rsidRPr="004A5520">
              <w:t xml:space="preserve"> (kur 17 515 </w:t>
            </w:r>
            <w:proofErr w:type="spellStart"/>
            <w:r w:rsidRPr="004A5520">
              <w:rPr>
                <w:i/>
                <w:iCs/>
              </w:rPr>
              <w:t>euro</w:t>
            </w:r>
            <w:proofErr w:type="spellEnd"/>
            <w:r w:rsidRPr="004A5520">
              <w:t xml:space="preserve">  ERAF finansējums, 3 091 </w:t>
            </w:r>
            <w:proofErr w:type="spellStart"/>
            <w:r w:rsidRPr="004A5520">
              <w:rPr>
                <w:i/>
                <w:iCs/>
              </w:rPr>
              <w:t>euro</w:t>
            </w:r>
            <w:proofErr w:type="spellEnd"/>
            <w:r w:rsidRPr="004A5520">
              <w:t xml:space="preserve"> valsts budžeta finansējums), 2019.gadā – 71 528</w:t>
            </w:r>
            <w:r w:rsidRPr="004A5520">
              <w:rPr>
                <w:i/>
                <w:iCs/>
              </w:rPr>
              <w:t xml:space="preserve"> </w:t>
            </w:r>
            <w:proofErr w:type="spellStart"/>
            <w:r w:rsidRPr="004A5520">
              <w:rPr>
                <w:i/>
                <w:iCs/>
              </w:rPr>
              <w:t>euro</w:t>
            </w:r>
            <w:proofErr w:type="spellEnd"/>
            <w:r w:rsidRPr="004A5520">
              <w:t xml:space="preserve"> (kur 60 799 </w:t>
            </w:r>
            <w:proofErr w:type="spellStart"/>
            <w:r w:rsidRPr="004A5520">
              <w:rPr>
                <w:i/>
                <w:iCs/>
              </w:rPr>
              <w:t>euro</w:t>
            </w:r>
            <w:proofErr w:type="spellEnd"/>
            <w:r w:rsidRPr="004A5520">
              <w:t xml:space="preserve">  ERAF finansējums, 10 729 </w:t>
            </w:r>
            <w:proofErr w:type="spellStart"/>
            <w:r w:rsidRPr="004A5520">
              <w:rPr>
                <w:i/>
                <w:iCs/>
              </w:rPr>
              <w:t>euro</w:t>
            </w:r>
            <w:proofErr w:type="spellEnd"/>
            <w:r w:rsidRPr="004A5520">
              <w:rPr>
                <w:i/>
                <w:iCs/>
              </w:rPr>
              <w:t xml:space="preserve"> </w:t>
            </w:r>
            <w:r w:rsidRPr="004A5520">
              <w:t xml:space="preserve"> valsts budžeta finansējums). </w:t>
            </w:r>
          </w:p>
          <w:p w14:paraId="25427BB1" w14:textId="77777777" w:rsidR="004A5520" w:rsidRPr="004A5520" w:rsidRDefault="004A5520" w:rsidP="004A5520">
            <w:pPr>
              <w:shd w:val="clear" w:color="auto" w:fill="FFFFFF"/>
              <w:spacing w:line="293" w:lineRule="atLeast"/>
              <w:jc w:val="both"/>
            </w:pPr>
            <w:r w:rsidRPr="004A5520">
              <w:t>2020.gadā plānots apgūt  201 811</w:t>
            </w:r>
            <w:r w:rsidRPr="004A5520">
              <w:rPr>
                <w:i/>
                <w:iCs/>
              </w:rPr>
              <w:t xml:space="preserve"> </w:t>
            </w:r>
            <w:proofErr w:type="spellStart"/>
            <w:r w:rsidRPr="004A5520">
              <w:rPr>
                <w:i/>
                <w:iCs/>
              </w:rPr>
              <w:t>euro</w:t>
            </w:r>
            <w:proofErr w:type="spellEnd"/>
            <w:r w:rsidRPr="004A5520">
              <w:rPr>
                <w:i/>
                <w:iCs/>
              </w:rPr>
              <w:t xml:space="preserve"> </w:t>
            </w:r>
            <w:r w:rsidRPr="004A5520">
              <w:t xml:space="preserve">(kur 171 539 </w:t>
            </w:r>
            <w:proofErr w:type="spellStart"/>
            <w:r w:rsidRPr="004A5520">
              <w:rPr>
                <w:i/>
                <w:iCs/>
              </w:rPr>
              <w:t>euro</w:t>
            </w:r>
            <w:proofErr w:type="spellEnd"/>
            <w:r w:rsidRPr="004A5520">
              <w:rPr>
                <w:i/>
                <w:iCs/>
              </w:rPr>
              <w:t xml:space="preserve"> </w:t>
            </w:r>
            <w:r w:rsidRPr="004A5520">
              <w:t xml:space="preserve">ERAF finansējums, 30 272 </w:t>
            </w:r>
            <w:proofErr w:type="spellStart"/>
            <w:r w:rsidRPr="004A5520">
              <w:rPr>
                <w:i/>
                <w:iCs/>
              </w:rPr>
              <w:t>euro</w:t>
            </w:r>
            <w:proofErr w:type="spellEnd"/>
            <w:r w:rsidRPr="004A5520">
              <w:rPr>
                <w:i/>
                <w:iCs/>
              </w:rPr>
              <w:t xml:space="preserve"> </w:t>
            </w:r>
            <w:r w:rsidRPr="004A5520">
              <w:t>valsts budžeta finansējums).</w:t>
            </w:r>
          </w:p>
          <w:p w14:paraId="2BE70D81" w14:textId="02900122" w:rsidR="004A5520" w:rsidRPr="004A5520" w:rsidRDefault="004A5520" w:rsidP="004A5520">
            <w:pPr>
              <w:shd w:val="clear" w:color="auto" w:fill="FFFFFF"/>
              <w:spacing w:line="293" w:lineRule="atLeast"/>
              <w:jc w:val="both"/>
            </w:pPr>
            <w:r w:rsidRPr="004A5520">
              <w:t xml:space="preserve">2021.gadā plānots apgūt – 6 055 </w:t>
            </w:r>
            <w:r w:rsidRPr="004A5520">
              <w:rPr>
                <w:i/>
                <w:iCs/>
              </w:rPr>
              <w:t xml:space="preserve"> </w:t>
            </w:r>
            <w:proofErr w:type="spellStart"/>
            <w:r w:rsidRPr="004A5520">
              <w:rPr>
                <w:i/>
                <w:iCs/>
              </w:rPr>
              <w:t>euro</w:t>
            </w:r>
            <w:proofErr w:type="spellEnd"/>
            <w:r w:rsidRPr="004A5520">
              <w:rPr>
                <w:i/>
                <w:iCs/>
              </w:rPr>
              <w:t xml:space="preserve"> </w:t>
            </w:r>
            <w:r w:rsidRPr="004A5520">
              <w:t xml:space="preserve">(kur 5 147 </w:t>
            </w:r>
            <w:proofErr w:type="spellStart"/>
            <w:r w:rsidRPr="004A5520">
              <w:rPr>
                <w:i/>
                <w:iCs/>
              </w:rPr>
              <w:t>euro</w:t>
            </w:r>
            <w:proofErr w:type="spellEnd"/>
            <w:r w:rsidRPr="004A5520">
              <w:t xml:space="preserve"> ERAF finansējums, 908 </w:t>
            </w:r>
            <w:proofErr w:type="spellStart"/>
            <w:r w:rsidRPr="004A5520">
              <w:rPr>
                <w:i/>
                <w:iCs/>
              </w:rPr>
              <w:t>euro</w:t>
            </w:r>
            <w:proofErr w:type="spellEnd"/>
            <w:r w:rsidRPr="004A5520">
              <w:rPr>
                <w:i/>
                <w:iCs/>
              </w:rPr>
              <w:t xml:space="preserve"> </w:t>
            </w:r>
            <w:r w:rsidRPr="004A5520">
              <w:t>valsts budžeta finansējums).</w:t>
            </w:r>
          </w:p>
          <w:p w14:paraId="72570C45" w14:textId="268AAA97" w:rsidR="0072690E" w:rsidRPr="00921745" w:rsidRDefault="0072690E" w:rsidP="0072690E">
            <w:pPr>
              <w:jc w:val="both"/>
            </w:pPr>
            <w:r w:rsidRPr="009B4794">
              <w:t xml:space="preserve">Lai nodrošinātu ilgtspējīgu projekta ietvaros sagatavoto risinājumu darbību pēc projekta termiņa beigām, sākot ar </w:t>
            </w:r>
            <w:r w:rsidRPr="00921745">
              <w:t>202</w:t>
            </w:r>
            <w:r w:rsidR="00921745" w:rsidRPr="00921745">
              <w:t>1</w:t>
            </w:r>
            <w:r w:rsidRPr="00921745">
              <w:t>. gadu, ir plānojamas IKT risinājumu uzturēšanas izmaksas. Kopējās plānotās uzturēšanas (turpmākās sistēmas darbināšanas) izmaksas 202</w:t>
            </w:r>
            <w:r w:rsidR="00921745" w:rsidRPr="00921745">
              <w:t>1</w:t>
            </w:r>
            <w:r w:rsidRPr="00921745">
              <w:t xml:space="preserve">.gadā ir 44 414 </w:t>
            </w:r>
            <w:proofErr w:type="spellStart"/>
            <w:r w:rsidRPr="00921745">
              <w:rPr>
                <w:i/>
              </w:rPr>
              <w:t>euro</w:t>
            </w:r>
            <w:proofErr w:type="spellEnd"/>
            <w:r w:rsidRPr="00921745">
              <w:t xml:space="preserve"> gadā un sākot ar 202</w:t>
            </w:r>
            <w:r w:rsidR="004A5520">
              <w:t>2</w:t>
            </w:r>
            <w:r w:rsidRPr="00921745">
              <w:t xml:space="preserve">.gadu – 53 297 </w:t>
            </w:r>
            <w:proofErr w:type="spellStart"/>
            <w:r w:rsidRPr="00921745">
              <w:rPr>
                <w:i/>
              </w:rPr>
              <w:t>euro</w:t>
            </w:r>
            <w:proofErr w:type="spellEnd"/>
            <w:r w:rsidRPr="00921745">
              <w:t xml:space="preserve"> gadā.</w:t>
            </w:r>
          </w:p>
          <w:p w14:paraId="107EAB7B" w14:textId="77777777" w:rsidR="0072690E" w:rsidRPr="00921745" w:rsidRDefault="0072690E" w:rsidP="0072690E">
            <w:pPr>
              <w:pStyle w:val="VPBullet"/>
              <w:numPr>
                <w:ilvl w:val="0"/>
                <w:numId w:val="0"/>
              </w:numPr>
              <w:spacing w:after="0" w:line="240" w:lineRule="auto"/>
              <w:rPr>
                <w:szCs w:val="24"/>
              </w:rPr>
            </w:pPr>
            <w:r w:rsidRPr="00921745">
              <w:rPr>
                <w:szCs w:val="24"/>
              </w:rPr>
              <w:t xml:space="preserve">Sistēmu uzturēšanas izmaksās ietilpst: </w:t>
            </w:r>
          </w:p>
          <w:p w14:paraId="66853D43" w14:textId="7EF760AE" w:rsidR="0072690E" w:rsidRPr="00921745" w:rsidRDefault="0072690E" w:rsidP="0072690E">
            <w:pPr>
              <w:pStyle w:val="VPBullet"/>
              <w:numPr>
                <w:ilvl w:val="0"/>
                <w:numId w:val="10"/>
              </w:numPr>
              <w:spacing w:after="0" w:line="240" w:lineRule="auto"/>
              <w:ind w:left="201" w:hanging="283"/>
              <w:rPr>
                <w:szCs w:val="24"/>
              </w:rPr>
            </w:pPr>
            <w:r w:rsidRPr="00921745">
              <w:rPr>
                <w:szCs w:val="24"/>
              </w:rPr>
              <w:t>programmatūras licences, atjauninājumi, sistēmas drošības un veiktspējas pārbaudes un drošības labojumi, programmatūras papildinājumi: 202</w:t>
            </w:r>
            <w:r w:rsidR="00921745" w:rsidRPr="00921745">
              <w:rPr>
                <w:szCs w:val="24"/>
              </w:rPr>
              <w:t>1</w:t>
            </w:r>
            <w:r w:rsidRPr="00921745">
              <w:rPr>
                <w:szCs w:val="24"/>
              </w:rPr>
              <w:t xml:space="preserve">.gadā 15 000 </w:t>
            </w:r>
            <w:proofErr w:type="spellStart"/>
            <w:r w:rsidRPr="00921745">
              <w:rPr>
                <w:i/>
                <w:szCs w:val="24"/>
              </w:rPr>
              <w:t>euro</w:t>
            </w:r>
            <w:proofErr w:type="spellEnd"/>
            <w:r w:rsidRPr="00921745">
              <w:rPr>
                <w:szCs w:val="24"/>
              </w:rPr>
              <w:t xml:space="preserve"> gadā un sākot ar 202</w:t>
            </w:r>
            <w:r w:rsidR="00921745" w:rsidRPr="00921745">
              <w:rPr>
                <w:szCs w:val="24"/>
              </w:rPr>
              <w:t>2</w:t>
            </w:r>
            <w:r w:rsidRPr="00921745">
              <w:rPr>
                <w:szCs w:val="24"/>
              </w:rPr>
              <w:t>.gadu –18 000 </w:t>
            </w:r>
            <w:proofErr w:type="spellStart"/>
            <w:r w:rsidRPr="00921745">
              <w:rPr>
                <w:i/>
                <w:szCs w:val="24"/>
              </w:rPr>
              <w:t>euro</w:t>
            </w:r>
            <w:proofErr w:type="spellEnd"/>
            <w:r w:rsidRPr="00921745">
              <w:rPr>
                <w:szCs w:val="24"/>
              </w:rPr>
              <w:t xml:space="preserve"> gadā</w:t>
            </w:r>
          </w:p>
          <w:p w14:paraId="208C1A4B" w14:textId="78D736CC" w:rsidR="0072690E" w:rsidRPr="00921745" w:rsidRDefault="0072690E" w:rsidP="0072690E">
            <w:pPr>
              <w:pStyle w:val="VPBullet"/>
              <w:numPr>
                <w:ilvl w:val="0"/>
                <w:numId w:val="10"/>
              </w:numPr>
              <w:spacing w:after="0" w:line="240" w:lineRule="auto"/>
              <w:ind w:left="201" w:hanging="283"/>
              <w:rPr>
                <w:szCs w:val="24"/>
              </w:rPr>
            </w:pPr>
            <w:r w:rsidRPr="00921745">
              <w:rPr>
                <w:szCs w:val="24"/>
              </w:rPr>
              <w:t>tehniskais un lietotāju atbalsts personāls: 202</w:t>
            </w:r>
            <w:r w:rsidR="00921745" w:rsidRPr="00921745">
              <w:rPr>
                <w:szCs w:val="24"/>
              </w:rPr>
              <w:t>1</w:t>
            </w:r>
            <w:r w:rsidRPr="00921745">
              <w:rPr>
                <w:szCs w:val="24"/>
              </w:rPr>
              <w:t xml:space="preserve">.gadā 29414 </w:t>
            </w:r>
            <w:proofErr w:type="spellStart"/>
            <w:r w:rsidRPr="00921745">
              <w:rPr>
                <w:i/>
                <w:szCs w:val="24"/>
              </w:rPr>
              <w:t>euro</w:t>
            </w:r>
            <w:proofErr w:type="spellEnd"/>
            <w:r w:rsidRPr="00921745">
              <w:rPr>
                <w:szCs w:val="24"/>
              </w:rPr>
              <w:t xml:space="preserve"> gadā un sākot ar 202</w:t>
            </w:r>
            <w:r w:rsidR="00921745" w:rsidRPr="00921745">
              <w:rPr>
                <w:szCs w:val="24"/>
              </w:rPr>
              <w:t>2</w:t>
            </w:r>
            <w:r w:rsidRPr="00921745">
              <w:rPr>
                <w:szCs w:val="24"/>
              </w:rPr>
              <w:t xml:space="preserve">.gadu – 35 297 </w:t>
            </w:r>
            <w:proofErr w:type="spellStart"/>
            <w:r w:rsidRPr="00921745">
              <w:rPr>
                <w:i/>
                <w:szCs w:val="24"/>
              </w:rPr>
              <w:t>euro</w:t>
            </w:r>
            <w:proofErr w:type="spellEnd"/>
            <w:r w:rsidRPr="00921745">
              <w:rPr>
                <w:szCs w:val="24"/>
              </w:rPr>
              <w:t xml:space="preserve"> gadā. </w:t>
            </w:r>
          </w:p>
          <w:p w14:paraId="39D978C0" w14:textId="77777777" w:rsidR="0072690E" w:rsidRPr="00921745" w:rsidRDefault="0072690E" w:rsidP="0072690E">
            <w:pPr>
              <w:pStyle w:val="naisc"/>
              <w:spacing w:before="0" w:after="0"/>
              <w:ind w:firstLine="201"/>
              <w:jc w:val="both"/>
            </w:pPr>
            <w:r w:rsidRPr="00921745">
              <w:t>Tehniskais un lietotāju atbalsta personāls ir 2 amata vietas:</w:t>
            </w:r>
          </w:p>
          <w:p w14:paraId="66FA3EDB" w14:textId="77777777" w:rsidR="0072690E" w:rsidRPr="00921745" w:rsidRDefault="0072690E" w:rsidP="0072690E">
            <w:pPr>
              <w:pStyle w:val="naisc"/>
              <w:spacing w:before="0" w:after="0"/>
              <w:ind w:firstLine="201"/>
              <w:jc w:val="both"/>
            </w:pPr>
            <w:r w:rsidRPr="00921745">
              <w:t>IT vadītājs, 19.6.saimes III līmenis, 10.algu grupa;</w:t>
            </w:r>
          </w:p>
          <w:p w14:paraId="294A40FC" w14:textId="77777777" w:rsidR="0072690E" w:rsidRPr="00921745" w:rsidRDefault="0072690E" w:rsidP="0072690E">
            <w:pPr>
              <w:pStyle w:val="naisc"/>
              <w:spacing w:before="0" w:after="0"/>
              <w:ind w:firstLine="201"/>
              <w:jc w:val="both"/>
            </w:pPr>
            <w:r w:rsidRPr="00921745">
              <w:t>IT administrators 19.5 saimes IIA līmenis, 8.algu grupa.</w:t>
            </w:r>
          </w:p>
          <w:p w14:paraId="20ABCCD4" w14:textId="38ECC7FF" w:rsidR="0072690E" w:rsidRPr="009B4794" w:rsidRDefault="0072690E" w:rsidP="0072690E">
            <w:pPr>
              <w:jc w:val="both"/>
            </w:pPr>
            <w:r w:rsidRPr="00921745">
              <w:t>Tehniskais un lietotāju atbalsta personāls tiks nodrošināts VTMEC esošā pamatbudžeta līdzekļu ietvaros, bet programmatūras licenču, atjauninājumu, sistēmas drošības un veiktspējas pārbaužu un drošības labojumu, programmatūras papildinājumu nodrošināšanai ir nepieciešams papildus finansējums: 202</w:t>
            </w:r>
            <w:r w:rsidR="00921745" w:rsidRPr="00921745">
              <w:t>1</w:t>
            </w:r>
            <w:r w:rsidRPr="00921745">
              <w:t xml:space="preserve">.gadā 15 000 </w:t>
            </w:r>
            <w:proofErr w:type="spellStart"/>
            <w:r w:rsidRPr="00921745">
              <w:rPr>
                <w:i/>
              </w:rPr>
              <w:t>euro</w:t>
            </w:r>
            <w:proofErr w:type="spellEnd"/>
            <w:r w:rsidRPr="00921745">
              <w:t xml:space="preserve"> gadā un sākot ar 202</w:t>
            </w:r>
            <w:r w:rsidR="00921745" w:rsidRPr="00921745">
              <w:t>2</w:t>
            </w:r>
            <w:r w:rsidRPr="00921745">
              <w:t>.gadu –18 000 </w:t>
            </w:r>
            <w:proofErr w:type="spellStart"/>
            <w:r w:rsidRPr="00921745">
              <w:rPr>
                <w:i/>
              </w:rPr>
              <w:t>euro</w:t>
            </w:r>
            <w:proofErr w:type="spellEnd"/>
            <w:r w:rsidRPr="00921745">
              <w:t xml:space="preserve"> gadā.</w:t>
            </w:r>
          </w:p>
          <w:p w14:paraId="79DDAD37" w14:textId="77777777" w:rsidR="0072690E" w:rsidRPr="009B4794" w:rsidRDefault="0072690E" w:rsidP="0072690E">
            <w:pPr>
              <w:jc w:val="both"/>
            </w:pPr>
            <w:r w:rsidRPr="009B4794">
              <w:t>Pēc projekta pabeigšanas detalizēti aprēķini papildu nepieciešamajam finansējumam sistēmas uzturēšanai tiks iekļauti papildu finansējuma pieprasījumā, kas tiks virzīts normatīvajos aktos noteiktajā kārtībā.</w:t>
            </w:r>
          </w:p>
          <w:p w14:paraId="12E7538D" w14:textId="0274C857" w:rsidR="0072690E" w:rsidRPr="00836FE4" w:rsidRDefault="0072690E" w:rsidP="0072690E">
            <w:pPr>
              <w:shd w:val="clear" w:color="auto" w:fill="FFFFFF"/>
              <w:spacing w:line="293" w:lineRule="atLeast"/>
              <w:jc w:val="both"/>
              <w:rPr>
                <w:iCs/>
                <w:color w:val="414142"/>
                <w:lang w:eastAsia="lv-LV"/>
              </w:rPr>
            </w:pPr>
          </w:p>
        </w:tc>
      </w:tr>
      <w:tr w:rsidR="001B521A" w14:paraId="4D1D0CEA" w14:textId="4F7CF5EE"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326CEDA2" w14:textId="77777777" w:rsidR="001B521A" w:rsidRPr="00836FE4" w:rsidRDefault="001B521A" w:rsidP="001B521A">
            <w:pPr>
              <w:rPr>
                <w:iCs/>
                <w:color w:val="414142"/>
                <w:lang w:eastAsia="lv-LV"/>
              </w:rPr>
            </w:pPr>
            <w:r w:rsidRPr="00836FE4">
              <w:rPr>
                <w:iCs/>
                <w:color w:val="414142"/>
                <w:lang w:eastAsia="lv-LV"/>
              </w:rPr>
              <w:t>6.1. detalizēts ieņēmumu aprēķins</w:t>
            </w:r>
          </w:p>
        </w:tc>
        <w:tc>
          <w:tcPr>
            <w:tcW w:w="3679" w:type="pct"/>
            <w:gridSpan w:val="7"/>
            <w:vMerge/>
            <w:tcBorders>
              <w:left w:val="outset" w:sz="6" w:space="0" w:color="auto"/>
              <w:right w:val="outset" w:sz="6" w:space="0" w:color="auto"/>
            </w:tcBorders>
          </w:tcPr>
          <w:p w14:paraId="07F37DA9" w14:textId="77777777" w:rsidR="001B521A" w:rsidRPr="00836FE4" w:rsidRDefault="001B521A" w:rsidP="001B521A">
            <w:pPr>
              <w:rPr>
                <w:iCs/>
                <w:color w:val="414142"/>
                <w:lang w:eastAsia="lv-LV"/>
              </w:rPr>
            </w:pPr>
          </w:p>
        </w:tc>
      </w:tr>
      <w:tr w:rsidR="001B521A" w14:paraId="1E1ED323" w14:textId="232879D6"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6E855ADA" w14:textId="77777777" w:rsidR="001B521A" w:rsidRPr="00836FE4" w:rsidRDefault="001B521A" w:rsidP="001B521A">
            <w:pPr>
              <w:rPr>
                <w:iCs/>
                <w:color w:val="414142"/>
                <w:lang w:eastAsia="lv-LV"/>
              </w:rPr>
            </w:pPr>
            <w:r w:rsidRPr="00836FE4">
              <w:rPr>
                <w:iCs/>
                <w:color w:val="414142"/>
                <w:lang w:eastAsia="lv-LV"/>
              </w:rPr>
              <w:t>6.2. detalizēts izdevumu aprēķins</w:t>
            </w:r>
          </w:p>
        </w:tc>
        <w:tc>
          <w:tcPr>
            <w:tcW w:w="3679" w:type="pct"/>
            <w:gridSpan w:val="7"/>
            <w:vMerge/>
            <w:tcBorders>
              <w:left w:val="outset" w:sz="6" w:space="0" w:color="auto"/>
              <w:bottom w:val="outset" w:sz="6" w:space="0" w:color="auto"/>
              <w:right w:val="outset" w:sz="6" w:space="0" w:color="auto"/>
            </w:tcBorders>
          </w:tcPr>
          <w:p w14:paraId="62D6DE7B" w14:textId="77777777" w:rsidR="001B521A" w:rsidRPr="00836FE4" w:rsidRDefault="001B521A" w:rsidP="001B521A">
            <w:pPr>
              <w:rPr>
                <w:iCs/>
                <w:color w:val="414142"/>
                <w:lang w:eastAsia="lv-LV"/>
              </w:rPr>
            </w:pPr>
          </w:p>
        </w:tc>
      </w:tr>
      <w:tr w:rsidR="001B521A" w14:paraId="5538001F" w14:textId="6822096B"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1F96ABDA" w14:textId="77777777" w:rsidR="001B521A" w:rsidRPr="00836FE4" w:rsidRDefault="001B521A" w:rsidP="001B521A">
            <w:pPr>
              <w:rPr>
                <w:iCs/>
                <w:color w:val="414142"/>
                <w:lang w:eastAsia="lv-LV"/>
              </w:rPr>
            </w:pPr>
            <w:r w:rsidRPr="00836FE4">
              <w:rPr>
                <w:iCs/>
                <w:color w:val="414142"/>
                <w:lang w:eastAsia="lv-LV"/>
              </w:rPr>
              <w:t>7. Amata vietu skaita izmaiņas</w:t>
            </w:r>
          </w:p>
        </w:tc>
        <w:tc>
          <w:tcPr>
            <w:tcW w:w="3679" w:type="pct"/>
            <w:gridSpan w:val="7"/>
            <w:tcBorders>
              <w:top w:val="outset" w:sz="6" w:space="0" w:color="auto"/>
              <w:left w:val="outset" w:sz="6" w:space="0" w:color="auto"/>
              <w:bottom w:val="outset" w:sz="6" w:space="0" w:color="auto"/>
              <w:right w:val="outset" w:sz="6" w:space="0" w:color="auto"/>
            </w:tcBorders>
          </w:tcPr>
          <w:p w14:paraId="7CD04DEC" w14:textId="67937104" w:rsidR="001B521A" w:rsidRDefault="001B521A" w:rsidP="001B521A">
            <w:pPr>
              <w:jc w:val="both"/>
            </w:pPr>
            <w:r>
              <w:t>nav</w:t>
            </w:r>
          </w:p>
        </w:tc>
      </w:tr>
      <w:tr w:rsidR="001B521A" w14:paraId="6B91BE04" w14:textId="5E4A40D5" w:rsidTr="00024CBF">
        <w:trPr>
          <w:tblCellSpacing w:w="15" w:type="dxa"/>
          <w:jc w:val="center"/>
        </w:trPr>
        <w:tc>
          <w:tcPr>
            <w:tcW w:w="1277" w:type="pct"/>
            <w:tcBorders>
              <w:top w:val="outset" w:sz="6" w:space="0" w:color="auto"/>
              <w:left w:val="outset" w:sz="6" w:space="0" w:color="auto"/>
              <w:bottom w:val="outset" w:sz="6" w:space="0" w:color="auto"/>
              <w:right w:val="outset" w:sz="6" w:space="0" w:color="auto"/>
            </w:tcBorders>
            <w:hideMark/>
          </w:tcPr>
          <w:p w14:paraId="60698432" w14:textId="77777777" w:rsidR="001B521A" w:rsidRPr="00836FE4" w:rsidRDefault="001B521A" w:rsidP="001B521A">
            <w:pPr>
              <w:rPr>
                <w:iCs/>
                <w:color w:val="414142"/>
                <w:lang w:eastAsia="lv-LV"/>
              </w:rPr>
            </w:pPr>
            <w:r w:rsidRPr="00836FE4">
              <w:rPr>
                <w:iCs/>
                <w:color w:val="414142"/>
                <w:lang w:eastAsia="lv-LV"/>
              </w:rPr>
              <w:t>8. Cita informācija</w:t>
            </w:r>
          </w:p>
        </w:tc>
        <w:tc>
          <w:tcPr>
            <w:tcW w:w="3679" w:type="pct"/>
            <w:gridSpan w:val="7"/>
            <w:tcBorders>
              <w:top w:val="outset" w:sz="6" w:space="0" w:color="auto"/>
              <w:left w:val="outset" w:sz="6" w:space="0" w:color="auto"/>
              <w:bottom w:val="outset" w:sz="6" w:space="0" w:color="auto"/>
              <w:right w:val="outset" w:sz="6" w:space="0" w:color="auto"/>
            </w:tcBorders>
          </w:tcPr>
          <w:p w14:paraId="4049EE27" w14:textId="77777777" w:rsidR="001B521A" w:rsidRPr="00836FE4" w:rsidRDefault="001B521A" w:rsidP="001B521A">
            <w:pPr>
              <w:jc w:val="both"/>
            </w:pPr>
            <w:r w:rsidRPr="00836FE4">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F422B4D" w14:textId="77777777" w:rsidR="001B521A" w:rsidRPr="00836FE4" w:rsidRDefault="001B521A" w:rsidP="001B521A">
            <w:pPr>
              <w:tabs>
                <w:tab w:val="left" w:pos="993"/>
              </w:tabs>
              <w:contextualSpacing/>
              <w:jc w:val="both"/>
            </w:pPr>
          </w:p>
          <w:p w14:paraId="61A60D02" w14:textId="29CB6961" w:rsidR="001B521A" w:rsidRPr="00836FE4" w:rsidRDefault="001B521A" w:rsidP="00AF2E3E">
            <w:pPr>
              <w:jc w:val="both"/>
            </w:pPr>
            <w:r>
              <w:rPr>
                <w:lang w:eastAsia="en-US"/>
              </w:rPr>
              <w:lastRenderedPageBreak/>
              <w:t>Sākot ar 202</w:t>
            </w:r>
            <w:r w:rsidR="00F66965">
              <w:rPr>
                <w:lang w:eastAsia="en-US"/>
              </w:rPr>
              <w:t>1</w:t>
            </w:r>
            <w:r w:rsidRPr="00EA09FA">
              <w:rPr>
                <w:lang w:eastAsia="en-US"/>
              </w:rPr>
              <w:t>.gadu</w:t>
            </w:r>
            <w:r>
              <w:rPr>
                <w:lang w:eastAsia="en-US"/>
              </w:rPr>
              <w:t>,</w:t>
            </w:r>
            <w:r w:rsidRPr="00836FE4">
              <w:t xml:space="preserve"> </w:t>
            </w:r>
            <w:r>
              <w:t>p</w:t>
            </w:r>
            <w:r w:rsidRPr="00836FE4">
              <w:t>rojekta rezultātu uzturēšanai papildu nepieciešamais finansējums</w:t>
            </w:r>
            <w:r>
              <w:t xml:space="preserve"> </w:t>
            </w:r>
            <w:r w:rsidRPr="00836FE4">
              <w:t>tiks pieprasīts normatīvajos aktos noteiktajā kārtībā.</w:t>
            </w:r>
          </w:p>
        </w:tc>
      </w:tr>
    </w:tbl>
    <w:p w14:paraId="51337DCA" w14:textId="276558E5" w:rsidR="00145D81" w:rsidRPr="00836FE4" w:rsidRDefault="00145D81" w:rsidP="00B559D5">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3"/>
      </w:tblGrid>
      <w:tr w:rsidR="004940F6" w14:paraId="6643D912" w14:textId="77777777" w:rsidTr="00024CB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F6D7C3C" w14:textId="77777777" w:rsidR="00B559D5" w:rsidRPr="00836FE4" w:rsidRDefault="00F15799" w:rsidP="00262DE5">
            <w:pPr>
              <w:pStyle w:val="tvhtml"/>
              <w:spacing w:before="0" w:after="0"/>
              <w:jc w:val="center"/>
              <w:rPr>
                <w:b/>
                <w:bCs/>
              </w:rPr>
            </w:pPr>
            <w:r w:rsidRPr="00836FE4">
              <w:rPr>
                <w:b/>
                <w:bCs/>
              </w:rPr>
              <w:t>IV. Tiesību akta projekta ietekme uz spēkā esošo tiesību normu sistēmu</w:t>
            </w:r>
          </w:p>
        </w:tc>
      </w:tr>
      <w:tr w:rsidR="004940F6" w14:paraId="09064C46" w14:textId="77777777" w:rsidTr="00024CB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3EB681F" w14:textId="77777777" w:rsidR="00B559D5" w:rsidRPr="00836FE4" w:rsidRDefault="00F15799" w:rsidP="00262DE5">
            <w:pPr>
              <w:pStyle w:val="tvhtml"/>
              <w:spacing w:before="0" w:after="0"/>
              <w:jc w:val="center"/>
            </w:pPr>
            <w:r w:rsidRPr="00836FE4">
              <w:t>Projekts šo jomu neskar</w:t>
            </w:r>
          </w:p>
        </w:tc>
      </w:tr>
    </w:tbl>
    <w:p w14:paraId="51A8D931" w14:textId="77777777" w:rsidR="00B559D5" w:rsidRPr="00836FE4" w:rsidRDefault="00B559D5" w:rsidP="00B559D5">
      <w:pPr>
        <w:rPr>
          <w:iCs/>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3"/>
      </w:tblGrid>
      <w:tr w:rsidR="004940F6" w14:paraId="20D88D1A" w14:textId="77777777" w:rsidTr="00024CB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5A11CBE" w14:textId="77777777" w:rsidR="00B559D5" w:rsidRPr="00836FE4" w:rsidRDefault="00F15799" w:rsidP="00262DE5">
            <w:pPr>
              <w:pStyle w:val="tvhtml"/>
              <w:spacing w:before="0" w:after="0"/>
              <w:jc w:val="center"/>
              <w:rPr>
                <w:b/>
                <w:bCs/>
              </w:rPr>
            </w:pPr>
            <w:r w:rsidRPr="00836FE4">
              <w:rPr>
                <w:b/>
                <w:bCs/>
              </w:rPr>
              <w:t>V. Tiesību akta projekta atbilstība Latvijas Republikas starptautiskajām saistībām</w:t>
            </w:r>
          </w:p>
        </w:tc>
      </w:tr>
      <w:tr w:rsidR="004940F6" w14:paraId="459EE89F" w14:textId="77777777" w:rsidTr="00024CB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EA9DD63" w14:textId="77777777" w:rsidR="00B559D5" w:rsidRPr="00836FE4" w:rsidRDefault="00F15799" w:rsidP="00262DE5">
            <w:pPr>
              <w:pStyle w:val="tvhtml"/>
              <w:spacing w:before="0" w:after="0"/>
              <w:jc w:val="center"/>
              <w:rPr>
                <w:bCs/>
              </w:rPr>
            </w:pPr>
            <w:r w:rsidRPr="00836FE4">
              <w:rPr>
                <w:bCs/>
              </w:rPr>
              <w:t>Projekts šo jomu neskar</w:t>
            </w:r>
          </w:p>
        </w:tc>
      </w:tr>
    </w:tbl>
    <w:p w14:paraId="7C4EE470" w14:textId="77777777" w:rsidR="00B559D5" w:rsidRPr="00836FE4" w:rsidRDefault="00B559D5" w:rsidP="00B559D5">
      <w:pPr>
        <w:rPr>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46"/>
        <w:gridCol w:w="5641"/>
      </w:tblGrid>
      <w:tr w:rsidR="004940F6" w14:paraId="560F5BE6" w14:textId="77777777" w:rsidTr="00024CB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99EA43B" w14:textId="77777777" w:rsidR="00836FE4" w:rsidRPr="00836FE4" w:rsidRDefault="00F15799" w:rsidP="007830FC">
            <w:pPr>
              <w:rPr>
                <w:b/>
                <w:bCs/>
                <w:iCs/>
                <w:color w:val="414142"/>
                <w:lang w:eastAsia="lv-LV"/>
              </w:rPr>
            </w:pPr>
            <w:r w:rsidRPr="00836FE4">
              <w:rPr>
                <w:b/>
                <w:bCs/>
                <w:iCs/>
                <w:color w:val="414142"/>
                <w:lang w:eastAsia="lv-LV"/>
              </w:rPr>
              <w:t>VI. Sabiedrības līdzdalība un komunikācijas aktivitātes</w:t>
            </w:r>
          </w:p>
        </w:tc>
      </w:tr>
      <w:tr w:rsidR="004940F6" w14:paraId="3875687D" w14:textId="77777777" w:rsidTr="00024CB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645791F" w14:textId="77777777" w:rsidR="00836FE4" w:rsidRPr="00836FE4" w:rsidRDefault="00F15799" w:rsidP="007830FC">
            <w:pPr>
              <w:rPr>
                <w:iCs/>
                <w:color w:val="414142"/>
                <w:lang w:eastAsia="lv-LV"/>
              </w:rPr>
            </w:pPr>
            <w:r w:rsidRPr="00836FE4">
              <w:rPr>
                <w:iCs/>
                <w:color w:val="414142"/>
                <w:lang w:eastAsia="lv-LV"/>
              </w:rPr>
              <w:t>1.</w:t>
            </w:r>
          </w:p>
        </w:tc>
        <w:tc>
          <w:tcPr>
            <w:tcW w:w="1535" w:type="pct"/>
            <w:tcBorders>
              <w:top w:val="outset" w:sz="6" w:space="0" w:color="auto"/>
              <w:left w:val="outset" w:sz="6" w:space="0" w:color="auto"/>
              <w:bottom w:val="outset" w:sz="6" w:space="0" w:color="auto"/>
              <w:right w:val="outset" w:sz="6" w:space="0" w:color="auto"/>
            </w:tcBorders>
            <w:hideMark/>
          </w:tcPr>
          <w:p w14:paraId="524469AF" w14:textId="77777777" w:rsidR="00836FE4" w:rsidRPr="00836FE4" w:rsidRDefault="00F15799" w:rsidP="007830FC">
            <w:pPr>
              <w:rPr>
                <w:iCs/>
                <w:color w:val="414142"/>
                <w:lang w:eastAsia="lv-LV"/>
              </w:rPr>
            </w:pPr>
            <w:r w:rsidRPr="00836FE4">
              <w:rPr>
                <w:iCs/>
                <w:color w:val="414142"/>
                <w:lang w:eastAsia="lv-LV"/>
              </w:rPr>
              <w:t>Plānotās sabiedrības līdzdalības un komunikācijas aktivitātes saistībā ar projektu</w:t>
            </w:r>
          </w:p>
        </w:tc>
        <w:tc>
          <w:tcPr>
            <w:tcW w:w="3131" w:type="pct"/>
            <w:tcBorders>
              <w:top w:val="outset" w:sz="6" w:space="0" w:color="auto"/>
              <w:left w:val="outset" w:sz="6" w:space="0" w:color="auto"/>
              <w:bottom w:val="outset" w:sz="6" w:space="0" w:color="auto"/>
              <w:right w:val="outset" w:sz="6" w:space="0" w:color="auto"/>
            </w:tcBorders>
            <w:hideMark/>
          </w:tcPr>
          <w:p w14:paraId="25974D18" w14:textId="640C5117" w:rsidR="00836FE4" w:rsidRPr="0037721B" w:rsidRDefault="00F15799" w:rsidP="00E67A56">
            <w:pPr>
              <w:jc w:val="both"/>
              <w:rPr>
                <w:iCs/>
                <w:lang w:eastAsia="lv-LV"/>
              </w:rPr>
            </w:pPr>
            <w:r w:rsidRPr="0037721B">
              <w:rPr>
                <w:iCs/>
                <w:lang w:eastAsia="lv-LV"/>
              </w:rPr>
              <w:t>Sabiedrības līdzdalības</w:t>
            </w:r>
            <w:r w:rsidR="00E77BD1" w:rsidRPr="0037721B">
              <w:rPr>
                <w:iCs/>
                <w:lang w:eastAsia="lv-LV"/>
              </w:rPr>
              <w:t xml:space="preserve"> pasākumu organizēt nav nepieciešams, jo </w:t>
            </w:r>
            <w:r w:rsidR="0037721B">
              <w:rPr>
                <w:iCs/>
                <w:lang w:eastAsia="lv-LV"/>
              </w:rPr>
              <w:t>projekts neietekmē sabiedrību tiešā veidā. Tas nozīmē, ka sabiedrībai nemainīsies tiesību un pienākumu apjoms</w:t>
            </w:r>
            <w:r w:rsidR="002C7BC5">
              <w:rPr>
                <w:iCs/>
                <w:lang w:eastAsia="lv-LV"/>
              </w:rPr>
              <w:t xml:space="preserve">, </w:t>
            </w:r>
            <w:r w:rsidR="003067C1">
              <w:rPr>
                <w:iCs/>
                <w:lang w:eastAsia="lv-LV"/>
              </w:rPr>
              <w:t>jo tas</w:t>
            </w:r>
            <w:r w:rsidR="002C7BC5">
              <w:rPr>
                <w:iCs/>
                <w:lang w:eastAsia="lv-LV"/>
              </w:rPr>
              <w:t xml:space="preserve"> ir noteikts  </w:t>
            </w:r>
            <w:r w:rsidR="003067C1">
              <w:rPr>
                <w:iCs/>
                <w:lang w:eastAsia="lv-LV"/>
              </w:rPr>
              <w:t xml:space="preserve">ar </w:t>
            </w:r>
            <w:r w:rsidR="002C7BC5">
              <w:rPr>
                <w:iCs/>
                <w:lang w:eastAsia="lv-LV"/>
              </w:rPr>
              <w:t xml:space="preserve">Ministru kabineta </w:t>
            </w:r>
            <w:r w:rsidR="00FD0D66">
              <w:rPr>
                <w:iCs/>
                <w:lang w:eastAsia="lv-LV"/>
              </w:rPr>
              <w:t>2016.gada 20.decembra noteikum</w:t>
            </w:r>
            <w:r w:rsidR="003067C1">
              <w:rPr>
                <w:iCs/>
                <w:lang w:eastAsia="lv-LV"/>
              </w:rPr>
              <w:t>iem</w:t>
            </w:r>
            <w:r w:rsidR="00FD0D66">
              <w:rPr>
                <w:iCs/>
                <w:lang w:eastAsia="lv-LV"/>
              </w:rPr>
              <w:t xml:space="preserve"> nr.812 “</w:t>
            </w:r>
            <w:r w:rsidR="00FD0D66">
              <w:t>Oficiālās statistikas veidlapu paraugu apstiprināšanas un veidlapu aizpildīšanas un iesniegšanas noteikumi”</w:t>
            </w:r>
            <w:r w:rsidR="003067C1">
              <w:t xml:space="preserve">, un </w:t>
            </w:r>
            <w:r w:rsidR="00102821">
              <w:t>nav atkarīgs no šī projekta rezultātiem.</w:t>
            </w:r>
            <w:r w:rsidR="003067C1">
              <w:t xml:space="preserve"> </w:t>
            </w:r>
          </w:p>
        </w:tc>
      </w:tr>
      <w:tr w:rsidR="004940F6" w14:paraId="08152952" w14:textId="77777777" w:rsidTr="00024CB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0B3643ED" w14:textId="77777777" w:rsidR="00836FE4" w:rsidRPr="00836FE4" w:rsidRDefault="00F15799" w:rsidP="007830FC">
            <w:pPr>
              <w:rPr>
                <w:iCs/>
                <w:color w:val="414142"/>
                <w:lang w:eastAsia="lv-LV"/>
              </w:rPr>
            </w:pPr>
            <w:r w:rsidRPr="00836FE4">
              <w:rPr>
                <w:iCs/>
                <w:color w:val="414142"/>
                <w:lang w:eastAsia="lv-LV"/>
              </w:rPr>
              <w:t>2.</w:t>
            </w:r>
          </w:p>
        </w:tc>
        <w:tc>
          <w:tcPr>
            <w:tcW w:w="1535" w:type="pct"/>
            <w:tcBorders>
              <w:top w:val="outset" w:sz="6" w:space="0" w:color="auto"/>
              <w:left w:val="outset" w:sz="6" w:space="0" w:color="auto"/>
              <w:bottom w:val="outset" w:sz="6" w:space="0" w:color="auto"/>
              <w:right w:val="outset" w:sz="6" w:space="0" w:color="auto"/>
            </w:tcBorders>
            <w:hideMark/>
          </w:tcPr>
          <w:p w14:paraId="3BD89DA2" w14:textId="77777777" w:rsidR="00836FE4" w:rsidRPr="00836FE4" w:rsidRDefault="00F15799" w:rsidP="007830FC">
            <w:pPr>
              <w:rPr>
                <w:iCs/>
                <w:color w:val="414142"/>
                <w:lang w:eastAsia="lv-LV"/>
              </w:rPr>
            </w:pPr>
            <w:r w:rsidRPr="00836FE4">
              <w:rPr>
                <w:iCs/>
                <w:color w:val="414142"/>
                <w:lang w:eastAsia="lv-LV"/>
              </w:rPr>
              <w:t>Sabiedrības līdzdalība projekta izstrādē</w:t>
            </w:r>
          </w:p>
        </w:tc>
        <w:tc>
          <w:tcPr>
            <w:tcW w:w="3131" w:type="pct"/>
            <w:tcBorders>
              <w:top w:val="outset" w:sz="6" w:space="0" w:color="auto"/>
              <w:left w:val="outset" w:sz="6" w:space="0" w:color="auto"/>
              <w:bottom w:val="outset" w:sz="6" w:space="0" w:color="auto"/>
              <w:right w:val="outset" w:sz="6" w:space="0" w:color="auto"/>
            </w:tcBorders>
            <w:hideMark/>
          </w:tcPr>
          <w:p w14:paraId="00243515" w14:textId="77777777" w:rsidR="00836FE4" w:rsidRPr="00836FE4" w:rsidRDefault="00F15799" w:rsidP="007830FC">
            <w:pPr>
              <w:rPr>
                <w:iCs/>
                <w:lang w:eastAsia="lv-LV"/>
              </w:rPr>
            </w:pPr>
            <w:r w:rsidRPr="00836FE4">
              <w:rPr>
                <w:iCs/>
                <w:lang w:eastAsia="lv-LV"/>
              </w:rPr>
              <w:t>Nav</w:t>
            </w:r>
          </w:p>
        </w:tc>
      </w:tr>
      <w:tr w:rsidR="004940F6" w14:paraId="78813D5C" w14:textId="77777777" w:rsidTr="00024CB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EDED53B" w14:textId="77777777" w:rsidR="00836FE4" w:rsidRPr="00836FE4" w:rsidRDefault="00F15799" w:rsidP="007830FC">
            <w:pPr>
              <w:rPr>
                <w:iCs/>
                <w:color w:val="414142"/>
                <w:lang w:eastAsia="lv-LV"/>
              </w:rPr>
            </w:pPr>
            <w:r w:rsidRPr="00836FE4">
              <w:rPr>
                <w:iCs/>
                <w:color w:val="414142"/>
                <w:lang w:eastAsia="lv-LV"/>
              </w:rPr>
              <w:t>3.</w:t>
            </w:r>
          </w:p>
        </w:tc>
        <w:tc>
          <w:tcPr>
            <w:tcW w:w="1535" w:type="pct"/>
            <w:tcBorders>
              <w:top w:val="outset" w:sz="6" w:space="0" w:color="auto"/>
              <w:left w:val="outset" w:sz="6" w:space="0" w:color="auto"/>
              <w:bottom w:val="outset" w:sz="6" w:space="0" w:color="auto"/>
              <w:right w:val="outset" w:sz="6" w:space="0" w:color="auto"/>
            </w:tcBorders>
            <w:hideMark/>
          </w:tcPr>
          <w:p w14:paraId="35A70141" w14:textId="77777777" w:rsidR="00836FE4" w:rsidRPr="00836FE4" w:rsidRDefault="00F15799" w:rsidP="007830FC">
            <w:pPr>
              <w:rPr>
                <w:iCs/>
                <w:color w:val="414142"/>
                <w:lang w:eastAsia="lv-LV"/>
              </w:rPr>
            </w:pPr>
            <w:r w:rsidRPr="00836FE4">
              <w:rPr>
                <w:iCs/>
                <w:color w:val="414142"/>
                <w:lang w:eastAsia="lv-LV"/>
              </w:rPr>
              <w:t>Sabiedrības līdzdalības rezultāti</w:t>
            </w:r>
          </w:p>
        </w:tc>
        <w:tc>
          <w:tcPr>
            <w:tcW w:w="3131" w:type="pct"/>
            <w:tcBorders>
              <w:top w:val="outset" w:sz="6" w:space="0" w:color="auto"/>
              <w:left w:val="outset" w:sz="6" w:space="0" w:color="auto"/>
              <w:bottom w:val="outset" w:sz="6" w:space="0" w:color="auto"/>
              <w:right w:val="outset" w:sz="6" w:space="0" w:color="auto"/>
            </w:tcBorders>
            <w:hideMark/>
          </w:tcPr>
          <w:p w14:paraId="62E7FA7B" w14:textId="77777777" w:rsidR="00836FE4" w:rsidRPr="00836FE4" w:rsidRDefault="00F15799" w:rsidP="007830FC">
            <w:pPr>
              <w:rPr>
                <w:iCs/>
                <w:lang w:eastAsia="lv-LV"/>
              </w:rPr>
            </w:pPr>
            <w:r w:rsidRPr="00836FE4">
              <w:rPr>
                <w:iCs/>
                <w:lang w:eastAsia="lv-LV"/>
              </w:rPr>
              <w:t>Nav</w:t>
            </w:r>
          </w:p>
        </w:tc>
      </w:tr>
      <w:tr w:rsidR="004940F6" w14:paraId="0F947CB9" w14:textId="77777777" w:rsidTr="00024CB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11BFC38" w14:textId="77777777" w:rsidR="00836FE4" w:rsidRPr="00836FE4" w:rsidRDefault="00F15799" w:rsidP="007830FC">
            <w:pPr>
              <w:rPr>
                <w:iCs/>
                <w:color w:val="414142"/>
                <w:lang w:eastAsia="lv-LV"/>
              </w:rPr>
            </w:pPr>
            <w:r w:rsidRPr="00836FE4">
              <w:rPr>
                <w:iCs/>
                <w:color w:val="414142"/>
                <w:lang w:eastAsia="lv-LV"/>
              </w:rPr>
              <w:t>4.</w:t>
            </w:r>
          </w:p>
        </w:tc>
        <w:tc>
          <w:tcPr>
            <w:tcW w:w="1535" w:type="pct"/>
            <w:tcBorders>
              <w:top w:val="outset" w:sz="6" w:space="0" w:color="auto"/>
              <w:left w:val="outset" w:sz="6" w:space="0" w:color="auto"/>
              <w:bottom w:val="outset" w:sz="6" w:space="0" w:color="auto"/>
              <w:right w:val="outset" w:sz="6" w:space="0" w:color="auto"/>
            </w:tcBorders>
            <w:hideMark/>
          </w:tcPr>
          <w:p w14:paraId="79A7A551" w14:textId="77777777" w:rsidR="00836FE4" w:rsidRPr="00836FE4" w:rsidRDefault="00F15799" w:rsidP="007830FC">
            <w:pPr>
              <w:rPr>
                <w:iCs/>
                <w:color w:val="414142"/>
                <w:lang w:eastAsia="lv-LV"/>
              </w:rPr>
            </w:pPr>
            <w:r w:rsidRPr="00836FE4">
              <w:rPr>
                <w:iCs/>
                <w:color w:val="414142"/>
                <w:lang w:eastAsia="lv-LV"/>
              </w:rPr>
              <w:t>Cita informācija</w:t>
            </w:r>
          </w:p>
        </w:tc>
        <w:tc>
          <w:tcPr>
            <w:tcW w:w="3131" w:type="pct"/>
            <w:tcBorders>
              <w:top w:val="outset" w:sz="6" w:space="0" w:color="auto"/>
              <w:left w:val="outset" w:sz="6" w:space="0" w:color="auto"/>
              <w:bottom w:val="outset" w:sz="6" w:space="0" w:color="auto"/>
              <w:right w:val="outset" w:sz="6" w:space="0" w:color="auto"/>
            </w:tcBorders>
            <w:hideMark/>
          </w:tcPr>
          <w:p w14:paraId="2F7DFE60" w14:textId="77777777" w:rsidR="00836FE4" w:rsidRPr="00836FE4" w:rsidRDefault="00F15799" w:rsidP="007830FC">
            <w:pPr>
              <w:rPr>
                <w:iCs/>
                <w:color w:val="A6A6A6" w:themeColor="background1" w:themeShade="A6"/>
                <w:lang w:eastAsia="lv-LV"/>
              </w:rPr>
            </w:pPr>
            <w:r w:rsidRPr="00836FE4">
              <w:rPr>
                <w:iCs/>
                <w:lang w:eastAsia="lv-LV"/>
              </w:rPr>
              <w:t>Nav</w:t>
            </w:r>
          </w:p>
        </w:tc>
      </w:tr>
    </w:tbl>
    <w:p w14:paraId="4E81827F" w14:textId="77777777" w:rsidR="00836FE4" w:rsidRPr="00836FE4" w:rsidRDefault="00836FE4" w:rsidP="00B559D5">
      <w:pPr>
        <w:rPr>
          <w:iCs/>
          <w:lang w:eastAsia="en-US"/>
        </w:rPr>
      </w:pPr>
    </w:p>
    <w:tbl>
      <w:tblPr>
        <w:tblW w:w="5000" w:type="pct"/>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CellMar>
          <w:top w:w="57" w:type="dxa"/>
          <w:left w:w="57" w:type="dxa"/>
          <w:bottom w:w="57" w:type="dxa"/>
          <w:right w:w="57" w:type="dxa"/>
        </w:tblCellMar>
        <w:tblLook w:val="0000" w:firstRow="0" w:lastRow="0" w:firstColumn="0" w:lastColumn="0" w:noHBand="0" w:noVBand="0"/>
      </w:tblPr>
      <w:tblGrid>
        <w:gridCol w:w="605"/>
        <w:gridCol w:w="4025"/>
        <w:gridCol w:w="4239"/>
      </w:tblGrid>
      <w:tr w:rsidR="004940F6" w14:paraId="732EB0F3" w14:textId="77777777" w:rsidTr="00024CBF">
        <w:tc>
          <w:tcPr>
            <w:tcW w:w="5000" w:type="pct"/>
            <w:gridSpan w:val="3"/>
          </w:tcPr>
          <w:p w14:paraId="5978324E" w14:textId="77777777" w:rsidR="00B559D5" w:rsidRPr="00836FE4" w:rsidRDefault="00F15799" w:rsidP="00262DE5">
            <w:pPr>
              <w:pStyle w:val="naisnod"/>
              <w:spacing w:before="0" w:after="0"/>
              <w:ind w:left="57" w:right="57"/>
            </w:pPr>
            <w:r w:rsidRPr="00836FE4">
              <w:t>VII. Tiesību akta projekta izpildes nodrošināšana un tās ietekme uz institūcijām</w:t>
            </w:r>
          </w:p>
        </w:tc>
      </w:tr>
      <w:tr w:rsidR="004940F6" w14:paraId="099EE1E5" w14:textId="77777777" w:rsidTr="00024CBF">
        <w:tblPrEx>
          <w:tblCellMar>
            <w:top w:w="28" w:type="dxa"/>
            <w:left w:w="28" w:type="dxa"/>
            <w:bottom w:w="28" w:type="dxa"/>
            <w:right w:w="28" w:type="dxa"/>
          </w:tblCellMar>
        </w:tblPrEx>
        <w:trPr>
          <w:trHeight w:val="427"/>
        </w:trPr>
        <w:tc>
          <w:tcPr>
            <w:tcW w:w="341" w:type="pct"/>
          </w:tcPr>
          <w:p w14:paraId="61475994" w14:textId="77777777" w:rsidR="00B559D5" w:rsidRPr="00836FE4" w:rsidRDefault="00F15799" w:rsidP="00262DE5">
            <w:pPr>
              <w:pStyle w:val="naisnod"/>
              <w:spacing w:before="0" w:after="0"/>
              <w:ind w:left="57" w:right="57"/>
              <w:jc w:val="left"/>
            </w:pPr>
            <w:r w:rsidRPr="00836FE4">
              <w:rPr>
                <w:b w:val="0"/>
                <w:bCs w:val="0"/>
              </w:rPr>
              <w:t>1.</w:t>
            </w:r>
          </w:p>
        </w:tc>
        <w:tc>
          <w:tcPr>
            <w:tcW w:w="2269" w:type="pct"/>
          </w:tcPr>
          <w:p w14:paraId="094473FC" w14:textId="77777777" w:rsidR="00B559D5" w:rsidRPr="00836FE4" w:rsidRDefault="00F15799" w:rsidP="00262DE5">
            <w:pPr>
              <w:pStyle w:val="naisf"/>
              <w:spacing w:before="0" w:after="0"/>
              <w:ind w:left="57" w:right="57" w:firstLine="0"/>
              <w:jc w:val="left"/>
            </w:pPr>
            <w:r w:rsidRPr="00836FE4">
              <w:t xml:space="preserve">Projekta izpildē iesaistītās institūcijas </w:t>
            </w:r>
          </w:p>
        </w:tc>
        <w:tc>
          <w:tcPr>
            <w:tcW w:w="2390" w:type="pct"/>
          </w:tcPr>
          <w:p w14:paraId="22224FA2" w14:textId="628A6553" w:rsidR="00B559D5" w:rsidRPr="00836FE4" w:rsidRDefault="00C020CE" w:rsidP="00262DE5">
            <w:pPr>
              <w:jc w:val="both"/>
              <w:rPr>
                <w:lang w:eastAsia="lv-LV"/>
              </w:rPr>
            </w:pPr>
            <w:r>
              <w:rPr>
                <w:lang w:eastAsia="lv-LV"/>
              </w:rPr>
              <w:t>Valsts tiesu medicīnas ekspertīzes centrs</w:t>
            </w:r>
          </w:p>
          <w:p w14:paraId="1955BF76" w14:textId="77777777" w:rsidR="00B559D5" w:rsidRPr="00836FE4" w:rsidRDefault="00B559D5" w:rsidP="00262DE5">
            <w:pPr>
              <w:pStyle w:val="VPBody"/>
              <w:spacing w:after="120" w:line="276" w:lineRule="auto"/>
              <w:jc w:val="both"/>
              <w:rPr>
                <w:sz w:val="24"/>
                <w:szCs w:val="24"/>
              </w:rPr>
            </w:pPr>
          </w:p>
        </w:tc>
      </w:tr>
      <w:tr w:rsidR="004940F6" w14:paraId="7145C8AF" w14:textId="77777777" w:rsidTr="00024CBF">
        <w:tblPrEx>
          <w:tblCellMar>
            <w:top w:w="28" w:type="dxa"/>
            <w:left w:w="28" w:type="dxa"/>
            <w:bottom w:w="28" w:type="dxa"/>
            <w:right w:w="28" w:type="dxa"/>
          </w:tblCellMar>
        </w:tblPrEx>
        <w:trPr>
          <w:trHeight w:val="463"/>
        </w:trPr>
        <w:tc>
          <w:tcPr>
            <w:tcW w:w="341" w:type="pct"/>
          </w:tcPr>
          <w:p w14:paraId="2F4CC15E" w14:textId="77777777" w:rsidR="00B559D5" w:rsidRPr="00836FE4" w:rsidRDefault="00F15799" w:rsidP="00262DE5">
            <w:pPr>
              <w:pStyle w:val="naisnod"/>
              <w:spacing w:before="0" w:after="0"/>
              <w:ind w:left="57" w:right="57"/>
              <w:jc w:val="left"/>
            </w:pPr>
            <w:r w:rsidRPr="00836FE4">
              <w:rPr>
                <w:b w:val="0"/>
                <w:bCs w:val="0"/>
              </w:rPr>
              <w:t>2.</w:t>
            </w:r>
          </w:p>
        </w:tc>
        <w:tc>
          <w:tcPr>
            <w:tcW w:w="2269" w:type="pct"/>
          </w:tcPr>
          <w:p w14:paraId="2EA30F50" w14:textId="77777777" w:rsidR="00B559D5" w:rsidRPr="00836FE4" w:rsidRDefault="00F15799" w:rsidP="00262DE5">
            <w:pPr>
              <w:pStyle w:val="naisf"/>
              <w:spacing w:before="0" w:after="0"/>
              <w:ind w:left="57" w:right="57" w:firstLine="0"/>
              <w:jc w:val="left"/>
            </w:pPr>
            <w:r w:rsidRPr="00836FE4">
              <w:t>Projekta izpildes ietekme uz pārvaldes funkcijām un institucionālo struktūru</w:t>
            </w:r>
          </w:p>
        </w:tc>
        <w:tc>
          <w:tcPr>
            <w:tcW w:w="2390" w:type="pct"/>
          </w:tcPr>
          <w:p w14:paraId="408F3393" w14:textId="468A9D88" w:rsidR="00B559D5" w:rsidRPr="00836FE4" w:rsidRDefault="00F15799" w:rsidP="00E67A56">
            <w:pPr>
              <w:jc w:val="both"/>
              <w:rPr>
                <w:color w:val="000000" w:themeColor="text1"/>
                <w:lang w:eastAsia="lv-LV"/>
              </w:rPr>
            </w:pPr>
            <w:r>
              <w:rPr>
                <w:color w:val="000000" w:themeColor="text1"/>
                <w:lang w:eastAsia="lv-LV"/>
              </w:rPr>
              <w:t>Rīkojuma</w:t>
            </w:r>
            <w:r w:rsidRPr="00836FE4">
              <w:rPr>
                <w:color w:val="000000" w:themeColor="text1"/>
                <w:lang w:eastAsia="lv-LV"/>
              </w:rPr>
              <w:t xml:space="preserve"> projekts neradīs jaunas funkcijas. </w:t>
            </w:r>
          </w:p>
          <w:p w14:paraId="50BA5B21" w14:textId="77777777" w:rsidR="00B559D5" w:rsidRPr="00836FE4" w:rsidRDefault="00B559D5" w:rsidP="00E67A56">
            <w:pPr>
              <w:jc w:val="both"/>
              <w:rPr>
                <w:color w:val="000000" w:themeColor="text1"/>
                <w:lang w:eastAsia="lv-LV"/>
              </w:rPr>
            </w:pPr>
          </w:p>
          <w:p w14:paraId="1846DAD4" w14:textId="77777777" w:rsidR="00B559D5" w:rsidRPr="00836FE4" w:rsidRDefault="00F15799" w:rsidP="00E67A56">
            <w:pPr>
              <w:pStyle w:val="naisnod"/>
              <w:spacing w:before="0" w:after="0"/>
              <w:ind w:right="57"/>
              <w:jc w:val="both"/>
            </w:pPr>
            <w:r w:rsidRPr="00836FE4">
              <w:rPr>
                <w:b w:val="0"/>
                <w:color w:val="000000" w:themeColor="text1"/>
                <w:lang w:eastAsia="lv-LV"/>
              </w:rPr>
              <w:t xml:space="preserve">Saistībā ar </w:t>
            </w:r>
            <w:r w:rsidR="006D2AE7">
              <w:rPr>
                <w:b w:val="0"/>
                <w:color w:val="000000" w:themeColor="text1"/>
                <w:lang w:eastAsia="lv-LV"/>
              </w:rPr>
              <w:t>rīkojuma</w:t>
            </w:r>
            <w:r w:rsidRPr="00836FE4">
              <w:rPr>
                <w:b w:val="0"/>
                <w:color w:val="000000" w:themeColor="text1"/>
                <w:lang w:eastAsia="lv-LV"/>
              </w:rPr>
              <w:t xml:space="preserve"> projekta izpildi nav nepieciešams veidot jaunas, likvidēt vai reorganizēt esošas institūcijas.</w:t>
            </w:r>
          </w:p>
        </w:tc>
      </w:tr>
      <w:tr w:rsidR="004940F6" w14:paraId="5E06A529" w14:textId="77777777" w:rsidTr="00024CBF">
        <w:tblPrEx>
          <w:tblCellMar>
            <w:top w:w="28" w:type="dxa"/>
            <w:left w:w="28" w:type="dxa"/>
            <w:bottom w:w="28" w:type="dxa"/>
            <w:right w:w="28" w:type="dxa"/>
          </w:tblCellMar>
        </w:tblPrEx>
        <w:trPr>
          <w:trHeight w:val="476"/>
        </w:trPr>
        <w:tc>
          <w:tcPr>
            <w:tcW w:w="341" w:type="pct"/>
          </w:tcPr>
          <w:p w14:paraId="1D30E154" w14:textId="77777777" w:rsidR="00B559D5" w:rsidRPr="00836FE4" w:rsidRDefault="00F15799" w:rsidP="00262DE5">
            <w:pPr>
              <w:pStyle w:val="naiskr"/>
              <w:spacing w:before="0" w:after="0"/>
              <w:ind w:left="57" w:right="57"/>
            </w:pPr>
            <w:r w:rsidRPr="00836FE4">
              <w:t>3.</w:t>
            </w:r>
          </w:p>
        </w:tc>
        <w:tc>
          <w:tcPr>
            <w:tcW w:w="2269" w:type="pct"/>
          </w:tcPr>
          <w:p w14:paraId="774121D0" w14:textId="77777777" w:rsidR="00B559D5" w:rsidRPr="00836FE4" w:rsidRDefault="00F15799" w:rsidP="00262DE5">
            <w:pPr>
              <w:pStyle w:val="naiskr"/>
              <w:spacing w:before="0" w:after="0"/>
              <w:ind w:left="57" w:right="57"/>
            </w:pPr>
            <w:r w:rsidRPr="00836FE4">
              <w:t>Cita informācija</w:t>
            </w:r>
          </w:p>
        </w:tc>
        <w:tc>
          <w:tcPr>
            <w:tcW w:w="2390" w:type="pct"/>
          </w:tcPr>
          <w:p w14:paraId="18BB21A6" w14:textId="77777777" w:rsidR="00B559D5" w:rsidRPr="00836FE4" w:rsidRDefault="00F15799" w:rsidP="00262DE5">
            <w:pPr>
              <w:pStyle w:val="naiskr"/>
              <w:spacing w:before="0" w:after="0"/>
              <w:ind w:left="57" w:right="57"/>
            </w:pPr>
            <w:r w:rsidRPr="00836FE4">
              <w:t>Nav.</w:t>
            </w:r>
          </w:p>
        </w:tc>
      </w:tr>
    </w:tbl>
    <w:p w14:paraId="3FFAF727" w14:textId="1E7C30AD" w:rsidR="00B559D5" w:rsidRPr="00C15B8F" w:rsidRDefault="00B559D5" w:rsidP="00B559D5">
      <w:pPr>
        <w:ind w:left="-426"/>
        <w:jc w:val="both"/>
        <w:rPr>
          <w:sz w:val="22"/>
          <w:szCs w:val="22"/>
          <w:highlight w:val="yellow"/>
        </w:rPr>
      </w:pPr>
    </w:p>
    <w:p w14:paraId="297502DA" w14:textId="77777777" w:rsidR="00084CB9" w:rsidRPr="00D5095A" w:rsidRDefault="00084CB9" w:rsidP="00084CB9">
      <w:pPr>
        <w:numPr>
          <w:ilvl w:val="0"/>
          <w:numId w:val="3"/>
        </w:numPr>
        <w:suppressAutoHyphens w:val="0"/>
        <w:rPr>
          <w:bCs/>
          <w:sz w:val="28"/>
          <w:szCs w:val="28"/>
        </w:rPr>
      </w:pPr>
      <w:r>
        <w:rPr>
          <w:bCs/>
          <w:sz w:val="28"/>
          <w:szCs w:val="28"/>
        </w:rPr>
        <w:t>Veselības ministre</w:t>
      </w:r>
      <w:r w:rsidRPr="00D5095A">
        <w:rPr>
          <w:bCs/>
          <w:sz w:val="28"/>
          <w:szCs w:val="28"/>
        </w:rPr>
        <w:tab/>
      </w:r>
      <w:r w:rsidRPr="00D5095A">
        <w:rPr>
          <w:bCs/>
          <w:sz w:val="28"/>
          <w:szCs w:val="28"/>
        </w:rPr>
        <w:tab/>
      </w:r>
      <w:r w:rsidRPr="00D5095A">
        <w:rPr>
          <w:bCs/>
          <w:sz w:val="28"/>
          <w:szCs w:val="28"/>
        </w:rPr>
        <w:tab/>
      </w:r>
      <w:r w:rsidRPr="00D5095A">
        <w:rPr>
          <w:bCs/>
          <w:sz w:val="28"/>
          <w:szCs w:val="28"/>
        </w:rPr>
        <w:tab/>
        <w:t xml:space="preserve">           </w:t>
      </w:r>
      <w:r>
        <w:rPr>
          <w:bCs/>
          <w:sz w:val="28"/>
          <w:szCs w:val="28"/>
        </w:rPr>
        <w:tab/>
      </w:r>
      <w:r w:rsidRPr="00D5095A">
        <w:rPr>
          <w:bCs/>
          <w:sz w:val="28"/>
          <w:szCs w:val="28"/>
        </w:rPr>
        <w:t xml:space="preserve"> </w:t>
      </w:r>
      <w:r>
        <w:rPr>
          <w:bCs/>
          <w:sz w:val="28"/>
          <w:szCs w:val="28"/>
        </w:rPr>
        <w:t xml:space="preserve"> </w:t>
      </w:r>
      <w:r w:rsidRPr="00D5095A">
        <w:rPr>
          <w:bCs/>
          <w:sz w:val="28"/>
          <w:szCs w:val="28"/>
        </w:rPr>
        <w:t xml:space="preserve"> </w:t>
      </w:r>
      <w:r>
        <w:rPr>
          <w:rStyle w:val="name"/>
          <w:rFonts w:eastAsia="PMingLiU"/>
          <w:bCs/>
          <w:color w:val="000000"/>
          <w:sz w:val="28"/>
          <w:szCs w:val="28"/>
        </w:rPr>
        <w:t>I. Viņķele</w:t>
      </w:r>
    </w:p>
    <w:p w14:paraId="08FB2783" w14:textId="62929E2F" w:rsidR="00084CB9" w:rsidRDefault="00084CB9" w:rsidP="00084CB9">
      <w:pPr>
        <w:rPr>
          <w:sz w:val="22"/>
          <w:szCs w:val="22"/>
        </w:rPr>
      </w:pPr>
    </w:p>
    <w:p w14:paraId="2DCB4F8F" w14:textId="77777777" w:rsidR="00C15B8F" w:rsidRPr="00C15B8F" w:rsidRDefault="00C15B8F" w:rsidP="00084CB9">
      <w:pPr>
        <w:rPr>
          <w:sz w:val="22"/>
          <w:szCs w:val="22"/>
        </w:rPr>
      </w:pPr>
    </w:p>
    <w:p w14:paraId="52FBCE45" w14:textId="77777777" w:rsidR="00084CB9" w:rsidRDefault="00084CB9" w:rsidP="00084CB9">
      <w:pPr>
        <w:tabs>
          <w:tab w:val="left" w:pos="5529"/>
          <w:tab w:val="right" w:pos="8929"/>
        </w:tabs>
        <w:jc w:val="both"/>
        <w:rPr>
          <w:sz w:val="28"/>
          <w:szCs w:val="28"/>
        </w:rPr>
      </w:pPr>
      <w:r>
        <w:rPr>
          <w:sz w:val="28"/>
          <w:szCs w:val="28"/>
        </w:rPr>
        <w:t xml:space="preserve">Vīza: valsts sekretāre </w:t>
      </w:r>
      <w:r>
        <w:rPr>
          <w:sz w:val="28"/>
          <w:szCs w:val="28"/>
        </w:rPr>
        <w:tab/>
        <w:t xml:space="preserve">      D. Mūrmane-Umbraško</w:t>
      </w:r>
    </w:p>
    <w:p w14:paraId="23CCCFA1" w14:textId="696833E0" w:rsidR="00084CB9" w:rsidRPr="00C15B8F" w:rsidRDefault="00084CB9" w:rsidP="00084CB9">
      <w:pPr>
        <w:jc w:val="both"/>
        <w:rPr>
          <w:sz w:val="12"/>
          <w:szCs w:val="12"/>
        </w:rPr>
      </w:pPr>
    </w:p>
    <w:p w14:paraId="5D9AFC7A" w14:textId="3D6F34DA" w:rsidR="00C15B8F" w:rsidRDefault="00C15B8F" w:rsidP="00084CB9">
      <w:pPr>
        <w:jc w:val="both"/>
        <w:rPr>
          <w:sz w:val="12"/>
          <w:szCs w:val="12"/>
        </w:rPr>
      </w:pPr>
    </w:p>
    <w:p w14:paraId="1533EB91" w14:textId="77777777" w:rsidR="00C15B8F" w:rsidRPr="00C15B8F" w:rsidRDefault="00C15B8F" w:rsidP="00084CB9">
      <w:pPr>
        <w:jc w:val="both"/>
        <w:rPr>
          <w:sz w:val="12"/>
          <w:szCs w:val="12"/>
        </w:rPr>
      </w:pPr>
    </w:p>
    <w:p w14:paraId="0346064B" w14:textId="77777777" w:rsidR="00084CB9" w:rsidRPr="007A2D6B" w:rsidRDefault="00084CB9" w:rsidP="00084CB9">
      <w:pPr>
        <w:pStyle w:val="pamattekststabul"/>
        <w:tabs>
          <w:tab w:val="left" w:pos="3119"/>
          <w:tab w:val="left" w:pos="5812"/>
        </w:tabs>
        <w:spacing w:before="0" w:beforeAutospacing="0" w:after="0" w:afterAutospacing="0"/>
        <w:jc w:val="both"/>
        <w:rPr>
          <w:lang w:val="lv-LV"/>
        </w:rPr>
      </w:pPr>
      <w:r>
        <w:t>Iveta Bērtulsone</w:t>
      </w:r>
      <w:r w:rsidRPr="007A2D6B">
        <w:t xml:space="preserve"> 6</w:t>
      </w:r>
      <w:r>
        <w:t>0008321</w:t>
      </w:r>
    </w:p>
    <w:p w14:paraId="09054A0B" w14:textId="03E0CFDA" w:rsidR="006D14AA" w:rsidRPr="006D14AA" w:rsidRDefault="00084CB9" w:rsidP="00C15B8F">
      <w:pPr>
        <w:tabs>
          <w:tab w:val="left" w:pos="0"/>
          <w:tab w:val="right" w:pos="4678"/>
        </w:tabs>
        <w:jc w:val="both"/>
      </w:pPr>
      <w:r>
        <w:t>iveta</w:t>
      </w:r>
      <w:r w:rsidRPr="007A2D6B">
        <w:t>.</w:t>
      </w:r>
      <w:r>
        <w:t>bertulsone</w:t>
      </w:r>
      <w:r w:rsidRPr="007A2D6B">
        <w:t>@vm.gov.lv</w:t>
      </w:r>
      <w:r w:rsidR="00F15799" w:rsidRPr="00836FE4">
        <w:rPr>
          <w:sz w:val="28"/>
          <w:szCs w:val="28"/>
        </w:rPr>
        <w:tab/>
      </w:r>
    </w:p>
    <w:sectPr w:rsidR="006D14AA" w:rsidRPr="006D14AA" w:rsidSect="00E4498E">
      <w:headerReference w:type="default" r:id="rId8"/>
      <w:footerReference w:type="default" r:id="rId9"/>
      <w:footerReference w:type="first" r:id="rId10"/>
      <w:pgSz w:w="11906" w:h="16838" w:code="9"/>
      <w:pgMar w:top="1276" w:right="1276"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506C" w14:textId="77777777" w:rsidR="00AA0770" w:rsidRDefault="00AA0770">
      <w:r>
        <w:separator/>
      </w:r>
    </w:p>
  </w:endnote>
  <w:endnote w:type="continuationSeparator" w:id="0">
    <w:p w14:paraId="51C9B211" w14:textId="77777777" w:rsidR="00AA0770" w:rsidRDefault="00AA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1763" w14:textId="525F33A1" w:rsidR="006D14AA" w:rsidRPr="00B95792" w:rsidRDefault="006D14AA" w:rsidP="006D14AA">
    <w:pPr>
      <w:pStyle w:val="Footer"/>
      <w:rPr>
        <w:sz w:val="22"/>
        <w:szCs w:val="22"/>
      </w:rPr>
    </w:pPr>
    <w:r w:rsidRPr="00B95792">
      <w:rPr>
        <w:sz w:val="22"/>
        <w:szCs w:val="22"/>
      </w:rPr>
      <w:t>VMAnot_</w:t>
    </w:r>
    <w:r>
      <w:rPr>
        <w:sz w:val="22"/>
        <w:szCs w:val="22"/>
      </w:rPr>
      <w:t>GR_</w:t>
    </w:r>
    <w:r w:rsidR="007A6484">
      <w:rPr>
        <w:sz w:val="22"/>
        <w:szCs w:val="22"/>
      </w:rPr>
      <w:t>26</w:t>
    </w:r>
    <w:r w:rsidR="00D44AAC">
      <w:rPr>
        <w:sz w:val="22"/>
        <w:szCs w:val="22"/>
      </w:rPr>
      <w:t>03</w:t>
    </w:r>
    <w:r>
      <w:rPr>
        <w:sz w:val="22"/>
        <w:szCs w:val="22"/>
      </w:rPr>
      <w:t>20</w:t>
    </w:r>
    <w:r w:rsidRPr="00B95792">
      <w:rPr>
        <w:sz w:val="22"/>
        <w:szCs w:val="22"/>
      </w:rPr>
      <w:t>_</w:t>
    </w:r>
    <w:r>
      <w:rPr>
        <w:sz w:val="22"/>
        <w:szCs w:val="22"/>
      </w:rPr>
      <w:t>VTMEC</w:t>
    </w:r>
  </w:p>
  <w:p w14:paraId="33AA6C14" w14:textId="77777777" w:rsidR="006D14AA" w:rsidRDefault="006D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ED49" w14:textId="3F91811B" w:rsidR="006E119D" w:rsidRPr="00946404" w:rsidRDefault="00024CBF" w:rsidP="00946404">
    <w:pPr>
      <w:pStyle w:val="Footer"/>
    </w:pPr>
    <w:r w:rsidRPr="00024CBF">
      <w:t>VM</w:t>
    </w:r>
    <w:r>
      <w:t>A</w:t>
    </w:r>
    <w:r w:rsidRPr="00024CBF">
      <w:t>not_GR_</w:t>
    </w:r>
    <w:r w:rsidR="00C56940">
      <w:t>2</w:t>
    </w:r>
    <w:r w:rsidR="00746AD0">
      <w:t>6</w:t>
    </w:r>
    <w:r w:rsidR="00D44AAC">
      <w:t>03</w:t>
    </w:r>
    <w:r w:rsidRPr="00024CBF">
      <w:t>20_VTMEC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4133" w14:textId="77777777" w:rsidR="00AA0770" w:rsidRDefault="00AA0770">
      <w:r>
        <w:separator/>
      </w:r>
    </w:p>
  </w:footnote>
  <w:footnote w:type="continuationSeparator" w:id="0">
    <w:p w14:paraId="6ABB1EB6" w14:textId="77777777" w:rsidR="00AA0770" w:rsidRDefault="00AA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4009" w14:textId="77777777" w:rsidR="00352997" w:rsidRDefault="00F15799">
    <w:pPr>
      <w:pStyle w:val="Header"/>
      <w:jc w:val="center"/>
    </w:pPr>
    <w:r>
      <w:fldChar w:fldCharType="begin"/>
    </w:r>
    <w:r>
      <w:instrText xml:space="preserve"> PAGE </w:instrText>
    </w:r>
    <w:r>
      <w:fldChar w:fldCharType="separate"/>
    </w:r>
    <w:r w:rsidR="00AF2E3E">
      <w:rPr>
        <w:noProof/>
      </w:rPr>
      <w:t>2</w:t>
    </w:r>
    <w:r>
      <w:rPr>
        <w:noProof/>
      </w:rPr>
      <w:fldChar w:fldCharType="end"/>
    </w:r>
  </w:p>
  <w:p w14:paraId="2AAD63D3" w14:textId="77777777" w:rsidR="00352997" w:rsidRDefault="0035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6" w15:restartNumberingAfterBreak="0">
    <w:nsid w:val="419F2C30"/>
    <w:multiLevelType w:val="hybridMultilevel"/>
    <w:tmpl w:val="FC04C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D5"/>
    <w:rsid w:val="00011CBE"/>
    <w:rsid w:val="00017002"/>
    <w:rsid w:val="00023364"/>
    <w:rsid w:val="00023D5A"/>
    <w:rsid w:val="00024CBF"/>
    <w:rsid w:val="0003462D"/>
    <w:rsid w:val="00084CB9"/>
    <w:rsid w:val="000975EE"/>
    <w:rsid w:val="000A516F"/>
    <w:rsid w:val="000C0253"/>
    <w:rsid w:val="00102821"/>
    <w:rsid w:val="001114E0"/>
    <w:rsid w:val="00124878"/>
    <w:rsid w:val="0014217D"/>
    <w:rsid w:val="00145D81"/>
    <w:rsid w:val="00160AC1"/>
    <w:rsid w:val="001635B8"/>
    <w:rsid w:val="00171260"/>
    <w:rsid w:val="00171DE8"/>
    <w:rsid w:val="001937E3"/>
    <w:rsid w:val="00194750"/>
    <w:rsid w:val="00196E99"/>
    <w:rsid w:val="001B521A"/>
    <w:rsid w:val="001C29B0"/>
    <w:rsid w:val="001D603F"/>
    <w:rsid w:val="001E6EFB"/>
    <w:rsid w:val="001E7B02"/>
    <w:rsid w:val="001F102F"/>
    <w:rsid w:val="001F5004"/>
    <w:rsid w:val="00207590"/>
    <w:rsid w:val="002077F0"/>
    <w:rsid w:val="002217FE"/>
    <w:rsid w:val="00224B67"/>
    <w:rsid w:val="002306AF"/>
    <w:rsid w:val="00231408"/>
    <w:rsid w:val="00262DE5"/>
    <w:rsid w:val="00276992"/>
    <w:rsid w:val="002834E9"/>
    <w:rsid w:val="00285C84"/>
    <w:rsid w:val="00287652"/>
    <w:rsid w:val="00295BEE"/>
    <w:rsid w:val="00296250"/>
    <w:rsid w:val="002C003A"/>
    <w:rsid w:val="002C7BC5"/>
    <w:rsid w:val="002D1634"/>
    <w:rsid w:val="003067C1"/>
    <w:rsid w:val="003338DA"/>
    <w:rsid w:val="00352997"/>
    <w:rsid w:val="0037721B"/>
    <w:rsid w:val="00392C45"/>
    <w:rsid w:val="00396DAC"/>
    <w:rsid w:val="003A0953"/>
    <w:rsid w:val="003B4190"/>
    <w:rsid w:val="003B64FD"/>
    <w:rsid w:val="003C1202"/>
    <w:rsid w:val="003C6A95"/>
    <w:rsid w:val="003F4D13"/>
    <w:rsid w:val="00401C73"/>
    <w:rsid w:val="00407A9D"/>
    <w:rsid w:val="00412672"/>
    <w:rsid w:val="00422765"/>
    <w:rsid w:val="00424068"/>
    <w:rsid w:val="00442911"/>
    <w:rsid w:val="00446113"/>
    <w:rsid w:val="004634C1"/>
    <w:rsid w:val="004636BE"/>
    <w:rsid w:val="004803AD"/>
    <w:rsid w:val="004940F6"/>
    <w:rsid w:val="004A5520"/>
    <w:rsid w:val="004B33E3"/>
    <w:rsid w:val="004B3ADF"/>
    <w:rsid w:val="004B3FA7"/>
    <w:rsid w:val="004F048B"/>
    <w:rsid w:val="005156CD"/>
    <w:rsid w:val="00516A77"/>
    <w:rsid w:val="0053636E"/>
    <w:rsid w:val="00536626"/>
    <w:rsid w:val="00537167"/>
    <w:rsid w:val="005427E8"/>
    <w:rsid w:val="00545CD9"/>
    <w:rsid w:val="005615DB"/>
    <w:rsid w:val="0056773C"/>
    <w:rsid w:val="00574B84"/>
    <w:rsid w:val="00577DDA"/>
    <w:rsid w:val="00594B05"/>
    <w:rsid w:val="00595EBB"/>
    <w:rsid w:val="005A172F"/>
    <w:rsid w:val="005A3B20"/>
    <w:rsid w:val="005B36CB"/>
    <w:rsid w:val="005B4D30"/>
    <w:rsid w:val="005E1B07"/>
    <w:rsid w:val="00640AD9"/>
    <w:rsid w:val="006519E4"/>
    <w:rsid w:val="00665A27"/>
    <w:rsid w:val="006850EC"/>
    <w:rsid w:val="00687C7E"/>
    <w:rsid w:val="006A0D6D"/>
    <w:rsid w:val="006C53DE"/>
    <w:rsid w:val="006C6BE4"/>
    <w:rsid w:val="006D10E7"/>
    <w:rsid w:val="006D14AA"/>
    <w:rsid w:val="006D2AE7"/>
    <w:rsid w:val="006D2D82"/>
    <w:rsid w:val="006D577A"/>
    <w:rsid w:val="006E119D"/>
    <w:rsid w:val="006E6BBB"/>
    <w:rsid w:val="006F2877"/>
    <w:rsid w:val="0071109B"/>
    <w:rsid w:val="00713135"/>
    <w:rsid w:val="00720DB9"/>
    <w:rsid w:val="00721F2D"/>
    <w:rsid w:val="0072690E"/>
    <w:rsid w:val="00740092"/>
    <w:rsid w:val="00744A3E"/>
    <w:rsid w:val="00746AD0"/>
    <w:rsid w:val="00752FE4"/>
    <w:rsid w:val="00774006"/>
    <w:rsid w:val="007830FC"/>
    <w:rsid w:val="007A6484"/>
    <w:rsid w:val="007A7F81"/>
    <w:rsid w:val="007E7A79"/>
    <w:rsid w:val="00805BC4"/>
    <w:rsid w:val="00806AA7"/>
    <w:rsid w:val="00836FE4"/>
    <w:rsid w:val="008374A4"/>
    <w:rsid w:val="008577DB"/>
    <w:rsid w:val="00862572"/>
    <w:rsid w:val="008730B4"/>
    <w:rsid w:val="00876141"/>
    <w:rsid w:val="008850B0"/>
    <w:rsid w:val="00892B07"/>
    <w:rsid w:val="008B195C"/>
    <w:rsid w:val="008B3A7F"/>
    <w:rsid w:val="008C3579"/>
    <w:rsid w:val="008D6471"/>
    <w:rsid w:val="008F13BA"/>
    <w:rsid w:val="00913886"/>
    <w:rsid w:val="0091427A"/>
    <w:rsid w:val="00921745"/>
    <w:rsid w:val="009430DB"/>
    <w:rsid w:val="00946404"/>
    <w:rsid w:val="0096300E"/>
    <w:rsid w:val="009806F8"/>
    <w:rsid w:val="009814C6"/>
    <w:rsid w:val="009A0491"/>
    <w:rsid w:val="009B7B2F"/>
    <w:rsid w:val="009C2E43"/>
    <w:rsid w:val="009C4C51"/>
    <w:rsid w:val="009C5D33"/>
    <w:rsid w:val="009F5D97"/>
    <w:rsid w:val="00A00172"/>
    <w:rsid w:val="00A15C8C"/>
    <w:rsid w:val="00A23761"/>
    <w:rsid w:val="00A358B6"/>
    <w:rsid w:val="00A56529"/>
    <w:rsid w:val="00A63C4B"/>
    <w:rsid w:val="00A755CF"/>
    <w:rsid w:val="00A80220"/>
    <w:rsid w:val="00A803E7"/>
    <w:rsid w:val="00A845EB"/>
    <w:rsid w:val="00A8574D"/>
    <w:rsid w:val="00A85E1C"/>
    <w:rsid w:val="00A9591E"/>
    <w:rsid w:val="00AA0770"/>
    <w:rsid w:val="00AA2895"/>
    <w:rsid w:val="00AD3A6F"/>
    <w:rsid w:val="00AD5760"/>
    <w:rsid w:val="00AF2E3E"/>
    <w:rsid w:val="00B16558"/>
    <w:rsid w:val="00B41A16"/>
    <w:rsid w:val="00B42A97"/>
    <w:rsid w:val="00B42D5C"/>
    <w:rsid w:val="00B559D5"/>
    <w:rsid w:val="00B71414"/>
    <w:rsid w:val="00B72709"/>
    <w:rsid w:val="00B7278C"/>
    <w:rsid w:val="00B84DD5"/>
    <w:rsid w:val="00BB174A"/>
    <w:rsid w:val="00BD7A27"/>
    <w:rsid w:val="00C020CE"/>
    <w:rsid w:val="00C15B8F"/>
    <w:rsid w:val="00C51929"/>
    <w:rsid w:val="00C56940"/>
    <w:rsid w:val="00C60793"/>
    <w:rsid w:val="00C847ED"/>
    <w:rsid w:val="00CB268D"/>
    <w:rsid w:val="00CC28D0"/>
    <w:rsid w:val="00CD2E51"/>
    <w:rsid w:val="00D44AAC"/>
    <w:rsid w:val="00D54213"/>
    <w:rsid w:val="00D66DC9"/>
    <w:rsid w:val="00D71163"/>
    <w:rsid w:val="00DC3734"/>
    <w:rsid w:val="00DC77CF"/>
    <w:rsid w:val="00DD0CD0"/>
    <w:rsid w:val="00DE0F16"/>
    <w:rsid w:val="00DE3E62"/>
    <w:rsid w:val="00DF31CA"/>
    <w:rsid w:val="00E1299E"/>
    <w:rsid w:val="00E1300F"/>
    <w:rsid w:val="00E379FE"/>
    <w:rsid w:val="00E40441"/>
    <w:rsid w:val="00E4187A"/>
    <w:rsid w:val="00E43D53"/>
    <w:rsid w:val="00E4498E"/>
    <w:rsid w:val="00E46664"/>
    <w:rsid w:val="00E55A6F"/>
    <w:rsid w:val="00E67A56"/>
    <w:rsid w:val="00E72654"/>
    <w:rsid w:val="00E77BD1"/>
    <w:rsid w:val="00E83FC3"/>
    <w:rsid w:val="00E858AA"/>
    <w:rsid w:val="00EA09FA"/>
    <w:rsid w:val="00EB64D1"/>
    <w:rsid w:val="00EE79F0"/>
    <w:rsid w:val="00F15799"/>
    <w:rsid w:val="00F21966"/>
    <w:rsid w:val="00F40167"/>
    <w:rsid w:val="00F64203"/>
    <w:rsid w:val="00F64998"/>
    <w:rsid w:val="00F66965"/>
    <w:rsid w:val="00F82D6C"/>
    <w:rsid w:val="00F865CB"/>
    <w:rsid w:val="00FB0398"/>
    <w:rsid w:val="00FB3D0B"/>
    <w:rsid w:val="00FD0D66"/>
    <w:rsid w:val="00FD2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319B"/>
  <w15:docId w15:val="{5DC5EC5D-D8D1-4170-A760-192078D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paragraph" w:styleId="Heading4">
    <w:name w:val="heading 4"/>
    <w:basedOn w:val="Normal"/>
    <w:next w:val="Normal"/>
    <w:link w:val="Heading4Char"/>
    <w:uiPriority w:val="99"/>
    <w:qFormat/>
    <w:rsid w:val="00B16558"/>
    <w:pPr>
      <w:keepNext/>
      <w:tabs>
        <w:tab w:val="num" w:pos="864"/>
      </w:tabs>
      <w:spacing w:before="240" w:after="60" w:line="360" w:lineRule="auto"/>
      <w:ind w:left="864" w:hanging="864"/>
      <w:outlineLvl w:val="3"/>
    </w:pPr>
    <w:rPr>
      <w:rFonts w:ascii="Century Schoolbook" w:hAnsi="Century Schoolbook" w:cs="Century Schoolboo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F40167"/>
    <w:rPr>
      <w:sz w:val="16"/>
      <w:szCs w:val="16"/>
    </w:rPr>
  </w:style>
  <w:style w:type="paragraph" w:styleId="CommentText">
    <w:name w:val="annotation text"/>
    <w:basedOn w:val="Normal"/>
    <w:link w:val="CommentTextChar"/>
    <w:uiPriority w:val="99"/>
    <w:semiHidden/>
    <w:unhideWhenUsed/>
    <w:rsid w:val="00F40167"/>
    <w:rPr>
      <w:sz w:val="20"/>
      <w:szCs w:val="20"/>
    </w:rPr>
  </w:style>
  <w:style w:type="character" w:customStyle="1" w:styleId="CommentTextChar">
    <w:name w:val="Comment Text Char"/>
    <w:basedOn w:val="DefaultParagraphFont"/>
    <w:link w:val="CommentText"/>
    <w:uiPriority w:val="99"/>
    <w:semiHidden/>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
    <w:link w:val="ListParagraph"/>
    <w:uiPriority w:val="34"/>
    <w:locked/>
    <w:rsid w:val="005615DB"/>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9"/>
    <w:rsid w:val="00B16558"/>
    <w:rPr>
      <w:rFonts w:ascii="Century Schoolbook" w:eastAsia="Times New Roman" w:hAnsi="Century Schoolbook" w:cs="Century Schoolbook"/>
      <w:b/>
      <w:bCs/>
      <w:sz w:val="20"/>
      <w:szCs w:val="20"/>
      <w:lang w:eastAsia="zh-CN"/>
    </w:rPr>
  </w:style>
  <w:style w:type="paragraph" w:customStyle="1" w:styleId="naisc">
    <w:name w:val="naisc"/>
    <w:basedOn w:val="Normal"/>
    <w:rsid w:val="0072690E"/>
    <w:pPr>
      <w:spacing w:before="75" w:after="75"/>
      <w:jc w:val="center"/>
    </w:pPr>
  </w:style>
  <w:style w:type="paragraph" w:customStyle="1" w:styleId="VPBullet">
    <w:name w:val="VP Bullet"/>
    <w:basedOn w:val="Normal"/>
    <w:rsid w:val="0072690E"/>
    <w:pPr>
      <w:numPr>
        <w:numId w:val="9"/>
      </w:numPr>
      <w:tabs>
        <w:tab w:val="left" w:pos="0"/>
      </w:tabs>
      <w:suppressAutoHyphens w:val="0"/>
      <w:spacing w:after="160" w:line="259" w:lineRule="auto"/>
      <w:jc w:val="both"/>
    </w:pPr>
    <w:rPr>
      <w:rFonts w:eastAsiaTheme="minorHAnsi"/>
      <w:bCs/>
      <w:szCs w:val="22"/>
      <w:lang w:eastAsia="en-US"/>
    </w:rPr>
  </w:style>
  <w:style w:type="paragraph" w:customStyle="1" w:styleId="pamattekststabul">
    <w:name w:val="pamattekststabul"/>
    <w:basedOn w:val="Normal"/>
    <w:rsid w:val="00084CB9"/>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AE13-ED48-49B6-92BA-FC66AEE5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7995</Words>
  <Characters>4558</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41.0 versija - Centrālās statistikas pārvaldes “Ārējās tirdzniecības statistikas datu apstrādes sistēma” izveide)</vt:lpstr>
    </vt:vector>
  </TitlesOfParts>
  <Company>Centrālā statistikas pārvalde</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41.0 versija - Centrālās statistikas pārvaldes “Ārējās tirdzniecības statistikas datu apstrādes sistēma” izveide)</dc:title>
  <dc:subject>Rīkojuma projekts</dc:subject>
  <dc:creator>Ieva začeste</dc:creator>
  <dc:description>67366897, ieva.zaceste@csb.gov.lv</dc:description>
  <cp:lastModifiedBy>Zaiga Šulca</cp:lastModifiedBy>
  <cp:revision>5</cp:revision>
  <cp:lastPrinted>2020-01-21T07:54:00Z</cp:lastPrinted>
  <dcterms:created xsi:type="dcterms:W3CDTF">2020-03-26T12:05:00Z</dcterms:created>
  <dcterms:modified xsi:type="dcterms:W3CDTF">2020-03-27T09:28:00Z</dcterms:modified>
</cp:coreProperties>
</file>