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3591B564" w14:textId="58E55EFA" w:rsidR="007116C7" w:rsidRPr="009457BD" w:rsidRDefault="003C5CC4" w:rsidP="0070343D">
            <w:pPr>
              <w:pStyle w:val="NoSpacing"/>
              <w:jc w:val="center"/>
              <w:rPr>
                <w:b/>
                <w:iCs/>
              </w:rPr>
            </w:pPr>
            <w:r>
              <w:rPr>
                <w:b/>
                <w:iCs/>
              </w:rPr>
              <w:t xml:space="preserve">par </w:t>
            </w:r>
            <w:r w:rsidRPr="003C5CC4">
              <w:rPr>
                <w:b/>
                <w:iCs/>
              </w:rPr>
              <w:t>Ministru kabineta noteikumu projekt</w:t>
            </w:r>
            <w:r>
              <w:rPr>
                <w:b/>
                <w:iCs/>
              </w:rPr>
              <w:t>u</w:t>
            </w:r>
            <w:r w:rsidRPr="003C5CC4">
              <w:rPr>
                <w:b/>
                <w:iCs/>
              </w:rPr>
              <w:t xml:space="preserve"> </w:t>
            </w:r>
            <w:r w:rsidR="0070343D" w:rsidRPr="0070343D">
              <w:rPr>
                <w:b/>
                <w:iCs/>
              </w:rPr>
              <w:t xml:space="preserve">“Grozījumi Ministru kabineta 2017. gada 28. novembra noteikumos Nr. 689 “Medicīnisko ierīču reģistrācijas, atbilstības novērtēšanas, izplatīšanas, ekspluatācijas un tehniskās uzraudzības kārtība”” </w:t>
            </w:r>
          </w:p>
        </w:tc>
      </w:tr>
    </w:tbl>
    <w:p w14:paraId="40FC7550" w14:textId="77777777" w:rsidR="007B4C0F" w:rsidRPr="00712B66" w:rsidRDefault="00241BDB" w:rsidP="00400138">
      <w:pPr>
        <w:pStyle w:val="naisc"/>
        <w:spacing w:before="0" w:after="0"/>
        <w:ind w:firstLine="1080"/>
      </w:pPr>
      <w:r w:rsidRPr="00712B66">
        <w:t>(dokumenta veids un nosaukums)</w:t>
      </w:r>
    </w:p>
    <w:p w14:paraId="39B4D234" w14:textId="77777777" w:rsidR="00C8598D" w:rsidRDefault="00C8598D" w:rsidP="00184479">
      <w:pPr>
        <w:pStyle w:val="naisf"/>
        <w:spacing w:before="0" w:after="0"/>
        <w:ind w:firstLine="0"/>
        <w:jc w:val="center"/>
        <w:rPr>
          <w:b/>
        </w:rPr>
      </w:pPr>
    </w:p>
    <w:p w14:paraId="302D5C19" w14:textId="350270F9"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410"/>
        <w:gridCol w:w="2410"/>
        <w:gridCol w:w="2551"/>
      </w:tblGrid>
      <w:tr w:rsidR="00752A73" w14:paraId="595B47C4" w14:textId="77777777" w:rsidTr="00343976">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343976">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51"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bl>
    <w:p w14:paraId="24EB8451" w14:textId="5E988750" w:rsidR="00A05BE1" w:rsidRDefault="00A05BE1" w:rsidP="005D67F7">
      <w:pPr>
        <w:pStyle w:val="naisf"/>
        <w:spacing w:before="0" w:after="0"/>
        <w:ind w:firstLine="0"/>
        <w:rPr>
          <w:b/>
        </w:rPr>
      </w:pPr>
    </w:p>
    <w:p w14:paraId="7EFD625A" w14:textId="2E521053" w:rsidR="00C8598D" w:rsidRDefault="00C8598D" w:rsidP="00930193">
      <w:pPr>
        <w:pStyle w:val="naisf"/>
        <w:tabs>
          <w:tab w:val="left" w:pos="952"/>
        </w:tabs>
        <w:spacing w:before="0" w:after="0"/>
        <w:ind w:firstLine="0"/>
        <w:rPr>
          <w:b/>
        </w:rPr>
      </w:pPr>
    </w:p>
    <w:p w14:paraId="7A3FDE14" w14:textId="68F0F53F" w:rsidR="005D67F7" w:rsidRPr="00712B66" w:rsidRDefault="00241BDB" w:rsidP="005D67F7">
      <w:pPr>
        <w:pStyle w:val="naisf"/>
        <w:spacing w:before="0" w:after="0"/>
        <w:ind w:firstLine="0"/>
        <w:rPr>
          <w:b/>
        </w:rPr>
      </w:pPr>
      <w:r w:rsidRPr="00712B66">
        <w:rPr>
          <w:b/>
        </w:rPr>
        <w:t>Informācija par starpministriju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1637"/>
        <w:gridCol w:w="5560"/>
        <w:gridCol w:w="283"/>
        <w:gridCol w:w="142"/>
      </w:tblGrid>
      <w:tr w:rsidR="00752A73" w14:paraId="0ED2F868" w14:textId="77777777" w:rsidTr="00A24EFE">
        <w:trPr>
          <w:gridAfter w:val="1"/>
          <w:wAfter w:w="142"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7480" w:type="dxa"/>
            <w:gridSpan w:val="3"/>
            <w:tcBorders>
              <w:bottom w:val="single" w:sz="4" w:space="0" w:color="auto"/>
            </w:tcBorders>
          </w:tcPr>
          <w:p w14:paraId="6CAB9DD5" w14:textId="5FA7C08D" w:rsidR="007B4C0F" w:rsidRPr="00712B66" w:rsidRDefault="00343976" w:rsidP="00946CBD">
            <w:pPr>
              <w:pStyle w:val="NormalWeb"/>
              <w:spacing w:before="0" w:beforeAutospacing="0" w:after="0" w:afterAutospacing="0"/>
            </w:pPr>
            <w:r>
              <w:t xml:space="preserve">Elektroniskā saskaņošana </w:t>
            </w:r>
            <w:r w:rsidR="0070343D">
              <w:t>16</w:t>
            </w:r>
            <w:r>
              <w:t>.</w:t>
            </w:r>
            <w:r w:rsidR="0070343D">
              <w:t>04</w:t>
            </w:r>
            <w:r>
              <w:t>.2020.</w:t>
            </w:r>
          </w:p>
        </w:tc>
      </w:tr>
      <w:tr w:rsidR="00752A73" w14:paraId="06F038A3" w14:textId="77777777" w:rsidTr="00250B2F">
        <w:trPr>
          <w:gridAfter w:val="2"/>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2"/>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4"/>
          </w:tcPr>
          <w:p w14:paraId="0E2CD1EA" w14:textId="7351E75C" w:rsidR="00944F10" w:rsidRPr="00946CBD" w:rsidRDefault="00241BDB" w:rsidP="00944F10">
            <w:pPr>
              <w:pStyle w:val="NormalWeb"/>
              <w:spacing w:before="0" w:beforeAutospacing="0" w:after="0" w:afterAutospacing="0"/>
              <w:jc w:val="both"/>
            </w:pPr>
            <w:r w:rsidRPr="00946CBD">
              <w:t>Tieslietu ministrija</w:t>
            </w:r>
            <w:r w:rsidR="0070343D">
              <w:t xml:space="preserve"> un </w:t>
            </w:r>
            <w:r w:rsidRPr="00946CBD">
              <w:t>Finanšu mini</w:t>
            </w:r>
            <w:r w:rsidR="00CC0837">
              <w:t>strija</w:t>
            </w:r>
          </w:p>
        </w:tc>
      </w:tr>
      <w:tr w:rsidR="00752A73" w14:paraId="40457A16" w14:textId="77777777" w:rsidTr="00A24EFE">
        <w:trPr>
          <w:gridAfter w:val="1"/>
          <w:wAfter w:w="142" w:type="dxa"/>
          <w:trHeight w:val="285"/>
        </w:trPr>
        <w:tc>
          <w:tcPr>
            <w:tcW w:w="6128" w:type="dxa"/>
          </w:tcPr>
          <w:p w14:paraId="0461B5D6" w14:textId="77777777" w:rsidR="00944F10" w:rsidRPr="00712B66" w:rsidRDefault="00944F10" w:rsidP="00944F10">
            <w:pPr>
              <w:pStyle w:val="naiskr"/>
              <w:spacing w:before="0" w:after="0"/>
            </w:pPr>
          </w:p>
        </w:tc>
        <w:tc>
          <w:tcPr>
            <w:tcW w:w="1637" w:type="dxa"/>
          </w:tcPr>
          <w:p w14:paraId="33897908" w14:textId="77777777" w:rsidR="00944F10" w:rsidRPr="00712B66" w:rsidRDefault="00944F10" w:rsidP="00944F10">
            <w:pPr>
              <w:pStyle w:val="naiskr"/>
              <w:spacing w:before="0" w:after="0"/>
              <w:ind w:firstLine="720"/>
              <w:jc w:val="both"/>
            </w:pPr>
          </w:p>
        </w:tc>
        <w:tc>
          <w:tcPr>
            <w:tcW w:w="5843" w:type="dxa"/>
            <w:gridSpan w:val="2"/>
          </w:tcPr>
          <w:p w14:paraId="3BF4FAC7" w14:textId="77777777" w:rsidR="00944F10" w:rsidRPr="00712B66" w:rsidRDefault="00944F10" w:rsidP="00944F10">
            <w:pPr>
              <w:pStyle w:val="naiskr"/>
              <w:spacing w:before="0" w:after="0"/>
              <w:ind w:firstLine="12"/>
              <w:jc w:val="both"/>
            </w:pPr>
          </w:p>
        </w:tc>
      </w:tr>
      <w:tr w:rsidR="00752A73" w14:paraId="3E005751" w14:textId="77777777" w:rsidTr="00A24EFE">
        <w:trPr>
          <w:gridAfter w:val="1"/>
          <w:wAfter w:w="142"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480" w:type="dxa"/>
            <w:gridSpan w:val="3"/>
          </w:tcPr>
          <w:p w14:paraId="1D07597A" w14:textId="06B26CE1" w:rsidR="00944F10" w:rsidRPr="00712B66" w:rsidRDefault="00944F10" w:rsidP="00944F10">
            <w:pPr>
              <w:pStyle w:val="naiskr"/>
              <w:spacing w:before="0" w:after="0"/>
              <w:jc w:val="both"/>
            </w:pPr>
          </w:p>
        </w:tc>
      </w:tr>
      <w:tr w:rsidR="00B42A1E" w14:paraId="5EDA02E9" w14:textId="77777777" w:rsidTr="00A24EFE">
        <w:trPr>
          <w:gridAfter w:val="1"/>
          <w:wAfter w:w="142" w:type="dxa"/>
          <w:trHeight w:val="285"/>
        </w:trPr>
        <w:tc>
          <w:tcPr>
            <w:tcW w:w="6128" w:type="dxa"/>
          </w:tcPr>
          <w:p w14:paraId="5F4D5299" w14:textId="77777777" w:rsidR="00B42A1E" w:rsidRDefault="00B42A1E" w:rsidP="00944F10">
            <w:pPr>
              <w:pStyle w:val="naiskr"/>
              <w:spacing w:before="0" w:after="0"/>
            </w:pPr>
          </w:p>
        </w:tc>
        <w:tc>
          <w:tcPr>
            <w:tcW w:w="7480" w:type="dxa"/>
            <w:gridSpan w:val="3"/>
          </w:tcPr>
          <w:p w14:paraId="346697CA" w14:textId="77777777" w:rsidR="00B42A1E" w:rsidRDefault="00B42A1E" w:rsidP="00944F10">
            <w:pPr>
              <w:pStyle w:val="naiskr"/>
              <w:spacing w:before="0" w:after="0"/>
              <w:jc w:val="both"/>
            </w:pPr>
          </w:p>
        </w:tc>
      </w:tr>
      <w:tr w:rsidR="00752A73" w14:paraId="47D0637F" w14:textId="77777777" w:rsidTr="00A24EFE">
        <w:trPr>
          <w:gridAfter w:val="1"/>
          <w:wAfter w:w="142" w:type="dxa"/>
        </w:trPr>
        <w:tc>
          <w:tcPr>
            <w:tcW w:w="6128" w:type="dxa"/>
          </w:tcPr>
          <w:p w14:paraId="050140E8" w14:textId="77777777" w:rsidR="00944F10"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p w14:paraId="209E070A" w14:textId="77777777" w:rsidR="00BC5E3D" w:rsidRDefault="00BC5E3D" w:rsidP="00944F10">
            <w:pPr>
              <w:pStyle w:val="naiskr"/>
              <w:spacing w:before="0" w:after="0"/>
            </w:pPr>
          </w:p>
          <w:p w14:paraId="3F418A6C" w14:textId="1C23B330" w:rsidR="00BC5E3D" w:rsidRPr="00946CBD" w:rsidRDefault="00BC5E3D" w:rsidP="00944F10">
            <w:pPr>
              <w:pStyle w:val="naiskr"/>
              <w:spacing w:before="0" w:after="0"/>
            </w:pPr>
          </w:p>
        </w:tc>
        <w:tc>
          <w:tcPr>
            <w:tcW w:w="7480" w:type="dxa"/>
            <w:gridSpan w:val="3"/>
          </w:tcPr>
          <w:p w14:paraId="50682E98" w14:textId="0607B3BB" w:rsidR="00944F10" w:rsidRPr="00712B66" w:rsidRDefault="00944F10" w:rsidP="00A24EFE">
            <w:pPr>
              <w:pStyle w:val="naiskr"/>
              <w:spacing w:before="0" w:after="0"/>
            </w:pPr>
          </w:p>
        </w:tc>
      </w:tr>
    </w:tbl>
    <w:p w14:paraId="18BA9D32" w14:textId="77777777" w:rsidR="00A24EFE" w:rsidRDefault="00A24EFE" w:rsidP="009A34EE">
      <w:pPr>
        <w:pStyle w:val="naisf"/>
        <w:spacing w:before="0" w:after="0"/>
        <w:ind w:firstLine="0"/>
        <w:rPr>
          <w:b/>
        </w:rPr>
      </w:pPr>
    </w:p>
    <w:p w14:paraId="321E1233" w14:textId="7340D1B9"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962"/>
        <w:gridCol w:w="932"/>
        <w:gridCol w:w="1194"/>
        <w:gridCol w:w="3402"/>
      </w:tblGrid>
      <w:tr w:rsidR="00752A73" w14:paraId="124F7098" w14:textId="77777777" w:rsidTr="00B227C6">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227C6">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9A34EE" w14:paraId="624FB189" w14:textId="77777777" w:rsidTr="00B227C6">
        <w:tc>
          <w:tcPr>
            <w:tcW w:w="708" w:type="dxa"/>
            <w:tcBorders>
              <w:left w:val="single" w:sz="6" w:space="0" w:color="000000"/>
              <w:bottom w:val="single" w:sz="4" w:space="0" w:color="auto"/>
              <w:right w:val="single" w:sz="6" w:space="0" w:color="000000"/>
            </w:tcBorders>
          </w:tcPr>
          <w:p w14:paraId="32A81903" w14:textId="77777777" w:rsidR="009A34EE" w:rsidRDefault="009A34EE"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75D443CE" w14:textId="77777777" w:rsidR="009A34EE" w:rsidRDefault="009A34EE" w:rsidP="009C208A">
            <w:pPr>
              <w:pStyle w:val="naisc"/>
              <w:spacing w:before="0" w:after="120"/>
              <w:jc w:val="both"/>
            </w:pPr>
          </w:p>
        </w:tc>
        <w:tc>
          <w:tcPr>
            <w:tcW w:w="4962" w:type="dxa"/>
            <w:tcBorders>
              <w:left w:val="single" w:sz="6" w:space="0" w:color="000000"/>
              <w:bottom w:val="single" w:sz="4" w:space="0" w:color="auto"/>
              <w:right w:val="single" w:sz="6" w:space="0" w:color="000000"/>
            </w:tcBorders>
          </w:tcPr>
          <w:p w14:paraId="432B679D" w14:textId="3C15F413" w:rsidR="00C40CF4" w:rsidRDefault="0070343D" w:rsidP="00C40CF4">
            <w:pPr>
              <w:pStyle w:val="naisc"/>
              <w:spacing w:before="0" w:after="0"/>
              <w:rPr>
                <w:b/>
              </w:rPr>
            </w:pPr>
            <w:r>
              <w:rPr>
                <w:b/>
              </w:rPr>
              <w:t>Finašu</w:t>
            </w:r>
            <w:r w:rsidR="00C40CF4">
              <w:rPr>
                <w:b/>
              </w:rPr>
              <w:t xml:space="preserve"> ministrija </w:t>
            </w:r>
          </w:p>
          <w:p w14:paraId="6B3A2D1F" w14:textId="0BC8E840" w:rsidR="009A34EE" w:rsidRDefault="00C40CF4" w:rsidP="00C40CF4">
            <w:pPr>
              <w:pStyle w:val="NormalWeb"/>
              <w:spacing w:before="0" w:beforeAutospacing="0" w:after="120"/>
              <w:ind w:right="13"/>
              <w:jc w:val="center"/>
            </w:pPr>
            <w:r>
              <w:rPr>
                <w:b/>
              </w:rPr>
              <w:t>(</w:t>
            </w:r>
            <w:r w:rsidR="0070343D">
              <w:rPr>
                <w:b/>
              </w:rPr>
              <w:t>15</w:t>
            </w:r>
            <w:r>
              <w:rPr>
                <w:b/>
              </w:rPr>
              <w:t>.0</w:t>
            </w:r>
            <w:r w:rsidR="0070343D">
              <w:rPr>
                <w:b/>
              </w:rPr>
              <w:t>4</w:t>
            </w:r>
            <w:r>
              <w:rPr>
                <w:b/>
              </w:rPr>
              <w:t>.2020. Nr.</w:t>
            </w:r>
            <w:r w:rsidR="00390637" w:rsidRPr="00390637">
              <w:rPr>
                <w:b/>
              </w:rPr>
              <w:t>12</w:t>
            </w:r>
            <w:r w:rsidRPr="00390637">
              <w:rPr>
                <w:b/>
              </w:rPr>
              <w:t>A-</w:t>
            </w:r>
            <w:r w:rsidR="00390637" w:rsidRPr="00390637">
              <w:rPr>
                <w:b/>
              </w:rPr>
              <w:t>7</w:t>
            </w:r>
            <w:r w:rsidRPr="00390637">
              <w:rPr>
                <w:b/>
              </w:rPr>
              <w:t>/2</w:t>
            </w:r>
            <w:r w:rsidR="00390637" w:rsidRPr="00390637">
              <w:rPr>
                <w:b/>
              </w:rPr>
              <w:t>030</w:t>
            </w:r>
            <w:r>
              <w:rPr>
                <w:b/>
              </w:rPr>
              <w:t>)</w:t>
            </w:r>
          </w:p>
        </w:tc>
        <w:tc>
          <w:tcPr>
            <w:tcW w:w="2126" w:type="dxa"/>
            <w:gridSpan w:val="2"/>
            <w:tcBorders>
              <w:left w:val="single" w:sz="6" w:space="0" w:color="000000"/>
              <w:bottom w:val="single" w:sz="4" w:space="0" w:color="auto"/>
              <w:right w:val="single" w:sz="6" w:space="0" w:color="000000"/>
            </w:tcBorders>
          </w:tcPr>
          <w:p w14:paraId="31E1DEB2" w14:textId="77777777" w:rsidR="009A34EE" w:rsidRPr="009C208A" w:rsidRDefault="009A34EE" w:rsidP="009C208A">
            <w:pPr>
              <w:spacing w:after="120"/>
              <w:jc w:val="center"/>
              <w:rPr>
                <w:b/>
                <w:bCs/>
              </w:rPr>
            </w:pPr>
          </w:p>
        </w:tc>
        <w:tc>
          <w:tcPr>
            <w:tcW w:w="3402" w:type="dxa"/>
            <w:tcBorders>
              <w:top w:val="single" w:sz="4" w:space="0" w:color="auto"/>
              <w:left w:val="single" w:sz="4" w:space="0" w:color="auto"/>
              <w:bottom w:val="single" w:sz="4" w:space="0" w:color="auto"/>
            </w:tcBorders>
          </w:tcPr>
          <w:p w14:paraId="412923D0" w14:textId="77777777" w:rsidR="009A34EE" w:rsidRDefault="009A34EE" w:rsidP="00C02B17">
            <w:pPr>
              <w:spacing w:after="120"/>
              <w:jc w:val="both"/>
            </w:pPr>
          </w:p>
        </w:tc>
      </w:tr>
      <w:tr w:rsidR="00C40CF4" w14:paraId="6AE44EF2" w14:textId="77777777" w:rsidTr="00B227C6">
        <w:tc>
          <w:tcPr>
            <w:tcW w:w="708" w:type="dxa"/>
            <w:tcBorders>
              <w:left w:val="single" w:sz="6" w:space="0" w:color="000000"/>
              <w:bottom w:val="single" w:sz="4" w:space="0" w:color="auto"/>
              <w:right w:val="single" w:sz="6" w:space="0" w:color="000000"/>
            </w:tcBorders>
          </w:tcPr>
          <w:p w14:paraId="26E14425" w14:textId="6E1610E0" w:rsidR="00C40CF4" w:rsidRDefault="00C40CF4" w:rsidP="00C40CF4">
            <w:pPr>
              <w:pStyle w:val="naisc"/>
              <w:spacing w:before="0" w:after="120"/>
              <w:jc w:val="left"/>
            </w:pPr>
            <w:r>
              <w:t>1.</w:t>
            </w:r>
          </w:p>
        </w:tc>
        <w:tc>
          <w:tcPr>
            <w:tcW w:w="2686" w:type="dxa"/>
            <w:tcBorders>
              <w:left w:val="single" w:sz="6" w:space="0" w:color="000000"/>
              <w:bottom w:val="single" w:sz="4" w:space="0" w:color="auto"/>
              <w:right w:val="single" w:sz="6" w:space="0" w:color="000000"/>
            </w:tcBorders>
          </w:tcPr>
          <w:p w14:paraId="2B0003DA" w14:textId="616C1159" w:rsidR="00C40CF4" w:rsidRPr="00712B66" w:rsidRDefault="0070343D" w:rsidP="00C40CF4">
            <w:pPr>
              <w:pStyle w:val="naisc"/>
              <w:spacing w:before="0" w:after="120"/>
              <w:jc w:val="both"/>
            </w:pPr>
            <w:r>
              <w:t xml:space="preserve">Ministru kabineta noteikumu projekta </w:t>
            </w:r>
            <w:r w:rsidRPr="0070343D">
              <w:t>“Grozījumi Ministru kabineta 2017. gada 28. novembra noteikumos Nr. 689 “Medicīnisko ierīču reģistrācijas, atbilstības novērtēšanas, izplatīšanas, ekspluatācijas un tehniskās uzraudzības kārtība””</w:t>
            </w:r>
            <w:r>
              <w:t xml:space="preserve"> anotācija</w:t>
            </w:r>
            <w:r w:rsidR="00A16938">
              <w:t>.</w:t>
            </w:r>
          </w:p>
        </w:tc>
        <w:tc>
          <w:tcPr>
            <w:tcW w:w="4962" w:type="dxa"/>
            <w:tcBorders>
              <w:left w:val="single" w:sz="6" w:space="0" w:color="000000"/>
              <w:bottom w:val="single" w:sz="4" w:space="0" w:color="auto"/>
              <w:right w:val="single" w:sz="6" w:space="0" w:color="000000"/>
            </w:tcBorders>
          </w:tcPr>
          <w:p w14:paraId="31F4393E" w14:textId="77777777" w:rsidR="00390637" w:rsidRPr="00390637" w:rsidRDefault="00390637" w:rsidP="00EE5BFE">
            <w:pPr>
              <w:pStyle w:val="NormalWeb"/>
              <w:ind w:right="13"/>
              <w:jc w:val="both"/>
            </w:pPr>
            <w:r w:rsidRPr="00390637">
              <w:t>Ņemot vērā anotācijas VII sadaļas 1.punktā norādīto, ka projekta izpildi nodrošina Zāļu valsts aģentūra un Veselības inspekcija, lūdzam anotācijas VII sadaļas 3.punktā norādīt, ka Veselības inspekcija noteikumu projektā paredzēto pasākumu īstenošanu nodrošinās tai piešķirto valsts budžeta līdzekļu ietvaros un Zāļu valsts aģentūra tās ieņēmumu ietvaros.</w:t>
            </w:r>
          </w:p>
          <w:p w14:paraId="3AA095D1" w14:textId="61678C44" w:rsidR="00C40CF4" w:rsidRDefault="00C40CF4" w:rsidP="00C40CF4">
            <w:pPr>
              <w:pStyle w:val="NormalWeb"/>
              <w:spacing w:before="0" w:beforeAutospacing="0" w:after="120" w:afterAutospacing="0"/>
              <w:ind w:right="13"/>
              <w:jc w:val="both"/>
            </w:pPr>
          </w:p>
        </w:tc>
        <w:tc>
          <w:tcPr>
            <w:tcW w:w="2126" w:type="dxa"/>
            <w:gridSpan w:val="2"/>
            <w:tcBorders>
              <w:left w:val="single" w:sz="6" w:space="0" w:color="000000"/>
              <w:bottom w:val="single" w:sz="4" w:space="0" w:color="auto"/>
              <w:right w:val="single" w:sz="6" w:space="0" w:color="000000"/>
            </w:tcBorders>
          </w:tcPr>
          <w:p w14:paraId="3DA041AD" w14:textId="69E714BB" w:rsidR="00C40CF4" w:rsidRPr="000F2645" w:rsidRDefault="00C40CF4" w:rsidP="0070343D">
            <w:pPr>
              <w:spacing w:after="120"/>
              <w:jc w:val="center"/>
              <w:rPr>
                <w:b/>
              </w:rPr>
            </w:pPr>
            <w:r>
              <w:rPr>
                <w:b/>
              </w:rPr>
              <w:t>Ņemts vērā</w:t>
            </w:r>
          </w:p>
        </w:tc>
        <w:tc>
          <w:tcPr>
            <w:tcW w:w="3402" w:type="dxa"/>
            <w:tcBorders>
              <w:top w:val="single" w:sz="4" w:space="0" w:color="auto"/>
              <w:left w:val="single" w:sz="4" w:space="0" w:color="auto"/>
              <w:bottom w:val="single" w:sz="4" w:space="0" w:color="auto"/>
            </w:tcBorders>
          </w:tcPr>
          <w:p w14:paraId="48046004" w14:textId="405A1DBA" w:rsidR="00C40CF4" w:rsidRPr="00712B66" w:rsidRDefault="0070343D" w:rsidP="00C40CF4">
            <w:pPr>
              <w:spacing w:after="120"/>
              <w:jc w:val="both"/>
            </w:pPr>
            <w:r>
              <w:t xml:space="preserve">Atbilstoši precizēta </w:t>
            </w:r>
            <w:r w:rsidRPr="0070343D">
              <w:t>Ministru kabineta noteikumu projekta “Grozījumi Ministru kabineta 2017. gada 28. novembra noteikumos Nr. 689 “Medicīnisko ierīču reģistrācijas, atbilstības novērtēšanas, izplatīšanas, ekspluatācijas un tehniskās uzraudzības kārtība”” anotācija</w:t>
            </w:r>
          </w:p>
        </w:tc>
      </w:tr>
      <w:tr w:rsidR="00C40CF4" w14:paraId="7DC33682" w14:textId="77777777" w:rsidTr="00B227C6">
        <w:tc>
          <w:tcPr>
            <w:tcW w:w="708" w:type="dxa"/>
            <w:tcBorders>
              <w:left w:val="single" w:sz="6" w:space="0" w:color="000000"/>
              <w:bottom w:val="single" w:sz="4" w:space="0" w:color="auto"/>
              <w:right w:val="single" w:sz="6" w:space="0" w:color="000000"/>
            </w:tcBorders>
          </w:tcPr>
          <w:p w14:paraId="652FC731" w14:textId="131BDD12" w:rsidR="00C40CF4" w:rsidRDefault="00C40CF4" w:rsidP="00C40CF4">
            <w:pPr>
              <w:pStyle w:val="naisc"/>
              <w:spacing w:before="0" w:after="120"/>
              <w:jc w:val="left"/>
            </w:pPr>
          </w:p>
        </w:tc>
        <w:tc>
          <w:tcPr>
            <w:tcW w:w="2686" w:type="dxa"/>
            <w:tcBorders>
              <w:left w:val="single" w:sz="6" w:space="0" w:color="000000"/>
              <w:bottom w:val="single" w:sz="4" w:space="0" w:color="auto"/>
              <w:right w:val="single" w:sz="6" w:space="0" w:color="000000"/>
            </w:tcBorders>
          </w:tcPr>
          <w:p w14:paraId="74F9893A" w14:textId="77777777" w:rsidR="00C40CF4" w:rsidRPr="00712B66" w:rsidRDefault="00C40CF4"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58F7ABEC" w14:textId="1CE8C5EB" w:rsidR="00C40CF4" w:rsidRDefault="0070343D" w:rsidP="00A7561A">
            <w:pPr>
              <w:pStyle w:val="NormalWeb"/>
              <w:spacing w:before="0" w:beforeAutospacing="0" w:after="0" w:afterAutospacing="0"/>
              <w:ind w:right="11"/>
              <w:jc w:val="center"/>
              <w:rPr>
                <w:b/>
              </w:rPr>
            </w:pPr>
            <w:r>
              <w:rPr>
                <w:b/>
              </w:rPr>
              <w:t>Tieslietu</w:t>
            </w:r>
            <w:r w:rsidR="00C40CF4">
              <w:rPr>
                <w:b/>
              </w:rPr>
              <w:t xml:space="preserve"> ministrija</w:t>
            </w:r>
          </w:p>
          <w:p w14:paraId="24125B86" w14:textId="41EF444C" w:rsidR="00C40CF4" w:rsidRDefault="00C40CF4" w:rsidP="00A7561A">
            <w:pPr>
              <w:pStyle w:val="NormalWeb"/>
              <w:spacing w:before="0" w:beforeAutospacing="0" w:after="120" w:afterAutospacing="0"/>
              <w:ind w:right="13"/>
              <w:jc w:val="center"/>
            </w:pPr>
            <w:r>
              <w:rPr>
                <w:b/>
              </w:rPr>
              <w:t>(</w:t>
            </w:r>
            <w:r w:rsidR="0070343D">
              <w:rPr>
                <w:b/>
              </w:rPr>
              <w:t>20</w:t>
            </w:r>
            <w:r>
              <w:rPr>
                <w:b/>
              </w:rPr>
              <w:t>.0</w:t>
            </w:r>
            <w:r w:rsidR="0070343D">
              <w:rPr>
                <w:b/>
              </w:rPr>
              <w:t>4</w:t>
            </w:r>
            <w:r>
              <w:rPr>
                <w:b/>
              </w:rPr>
              <w:t xml:space="preserve">.2020. </w:t>
            </w:r>
            <w:r w:rsidRPr="00186EAB">
              <w:rPr>
                <w:b/>
              </w:rPr>
              <w:t>Nr.</w:t>
            </w:r>
            <w:r w:rsidR="00793300" w:rsidRPr="00186EAB">
              <w:rPr>
                <w:b/>
              </w:rPr>
              <w:t>1-9.1/396</w:t>
            </w:r>
            <w:r w:rsidRPr="00186EAB">
              <w:rPr>
                <w:b/>
              </w:rPr>
              <w:t>)</w:t>
            </w:r>
          </w:p>
        </w:tc>
        <w:tc>
          <w:tcPr>
            <w:tcW w:w="2126" w:type="dxa"/>
            <w:gridSpan w:val="2"/>
            <w:tcBorders>
              <w:left w:val="single" w:sz="6" w:space="0" w:color="000000"/>
              <w:bottom w:val="single" w:sz="4" w:space="0" w:color="auto"/>
              <w:right w:val="single" w:sz="6" w:space="0" w:color="000000"/>
            </w:tcBorders>
          </w:tcPr>
          <w:p w14:paraId="6F4DFB6B" w14:textId="77777777" w:rsidR="00C40CF4" w:rsidRPr="000F2645" w:rsidRDefault="00C40CF4" w:rsidP="00C40CF4">
            <w:pPr>
              <w:pStyle w:val="naisc"/>
              <w:spacing w:before="0" w:after="120"/>
              <w:rPr>
                <w:b/>
              </w:rPr>
            </w:pPr>
          </w:p>
        </w:tc>
        <w:tc>
          <w:tcPr>
            <w:tcW w:w="3402" w:type="dxa"/>
            <w:tcBorders>
              <w:top w:val="single" w:sz="4" w:space="0" w:color="auto"/>
              <w:left w:val="single" w:sz="4" w:space="0" w:color="auto"/>
              <w:bottom w:val="single" w:sz="4" w:space="0" w:color="auto"/>
            </w:tcBorders>
          </w:tcPr>
          <w:p w14:paraId="1DB32C9D" w14:textId="77777777" w:rsidR="00C40CF4" w:rsidRPr="00712B66" w:rsidRDefault="00C40CF4" w:rsidP="00C40CF4">
            <w:pPr>
              <w:spacing w:after="120"/>
              <w:jc w:val="both"/>
            </w:pPr>
          </w:p>
        </w:tc>
      </w:tr>
      <w:tr w:rsidR="00C40CF4" w14:paraId="0522958B" w14:textId="77777777" w:rsidTr="00B227C6">
        <w:tc>
          <w:tcPr>
            <w:tcW w:w="708" w:type="dxa"/>
            <w:tcBorders>
              <w:left w:val="single" w:sz="6" w:space="0" w:color="000000"/>
              <w:bottom w:val="single" w:sz="4" w:space="0" w:color="auto"/>
              <w:right w:val="single" w:sz="6" w:space="0" w:color="000000"/>
            </w:tcBorders>
          </w:tcPr>
          <w:p w14:paraId="3A43F13B" w14:textId="313E1837" w:rsidR="00C40CF4" w:rsidRDefault="00C40CF4" w:rsidP="00C40CF4">
            <w:pPr>
              <w:pStyle w:val="naisc"/>
              <w:spacing w:before="0" w:after="120"/>
              <w:jc w:val="left"/>
            </w:pPr>
            <w:r>
              <w:t>2.</w:t>
            </w:r>
          </w:p>
        </w:tc>
        <w:tc>
          <w:tcPr>
            <w:tcW w:w="2686" w:type="dxa"/>
            <w:tcBorders>
              <w:left w:val="single" w:sz="6" w:space="0" w:color="000000"/>
              <w:bottom w:val="single" w:sz="4" w:space="0" w:color="auto"/>
              <w:right w:val="single" w:sz="6" w:space="0" w:color="000000"/>
            </w:tcBorders>
          </w:tcPr>
          <w:p w14:paraId="5B8A471D" w14:textId="19A00E0B" w:rsidR="00C40CF4" w:rsidRPr="00712B66" w:rsidRDefault="00C40CF4"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3151F8B5" w14:textId="77777777" w:rsidR="00A16938" w:rsidRPr="00A16938" w:rsidRDefault="00A16938" w:rsidP="00A16938">
            <w:pPr>
              <w:pStyle w:val="NormalWeb"/>
              <w:ind w:right="11"/>
              <w:jc w:val="both"/>
              <w:rPr>
                <w:bCs/>
              </w:rPr>
            </w:pPr>
            <w:r w:rsidRPr="00A16938">
              <w:rPr>
                <w:bCs/>
              </w:rPr>
              <w:t xml:space="preserve">1. Noteikumu projekta 1. punkts, ar kuru Ministru kabineta 2017. gada 28. novembra noteikumi Nr. 689 "Medicīnisko ierīču reģistrācijas, atbilstības novērtēšanas, izplatīšanas, ekspluatācijas un tehniskās uzraudzības kārtība" </w:t>
            </w:r>
            <w:r w:rsidRPr="00A16938">
              <w:rPr>
                <w:bCs/>
              </w:rPr>
              <w:lastRenderedPageBreak/>
              <w:t>(turpmāk – noteikumi Nr. 689) papildināti ar 124.</w:t>
            </w:r>
            <w:r w:rsidRPr="00A16938">
              <w:rPr>
                <w:bCs/>
                <w:vertAlign w:val="superscript"/>
              </w:rPr>
              <w:t>1</w:t>
            </w:r>
            <w:r w:rsidRPr="00A16938">
              <w:rPr>
                <w:bCs/>
              </w:rPr>
              <w:t> punktu, 124.</w:t>
            </w:r>
            <w:r w:rsidRPr="00A16938">
              <w:rPr>
                <w:bCs/>
                <w:vertAlign w:val="superscript"/>
              </w:rPr>
              <w:t>2</w:t>
            </w:r>
            <w:r w:rsidRPr="00A16938">
              <w:rPr>
                <w:bCs/>
              </w:rPr>
              <w:t>, 124.</w:t>
            </w:r>
            <w:r w:rsidRPr="00A16938">
              <w:rPr>
                <w:bCs/>
                <w:vertAlign w:val="superscript"/>
              </w:rPr>
              <w:t>3</w:t>
            </w:r>
            <w:r w:rsidRPr="00A16938">
              <w:rPr>
                <w:bCs/>
              </w:rPr>
              <w:t xml:space="preserve"> un 124.</w:t>
            </w:r>
            <w:r w:rsidRPr="00A16938">
              <w:rPr>
                <w:bCs/>
                <w:vertAlign w:val="superscript"/>
              </w:rPr>
              <w:t>4</w:t>
            </w:r>
            <w:r w:rsidRPr="00A16938">
              <w:rPr>
                <w:bCs/>
              </w:rPr>
              <w:t xml:space="preserve"> punktu, paredz, ka Zāļu valsts aģentūra (turpmāk – aģentūra) var izsniegt atļauju laist tirgū vai ieviest atsevišķas medicīniskās ierīces vai </w:t>
            </w:r>
            <w:r w:rsidRPr="00A16938">
              <w:rPr>
                <w:bCs/>
                <w:i/>
              </w:rPr>
              <w:t xml:space="preserve">in vitro </w:t>
            </w:r>
            <w:r w:rsidRPr="00A16938">
              <w:rPr>
                <w:bCs/>
              </w:rPr>
              <w:t xml:space="preserve">diagnostikas medicīniskās ierīces, kurām nav veiktas šajos noteikumos minētās atbilstības novērtēšanas procedūras un kuras nav marķētas ar CE marķējumu, bet kuru izmantošana ir veselības aizsardzības interesēs. Noteikumu projekta anotācijā norādīts, ka gan Padomes 1993. gada 14. jūnija Direktīvas 93/42/EEK par medicīnas ierīcēm (turpmāk – direktīva Nr. 93/42/EEK) 11. panta 13. punkts, gan Eiropas Parlamenta un Padomes 1998. gada 27. oktobra Direktīvas 98/79/EK par medicīnas ierīcēm, ko lieto </w:t>
            </w:r>
            <w:r w:rsidRPr="00A16938">
              <w:rPr>
                <w:bCs/>
                <w:i/>
              </w:rPr>
              <w:t>in vitro</w:t>
            </w:r>
            <w:r w:rsidRPr="00A16938">
              <w:rPr>
                <w:bCs/>
              </w:rPr>
              <w:t xml:space="preserve"> diagnostikā (turpmāk – direktīva Nr. 98/79/EK) 9. panta 12. punkts atļauj laist tirgū vai ieviest atsevišķas medicīniskās ierīces, kurām nav veikta atbilstības novērtēšana, lai noteiktu CE marķējumu, bet kuras lieto veselības aizsardzības interesēs.</w:t>
            </w:r>
          </w:p>
          <w:p w14:paraId="30BEFF29" w14:textId="77777777" w:rsidR="00A16938" w:rsidRPr="00A16938" w:rsidRDefault="00A16938" w:rsidP="00A16938">
            <w:pPr>
              <w:pStyle w:val="NormalWeb"/>
              <w:ind w:right="11"/>
              <w:jc w:val="both"/>
              <w:rPr>
                <w:bCs/>
              </w:rPr>
            </w:pPr>
            <w:r w:rsidRPr="00A16938">
              <w:rPr>
                <w:bCs/>
              </w:rPr>
              <w:t xml:space="preserve">Vēršam uzmanību, ka abas minēto direktīvu normas paredz, ka kompetentās iestādes </w:t>
            </w:r>
            <w:r w:rsidRPr="00A16938">
              <w:rPr>
                <w:bCs/>
                <w:u w:val="single"/>
              </w:rPr>
              <w:t>pēc pienācīgi pamatota lūguma</w:t>
            </w:r>
            <w:r w:rsidRPr="00A16938">
              <w:rPr>
                <w:bCs/>
              </w:rPr>
              <w:t xml:space="preserve"> var atļaut attiecīgās dalībvalsts teritorijā laist tirgū un ieviest tādas individuālas ierīces, attiecībā uz kurām nav veiktas noteiktas atbilstības novērtēšanas procedūras un </w:t>
            </w:r>
            <w:r w:rsidRPr="00A16938">
              <w:rPr>
                <w:bCs/>
                <w:u w:val="single"/>
              </w:rPr>
              <w:t>ko lieto veselības aizsardzības interesēs</w:t>
            </w:r>
            <w:r w:rsidRPr="00A16938">
              <w:rPr>
                <w:bCs/>
              </w:rPr>
              <w:t xml:space="preserve">. Attiecīgi secināms, ka šīs normas paredz izņēmumus no sabiedrības drošības prasībām, kuras garantē medicīnisko ierīču </w:t>
            </w:r>
            <w:r w:rsidRPr="00A16938">
              <w:rPr>
                <w:bCs/>
              </w:rPr>
              <w:lastRenderedPageBreak/>
              <w:t xml:space="preserve">atbilstības novērtēšana, lai noteiktu CE, kas tādējādi būtu jāinterpretē šauri. Arī noteikumu projekta anotācijā minētajās Eiropas Komisijas 2020. gada 3. aprīļa publicētajās vadlīnijās par medicīniskajām ierīcēm, aktīvām implantējamām medicīniskajām ierīcēm un </w:t>
            </w:r>
            <w:r w:rsidRPr="00A16938">
              <w:rPr>
                <w:bCs/>
                <w:i/>
              </w:rPr>
              <w:t>in vitro</w:t>
            </w:r>
            <w:r w:rsidRPr="00A16938">
              <w:rPr>
                <w:bCs/>
              </w:rPr>
              <w:t xml:space="preserve"> diagnostikas ierīcēm Covid-19 kontekstā (</w:t>
            </w:r>
            <w:r w:rsidRPr="00A16938">
              <w:rPr>
                <w:bCs/>
                <w:i/>
                <w:lang w:val="en-GB"/>
              </w:rPr>
              <w:t>Guidance on medical devices, active implantable medical devices and in vitro diagnostic medical devices in the Covid-19 context</w:t>
            </w:r>
            <w:r w:rsidRPr="00A16938">
              <w:rPr>
                <w:bCs/>
              </w:rPr>
              <w:t>) cita starpā norādīts, ka, vērtējot vajadzību atkāpties no atbilstības novērtēšanas procedūrām, dalībvalstu kompetentās iestādes var apsvērt tādus aspektus kā:</w:t>
            </w:r>
          </w:p>
          <w:p w14:paraId="2A4FA5B5" w14:textId="77777777" w:rsidR="00A16938" w:rsidRPr="00A16938" w:rsidRDefault="00A16938" w:rsidP="00A16938">
            <w:pPr>
              <w:pStyle w:val="NormalWeb"/>
              <w:ind w:right="11"/>
              <w:jc w:val="both"/>
              <w:rPr>
                <w:bCs/>
              </w:rPr>
            </w:pPr>
            <w:r w:rsidRPr="00A16938">
              <w:rPr>
                <w:bCs/>
              </w:rPr>
              <w:t>1) cik izšķiroša ir medicīniskās ierīces izmantošana veselības aizsardzības nodrošināšanai;</w:t>
            </w:r>
          </w:p>
          <w:p w14:paraId="4C94D41D" w14:textId="77777777" w:rsidR="00A16938" w:rsidRPr="00A16938" w:rsidRDefault="00A16938" w:rsidP="00A16938">
            <w:pPr>
              <w:pStyle w:val="NormalWeb"/>
              <w:ind w:right="11"/>
              <w:jc w:val="both"/>
              <w:rPr>
                <w:bCs/>
              </w:rPr>
            </w:pPr>
            <w:r w:rsidRPr="00A16938">
              <w:rPr>
                <w:bCs/>
              </w:rPr>
              <w:t>2) piemērotu alternatīvu pieejamība;</w:t>
            </w:r>
          </w:p>
          <w:p w14:paraId="049A41B1" w14:textId="77777777" w:rsidR="00A16938" w:rsidRPr="00A16938" w:rsidRDefault="00A16938" w:rsidP="00A16938">
            <w:pPr>
              <w:pStyle w:val="NormalWeb"/>
              <w:ind w:right="11"/>
              <w:jc w:val="both"/>
              <w:rPr>
                <w:bCs/>
              </w:rPr>
            </w:pPr>
            <w:r w:rsidRPr="00A16938">
              <w:rPr>
                <w:bCs/>
              </w:rPr>
              <w:t>3) dokumenti, kas apliecina atbilstību harmonizētiem standartiem vai citiem specifiskiem tehniskiem risinājumiem, kas nodrošina būtisko prasību izpildi, kas noteiktas direktīvās;</w:t>
            </w:r>
          </w:p>
          <w:p w14:paraId="2CD6DF05" w14:textId="77777777" w:rsidR="00A16938" w:rsidRPr="00A16938" w:rsidRDefault="00A16938" w:rsidP="00A16938">
            <w:pPr>
              <w:pStyle w:val="NormalWeb"/>
              <w:ind w:right="11"/>
              <w:jc w:val="both"/>
              <w:rPr>
                <w:bCs/>
              </w:rPr>
            </w:pPr>
            <w:r w:rsidRPr="00A16938">
              <w:rPr>
                <w:bCs/>
              </w:rPr>
              <w:t>4) ziņojumu par veiktajiem testiem izvērtējums, ko veikušas pilnvarotās personas;</w:t>
            </w:r>
          </w:p>
          <w:p w14:paraId="4A3693BD" w14:textId="77777777" w:rsidR="00A16938" w:rsidRPr="00A16938" w:rsidRDefault="00A16938" w:rsidP="00A16938">
            <w:pPr>
              <w:pStyle w:val="NormalWeb"/>
              <w:ind w:right="11"/>
              <w:jc w:val="both"/>
              <w:rPr>
                <w:bCs/>
              </w:rPr>
            </w:pPr>
            <w:r w:rsidRPr="00A16938">
              <w:rPr>
                <w:bCs/>
              </w:rPr>
              <w:t>5) indikācijas no vigilances un/vai tirgus uzraudzības.</w:t>
            </w:r>
          </w:p>
          <w:p w14:paraId="2ACE9A18" w14:textId="77777777" w:rsidR="00A16938" w:rsidRPr="00A16938" w:rsidRDefault="00A16938" w:rsidP="00A16938">
            <w:pPr>
              <w:pStyle w:val="NormalWeb"/>
              <w:ind w:right="11"/>
              <w:jc w:val="both"/>
              <w:rPr>
                <w:bCs/>
              </w:rPr>
            </w:pPr>
            <w:r w:rsidRPr="00A16938">
              <w:rPr>
                <w:bCs/>
              </w:rPr>
              <w:lastRenderedPageBreak/>
              <w:t>Tāpat no minētajām vadlīnijām izriet, ka attiecīgajām atkāpēm vajadzētu būt ierobežotām laikā un atļaujas termiņam vajadzētu būt noteiktam līdz brīdim, kas nepieciešams, lai ierīci padarītu par atbilstošu normatīvajiem aktiem vai, ja agrāk, - kad var būt sagaidāmas piemērotas alternatīvas vai vairs nepastāvēs kritiskās vajadzības.</w:t>
            </w:r>
          </w:p>
          <w:p w14:paraId="62D705D7" w14:textId="6FA8739D" w:rsidR="00C40CF4" w:rsidRPr="00A16938" w:rsidRDefault="00A16938" w:rsidP="00A16938">
            <w:pPr>
              <w:pStyle w:val="NormalWeb"/>
              <w:ind w:right="11"/>
              <w:jc w:val="both"/>
              <w:rPr>
                <w:bCs/>
              </w:rPr>
            </w:pPr>
            <w:r w:rsidRPr="00A16938">
              <w:rPr>
                <w:bCs/>
              </w:rPr>
              <w:t>Ievērojot minēto, lūdzam sniegt pamatotu skaidrojumu, vai, direktīvas Nr. 93/42/EEK 11. panta 13. punkta un direktīvas Nr. 98/79/EK 9. panta 12. punkta prasību pareizai pārņemšanai, noteikumu projekts nebūtu papildināms ar tā 124.</w:t>
            </w:r>
            <w:r w:rsidRPr="00A16938">
              <w:rPr>
                <w:bCs/>
                <w:vertAlign w:val="superscript"/>
              </w:rPr>
              <w:t>1</w:t>
            </w:r>
            <w:r w:rsidRPr="00A16938">
              <w:rPr>
                <w:bCs/>
              </w:rPr>
              <w:t> punktā paredzētā administratīvā akta – izsniegt atļauju laist tirgū vai ieviest atsevišķas medicīniskās ierīces, kurām nav veikta atbilstības novērtēšana, lai noteiktu CE marķējumu – darbību ierobežojošiem nosacījumiem (piemēram, termiņu, atrunu), kas nodrošinātu to, ka konkrētās atļaujas izsniegšana visos gadījumos ir efektīvs un lietderīgs risinājums, kā arī tiek ievērots samērīguma princips (tai skaitā samērojot veselības aizsardzības intereses ar sabiedrības drošības un citu personu tiesībām)</w:t>
            </w:r>
            <w:r w:rsidRPr="00A16938">
              <w:rPr>
                <w:bCs/>
                <w:vertAlign w:val="superscript"/>
              </w:rPr>
              <w:footnoteReference w:id="1"/>
            </w:r>
            <w:r w:rsidRPr="00A16938">
              <w:rPr>
                <w:bCs/>
              </w:rPr>
              <w:t xml:space="preserve">. Norādām, ka saskaņā ar Administratīvā procesa likuma 68. panta pirmo daļu un trešo daļu, ja piemērojamā tiesību norma paredz administratīvā akta darbību ierobežojoša nosacījuma (piemēram, </w:t>
            </w:r>
            <w:r w:rsidRPr="00A16938">
              <w:rPr>
                <w:bCs/>
              </w:rPr>
              <w:lastRenderedPageBreak/>
              <w:t>termiņa, priekšnoteikuma, uzdevuma, atrunas) iekļaušanu administratīvajā aktā, iestāde to norāda administratīvajā aktā. Savukārt, ja piemērojamā tiesību norma neparedz ierobežojoša nosacījuma iekļaušanu administratīvajā aktā, iestāde to var ietvert, ja pati var lemt par attiecīgā administratīvā akta izdošanu vai tā saturu vai lai panāktu administratīvā akta atbilstību tiesību normām. Aplūkojot noteikumu projektā ietverto regulējumu, pirmšķietami secināms, ka šobrīd noteikumu projekts izslēdz iespēju aģentūrai lemt par atļaujas izsniegšanu ar nosacījumu, jo cita starpā no 124.</w:t>
            </w:r>
            <w:r w:rsidRPr="00A16938">
              <w:rPr>
                <w:bCs/>
                <w:vertAlign w:val="superscript"/>
              </w:rPr>
              <w:t>1</w:t>
            </w:r>
            <w:r w:rsidRPr="00A16938">
              <w:rPr>
                <w:bCs/>
              </w:rPr>
              <w:t xml:space="preserve"> un 124.</w:t>
            </w:r>
            <w:r w:rsidRPr="00A16938">
              <w:rPr>
                <w:bCs/>
                <w:vertAlign w:val="superscript"/>
              </w:rPr>
              <w:t>3</w:t>
            </w:r>
            <w:r w:rsidRPr="00A16938">
              <w:rPr>
                <w:bCs/>
              </w:rPr>
              <w:t> punkta izriet, ka aģentūrai, lemjot par atļaujas izdošanu, nav piešķirta rīcības brīvība. Nepieciešamības gadījumā lūdzam precizēt noteikumu projektu.</w:t>
            </w:r>
          </w:p>
        </w:tc>
        <w:tc>
          <w:tcPr>
            <w:tcW w:w="2126" w:type="dxa"/>
            <w:gridSpan w:val="2"/>
            <w:tcBorders>
              <w:left w:val="single" w:sz="6" w:space="0" w:color="000000"/>
              <w:bottom w:val="single" w:sz="4" w:space="0" w:color="auto"/>
              <w:right w:val="single" w:sz="6" w:space="0" w:color="000000"/>
            </w:tcBorders>
          </w:tcPr>
          <w:p w14:paraId="6E07EEEE" w14:textId="2C47729F" w:rsidR="00C40CF4" w:rsidRPr="000F2645" w:rsidRDefault="00C40CF4" w:rsidP="0070343D">
            <w:pPr>
              <w:spacing w:after="120"/>
              <w:jc w:val="center"/>
              <w:rPr>
                <w:b/>
              </w:rPr>
            </w:pPr>
            <w:r>
              <w:rPr>
                <w:b/>
              </w:rPr>
              <w:lastRenderedPageBreak/>
              <w:t>Ņemts vērā</w:t>
            </w:r>
          </w:p>
        </w:tc>
        <w:tc>
          <w:tcPr>
            <w:tcW w:w="3402" w:type="dxa"/>
            <w:tcBorders>
              <w:top w:val="single" w:sz="4" w:space="0" w:color="auto"/>
              <w:left w:val="single" w:sz="4" w:space="0" w:color="auto"/>
              <w:bottom w:val="single" w:sz="4" w:space="0" w:color="auto"/>
            </w:tcBorders>
          </w:tcPr>
          <w:p w14:paraId="41661AE5" w14:textId="05E0BFC4" w:rsidR="00C40CF4" w:rsidRPr="00712B66" w:rsidRDefault="00186EAB" w:rsidP="00C40CF4">
            <w:pPr>
              <w:spacing w:after="120"/>
              <w:jc w:val="both"/>
            </w:pPr>
            <w:r w:rsidRPr="00186EAB">
              <w:t>124.</w:t>
            </w:r>
            <w:r w:rsidRPr="00186EAB">
              <w:rPr>
                <w:vertAlign w:val="superscript"/>
              </w:rPr>
              <w:t>1</w:t>
            </w:r>
            <w:r w:rsidRPr="00186EAB">
              <w:t xml:space="preserve"> Aģentūra var izsniegt atļauju laist tirgū vai ieviest atsevišķas medicīniskās ierīces vai </w:t>
            </w:r>
            <w:r w:rsidRPr="00186EAB">
              <w:rPr>
                <w:i/>
              </w:rPr>
              <w:t>in vitro</w:t>
            </w:r>
            <w:r w:rsidRPr="00186EAB">
              <w:t xml:space="preserve"> diagnostikas medicīniskās ierīces, kurām  nav </w:t>
            </w:r>
            <w:r w:rsidRPr="00186EAB">
              <w:lastRenderedPageBreak/>
              <w:t>veiktas šajos noteikumos minētās atbilstības novērtēšanas procedūras un kuras nav marķētas ar CE marķējumu, bet kuru izmantošana ir veselības aizsardzības interesēs</w:t>
            </w:r>
            <w:r w:rsidR="00576BFD">
              <w:t xml:space="preserve">. </w:t>
            </w:r>
            <w:r w:rsidR="00576BFD" w:rsidRPr="00576BFD">
              <w:rPr>
                <w:u w:val="single"/>
              </w:rPr>
              <w:t xml:space="preserve">Atļauju izsniedz uz laiku, kas nepieciešams, lai medicīniskai ierīci vai </w:t>
            </w:r>
            <w:r w:rsidR="00576BFD" w:rsidRPr="00576BFD">
              <w:rPr>
                <w:i/>
                <w:iCs/>
                <w:u w:val="single"/>
              </w:rPr>
              <w:t xml:space="preserve">in vitro </w:t>
            </w:r>
            <w:r w:rsidR="00576BFD" w:rsidRPr="00576BFD">
              <w:rPr>
                <w:u w:val="single"/>
              </w:rPr>
              <w:t>diagnostikas medicīniskai ierīcei veiktu nepieciešamās atbilstības novērtēšanas procedūras un marķētu ar CE marķējumu vai padarītu par atbilstošu normatīvajiem aktiem vai uz laiku, līdz ir pieejama</w:t>
            </w:r>
            <w:r w:rsidR="00BC5E3D">
              <w:rPr>
                <w:u w:val="single"/>
              </w:rPr>
              <w:t>s</w:t>
            </w:r>
            <w:r w:rsidR="00576BFD" w:rsidRPr="00576BFD">
              <w:rPr>
                <w:u w:val="single"/>
              </w:rPr>
              <w:t xml:space="preserve">  alternatīvas vai līdz vairs </w:t>
            </w:r>
            <w:r w:rsidR="00BC5E3D">
              <w:rPr>
                <w:u w:val="single"/>
              </w:rPr>
              <w:t>nepastāv</w:t>
            </w:r>
            <w:r w:rsidR="00576BFD" w:rsidRPr="00576BFD">
              <w:rPr>
                <w:u w:val="single"/>
              </w:rPr>
              <w:t xml:space="preserve"> veselības aizsardzības interese</w:t>
            </w:r>
            <w:r w:rsidR="00BC5E3D">
              <w:rPr>
                <w:u w:val="single"/>
              </w:rPr>
              <w:t>s</w:t>
            </w:r>
            <w:r w:rsidR="00576BFD" w:rsidRPr="00576BFD">
              <w:rPr>
                <w:u w:val="single"/>
              </w:rPr>
              <w:t>.</w:t>
            </w:r>
          </w:p>
        </w:tc>
      </w:tr>
      <w:tr w:rsidR="00793300" w14:paraId="273B1A92" w14:textId="77777777" w:rsidTr="00B227C6">
        <w:tc>
          <w:tcPr>
            <w:tcW w:w="708" w:type="dxa"/>
            <w:tcBorders>
              <w:left w:val="single" w:sz="6" w:space="0" w:color="000000"/>
              <w:bottom w:val="single" w:sz="4" w:space="0" w:color="auto"/>
              <w:right w:val="single" w:sz="6" w:space="0" w:color="000000"/>
            </w:tcBorders>
          </w:tcPr>
          <w:p w14:paraId="0C70C256" w14:textId="26804223" w:rsidR="00793300" w:rsidRDefault="00793300" w:rsidP="00C40CF4">
            <w:pPr>
              <w:pStyle w:val="naisc"/>
              <w:spacing w:before="0" w:after="120"/>
              <w:jc w:val="left"/>
            </w:pPr>
            <w:r>
              <w:lastRenderedPageBreak/>
              <w:t>3.</w:t>
            </w:r>
          </w:p>
        </w:tc>
        <w:tc>
          <w:tcPr>
            <w:tcW w:w="2686" w:type="dxa"/>
            <w:tcBorders>
              <w:left w:val="single" w:sz="6" w:space="0" w:color="000000"/>
              <w:bottom w:val="single" w:sz="4" w:space="0" w:color="auto"/>
              <w:right w:val="single" w:sz="6" w:space="0" w:color="000000"/>
            </w:tcBorders>
          </w:tcPr>
          <w:p w14:paraId="5CDC27CB" w14:textId="77777777" w:rsidR="00793300" w:rsidRPr="00712B66" w:rsidRDefault="00793300"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2BC87EF7" w14:textId="77777777" w:rsidR="00186EAB" w:rsidRPr="00186EAB" w:rsidRDefault="00186EAB" w:rsidP="00186EAB">
            <w:pPr>
              <w:pStyle w:val="NormalWeb"/>
              <w:ind w:right="11"/>
              <w:jc w:val="both"/>
              <w:rPr>
                <w:bCs/>
              </w:rPr>
            </w:pPr>
            <w:r w:rsidRPr="00186EAB">
              <w:rPr>
                <w:bCs/>
              </w:rPr>
              <w:t>2. Saskaņā ar noteikumu Nr. 689 3. punktu aģentūra noteikumos noteiktajā kārtībā saņem un glabā informāciju par medicīnisko ierīču ražotājiem, kuru komercdarbības vieta ir Latvijas Republikā, un to ražotajām medicīniskajām ierīcēm, izsniedz atļaujas ar CE marķējumu nemarķētu speciāli piegādātu medicīnisko ierīču</w:t>
            </w:r>
            <w:r w:rsidRPr="00186EAB">
              <w:rPr>
                <w:bCs/>
                <w:u w:val="single"/>
              </w:rPr>
              <w:t xml:space="preserve"> iegādei</w:t>
            </w:r>
            <w:r w:rsidRPr="00186EAB">
              <w:rPr>
                <w:bCs/>
              </w:rPr>
              <w:t xml:space="preserve">, saņem, izskata un glabā </w:t>
            </w:r>
            <w:r w:rsidRPr="00186EAB">
              <w:rPr>
                <w:bCs/>
                <w:u w:val="single"/>
              </w:rPr>
              <w:t>medicīnisko ierīču paziņošanas procedūrā</w:t>
            </w:r>
            <w:r w:rsidRPr="00186EAB">
              <w:rPr>
                <w:bCs/>
              </w:rPr>
              <w:t xml:space="preserve"> saņemto informāciju un veic medicīnisko ierīču vigilanci. Noteikumu Nr. 689 8. nodaļa paredz kārtību, kādā aģentūra izsniedz atļauju tādas medicīniskās ierīces</w:t>
            </w:r>
            <w:r w:rsidRPr="00186EAB">
              <w:rPr>
                <w:bCs/>
                <w:u w:val="single"/>
              </w:rPr>
              <w:t xml:space="preserve"> iegādei</w:t>
            </w:r>
            <w:r w:rsidRPr="00186EAB">
              <w:rPr>
                <w:bCs/>
              </w:rPr>
              <w:t xml:space="preserve">, kurai nav CE marķējuma. Savukārt 2. nodaļa paredz medicīnisko ierīču </w:t>
            </w:r>
            <w:r w:rsidRPr="00186EAB">
              <w:rPr>
                <w:bCs/>
                <w:u w:val="single"/>
              </w:rPr>
              <w:t>laišanas tirgū</w:t>
            </w:r>
            <w:r w:rsidRPr="00186EAB">
              <w:rPr>
                <w:bCs/>
              </w:rPr>
              <w:t xml:space="preserve"> paziņošanas procedūru. No minētā izriet, ka noteikumi paredz, ka par medicīnisko </w:t>
            </w:r>
            <w:r w:rsidRPr="00186EAB">
              <w:rPr>
                <w:bCs/>
              </w:rPr>
              <w:lastRenderedPageBreak/>
              <w:t xml:space="preserve">ierīču </w:t>
            </w:r>
            <w:r w:rsidRPr="00186EAB">
              <w:rPr>
                <w:bCs/>
                <w:u w:val="single"/>
              </w:rPr>
              <w:t>laišanu tirgū tiek paziņots</w:t>
            </w:r>
            <w:r w:rsidRPr="00186EAB">
              <w:rPr>
                <w:bCs/>
              </w:rPr>
              <w:t xml:space="preserve">, savukārt tādu medicīnisko ierīču </w:t>
            </w:r>
            <w:r w:rsidRPr="00186EAB">
              <w:rPr>
                <w:bCs/>
                <w:u w:val="single"/>
              </w:rPr>
              <w:t>iegādei, kurām nav CE marķējuma, ir jāsaņem atļauja</w:t>
            </w:r>
            <w:r w:rsidRPr="00186EAB">
              <w:rPr>
                <w:bCs/>
              </w:rPr>
              <w:t>.</w:t>
            </w:r>
          </w:p>
          <w:p w14:paraId="45BBA212" w14:textId="77777777" w:rsidR="00186EAB" w:rsidRPr="00186EAB" w:rsidRDefault="00186EAB" w:rsidP="00186EAB">
            <w:pPr>
              <w:pStyle w:val="NormalWeb"/>
              <w:ind w:right="11"/>
              <w:jc w:val="both"/>
              <w:rPr>
                <w:bCs/>
              </w:rPr>
            </w:pPr>
            <w:r w:rsidRPr="00186EAB">
              <w:rPr>
                <w:bCs/>
              </w:rPr>
              <w:t>Saistībā ar minēto norādām, ka noteikumu projekta 1. punktā ietvertais noteikumu Nr. 689 124.</w:t>
            </w:r>
            <w:r w:rsidRPr="00186EAB">
              <w:rPr>
                <w:bCs/>
                <w:vertAlign w:val="superscript"/>
              </w:rPr>
              <w:t>1</w:t>
            </w:r>
            <w:r w:rsidRPr="00186EAB">
              <w:rPr>
                <w:bCs/>
              </w:rPr>
              <w:t xml:space="preserve"> punkts paredz, ka aģentūra </w:t>
            </w:r>
            <w:r w:rsidRPr="00186EAB">
              <w:rPr>
                <w:bCs/>
                <w:u w:val="single"/>
              </w:rPr>
              <w:t>izsniedz atļauju laist tirgū vai ieviest</w:t>
            </w:r>
            <w:r w:rsidRPr="00186EAB">
              <w:rPr>
                <w:bCs/>
              </w:rPr>
              <w:t xml:space="preserve"> atsevišķas medicīniskās ierīces vai </w:t>
            </w:r>
            <w:r w:rsidRPr="00186EAB">
              <w:rPr>
                <w:bCs/>
                <w:i/>
              </w:rPr>
              <w:t>in vitro</w:t>
            </w:r>
            <w:r w:rsidRPr="00186EAB">
              <w:rPr>
                <w:bCs/>
              </w:rPr>
              <w:t xml:space="preserve"> diagnostikas medicīniskās ierīces, kurām nav veiktas noteikumos minētās atbilstības novērtēšanas procedūras un kuras nav marķētas ar CE marķējumu, bet kuru izmantošana ir veselības aizsardzības interesēs. Attiecīgi nav skaidra noteikumu projektā ietvertā regulējuma vieta noteikumos Nr. 689. Līdz ar to noteikumu projektā ietvertā regulējuma korektai iekļaušanai noteikumos Nr. 689 ir nepieciešami vairāki noteikumu Nr. 689 grozījumi:</w:t>
            </w:r>
          </w:p>
          <w:p w14:paraId="4A456C4C" w14:textId="77777777" w:rsidR="00186EAB" w:rsidRPr="00186EAB" w:rsidRDefault="00186EAB" w:rsidP="00186EAB">
            <w:pPr>
              <w:pStyle w:val="NormalWeb"/>
              <w:ind w:right="11"/>
              <w:jc w:val="both"/>
              <w:rPr>
                <w:bCs/>
              </w:rPr>
            </w:pPr>
            <w:r w:rsidRPr="00186EAB">
              <w:rPr>
                <w:bCs/>
              </w:rPr>
              <w:t>pirmkārt, ja aģentūrai tiek noteikta jauna kompetence, ir papildināms noteikumu Nr. 689 3. punkts;</w:t>
            </w:r>
          </w:p>
          <w:p w14:paraId="64587EB1" w14:textId="77777777" w:rsidR="00186EAB" w:rsidRPr="00186EAB" w:rsidRDefault="00186EAB" w:rsidP="00186EAB">
            <w:pPr>
              <w:pStyle w:val="NormalWeb"/>
              <w:ind w:right="11"/>
              <w:jc w:val="both"/>
              <w:rPr>
                <w:bCs/>
              </w:rPr>
            </w:pPr>
            <w:r w:rsidRPr="00186EAB">
              <w:rPr>
                <w:bCs/>
              </w:rPr>
              <w:t>otrkārt, ja medicīnisko ierīču, kurām nav veiktas noteikumos minētās atbilstības novērtēšanas procedūras un kuras nav marķētas ar CE marķējumu, laišanai tirgū un ieviešanai nepieciešama aģentūras atļauja un tiek papildināta noteikumu 8. nodaļa, ir grozāms noteikumu Nr. 689 8. nodaļas nosaukums;</w:t>
            </w:r>
          </w:p>
          <w:p w14:paraId="32013966" w14:textId="77777777" w:rsidR="00186EAB" w:rsidRPr="00186EAB" w:rsidRDefault="00186EAB" w:rsidP="00186EAB">
            <w:pPr>
              <w:pStyle w:val="NormalWeb"/>
              <w:ind w:right="11"/>
              <w:jc w:val="both"/>
              <w:rPr>
                <w:bCs/>
              </w:rPr>
            </w:pPr>
            <w:r w:rsidRPr="00186EAB">
              <w:rPr>
                <w:bCs/>
              </w:rPr>
              <w:t xml:space="preserve">treškārt, ņemot vērā to, ka medicīnisko ierīču laišanai tirgū ir nepieciešams veikt paziņošanas </w:t>
            </w:r>
            <w:r w:rsidRPr="00186EAB">
              <w:rPr>
                <w:bCs/>
              </w:rPr>
              <w:lastRenderedPageBreak/>
              <w:t>procedūru, ir jāizvērtē, kāds regulējums jāietver noteikumu Nr. 689 2. nodaļā.</w:t>
            </w:r>
          </w:p>
          <w:p w14:paraId="04EF8CB0" w14:textId="3117AAF0" w:rsidR="00793300" w:rsidRPr="00186EAB" w:rsidRDefault="00186EAB" w:rsidP="00576BFD">
            <w:pPr>
              <w:pStyle w:val="NormalWeb"/>
              <w:ind w:right="11"/>
              <w:jc w:val="both"/>
              <w:rPr>
                <w:bCs/>
              </w:rPr>
            </w:pPr>
            <w:r w:rsidRPr="00186EAB">
              <w:rPr>
                <w:bCs/>
              </w:rPr>
              <w:t>Ņemot vērā minēto, lūdzam izvērtēt un papildināt noteikumu projektu ar attiecīgu regulējumu.</w:t>
            </w:r>
          </w:p>
        </w:tc>
        <w:tc>
          <w:tcPr>
            <w:tcW w:w="2126" w:type="dxa"/>
            <w:gridSpan w:val="2"/>
            <w:tcBorders>
              <w:left w:val="single" w:sz="6" w:space="0" w:color="000000"/>
              <w:bottom w:val="single" w:sz="4" w:space="0" w:color="auto"/>
              <w:right w:val="single" w:sz="6" w:space="0" w:color="000000"/>
            </w:tcBorders>
          </w:tcPr>
          <w:p w14:paraId="199BE58F" w14:textId="77777777" w:rsidR="00576BFD" w:rsidRDefault="00186EAB" w:rsidP="00576BFD">
            <w:pPr>
              <w:spacing w:after="120"/>
              <w:jc w:val="center"/>
              <w:rPr>
                <w:b/>
              </w:rPr>
            </w:pPr>
            <w:r w:rsidRPr="00280474">
              <w:rPr>
                <w:b/>
              </w:rPr>
              <w:lastRenderedPageBreak/>
              <w:t>Ņemts vērā</w:t>
            </w:r>
          </w:p>
          <w:p w14:paraId="74F4EBAA" w14:textId="73D0ECC1" w:rsidR="00576BFD" w:rsidRPr="00576BFD" w:rsidRDefault="00576BFD" w:rsidP="00576BFD">
            <w:pPr>
              <w:spacing w:after="120"/>
              <w:jc w:val="both"/>
              <w:rPr>
                <w:bCs/>
              </w:rPr>
            </w:pPr>
            <w:r>
              <w:rPr>
                <w:bCs/>
              </w:rPr>
              <w:t>Grozījumi noteikumu 2.nodaļā nav nepieciešami, jo tajā tiek runāts par paziņošanas procedūru CE marķētām medicīniskām ierīcēm.</w:t>
            </w:r>
          </w:p>
        </w:tc>
        <w:tc>
          <w:tcPr>
            <w:tcW w:w="3402" w:type="dxa"/>
            <w:tcBorders>
              <w:top w:val="single" w:sz="4" w:space="0" w:color="auto"/>
              <w:left w:val="single" w:sz="4" w:space="0" w:color="auto"/>
              <w:bottom w:val="single" w:sz="4" w:space="0" w:color="auto"/>
            </w:tcBorders>
          </w:tcPr>
          <w:p w14:paraId="6668078B" w14:textId="0AB89CF5" w:rsidR="00280474" w:rsidRPr="00280474" w:rsidRDefault="00280474" w:rsidP="00280474">
            <w:pPr>
              <w:spacing w:after="120"/>
              <w:jc w:val="both"/>
              <w:rPr>
                <w:u w:val="single"/>
              </w:rPr>
            </w:pPr>
            <w:r w:rsidRPr="00280474">
              <w:rPr>
                <w:u w:val="single"/>
              </w:rPr>
              <w:t>1. Papildināt noteikumu 3.punktu aiz vārdiem “veic medicīnisko ierīču vigilanci” ar vārdiem “</w:t>
            </w:r>
            <w:proofErr w:type="spellStart"/>
            <w:r w:rsidRPr="00280474">
              <w:rPr>
                <w:u w:val="single"/>
                <w:lang w:val="en-US"/>
              </w:rPr>
              <w:t>kā</w:t>
            </w:r>
            <w:proofErr w:type="spellEnd"/>
            <w:r w:rsidRPr="00280474">
              <w:rPr>
                <w:u w:val="single"/>
                <w:lang w:val="en-US"/>
              </w:rPr>
              <w:t xml:space="preserve"> </w:t>
            </w:r>
            <w:proofErr w:type="spellStart"/>
            <w:r w:rsidRPr="00280474">
              <w:rPr>
                <w:u w:val="single"/>
                <w:lang w:val="en-US"/>
              </w:rPr>
              <w:t>arī</w:t>
            </w:r>
            <w:proofErr w:type="spellEnd"/>
            <w:r w:rsidRPr="00280474">
              <w:rPr>
                <w:u w:val="single"/>
                <w:lang w:val="en-US"/>
              </w:rPr>
              <w:t xml:space="preserve"> </w:t>
            </w:r>
            <w:proofErr w:type="spellStart"/>
            <w:r w:rsidRPr="00280474">
              <w:rPr>
                <w:u w:val="single"/>
                <w:lang w:val="en-US"/>
              </w:rPr>
              <w:t>izsniedz</w:t>
            </w:r>
            <w:proofErr w:type="spellEnd"/>
            <w:r w:rsidRPr="00280474">
              <w:rPr>
                <w:u w:val="single"/>
                <w:lang w:val="en-US"/>
              </w:rPr>
              <w:t xml:space="preserve"> </w:t>
            </w:r>
            <w:proofErr w:type="spellStart"/>
            <w:r w:rsidRPr="00280474">
              <w:rPr>
                <w:u w:val="single"/>
                <w:lang w:val="en-US"/>
              </w:rPr>
              <w:t>atļauju</w:t>
            </w:r>
            <w:proofErr w:type="spellEnd"/>
            <w:r w:rsidRPr="00280474">
              <w:rPr>
                <w:u w:val="single"/>
                <w:lang w:val="en-US"/>
              </w:rPr>
              <w:t xml:space="preserve"> </w:t>
            </w:r>
            <w:proofErr w:type="spellStart"/>
            <w:r w:rsidRPr="00280474">
              <w:rPr>
                <w:u w:val="single"/>
                <w:lang w:val="en-US"/>
              </w:rPr>
              <w:t>laist</w:t>
            </w:r>
            <w:proofErr w:type="spellEnd"/>
            <w:r w:rsidRPr="00280474">
              <w:rPr>
                <w:u w:val="single"/>
                <w:lang w:val="en-US"/>
              </w:rPr>
              <w:t xml:space="preserve"> tirgū vai </w:t>
            </w:r>
            <w:proofErr w:type="spellStart"/>
            <w:r w:rsidRPr="00280474">
              <w:rPr>
                <w:u w:val="single"/>
                <w:lang w:val="en-US"/>
              </w:rPr>
              <w:t>ieviest</w:t>
            </w:r>
            <w:proofErr w:type="spellEnd"/>
            <w:r w:rsidRPr="00280474">
              <w:rPr>
                <w:u w:val="single"/>
                <w:lang w:val="en-US"/>
              </w:rPr>
              <w:t xml:space="preserve"> </w:t>
            </w:r>
            <w:proofErr w:type="spellStart"/>
            <w:r w:rsidRPr="00280474">
              <w:rPr>
                <w:u w:val="single"/>
                <w:lang w:val="en-US"/>
              </w:rPr>
              <w:t>atsevišķas</w:t>
            </w:r>
            <w:proofErr w:type="spellEnd"/>
            <w:r w:rsidRPr="00280474">
              <w:rPr>
                <w:u w:val="single"/>
                <w:lang w:val="en-US"/>
              </w:rPr>
              <w:t xml:space="preserve"> medicīniskās ierīces vai </w:t>
            </w:r>
            <w:r w:rsidRPr="00280474">
              <w:rPr>
                <w:i/>
                <w:u w:val="single"/>
                <w:lang w:val="en-US"/>
              </w:rPr>
              <w:t>in vitro</w:t>
            </w:r>
            <w:r w:rsidRPr="00280474">
              <w:rPr>
                <w:u w:val="single"/>
                <w:lang w:val="en-US"/>
              </w:rPr>
              <w:t xml:space="preserve"> diagnostikas medicīniskās ierīces, </w:t>
            </w:r>
            <w:proofErr w:type="spellStart"/>
            <w:r w:rsidRPr="00280474">
              <w:rPr>
                <w:u w:val="single"/>
                <w:lang w:val="en-US"/>
              </w:rPr>
              <w:t>kurām</w:t>
            </w:r>
            <w:proofErr w:type="spellEnd"/>
            <w:r w:rsidRPr="00280474">
              <w:rPr>
                <w:u w:val="single"/>
                <w:lang w:val="en-US"/>
              </w:rPr>
              <w:t xml:space="preserve"> nav veiktas </w:t>
            </w:r>
            <w:proofErr w:type="spellStart"/>
            <w:r w:rsidRPr="00280474">
              <w:rPr>
                <w:u w:val="single"/>
                <w:lang w:val="en-US"/>
              </w:rPr>
              <w:t>noteikumos</w:t>
            </w:r>
            <w:proofErr w:type="spellEnd"/>
            <w:r w:rsidRPr="00280474">
              <w:rPr>
                <w:u w:val="single"/>
                <w:lang w:val="en-US"/>
              </w:rPr>
              <w:t xml:space="preserve"> minētās </w:t>
            </w:r>
            <w:proofErr w:type="spellStart"/>
            <w:r w:rsidRPr="00280474">
              <w:rPr>
                <w:u w:val="single"/>
                <w:lang w:val="en-US"/>
              </w:rPr>
              <w:t>atbilstības</w:t>
            </w:r>
            <w:proofErr w:type="spellEnd"/>
            <w:r w:rsidRPr="00280474">
              <w:rPr>
                <w:u w:val="single"/>
                <w:lang w:val="en-US"/>
              </w:rPr>
              <w:t xml:space="preserve"> </w:t>
            </w:r>
            <w:proofErr w:type="spellStart"/>
            <w:r w:rsidRPr="00280474">
              <w:rPr>
                <w:u w:val="single"/>
                <w:lang w:val="en-US"/>
              </w:rPr>
              <w:t>novērtēšanas</w:t>
            </w:r>
            <w:proofErr w:type="spellEnd"/>
            <w:r w:rsidRPr="00280474">
              <w:rPr>
                <w:u w:val="single"/>
                <w:lang w:val="en-US"/>
              </w:rPr>
              <w:t xml:space="preserve"> </w:t>
            </w:r>
            <w:proofErr w:type="spellStart"/>
            <w:r w:rsidRPr="00280474">
              <w:rPr>
                <w:u w:val="single"/>
                <w:lang w:val="en-US"/>
              </w:rPr>
              <w:t>procedūras</w:t>
            </w:r>
            <w:proofErr w:type="spellEnd"/>
            <w:r w:rsidRPr="00280474">
              <w:rPr>
                <w:u w:val="single"/>
                <w:lang w:val="en-US"/>
              </w:rPr>
              <w:t xml:space="preserve"> un kuras nav </w:t>
            </w:r>
            <w:proofErr w:type="spellStart"/>
            <w:r w:rsidRPr="00280474">
              <w:rPr>
                <w:u w:val="single"/>
                <w:lang w:val="en-US"/>
              </w:rPr>
              <w:t>marķētas</w:t>
            </w:r>
            <w:proofErr w:type="spellEnd"/>
            <w:r w:rsidRPr="00280474">
              <w:rPr>
                <w:u w:val="single"/>
                <w:lang w:val="en-US"/>
              </w:rPr>
              <w:t xml:space="preserve"> ar CE </w:t>
            </w:r>
            <w:proofErr w:type="spellStart"/>
            <w:r w:rsidRPr="00280474">
              <w:rPr>
                <w:u w:val="single"/>
                <w:lang w:val="en-US"/>
              </w:rPr>
              <w:t>marķējumu</w:t>
            </w:r>
            <w:proofErr w:type="spellEnd"/>
            <w:r w:rsidRPr="00280474">
              <w:rPr>
                <w:u w:val="single"/>
                <w:lang w:val="en-US"/>
              </w:rPr>
              <w:t xml:space="preserve">, bet kuru </w:t>
            </w:r>
            <w:proofErr w:type="spellStart"/>
            <w:r w:rsidRPr="00280474">
              <w:rPr>
                <w:u w:val="single"/>
                <w:lang w:val="en-US"/>
              </w:rPr>
              <w:t>izmantošana</w:t>
            </w:r>
            <w:proofErr w:type="spellEnd"/>
            <w:r w:rsidRPr="00280474">
              <w:rPr>
                <w:u w:val="single"/>
                <w:lang w:val="en-US"/>
              </w:rPr>
              <w:t xml:space="preserve"> ir veselības aizsardzības </w:t>
            </w:r>
            <w:proofErr w:type="spellStart"/>
            <w:r w:rsidRPr="00280474">
              <w:rPr>
                <w:u w:val="single"/>
                <w:lang w:val="en-US"/>
              </w:rPr>
              <w:t>interesē</w:t>
            </w:r>
            <w:r>
              <w:rPr>
                <w:u w:val="single"/>
                <w:lang w:val="en-US"/>
              </w:rPr>
              <w:t>s</w:t>
            </w:r>
            <w:proofErr w:type="spellEnd"/>
            <w:r w:rsidRPr="00280474">
              <w:rPr>
                <w:u w:val="single"/>
                <w:lang w:val="en-US"/>
              </w:rPr>
              <w:t>”.</w:t>
            </w:r>
          </w:p>
          <w:p w14:paraId="3FF64E3E" w14:textId="4F17EC1D" w:rsidR="00280474" w:rsidRPr="00280474" w:rsidRDefault="00280474" w:rsidP="00280474">
            <w:pPr>
              <w:spacing w:after="120"/>
              <w:jc w:val="both"/>
              <w:rPr>
                <w:u w:val="single"/>
              </w:rPr>
            </w:pPr>
            <w:r w:rsidRPr="00280474">
              <w:rPr>
                <w:u w:val="single"/>
              </w:rPr>
              <w:t>2. Izteikt 8.nodaļas nosaukumu šādā redakcijā:</w:t>
            </w:r>
          </w:p>
          <w:p w14:paraId="672465D4" w14:textId="5662D82E" w:rsidR="00280474" w:rsidRPr="00280474" w:rsidRDefault="00280474" w:rsidP="00280474">
            <w:pPr>
              <w:spacing w:after="120"/>
              <w:jc w:val="both"/>
              <w:rPr>
                <w:u w:val="single"/>
              </w:rPr>
            </w:pPr>
            <w:r w:rsidRPr="00280474">
              <w:rPr>
                <w:u w:val="single"/>
              </w:rPr>
              <w:lastRenderedPageBreak/>
              <w:t>“</w:t>
            </w:r>
            <w:r w:rsidRPr="00280474">
              <w:rPr>
                <w:b/>
                <w:bCs/>
                <w:u w:val="single"/>
                <w:lang w:val="en-US"/>
              </w:rPr>
              <w:t>8. </w:t>
            </w:r>
            <w:proofErr w:type="spellStart"/>
            <w:r w:rsidRPr="00280474">
              <w:rPr>
                <w:b/>
                <w:bCs/>
                <w:u w:val="single"/>
                <w:lang w:val="en-US"/>
              </w:rPr>
              <w:t>Atļauju</w:t>
            </w:r>
            <w:proofErr w:type="spellEnd"/>
            <w:r w:rsidRPr="00280474">
              <w:rPr>
                <w:b/>
                <w:bCs/>
                <w:u w:val="single"/>
                <w:lang w:val="en-US"/>
              </w:rPr>
              <w:t xml:space="preserve"> </w:t>
            </w:r>
            <w:proofErr w:type="spellStart"/>
            <w:r w:rsidRPr="00280474">
              <w:rPr>
                <w:b/>
                <w:bCs/>
                <w:u w:val="single"/>
                <w:lang w:val="en-US"/>
              </w:rPr>
              <w:t>izsniegšana</w:t>
            </w:r>
            <w:proofErr w:type="spellEnd"/>
            <w:r w:rsidRPr="00280474">
              <w:rPr>
                <w:b/>
                <w:bCs/>
                <w:u w:val="single"/>
                <w:lang w:val="en-US"/>
              </w:rPr>
              <w:t xml:space="preserve"> </w:t>
            </w:r>
            <w:proofErr w:type="spellStart"/>
            <w:r w:rsidRPr="00280474">
              <w:rPr>
                <w:b/>
                <w:bCs/>
                <w:u w:val="single"/>
                <w:lang w:val="en-US"/>
              </w:rPr>
              <w:t>medicīniska</w:t>
            </w:r>
            <w:r w:rsidR="00576BFD">
              <w:rPr>
                <w:b/>
                <w:bCs/>
                <w:u w:val="single"/>
                <w:lang w:val="en-US"/>
              </w:rPr>
              <w:t>i</w:t>
            </w:r>
            <w:proofErr w:type="spellEnd"/>
            <w:r w:rsidRPr="00280474">
              <w:rPr>
                <w:b/>
                <w:bCs/>
                <w:u w:val="single"/>
                <w:lang w:val="en-US"/>
              </w:rPr>
              <w:t xml:space="preserve"> </w:t>
            </w:r>
            <w:proofErr w:type="spellStart"/>
            <w:r w:rsidRPr="00280474">
              <w:rPr>
                <w:b/>
                <w:bCs/>
                <w:u w:val="single"/>
                <w:lang w:val="en-US"/>
              </w:rPr>
              <w:t>ierīcei</w:t>
            </w:r>
            <w:proofErr w:type="spellEnd"/>
            <w:r w:rsidRPr="00280474">
              <w:rPr>
                <w:b/>
                <w:bCs/>
                <w:u w:val="single"/>
                <w:lang w:val="en-US"/>
              </w:rPr>
              <w:t xml:space="preserve">, </w:t>
            </w:r>
            <w:proofErr w:type="spellStart"/>
            <w:r w:rsidRPr="00280474">
              <w:rPr>
                <w:b/>
                <w:bCs/>
                <w:u w:val="single"/>
                <w:lang w:val="en-US"/>
              </w:rPr>
              <w:t>kurai</w:t>
            </w:r>
            <w:proofErr w:type="spellEnd"/>
            <w:r w:rsidRPr="00280474">
              <w:rPr>
                <w:b/>
                <w:bCs/>
                <w:u w:val="single"/>
                <w:lang w:val="en-US"/>
              </w:rPr>
              <w:t xml:space="preserve"> nav CE </w:t>
            </w:r>
            <w:proofErr w:type="spellStart"/>
            <w:r w:rsidRPr="00280474">
              <w:rPr>
                <w:b/>
                <w:bCs/>
                <w:u w:val="single"/>
                <w:lang w:val="en-US"/>
              </w:rPr>
              <w:t>marķējuma</w:t>
            </w:r>
            <w:proofErr w:type="spellEnd"/>
            <w:r w:rsidRPr="00280474">
              <w:rPr>
                <w:b/>
                <w:bCs/>
                <w:u w:val="single"/>
                <w:lang w:val="en-US"/>
              </w:rPr>
              <w:t>”</w:t>
            </w:r>
          </w:p>
          <w:p w14:paraId="7301CDA5" w14:textId="77777777" w:rsidR="00793300" w:rsidRPr="00712B66" w:rsidRDefault="00793300" w:rsidP="00C40CF4">
            <w:pPr>
              <w:spacing w:after="120"/>
              <w:jc w:val="both"/>
            </w:pPr>
          </w:p>
        </w:tc>
      </w:tr>
      <w:tr w:rsidR="00793300" w14:paraId="64387F9F" w14:textId="77777777" w:rsidTr="00B227C6">
        <w:tc>
          <w:tcPr>
            <w:tcW w:w="708" w:type="dxa"/>
            <w:tcBorders>
              <w:left w:val="single" w:sz="6" w:space="0" w:color="000000"/>
              <w:bottom w:val="single" w:sz="4" w:space="0" w:color="auto"/>
              <w:right w:val="single" w:sz="6" w:space="0" w:color="000000"/>
            </w:tcBorders>
          </w:tcPr>
          <w:p w14:paraId="2C7B70F1" w14:textId="492E6935" w:rsidR="00793300" w:rsidRDefault="00793300" w:rsidP="00C40CF4">
            <w:pPr>
              <w:pStyle w:val="naisc"/>
              <w:spacing w:before="0" w:after="120"/>
              <w:jc w:val="left"/>
            </w:pPr>
            <w:r>
              <w:lastRenderedPageBreak/>
              <w:t>4.</w:t>
            </w:r>
          </w:p>
        </w:tc>
        <w:tc>
          <w:tcPr>
            <w:tcW w:w="2686" w:type="dxa"/>
            <w:tcBorders>
              <w:left w:val="single" w:sz="6" w:space="0" w:color="000000"/>
              <w:bottom w:val="single" w:sz="4" w:space="0" w:color="auto"/>
              <w:right w:val="single" w:sz="6" w:space="0" w:color="000000"/>
            </w:tcBorders>
          </w:tcPr>
          <w:p w14:paraId="219EFD6C" w14:textId="77777777" w:rsidR="00793300" w:rsidRDefault="002945C2" w:rsidP="00C40CF4">
            <w:pPr>
              <w:pStyle w:val="naisc"/>
              <w:spacing w:before="0" w:after="120"/>
              <w:jc w:val="both"/>
              <w:rPr>
                <w:u w:val="single"/>
              </w:rPr>
            </w:pPr>
            <w:r w:rsidRPr="002945C2">
              <w:t>124.</w:t>
            </w:r>
            <w:r w:rsidRPr="002945C2">
              <w:rPr>
                <w:vertAlign w:val="superscript"/>
              </w:rPr>
              <w:t>1</w:t>
            </w:r>
            <w:r w:rsidRPr="002945C2">
              <w:t xml:space="preserve"> Aģentūra var izsniegt atļauju laist tirgū vai ieviest atsevišķas medicīniskās ierīces vai </w:t>
            </w:r>
            <w:r w:rsidRPr="002945C2">
              <w:rPr>
                <w:i/>
              </w:rPr>
              <w:t>in vitro</w:t>
            </w:r>
            <w:r w:rsidRPr="002945C2">
              <w:t xml:space="preserve"> diagnostikas medicīniskās ierīces, kurām  nav veiktas šajos noteikumos minētās atbilstības novērtēšanas procedūras un kuras nav marķētas ar CE marķējumu, bet kuru izmantošana ir veselības aizsardzības interesēs</w:t>
            </w:r>
            <w:r w:rsidRPr="002945C2">
              <w:rPr>
                <w:u w:val="single"/>
              </w:rPr>
              <w:t>.</w:t>
            </w:r>
          </w:p>
          <w:p w14:paraId="47E6D5C1" w14:textId="77777777" w:rsidR="00A16938" w:rsidRDefault="00A16938" w:rsidP="00C40CF4">
            <w:pPr>
              <w:pStyle w:val="naisc"/>
              <w:spacing w:before="0" w:after="120"/>
              <w:jc w:val="both"/>
              <w:rPr>
                <w:u w:val="single"/>
              </w:rPr>
            </w:pPr>
          </w:p>
          <w:p w14:paraId="77DDA784" w14:textId="256D048F" w:rsidR="00A16938" w:rsidRDefault="00A16938" w:rsidP="00C40CF4">
            <w:pPr>
              <w:pStyle w:val="naisc"/>
              <w:spacing w:before="0" w:after="120"/>
              <w:jc w:val="both"/>
              <w:rPr>
                <w:u w:val="single"/>
              </w:rPr>
            </w:pPr>
          </w:p>
          <w:p w14:paraId="62549A85" w14:textId="62B8BF79" w:rsidR="00A16938" w:rsidRDefault="00A16938" w:rsidP="00C40CF4">
            <w:pPr>
              <w:pStyle w:val="naisc"/>
              <w:spacing w:before="0" w:after="120"/>
              <w:jc w:val="both"/>
              <w:rPr>
                <w:u w:val="single"/>
              </w:rPr>
            </w:pPr>
          </w:p>
          <w:p w14:paraId="64967905" w14:textId="7BAD9C84" w:rsidR="00A16938" w:rsidRDefault="00A16938" w:rsidP="00C40CF4">
            <w:pPr>
              <w:pStyle w:val="naisc"/>
              <w:spacing w:before="0" w:after="120"/>
              <w:jc w:val="both"/>
              <w:rPr>
                <w:u w:val="single"/>
              </w:rPr>
            </w:pPr>
          </w:p>
          <w:p w14:paraId="4E5A5CC7" w14:textId="7BA61CA0" w:rsidR="00A16938" w:rsidRDefault="00A16938" w:rsidP="00C40CF4">
            <w:pPr>
              <w:pStyle w:val="naisc"/>
              <w:spacing w:before="0" w:after="120"/>
              <w:jc w:val="both"/>
              <w:rPr>
                <w:u w:val="single"/>
              </w:rPr>
            </w:pPr>
          </w:p>
          <w:p w14:paraId="2EA51A44" w14:textId="0EED6B29" w:rsidR="00A16938" w:rsidRDefault="00A16938" w:rsidP="00C40CF4">
            <w:pPr>
              <w:pStyle w:val="naisc"/>
              <w:spacing w:before="0" w:after="120"/>
              <w:jc w:val="both"/>
              <w:rPr>
                <w:u w:val="single"/>
              </w:rPr>
            </w:pPr>
          </w:p>
          <w:p w14:paraId="4534D02C" w14:textId="1622FE61" w:rsidR="00A16938" w:rsidRDefault="00A16938" w:rsidP="00C40CF4">
            <w:pPr>
              <w:pStyle w:val="naisc"/>
              <w:spacing w:before="0" w:after="120"/>
              <w:jc w:val="both"/>
              <w:rPr>
                <w:u w:val="single"/>
              </w:rPr>
            </w:pPr>
          </w:p>
          <w:p w14:paraId="57859346" w14:textId="3A6FBB92" w:rsidR="00A16938" w:rsidRDefault="00A16938" w:rsidP="00C40CF4">
            <w:pPr>
              <w:pStyle w:val="naisc"/>
              <w:spacing w:before="0" w:after="120"/>
              <w:jc w:val="both"/>
              <w:rPr>
                <w:u w:val="single"/>
              </w:rPr>
            </w:pPr>
          </w:p>
          <w:p w14:paraId="6B7BB364" w14:textId="039DFDFD" w:rsidR="00A16938" w:rsidRDefault="00A16938" w:rsidP="00C40CF4">
            <w:pPr>
              <w:pStyle w:val="naisc"/>
              <w:spacing w:before="0" w:after="120"/>
              <w:jc w:val="both"/>
              <w:rPr>
                <w:u w:val="single"/>
              </w:rPr>
            </w:pPr>
          </w:p>
          <w:p w14:paraId="5F2593B9" w14:textId="3FA0FE9E" w:rsidR="00A16938" w:rsidRDefault="00A16938" w:rsidP="00C40CF4">
            <w:pPr>
              <w:pStyle w:val="naisc"/>
              <w:spacing w:before="0" w:after="120"/>
              <w:jc w:val="both"/>
              <w:rPr>
                <w:u w:val="single"/>
              </w:rPr>
            </w:pPr>
          </w:p>
          <w:p w14:paraId="51D1D112" w14:textId="7F95806E" w:rsidR="00A16938" w:rsidRPr="00A16938" w:rsidRDefault="00A16938" w:rsidP="00A16938">
            <w:pPr>
              <w:pStyle w:val="naisc"/>
              <w:spacing w:after="120"/>
              <w:jc w:val="both"/>
            </w:pPr>
            <w:r w:rsidRPr="00A16938">
              <w:t>124.</w:t>
            </w:r>
            <w:r w:rsidRPr="00A16938">
              <w:rPr>
                <w:vertAlign w:val="superscript"/>
              </w:rPr>
              <w:t>3</w:t>
            </w:r>
            <w:r w:rsidRPr="00A16938">
              <w:t>2. pacientu ārstniecībai tirgū ir brīvi pieejamas alternatīvas medicīniskās ierīces, kas marķētas ar CE marķējumu;</w:t>
            </w:r>
          </w:p>
          <w:p w14:paraId="2C32ABF9" w14:textId="77777777" w:rsidR="00A16938" w:rsidRDefault="00A16938" w:rsidP="00C40CF4">
            <w:pPr>
              <w:pStyle w:val="naisc"/>
              <w:spacing w:before="0" w:after="120"/>
              <w:jc w:val="both"/>
              <w:rPr>
                <w:u w:val="single"/>
              </w:rPr>
            </w:pPr>
          </w:p>
          <w:p w14:paraId="1BE304D5" w14:textId="77777777" w:rsidR="00A16938" w:rsidRDefault="00A16938" w:rsidP="00C40CF4">
            <w:pPr>
              <w:pStyle w:val="naisc"/>
              <w:spacing w:before="0" w:after="120"/>
              <w:jc w:val="both"/>
              <w:rPr>
                <w:u w:val="single"/>
              </w:rPr>
            </w:pPr>
          </w:p>
          <w:p w14:paraId="16EEF761" w14:textId="77777777" w:rsidR="00A16938" w:rsidRDefault="00A16938" w:rsidP="00C40CF4">
            <w:pPr>
              <w:pStyle w:val="naisc"/>
              <w:spacing w:before="0" w:after="120"/>
              <w:jc w:val="both"/>
              <w:rPr>
                <w:u w:val="single"/>
              </w:rPr>
            </w:pPr>
          </w:p>
          <w:p w14:paraId="34FE8404" w14:textId="77777777" w:rsidR="00A16938" w:rsidRDefault="00A16938" w:rsidP="00C40CF4">
            <w:pPr>
              <w:pStyle w:val="naisc"/>
              <w:spacing w:before="0" w:after="120"/>
              <w:jc w:val="both"/>
              <w:rPr>
                <w:u w:val="single"/>
              </w:rPr>
            </w:pPr>
          </w:p>
          <w:p w14:paraId="6D67B924" w14:textId="77777777" w:rsidR="00A16938" w:rsidRDefault="00A16938" w:rsidP="00C40CF4">
            <w:pPr>
              <w:pStyle w:val="naisc"/>
              <w:spacing w:before="0" w:after="120"/>
              <w:jc w:val="both"/>
              <w:rPr>
                <w:u w:val="single"/>
              </w:rPr>
            </w:pPr>
          </w:p>
          <w:p w14:paraId="2903B95C" w14:textId="77777777" w:rsidR="00A16938" w:rsidRDefault="00A16938" w:rsidP="00C40CF4">
            <w:pPr>
              <w:pStyle w:val="naisc"/>
              <w:spacing w:before="0" w:after="120"/>
              <w:jc w:val="both"/>
              <w:rPr>
                <w:u w:val="single"/>
              </w:rPr>
            </w:pPr>
          </w:p>
          <w:p w14:paraId="5E3BA4C4" w14:textId="77777777" w:rsidR="00A16938" w:rsidRDefault="00A16938" w:rsidP="00C40CF4">
            <w:pPr>
              <w:pStyle w:val="naisc"/>
              <w:spacing w:before="0" w:after="120"/>
              <w:jc w:val="both"/>
              <w:rPr>
                <w:u w:val="single"/>
              </w:rPr>
            </w:pPr>
          </w:p>
          <w:p w14:paraId="16A895C9" w14:textId="0EEABC04" w:rsidR="00A16938" w:rsidRPr="00712B66" w:rsidRDefault="00A16938"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44EAFB96" w14:textId="77777777" w:rsidR="002945C2" w:rsidRPr="002945C2" w:rsidRDefault="002945C2" w:rsidP="002945C2">
            <w:pPr>
              <w:pStyle w:val="NormalWeb"/>
              <w:ind w:right="11"/>
              <w:jc w:val="both"/>
              <w:rPr>
                <w:bCs/>
              </w:rPr>
            </w:pPr>
            <w:r w:rsidRPr="002945C2">
              <w:rPr>
                <w:bCs/>
              </w:rPr>
              <w:lastRenderedPageBreak/>
              <w:t>3. Noteikumu projekta 1. punktā ietvertais noteikumu Nr. 689 124.</w:t>
            </w:r>
            <w:r w:rsidRPr="002945C2">
              <w:rPr>
                <w:bCs/>
                <w:vertAlign w:val="superscript"/>
              </w:rPr>
              <w:t>3</w:t>
            </w:r>
            <w:r w:rsidRPr="002945C2">
              <w:rPr>
                <w:bCs/>
              </w:rPr>
              <w:t xml:space="preserve">1. apakšpunkts paredz, ka aģentūra neizsniedz atļauju, ja medicīniskās ierīces izmantošanai </w:t>
            </w:r>
            <w:r w:rsidRPr="002945C2">
              <w:rPr>
                <w:bCs/>
                <w:u w:val="single"/>
              </w:rPr>
              <w:t>nav būtiskas</w:t>
            </w:r>
            <w:r w:rsidRPr="002945C2">
              <w:rPr>
                <w:bCs/>
              </w:rPr>
              <w:t xml:space="preserve"> nozīmes veselības aizsardzības interešu nodrošināšanā. Lai nodrošinātu vienveidīgu minētā apakšpunkta piemērošanu, noteikumu projekta anotācijā nepieciešams skaidrot, kā tiks novērtēts, ka medicīniskās ierīces izmantošanai </w:t>
            </w:r>
            <w:r w:rsidRPr="002945C2">
              <w:rPr>
                <w:bCs/>
                <w:u w:val="single"/>
              </w:rPr>
              <w:t>ir būtiska</w:t>
            </w:r>
            <w:r w:rsidRPr="002945C2">
              <w:rPr>
                <w:bCs/>
              </w:rPr>
              <w:t xml:space="preserve"> nozīme veselības aizsardzības interešu nodrošināšanā.</w:t>
            </w:r>
          </w:p>
          <w:p w14:paraId="05C28030" w14:textId="44294D0F" w:rsidR="002945C2" w:rsidRPr="002945C2" w:rsidRDefault="002945C2" w:rsidP="002945C2">
            <w:pPr>
              <w:pStyle w:val="NormalWeb"/>
              <w:ind w:right="11"/>
              <w:jc w:val="both"/>
              <w:rPr>
                <w:bCs/>
              </w:rPr>
            </w:pPr>
            <w:r w:rsidRPr="002945C2">
              <w:rPr>
                <w:bCs/>
              </w:rPr>
              <w:t>Papildus, ņemot vērā to, ka no noteikumu projekta 1. punktā ietvertā noteikumu 124.</w:t>
            </w:r>
            <w:r w:rsidRPr="002945C2">
              <w:rPr>
                <w:bCs/>
                <w:vertAlign w:val="superscript"/>
              </w:rPr>
              <w:t>3</w:t>
            </w:r>
            <w:r w:rsidRPr="002945C2">
              <w:rPr>
                <w:bCs/>
              </w:rPr>
              <w:t xml:space="preserve">1. apakšpunkta izriet, ka atļauju izsniedz tad, ja medicīniskās ierīces izmantošanai </w:t>
            </w:r>
            <w:r w:rsidRPr="002945C2">
              <w:rPr>
                <w:bCs/>
                <w:u w:val="single"/>
              </w:rPr>
              <w:t>ir būtiska</w:t>
            </w:r>
            <w:r w:rsidRPr="002945C2">
              <w:rPr>
                <w:bCs/>
              </w:rPr>
              <w:t xml:space="preserve"> nozīme veselības aizsardzības interešu nodrošināšanā, ir nepieciešams attiecīgu norādi ietvert arī noteikumu projekta 1. punktā ietvertajā noteikumu 124.</w:t>
            </w:r>
            <w:r w:rsidRPr="002945C2">
              <w:rPr>
                <w:bCs/>
                <w:vertAlign w:val="superscript"/>
              </w:rPr>
              <w:t>1</w:t>
            </w:r>
            <w:r w:rsidRPr="002945C2">
              <w:rPr>
                <w:bCs/>
              </w:rPr>
              <w:t> punktā. Vēršam uzmanību, ka attiecīgās norādes ietveršanai noteikumu projekta 124.</w:t>
            </w:r>
            <w:r w:rsidRPr="002945C2">
              <w:rPr>
                <w:bCs/>
                <w:vertAlign w:val="superscript"/>
              </w:rPr>
              <w:t>1</w:t>
            </w:r>
            <w:r w:rsidRPr="002945C2">
              <w:rPr>
                <w:bCs/>
              </w:rPr>
              <w:t xml:space="preserve"> punktā ir nozīmīga, ņemot vērā arī to, ka, izņēmums no atbilstības novērtēšanas procedūras būtu piemērojams vienīgi šauros izņēmuma gadījumos, bet formulējums – veselības aizsardzības intereses –, kas ir salīdzinoši plašs, </w:t>
            </w:r>
            <w:r w:rsidRPr="002945C2">
              <w:rPr>
                <w:bCs/>
              </w:rPr>
              <w:lastRenderedPageBreak/>
              <w:t>iespējams, nenodrošina, ka atļauja tiks piemērota vienīgi šādos gadījumos. 120</w:t>
            </w:r>
            <w:r w:rsidRPr="002945C2">
              <w:rPr>
                <w:bCs/>
                <w:vertAlign w:val="superscript"/>
              </w:rPr>
              <w:t>4</w:t>
            </w:r>
            <w:r w:rsidRPr="002945C2">
              <w:rPr>
                <w:bCs/>
              </w:rPr>
              <w:t xml:space="preserve">.4. </w:t>
            </w:r>
          </w:p>
          <w:p w14:paraId="5C86F764" w14:textId="33405797" w:rsidR="00793300" w:rsidRPr="002945C2" w:rsidRDefault="002945C2" w:rsidP="002945C2">
            <w:pPr>
              <w:pStyle w:val="NormalWeb"/>
              <w:ind w:right="11"/>
              <w:jc w:val="both"/>
              <w:rPr>
                <w:bCs/>
              </w:rPr>
            </w:pPr>
            <w:r w:rsidRPr="002945C2">
              <w:rPr>
                <w:bCs/>
              </w:rPr>
              <w:t>Tāpat līdzīgi noteikumu projekta 1. punktā izteiktais noteikumu Nr. 689 124.</w:t>
            </w:r>
            <w:r w:rsidRPr="002945C2">
              <w:rPr>
                <w:bCs/>
                <w:vertAlign w:val="superscript"/>
              </w:rPr>
              <w:t>2</w:t>
            </w:r>
            <w:r w:rsidRPr="002945C2">
              <w:rPr>
                <w:bCs/>
              </w:rPr>
              <w:t>7. apakšpunkts paredz iesniegumā atļaujas saņemšanai iekļaut apliecinājumu, ka pacientu ārstniecībai nav pieejama alternatīva medicīniskā ierīce, kas marķēta ar CE marķējumu. Savukārt noteikumu projekta 1. punktā izteiktais noteikumu Nr. 689 124.</w:t>
            </w:r>
            <w:r w:rsidRPr="002945C2">
              <w:rPr>
                <w:bCs/>
                <w:vertAlign w:val="superscript"/>
              </w:rPr>
              <w:t>3</w:t>
            </w:r>
            <w:r w:rsidRPr="002945C2">
              <w:rPr>
                <w:bCs/>
              </w:rPr>
              <w:t xml:space="preserve">2. apakšpunkts paredz, ka aģentūra neizsniedz atļauju, cita starpā ja pacientu ārstniecībai ir brīvi pieejamas alternatīvas medicīniskās ierīces, kas marķētas ar CE marķējumu. Lai nodrošinātu vienveidīgu minēto apakšpunktu piemērošanu, lūdzam šos apakšpunktus savstarpēji salāgot un noteikumu projekta anotācijā sniegt skaidrojumu, kas ir uzskatāmas par </w:t>
            </w:r>
            <w:r w:rsidRPr="002945C2">
              <w:rPr>
                <w:bCs/>
                <w:u w:val="single"/>
              </w:rPr>
              <w:t>brīvi</w:t>
            </w:r>
            <w:r w:rsidRPr="002945C2">
              <w:rPr>
                <w:bCs/>
              </w:rPr>
              <w:t xml:space="preserve"> pieejamām alternatīvām, jo šis kritērijs ir subjektīvs un nav saprotams, kā tas tiks vērtēts.</w:t>
            </w:r>
          </w:p>
        </w:tc>
        <w:tc>
          <w:tcPr>
            <w:tcW w:w="2126" w:type="dxa"/>
            <w:gridSpan w:val="2"/>
            <w:tcBorders>
              <w:left w:val="single" w:sz="6" w:space="0" w:color="000000"/>
              <w:bottom w:val="single" w:sz="4" w:space="0" w:color="auto"/>
              <w:right w:val="single" w:sz="6" w:space="0" w:color="000000"/>
            </w:tcBorders>
          </w:tcPr>
          <w:p w14:paraId="40CD9A15" w14:textId="767DB644" w:rsidR="00793300" w:rsidRDefault="002945C2" w:rsidP="0070343D">
            <w:pPr>
              <w:spacing w:after="120"/>
              <w:jc w:val="center"/>
              <w:rPr>
                <w:b/>
              </w:rPr>
            </w:pPr>
            <w:r w:rsidRPr="002945C2">
              <w:rPr>
                <w:b/>
              </w:rPr>
              <w:lastRenderedPageBreak/>
              <w:t>Ņemts vērā</w:t>
            </w:r>
          </w:p>
        </w:tc>
        <w:tc>
          <w:tcPr>
            <w:tcW w:w="3402" w:type="dxa"/>
            <w:tcBorders>
              <w:top w:val="single" w:sz="4" w:space="0" w:color="auto"/>
              <w:left w:val="single" w:sz="4" w:space="0" w:color="auto"/>
              <w:bottom w:val="single" w:sz="4" w:space="0" w:color="auto"/>
            </w:tcBorders>
          </w:tcPr>
          <w:p w14:paraId="71AD0869" w14:textId="1A2975AE" w:rsidR="00793300" w:rsidRDefault="002945C2" w:rsidP="00C40CF4">
            <w:pPr>
              <w:spacing w:after="120"/>
              <w:jc w:val="both"/>
              <w:rPr>
                <w:u w:val="single"/>
              </w:rPr>
            </w:pPr>
            <w:r w:rsidRPr="002945C2">
              <w:t>124.</w:t>
            </w:r>
            <w:r w:rsidRPr="002945C2">
              <w:rPr>
                <w:vertAlign w:val="superscript"/>
              </w:rPr>
              <w:t>1</w:t>
            </w:r>
            <w:r w:rsidRPr="002945C2">
              <w:t xml:space="preserve"> Aģentūra var izsniegt atļauju laist tirgū vai ieviest atsevišķas medicīniskās ierīces vai </w:t>
            </w:r>
            <w:r w:rsidRPr="002945C2">
              <w:rPr>
                <w:i/>
              </w:rPr>
              <w:t>in vitro</w:t>
            </w:r>
            <w:r w:rsidRPr="002945C2">
              <w:t xml:space="preserve"> diagnostikas medicīniskās ierīces, kurām  nav veiktas šajos noteikumos minētās atbilstības novērtēšanas procedūras un kuras nav marķētas ar CE marķējumu, bet kuru izmantošana ir veselības aizsardzības interesēs</w:t>
            </w:r>
            <w:r w:rsidR="00576BFD">
              <w:t>.</w:t>
            </w:r>
          </w:p>
          <w:p w14:paraId="3D8A3368" w14:textId="77777777" w:rsidR="00A16938" w:rsidRDefault="00A16938" w:rsidP="00C40CF4">
            <w:pPr>
              <w:spacing w:after="120"/>
              <w:jc w:val="both"/>
            </w:pPr>
          </w:p>
          <w:p w14:paraId="140A98B4" w14:textId="77777777" w:rsidR="00A16938" w:rsidRDefault="00A16938" w:rsidP="00C40CF4">
            <w:pPr>
              <w:spacing w:after="120"/>
              <w:jc w:val="both"/>
            </w:pPr>
          </w:p>
          <w:p w14:paraId="53162568" w14:textId="77777777" w:rsidR="00A16938" w:rsidRDefault="00A16938" w:rsidP="00C40CF4">
            <w:pPr>
              <w:spacing w:after="120"/>
              <w:jc w:val="both"/>
            </w:pPr>
          </w:p>
          <w:p w14:paraId="5D1D0BA4" w14:textId="77777777" w:rsidR="00A16938" w:rsidRDefault="00A16938" w:rsidP="00C40CF4">
            <w:pPr>
              <w:spacing w:after="120"/>
              <w:jc w:val="both"/>
            </w:pPr>
          </w:p>
          <w:p w14:paraId="48A4CCF9" w14:textId="77777777" w:rsidR="00A16938" w:rsidRDefault="00A16938" w:rsidP="00C40CF4">
            <w:pPr>
              <w:spacing w:after="120"/>
              <w:jc w:val="both"/>
            </w:pPr>
          </w:p>
          <w:p w14:paraId="56C720B2" w14:textId="77777777" w:rsidR="00A16938" w:rsidRDefault="00A16938" w:rsidP="00C40CF4">
            <w:pPr>
              <w:spacing w:after="120"/>
              <w:jc w:val="both"/>
            </w:pPr>
          </w:p>
          <w:p w14:paraId="5A71FEE1" w14:textId="77777777" w:rsidR="00A16938" w:rsidRDefault="00A16938" w:rsidP="00C40CF4">
            <w:pPr>
              <w:spacing w:after="120"/>
              <w:jc w:val="both"/>
            </w:pPr>
          </w:p>
          <w:p w14:paraId="15F2B3E7" w14:textId="77777777" w:rsidR="00A16938" w:rsidRDefault="00A16938" w:rsidP="00C40CF4">
            <w:pPr>
              <w:spacing w:after="120"/>
              <w:jc w:val="both"/>
            </w:pPr>
          </w:p>
          <w:p w14:paraId="77E56DE9" w14:textId="77777777" w:rsidR="00A16938" w:rsidRDefault="00A16938" w:rsidP="00C40CF4">
            <w:pPr>
              <w:spacing w:after="120"/>
              <w:jc w:val="both"/>
            </w:pPr>
          </w:p>
          <w:p w14:paraId="71851B36" w14:textId="77777777" w:rsidR="00A16938" w:rsidRDefault="00A16938" w:rsidP="00C40CF4">
            <w:pPr>
              <w:spacing w:after="120"/>
              <w:jc w:val="both"/>
            </w:pPr>
          </w:p>
          <w:p w14:paraId="26B3E72A" w14:textId="77777777" w:rsidR="00576BFD" w:rsidRDefault="00576BFD" w:rsidP="00A16938">
            <w:pPr>
              <w:spacing w:after="120"/>
              <w:jc w:val="both"/>
            </w:pPr>
          </w:p>
          <w:p w14:paraId="53F59BC8" w14:textId="77777777" w:rsidR="00576BFD" w:rsidRDefault="00576BFD" w:rsidP="00A16938">
            <w:pPr>
              <w:spacing w:after="120"/>
              <w:jc w:val="both"/>
            </w:pPr>
          </w:p>
          <w:p w14:paraId="3BA699B6" w14:textId="77777777" w:rsidR="00576BFD" w:rsidRDefault="00576BFD" w:rsidP="00A16938">
            <w:pPr>
              <w:spacing w:after="120"/>
              <w:jc w:val="both"/>
            </w:pPr>
          </w:p>
          <w:p w14:paraId="1A71E39A" w14:textId="1066325B" w:rsidR="00A16938" w:rsidRPr="00A16938" w:rsidRDefault="00A16938" w:rsidP="00A16938">
            <w:pPr>
              <w:spacing w:after="120"/>
              <w:jc w:val="both"/>
            </w:pPr>
            <w:r w:rsidRPr="00A16938">
              <w:t>124.</w:t>
            </w:r>
            <w:r w:rsidRPr="00A16938">
              <w:rPr>
                <w:vertAlign w:val="superscript"/>
              </w:rPr>
              <w:t>3</w:t>
            </w:r>
            <w:r w:rsidRPr="00A16938">
              <w:t xml:space="preserve">2. pacientu ārstniecībai </w:t>
            </w:r>
            <w:r w:rsidRPr="00A16938">
              <w:rPr>
                <w:u w:val="single"/>
              </w:rPr>
              <w:t>tirgū ir pieejamas</w:t>
            </w:r>
            <w:r w:rsidRPr="00A16938">
              <w:t xml:space="preserve"> alternatīvas medicīniskās ierīces, kas marķētas ar CE marķējumu;</w:t>
            </w:r>
          </w:p>
          <w:p w14:paraId="2A9D00E8" w14:textId="37B68E7D" w:rsidR="00A16938" w:rsidRPr="00A16938" w:rsidRDefault="00A16938" w:rsidP="00C40CF4">
            <w:pPr>
              <w:spacing w:after="120"/>
              <w:jc w:val="both"/>
            </w:pPr>
          </w:p>
        </w:tc>
      </w:tr>
      <w:tr w:rsidR="004C77E3" w14:paraId="1BD71CFB" w14:textId="77777777" w:rsidTr="00B227C6">
        <w:tc>
          <w:tcPr>
            <w:tcW w:w="708" w:type="dxa"/>
            <w:tcBorders>
              <w:left w:val="single" w:sz="6" w:space="0" w:color="000000"/>
              <w:bottom w:val="single" w:sz="4" w:space="0" w:color="auto"/>
              <w:right w:val="single" w:sz="6" w:space="0" w:color="000000"/>
            </w:tcBorders>
          </w:tcPr>
          <w:p w14:paraId="21F12A7C" w14:textId="174E1F0D" w:rsidR="004C77E3" w:rsidRDefault="004C77E3" w:rsidP="004C77E3">
            <w:pPr>
              <w:pStyle w:val="naisc"/>
              <w:spacing w:before="0" w:after="120"/>
              <w:jc w:val="left"/>
            </w:pPr>
            <w:r>
              <w:lastRenderedPageBreak/>
              <w:t>5.</w:t>
            </w:r>
          </w:p>
        </w:tc>
        <w:tc>
          <w:tcPr>
            <w:tcW w:w="2686" w:type="dxa"/>
            <w:tcBorders>
              <w:left w:val="single" w:sz="6" w:space="0" w:color="000000"/>
              <w:bottom w:val="single" w:sz="4" w:space="0" w:color="auto"/>
              <w:right w:val="single" w:sz="6" w:space="0" w:color="000000"/>
            </w:tcBorders>
          </w:tcPr>
          <w:p w14:paraId="09920766" w14:textId="65E043B5" w:rsidR="004E26C0" w:rsidRPr="004E26C0" w:rsidRDefault="004E26C0" w:rsidP="004E26C0">
            <w:pPr>
              <w:pStyle w:val="naisc"/>
              <w:spacing w:after="120"/>
              <w:jc w:val="both"/>
            </w:pPr>
            <w:r w:rsidRPr="004E26C0">
              <w:t>124.</w:t>
            </w:r>
            <w:r w:rsidRPr="004E26C0">
              <w:rPr>
                <w:vertAlign w:val="superscript"/>
              </w:rPr>
              <w:t>4</w:t>
            </w:r>
            <w:r w:rsidRPr="004E26C0">
              <w:t xml:space="preserve"> Šo noteikumu 121. punktā minēto atļauju nav nepieciešams saņemt, ja aģentūra ir izsniegusi šo noteikumu 124.</w:t>
            </w:r>
            <w:r w:rsidRPr="004E26C0">
              <w:rPr>
                <w:vertAlign w:val="superscript"/>
              </w:rPr>
              <w:t>1</w:t>
            </w:r>
            <w:r w:rsidRPr="004E26C0">
              <w:t xml:space="preserve"> punktā minēto atļauju.</w:t>
            </w:r>
          </w:p>
          <w:p w14:paraId="3BF7AB31" w14:textId="77777777" w:rsidR="004C77E3" w:rsidRPr="00712B66" w:rsidRDefault="004C77E3" w:rsidP="004C77E3">
            <w:pPr>
              <w:pStyle w:val="naisc"/>
              <w:spacing w:before="0" w:after="120"/>
              <w:jc w:val="both"/>
            </w:pPr>
          </w:p>
        </w:tc>
        <w:tc>
          <w:tcPr>
            <w:tcW w:w="4962" w:type="dxa"/>
            <w:tcBorders>
              <w:left w:val="single" w:sz="6" w:space="0" w:color="000000"/>
              <w:bottom w:val="single" w:sz="4" w:space="0" w:color="auto"/>
              <w:right w:val="single" w:sz="6" w:space="0" w:color="000000"/>
            </w:tcBorders>
          </w:tcPr>
          <w:p w14:paraId="276F4FF8" w14:textId="30D63A7C" w:rsidR="004C77E3" w:rsidRPr="004C77E3" w:rsidRDefault="004C77E3" w:rsidP="004C77E3">
            <w:pPr>
              <w:pStyle w:val="NormalWeb"/>
              <w:ind w:right="11"/>
              <w:jc w:val="both"/>
              <w:rPr>
                <w:bCs/>
              </w:rPr>
            </w:pPr>
            <w:r w:rsidRPr="004C77E3">
              <w:rPr>
                <w:bCs/>
              </w:rPr>
              <w:t>4. Noteikumu projekta 1. punktā ietvertais noteikumu Nr. 689 124.</w:t>
            </w:r>
            <w:r w:rsidRPr="004C77E3">
              <w:rPr>
                <w:bCs/>
                <w:vertAlign w:val="superscript"/>
              </w:rPr>
              <w:t>4</w:t>
            </w:r>
            <w:r w:rsidRPr="004C77E3">
              <w:rPr>
                <w:bCs/>
              </w:rPr>
              <w:t> punkts paredz, ka šo noteikumu 121. punktā minēto atļauju nav nepieciešams saņemt, ja aģentūra ir izsniegusi šo noteikumu 124.</w:t>
            </w:r>
            <w:r w:rsidRPr="004C77E3">
              <w:rPr>
                <w:bCs/>
                <w:vertAlign w:val="superscript"/>
              </w:rPr>
              <w:t>1</w:t>
            </w:r>
            <w:r w:rsidRPr="004C77E3">
              <w:rPr>
                <w:bCs/>
              </w:rPr>
              <w:t> punktā minēto atļauju. Vēršam uzmanību, ka noteikumu Nr. 689 121. punktā minētā atļauja tiks izsniegta personai, kas vēlas iegādāties attiecīgo medicīnisko ierīci. Savukārt noteikumu projekta 1. punktā ietvertajā noteikumu Nr. 689 124.</w:t>
            </w:r>
            <w:r w:rsidRPr="004C77E3">
              <w:rPr>
                <w:bCs/>
                <w:vertAlign w:val="superscript"/>
              </w:rPr>
              <w:t>1</w:t>
            </w:r>
            <w:r w:rsidRPr="004C77E3">
              <w:rPr>
                <w:bCs/>
              </w:rPr>
              <w:t xml:space="preserve"> punktā minētā atļauja tiks izsniegta personai, kas vēlas medicīnisko ierīci laist tirgū vai ieviest. Ņemot vērā minēto, </w:t>
            </w:r>
            <w:r w:rsidRPr="004C77E3">
              <w:rPr>
                <w:bCs/>
              </w:rPr>
              <w:lastRenderedPageBreak/>
              <w:t>lūdzam, pamatojoties uz Ministru kabineta 2009. gada 15. decembra instrukcijas Nr. 19 "Tiesību akta projekta sākotnējās ietekmes izvērtēšanas kārtība" (turpmāk – instrukcija Nr. 19) 14. punktu, papildināt noteikumu projekta anotāciju ar skaidrojumu par noteikumu projekta 1. punktā ietvertā noteikumu Nr. 689 124.</w:t>
            </w:r>
            <w:r w:rsidRPr="004C77E3">
              <w:rPr>
                <w:bCs/>
                <w:vertAlign w:val="superscript"/>
              </w:rPr>
              <w:t>4</w:t>
            </w:r>
            <w:r w:rsidRPr="004C77E3">
              <w:rPr>
                <w:bCs/>
              </w:rPr>
              <w:t> punkta nepieciešamību un mērķi, tai skaitā norādot, kāpēc vienam subjektam noteiktam mērķim piešķirtas atļaujas iegūšana izslēdz citam subjektam citam mērķim nepieciešamās atļaujas iegūšanu. Nepieciešamības gadījumā lūdzam precizēt noteikumu projektu.</w:t>
            </w:r>
          </w:p>
        </w:tc>
        <w:tc>
          <w:tcPr>
            <w:tcW w:w="2126" w:type="dxa"/>
            <w:gridSpan w:val="2"/>
            <w:tcBorders>
              <w:left w:val="single" w:sz="6" w:space="0" w:color="000000"/>
              <w:bottom w:val="single" w:sz="4" w:space="0" w:color="auto"/>
              <w:right w:val="single" w:sz="6" w:space="0" w:color="000000"/>
            </w:tcBorders>
          </w:tcPr>
          <w:p w14:paraId="745B9669" w14:textId="56D6E409" w:rsidR="004C77E3" w:rsidRDefault="004C77E3" w:rsidP="004C77E3">
            <w:pPr>
              <w:spacing w:after="120"/>
              <w:jc w:val="center"/>
              <w:rPr>
                <w:b/>
              </w:rPr>
            </w:pPr>
            <w:r>
              <w:rPr>
                <w:b/>
              </w:rPr>
              <w:lastRenderedPageBreak/>
              <w:t xml:space="preserve">Ņemts vērā </w:t>
            </w:r>
          </w:p>
        </w:tc>
        <w:tc>
          <w:tcPr>
            <w:tcW w:w="3402" w:type="dxa"/>
            <w:tcBorders>
              <w:top w:val="single" w:sz="4" w:space="0" w:color="auto"/>
              <w:left w:val="single" w:sz="4" w:space="0" w:color="auto"/>
              <w:bottom w:val="single" w:sz="4" w:space="0" w:color="auto"/>
            </w:tcBorders>
          </w:tcPr>
          <w:p w14:paraId="78A6389F" w14:textId="65B884D6" w:rsidR="004C77E3" w:rsidRPr="00712B66" w:rsidRDefault="004C77E3" w:rsidP="004C77E3">
            <w:pPr>
              <w:spacing w:after="120"/>
              <w:jc w:val="both"/>
            </w:pPr>
            <w:r>
              <w:t xml:space="preserve">Svītrots </w:t>
            </w:r>
            <w:r w:rsidRPr="004C77E3">
              <w:rPr>
                <w:bCs/>
              </w:rPr>
              <w:t>124.</w:t>
            </w:r>
            <w:r w:rsidRPr="004C77E3">
              <w:rPr>
                <w:bCs/>
                <w:vertAlign w:val="superscript"/>
              </w:rPr>
              <w:t>4</w:t>
            </w:r>
            <w:r w:rsidRPr="004C77E3">
              <w:rPr>
                <w:bCs/>
              </w:rPr>
              <w:t> punkt</w:t>
            </w:r>
            <w:r>
              <w:rPr>
                <w:bCs/>
              </w:rPr>
              <w:t>s</w:t>
            </w:r>
          </w:p>
        </w:tc>
      </w:tr>
      <w:tr w:rsidR="004C77E3" w14:paraId="5F66A0DA" w14:textId="77777777" w:rsidTr="00B227C6">
        <w:tc>
          <w:tcPr>
            <w:tcW w:w="708" w:type="dxa"/>
            <w:tcBorders>
              <w:left w:val="single" w:sz="6" w:space="0" w:color="000000"/>
              <w:bottom w:val="single" w:sz="4" w:space="0" w:color="auto"/>
              <w:right w:val="single" w:sz="6" w:space="0" w:color="000000"/>
            </w:tcBorders>
          </w:tcPr>
          <w:p w14:paraId="03122763" w14:textId="2B09E3A8" w:rsidR="004C77E3" w:rsidRDefault="004C77E3" w:rsidP="004C77E3">
            <w:pPr>
              <w:pStyle w:val="naisc"/>
              <w:spacing w:before="0" w:after="120"/>
              <w:jc w:val="left"/>
            </w:pPr>
            <w:r>
              <w:t>6</w:t>
            </w:r>
          </w:p>
        </w:tc>
        <w:tc>
          <w:tcPr>
            <w:tcW w:w="2686" w:type="dxa"/>
            <w:tcBorders>
              <w:left w:val="single" w:sz="6" w:space="0" w:color="000000"/>
              <w:bottom w:val="single" w:sz="4" w:space="0" w:color="auto"/>
              <w:right w:val="single" w:sz="6" w:space="0" w:color="000000"/>
            </w:tcBorders>
          </w:tcPr>
          <w:p w14:paraId="6A7DA933" w14:textId="77777777" w:rsidR="004C77E3" w:rsidRPr="00712B66" w:rsidRDefault="004C77E3" w:rsidP="004C77E3">
            <w:pPr>
              <w:pStyle w:val="naisc"/>
              <w:spacing w:before="0" w:after="120"/>
              <w:jc w:val="both"/>
            </w:pPr>
          </w:p>
        </w:tc>
        <w:tc>
          <w:tcPr>
            <w:tcW w:w="4962" w:type="dxa"/>
            <w:tcBorders>
              <w:left w:val="single" w:sz="6" w:space="0" w:color="000000"/>
              <w:bottom w:val="single" w:sz="4" w:space="0" w:color="auto"/>
              <w:right w:val="single" w:sz="6" w:space="0" w:color="000000"/>
            </w:tcBorders>
          </w:tcPr>
          <w:p w14:paraId="71D0F81F" w14:textId="680EE274" w:rsidR="004C77E3" w:rsidRDefault="004C77E3" w:rsidP="004C77E3">
            <w:pPr>
              <w:pStyle w:val="NormalWeb"/>
              <w:ind w:right="11"/>
              <w:jc w:val="both"/>
              <w:rPr>
                <w:b/>
              </w:rPr>
            </w:pPr>
            <w:r w:rsidRPr="003C7A33">
              <w:rPr>
                <w:b/>
              </w:rPr>
              <w:t>5. </w:t>
            </w:r>
            <w:r w:rsidRPr="003C7A33">
              <w:rPr>
                <w:bCs/>
              </w:rPr>
              <w:t>Vēršam uzmanību, ka atbilstoši instrukcijas Nr. 19 54.2. apakšpunktam nepieciešams papildināt noteikumu projekta anotācijas IV sadaļas 1. punktu ar konkrētu skaidrojumu par nepieciešamību izdarīt grozījumus Ministru kabineta 2019. gada 10. decembra noteikumos Nr. 641 "Zāļu valsts aģentūras maksas pakalpojumu cenrādis", ņemot vērā, ka saskaņā ar noteikumu projekta 4. punktā ietverto noteikumu 125. punktu atļaujas izsniegšana būs maksas pakalpojums.</w:t>
            </w:r>
          </w:p>
        </w:tc>
        <w:tc>
          <w:tcPr>
            <w:tcW w:w="2126" w:type="dxa"/>
            <w:gridSpan w:val="2"/>
            <w:tcBorders>
              <w:left w:val="single" w:sz="6" w:space="0" w:color="000000"/>
              <w:bottom w:val="single" w:sz="4" w:space="0" w:color="auto"/>
              <w:right w:val="single" w:sz="6" w:space="0" w:color="000000"/>
            </w:tcBorders>
          </w:tcPr>
          <w:p w14:paraId="78CBB1FF" w14:textId="6D04BE16" w:rsidR="004C77E3" w:rsidRDefault="004C77E3" w:rsidP="004C77E3">
            <w:pPr>
              <w:spacing w:after="120"/>
              <w:jc w:val="center"/>
              <w:rPr>
                <w:b/>
              </w:rPr>
            </w:pPr>
            <w:r>
              <w:rPr>
                <w:b/>
              </w:rPr>
              <w:t xml:space="preserve">Ņemts vērā </w:t>
            </w:r>
          </w:p>
        </w:tc>
        <w:tc>
          <w:tcPr>
            <w:tcW w:w="3402" w:type="dxa"/>
            <w:tcBorders>
              <w:top w:val="single" w:sz="4" w:space="0" w:color="auto"/>
              <w:left w:val="single" w:sz="4" w:space="0" w:color="auto"/>
              <w:bottom w:val="single" w:sz="4" w:space="0" w:color="auto"/>
            </w:tcBorders>
          </w:tcPr>
          <w:p w14:paraId="397883D7" w14:textId="2CBB21F2" w:rsidR="004C77E3" w:rsidRPr="00712B66" w:rsidRDefault="004C77E3" w:rsidP="004C77E3">
            <w:pPr>
              <w:spacing w:after="120"/>
              <w:jc w:val="both"/>
            </w:pPr>
            <w:r>
              <w:t>Atbilstoši precizēta noteikumu projekta anotācija</w:t>
            </w:r>
          </w:p>
        </w:tc>
      </w:tr>
      <w:tr w:rsidR="004C77E3" w14:paraId="4C73AC02" w14:textId="77777777" w:rsidTr="00B227C6">
        <w:tc>
          <w:tcPr>
            <w:tcW w:w="708" w:type="dxa"/>
            <w:tcBorders>
              <w:left w:val="single" w:sz="6" w:space="0" w:color="000000"/>
              <w:bottom w:val="single" w:sz="4" w:space="0" w:color="auto"/>
              <w:right w:val="single" w:sz="6" w:space="0" w:color="000000"/>
            </w:tcBorders>
          </w:tcPr>
          <w:p w14:paraId="1A636767" w14:textId="0D79B103" w:rsidR="004C77E3" w:rsidRDefault="004C77E3" w:rsidP="004C77E3">
            <w:pPr>
              <w:pStyle w:val="naisc"/>
              <w:spacing w:before="0" w:after="120"/>
              <w:jc w:val="left"/>
            </w:pPr>
            <w:r>
              <w:t>7.</w:t>
            </w:r>
          </w:p>
        </w:tc>
        <w:tc>
          <w:tcPr>
            <w:tcW w:w="2686" w:type="dxa"/>
            <w:tcBorders>
              <w:left w:val="single" w:sz="6" w:space="0" w:color="000000"/>
              <w:bottom w:val="single" w:sz="4" w:space="0" w:color="auto"/>
              <w:right w:val="single" w:sz="6" w:space="0" w:color="000000"/>
            </w:tcBorders>
          </w:tcPr>
          <w:p w14:paraId="72829AEE" w14:textId="77777777" w:rsidR="004C77E3" w:rsidRPr="00712B66" w:rsidRDefault="004C77E3" w:rsidP="004C77E3">
            <w:pPr>
              <w:pStyle w:val="naisc"/>
              <w:spacing w:before="0" w:after="120"/>
              <w:jc w:val="both"/>
            </w:pPr>
          </w:p>
        </w:tc>
        <w:tc>
          <w:tcPr>
            <w:tcW w:w="4962" w:type="dxa"/>
            <w:tcBorders>
              <w:left w:val="single" w:sz="6" w:space="0" w:color="000000"/>
              <w:bottom w:val="single" w:sz="4" w:space="0" w:color="auto"/>
              <w:right w:val="single" w:sz="6" w:space="0" w:color="000000"/>
            </w:tcBorders>
          </w:tcPr>
          <w:p w14:paraId="177E855D" w14:textId="03BD53F5" w:rsidR="004C77E3" w:rsidRDefault="004C77E3" w:rsidP="004C77E3">
            <w:pPr>
              <w:pStyle w:val="NormalWeb"/>
              <w:ind w:right="11"/>
              <w:jc w:val="both"/>
              <w:rPr>
                <w:b/>
              </w:rPr>
            </w:pPr>
            <w:r w:rsidRPr="00793300">
              <w:rPr>
                <w:b/>
              </w:rPr>
              <w:t>6</w:t>
            </w:r>
            <w:r w:rsidRPr="00793300">
              <w:rPr>
                <w:bCs/>
              </w:rPr>
              <w:t xml:space="preserve">. Ņemot vērā, ka no noteikumu projekta neizriet, ka tas būtu attiecināms uz aktīvām implantējamām medicīnas ierīcēm, lūdzam izvērtēt un sniegt pamatotu skaidrojumu par to, kā atbilstoši noteikumu projekta anotācijas V sadaļā norādītajam ar noteikumu projektu paredzēts pārņemt Padomes 1990. gada 20. jūnija Direktīvas 90/385/EEK par dalībvalstu tiesību aktu tuvināšanu attiecībā uz aktīvām </w:t>
            </w:r>
            <w:r w:rsidRPr="00793300">
              <w:rPr>
                <w:bCs/>
              </w:rPr>
              <w:lastRenderedPageBreak/>
              <w:t xml:space="preserve">implantējamām medicīnas ierīcēm 9. panta 9. punkta prasības. Nepieciešamības gadījumā lūdzam precizēt noteikumu projektu vai dzēst attiecīgo norādi uz minēto direktīvu noteikumu projekta anotācijas V sadaļā. </w:t>
            </w:r>
          </w:p>
        </w:tc>
        <w:tc>
          <w:tcPr>
            <w:tcW w:w="2126" w:type="dxa"/>
            <w:gridSpan w:val="2"/>
            <w:tcBorders>
              <w:left w:val="single" w:sz="6" w:space="0" w:color="000000"/>
              <w:bottom w:val="single" w:sz="4" w:space="0" w:color="auto"/>
              <w:right w:val="single" w:sz="6" w:space="0" w:color="000000"/>
            </w:tcBorders>
          </w:tcPr>
          <w:p w14:paraId="6BCEFFA6" w14:textId="56B1A0B3" w:rsidR="004C77E3" w:rsidRDefault="002945C2" w:rsidP="002945C2">
            <w:pPr>
              <w:spacing w:after="120"/>
              <w:jc w:val="center"/>
              <w:rPr>
                <w:b/>
              </w:rPr>
            </w:pPr>
            <w:r>
              <w:rPr>
                <w:b/>
              </w:rPr>
              <w:lastRenderedPageBreak/>
              <w:t>Ņemts vērā, i</w:t>
            </w:r>
            <w:r w:rsidR="004C77E3">
              <w:rPr>
                <w:b/>
              </w:rPr>
              <w:t>zvērtēts</w:t>
            </w:r>
            <w:r>
              <w:rPr>
                <w:b/>
              </w:rPr>
              <w:t xml:space="preserve"> normatīvo aktu regulējums</w:t>
            </w:r>
          </w:p>
        </w:tc>
        <w:tc>
          <w:tcPr>
            <w:tcW w:w="3402" w:type="dxa"/>
            <w:tcBorders>
              <w:top w:val="single" w:sz="4" w:space="0" w:color="auto"/>
              <w:left w:val="single" w:sz="4" w:space="0" w:color="auto"/>
              <w:bottom w:val="single" w:sz="4" w:space="0" w:color="auto"/>
            </w:tcBorders>
          </w:tcPr>
          <w:p w14:paraId="306EA70E" w14:textId="77777777" w:rsidR="004C77E3" w:rsidRDefault="004C77E3" w:rsidP="004C77E3">
            <w:pPr>
              <w:spacing w:after="120"/>
              <w:jc w:val="both"/>
            </w:pPr>
            <w:r>
              <w:t xml:space="preserve">Atbilstoši </w:t>
            </w:r>
            <w:r w:rsidRPr="00793300">
              <w:t>Ministru kabineta 2017. gada 28. novembra noteikum</w:t>
            </w:r>
            <w:r>
              <w:t>u</w:t>
            </w:r>
            <w:r w:rsidRPr="00793300">
              <w:t xml:space="preserve"> Nr. 689 “Medicīnisko ierīču reģistrācijas, atbilstības novērtēšanas, izplatīšanas, ekspluatācijas un tehniskās uzraudzības kārtība”</w:t>
            </w:r>
            <w:r>
              <w:t xml:space="preserve"> 6.punktā noteiktajam, m</w:t>
            </w:r>
            <w:r w:rsidRPr="00793300">
              <w:t xml:space="preserve">edicīniskās ierīces (izņemot medicīniskās ierīces, ko </w:t>
            </w:r>
            <w:r w:rsidRPr="00793300">
              <w:lastRenderedPageBreak/>
              <w:t>lieto </w:t>
            </w:r>
            <w:r w:rsidRPr="00793300">
              <w:rPr>
                <w:i/>
                <w:iCs/>
              </w:rPr>
              <w:t>in vitro</w:t>
            </w:r>
            <w:r w:rsidRPr="00793300">
              <w:t> diagnostikā) iedala šādās klasēs: I, II a, II b un III klases medicīniskās ierīces, kā arī aktīvās implantējamās medicīniskās ierīces.</w:t>
            </w:r>
          </w:p>
          <w:p w14:paraId="7F326C5A" w14:textId="5AAF7C5F" w:rsidR="004C77E3" w:rsidRPr="00712B66" w:rsidRDefault="004C77E3" w:rsidP="004C77E3">
            <w:pPr>
              <w:spacing w:after="120"/>
              <w:jc w:val="both"/>
            </w:pPr>
            <w:r>
              <w:t>Ņemot vērā minēto secināms, ka aktīvās implantējamās medicīniskās ierīces ir ietvertas minēto noteikumu regulējumā.</w:t>
            </w:r>
          </w:p>
        </w:tc>
      </w:tr>
      <w:tr w:rsidR="004C77E3" w14:paraId="2D2EF5AA"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4CA320D1" w14:textId="1A56B9CB" w:rsidR="004C77E3" w:rsidRDefault="004C77E3" w:rsidP="004C77E3">
            <w:pPr>
              <w:pStyle w:val="naiskr"/>
              <w:spacing w:before="0" w:after="0"/>
            </w:pPr>
          </w:p>
          <w:p w14:paraId="0C224E3B" w14:textId="77777777" w:rsidR="004C77E3" w:rsidRDefault="004C77E3" w:rsidP="004C77E3">
            <w:pPr>
              <w:pStyle w:val="naiskr"/>
              <w:spacing w:before="0" w:after="0"/>
            </w:pPr>
          </w:p>
          <w:p w14:paraId="292EBE21" w14:textId="77777777" w:rsidR="004C77E3" w:rsidRPr="00712B66" w:rsidRDefault="004C77E3" w:rsidP="004C77E3">
            <w:pPr>
              <w:pStyle w:val="naiskr"/>
              <w:spacing w:before="0" w:after="0"/>
            </w:pPr>
            <w:r w:rsidRPr="00712B66">
              <w:t>Atbildīgā amatpersona</w:t>
            </w:r>
          </w:p>
        </w:tc>
        <w:tc>
          <w:tcPr>
            <w:tcW w:w="5894" w:type="dxa"/>
            <w:gridSpan w:val="2"/>
          </w:tcPr>
          <w:p w14:paraId="0140C76B" w14:textId="77777777" w:rsidR="004C77E3" w:rsidRPr="00712B66" w:rsidRDefault="004C77E3" w:rsidP="004C77E3">
            <w:pPr>
              <w:pStyle w:val="naiskr"/>
              <w:spacing w:before="0" w:after="0"/>
              <w:ind w:firstLine="720"/>
            </w:pPr>
            <w:r w:rsidRPr="00712B66">
              <w:t>  </w:t>
            </w:r>
          </w:p>
        </w:tc>
      </w:tr>
      <w:tr w:rsidR="004C77E3" w14:paraId="279034C0"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7D935186" w14:textId="77777777" w:rsidR="004C77E3" w:rsidRPr="00712B66" w:rsidRDefault="004C77E3" w:rsidP="004C77E3">
            <w:pPr>
              <w:pStyle w:val="naiskr"/>
              <w:spacing w:before="0" w:after="0"/>
              <w:ind w:firstLine="720"/>
            </w:pPr>
          </w:p>
        </w:tc>
        <w:tc>
          <w:tcPr>
            <w:tcW w:w="5894" w:type="dxa"/>
            <w:gridSpan w:val="2"/>
            <w:tcBorders>
              <w:top w:val="single" w:sz="6" w:space="0" w:color="000000"/>
            </w:tcBorders>
          </w:tcPr>
          <w:p w14:paraId="17AB740F" w14:textId="77777777" w:rsidR="004C77E3" w:rsidRPr="00712B66" w:rsidRDefault="004C77E3" w:rsidP="004C77E3">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66F2145E" w:rsidR="00C75083" w:rsidRPr="00712B66" w:rsidRDefault="0070343D" w:rsidP="00114483">
      <w:pPr>
        <w:pStyle w:val="naisf"/>
        <w:spacing w:before="0" w:after="0"/>
        <w:ind w:firstLine="720"/>
        <w:jc w:val="left"/>
      </w:pPr>
      <w:r>
        <w:t>Guna Jermacāne</w:t>
      </w:r>
    </w:p>
    <w:tbl>
      <w:tblPr>
        <w:tblW w:w="0" w:type="auto"/>
        <w:tblLook w:val="00A0" w:firstRow="1" w:lastRow="0" w:firstColumn="1" w:lastColumn="0" w:noHBand="0" w:noVBand="0"/>
      </w:tblPr>
      <w:tblGrid>
        <w:gridCol w:w="8789"/>
      </w:tblGrid>
      <w:tr w:rsidR="00752A73" w14:paraId="1FAEFEEC" w14:textId="77777777" w:rsidTr="00C74190">
        <w:tc>
          <w:tcPr>
            <w:tcW w:w="8789"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C74190">
        <w:tc>
          <w:tcPr>
            <w:tcW w:w="8789" w:type="dxa"/>
            <w:tcBorders>
              <w:bottom w:val="single" w:sz="4" w:space="0" w:color="000000"/>
            </w:tcBorders>
          </w:tcPr>
          <w:p w14:paraId="177666A6" w14:textId="77777777" w:rsidR="00F001AB" w:rsidRDefault="00F001AB" w:rsidP="00114483"/>
          <w:p w14:paraId="344CA9A6" w14:textId="2F22A0D7" w:rsidR="008655A2" w:rsidRPr="00712B66" w:rsidRDefault="001F7B8F" w:rsidP="00114483">
            <w:r>
              <w:t xml:space="preserve">Veselības aprūpes departamenta </w:t>
            </w:r>
            <w:r w:rsidR="0070343D">
              <w:t xml:space="preserve">Ārstniecības kvalitātes </w:t>
            </w:r>
            <w:r>
              <w:t>nodaļas</w:t>
            </w:r>
            <w:r w:rsidR="00241BDB">
              <w:t xml:space="preserve"> </w:t>
            </w:r>
          </w:p>
        </w:tc>
      </w:tr>
      <w:tr w:rsidR="00752A73" w14:paraId="4C3589F2" w14:textId="77777777" w:rsidTr="00C74190">
        <w:tc>
          <w:tcPr>
            <w:tcW w:w="8789"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rsidTr="00C74190">
        <w:tc>
          <w:tcPr>
            <w:tcW w:w="8789" w:type="dxa"/>
            <w:tcBorders>
              <w:bottom w:val="single" w:sz="4" w:space="0" w:color="000000"/>
            </w:tcBorders>
          </w:tcPr>
          <w:p w14:paraId="3CF9F077" w14:textId="3855F0A8" w:rsidR="008655A2" w:rsidRPr="00712B66" w:rsidRDefault="00C90CD7" w:rsidP="00114483">
            <w:r w:rsidRPr="00C90CD7">
              <w:t>6</w:t>
            </w:r>
            <w:r w:rsidR="0070343D">
              <w:t>7876167</w:t>
            </w:r>
          </w:p>
        </w:tc>
      </w:tr>
      <w:tr w:rsidR="00752A73" w14:paraId="0CD5C67B" w14:textId="77777777" w:rsidTr="00C74190">
        <w:tc>
          <w:tcPr>
            <w:tcW w:w="8789"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C74190">
        <w:tc>
          <w:tcPr>
            <w:tcW w:w="8789" w:type="dxa"/>
            <w:tcBorders>
              <w:bottom w:val="single" w:sz="4" w:space="0" w:color="000000"/>
            </w:tcBorders>
          </w:tcPr>
          <w:p w14:paraId="002C09DF" w14:textId="00D3EFFD" w:rsidR="008655A2" w:rsidRPr="00712B66" w:rsidRDefault="0070343D" w:rsidP="00114483">
            <w:r>
              <w:t>guna.jermacane</w:t>
            </w:r>
            <w:r w:rsidR="007A1FB5">
              <w:t>@vm.gov.lv</w:t>
            </w:r>
          </w:p>
        </w:tc>
      </w:tr>
      <w:tr w:rsidR="00752A73" w14:paraId="6C6A51C1" w14:textId="77777777" w:rsidTr="00C74190">
        <w:tc>
          <w:tcPr>
            <w:tcW w:w="8789" w:type="dxa"/>
            <w:tcBorders>
              <w:top w:val="single" w:sz="4" w:space="0" w:color="000000"/>
            </w:tcBorders>
          </w:tcPr>
          <w:p w14:paraId="2CD7C341" w14:textId="77777777" w:rsidR="008655A2" w:rsidRPr="00712B66" w:rsidRDefault="00241BDB" w:rsidP="00C6419A">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6AC3" w14:textId="77777777" w:rsidR="00720019" w:rsidRPr="00C90CD7" w:rsidRDefault="00720019" w:rsidP="00720019">
    <w:pPr>
      <w:pStyle w:val="Footer"/>
    </w:pPr>
    <w:r w:rsidRPr="00C90CD7">
      <w:rPr>
        <w:sz w:val="20"/>
        <w:szCs w:val="20"/>
      </w:rPr>
      <w:t>VMizz_050320_</w:t>
    </w:r>
    <w:r w:rsidRPr="00720019">
      <w:rPr>
        <w:sz w:val="20"/>
        <w:szCs w:val="20"/>
      </w:rPr>
      <w:t>MK152groz</w:t>
    </w:r>
  </w:p>
  <w:p w14:paraId="4E5A866A" w14:textId="00D44E6D" w:rsidR="00205750" w:rsidRPr="00720019" w:rsidRDefault="00205750" w:rsidP="007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472" w14:textId="457D90BD" w:rsidR="00205750" w:rsidRPr="00C90CD7" w:rsidRDefault="00C90CD7" w:rsidP="00C90CD7">
    <w:pPr>
      <w:pStyle w:val="Footer"/>
    </w:pPr>
    <w:r w:rsidRPr="00C90CD7">
      <w:rPr>
        <w:sz w:val="20"/>
        <w:szCs w:val="20"/>
      </w:rPr>
      <w:t>VMizz_050320_</w:t>
    </w:r>
    <w:r w:rsidR="00720019" w:rsidRPr="00720019">
      <w:rPr>
        <w:sz w:val="20"/>
        <w:szCs w:val="20"/>
      </w:rPr>
      <w:t>MK152groz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 w:id="1">
    <w:p w14:paraId="69A042C0" w14:textId="77777777" w:rsidR="00A16938" w:rsidRPr="002674C6" w:rsidRDefault="00A16938" w:rsidP="00A16938">
      <w:pPr>
        <w:pStyle w:val="FootnoteText"/>
        <w:rPr>
          <w:lang w:val="en-GB"/>
        </w:rPr>
      </w:pPr>
      <w:r>
        <w:rPr>
          <w:rStyle w:val="FootnoteReference"/>
        </w:rPr>
        <w:footnoteRef/>
      </w:r>
      <w:r>
        <w:t> </w:t>
      </w:r>
      <w:proofErr w:type="spellStart"/>
      <w:r>
        <w:rPr>
          <w:lang w:val="en-GB"/>
        </w:rPr>
        <w:t>A</w:t>
      </w:r>
      <w:r w:rsidRPr="002674C6">
        <w:rPr>
          <w:lang w:val="en-GB"/>
        </w:rPr>
        <w:t>tbilstoši</w:t>
      </w:r>
      <w:proofErr w:type="spellEnd"/>
      <w:r w:rsidRPr="002674C6">
        <w:rPr>
          <w:lang w:val="en-GB"/>
        </w:rPr>
        <w:t xml:space="preserve"> </w:t>
      </w:r>
      <w:proofErr w:type="spellStart"/>
      <w:r w:rsidRPr="002674C6">
        <w:rPr>
          <w:lang w:val="en-GB"/>
        </w:rPr>
        <w:t>Satversmes</w:t>
      </w:r>
      <w:proofErr w:type="spellEnd"/>
      <w:r w:rsidRPr="002674C6">
        <w:rPr>
          <w:lang w:val="en-GB"/>
        </w:rPr>
        <w:t xml:space="preserve"> </w:t>
      </w:r>
      <w:proofErr w:type="spellStart"/>
      <w:r w:rsidRPr="002674C6">
        <w:rPr>
          <w:lang w:val="en-GB"/>
        </w:rPr>
        <w:t>tiesas</w:t>
      </w:r>
      <w:proofErr w:type="spellEnd"/>
      <w:r w:rsidRPr="002674C6">
        <w:rPr>
          <w:lang w:val="en-GB"/>
        </w:rPr>
        <w:t xml:space="preserve"> </w:t>
      </w:r>
      <w:proofErr w:type="spellStart"/>
      <w:r w:rsidRPr="002674C6">
        <w:rPr>
          <w:lang w:val="en-GB"/>
        </w:rPr>
        <w:t>judikatūrai</w:t>
      </w:r>
      <w:proofErr w:type="spellEnd"/>
      <w:r w:rsidRPr="002674C6">
        <w:rPr>
          <w:lang w:val="en-GB"/>
        </w:rPr>
        <w:t xml:space="preserve">, lai </w:t>
      </w:r>
      <w:proofErr w:type="spellStart"/>
      <w:r w:rsidRPr="002674C6">
        <w:rPr>
          <w:lang w:val="en-GB"/>
        </w:rPr>
        <w:t>secinātu</w:t>
      </w:r>
      <w:proofErr w:type="spellEnd"/>
      <w:r w:rsidRPr="002674C6">
        <w:rPr>
          <w:lang w:val="en-GB"/>
        </w:rPr>
        <w:t xml:space="preserve">, vai </w:t>
      </w:r>
      <w:proofErr w:type="spellStart"/>
      <w:r w:rsidRPr="002674C6">
        <w:rPr>
          <w:lang w:val="en-GB"/>
        </w:rPr>
        <w:t>pamattiesību</w:t>
      </w:r>
      <w:proofErr w:type="spellEnd"/>
      <w:r w:rsidRPr="002674C6">
        <w:rPr>
          <w:lang w:val="en-GB"/>
        </w:rPr>
        <w:t xml:space="preserve"> </w:t>
      </w:r>
      <w:proofErr w:type="spellStart"/>
      <w:r w:rsidRPr="002674C6">
        <w:rPr>
          <w:lang w:val="en-GB"/>
        </w:rPr>
        <w:t>ierobežojums</w:t>
      </w:r>
      <w:proofErr w:type="spellEnd"/>
      <w:r w:rsidRPr="002674C6">
        <w:rPr>
          <w:lang w:val="en-GB"/>
        </w:rPr>
        <w:t xml:space="preserve"> </w:t>
      </w:r>
      <w:proofErr w:type="spellStart"/>
      <w:r w:rsidRPr="002674C6">
        <w:rPr>
          <w:lang w:val="en-GB"/>
        </w:rPr>
        <w:t>atbilst</w:t>
      </w:r>
      <w:proofErr w:type="spellEnd"/>
      <w:r w:rsidRPr="002674C6">
        <w:rPr>
          <w:lang w:val="en-GB"/>
        </w:rPr>
        <w:t xml:space="preserve"> </w:t>
      </w:r>
      <w:proofErr w:type="spellStart"/>
      <w:r w:rsidRPr="002674C6">
        <w:rPr>
          <w:lang w:val="en-GB"/>
        </w:rPr>
        <w:t>samērīguma</w:t>
      </w:r>
      <w:proofErr w:type="spellEnd"/>
      <w:r w:rsidRPr="002674C6">
        <w:rPr>
          <w:lang w:val="en-GB"/>
        </w:rPr>
        <w:t xml:space="preserve"> </w:t>
      </w:r>
      <w:proofErr w:type="spellStart"/>
      <w:r w:rsidRPr="002674C6">
        <w:rPr>
          <w:lang w:val="en-GB"/>
        </w:rPr>
        <w:t>principam</w:t>
      </w:r>
      <w:proofErr w:type="spellEnd"/>
      <w:r w:rsidRPr="002674C6">
        <w:rPr>
          <w:lang w:val="en-GB"/>
        </w:rPr>
        <w:t xml:space="preserve">, </w:t>
      </w:r>
      <w:proofErr w:type="spellStart"/>
      <w:r w:rsidRPr="002674C6">
        <w:rPr>
          <w:lang w:val="en-GB"/>
        </w:rPr>
        <w:t>Satversmes</w:t>
      </w:r>
      <w:proofErr w:type="spellEnd"/>
      <w:r w:rsidRPr="002674C6">
        <w:rPr>
          <w:lang w:val="en-GB"/>
        </w:rPr>
        <w:t xml:space="preserve"> </w:t>
      </w:r>
      <w:proofErr w:type="spellStart"/>
      <w:r w:rsidRPr="002674C6">
        <w:rPr>
          <w:lang w:val="en-GB"/>
        </w:rPr>
        <w:t>tiesa</w:t>
      </w:r>
      <w:proofErr w:type="spellEnd"/>
      <w:r w:rsidRPr="002674C6">
        <w:rPr>
          <w:lang w:val="en-GB"/>
        </w:rPr>
        <w:t xml:space="preserve"> </w:t>
      </w:r>
      <w:proofErr w:type="spellStart"/>
      <w:r w:rsidRPr="002674C6">
        <w:rPr>
          <w:lang w:val="en-GB"/>
        </w:rPr>
        <w:t>noskaidro</w:t>
      </w:r>
      <w:proofErr w:type="spellEnd"/>
      <w:r w:rsidRPr="002674C6">
        <w:rPr>
          <w:lang w:val="en-GB"/>
        </w:rPr>
        <w:t xml:space="preserve">, vai: </w:t>
      </w:r>
    </w:p>
    <w:p w14:paraId="442DAEF2" w14:textId="77777777" w:rsidR="00A16938" w:rsidRPr="002674C6" w:rsidRDefault="00A16938" w:rsidP="00A16938">
      <w:pPr>
        <w:pStyle w:val="FootnoteText"/>
        <w:rPr>
          <w:lang w:val="en-GB"/>
        </w:rPr>
      </w:pPr>
      <w:r w:rsidRPr="002674C6">
        <w:t>1) likumdevēja izraudzītie līdzekļi ir piemēroti leģitīmā mērķa sasniegšanai;</w:t>
      </w:r>
    </w:p>
    <w:p w14:paraId="279D42AC" w14:textId="77777777" w:rsidR="00A16938" w:rsidRPr="002674C6" w:rsidRDefault="00A16938" w:rsidP="00A16938">
      <w:pPr>
        <w:pStyle w:val="FootnoteText"/>
        <w:rPr>
          <w:lang w:val="en-GB"/>
        </w:rPr>
      </w:pPr>
      <w:r w:rsidRPr="002674C6">
        <w:t>2) vai nav saudzējošāku līdzekļu leģitīmā mērķa sasniegšanai;</w:t>
      </w:r>
    </w:p>
    <w:p w14:paraId="57138245" w14:textId="77777777" w:rsidR="00A16938" w:rsidRPr="002674C6" w:rsidRDefault="00A16938" w:rsidP="00A16938">
      <w:pPr>
        <w:pStyle w:val="FootnoteText"/>
        <w:rPr>
          <w:lang w:val="en-GB"/>
        </w:rPr>
      </w:pPr>
      <w:r w:rsidRPr="002674C6">
        <w:t xml:space="preserve">3) vai likumdevēja rīcība ir atbilstoša (sk., piem., </w:t>
      </w:r>
      <w:r w:rsidRPr="002674C6">
        <w:rPr>
          <w:i/>
          <w:iCs/>
        </w:rPr>
        <w:t>Satversmes tiesas 2014. gada 9. janvāra sprieduma lietā Nr. 2013-08-01 12. punktu</w:t>
      </w:r>
      <w:r w:rsidRPr="002674C6">
        <w:t>)</w:t>
      </w:r>
      <w:r w:rsidRPr="002674C6">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28"/>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5D36"/>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6B1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47A"/>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9B4"/>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28F0"/>
    <w:rsid w:val="0011326C"/>
    <w:rsid w:val="001139C2"/>
    <w:rsid w:val="00114483"/>
    <w:rsid w:val="00114559"/>
    <w:rsid w:val="00114EA9"/>
    <w:rsid w:val="00115943"/>
    <w:rsid w:val="00115ED0"/>
    <w:rsid w:val="0011683C"/>
    <w:rsid w:val="00117316"/>
    <w:rsid w:val="001179E8"/>
    <w:rsid w:val="00117A21"/>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0F79"/>
    <w:rsid w:val="00162A68"/>
    <w:rsid w:val="00162E08"/>
    <w:rsid w:val="001633F1"/>
    <w:rsid w:val="0016531E"/>
    <w:rsid w:val="0016565C"/>
    <w:rsid w:val="00166314"/>
    <w:rsid w:val="00166746"/>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6EAB"/>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6C69"/>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3C40"/>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0474"/>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5C2"/>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11C"/>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3976"/>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84C"/>
    <w:rsid w:val="00361CBB"/>
    <w:rsid w:val="00362610"/>
    <w:rsid w:val="0036318D"/>
    <w:rsid w:val="00363830"/>
    <w:rsid w:val="00363992"/>
    <w:rsid w:val="00363D2D"/>
    <w:rsid w:val="00364BB6"/>
    <w:rsid w:val="00364D6B"/>
    <w:rsid w:val="00365408"/>
    <w:rsid w:val="00365CC0"/>
    <w:rsid w:val="003668DF"/>
    <w:rsid w:val="003674C4"/>
    <w:rsid w:val="00367688"/>
    <w:rsid w:val="00370CE5"/>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637"/>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3D65"/>
    <w:rsid w:val="003C567C"/>
    <w:rsid w:val="003C58F1"/>
    <w:rsid w:val="003C59B8"/>
    <w:rsid w:val="003C5CC4"/>
    <w:rsid w:val="003C6809"/>
    <w:rsid w:val="003C7897"/>
    <w:rsid w:val="003C79B8"/>
    <w:rsid w:val="003C7A33"/>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3F7514"/>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1F94"/>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7E3"/>
    <w:rsid w:val="004C7B9C"/>
    <w:rsid w:val="004C7D55"/>
    <w:rsid w:val="004D089A"/>
    <w:rsid w:val="004D0AE5"/>
    <w:rsid w:val="004D1153"/>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6C0"/>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D43"/>
    <w:rsid w:val="00530F73"/>
    <w:rsid w:val="00532133"/>
    <w:rsid w:val="0053322B"/>
    <w:rsid w:val="00533B8E"/>
    <w:rsid w:val="005342CD"/>
    <w:rsid w:val="00534D50"/>
    <w:rsid w:val="005352F8"/>
    <w:rsid w:val="00535417"/>
    <w:rsid w:val="00535833"/>
    <w:rsid w:val="00536CDF"/>
    <w:rsid w:val="00536D28"/>
    <w:rsid w:val="005372C5"/>
    <w:rsid w:val="00537A26"/>
    <w:rsid w:val="00540E47"/>
    <w:rsid w:val="00542229"/>
    <w:rsid w:val="00542349"/>
    <w:rsid w:val="005431E2"/>
    <w:rsid w:val="00543283"/>
    <w:rsid w:val="0054364C"/>
    <w:rsid w:val="005459E3"/>
    <w:rsid w:val="00546747"/>
    <w:rsid w:val="00546C5F"/>
    <w:rsid w:val="00547510"/>
    <w:rsid w:val="00547ECC"/>
    <w:rsid w:val="005518CA"/>
    <w:rsid w:val="00551D5A"/>
    <w:rsid w:val="00551EC3"/>
    <w:rsid w:val="005522B0"/>
    <w:rsid w:val="005528DB"/>
    <w:rsid w:val="00552EEE"/>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5DD0"/>
    <w:rsid w:val="005665E2"/>
    <w:rsid w:val="00567E8F"/>
    <w:rsid w:val="005702D6"/>
    <w:rsid w:val="005703AD"/>
    <w:rsid w:val="00572588"/>
    <w:rsid w:val="00573A50"/>
    <w:rsid w:val="005746D2"/>
    <w:rsid w:val="00574E8A"/>
    <w:rsid w:val="0057557A"/>
    <w:rsid w:val="00576BFD"/>
    <w:rsid w:val="00576DB5"/>
    <w:rsid w:val="00577775"/>
    <w:rsid w:val="00577946"/>
    <w:rsid w:val="00580259"/>
    <w:rsid w:val="005803BD"/>
    <w:rsid w:val="005808F4"/>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1DA"/>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5ED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2B8B"/>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351"/>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7C1"/>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343D"/>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019"/>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00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300"/>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A9A"/>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07F19"/>
    <w:rsid w:val="008112D0"/>
    <w:rsid w:val="00811C4E"/>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193"/>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4EE"/>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08A"/>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C94"/>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72D"/>
    <w:rsid w:val="009F1D24"/>
    <w:rsid w:val="009F46C8"/>
    <w:rsid w:val="009F4F2A"/>
    <w:rsid w:val="009F660B"/>
    <w:rsid w:val="009F671E"/>
    <w:rsid w:val="009F72EA"/>
    <w:rsid w:val="009F7ED1"/>
    <w:rsid w:val="00A0149B"/>
    <w:rsid w:val="00A01607"/>
    <w:rsid w:val="00A018D4"/>
    <w:rsid w:val="00A01E64"/>
    <w:rsid w:val="00A02366"/>
    <w:rsid w:val="00A02F9D"/>
    <w:rsid w:val="00A030C2"/>
    <w:rsid w:val="00A03767"/>
    <w:rsid w:val="00A043B8"/>
    <w:rsid w:val="00A0479D"/>
    <w:rsid w:val="00A0482F"/>
    <w:rsid w:val="00A04834"/>
    <w:rsid w:val="00A05628"/>
    <w:rsid w:val="00A05BE1"/>
    <w:rsid w:val="00A07DCF"/>
    <w:rsid w:val="00A12979"/>
    <w:rsid w:val="00A12C0F"/>
    <w:rsid w:val="00A131A9"/>
    <w:rsid w:val="00A13541"/>
    <w:rsid w:val="00A1496E"/>
    <w:rsid w:val="00A14F84"/>
    <w:rsid w:val="00A15049"/>
    <w:rsid w:val="00A166B9"/>
    <w:rsid w:val="00A16938"/>
    <w:rsid w:val="00A16D6D"/>
    <w:rsid w:val="00A17C75"/>
    <w:rsid w:val="00A2071A"/>
    <w:rsid w:val="00A211C8"/>
    <w:rsid w:val="00A2121E"/>
    <w:rsid w:val="00A21EAC"/>
    <w:rsid w:val="00A221DE"/>
    <w:rsid w:val="00A22CB2"/>
    <w:rsid w:val="00A23138"/>
    <w:rsid w:val="00A23940"/>
    <w:rsid w:val="00A23ECC"/>
    <w:rsid w:val="00A24CD3"/>
    <w:rsid w:val="00A24EFE"/>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61A"/>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B06"/>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07F26"/>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27C6"/>
    <w:rsid w:val="00B231CF"/>
    <w:rsid w:val="00B23422"/>
    <w:rsid w:val="00B23C75"/>
    <w:rsid w:val="00B24948"/>
    <w:rsid w:val="00B24CBD"/>
    <w:rsid w:val="00B25687"/>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0450"/>
    <w:rsid w:val="00B814CB"/>
    <w:rsid w:val="00B81B6A"/>
    <w:rsid w:val="00B820F4"/>
    <w:rsid w:val="00B82F42"/>
    <w:rsid w:val="00B835E0"/>
    <w:rsid w:val="00B8396D"/>
    <w:rsid w:val="00B85621"/>
    <w:rsid w:val="00B85EFF"/>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0798"/>
    <w:rsid w:val="00BC1F79"/>
    <w:rsid w:val="00BC2201"/>
    <w:rsid w:val="00BC378A"/>
    <w:rsid w:val="00BC3C7A"/>
    <w:rsid w:val="00BC4B3B"/>
    <w:rsid w:val="00BC5E3D"/>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191"/>
    <w:rsid w:val="00BF13EC"/>
    <w:rsid w:val="00BF1C07"/>
    <w:rsid w:val="00BF1E33"/>
    <w:rsid w:val="00BF1FF5"/>
    <w:rsid w:val="00BF3DEE"/>
    <w:rsid w:val="00BF4491"/>
    <w:rsid w:val="00BF506D"/>
    <w:rsid w:val="00BF50C2"/>
    <w:rsid w:val="00BF54AC"/>
    <w:rsid w:val="00BF54BD"/>
    <w:rsid w:val="00BF6B8E"/>
    <w:rsid w:val="00C025A5"/>
    <w:rsid w:val="00C02B17"/>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CF4"/>
    <w:rsid w:val="00C40EC6"/>
    <w:rsid w:val="00C419AD"/>
    <w:rsid w:val="00C41B5F"/>
    <w:rsid w:val="00C42469"/>
    <w:rsid w:val="00C437BA"/>
    <w:rsid w:val="00C43BD2"/>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419A"/>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3997"/>
    <w:rsid w:val="00C84BC2"/>
    <w:rsid w:val="00C85139"/>
    <w:rsid w:val="00C85657"/>
    <w:rsid w:val="00C8598D"/>
    <w:rsid w:val="00C85A5C"/>
    <w:rsid w:val="00C865CF"/>
    <w:rsid w:val="00C87DB1"/>
    <w:rsid w:val="00C90CD7"/>
    <w:rsid w:val="00C91C88"/>
    <w:rsid w:val="00C930D1"/>
    <w:rsid w:val="00C939C3"/>
    <w:rsid w:val="00C94228"/>
    <w:rsid w:val="00C94E8B"/>
    <w:rsid w:val="00C95DD8"/>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734"/>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2D"/>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342"/>
    <w:rsid w:val="00ED7971"/>
    <w:rsid w:val="00EE0748"/>
    <w:rsid w:val="00EE213D"/>
    <w:rsid w:val="00EE2361"/>
    <w:rsid w:val="00EE29A0"/>
    <w:rsid w:val="00EE2CEA"/>
    <w:rsid w:val="00EE3365"/>
    <w:rsid w:val="00EE440C"/>
    <w:rsid w:val="00EE48B2"/>
    <w:rsid w:val="00EE48DF"/>
    <w:rsid w:val="00EE4AB3"/>
    <w:rsid w:val="00EE5BFE"/>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37D"/>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A04"/>
    <w:rsid w:val="00F24EA4"/>
    <w:rsid w:val="00F2625A"/>
    <w:rsid w:val="00F274E7"/>
    <w:rsid w:val="00F31A03"/>
    <w:rsid w:val="00F3283C"/>
    <w:rsid w:val="00F32AEA"/>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0A33"/>
    <w:rsid w:val="00F612BB"/>
    <w:rsid w:val="00F612D6"/>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685C"/>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5894"/>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0897"/>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8AC17-C138-4E2D-ABD4-78CE16A1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2171</Words>
  <Characters>15118</Characters>
  <Application>Microsoft Office Word</Application>
  <DocSecurity>0</DocSecurity>
  <Lines>125</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Guna Jermacāne</cp:lastModifiedBy>
  <cp:revision>2</cp:revision>
  <cp:lastPrinted>2018-04-05T15:44:00Z</cp:lastPrinted>
  <dcterms:created xsi:type="dcterms:W3CDTF">2020-04-20T13:12:00Z</dcterms:created>
  <dcterms:modified xsi:type="dcterms:W3CDTF">2020-04-20T13:12:00Z</dcterms:modified>
</cp:coreProperties>
</file>