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F09" w:rsidRPr="00981607" w:rsidRDefault="008C4F09" w:rsidP="008C4F09">
      <w:pPr>
        <w:jc w:val="center"/>
        <w:rPr>
          <w:b/>
          <w:bCs/>
          <w:sz w:val="28"/>
          <w:szCs w:val="28"/>
        </w:rPr>
      </w:pPr>
      <w:r w:rsidRPr="00981607">
        <w:rPr>
          <w:b/>
          <w:bCs/>
          <w:sz w:val="28"/>
          <w:szCs w:val="28"/>
        </w:rPr>
        <w:t>Ministru kabineta rīkojuma projekta</w:t>
      </w:r>
    </w:p>
    <w:p w:rsidR="008C4F09" w:rsidRPr="00981607" w:rsidRDefault="008C4F09" w:rsidP="008C4F09">
      <w:pPr>
        <w:jc w:val="center"/>
        <w:rPr>
          <w:b/>
          <w:bCs/>
          <w:sz w:val="28"/>
          <w:szCs w:val="28"/>
        </w:rPr>
      </w:pPr>
      <w:r w:rsidRPr="00981607">
        <w:rPr>
          <w:b/>
          <w:bCs/>
          <w:sz w:val="28"/>
          <w:szCs w:val="28"/>
        </w:rPr>
        <w:t>“Par Zāļu valsts aģentūras 20</w:t>
      </w:r>
      <w:r w:rsidR="00E11F82">
        <w:rPr>
          <w:b/>
          <w:bCs/>
          <w:sz w:val="28"/>
          <w:szCs w:val="28"/>
        </w:rPr>
        <w:t>20</w:t>
      </w:r>
      <w:r w:rsidRPr="00981607">
        <w:rPr>
          <w:b/>
          <w:bCs/>
          <w:sz w:val="28"/>
          <w:szCs w:val="28"/>
        </w:rPr>
        <w:t>.gada budžeta apstiprināšanu” 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2220"/>
        <w:gridCol w:w="7136"/>
      </w:tblGrid>
      <w:tr w:rsidR="007674DC" w:rsidRPr="00EC6E12" w:rsidTr="00CD31C5">
        <w:tc>
          <w:tcPr>
            <w:tcW w:w="9356" w:type="dxa"/>
            <w:gridSpan w:val="2"/>
          </w:tcPr>
          <w:p w:rsidR="007674DC" w:rsidRPr="00EC6E12" w:rsidRDefault="007674DC" w:rsidP="00CD31C5">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Tiesību akta projekta anotācijas kopsavilkums</w:t>
            </w:r>
          </w:p>
        </w:tc>
      </w:tr>
      <w:tr w:rsidR="007674DC" w:rsidTr="00CD31C5">
        <w:tc>
          <w:tcPr>
            <w:tcW w:w="2220" w:type="dxa"/>
            <w:tcBorders>
              <w:top w:val="single" w:sz="4" w:space="0" w:color="auto"/>
              <w:left w:val="single" w:sz="4" w:space="0" w:color="auto"/>
              <w:bottom w:val="single" w:sz="4" w:space="0" w:color="auto"/>
              <w:right w:val="single" w:sz="4" w:space="0" w:color="auto"/>
            </w:tcBorders>
            <w:hideMark/>
          </w:tcPr>
          <w:p w:rsidR="007674DC" w:rsidRDefault="007674DC" w:rsidP="00CD31C5">
            <w:pPr>
              <w:pStyle w:val="NoSpacing"/>
              <w:jc w:val="center"/>
              <w:rPr>
                <w:rFonts w:ascii="Times New Roman" w:hAnsi="Times New Roman" w:cs="Times New Roman"/>
                <w:sz w:val="24"/>
                <w:szCs w:val="24"/>
                <w:lang w:eastAsia="lv-LV"/>
              </w:rPr>
            </w:pPr>
            <w:r>
              <w:rPr>
                <w:rFonts w:ascii="Times New Roman" w:hAnsi="Times New Roman" w:cs="Times New Roman"/>
                <w:iCs/>
                <w:sz w:val="24"/>
                <w:szCs w:val="24"/>
                <w:lang w:eastAsia="lv-LV"/>
              </w:rPr>
              <w:t>Mērķis, risinājums un projekta spēkā stāšanās laiks (500 zīmes bez atstarpēm)</w:t>
            </w:r>
          </w:p>
        </w:tc>
        <w:tc>
          <w:tcPr>
            <w:tcW w:w="7136" w:type="dxa"/>
            <w:tcBorders>
              <w:top w:val="single" w:sz="4" w:space="0" w:color="auto"/>
              <w:left w:val="single" w:sz="4" w:space="0" w:color="auto"/>
              <w:bottom w:val="single" w:sz="4" w:space="0" w:color="auto"/>
              <w:right w:val="single" w:sz="4" w:space="0" w:color="auto"/>
            </w:tcBorders>
            <w:hideMark/>
          </w:tcPr>
          <w:p w:rsidR="00B76017" w:rsidRPr="008B72FD" w:rsidRDefault="007674DC" w:rsidP="008B72FD">
            <w:pPr>
              <w:ind w:firstLine="198"/>
              <w:jc w:val="both"/>
              <w:rPr>
                <w:rFonts w:eastAsiaTheme="minorHAnsi"/>
                <w:lang w:eastAsia="en-US"/>
              </w:rPr>
            </w:pPr>
            <w:r>
              <w:rPr>
                <w:lang w:eastAsia="en-US"/>
              </w:rPr>
              <w:t>Ministru kabineta rīkojuma “</w:t>
            </w:r>
            <w:r w:rsidRPr="00E9258C">
              <w:rPr>
                <w:lang w:eastAsia="en-US"/>
              </w:rPr>
              <w:t>Par Zāļu valsts aģentūras 20</w:t>
            </w:r>
            <w:r w:rsidR="00AF6E4D">
              <w:rPr>
                <w:lang w:eastAsia="en-US"/>
              </w:rPr>
              <w:t>20</w:t>
            </w:r>
            <w:r w:rsidRPr="00E9258C">
              <w:rPr>
                <w:lang w:eastAsia="en-US"/>
              </w:rPr>
              <w:t>.gada budžeta apstiprināšanu</w:t>
            </w:r>
            <w:r>
              <w:rPr>
                <w:lang w:eastAsia="en-US"/>
              </w:rPr>
              <w:t>”” projekta (turpmāk – rīkojuma projekts)</w:t>
            </w:r>
            <w:r>
              <w:rPr>
                <w:b/>
                <w:lang w:eastAsia="en-US"/>
              </w:rPr>
              <w:t xml:space="preserve"> </w:t>
            </w:r>
            <w:r>
              <w:rPr>
                <w:lang w:eastAsia="en-US"/>
              </w:rPr>
              <w:t xml:space="preserve">mērķis ir no </w:t>
            </w:r>
            <w:r w:rsidRPr="00DA7AD6">
              <w:rPr>
                <w:lang w:eastAsia="en-US"/>
              </w:rPr>
              <w:t>Zāļu valsts aģentūras</w:t>
            </w:r>
            <w:r>
              <w:rPr>
                <w:lang w:eastAsia="en-US"/>
              </w:rPr>
              <w:t xml:space="preserve"> </w:t>
            </w:r>
            <w:r w:rsidRPr="00EB517D">
              <w:rPr>
                <w:lang w:eastAsia="en-US"/>
              </w:rPr>
              <w:t xml:space="preserve">(turpmāk – ZVA) </w:t>
            </w:r>
            <w:r w:rsidRPr="00DA7AD6">
              <w:rPr>
                <w:lang w:eastAsia="en-US"/>
              </w:rPr>
              <w:t>neizmantot</w:t>
            </w:r>
            <w:r>
              <w:rPr>
                <w:lang w:eastAsia="en-US"/>
              </w:rPr>
              <w:t>ā</w:t>
            </w:r>
            <w:r w:rsidRPr="00DA7AD6">
              <w:rPr>
                <w:lang w:eastAsia="en-US"/>
              </w:rPr>
              <w:t xml:space="preserve"> 201</w:t>
            </w:r>
            <w:r w:rsidR="00AF6E4D">
              <w:rPr>
                <w:lang w:eastAsia="en-US"/>
              </w:rPr>
              <w:t>9</w:t>
            </w:r>
            <w:r w:rsidRPr="00DA7AD6">
              <w:rPr>
                <w:lang w:eastAsia="en-US"/>
              </w:rPr>
              <w:t xml:space="preserve">.gada </w:t>
            </w:r>
            <w:r w:rsidRPr="001751F3">
              <w:rPr>
                <w:lang w:eastAsia="en-US"/>
              </w:rPr>
              <w:t>maksas pakalpojumu līdzekļu atlikuma uz 20</w:t>
            </w:r>
            <w:r w:rsidR="001751F3" w:rsidRPr="001751F3">
              <w:rPr>
                <w:lang w:eastAsia="en-US"/>
              </w:rPr>
              <w:t>20</w:t>
            </w:r>
            <w:r w:rsidRPr="001751F3">
              <w:rPr>
                <w:lang w:eastAsia="en-US"/>
              </w:rPr>
              <w:t xml:space="preserve">.gada 1.janvāri </w:t>
            </w:r>
            <w:r w:rsidR="000575BF" w:rsidRPr="000575BF">
              <w:rPr>
                <w:lang w:eastAsia="en-US"/>
              </w:rPr>
              <w:t>106 415</w:t>
            </w:r>
            <w:r w:rsidRPr="000575BF">
              <w:rPr>
                <w:lang w:eastAsia="en-US"/>
              </w:rPr>
              <w:t xml:space="preserve"> </w:t>
            </w:r>
            <w:r w:rsidRPr="000575BF">
              <w:rPr>
                <w:i/>
                <w:lang w:eastAsia="en-US"/>
              </w:rPr>
              <w:t>euro</w:t>
            </w:r>
            <w:r w:rsidRPr="000575BF">
              <w:rPr>
                <w:lang w:eastAsia="en-US"/>
              </w:rPr>
              <w:t xml:space="preserve"> </w:t>
            </w:r>
            <w:r w:rsidRPr="001751F3">
              <w:rPr>
                <w:lang w:eastAsia="en-US"/>
              </w:rPr>
              <w:t xml:space="preserve">apmērā novirzīt uz Veselības ministrijas valsts budžeta programmu 97.00.00 “Nozaru vadība un politikas plānošana”, </w:t>
            </w:r>
            <w:r w:rsidR="000575BF" w:rsidRPr="007D6923">
              <w:rPr>
                <w:rFonts w:eastAsiaTheme="minorHAnsi"/>
                <w:lang w:eastAsia="en-US"/>
              </w:rPr>
              <w:t xml:space="preserve">lai veiktu </w:t>
            </w:r>
            <w:r w:rsidR="00D22FDF" w:rsidRPr="00D22FDF">
              <w:rPr>
                <w:rFonts w:eastAsiaTheme="minorHAnsi"/>
                <w:i/>
                <w:iCs/>
                <w:lang w:eastAsia="en-US"/>
              </w:rPr>
              <w:t>Organisation for Economic Co-operation and Development</w:t>
            </w:r>
            <w:r w:rsidR="00D22FDF">
              <w:rPr>
                <w:rFonts w:eastAsiaTheme="minorHAnsi"/>
                <w:lang w:eastAsia="en-US"/>
              </w:rPr>
              <w:t xml:space="preserve"> (turpmāk -</w:t>
            </w:r>
            <w:r w:rsidR="000575BF" w:rsidRPr="007D6923">
              <w:rPr>
                <w:rFonts w:eastAsiaTheme="minorHAnsi"/>
                <w:lang w:eastAsia="en-US"/>
              </w:rPr>
              <w:t>OECD</w:t>
            </w:r>
            <w:r w:rsidR="00D22FDF">
              <w:rPr>
                <w:rFonts w:eastAsiaTheme="minorHAnsi"/>
                <w:lang w:eastAsia="en-US"/>
              </w:rPr>
              <w:t>)</w:t>
            </w:r>
            <w:r w:rsidR="000575BF" w:rsidRPr="007D6923">
              <w:rPr>
                <w:rFonts w:eastAsiaTheme="minorHAnsi"/>
                <w:lang w:eastAsia="en-US"/>
              </w:rPr>
              <w:t xml:space="preserve"> pētījumu “Par Latvijas sabiedrības veselību”, Horizon un Namejs sistēmu uzturēša</w:t>
            </w:r>
            <w:r w:rsidR="00FF71C9">
              <w:rPr>
                <w:rFonts w:eastAsiaTheme="minorHAnsi"/>
                <w:lang w:eastAsia="en-US"/>
              </w:rPr>
              <w:t>nu</w:t>
            </w:r>
            <w:r w:rsidR="000575BF" w:rsidRPr="007D6923">
              <w:rPr>
                <w:rFonts w:eastAsiaTheme="minorHAnsi"/>
                <w:lang w:eastAsia="en-US"/>
              </w:rPr>
              <w:t>, attīstīb</w:t>
            </w:r>
            <w:r w:rsidR="00FF71C9">
              <w:rPr>
                <w:rFonts w:eastAsiaTheme="minorHAnsi"/>
                <w:lang w:eastAsia="en-US"/>
              </w:rPr>
              <w:t>u</w:t>
            </w:r>
            <w:r w:rsidR="000575BF" w:rsidRPr="007D6923">
              <w:rPr>
                <w:rFonts w:eastAsiaTheme="minorHAnsi"/>
                <w:lang w:eastAsia="en-US"/>
              </w:rPr>
              <w:t xml:space="preserve"> un centralizētas Microsoft programmatūras nomas nodrošināšan</w:t>
            </w:r>
            <w:r w:rsidR="00FF71C9">
              <w:rPr>
                <w:rFonts w:eastAsiaTheme="minorHAnsi"/>
                <w:lang w:eastAsia="en-US"/>
              </w:rPr>
              <w:t>u</w:t>
            </w:r>
            <w:r w:rsidR="000575BF">
              <w:rPr>
                <w:rFonts w:eastAsiaTheme="minorHAnsi"/>
                <w:lang w:eastAsia="en-US"/>
              </w:rPr>
              <w:t>.</w:t>
            </w:r>
          </w:p>
        </w:tc>
      </w:tr>
    </w:tbl>
    <w:p w:rsidR="00EC6E12" w:rsidRDefault="00EC6E12" w:rsidP="00002EF1">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617D9">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Borders>
              <w:bottom w:val="nil"/>
            </w:tcBorders>
          </w:tcPr>
          <w:p w:rsidR="00AF6E4D" w:rsidRPr="0079260F" w:rsidRDefault="00AF6E4D" w:rsidP="00AF6E4D">
            <w:pPr>
              <w:pStyle w:val="NoSpacing"/>
              <w:ind w:firstLine="311"/>
              <w:jc w:val="both"/>
              <w:rPr>
                <w:rFonts w:ascii="Times New Roman" w:hAnsi="Times New Roman" w:cs="Times New Roman"/>
                <w:sz w:val="24"/>
              </w:rPr>
            </w:pPr>
            <w:r>
              <w:rPr>
                <w:rFonts w:ascii="Times New Roman" w:hAnsi="Times New Roman" w:cs="Times New Roman"/>
                <w:sz w:val="24"/>
              </w:rPr>
              <w:t>R</w:t>
            </w:r>
            <w:r w:rsidRPr="0079260F">
              <w:rPr>
                <w:rFonts w:ascii="Times New Roman" w:hAnsi="Times New Roman" w:cs="Times New Roman"/>
                <w:sz w:val="24"/>
              </w:rPr>
              <w:t xml:space="preserve">īkojuma projekts izstrādāts, pamatojoties uz: </w:t>
            </w:r>
          </w:p>
          <w:p w:rsidR="00AF6E4D" w:rsidRPr="00B0677A" w:rsidRDefault="00AF6E4D" w:rsidP="00AF6E4D">
            <w:pPr>
              <w:pStyle w:val="tv2131"/>
              <w:spacing w:before="0" w:line="240" w:lineRule="auto"/>
              <w:ind w:firstLine="336"/>
              <w:rPr>
                <w:rFonts w:ascii="Times New Roman" w:hAnsi="Times New Roman"/>
                <w:sz w:val="24"/>
                <w:szCs w:val="24"/>
                <w:lang w:val="lv-LV"/>
              </w:rPr>
            </w:pPr>
            <w:r w:rsidRPr="00417B00">
              <w:rPr>
                <w:rFonts w:ascii="Times New Roman" w:hAnsi="Times New Roman"/>
                <w:sz w:val="24"/>
                <w:lang w:val="lv-LV"/>
              </w:rPr>
              <w:t xml:space="preserve">- </w:t>
            </w:r>
            <w:r w:rsidRPr="00B0677A">
              <w:rPr>
                <w:rFonts w:ascii="Times New Roman" w:hAnsi="Times New Roman"/>
                <w:sz w:val="24"/>
                <w:szCs w:val="24"/>
                <w:lang w:val="lv-LV"/>
              </w:rPr>
              <w:t>Publisko aģentūru likuma 13.panta treš</w:t>
            </w:r>
            <w:r>
              <w:rPr>
                <w:rFonts w:ascii="Times New Roman" w:hAnsi="Times New Roman"/>
                <w:sz w:val="24"/>
                <w:szCs w:val="24"/>
                <w:lang w:val="lv-LV"/>
              </w:rPr>
              <w:t>o daļu</w:t>
            </w:r>
            <w:r w:rsidRPr="00B0677A">
              <w:rPr>
                <w:rFonts w:ascii="Times New Roman" w:hAnsi="Times New Roman"/>
                <w:sz w:val="24"/>
                <w:szCs w:val="24"/>
                <w:lang w:val="lv-LV"/>
              </w:rPr>
              <w:t xml:space="preserve"> un Likum</w:t>
            </w:r>
            <w:r>
              <w:rPr>
                <w:rFonts w:ascii="Times New Roman" w:hAnsi="Times New Roman"/>
                <w:sz w:val="24"/>
                <w:szCs w:val="24"/>
                <w:lang w:val="lv-LV"/>
              </w:rPr>
              <w:t>a</w:t>
            </w:r>
            <w:r w:rsidRPr="00B0677A">
              <w:rPr>
                <w:rFonts w:ascii="Times New Roman" w:hAnsi="Times New Roman"/>
                <w:sz w:val="24"/>
                <w:szCs w:val="24"/>
                <w:lang w:val="lv-LV"/>
              </w:rPr>
              <w:t xml:space="preserve"> par budžetu un finanšu vadību 41.panta (1</w:t>
            </w:r>
            <w:r w:rsidRPr="00B0677A">
              <w:rPr>
                <w:rFonts w:ascii="Times New Roman" w:hAnsi="Times New Roman"/>
                <w:sz w:val="24"/>
                <w:szCs w:val="24"/>
                <w:vertAlign w:val="superscript"/>
                <w:lang w:val="lv-LV"/>
              </w:rPr>
              <w:t>2</w:t>
            </w:r>
            <w:r>
              <w:rPr>
                <w:rFonts w:ascii="Times New Roman" w:hAnsi="Times New Roman"/>
                <w:sz w:val="24"/>
                <w:szCs w:val="24"/>
                <w:lang w:val="lv-LV"/>
              </w:rPr>
              <w:t>) daļu, kas</w:t>
            </w:r>
            <w:r w:rsidRPr="00B0677A">
              <w:rPr>
                <w:rFonts w:ascii="Times New Roman" w:hAnsi="Times New Roman"/>
                <w:sz w:val="24"/>
                <w:szCs w:val="24"/>
                <w:lang w:val="lv-LV"/>
              </w:rPr>
              <w:t xml:space="preserve"> nosaka, ka budžeta nefinansētu iestāžu veiktos budžetu grozījumus apstiprināšanai Ministru kabinetā iesniedz ministrijas (pārraudzības institūcijas).</w:t>
            </w:r>
          </w:p>
          <w:p w:rsidR="00683D05" w:rsidRPr="009E47B9" w:rsidRDefault="00AF6E4D" w:rsidP="00AE5BB3">
            <w:pPr>
              <w:ind w:firstLine="336"/>
              <w:jc w:val="both"/>
              <w:rPr>
                <w:lang w:eastAsia="en-US"/>
              </w:rPr>
            </w:pPr>
            <w:r>
              <w:t xml:space="preserve">- </w:t>
            </w:r>
            <w:r w:rsidRPr="00B0677A">
              <w:t>Publisko aģentūru likuma 13.panta ceturt</w:t>
            </w:r>
            <w:r>
              <w:t>o</w:t>
            </w:r>
            <w:r w:rsidRPr="00B0677A">
              <w:t xml:space="preserve"> daļ</w:t>
            </w:r>
            <w:r>
              <w:t>u, kas</w:t>
            </w:r>
            <w:r w:rsidRPr="00B0677A">
              <w:t xml:space="preserve"> nosaka, ka, apstiprinot valsts aģentūras budžetu, Ministru kabinets pēc attiecīgā ministra ierosinājuma ir tiesīgs noteikt valsts budžetā ieskaitāmo ienākumu daļu no valsts aģentūras ieņēmumiem par sniegtajiem maksas pakalpojumiem.</w:t>
            </w:r>
          </w:p>
        </w:tc>
      </w:tr>
      <w:tr w:rsidR="008C4F09" w:rsidTr="0079260F">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8C4F09"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8C4F09" w:rsidRDefault="008C4F09" w:rsidP="008C4F09">
            <w:pPr>
              <w:jc w:val="center"/>
            </w:pPr>
          </w:p>
          <w:p w:rsidR="008C4F09" w:rsidRPr="008C4F09" w:rsidRDefault="008C4F09" w:rsidP="008C4F09"/>
          <w:p w:rsidR="008C4F09" w:rsidRPr="008C4F09" w:rsidRDefault="008C4F09" w:rsidP="008C4F09"/>
          <w:p w:rsidR="008C4F09" w:rsidRPr="008C4F09" w:rsidRDefault="008C4F09" w:rsidP="008C4F09"/>
          <w:p w:rsidR="008C4F09" w:rsidRDefault="008C4F09" w:rsidP="008C4F09">
            <w:pPr>
              <w:jc w:val="center"/>
            </w:pPr>
          </w:p>
          <w:p w:rsidR="007763B0" w:rsidRPr="007763B0" w:rsidRDefault="007763B0" w:rsidP="007763B0"/>
          <w:p w:rsidR="007763B0" w:rsidRPr="007763B0" w:rsidRDefault="007763B0" w:rsidP="007763B0"/>
          <w:p w:rsidR="007763B0" w:rsidRPr="007763B0" w:rsidRDefault="007763B0" w:rsidP="007763B0"/>
          <w:p w:rsidR="007763B0" w:rsidRPr="007763B0" w:rsidRDefault="007763B0" w:rsidP="007763B0"/>
          <w:p w:rsidR="007763B0" w:rsidRPr="007763B0" w:rsidRDefault="007763B0" w:rsidP="007763B0"/>
          <w:p w:rsidR="007763B0" w:rsidRPr="007763B0" w:rsidRDefault="007763B0" w:rsidP="007763B0"/>
          <w:p w:rsidR="007763B0" w:rsidRPr="007763B0" w:rsidRDefault="007763B0" w:rsidP="007763B0"/>
          <w:p w:rsidR="007763B0" w:rsidRPr="007763B0" w:rsidRDefault="007763B0" w:rsidP="007763B0">
            <w:pPr>
              <w:jc w:val="center"/>
            </w:pPr>
          </w:p>
        </w:tc>
        <w:tc>
          <w:tcPr>
            <w:tcW w:w="7229" w:type="dxa"/>
          </w:tcPr>
          <w:p w:rsidR="006B628C" w:rsidRPr="000575BF" w:rsidRDefault="006B628C" w:rsidP="004B199A">
            <w:pPr>
              <w:shd w:val="clear" w:color="auto" w:fill="FFFFFF"/>
              <w:ind w:firstLine="311"/>
              <w:jc w:val="both"/>
            </w:pPr>
            <w:r w:rsidRPr="00285C17">
              <w:lastRenderedPageBreak/>
              <w:t xml:space="preserve">Lai samazinātu kopējo saslimstību un efektīvāk izmantotu veselības aprūpei paredzēto finansējumu, piedāvājot labākos risinājumus preventīvajai aprūpei, nepieciešams veikt OECD pētījumu “Par Latvijas sabiedrības veselību” un sniegt patreizējās situācijas analīzi. </w:t>
            </w:r>
            <w:r w:rsidRPr="000575BF">
              <w:t>Uz šī pētījuma pamata tiks izstrādātas rekomendācijas  primārās prevencijas uzlabošanai, risinot aptaukošanās izraisītās ar dzīvesveidu saistītās veselības problēmas, izstrādātas rekomendācijas slimību sekundārajai un terciārajai prevencijai, attīstot racionālu veselības pārbaužu, skrīninga programmu un agrīnās diagnostikas pasākumu sistēmu un izstrādātas rekomendācijas zāļu un vakcīnu pieejamības nodrošināšanai.</w:t>
            </w:r>
          </w:p>
          <w:p w:rsidR="000064CA" w:rsidRPr="00285C17" w:rsidRDefault="00D24CA9" w:rsidP="000064CA">
            <w:pPr>
              <w:shd w:val="clear" w:color="auto" w:fill="FFFFFF"/>
              <w:ind w:firstLine="311"/>
              <w:jc w:val="both"/>
              <w:rPr>
                <w:bCs/>
                <w:kern w:val="1"/>
                <w:lang w:eastAsia="ar-SA"/>
              </w:rPr>
            </w:pPr>
            <w:r w:rsidRPr="00285C17">
              <w:rPr>
                <w:bCs/>
                <w:kern w:val="1"/>
                <w:lang w:eastAsia="ar-SA"/>
              </w:rPr>
              <w:t xml:space="preserve">Veselības ministrijā un tās padotības iestādēs no 2019.gada 1.janvāra ir ieviesta centralizēta resora finanšu un saimniecisko resursu vadības sistēma </w:t>
            </w:r>
            <w:r w:rsidRPr="000575BF">
              <w:rPr>
                <w:bCs/>
                <w:kern w:val="1"/>
                <w:lang w:eastAsia="ar-SA"/>
              </w:rPr>
              <w:t>Horizon (turpmāk - Horizon), kas</w:t>
            </w:r>
            <w:r w:rsidRPr="00285C17">
              <w:rPr>
                <w:bCs/>
                <w:kern w:val="1"/>
                <w:lang w:eastAsia="ar-SA"/>
              </w:rPr>
              <w:t xml:space="preserve"> nodrošina centralizētu grāmatvedības uzskaiti un ļauj kontrolēt resora izdevumus un centralizēta vienotā dokumentu vadības sistēma Namejs (turpmāk - Namejs). Ņemot vērā, ka Horizon un </w:t>
            </w:r>
            <w:r w:rsidRPr="00A51CD4">
              <w:rPr>
                <w:bCs/>
                <w:kern w:val="1"/>
                <w:lang w:eastAsia="ar-SA"/>
              </w:rPr>
              <w:t>Namejs</w:t>
            </w:r>
            <w:r w:rsidRPr="00285C17">
              <w:rPr>
                <w:bCs/>
                <w:kern w:val="1"/>
                <w:lang w:eastAsia="ar-SA"/>
              </w:rPr>
              <w:t xml:space="preserve"> ir ieviesti ES struktūrfondu finansēta projekta ietvaros, daļēji projekta ietvaros tiks nodrošināta arī sākotnējā sistēmu uzturēšana, tomēr turpmākai pilnu sistēmu uzturēšanai un attīstībai plānots izmantot iepriekš iestāžu Horizon un Namejs uzturēšanai un attīstībai paredzēto finansējumu. Sistēmu uzturēšanu un turpmāku attīstību centralizēti veiks Veselības ministrija, līdz ar to nepieciešams pārdalīt finansējumu uz Veselības ministriju minēto funkciju nodrošināšanai.</w:t>
            </w:r>
          </w:p>
          <w:p w:rsidR="00E04D81" w:rsidRPr="00580268" w:rsidRDefault="00E04D81" w:rsidP="00E04D81">
            <w:pPr>
              <w:pStyle w:val="NoSpacing"/>
              <w:jc w:val="both"/>
              <w:rPr>
                <w:rFonts w:ascii="Times New Roman" w:hAnsi="Times New Roman" w:cs="Times New Roman"/>
                <w:sz w:val="24"/>
                <w:szCs w:val="24"/>
              </w:rPr>
            </w:pPr>
            <w:r>
              <w:lastRenderedPageBreak/>
              <w:t xml:space="preserve">     </w:t>
            </w:r>
            <w:r w:rsidRPr="00580268">
              <w:rPr>
                <w:rFonts w:ascii="Times New Roman" w:hAnsi="Times New Roman" w:cs="Times New Roman"/>
                <w:sz w:val="24"/>
                <w:szCs w:val="24"/>
              </w:rPr>
              <w:t>Centralizētas Microsoft programmatūras nom</w:t>
            </w:r>
            <w:r w:rsidR="00ED3F49">
              <w:rPr>
                <w:rFonts w:ascii="Times New Roman" w:hAnsi="Times New Roman" w:cs="Times New Roman"/>
                <w:sz w:val="24"/>
                <w:szCs w:val="24"/>
              </w:rPr>
              <w:t>a</w:t>
            </w:r>
            <w:r w:rsidR="00753555">
              <w:rPr>
                <w:rFonts w:ascii="Times New Roman" w:hAnsi="Times New Roman" w:cs="Times New Roman"/>
                <w:sz w:val="24"/>
                <w:szCs w:val="24"/>
              </w:rPr>
              <w:t xml:space="preserve"> ir nepieciešama</w:t>
            </w:r>
            <w:r w:rsidR="00ED3F49">
              <w:rPr>
                <w:rFonts w:ascii="Times New Roman" w:hAnsi="Times New Roman" w:cs="Times New Roman"/>
                <w:sz w:val="24"/>
                <w:szCs w:val="24"/>
              </w:rPr>
              <w:t xml:space="preserve"> </w:t>
            </w:r>
            <w:r w:rsidRPr="00580268">
              <w:rPr>
                <w:rFonts w:ascii="Times New Roman" w:hAnsi="Times New Roman" w:cs="Times New Roman"/>
                <w:sz w:val="24"/>
                <w:szCs w:val="24"/>
              </w:rPr>
              <w:t>1 gada periodam (80 gab. Office 365 E1, 160 gab. Office 365 E3 un 160 gab.   CoreCALBridge O365 licenču noma), lai nodrošinātu vienotu e-pasta sistēmas ieviešanu un pārvaldību veselības resorā, kā arī</w:t>
            </w:r>
            <w:r w:rsidR="00753555">
              <w:rPr>
                <w:rFonts w:ascii="Times New Roman" w:hAnsi="Times New Roman" w:cs="Times New Roman"/>
                <w:sz w:val="24"/>
                <w:szCs w:val="24"/>
              </w:rPr>
              <w:t xml:space="preserve">, lai </w:t>
            </w:r>
            <w:r w:rsidRPr="00580268">
              <w:rPr>
                <w:rFonts w:ascii="Times New Roman" w:hAnsi="Times New Roman" w:cs="Times New Roman"/>
                <w:sz w:val="24"/>
                <w:szCs w:val="24"/>
              </w:rPr>
              <w:t xml:space="preserve"> nodrošinātu MS Office lietojumprogramm</w:t>
            </w:r>
            <w:r w:rsidR="00FF71C9">
              <w:rPr>
                <w:rFonts w:ascii="Times New Roman" w:hAnsi="Times New Roman" w:cs="Times New Roman"/>
                <w:sz w:val="24"/>
                <w:szCs w:val="24"/>
              </w:rPr>
              <w:t>as</w:t>
            </w:r>
            <w:r w:rsidRPr="00580268">
              <w:rPr>
                <w:rFonts w:ascii="Times New Roman" w:hAnsi="Times New Roman" w:cs="Times New Roman"/>
                <w:sz w:val="24"/>
                <w:szCs w:val="24"/>
              </w:rPr>
              <w:t xml:space="preserve"> vienotu pārvaldību un pielāgošanu centralizētai lietvedības sistēmai (tiks ieviesta ERAF projekta Nr. 2.2.1.1/17/I/028  “Veselības ministrijas un padotības iestāžu IKT centralizācijas atbalsts” ietvaros).</w:t>
            </w:r>
          </w:p>
          <w:p w:rsidR="00E04D81" w:rsidRPr="00580268" w:rsidRDefault="00E04D81" w:rsidP="00580268">
            <w:pPr>
              <w:jc w:val="both"/>
              <w:rPr>
                <w:rFonts w:eastAsiaTheme="minorHAnsi" w:cstheme="minorBidi"/>
                <w:lang w:eastAsia="en-US"/>
              </w:rPr>
            </w:pPr>
          </w:p>
          <w:p w:rsidR="00D24CA9" w:rsidRPr="00243A7D" w:rsidRDefault="00D24CA9" w:rsidP="00243A7D">
            <w:pPr>
              <w:shd w:val="clear" w:color="auto" w:fill="FFFFFF"/>
              <w:ind w:firstLine="311"/>
              <w:jc w:val="both"/>
              <w:rPr>
                <w:kern w:val="1"/>
                <w:lang w:eastAsia="ar-SA"/>
              </w:rPr>
            </w:pPr>
            <w:r w:rsidRPr="00243A7D">
              <w:rPr>
                <w:kern w:val="1"/>
                <w:lang w:eastAsia="ar-SA"/>
              </w:rPr>
              <w:t xml:space="preserve">Ņemot vērā to, ka veselības aprūpes sistēmas ietvaros finanšu līdzekļi šādiem pasākumiem nav atrodami, Veselības ministrija uzskata par nepieciešamu nekavējoši izmantot Publisko aģentūru likuma 13.panta ceturtajā daļā paredzētās tiesības noteikt veselības aprūpes budžetā ieskaitāmo ienākumu daļu no ZVA ieņēmumiem par sniegtajiem maksas pakalpojumiem. </w:t>
            </w:r>
          </w:p>
          <w:p w:rsidR="00597E0E" w:rsidRPr="00597E0E" w:rsidRDefault="00D24CA9" w:rsidP="00597E0E">
            <w:pPr>
              <w:shd w:val="clear" w:color="auto" w:fill="FFFFFF"/>
              <w:ind w:firstLine="311"/>
              <w:jc w:val="both"/>
              <w:rPr>
                <w:kern w:val="1"/>
                <w:lang w:eastAsia="ar-SA"/>
              </w:rPr>
            </w:pPr>
            <w:r w:rsidRPr="00CF678D">
              <w:rPr>
                <w:kern w:val="1"/>
                <w:lang w:eastAsia="ar-SA"/>
              </w:rPr>
              <w:t>Veselības ministrija sagatavoja projektu, kas paredz ieskaitīt Veselības ministrijas budžetā ZVA līdzekļu atlikumu,</w:t>
            </w:r>
            <w:r w:rsidR="004B199A" w:rsidRPr="00CF678D">
              <w:rPr>
                <w:kern w:val="1"/>
                <w:lang w:eastAsia="ar-SA"/>
              </w:rPr>
              <w:t xml:space="preserve"> </w:t>
            </w:r>
            <w:r w:rsidR="007D6923" w:rsidRPr="007D6923">
              <w:rPr>
                <w:rFonts w:eastAsiaTheme="minorHAnsi"/>
                <w:lang w:eastAsia="en-US"/>
              </w:rPr>
              <w:t>lai veiktu OECD pētījumu “Par Latvijas sabiedrības veselību”, Horizon un Namejs sistēmu uzturēšan</w:t>
            </w:r>
            <w:r w:rsidR="00FF71C9">
              <w:rPr>
                <w:rFonts w:eastAsiaTheme="minorHAnsi"/>
                <w:lang w:eastAsia="en-US"/>
              </w:rPr>
              <w:t>u</w:t>
            </w:r>
            <w:r w:rsidR="007D6923" w:rsidRPr="007D6923">
              <w:rPr>
                <w:rFonts w:eastAsiaTheme="minorHAnsi"/>
                <w:lang w:eastAsia="en-US"/>
              </w:rPr>
              <w:t>, attīstīb</w:t>
            </w:r>
            <w:r w:rsidR="00FF71C9">
              <w:rPr>
                <w:rFonts w:eastAsiaTheme="minorHAnsi"/>
                <w:lang w:eastAsia="en-US"/>
              </w:rPr>
              <w:t>u</w:t>
            </w:r>
            <w:r w:rsidR="007D6923" w:rsidRPr="007D6923">
              <w:rPr>
                <w:rFonts w:eastAsiaTheme="minorHAnsi"/>
                <w:lang w:eastAsia="en-US"/>
              </w:rPr>
              <w:t xml:space="preserve"> un centralizētas Microsoft programmatūras nomas nodrošināšan</w:t>
            </w:r>
            <w:r w:rsidR="00FF71C9">
              <w:rPr>
                <w:rFonts w:eastAsiaTheme="minorHAnsi"/>
                <w:lang w:eastAsia="en-US"/>
              </w:rPr>
              <w:t>u</w:t>
            </w:r>
            <w:r w:rsidR="000C77F8">
              <w:rPr>
                <w:rFonts w:eastAsiaTheme="minorHAnsi"/>
                <w:lang w:eastAsia="en-US"/>
              </w:rPr>
              <w:t xml:space="preserve"> un svarīgu </w:t>
            </w:r>
            <w:r w:rsidR="00404E7B">
              <w:rPr>
                <w:rFonts w:eastAsiaTheme="minorHAnsi"/>
                <w:lang w:eastAsia="en-US"/>
              </w:rPr>
              <w:t xml:space="preserve">ZVA </w:t>
            </w:r>
            <w:r w:rsidR="000C77F8">
              <w:rPr>
                <w:rFonts w:eastAsiaTheme="minorHAnsi"/>
                <w:lang w:eastAsia="en-US"/>
              </w:rPr>
              <w:t>pasākumu īstenošanu</w:t>
            </w:r>
            <w:r w:rsidR="00DD7617">
              <w:rPr>
                <w:rFonts w:eastAsiaTheme="minorHAnsi"/>
                <w:lang w:eastAsia="en-US"/>
              </w:rPr>
              <w:t>,</w:t>
            </w:r>
            <w:r w:rsidR="00BB1A5C">
              <w:rPr>
                <w:color w:val="FF0000"/>
                <w:kern w:val="1"/>
                <w:lang w:eastAsia="ar-SA"/>
              </w:rPr>
              <w:t xml:space="preserve"> </w:t>
            </w:r>
            <w:r w:rsidRPr="00CF37B1">
              <w:rPr>
                <w:kern w:val="1"/>
                <w:lang w:eastAsia="ar-SA"/>
              </w:rPr>
              <w:t>paredzot rīkojuma projekta pielikumā “Zāļu valsts aģentūras ieņēmumu un izdevumu atšifrējums 20</w:t>
            </w:r>
            <w:r w:rsidR="00392C32" w:rsidRPr="00CF37B1">
              <w:rPr>
                <w:kern w:val="1"/>
                <w:lang w:eastAsia="ar-SA"/>
              </w:rPr>
              <w:t>20</w:t>
            </w:r>
            <w:r w:rsidRPr="00CF37B1">
              <w:rPr>
                <w:kern w:val="1"/>
                <w:lang w:eastAsia="ar-SA"/>
              </w:rPr>
              <w:t>.-202</w:t>
            </w:r>
            <w:r w:rsidR="00392C32" w:rsidRPr="00CF37B1">
              <w:rPr>
                <w:kern w:val="1"/>
                <w:lang w:eastAsia="ar-SA"/>
              </w:rPr>
              <w:t>2</w:t>
            </w:r>
            <w:r w:rsidRPr="00CF37B1">
              <w:rPr>
                <w:kern w:val="1"/>
                <w:lang w:eastAsia="ar-SA"/>
              </w:rPr>
              <w:t xml:space="preserve">.gadam” kopējo finansiālo ietekmi </w:t>
            </w:r>
            <w:r w:rsidR="00CF37B1" w:rsidRPr="00CF37B1">
              <w:rPr>
                <w:kern w:val="1"/>
                <w:lang w:eastAsia="ar-SA"/>
              </w:rPr>
              <w:t>710 861</w:t>
            </w:r>
            <w:r w:rsidRPr="00CF37B1">
              <w:rPr>
                <w:i/>
                <w:kern w:val="1"/>
                <w:lang w:eastAsia="ar-SA"/>
              </w:rPr>
              <w:t xml:space="preserve"> euro</w:t>
            </w:r>
            <w:r w:rsidRPr="00CF37B1">
              <w:rPr>
                <w:kern w:val="1"/>
                <w:lang w:eastAsia="ar-SA"/>
              </w:rPr>
              <w:t xml:space="preserve"> apmērā.</w:t>
            </w:r>
          </w:p>
          <w:p w:rsidR="00597E0E" w:rsidRDefault="00597E0E" w:rsidP="00AC12EC">
            <w:pPr>
              <w:shd w:val="clear" w:color="auto" w:fill="FFFFFF"/>
              <w:ind w:firstLine="311"/>
              <w:jc w:val="both"/>
              <w:rPr>
                <w:rFonts w:eastAsiaTheme="minorHAnsi"/>
                <w:lang w:eastAsia="en-US"/>
              </w:rPr>
            </w:pPr>
            <w:r>
              <w:rPr>
                <w:color w:val="212121"/>
              </w:rPr>
              <w:t>ZVA konta atlikums uz 2020.gada 1.janvāri ir </w:t>
            </w:r>
            <w:r>
              <w:rPr>
                <w:b/>
                <w:bCs/>
                <w:color w:val="212121"/>
              </w:rPr>
              <w:t>710  861 </w:t>
            </w:r>
            <w:r>
              <w:rPr>
                <w:b/>
                <w:bCs/>
                <w:i/>
                <w:iCs/>
                <w:color w:val="212121"/>
              </w:rPr>
              <w:t>euro</w:t>
            </w:r>
            <w:r>
              <w:rPr>
                <w:b/>
                <w:bCs/>
                <w:color w:val="212121"/>
              </w:rPr>
              <w:t> </w:t>
            </w:r>
            <w:r>
              <w:rPr>
                <w:color w:val="212121"/>
              </w:rPr>
              <w:t>apmērā,</w:t>
            </w:r>
            <w:r>
              <w:rPr>
                <w:b/>
                <w:bCs/>
                <w:color w:val="212121"/>
              </w:rPr>
              <w:t> </w:t>
            </w:r>
            <w:r>
              <w:rPr>
                <w:color w:val="212121"/>
              </w:rPr>
              <w:t>tai skaitā: </w:t>
            </w:r>
            <w:r>
              <w:rPr>
                <w:b/>
                <w:bCs/>
                <w:color w:val="212121"/>
              </w:rPr>
              <w:t>604 446</w:t>
            </w:r>
            <w:r>
              <w:rPr>
                <w:color w:val="212121"/>
              </w:rPr>
              <w:t> </w:t>
            </w:r>
            <w:r>
              <w:rPr>
                <w:b/>
                <w:bCs/>
                <w:i/>
                <w:iCs/>
                <w:color w:val="212121"/>
              </w:rPr>
              <w:t>euro</w:t>
            </w:r>
            <w:r>
              <w:rPr>
                <w:b/>
                <w:bCs/>
                <w:color w:val="212121"/>
              </w:rPr>
              <w:t> </w:t>
            </w:r>
            <w:r>
              <w:rPr>
                <w:color w:val="212121"/>
              </w:rPr>
              <w:t>apmērā paredzēts novirzīt ZVA</w:t>
            </w:r>
            <w:r>
              <w:rPr>
                <w:b/>
                <w:bCs/>
                <w:color w:val="212121"/>
              </w:rPr>
              <w:t> </w:t>
            </w:r>
            <w:r>
              <w:rPr>
                <w:color w:val="212121"/>
              </w:rPr>
              <w:t>svarīgāko pasākumu apmaksai un  </w:t>
            </w:r>
            <w:r>
              <w:rPr>
                <w:b/>
                <w:bCs/>
                <w:color w:val="000000"/>
              </w:rPr>
              <w:t>106   415 </w:t>
            </w:r>
            <w:r>
              <w:rPr>
                <w:b/>
                <w:bCs/>
                <w:i/>
                <w:iCs/>
                <w:color w:val="000000"/>
              </w:rPr>
              <w:t>euro </w:t>
            </w:r>
            <w:r>
              <w:rPr>
                <w:color w:val="000000"/>
              </w:rPr>
              <w:t>paredzēts  novirzīt  </w:t>
            </w:r>
            <w:r>
              <w:rPr>
                <w:color w:val="212121"/>
              </w:rPr>
              <w:t>OECD pētījumam “Par Latvijas sabiedrības veselību”, Horizon un Namejs sistēmu uzturēšanai, attīstībai un centralizētas Microsoft programmatūras nomas nodrošināšanai, pārdalot finansējumu uz Veselības ministrijas budžetu.</w:t>
            </w:r>
          </w:p>
          <w:p w:rsidR="007D6923" w:rsidRDefault="007D6923" w:rsidP="00AC12EC">
            <w:pPr>
              <w:shd w:val="clear" w:color="auto" w:fill="FFFFFF"/>
              <w:ind w:firstLine="311"/>
              <w:jc w:val="both"/>
              <w:rPr>
                <w:color w:val="000000" w:themeColor="text1"/>
                <w:kern w:val="1"/>
                <w:lang w:eastAsia="ar-SA"/>
              </w:rPr>
            </w:pPr>
          </w:p>
          <w:p w:rsidR="007304EB" w:rsidRPr="00C41408" w:rsidRDefault="007304EB" w:rsidP="007304EB">
            <w:pPr>
              <w:pStyle w:val="ListParagraph"/>
              <w:numPr>
                <w:ilvl w:val="0"/>
                <w:numId w:val="8"/>
              </w:numPr>
              <w:ind w:left="0" w:firstLine="371"/>
              <w:jc w:val="both"/>
              <w:rPr>
                <w:color w:val="000000" w:themeColor="text1"/>
                <w:kern w:val="1"/>
                <w:lang w:eastAsia="ar-SA"/>
              </w:rPr>
            </w:pPr>
            <w:r w:rsidRPr="00C41408">
              <w:rPr>
                <w:b/>
                <w:color w:val="000000" w:themeColor="text1"/>
                <w:kern w:val="1"/>
                <w:lang w:eastAsia="ar-SA"/>
              </w:rPr>
              <w:t xml:space="preserve">Zāļu valsts aģentūrai </w:t>
            </w:r>
            <w:r w:rsidR="000B322C">
              <w:rPr>
                <w:b/>
                <w:color w:val="000000" w:themeColor="text1"/>
                <w:kern w:val="1"/>
                <w:lang w:eastAsia="ar-SA"/>
              </w:rPr>
              <w:t>6</w:t>
            </w:r>
            <w:r w:rsidR="00582544">
              <w:rPr>
                <w:b/>
                <w:color w:val="000000" w:themeColor="text1"/>
                <w:kern w:val="1"/>
                <w:lang w:eastAsia="ar-SA"/>
              </w:rPr>
              <w:t>04 446</w:t>
            </w:r>
            <w:r w:rsidRPr="00C41408">
              <w:rPr>
                <w:b/>
                <w:color w:val="000000" w:themeColor="text1"/>
                <w:kern w:val="1"/>
                <w:lang w:eastAsia="ar-SA"/>
              </w:rPr>
              <w:t xml:space="preserve"> </w:t>
            </w:r>
            <w:r w:rsidRPr="00C41408">
              <w:rPr>
                <w:b/>
                <w:i/>
                <w:color w:val="000000" w:themeColor="text1"/>
                <w:kern w:val="1"/>
                <w:lang w:eastAsia="ar-SA"/>
              </w:rPr>
              <w:t>euro</w:t>
            </w:r>
            <w:r w:rsidRPr="00C41408">
              <w:rPr>
                <w:b/>
                <w:color w:val="000000" w:themeColor="text1"/>
                <w:kern w:val="1"/>
                <w:lang w:eastAsia="ar-SA"/>
              </w:rPr>
              <w:t xml:space="preserve"> </w:t>
            </w:r>
            <w:r w:rsidRPr="00C41408">
              <w:rPr>
                <w:color w:val="000000" w:themeColor="text1"/>
                <w:kern w:val="1"/>
                <w:lang w:eastAsia="ar-SA"/>
              </w:rPr>
              <w:t xml:space="preserve">apmērā: </w:t>
            </w:r>
          </w:p>
          <w:p w:rsidR="007304EB" w:rsidRPr="00623A42" w:rsidRDefault="007304EB" w:rsidP="007304EB">
            <w:pPr>
              <w:pStyle w:val="ListParagraph"/>
              <w:numPr>
                <w:ilvl w:val="0"/>
                <w:numId w:val="10"/>
              </w:numPr>
              <w:ind w:left="28" w:firstLine="425"/>
              <w:jc w:val="both"/>
              <w:rPr>
                <w:kern w:val="1"/>
                <w:lang w:eastAsia="ar-SA"/>
              </w:rPr>
            </w:pPr>
            <w:r w:rsidRPr="00623A42">
              <w:rPr>
                <w:b/>
                <w:kern w:val="1"/>
                <w:lang w:eastAsia="ar-SA"/>
              </w:rPr>
              <w:t>6</w:t>
            </w:r>
            <w:r w:rsidR="00582544">
              <w:rPr>
                <w:b/>
                <w:kern w:val="1"/>
                <w:lang w:eastAsia="ar-SA"/>
              </w:rPr>
              <w:t>04 446</w:t>
            </w:r>
            <w:r w:rsidRPr="00623A42">
              <w:rPr>
                <w:b/>
                <w:kern w:val="1"/>
                <w:lang w:eastAsia="ar-SA"/>
              </w:rPr>
              <w:t xml:space="preserve"> </w:t>
            </w:r>
            <w:r w:rsidRPr="00623A42">
              <w:rPr>
                <w:b/>
                <w:i/>
                <w:kern w:val="1"/>
                <w:lang w:eastAsia="ar-SA"/>
              </w:rPr>
              <w:t>euro</w:t>
            </w:r>
            <w:r w:rsidRPr="00623A42">
              <w:rPr>
                <w:b/>
                <w:kern w:val="1"/>
                <w:lang w:eastAsia="ar-SA"/>
              </w:rPr>
              <w:t xml:space="preserve"> </w:t>
            </w:r>
            <w:r w:rsidRPr="00623A42">
              <w:rPr>
                <w:kern w:val="1"/>
                <w:lang w:eastAsia="ar-SA"/>
              </w:rPr>
              <w:t>apmērā - lai</w:t>
            </w:r>
            <w:r w:rsidRPr="00623A42">
              <w:rPr>
                <w:b/>
                <w:kern w:val="1"/>
                <w:lang w:eastAsia="ar-SA"/>
              </w:rPr>
              <w:t xml:space="preserve"> </w:t>
            </w:r>
            <w:r w:rsidRPr="00623A42">
              <w:rPr>
                <w:kern w:val="1"/>
                <w:lang w:eastAsia="ar-SA"/>
              </w:rPr>
              <w:t xml:space="preserve">segtu izdevumus, </w:t>
            </w:r>
            <w:r w:rsidR="0062376A">
              <w:rPr>
                <w:kern w:val="1"/>
                <w:lang w:eastAsia="ar-SA"/>
              </w:rPr>
              <w:t>s</w:t>
            </w:r>
            <w:r w:rsidRPr="00623A42">
              <w:rPr>
                <w:bCs/>
                <w:kern w:val="1"/>
                <w:lang w:eastAsia="ar-SA"/>
              </w:rPr>
              <w:t>askaņā ar Publisko aģentūru likuma 14.panta otro daļu un Likuma par budžetu un finanšu vadību 6.</w:t>
            </w:r>
            <w:r w:rsidRPr="00623A42">
              <w:rPr>
                <w:bCs/>
                <w:kern w:val="1"/>
                <w:vertAlign w:val="superscript"/>
                <w:lang w:eastAsia="ar-SA"/>
              </w:rPr>
              <w:t>1</w:t>
            </w:r>
            <w:r w:rsidRPr="00623A42">
              <w:rPr>
                <w:bCs/>
                <w:kern w:val="1"/>
                <w:lang w:eastAsia="ar-SA"/>
              </w:rPr>
              <w:t xml:space="preserve"> panta piekto daļu valsts aģentūras kārtējā gada līdzekļu atlikumu var izmantot nākamajā gadā izdevumu finansēšanai, </w:t>
            </w:r>
            <w:r w:rsidRPr="00623A42">
              <w:rPr>
                <w:kern w:val="1"/>
                <w:lang w:eastAsia="ar-SA"/>
              </w:rPr>
              <w:t>tāpēc ZVA plāno 20</w:t>
            </w:r>
            <w:r w:rsidR="006E4F26" w:rsidRPr="00623A42">
              <w:rPr>
                <w:kern w:val="1"/>
                <w:lang w:eastAsia="ar-SA"/>
              </w:rPr>
              <w:t>20</w:t>
            </w:r>
            <w:r w:rsidRPr="00623A42">
              <w:rPr>
                <w:kern w:val="1"/>
                <w:lang w:eastAsia="ar-SA"/>
              </w:rPr>
              <w:t>.gadā nodrošināt šādus pasākumus:</w:t>
            </w:r>
          </w:p>
          <w:p w:rsidR="007304EB" w:rsidRPr="001D6988" w:rsidRDefault="007304EB" w:rsidP="007304EB">
            <w:pPr>
              <w:pStyle w:val="ListParagraph"/>
              <w:numPr>
                <w:ilvl w:val="0"/>
                <w:numId w:val="9"/>
              </w:numPr>
              <w:autoSpaceDE w:val="0"/>
              <w:autoSpaceDN w:val="0"/>
              <w:adjustRightInd w:val="0"/>
              <w:ind w:left="0" w:firstLine="387"/>
              <w:jc w:val="both"/>
              <w:rPr>
                <w:rFonts w:eastAsia="Calibri"/>
                <w:color w:val="000000" w:themeColor="text1"/>
                <w:lang w:eastAsia="en-US"/>
              </w:rPr>
            </w:pPr>
            <w:r w:rsidRPr="001D6988">
              <w:rPr>
                <w:rFonts w:cstheme="minorBidi"/>
                <w:b/>
                <w:color w:val="000000" w:themeColor="text1"/>
                <w:lang w:eastAsia="en-US"/>
              </w:rPr>
              <w:t xml:space="preserve">71 352 </w:t>
            </w:r>
            <w:r w:rsidRPr="001D6988">
              <w:rPr>
                <w:rFonts w:cstheme="minorBidi"/>
                <w:b/>
                <w:i/>
                <w:color w:val="000000" w:themeColor="text1"/>
                <w:lang w:eastAsia="en-US"/>
              </w:rPr>
              <w:t xml:space="preserve">euro </w:t>
            </w:r>
            <w:r w:rsidRPr="001D6988">
              <w:rPr>
                <w:rFonts w:cstheme="minorBidi"/>
                <w:b/>
                <w:color w:val="000000" w:themeColor="text1"/>
                <w:lang w:eastAsia="en-US"/>
              </w:rPr>
              <w:t>apmērā</w:t>
            </w:r>
            <w:r w:rsidRPr="001D6988">
              <w:rPr>
                <w:rFonts w:cstheme="minorBidi"/>
                <w:color w:val="000000" w:themeColor="text1"/>
                <w:lang w:eastAsia="en-US"/>
              </w:rPr>
              <w:t xml:space="preserve"> –</w:t>
            </w:r>
            <w:r w:rsidRPr="001D6988">
              <w:rPr>
                <w:rFonts w:eastAsiaTheme="minorHAnsi" w:cstheme="minorBidi"/>
                <w:color w:val="000000" w:themeColor="text1"/>
                <w:lang w:eastAsia="en-US"/>
              </w:rPr>
              <w:t xml:space="preserve"> audu, šūnu un orgānu ieguves un izmantošanas vietu, asins kabinetu, asins sagatavošanas nodaļu un Valsts asinsdonoru centra atbilstības novērtēšanai un uzraudzībai</w:t>
            </w:r>
            <w:r w:rsidR="00BD4833">
              <w:rPr>
                <w:rFonts w:eastAsiaTheme="minorHAnsi" w:cstheme="minorBidi"/>
                <w:color w:val="000000" w:themeColor="text1"/>
                <w:lang w:eastAsia="en-US"/>
              </w:rPr>
              <w:t xml:space="preserve"> (</w:t>
            </w:r>
            <w:r w:rsidR="00BD4833" w:rsidRPr="008647FD">
              <w:rPr>
                <w:rFonts w:eastAsiaTheme="minorHAnsi"/>
                <w:lang w:eastAsia="en-US"/>
              </w:rPr>
              <w:t xml:space="preserve">51 719 </w:t>
            </w:r>
            <w:r w:rsidR="00BD4833" w:rsidRPr="008647FD">
              <w:rPr>
                <w:i/>
                <w:lang w:eastAsia="en-US"/>
              </w:rPr>
              <w:t>euro</w:t>
            </w:r>
            <w:r w:rsidR="00BD4833" w:rsidRPr="008647FD">
              <w:rPr>
                <w:rFonts w:eastAsiaTheme="minorHAnsi"/>
                <w:lang w:eastAsia="en-US"/>
              </w:rPr>
              <w:t xml:space="preserve"> – atlīdzībai; </w:t>
            </w:r>
            <w:r w:rsidR="00BD4833" w:rsidRPr="008647FD">
              <w:rPr>
                <w:rFonts w:eastAsia="Calibri"/>
                <w:lang w:eastAsia="en-US"/>
              </w:rPr>
              <w:t xml:space="preserve">14 889 </w:t>
            </w:r>
            <w:r w:rsidR="00BD4833" w:rsidRPr="008647FD">
              <w:rPr>
                <w:i/>
                <w:lang w:eastAsia="en-US"/>
              </w:rPr>
              <w:t>euro</w:t>
            </w:r>
            <w:r w:rsidR="00BD4833" w:rsidRPr="008647FD">
              <w:rPr>
                <w:rFonts w:eastAsia="Calibri"/>
                <w:lang w:eastAsia="en-US"/>
              </w:rPr>
              <w:t xml:space="preserve"> – precēm un pakalpojumiem; 4 744 </w:t>
            </w:r>
            <w:r w:rsidR="00BD4833" w:rsidRPr="008647FD">
              <w:rPr>
                <w:i/>
                <w:lang w:eastAsia="en-US"/>
              </w:rPr>
              <w:t>euro</w:t>
            </w:r>
            <w:r w:rsidR="00BD4833" w:rsidRPr="008647FD">
              <w:rPr>
                <w:rFonts w:eastAsia="Calibri"/>
                <w:lang w:eastAsia="en-US"/>
              </w:rPr>
              <w:t xml:space="preserve"> – kapitālajiem izdevumiem</w:t>
            </w:r>
            <w:r w:rsidR="00BD4833">
              <w:rPr>
                <w:rFonts w:eastAsia="Calibri"/>
                <w:lang w:eastAsia="en-US"/>
              </w:rPr>
              <w:t>)</w:t>
            </w:r>
            <w:r w:rsidR="003B111D">
              <w:rPr>
                <w:rFonts w:eastAsia="Calibri"/>
                <w:color w:val="000000" w:themeColor="text1"/>
                <w:lang w:eastAsia="en-US"/>
              </w:rPr>
              <w:t>.</w:t>
            </w:r>
          </w:p>
          <w:p w:rsidR="007304EB" w:rsidRPr="001D6988" w:rsidRDefault="007304EB" w:rsidP="007304EB">
            <w:pPr>
              <w:pStyle w:val="ListParagraph"/>
              <w:numPr>
                <w:ilvl w:val="0"/>
                <w:numId w:val="9"/>
              </w:numPr>
              <w:autoSpaceDE w:val="0"/>
              <w:autoSpaceDN w:val="0"/>
              <w:adjustRightInd w:val="0"/>
              <w:ind w:left="0" w:firstLine="453"/>
              <w:jc w:val="both"/>
              <w:rPr>
                <w:rFonts w:eastAsia="Calibri"/>
                <w:color w:val="000000" w:themeColor="text1"/>
                <w:lang w:eastAsia="en-US"/>
              </w:rPr>
            </w:pPr>
            <w:r w:rsidRPr="00D160B7">
              <w:rPr>
                <w:b/>
                <w:color w:val="000000" w:themeColor="text1"/>
                <w:lang w:eastAsia="en-US"/>
              </w:rPr>
              <w:t xml:space="preserve">128 417 </w:t>
            </w:r>
            <w:r w:rsidRPr="00D160B7">
              <w:rPr>
                <w:b/>
                <w:i/>
                <w:color w:val="000000" w:themeColor="text1"/>
                <w:lang w:eastAsia="en-US"/>
              </w:rPr>
              <w:t>euro</w:t>
            </w:r>
            <w:r w:rsidRPr="001D6988">
              <w:rPr>
                <w:rFonts w:eastAsia="Calibri"/>
                <w:b/>
                <w:color w:val="000000" w:themeColor="text1"/>
                <w:lang w:eastAsia="en-US"/>
              </w:rPr>
              <w:t xml:space="preserve"> </w:t>
            </w:r>
            <w:r w:rsidRPr="001D6988">
              <w:rPr>
                <w:b/>
                <w:color w:val="000000" w:themeColor="text1"/>
                <w:lang w:eastAsia="en-US"/>
              </w:rPr>
              <w:t>apmērā</w:t>
            </w:r>
            <w:r w:rsidRPr="001D6988">
              <w:rPr>
                <w:rFonts w:eastAsia="Calibri"/>
                <w:color w:val="000000" w:themeColor="text1"/>
                <w:lang w:eastAsia="en-US"/>
              </w:rPr>
              <w:t xml:space="preserve"> – Latvijā ražotu medicīnisko ierīču reģistrēšanai, atļauju speciāli piegādāto medicīnisko ierīču laišanai apgrozībā izsniegšanai, kā arī medicīnisko ierīču vigilances veikšanai un </w:t>
            </w:r>
            <w:r w:rsidRPr="001D6988">
              <w:rPr>
                <w:rFonts w:eastAsiaTheme="minorHAnsi" w:cstheme="minorBidi"/>
                <w:color w:val="000000" w:themeColor="text1"/>
                <w:lang w:eastAsia="en-US"/>
              </w:rPr>
              <w:t>atļauju izsniegšanai medicīnisko ierīču klīniskās izpētes veikšanai</w:t>
            </w:r>
            <w:r w:rsidR="009B0C57">
              <w:rPr>
                <w:rFonts w:eastAsiaTheme="minorHAnsi" w:cstheme="minorBidi"/>
                <w:color w:val="000000" w:themeColor="text1"/>
                <w:lang w:eastAsia="en-US"/>
              </w:rPr>
              <w:t xml:space="preserve"> </w:t>
            </w:r>
            <w:r w:rsidR="009B0C57" w:rsidRPr="008647FD">
              <w:rPr>
                <w:rFonts w:eastAsiaTheme="minorHAnsi" w:cstheme="minorBidi"/>
                <w:lang w:eastAsia="en-US"/>
              </w:rPr>
              <w:t>(</w:t>
            </w:r>
            <w:r w:rsidR="009B0C57" w:rsidRPr="008647FD">
              <w:rPr>
                <w:rFonts w:eastAsiaTheme="minorHAnsi"/>
                <w:lang w:eastAsia="en-US"/>
              </w:rPr>
              <w:t xml:space="preserve">89 151 </w:t>
            </w:r>
            <w:r w:rsidR="009B0C57" w:rsidRPr="008647FD">
              <w:rPr>
                <w:i/>
                <w:lang w:eastAsia="en-US"/>
              </w:rPr>
              <w:t>euro</w:t>
            </w:r>
            <w:r w:rsidR="009B0C57" w:rsidRPr="008647FD">
              <w:rPr>
                <w:rFonts w:eastAsiaTheme="minorHAnsi"/>
                <w:lang w:eastAsia="en-US"/>
              </w:rPr>
              <w:t xml:space="preserve"> – atlīdzībai; </w:t>
            </w:r>
            <w:r w:rsidR="009B0C57" w:rsidRPr="008647FD">
              <w:rPr>
                <w:rFonts w:eastAsia="Calibri"/>
                <w:lang w:eastAsia="en-US"/>
              </w:rPr>
              <w:t xml:space="preserve">29 778 </w:t>
            </w:r>
            <w:r w:rsidR="009B0C57" w:rsidRPr="008647FD">
              <w:rPr>
                <w:i/>
                <w:lang w:eastAsia="en-US"/>
              </w:rPr>
              <w:t>euro</w:t>
            </w:r>
            <w:r w:rsidR="009B0C57" w:rsidRPr="008647FD">
              <w:rPr>
                <w:rFonts w:eastAsia="Calibri"/>
                <w:lang w:eastAsia="en-US"/>
              </w:rPr>
              <w:t xml:space="preserve"> – precēm un pakalpojumiem; 9</w:t>
            </w:r>
            <w:r w:rsidR="009B0C57">
              <w:rPr>
                <w:rFonts w:eastAsia="Calibri"/>
                <w:lang w:eastAsia="en-US"/>
              </w:rPr>
              <w:t> </w:t>
            </w:r>
            <w:r w:rsidR="009B0C57" w:rsidRPr="008647FD">
              <w:rPr>
                <w:rFonts w:eastAsia="Calibri"/>
                <w:lang w:eastAsia="en-US"/>
              </w:rPr>
              <w:t>488</w:t>
            </w:r>
            <w:r w:rsidR="009B0C57">
              <w:rPr>
                <w:rFonts w:eastAsia="Calibri"/>
                <w:lang w:eastAsia="en-US"/>
              </w:rPr>
              <w:t> </w:t>
            </w:r>
            <w:r w:rsidR="009B0C57" w:rsidRPr="008647FD">
              <w:rPr>
                <w:rFonts w:eastAsia="Calibri"/>
                <w:lang w:eastAsia="en-US"/>
              </w:rPr>
              <w:t xml:space="preserve"> </w:t>
            </w:r>
            <w:r w:rsidR="009B0C57" w:rsidRPr="008647FD">
              <w:rPr>
                <w:i/>
                <w:lang w:eastAsia="en-US"/>
              </w:rPr>
              <w:t>euro</w:t>
            </w:r>
            <w:r w:rsidR="009B0C57" w:rsidRPr="008647FD">
              <w:rPr>
                <w:rFonts w:eastAsia="Calibri"/>
                <w:lang w:eastAsia="en-US"/>
              </w:rPr>
              <w:t xml:space="preserve"> – kapitālajiem izdevumiem</w:t>
            </w:r>
            <w:r w:rsidR="009B0C57">
              <w:rPr>
                <w:rFonts w:eastAsia="Calibri"/>
                <w:lang w:eastAsia="en-US"/>
              </w:rPr>
              <w:t>)</w:t>
            </w:r>
            <w:r w:rsidR="003B111D">
              <w:rPr>
                <w:rFonts w:eastAsia="Calibri"/>
                <w:color w:val="000000" w:themeColor="text1"/>
                <w:lang w:eastAsia="en-US"/>
              </w:rPr>
              <w:t>.</w:t>
            </w:r>
          </w:p>
          <w:p w:rsidR="0001404F" w:rsidRPr="00621810" w:rsidRDefault="007304EB" w:rsidP="0001404F">
            <w:pPr>
              <w:pStyle w:val="ListParagraph"/>
              <w:numPr>
                <w:ilvl w:val="0"/>
                <w:numId w:val="9"/>
              </w:numPr>
              <w:autoSpaceDE w:val="0"/>
              <w:autoSpaceDN w:val="0"/>
              <w:adjustRightInd w:val="0"/>
              <w:ind w:left="0" w:firstLine="453"/>
              <w:jc w:val="both"/>
              <w:rPr>
                <w:rFonts w:eastAsia="Calibri"/>
                <w:color w:val="000000" w:themeColor="text1"/>
                <w:lang w:eastAsia="en-US"/>
              </w:rPr>
            </w:pPr>
            <w:r w:rsidRPr="00621810">
              <w:rPr>
                <w:b/>
                <w:color w:val="000000" w:themeColor="text1"/>
                <w:lang w:eastAsia="en-US"/>
              </w:rPr>
              <w:t xml:space="preserve">404 677 </w:t>
            </w:r>
            <w:r w:rsidRPr="00621810">
              <w:rPr>
                <w:b/>
                <w:i/>
                <w:color w:val="000000" w:themeColor="text1"/>
                <w:lang w:eastAsia="en-US"/>
              </w:rPr>
              <w:t>euro</w:t>
            </w:r>
            <w:r w:rsidRPr="00621810">
              <w:rPr>
                <w:b/>
                <w:color w:val="000000" w:themeColor="text1"/>
                <w:lang w:eastAsia="en-US"/>
              </w:rPr>
              <w:t xml:space="preserve"> apmērā </w:t>
            </w:r>
            <w:r w:rsidRPr="00621810">
              <w:rPr>
                <w:rFonts w:eastAsia="Calibri"/>
                <w:color w:val="000000" w:themeColor="text1"/>
                <w:lang w:eastAsia="en-US"/>
              </w:rPr>
              <w:t>– norēķiniem par iepriekšējā pārskata perioda izdevumiem</w:t>
            </w:r>
            <w:r w:rsidR="009B0C57" w:rsidRPr="00621810">
              <w:rPr>
                <w:rFonts w:eastAsia="Calibri"/>
                <w:color w:val="000000" w:themeColor="text1"/>
                <w:lang w:eastAsia="en-US"/>
              </w:rPr>
              <w:t xml:space="preserve"> (</w:t>
            </w:r>
            <w:r w:rsidR="009B0C57" w:rsidRPr="00621810">
              <w:rPr>
                <w:rFonts w:eastAsiaTheme="minorHAnsi"/>
                <w:lang w:eastAsia="en-US"/>
              </w:rPr>
              <w:t xml:space="preserve">244 246 </w:t>
            </w:r>
            <w:r w:rsidR="009B0C57" w:rsidRPr="00621810">
              <w:rPr>
                <w:i/>
                <w:lang w:eastAsia="en-US"/>
              </w:rPr>
              <w:t>euro</w:t>
            </w:r>
            <w:r w:rsidR="009B0C57" w:rsidRPr="00621810">
              <w:rPr>
                <w:rFonts w:eastAsiaTheme="minorHAnsi"/>
                <w:lang w:eastAsia="en-US"/>
              </w:rPr>
              <w:t xml:space="preserve"> – atlīdzībai; </w:t>
            </w:r>
            <w:r w:rsidR="006C5D2B" w:rsidRPr="00621810">
              <w:rPr>
                <w:rFonts w:eastAsia="Calibri"/>
                <w:lang w:eastAsia="en-US"/>
              </w:rPr>
              <w:t>64 047</w:t>
            </w:r>
            <w:r w:rsidR="009B0C57" w:rsidRPr="00621810">
              <w:rPr>
                <w:rFonts w:eastAsia="Calibri"/>
                <w:lang w:eastAsia="en-US"/>
              </w:rPr>
              <w:t xml:space="preserve"> </w:t>
            </w:r>
            <w:r w:rsidR="009B0C57" w:rsidRPr="00621810">
              <w:rPr>
                <w:i/>
                <w:lang w:eastAsia="en-US"/>
              </w:rPr>
              <w:t>euro</w:t>
            </w:r>
            <w:r w:rsidR="009B0C57" w:rsidRPr="00621810">
              <w:rPr>
                <w:rFonts w:eastAsia="Calibri"/>
                <w:lang w:eastAsia="en-US"/>
              </w:rPr>
              <w:t xml:space="preserve"> – precēm un pakalpojumiem; </w:t>
            </w:r>
            <w:r w:rsidR="006C5D2B" w:rsidRPr="00621810">
              <w:rPr>
                <w:rFonts w:eastAsia="Calibri"/>
                <w:lang w:eastAsia="en-US"/>
              </w:rPr>
              <w:t>96 384</w:t>
            </w:r>
            <w:r w:rsidR="009B0C57" w:rsidRPr="00621810">
              <w:rPr>
                <w:rFonts w:eastAsia="Calibri"/>
                <w:lang w:eastAsia="en-US"/>
              </w:rPr>
              <w:t xml:space="preserve"> </w:t>
            </w:r>
            <w:r w:rsidR="009B0C57" w:rsidRPr="00621810">
              <w:rPr>
                <w:i/>
                <w:lang w:eastAsia="en-US"/>
              </w:rPr>
              <w:t>euro</w:t>
            </w:r>
            <w:r w:rsidR="009B0C57" w:rsidRPr="00621810">
              <w:rPr>
                <w:rFonts w:eastAsia="Calibri"/>
                <w:lang w:eastAsia="en-US"/>
              </w:rPr>
              <w:t xml:space="preserve"> – kapitālajiem izdevumiem)</w:t>
            </w:r>
            <w:r w:rsidR="003463B1" w:rsidRPr="00621810">
              <w:rPr>
                <w:rFonts w:eastAsia="Calibri"/>
                <w:color w:val="000000" w:themeColor="text1"/>
                <w:lang w:eastAsia="en-US"/>
              </w:rPr>
              <w:t>.</w:t>
            </w:r>
          </w:p>
          <w:p w:rsidR="003463B1" w:rsidRPr="003463B1" w:rsidRDefault="003463B1" w:rsidP="003463B1">
            <w:pPr>
              <w:autoSpaceDE w:val="0"/>
              <w:autoSpaceDN w:val="0"/>
              <w:adjustRightInd w:val="0"/>
              <w:jc w:val="both"/>
              <w:rPr>
                <w:rFonts w:eastAsia="Calibri"/>
                <w:color w:val="000000" w:themeColor="text1"/>
                <w:lang w:eastAsia="en-US"/>
              </w:rPr>
            </w:pPr>
          </w:p>
          <w:p w:rsidR="007304EB" w:rsidRPr="00087578" w:rsidRDefault="007304EB" w:rsidP="007304EB">
            <w:pPr>
              <w:pStyle w:val="ListParagraph"/>
              <w:numPr>
                <w:ilvl w:val="0"/>
                <w:numId w:val="8"/>
              </w:numPr>
              <w:ind w:left="0" w:firstLine="453"/>
              <w:jc w:val="both"/>
              <w:rPr>
                <w:color w:val="FF0000"/>
                <w:lang w:eastAsia="en-US"/>
              </w:rPr>
            </w:pPr>
            <w:r w:rsidRPr="00087578">
              <w:rPr>
                <w:rFonts w:eastAsiaTheme="minorHAnsi" w:cstheme="minorBidi"/>
                <w:b/>
                <w:i/>
                <w:lang w:eastAsia="en-US"/>
              </w:rPr>
              <w:lastRenderedPageBreak/>
              <w:t>Veselības ministrijai</w:t>
            </w:r>
            <w:r w:rsidRPr="00087578">
              <w:rPr>
                <w:rFonts w:eastAsiaTheme="minorHAnsi" w:cstheme="minorBidi"/>
                <w:b/>
                <w:lang w:eastAsia="en-US"/>
              </w:rPr>
              <w:t xml:space="preserve"> </w:t>
            </w:r>
            <w:r w:rsidRPr="00087578">
              <w:rPr>
                <w:rFonts w:eastAsiaTheme="minorHAnsi" w:cstheme="minorBidi"/>
                <w:lang w:eastAsia="en-US"/>
              </w:rPr>
              <w:t>nepieciešami finanšu līdzekļi</w:t>
            </w:r>
            <w:r w:rsidRPr="00087578">
              <w:rPr>
                <w:rFonts w:eastAsiaTheme="minorHAnsi"/>
                <w:lang w:eastAsia="en-US"/>
              </w:rPr>
              <w:t xml:space="preserve"> –</w:t>
            </w:r>
            <w:r w:rsidR="00991951">
              <w:rPr>
                <w:rFonts w:eastAsiaTheme="minorHAnsi"/>
                <w:lang w:eastAsia="en-US"/>
              </w:rPr>
              <w:t xml:space="preserve"> </w:t>
            </w:r>
            <w:r w:rsidR="00991951" w:rsidRPr="00991951">
              <w:rPr>
                <w:rFonts w:eastAsiaTheme="minorHAnsi"/>
                <w:b/>
                <w:bCs/>
                <w:lang w:eastAsia="en-US"/>
              </w:rPr>
              <w:t>106</w:t>
            </w:r>
            <w:r w:rsidR="00991951">
              <w:rPr>
                <w:rFonts w:eastAsiaTheme="minorHAnsi"/>
                <w:b/>
                <w:bCs/>
                <w:lang w:eastAsia="en-US"/>
              </w:rPr>
              <w:t> </w:t>
            </w:r>
            <w:r w:rsidR="00991951" w:rsidRPr="00991951">
              <w:rPr>
                <w:rFonts w:eastAsiaTheme="minorHAnsi"/>
                <w:b/>
                <w:bCs/>
                <w:lang w:eastAsia="en-US"/>
              </w:rPr>
              <w:t>415</w:t>
            </w:r>
            <w:r w:rsidRPr="00C41408">
              <w:rPr>
                <w:rFonts w:eastAsiaTheme="minorHAnsi"/>
                <w:b/>
                <w:lang w:eastAsia="en-US"/>
              </w:rPr>
              <w:t> </w:t>
            </w:r>
            <w:r w:rsidRPr="00C41408">
              <w:rPr>
                <w:rFonts w:eastAsiaTheme="minorHAnsi"/>
                <w:b/>
                <w:i/>
                <w:lang w:eastAsia="en-US"/>
              </w:rPr>
              <w:t>euro</w:t>
            </w:r>
            <w:r w:rsidRPr="00087578">
              <w:rPr>
                <w:rFonts w:eastAsiaTheme="minorHAnsi"/>
                <w:lang w:eastAsia="en-US"/>
              </w:rPr>
              <w:t xml:space="preserve"> apmērā,</w:t>
            </w:r>
            <w:r w:rsidR="007D6923" w:rsidRPr="00087578">
              <w:rPr>
                <w:rFonts w:eastAsiaTheme="minorHAnsi"/>
                <w:lang w:eastAsia="en-US"/>
              </w:rPr>
              <w:t xml:space="preserve"> lai veiktu OECD pētījumu “Par Latvijas sabiedrības veselību”, </w:t>
            </w:r>
            <w:bookmarkStart w:id="0" w:name="_Hlk11068327"/>
            <w:r w:rsidR="007D6923" w:rsidRPr="00087578">
              <w:rPr>
                <w:rFonts w:eastAsiaTheme="minorHAnsi"/>
                <w:lang w:eastAsia="en-US"/>
              </w:rPr>
              <w:t xml:space="preserve">Horizon </w:t>
            </w:r>
            <w:r w:rsidR="007D6923" w:rsidRPr="0098330B">
              <w:rPr>
                <w:rFonts w:eastAsiaTheme="minorHAnsi"/>
                <w:lang w:eastAsia="en-US"/>
              </w:rPr>
              <w:t>un Namejs</w:t>
            </w:r>
            <w:r w:rsidR="007D6923" w:rsidRPr="00087578">
              <w:rPr>
                <w:rFonts w:eastAsiaTheme="minorHAnsi"/>
                <w:lang w:eastAsia="en-US"/>
              </w:rPr>
              <w:t xml:space="preserve"> sistēmu uzturēšanai</w:t>
            </w:r>
            <w:bookmarkEnd w:id="0"/>
            <w:r w:rsidR="007D6923" w:rsidRPr="00087578">
              <w:rPr>
                <w:rFonts w:eastAsiaTheme="minorHAnsi"/>
                <w:lang w:eastAsia="en-US"/>
              </w:rPr>
              <w:t>, attīstībai</w:t>
            </w:r>
            <w:r w:rsidR="007D6923">
              <w:rPr>
                <w:rFonts w:eastAsiaTheme="minorHAnsi"/>
                <w:lang w:eastAsia="en-US"/>
              </w:rPr>
              <w:t xml:space="preserve"> </w:t>
            </w:r>
            <w:r w:rsidR="007D6923" w:rsidRPr="006136AE">
              <w:rPr>
                <w:rFonts w:eastAsiaTheme="minorHAnsi"/>
                <w:lang w:eastAsia="en-US"/>
              </w:rPr>
              <w:t>un centralizētas Microsoft programmatūras nomas nodrošināšanai</w:t>
            </w:r>
            <w:r w:rsidR="007D6923">
              <w:rPr>
                <w:rFonts w:eastAsiaTheme="minorHAnsi"/>
                <w:lang w:eastAsia="en-US"/>
              </w:rPr>
              <w:t>.</w:t>
            </w:r>
          </w:p>
          <w:p w:rsidR="0098330B" w:rsidRDefault="007304EB" w:rsidP="00F13170">
            <w:pPr>
              <w:jc w:val="both"/>
              <w:rPr>
                <w:kern w:val="1"/>
                <w:lang w:eastAsia="ar-SA"/>
              </w:rPr>
            </w:pPr>
            <w:r w:rsidRPr="00087578">
              <w:rPr>
                <w:kern w:val="1"/>
                <w:lang w:eastAsia="ar-SA"/>
              </w:rPr>
              <w:t>Ņemot vērā iepriekš minēto, nepieciešams valdības konceptuāls atbalsts līdzekļu pārdalei.</w:t>
            </w:r>
          </w:p>
          <w:p w:rsidR="00864FAC" w:rsidRPr="00175B2E" w:rsidRDefault="00864FAC" w:rsidP="00DE62F5">
            <w:pPr>
              <w:ind w:firstLine="453"/>
              <w:jc w:val="both"/>
            </w:pPr>
            <w:r>
              <w:t>2019.gada 10.decembrī tika pieņemti Ministru kabineta noteikumi Nr. 641 “Zāļu valsts aģentūras cenrādis”</w:t>
            </w:r>
            <w:r w:rsidR="006B7AB1">
              <w:t xml:space="preserve"> (turpmāk – ZVA cenrādis)</w:t>
            </w:r>
            <w:r>
              <w:t xml:space="preserve"> (stājās spēkā 2020.gada 1.janvārī).</w:t>
            </w:r>
            <w:r w:rsidRPr="004B0FA8">
              <w:t xml:space="preserve"> </w:t>
            </w:r>
            <w:r w:rsidRPr="00517D46">
              <w:t>Aktualizējot maksas pakalpojumu izcenojumus atbilstoši</w:t>
            </w:r>
            <w:r w:rsidR="00417B00">
              <w:t xml:space="preserve">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Pr="00517D46">
              <w:t xml:space="preserve"> prasībām, tika izvērtēti katra maksas pakalpojuma nodrošināšanai nepieciešamie tiešie un netiešie izdevumi</w:t>
            </w:r>
            <w:r>
              <w:t>. Z</w:t>
            </w:r>
            <w:r w:rsidR="001C49F5">
              <w:t>VA</w:t>
            </w:r>
            <w:r>
              <w:t xml:space="preserve"> cenrādis tika </w:t>
            </w:r>
            <w:r w:rsidRPr="00D23A67">
              <w:t>papildināt</w:t>
            </w:r>
            <w:r>
              <w:t>s</w:t>
            </w:r>
            <w:r w:rsidRPr="00D23A67">
              <w:t xml:space="preserve"> </w:t>
            </w:r>
            <w:r>
              <w:t>ar jauniem pakalpojuma veidiem.</w:t>
            </w:r>
            <w:r w:rsidRPr="00D23A67">
              <w:t xml:space="preserve"> </w:t>
            </w:r>
            <w:r>
              <w:t>R</w:t>
            </w:r>
            <w:r w:rsidRPr="00D23A67">
              <w:t xml:space="preserve">ezultātā </w:t>
            </w:r>
            <w:r>
              <w:t xml:space="preserve">2020.gadā un </w:t>
            </w:r>
            <w:r w:rsidRPr="00D23A67">
              <w:t xml:space="preserve">turpmāk ik gadu ieņēmumi no sniegtajiem maksas pakalpojumiem </w:t>
            </w:r>
            <w:r>
              <w:t xml:space="preserve">palielināsies par 12 727 </w:t>
            </w:r>
            <w:r w:rsidRPr="00D23A67">
              <w:rPr>
                <w:i/>
              </w:rPr>
              <w:t>euro</w:t>
            </w:r>
            <w:r>
              <w:t>.</w:t>
            </w:r>
            <w:r w:rsidRPr="00D23A67">
              <w:t xml:space="preserve"> </w:t>
            </w:r>
            <w:r w:rsidRPr="000A4E9A">
              <w:t xml:space="preserve">Maksas pakalpojumu ieņēmumi ļaus segt ar pakalpojumu sniegšanu radītās </w:t>
            </w:r>
            <w:r w:rsidR="00B14978">
              <w:t>ZVA</w:t>
            </w:r>
            <w:r w:rsidRPr="000A4E9A">
              <w:t xml:space="preserve"> izmaksas.</w:t>
            </w:r>
            <w:r w:rsidRPr="00517D46">
              <w:t xml:space="preserve"> </w:t>
            </w:r>
            <w:r w:rsidRPr="00517D46">
              <w:rPr>
                <w:color w:val="000000" w:themeColor="text1"/>
                <w:shd w:val="clear" w:color="auto" w:fill="FFFFFF"/>
              </w:rPr>
              <w:t>20</w:t>
            </w:r>
            <w:r>
              <w:rPr>
                <w:color w:val="000000" w:themeColor="text1"/>
                <w:shd w:val="clear" w:color="auto" w:fill="FFFFFF"/>
              </w:rPr>
              <w:t>20</w:t>
            </w:r>
            <w:r w:rsidRPr="00517D46">
              <w:rPr>
                <w:color w:val="000000" w:themeColor="text1"/>
                <w:shd w:val="clear" w:color="auto" w:fill="FFFFFF"/>
              </w:rPr>
              <w:t xml:space="preserve">.gadā un turpmāk ik gadu </w:t>
            </w:r>
            <w:r w:rsidR="00B14978">
              <w:rPr>
                <w:color w:val="000000" w:themeColor="text1"/>
                <w:shd w:val="clear" w:color="auto" w:fill="FFFFFF"/>
              </w:rPr>
              <w:t>ZVA</w:t>
            </w:r>
            <w:r w:rsidRPr="00517D46">
              <w:rPr>
                <w:color w:val="000000" w:themeColor="text1"/>
                <w:shd w:val="clear" w:color="auto" w:fill="FFFFFF"/>
              </w:rPr>
              <w:t xml:space="preserve"> plānoti ieņēmumi no maksas pakalpojumiem</w:t>
            </w:r>
            <w:r>
              <w:rPr>
                <w:color w:val="000000" w:themeColor="text1"/>
                <w:shd w:val="clear" w:color="auto" w:fill="FFFFFF"/>
              </w:rPr>
              <w:t xml:space="preserve"> </w:t>
            </w:r>
            <w:r w:rsidRPr="00517D46">
              <w:rPr>
                <w:color w:val="000000" w:themeColor="text1"/>
                <w:shd w:val="clear" w:color="auto" w:fill="FFFFFF"/>
              </w:rPr>
              <w:t xml:space="preserve">un tiem atbilstoši izdevumi </w:t>
            </w:r>
            <w:r w:rsidRPr="00517D46">
              <w:rPr>
                <w:b/>
                <w:color w:val="000000" w:themeColor="text1"/>
                <w:shd w:val="clear" w:color="auto" w:fill="FFFFFF"/>
              </w:rPr>
              <w:t>4</w:t>
            </w:r>
            <w:r>
              <w:rPr>
                <w:color w:val="000000" w:themeColor="text1"/>
                <w:shd w:val="clear" w:color="auto" w:fill="FFFFFF"/>
              </w:rPr>
              <w:t>  </w:t>
            </w:r>
            <w:r w:rsidRPr="00735390">
              <w:rPr>
                <w:b/>
                <w:color w:val="000000" w:themeColor="text1"/>
                <w:shd w:val="clear" w:color="auto" w:fill="FFFFFF"/>
              </w:rPr>
              <w:t xml:space="preserve">903 201 </w:t>
            </w:r>
            <w:r w:rsidRPr="00735390">
              <w:rPr>
                <w:i/>
                <w:color w:val="000000" w:themeColor="text1"/>
                <w:shd w:val="clear" w:color="auto" w:fill="FFFFFF"/>
              </w:rPr>
              <w:t>euro</w:t>
            </w:r>
            <w:r w:rsidRPr="00735390">
              <w:rPr>
                <w:color w:val="000000" w:themeColor="text1"/>
                <w:shd w:val="clear" w:color="auto" w:fill="FFFFFF"/>
              </w:rPr>
              <w:t xml:space="preserve"> apmērā </w:t>
            </w:r>
            <w:r w:rsidRPr="00517D46">
              <w:rPr>
                <w:color w:val="000000" w:themeColor="text1"/>
                <w:shd w:val="clear" w:color="auto" w:fill="FFFFFF"/>
              </w:rPr>
              <w:t xml:space="preserve">šādā sadalījumā pa </w:t>
            </w:r>
            <w:r w:rsidRPr="00175B2E">
              <w:rPr>
                <w:shd w:val="clear" w:color="auto" w:fill="FFFFFF"/>
              </w:rPr>
              <w:t>izdevumu kodiem atbilstoši ekonomiskajām kategorijām</w:t>
            </w:r>
            <w:r w:rsidRPr="00175B2E">
              <w:t>:</w:t>
            </w:r>
          </w:p>
          <w:p w:rsidR="00864FAC" w:rsidRPr="00175B2E" w:rsidRDefault="00864FAC" w:rsidP="00864FAC">
            <w:r w:rsidRPr="00175B2E">
              <w:t xml:space="preserve">EKK 1000 (Atlīdzība) - </w:t>
            </w:r>
            <w:r>
              <w:t>3 006 978</w:t>
            </w:r>
            <w:r w:rsidRPr="00175B2E">
              <w:t xml:space="preserve"> </w:t>
            </w:r>
            <w:r w:rsidRPr="00175B2E">
              <w:rPr>
                <w:i/>
              </w:rPr>
              <w:t>euro</w:t>
            </w:r>
            <w:r w:rsidRPr="00175B2E">
              <w:t>;</w:t>
            </w:r>
          </w:p>
          <w:p w:rsidR="00864FAC" w:rsidRPr="00175B2E" w:rsidRDefault="00864FAC" w:rsidP="00864FAC">
            <w:r w:rsidRPr="00175B2E">
              <w:t xml:space="preserve">EKK 2000 (Preces un pakalpojumi) - </w:t>
            </w:r>
            <w:r>
              <w:t>1 572 522</w:t>
            </w:r>
            <w:r w:rsidRPr="00175B2E">
              <w:t xml:space="preserve"> </w:t>
            </w:r>
            <w:r w:rsidRPr="00175B2E">
              <w:rPr>
                <w:i/>
              </w:rPr>
              <w:t>euro</w:t>
            </w:r>
            <w:r w:rsidRPr="00175B2E">
              <w:t>;</w:t>
            </w:r>
          </w:p>
          <w:p w:rsidR="00864FAC" w:rsidRDefault="00864FAC" w:rsidP="00864FAC">
            <w:pPr>
              <w:rPr>
                <w:i/>
              </w:rPr>
            </w:pPr>
            <w:r w:rsidRPr="00175B2E">
              <w:t xml:space="preserve">EKK 5000 (Pamatkapitāla veidošana) - </w:t>
            </w:r>
            <w:r>
              <w:t>323 701</w:t>
            </w:r>
            <w:r w:rsidRPr="00175B2E">
              <w:t xml:space="preserve"> </w:t>
            </w:r>
            <w:r w:rsidRPr="00175B2E">
              <w:rPr>
                <w:i/>
              </w:rPr>
              <w:t>euro.</w:t>
            </w:r>
          </w:p>
          <w:p w:rsidR="00990F64" w:rsidRDefault="00990F64" w:rsidP="00864FAC">
            <w:pPr>
              <w:rPr>
                <w:iCs/>
              </w:rPr>
            </w:pPr>
          </w:p>
          <w:p w:rsidR="00990F64" w:rsidRDefault="00990F64" w:rsidP="00990F64">
            <w:pPr>
              <w:ind w:firstLine="720"/>
              <w:jc w:val="both"/>
            </w:pPr>
            <w:r>
              <w:t xml:space="preserve">Atbilstoši Ministru kabineta 2018.gada 29.maija rīkojumam Nr.227 </w:t>
            </w:r>
            <w:r w:rsidRPr="00B65A10">
              <w:t>2020.gadā</w:t>
            </w:r>
            <w:r>
              <w:t xml:space="preserve"> un turpmāk ik gadu veicot pārdali no Nacionālā veselības dienesta (budžeta programma 45.00.00 „Veselības aprūpes finansējuma administrēšana” apakšprogramma 45.01.00 „Veselības aprūpes finansējuma administrēšana un ekonomiskā novērtēšana”) uz Veselības ministriju (budžeta programma 97.00.00 “Nozares vadība un politikas plānošana”) starp izdevumu kodiem, Veselības ministrijai ieplānojot EKK 7470 “</w:t>
            </w:r>
            <w:r>
              <w:rPr>
                <w:bdr w:val="none" w:sz="0" w:space="0" w:color="auto" w:frame="1"/>
                <w:shd w:val="clear" w:color="auto" w:fill="FFFFFF"/>
              </w:rPr>
              <w:t>Pārējie valsts budžeta uzturēšanas izdevumu transferti valsts budžeta daļēji finansētām atvasinātajām publiskajām personām un</w:t>
            </w:r>
            <w:r>
              <w:rPr>
                <w:shd w:val="clear" w:color="auto" w:fill="FFFFFF"/>
              </w:rPr>
              <w:t> budžeta nefinansētām iestādēm</w:t>
            </w:r>
            <w:r>
              <w:t xml:space="preserve">”, lai nodrošinātu finanšu līdzekļus </w:t>
            </w:r>
            <w:r w:rsidRPr="00B65A10">
              <w:rPr>
                <w:b/>
              </w:rPr>
              <w:t xml:space="preserve">68 391 </w:t>
            </w:r>
            <w:r w:rsidRPr="00B65A10">
              <w:rPr>
                <w:b/>
                <w:i/>
              </w:rPr>
              <w:t>euro</w:t>
            </w:r>
            <w:r>
              <w:t xml:space="preserve"> apmērā 2020.gadam un turpmāk ik gadu ZVA valsts pārvaldes uzdevumu apstiprināt ārstniecībā izmantojamās medicīniskās tehnoloģijas, reģistrēt apstiprinātās medicīniskās tehnoloģijas, veidot un uzturēt apstiprināto medicīnisko tehnoloģiju uzskaites un no valsts budžeta līdzekļiem apmaksājamo medicīnisko tehnoloģiju datubāzi  28 502 </w:t>
            </w:r>
            <w:r>
              <w:rPr>
                <w:i/>
              </w:rPr>
              <w:t>euro</w:t>
            </w:r>
            <w:r>
              <w:t xml:space="preserve"> apmērā un novērtēt ārstniecībā lietojamo zāļu, medicīnisko ierīču un medicīnisko tehnoloģiju izmaksu efektivitāti 39 889 </w:t>
            </w:r>
            <w:r>
              <w:rPr>
                <w:i/>
              </w:rPr>
              <w:t>euro</w:t>
            </w:r>
            <w:r>
              <w:t xml:space="preserve"> apmērā īstenošanu </w:t>
            </w:r>
            <w:r w:rsidRPr="00735390">
              <w:t xml:space="preserve">apmērā </w:t>
            </w:r>
            <w:r w:rsidRPr="00735390">
              <w:rPr>
                <w:color w:val="000000" w:themeColor="text1"/>
                <w:shd w:val="clear" w:color="auto" w:fill="FFFFFF"/>
              </w:rPr>
              <w:t xml:space="preserve">šādā sadalījumā pa </w:t>
            </w:r>
            <w:r w:rsidRPr="00735390">
              <w:rPr>
                <w:shd w:val="clear" w:color="auto" w:fill="FFFFFF"/>
              </w:rPr>
              <w:t>izdevumu kodiem atbilstoši ekonomiskajām kategorijām</w:t>
            </w:r>
            <w:r w:rsidRPr="00735390">
              <w:t>:</w:t>
            </w:r>
          </w:p>
          <w:p w:rsidR="00990F64" w:rsidRDefault="00990F64" w:rsidP="00990F64"/>
          <w:p w:rsidR="00990F64" w:rsidRPr="00175B2E" w:rsidRDefault="00990F64" w:rsidP="00990F64">
            <w:r w:rsidRPr="00175B2E">
              <w:t xml:space="preserve">EKK 1000 (Atlīdzība) </w:t>
            </w:r>
            <w:r>
              <w:t>–</w:t>
            </w:r>
            <w:r w:rsidRPr="00175B2E">
              <w:t xml:space="preserve"> </w:t>
            </w:r>
            <w:r>
              <w:t xml:space="preserve">64 983 </w:t>
            </w:r>
            <w:r w:rsidRPr="00175B2E">
              <w:rPr>
                <w:i/>
              </w:rPr>
              <w:t>euro</w:t>
            </w:r>
            <w:r w:rsidRPr="00175B2E">
              <w:t>;</w:t>
            </w:r>
          </w:p>
          <w:p w:rsidR="00990F64" w:rsidRDefault="00990F64" w:rsidP="00990F64">
            <w:r w:rsidRPr="00175B2E">
              <w:t xml:space="preserve">EKK 2000 (Preces un pakalpojumi) </w:t>
            </w:r>
            <w:r>
              <w:t>–</w:t>
            </w:r>
            <w:r w:rsidRPr="00175B2E">
              <w:t xml:space="preserve"> </w:t>
            </w:r>
            <w:r>
              <w:t>3 408</w:t>
            </w:r>
            <w:r w:rsidRPr="00175B2E">
              <w:t xml:space="preserve"> </w:t>
            </w:r>
            <w:r w:rsidRPr="00175B2E">
              <w:rPr>
                <w:i/>
              </w:rPr>
              <w:t>euro</w:t>
            </w:r>
            <w:r w:rsidR="00D03F6B">
              <w:t>.</w:t>
            </w:r>
          </w:p>
          <w:p w:rsidR="00864FAC" w:rsidRDefault="00864FAC" w:rsidP="00F203ED">
            <w:pPr>
              <w:jc w:val="both"/>
              <w:rPr>
                <w:kern w:val="1"/>
                <w:lang w:eastAsia="ar-SA"/>
              </w:rPr>
            </w:pPr>
          </w:p>
          <w:p w:rsidR="00990F64" w:rsidRDefault="00990F64" w:rsidP="00990F64">
            <w:pPr>
              <w:ind w:firstLine="311"/>
              <w:jc w:val="both"/>
            </w:pPr>
            <w:r w:rsidRPr="00AD493B">
              <w:t>A</w:t>
            </w:r>
            <w:r>
              <w:t>ģentūra</w:t>
            </w:r>
            <w:r w:rsidRPr="00AD493B">
              <w:t xml:space="preserve"> atbilstoši Eiro</w:t>
            </w:r>
            <w:r>
              <w:t>pas Parlamenta un padomes Regulai</w:t>
            </w:r>
            <w:r w:rsidRPr="00AD493B">
              <w:t xml:space="preserve"> (EK) Nr. 726/2004 (2004. gada 31. marts), ar ko nosaka cilvēkiem paredzēto un veterināro zāļu reģistrēšanas un uzraudzības Kopienas procedūras un </w:t>
            </w:r>
            <w:r w:rsidRPr="00AD493B">
              <w:lastRenderedPageBreak/>
              <w:t>izveido Eiropas Zāļu aģentūru un kura nosaka dalībvalstu kompetento iestāžu pienākumus zāļu reģistrācijas Kopienas procedūrās, kā arī saskaņā ar Sadarbības vienošanos starp Eiropas Zāļu aģentūru un</w:t>
            </w:r>
            <w:r w:rsidR="00FB1DCF">
              <w:t xml:space="preserve"> ZVA</w:t>
            </w:r>
            <w:r w:rsidRPr="00AD493B">
              <w:t xml:space="preserve"> (parakstīta 2011.gada 3.janvārī) un </w:t>
            </w:r>
            <w:r w:rsidRPr="00AD493B">
              <w:rPr>
                <w:rStyle w:val="hps"/>
              </w:rPr>
              <w:t>Saprašanās memorandu starp</w:t>
            </w:r>
            <w:r w:rsidRPr="00AD493B">
              <w:t xml:space="preserve"> Eiropas Zāļu aģentūru </w:t>
            </w:r>
            <w:r w:rsidRPr="00AD493B">
              <w:rPr>
                <w:rStyle w:val="hps"/>
              </w:rPr>
              <w:t>un</w:t>
            </w:r>
            <w:r w:rsidRPr="00AD493B">
              <w:t xml:space="preserve"> </w:t>
            </w:r>
            <w:r w:rsidRPr="00AD493B">
              <w:rPr>
                <w:rStyle w:val="hps"/>
              </w:rPr>
              <w:t>dalībvalstu kompetentajām</w:t>
            </w:r>
            <w:r w:rsidRPr="00AD493B">
              <w:t xml:space="preserve"> </w:t>
            </w:r>
            <w:r w:rsidRPr="00AD493B">
              <w:rPr>
                <w:rStyle w:val="hps"/>
              </w:rPr>
              <w:t>iestādēm</w:t>
            </w:r>
            <w:r w:rsidRPr="00AD493B">
              <w:t xml:space="preserve"> par </w:t>
            </w:r>
            <w:r w:rsidRPr="00AD493B">
              <w:rPr>
                <w:rStyle w:val="hps"/>
              </w:rPr>
              <w:t>pakalpojumu, ka dalībvalstu kompetentās</w:t>
            </w:r>
            <w:r w:rsidRPr="00AD493B">
              <w:t xml:space="preserve"> </w:t>
            </w:r>
            <w:r w:rsidRPr="00AD493B">
              <w:rPr>
                <w:rStyle w:val="hps"/>
              </w:rPr>
              <w:t>iestādes sniedz Eiropas Zāļu aģentūrai zinātniskā līmeņa un novērtējuma neatkarības uzraudzību (parakstīts 2011.gada 3.janvārī)</w:t>
            </w:r>
            <w:r>
              <w:rPr>
                <w:rStyle w:val="hps"/>
              </w:rPr>
              <w:t>,</w:t>
            </w:r>
            <w:r w:rsidRPr="00AD493B">
              <w:rPr>
                <w:rStyle w:val="hps"/>
              </w:rPr>
              <w:t xml:space="preserve"> veic dažādus </w:t>
            </w:r>
            <w:r w:rsidRPr="00AD493B">
              <w:t>Eiropas zāļu aģentūras (turpmāk - EMA) zinātnisko komiteju deleģētus pienākumus.</w:t>
            </w:r>
            <w:r>
              <w:t xml:space="preserve"> </w:t>
            </w:r>
            <w:r w:rsidRPr="00735390">
              <w:t xml:space="preserve">Sakarā ar to, ka  EMA Cilvēkiem paredzēto zāļu zinātniskā komiteja un EMA Farmakovigilances riska vērtēšanas komiteja noteica </w:t>
            </w:r>
            <w:r w:rsidR="00E872A1">
              <w:t>ZVA</w:t>
            </w:r>
            <w:r w:rsidRPr="00735390">
              <w:t xml:space="preserve"> par atbildīgo institūciju dalībvalstij centrāli reģistrēto zāļu izmaiņu procedūrās un periodiskā drošuma ziņojuma vienotā novērtējuma (PSUSA) vairākās procedūrās,   2020.gadā plānots palielināt ieņēmumus no citu valstu finanšu palīdzības programmu īstenošanas. </w:t>
            </w:r>
            <w:r w:rsidRPr="00735390">
              <w:rPr>
                <w:bCs/>
              </w:rPr>
              <w:t xml:space="preserve">Rīkojuma projekts paredz, ka </w:t>
            </w:r>
            <w:r w:rsidRPr="00735390">
              <w:t xml:space="preserve">2020.gadā ieņēmumi no citu valstu finanšu palīdzības programmu īstenošanas plānoti </w:t>
            </w:r>
            <w:r>
              <w:rPr>
                <w:b/>
              </w:rPr>
              <w:t>228 900</w:t>
            </w:r>
            <w:r w:rsidRPr="00735390">
              <w:rPr>
                <w:b/>
              </w:rPr>
              <w:t xml:space="preserve"> </w:t>
            </w:r>
            <w:r w:rsidRPr="00735390">
              <w:rPr>
                <w:b/>
                <w:i/>
              </w:rPr>
              <w:t>euro</w:t>
            </w:r>
            <w:r w:rsidRPr="00735390">
              <w:rPr>
                <w:i/>
              </w:rPr>
              <w:t xml:space="preserve"> </w:t>
            </w:r>
            <w:r w:rsidRPr="00735390">
              <w:t xml:space="preserve">apmērā </w:t>
            </w:r>
            <w:r w:rsidRPr="00735390">
              <w:rPr>
                <w:color w:val="000000" w:themeColor="text1"/>
                <w:shd w:val="clear" w:color="auto" w:fill="FFFFFF"/>
              </w:rPr>
              <w:t xml:space="preserve">šādā sadalījumā pa </w:t>
            </w:r>
            <w:r w:rsidRPr="00735390">
              <w:rPr>
                <w:shd w:val="clear" w:color="auto" w:fill="FFFFFF"/>
              </w:rPr>
              <w:t>izdevumu kodiem atbilstoši ekonomiskajām kategorijām</w:t>
            </w:r>
            <w:r w:rsidRPr="00735390">
              <w:t>:</w:t>
            </w:r>
          </w:p>
          <w:p w:rsidR="00990F64" w:rsidRDefault="00990F64" w:rsidP="00990F64">
            <w:pPr>
              <w:ind w:firstLine="720"/>
              <w:jc w:val="both"/>
            </w:pPr>
          </w:p>
          <w:p w:rsidR="00990F64" w:rsidRPr="00175B2E" w:rsidRDefault="00990F64" w:rsidP="00990F64">
            <w:pPr>
              <w:jc w:val="both"/>
            </w:pPr>
            <w:r w:rsidRPr="00175B2E">
              <w:t xml:space="preserve">EKK 1000 (Atlīdzība) </w:t>
            </w:r>
            <w:r>
              <w:t>–</w:t>
            </w:r>
            <w:r w:rsidRPr="00175B2E">
              <w:t xml:space="preserve"> </w:t>
            </w:r>
            <w:r>
              <w:t xml:space="preserve">171 675 </w:t>
            </w:r>
            <w:r w:rsidRPr="00175B2E">
              <w:rPr>
                <w:i/>
              </w:rPr>
              <w:t>euro</w:t>
            </w:r>
            <w:r w:rsidRPr="00175B2E">
              <w:t>;</w:t>
            </w:r>
          </w:p>
          <w:p w:rsidR="00864FAC" w:rsidRDefault="00990F64" w:rsidP="00A73601">
            <w:pPr>
              <w:jc w:val="both"/>
            </w:pPr>
            <w:r w:rsidRPr="00175B2E">
              <w:t xml:space="preserve">EKK 2000 (Preces un pakalpojumi) </w:t>
            </w:r>
            <w:r>
              <w:t>–</w:t>
            </w:r>
            <w:r w:rsidRPr="00175B2E">
              <w:t xml:space="preserve"> </w:t>
            </w:r>
            <w:r>
              <w:t>57 225</w:t>
            </w:r>
            <w:r w:rsidRPr="00175B2E">
              <w:t xml:space="preserve"> </w:t>
            </w:r>
            <w:r w:rsidRPr="00175B2E">
              <w:rPr>
                <w:i/>
              </w:rPr>
              <w:t>euro</w:t>
            </w:r>
            <w:r w:rsidR="00A73601">
              <w:t>.</w:t>
            </w:r>
          </w:p>
          <w:p w:rsidR="00F60DB9" w:rsidRDefault="00F60DB9" w:rsidP="00A73601">
            <w:pPr>
              <w:jc w:val="both"/>
            </w:pPr>
          </w:p>
          <w:p w:rsidR="00D97004" w:rsidRPr="00DD2D4E" w:rsidRDefault="000869B3" w:rsidP="00A73601">
            <w:pPr>
              <w:jc w:val="both"/>
              <w:rPr>
                <w:rStyle w:val="Hyperlink"/>
                <w:color w:val="auto"/>
                <w:u w:val="none"/>
              </w:rPr>
            </w:pPr>
            <w:r w:rsidRPr="00DD2D4E">
              <w:t>R</w:t>
            </w:r>
            <w:r w:rsidR="00F60DB9" w:rsidRPr="00DD2D4E">
              <w:t>īkojuma projekt</w:t>
            </w:r>
            <w:r w:rsidR="001D4E01" w:rsidRPr="00DD2D4E">
              <w:t>a</w:t>
            </w:r>
            <w:r w:rsidR="00C62B8A" w:rsidRPr="00DD2D4E">
              <w:t xml:space="preserve"> paredzēt</w:t>
            </w:r>
            <w:r w:rsidR="001D4E01" w:rsidRPr="00DD2D4E">
              <w:t>ā</w:t>
            </w:r>
            <w:r w:rsidR="00C62B8A" w:rsidRPr="00DD2D4E">
              <w:t>s izdevumu izmaiņas 2020.gadam</w:t>
            </w:r>
            <w:r w:rsidR="00FA212B" w:rsidRPr="00DD2D4E">
              <w:t>,</w:t>
            </w:r>
            <w:r w:rsidR="00F60DB9" w:rsidRPr="00DD2D4E">
              <w:t xml:space="preserve"> salīdzinot ar spēkā esošo </w:t>
            </w:r>
            <w:r w:rsidR="00CD6641" w:rsidRPr="00DD2D4E">
              <w:t>Ministru kabineta 2019.gada 4.oktobra rīkojumu Nr.480 “</w:t>
            </w:r>
            <w:hyperlink r:id="rId8" w:tgtFrame="_blank" w:history="1">
              <w:r w:rsidR="00CD6641" w:rsidRPr="00DD2D4E">
                <w:rPr>
                  <w:rStyle w:val="Hyperlink"/>
                  <w:color w:val="auto"/>
                  <w:u w:val="none"/>
                </w:rPr>
                <w:t>Par Zāļu valsts aģentūras 2020.gada budžeta apstiprināšanu</w:t>
              </w:r>
            </w:hyperlink>
            <w:r w:rsidR="00CD6641" w:rsidRPr="00DD2D4E">
              <w:rPr>
                <w:rStyle w:val="Hyperlink"/>
                <w:color w:val="auto"/>
                <w:u w:val="none"/>
              </w:rPr>
              <w:t>”</w:t>
            </w:r>
            <w:r w:rsidR="00FA212B" w:rsidRPr="00DD2D4E">
              <w:rPr>
                <w:rStyle w:val="Hyperlink"/>
                <w:color w:val="auto"/>
                <w:u w:val="none"/>
              </w:rPr>
              <w:t>,</w:t>
            </w:r>
            <w:r w:rsidR="00CD6641" w:rsidRPr="00DD2D4E">
              <w:rPr>
                <w:rStyle w:val="Hyperlink"/>
                <w:color w:val="auto"/>
                <w:u w:val="none"/>
              </w:rPr>
              <w:t xml:space="preserve"> ir </w:t>
            </w:r>
            <w:r w:rsidR="008E7130" w:rsidRPr="00DD2D4E">
              <w:rPr>
                <w:rStyle w:val="Hyperlink"/>
                <w:b/>
                <w:bCs/>
                <w:color w:val="auto"/>
                <w:u w:val="none"/>
              </w:rPr>
              <w:t>336 174</w:t>
            </w:r>
            <w:r w:rsidR="00E379B4" w:rsidRPr="00DD2D4E">
              <w:rPr>
                <w:rStyle w:val="Hyperlink"/>
                <w:b/>
                <w:bCs/>
                <w:color w:val="auto"/>
                <w:u w:val="none"/>
              </w:rPr>
              <w:t xml:space="preserve"> </w:t>
            </w:r>
            <w:r w:rsidR="00E379B4" w:rsidRPr="00DD2D4E">
              <w:rPr>
                <w:rStyle w:val="Hyperlink"/>
                <w:b/>
                <w:bCs/>
                <w:i/>
                <w:iCs/>
                <w:color w:val="auto"/>
                <w:u w:val="none"/>
              </w:rPr>
              <w:t>euro</w:t>
            </w:r>
            <w:r w:rsidR="00E379B4" w:rsidRPr="00DD2D4E">
              <w:rPr>
                <w:rStyle w:val="Hyperlink"/>
                <w:color w:val="auto"/>
                <w:u w:val="none"/>
              </w:rPr>
              <w:t xml:space="preserve"> apmērā, tai skaitā:</w:t>
            </w:r>
          </w:p>
          <w:p w:rsidR="009938E1" w:rsidRPr="00DD2D4E" w:rsidRDefault="00D97004" w:rsidP="009938E1">
            <w:pPr>
              <w:pStyle w:val="ListParagraph"/>
              <w:numPr>
                <w:ilvl w:val="0"/>
                <w:numId w:val="17"/>
              </w:numPr>
              <w:jc w:val="both"/>
            </w:pPr>
            <w:r w:rsidRPr="00DD2D4E">
              <w:rPr>
                <w:b/>
                <w:bCs/>
                <w:color w:val="000000"/>
              </w:rPr>
              <w:t>106 415 </w:t>
            </w:r>
            <w:r w:rsidRPr="00DD2D4E">
              <w:rPr>
                <w:b/>
                <w:bCs/>
                <w:i/>
                <w:iCs/>
                <w:color w:val="000000"/>
              </w:rPr>
              <w:t>euro</w:t>
            </w:r>
            <w:r w:rsidRPr="00DD2D4E">
              <w:rPr>
                <w:b/>
                <w:bCs/>
                <w:color w:val="000000"/>
              </w:rPr>
              <w:t xml:space="preserve"> </w:t>
            </w:r>
            <w:r w:rsidR="00BE4957" w:rsidRPr="00DD2D4E">
              <w:rPr>
                <w:color w:val="000000"/>
              </w:rPr>
              <w:t xml:space="preserve"> - </w:t>
            </w:r>
            <w:r w:rsidR="00443471" w:rsidRPr="00DD2D4E">
              <w:rPr>
                <w:color w:val="212121"/>
              </w:rPr>
              <w:t>OECD pētījuma “Par Latvijas sabiedrības veselību”</w:t>
            </w:r>
            <w:r w:rsidR="00B55400" w:rsidRPr="00DD2D4E">
              <w:rPr>
                <w:color w:val="212121"/>
              </w:rPr>
              <w:t xml:space="preserve"> īstenošanai</w:t>
            </w:r>
            <w:r w:rsidR="00443471" w:rsidRPr="00DD2D4E">
              <w:rPr>
                <w:color w:val="212121"/>
              </w:rPr>
              <w:t>, Horizon un Namejs sistēmu uzturēšanai, attīstībai un centralizētas Microsoft programmatūras nomas nodrošināšanai</w:t>
            </w:r>
            <w:r w:rsidR="00BE4957" w:rsidRPr="00DD2D4E">
              <w:rPr>
                <w:color w:val="212121"/>
              </w:rPr>
              <w:t xml:space="preserve"> (ZVA atlikums uz </w:t>
            </w:r>
            <w:r w:rsidR="00443471" w:rsidRPr="00DD2D4E">
              <w:rPr>
                <w:color w:val="212121"/>
              </w:rPr>
              <w:t xml:space="preserve"> </w:t>
            </w:r>
            <w:r w:rsidR="00BE4957" w:rsidRPr="00DD2D4E">
              <w:rPr>
                <w:color w:val="212121"/>
              </w:rPr>
              <w:t>2020.gada 1.janvāri)</w:t>
            </w:r>
            <w:r w:rsidR="009F3F42" w:rsidRPr="00DD2D4E">
              <w:rPr>
                <w:color w:val="212121"/>
              </w:rPr>
              <w:t>;</w:t>
            </w:r>
          </w:p>
          <w:p w:rsidR="00E135A5" w:rsidRPr="00DD2D4E" w:rsidRDefault="00D97004" w:rsidP="00663DCE">
            <w:pPr>
              <w:pStyle w:val="ListParagraph"/>
              <w:numPr>
                <w:ilvl w:val="0"/>
                <w:numId w:val="17"/>
              </w:numPr>
              <w:jc w:val="both"/>
            </w:pPr>
            <w:r w:rsidRPr="00DD2D4E">
              <w:rPr>
                <w:b/>
                <w:bCs/>
                <w:color w:val="000000"/>
              </w:rPr>
              <w:t xml:space="preserve">12 727 </w:t>
            </w:r>
            <w:r w:rsidRPr="00DD2D4E">
              <w:rPr>
                <w:b/>
                <w:bCs/>
                <w:i/>
                <w:iCs/>
                <w:color w:val="000000"/>
              </w:rPr>
              <w:t>euro</w:t>
            </w:r>
            <w:r w:rsidRPr="00DD2D4E">
              <w:rPr>
                <w:b/>
                <w:bCs/>
                <w:color w:val="000000"/>
              </w:rPr>
              <w:t xml:space="preserve"> </w:t>
            </w:r>
            <w:r w:rsidR="006B7AB1" w:rsidRPr="00DD2D4E">
              <w:rPr>
                <w:color w:val="000000"/>
              </w:rPr>
              <w:t xml:space="preserve">- </w:t>
            </w:r>
            <w:r w:rsidR="008A43FE" w:rsidRPr="00DD2D4E">
              <w:rPr>
                <w:color w:val="000000"/>
              </w:rPr>
              <w:t xml:space="preserve">ZVA </w:t>
            </w:r>
            <w:r w:rsidR="00663B33" w:rsidRPr="00DD2D4E">
              <w:rPr>
                <w:color w:val="000000"/>
              </w:rPr>
              <w:t>cenrāž</w:t>
            </w:r>
            <w:r w:rsidR="008A43FE" w:rsidRPr="00DD2D4E">
              <w:rPr>
                <w:bCs/>
                <w:color w:val="000000"/>
              </w:rPr>
              <w:t>a aktualizēšanas</w:t>
            </w:r>
            <w:r w:rsidR="008A43FE" w:rsidRPr="00DD2D4E">
              <w:rPr>
                <w:b/>
                <w:bCs/>
                <w:color w:val="000000"/>
              </w:rPr>
              <w:t xml:space="preserve"> </w:t>
            </w:r>
            <w:r w:rsidR="00E135A5" w:rsidRPr="00DD2D4E">
              <w:t>rezultātā</w:t>
            </w:r>
            <w:r w:rsidR="008A43FE" w:rsidRPr="00DD2D4E">
              <w:t xml:space="preserve"> </w:t>
            </w:r>
            <w:r w:rsidR="00E135A5" w:rsidRPr="00DD2D4E">
              <w:t xml:space="preserve"> 2020.gadā un turpmāk ik gadu ieņēmumi no sniegtajiem maksas pakalpojumiem palielināsies par 12 727 </w:t>
            </w:r>
            <w:r w:rsidR="00E135A5" w:rsidRPr="00DD2D4E">
              <w:rPr>
                <w:i/>
              </w:rPr>
              <w:t>euro</w:t>
            </w:r>
            <w:r w:rsidR="00D845AB" w:rsidRPr="00DD2D4E">
              <w:t xml:space="preserve"> un </w:t>
            </w:r>
            <w:r w:rsidR="000869B3" w:rsidRPr="00DD2D4E">
              <w:t xml:space="preserve">tiem </w:t>
            </w:r>
            <w:r w:rsidR="00D845AB" w:rsidRPr="00DD2D4E">
              <w:t>atbilstoš</w:t>
            </w:r>
            <w:r w:rsidR="001903DA" w:rsidRPr="00DD2D4E">
              <w:t>i</w:t>
            </w:r>
            <w:r w:rsidR="00D845AB" w:rsidRPr="00DD2D4E">
              <w:t xml:space="preserve"> izdevum</w:t>
            </w:r>
            <w:r w:rsidR="000869B3" w:rsidRPr="00DD2D4E">
              <w:t>i</w:t>
            </w:r>
            <w:r w:rsidR="009F3F42" w:rsidRPr="00DD2D4E">
              <w:t>;</w:t>
            </w:r>
            <w:r w:rsidR="00D845AB" w:rsidRPr="00DD2D4E">
              <w:t xml:space="preserve"> </w:t>
            </w:r>
          </w:p>
          <w:p w:rsidR="005F25A4" w:rsidRPr="00DD2D4E" w:rsidRDefault="00D97004" w:rsidP="009209A5">
            <w:pPr>
              <w:pStyle w:val="ListParagraph"/>
              <w:numPr>
                <w:ilvl w:val="0"/>
                <w:numId w:val="17"/>
              </w:numPr>
              <w:jc w:val="both"/>
            </w:pPr>
            <w:r w:rsidRPr="00DD2D4E">
              <w:rPr>
                <w:b/>
                <w:bCs/>
              </w:rPr>
              <w:t xml:space="preserve">-11 868 </w:t>
            </w:r>
            <w:r w:rsidRPr="00DD2D4E">
              <w:rPr>
                <w:b/>
                <w:bCs/>
                <w:i/>
                <w:iCs/>
              </w:rPr>
              <w:t>euro</w:t>
            </w:r>
            <w:r w:rsidRPr="00DD2D4E">
              <w:t xml:space="preserve"> - tika samazinātas </w:t>
            </w:r>
            <w:r w:rsidRPr="00DD2D4E">
              <w:rPr>
                <w:lang w:eastAsia="en-US"/>
              </w:rPr>
              <w:t>darba devēja valsts sociālās apdrošināšanas obligātās iemaksas (</w:t>
            </w:r>
            <w:r w:rsidR="00CB70A9" w:rsidRPr="00DD2D4E">
              <w:rPr>
                <w:lang w:eastAsia="en-US"/>
              </w:rPr>
              <w:t xml:space="preserve">līdz šim </w:t>
            </w:r>
            <w:r w:rsidR="00CB70A9" w:rsidRPr="00DD2D4E">
              <w:rPr>
                <w:color w:val="212121"/>
                <w:shd w:val="clear" w:color="auto" w:fill="FFFFFF"/>
              </w:rPr>
              <w:t>darba devēja valsts sociālās apdrošināšanas obligāt</w:t>
            </w:r>
            <w:r w:rsidR="00FF59FD" w:rsidRPr="00DD2D4E">
              <w:rPr>
                <w:color w:val="212121"/>
                <w:shd w:val="clear" w:color="auto" w:fill="FFFFFF"/>
              </w:rPr>
              <w:t>o</w:t>
            </w:r>
            <w:r w:rsidR="00CB70A9" w:rsidRPr="00DD2D4E">
              <w:rPr>
                <w:color w:val="212121"/>
                <w:shd w:val="clear" w:color="auto" w:fill="FFFFFF"/>
              </w:rPr>
              <w:t xml:space="preserve"> iemaksu apmēr</w:t>
            </w:r>
            <w:r w:rsidR="00FF59FD" w:rsidRPr="00DD2D4E">
              <w:rPr>
                <w:color w:val="212121"/>
                <w:shd w:val="clear" w:color="auto" w:fill="FFFFFF"/>
              </w:rPr>
              <w:t>s</w:t>
            </w:r>
            <w:r w:rsidR="00CB70A9" w:rsidRPr="00DD2D4E">
              <w:rPr>
                <w:color w:val="212121"/>
                <w:shd w:val="clear" w:color="auto" w:fill="FFFFFF"/>
              </w:rPr>
              <w:t xml:space="preserve"> nebija iekļauts pakalpojumu cenā, bet </w:t>
            </w:r>
            <w:r w:rsidR="008C09EB" w:rsidRPr="00DD2D4E">
              <w:rPr>
                <w:color w:val="212121"/>
                <w:shd w:val="clear" w:color="auto" w:fill="FFFFFF"/>
              </w:rPr>
              <w:t xml:space="preserve">aktualizējot </w:t>
            </w:r>
            <w:r w:rsidR="001F6CC2" w:rsidRPr="00DD2D4E">
              <w:rPr>
                <w:color w:val="212121"/>
                <w:shd w:val="clear" w:color="auto" w:fill="FFFFFF"/>
              </w:rPr>
              <w:t>ZVA</w:t>
            </w:r>
            <w:r w:rsidR="00897E4D" w:rsidRPr="00DD2D4E">
              <w:rPr>
                <w:color w:val="212121"/>
                <w:shd w:val="clear" w:color="auto" w:fill="FFFFFF"/>
              </w:rPr>
              <w:t xml:space="preserve"> cenrādi</w:t>
            </w:r>
            <w:r w:rsidRPr="00DD2D4E">
              <w:rPr>
                <w:color w:val="212121"/>
                <w:shd w:val="clear" w:color="auto" w:fill="FFFFFF"/>
              </w:rPr>
              <w:t>, šī summa tika iekļauta pakalpojumu cenā un turpmāk tiks segta no ieņēmumiem par maksas pakalpojumiem, nevis no atlikuma</w:t>
            </w:r>
            <w:r w:rsidRPr="00DD2D4E">
              <w:rPr>
                <w:lang w:eastAsia="en-US"/>
              </w:rPr>
              <w:t>);</w:t>
            </w:r>
            <w:r w:rsidR="00CB70A9" w:rsidRPr="00DD2D4E">
              <w:rPr>
                <w:lang w:eastAsia="en-US"/>
              </w:rPr>
              <w:t xml:space="preserve"> </w:t>
            </w:r>
          </w:p>
          <w:p w:rsidR="003129E4" w:rsidRPr="00DD2D4E" w:rsidRDefault="00D97004" w:rsidP="00E46DDA">
            <w:pPr>
              <w:pStyle w:val="ListParagraph"/>
              <w:numPr>
                <w:ilvl w:val="0"/>
                <w:numId w:val="17"/>
              </w:numPr>
              <w:jc w:val="both"/>
            </w:pPr>
            <w:r w:rsidRPr="00DD2D4E">
              <w:rPr>
                <w:b/>
                <w:bCs/>
                <w:color w:val="000000"/>
              </w:rPr>
              <w:t xml:space="preserve">228 900 </w:t>
            </w:r>
            <w:r w:rsidRPr="00DD2D4E">
              <w:rPr>
                <w:b/>
                <w:bCs/>
                <w:i/>
                <w:iCs/>
                <w:color w:val="000000"/>
              </w:rPr>
              <w:t>euro</w:t>
            </w:r>
            <w:r w:rsidR="00AE33C9" w:rsidRPr="00DD2D4E">
              <w:rPr>
                <w:b/>
                <w:bCs/>
                <w:i/>
                <w:iCs/>
                <w:color w:val="000000"/>
              </w:rPr>
              <w:t xml:space="preserve"> </w:t>
            </w:r>
            <w:r w:rsidR="00AE33C9" w:rsidRPr="00DD2D4E">
              <w:rPr>
                <w:color w:val="000000"/>
              </w:rPr>
              <w:t>(ārvalstu finanšu palīdzība)</w:t>
            </w:r>
            <w:r w:rsidRPr="00DD2D4E">
              <w:rPr>
                <w:b/>
                <w:bCs/>
                <w:color w:val="000000"/>
              </w:rPr>
              <w:t xml:space="preserve"> – </w:t>
            </w:r>
            <w:r w:rsidR="005F2DDA" w:rsidRPr="00DD2D4E">
              <w:rPr>
                <w:color w:val="000000"/>
              </w:rPr>
              <w:t>ieņēmumi</w:t>
            </w:r>
            <w:r w:rsidR="007F4296" w:rsidRPr="00DD2D4E">
              <w:rPr>
                <w:color w:val="000000"/>
              </w:rPr>
              <w:t xml:space="preserve"> </w:t>
            </w:r>
            <w:r w:rsidR="00C62B8A" w:rsidRPr="00DD2D4E">
              <w:rPr>
                <w:color w:val="000000"/>
              </w:rPr>
              <w:t xml:space="preserve">no </w:t>
            </w:r>
            <w:r w:rsidRPr="00DD2D4E">
              <w:rPr>
                <w:color w:val="000000"/>
              </w:rPr>
              <w:t>ārvalstu finanšu palīdzība</w:t>
            </w:r>
            <w:r w:rsidR="00C62B8A" w:rsidRPr="00DD2D4E">
              <w:rPr>
                <w:color w:val="000000"/>
              </w:rPr>
              <w:t>s</w:t>
            </w:r>
            <w:r w:rsidR="00AE33C9" w:rsidRPr="00DD2D4E">
              <w:rPr>
                <w:color w:val="000000"/>
              </w:rPr>
              <w:t xml:space="preserve"> un </w:t>
            </w:r>
            <w:r w:rsidR="0041378A" w:rsidRPr="00DD2D4E">
              <w:rPr>
                <w:color w:val="000000"/>
              </w:rPr>
              <w:t xml:space="preserve">tiem </w:t>
            </w:r>
            <w:r w:rsidR="00AE33C9" w:rsidRPr="00DD2D4E">
              <w:rPr>
                <w:color w:val="000000"/>
              </w:rPr>
              <w:t>atbilstoši</w:t>
            </w:r>
            <w:r w:rsidR="001069BB" w:rsidRPr="00DD2D4E">
              <w:rPr>
                <w:color w:val="000000"/>
              </w:rPr>
              <w:t xml:space="preserve"> </w:t>
            </w:r>
            <w:r w:rsidR="00C62B8A" w:rsidRPr="00DD2D4E">
              <w:rPr>
                <w:color w:val="000000"/>
              </w:rPr>
              <w:t>izdevumi</w:t>
            </w:r>
            <w:r w:rsidR="009F3F42" w:rsidRPr="00DD2D4E">
              <w:rPr>
                <w:color w:val="000000"/>
              </w:rPr>
              <w:t>.</w:t>
            </w:r>
            <w:r w:rsidR="00AE33C9" w:rsidRPr="00DD2D4E">
              <w:rPr>
                <w:color w:val="000000"/>
              </w:rPr>
              <w:t xml:space="preserve">  </w:t>
            </w:r>
            <w:r w:rsidR="005F2DDA" w:rsidRPr="00DD2D4E">
              <w:rPr>
                <w:color w:val="000000"/>
              </w:rPr>
              <w:t xml:space="preserve"> </w:t>
            </w:r>
          </w:p>
          <w:p w:rsidR="00AE33C9" w:rsidRDefault="00AE33C9" w:rsidP="00AE33C9">
            <w:pPr>
              <w:pStyle w:val="ListParagraph"/>
              <w:jc w:val="both"/>
            </w:pPr>
          </w:p>
          <w:p w:rsidR="00041ABC" w:rsidRPr="00E872A1" w:rsidRDefault="00041ABC" w:rsidP="00A73601">
            <w:pPr>
              <w:jc w:val="both"/>
            </w:pPr>
            <w:r w:rsidRPr="00E35A01">
              <w:t>Atzīt par spēku zaudējušu Ministru kabineta 201</w:t>
            </w:r>
            <w:r>
              <w:t>9</w:t>
            </w:r>
            <w:r w:rsidRPr="00E35A01">
              <w:t xml:space="preserve">.gada </w:t>
            </w:r>
            <w:r>
              <w:t>4</w:t>
            </w:r>
            <w:r w:rsidRPr="00E35A01">
              <w:t>.oktobra rīkojumu Nr.</w:t>
            </w:r>
            <w:r>
              <w:t>480</w:t>
            </w:r>
            <w:r w:rsidRPr="00E35A01">
              <w:t xml:space="preserve"> </w:t>
            </w:r>
            <w:r>
              <w:t>“</w:t>
            </w:r>
            <w:hyperlink r:id="rId9" w:tgtFrame="_blank" w:history="1">
              <w:r w:rsidRPr="00FF0763">
                <w:rPr>
                  <w:rStyle w:val="Hyperlink"/>
                  <w:color w:val="auto"/>
                  <w:u w:val="none"/>
                </w:rPr>
                <w:t>Par Zāļu valsts aģentūras 20</w:t>
              </w:r>
              <w:r>
                <w:rPr>
                  <w:rStyle w:val="Hyperlink"/>
                  <w:color w:val="auto"/>
                  <w:u w:val="none"/>
                </w:rPr>
                <w:t>20</w:t>
              </w:r>
              <w:r w:rsidRPr="00FF0763">
                <w:rPr>
                  <w:rStyle w:val="Hyperlink"/>
                  <w:color w:val="auto"/>
                  <w:u w:val="none"/>
                </w:rPr>
                <w:t>.gada budžeta apstiprināšanu</w:t>
              </w:r>
            </w:hyperlink>
            <w:r w:rsidRPr="00FF0763">
              <w:rPr>
                <w:rStyle w:val="Hyperlink"/>
                <w:color w:val="auto"/>
                <w:u w:val="none"/>
              </w:rPr>
              <w:t>”</w:t>
            </w:r>
            <w:r w:rsidRPr="00FF0763">
              <w:t xml:space="preserve"> (Latvi</w:t>
            </w:r>
            <w:r w:rsidRPr="00E35A01">
              <w:t xml:space="preserve">jas </w:t>
            </w:r>
            <w:r w:rsidRPr="0008255C">
              <w:t>Vēstnesis, 201</w:t>
            </w:r>
            <w:r>
              <w:t>9</w:t>
            </w:r>
            <w:r w:rsidRPr="0008255C">
              <w:t xml:space="preserve">, </w:t>
            </w:r>
            <w:r>
              <w:t>204</w:t>
            </w:r>
            <w:r w:rsidRPr="0008255C">
              <w:t>. nr.).</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iesaistītās institūcijas un publiskas personas </w:t>
            </w:r>
            <w:r w:rsidRPr="00EC6E12">
              <w:rPr>
                <w:rFonts w:ascii="Times New Roman" w:hAnsi="Times New Roman" w:cs="Times New Roman"/>
                <w:iCs/>
                <w:sz w:val="24"/>
                <w:szCs w:val="24"/>
                <w:lang w:eastAsia="lv-LV"/>
              </w:rPr>
              <w:lastRenderedPageBreak/>
              <w:t>kapitālsabiedrības</w:t>
            </w:r>
          </w:p>
        </w:tc>
        <w:tc>
          <w:tcPr>
            <w:tcW w:w="7229" w:type="dxa"/>
          </w:tcPr>
          <w:p w:rsidR="00130487" w:rsidRDefault="006034A8"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Veselības ministrija un </w:t>
            </w:r>
            <w:r w:rsidR="003E2E8F">
              <w:rPr>
                <w:rFonts w:ascii="Times New Roman" w:hAnsi="Times New Roman" w:cs="Times New Roman"/>
                <w:sz w:val="24"/>
                <w:szCs w:val="24"/>
                <w:lang w:eastAsia="lv-LV"/>
              </w:rPr>
              <w:t>Zāļu valsts aģentūra</w:t>
            </w:r>
            <w:r w:rsidR="0079260F" w:rsidRPr="0079260F">
              <w:rPr>
                <w:rFonts w:ascii="Times New Roman" w:hAnsi="Times New Roman" w:cs="Times New Roman"/>
                <w:sz w:val="24"/>
                <w:szCs w:val="24"/>
                <w:lang w:eastAsia="lv-LV"/>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7008F2"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508" w:type="dxa"/>
        <w:tblInd w:w="-289" w:type="dxa"/>
        <w:tblLayout w:type="fixed"/>
        <w:tblLook w:val="04A0" w:firstRow="1" w:lastRow="0" w:firstColumn="1" w:lastColumn="0" w:noHBand="0" w:noVBand="1"/>
      </w:tblPr>
      <w:tblGrid>
        <w:gridCol w:w="1702"/>
        <w:gridCol w:w="1134"/>
        <w:gridCol w:w="1268"/>
        <w:gridCol w:w="10"/>
        <w:gridCol w:w="990"/>
        <w:gridCol w:w="1134"/>
        <w:gridCol w:w="10"/>
        <w:gridCol w:w="982"/>
        <w:gridCol w:w="992"/>
        <w:gridCol w:w="10"/>
        <w:gridCol w:w="1266"/>
        <w:gridCol w:w="10"/>
      </w:tblGrid>
      <w:tr w:rsidR="00842AD1" w:rsidTr="00F2365C">
        <w:tc>
          <w:tcPr>
            <w:tcW w:w="9508" w:type="dxa"/>
            <w:gridSpan w:val="12"/>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F2365C">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412" w:type="dxa"/>
            <w:gridSpan w:val="3"/>
            <w:vMerge w:val="restart"/>
          </w:tcPr>
          <w:p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5A7762">
              <w:rPr>
                <w:rFonts w:ascii="Times New Roman" w:hAnsi="Times New Roman" w:cs="Times New Roman"/>
                <w:iCs/>
                <w:sz w:val="24"/>
                <w:szCs w:val="24"/>
                <w:lang w:eastAsia="lv-LV"/>
              </w:rPr>
              <w:t>20</w:t>
            </w:r>
            <w:r w:rsidR="00037CA6">
              <w:rPr>
                <w:rFonts w:ascii="Times New Roman" w:hAnsi="Times New Roman" w:cs="Times New Roman"/>
                <w:iCs/>
                <w:sz w:val="24"/>
                <w:szCs w:val="24"/>
                <w:lang w:eastAsia="lv-LV"/>
              </w:rPr>
              <w:t>.gads</w:t>
            </w:r>
          </w:p>
        </w:tc>
        <w:tc>
          <w:tcPr>
            <w:tcW w:w="5394" w:type="dxa"/>
            <w:gridSpan w:val="8"/>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F2365C">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412" w:type="dxa"/>
            <w:gridSpan w:val="3"/>
            <w:vMerge/>
          </w:tcPr>
          <w:p w:rsidR="00842AD1" w:rsidRDefault="00842AD1" w:rsidP="00EC6E12">
            <w:pPr>
              <w:pStyle w:val="NoSpacing"/>
              <w:rPr>
                <w:rFonts w:ascii="Times New Roman" w:hAnsi="Times New Roman" w:cs="Times New Roman"/>
                <w:iCs/>
                <w:sz w:val="24"/>
                <w:szCs w:val="24"/>
                <w:lang w:eastAsia="lv-LV"/>
              </w:rPr>
            </w:pPr>
          </w:p>
        </w:tc>
        <w:tc>
          <w:tcPr>
            <w:tcW w:w="2134" w:type="dxa"/>
            <w:gridSpan w:val="3"/>
          </w:tcPr>
          <w:p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5A7762">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.gads</w:t>
            </w:r>
          </w:p>
        </w:tc>
        <w:tc>
          <w:tcPr>
            <w:tcW w:w="1984" w:type="dxa"/>
            <w:gridSpan w:val="3"/>
          </w:tcPr>
          <w:p w:rsidR="00842AD1" w:rsidRDefault="00037CA6"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w:t>
            </w:r>
            <w:r w:rsidR="00CD72CC">
              <w:rPr>
                <w:rFonts w:ascii="Times New Roman" w:hAnsi="Times New Roman" w:cs="Times New Roman"/>
                <w:iCs/>
                <w:sz w:val="24"/>
                <w:szCs w:val="24"/>
                <w:lang w:eastAsia="lv-LV"/>
              </w:rPr>
              <w:t>02</w:t>
            </w:r>
            <w:r w:rsidR="005A7762">
              <w:rPr>
                <w:rFonts w:ascii="Times New Roman" w:hAnsi="Times New Roman" w:cs="Times New Roman"/>
                <w:iCs/>
                <w:sz w:val="24"/>
                <w:szCs w:val="24"/>
                <w:lang w:eastAsia="lv-LV"/>
              </w:rPr>
              <w:t>2</w:t>
            </w:r>
            <w:r>
              <w:rPr>
                <w:rFonts w:ascii="Times New Roman" w:hAnsi="Times New Roman" w:cs="Times New Roman"/>
                <w:iCs/>
                <w:sz w:val="24"/>
                <w:szCs w:val="24"/>
                <w:lang w:eastAsia="lv-LV"/>
              </w:rPr>
              <w:t>.gads</w:t>
            </w:r>
          </w:p>
        </w:tc>
        <w:tc>
          <w:tcPr>
            <w:tcW w:w="1276" w:type="dxa"/>
            <w:gridSpan w:val="2"/>
          </w:tcPr>
          <w:p w:rsidR="00842AD1" w:rsidRDefault="00CD72CC" w:rsidP="00E406AA">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5A7762">
              <w:rPr>
                <w:rFonts w:ascii="Times New Roman" w:hAnsi="Times New Roman" w:cs="Times New Roman"/>
                <w:iCs/>
                <w:sz w:val="24"/>
                <w:szCs w:val="24"/>
                <w:lang w:eastAsia="lv-LV"/>
              </w:rPr>
              <w:t>3</w:t>
            </w:r>
            <w:r w:rsidR="00037CA6">
              <w:rPr>
                <w:rFonts w:ascii="Times New Roman" w:hAnsi="Times New Roman" w:cs="Times New Roman"/>
                <w:iCs/>
                <w:sz w:val="24"/>
                <w:szCs w:val="24"/>
                <w:lang w:eastAsia="lv-LV"/>
              </w:rPr>
              <w:t>.gads</w:t>
            </w:r>
          </w:p>
        </w:tc>
      </w:tr>
      <w:tr w:rsidR="006E71F7" w:rsidTr="00F2365C">
        <w:trPr>
          <w:gridAfter w:val="1"/>
          <w:wAfter w:w="10" w:type="dxa"/>
        </w:trPr>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1134"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r w:rsidR="005F3D34">
              <w:rPr>
                <w:rFonts w:ascii="Times New Roman" w:hAnsi="Times New Roman" w:cs="Times New Roman"/>
                <w:iCs/>
                <w:sz w:val="24"/>
                <w:szCs w:val="24"/>
                <w:lang w:eastAsia="lv-LV"/>
              </w:rPr>
              <w:t>*</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E406AA" w:rsidRDefault="00842AD1" w:rsidP="00391F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391F3D">
              <w:rPr>
                <w:rFonts w:ascii="Times New Roman" w:hAnsi="Times New Roman" w:cs="Times New Roman"/>
                <w:iCs/>
                <w:sz w:val="24"/>
                <w:szCs w:val="24"/>
                <w:lang w:eastAsia="lv-LV"/>
              </w:rPr>
              <w:t>202</w:t>
            </w:r>
            <w:r w:rsidR="008C312F">
              <w:rPr>
                <w:rFonts w:ascii="Times New Roman" w:hAnsi="Times New Roman" w:cs="Times New Roman"/>
                <w:iCs/>
                <w:sz w:val="24"/>
                <w:szCs w:val="24"/>
                <w:lang w:eastAsia="lv-LV"/>
              </w:rPr>
              <w:t>1</w:t>
            </w:r>
            <w:r w:rsidR="00E406AA">
              <w:rPr>
                <w:rFonts w:ascii="Times New Roman" w:hAnsi="Times New Roman" w:cs="Times New Roman"/>
                <w:iCs/>
                <w:sz w:val="24"/>
                <w:szCs w:val="24"/>
                <w:lang w:eastAsia="lv-LV"/>
              </w:rPr>
              <w:t>.</w:t>
            </w:r>
          </w:p>
          <w:p w:rsidR="00842AD1" w:rsidRDefault="00842AD1" w:rsidP="00391F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gadam</w:t>
            </w:r>
          </w:p>
        </w:tc>
        <w:tc>
          <w:tcPr>
            <w:tcW w:w="992" w:type="dxa"/>
            <w:gridSpan w:val="2"/>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37CA6"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rsidR="00842AD1" w:rsidRDefault="00842AD1" w:rsidP="00391F3D">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391F3D">
              <w:rPr>
                <w:rFonts w:ascii="Times New Roman" w:hAnsi="Times New Roman" w:cs="Times New Roman"/>
                <w:iCs/>
                <w:sz w:val="24"/>
                <w:szCs w:val="24"/>
                <w:lang w:eastAsia="lv-LV"/>
              </w:rPr>
              <w:t>202</w:t>
            </w:r>
            <w:r w:rsidR="008C312F">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gridSpan w:val="2"/>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E406AA"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891D49">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gadam</w:t>
            </w:r>
          </w:p>
        </w:tc>
      </w:tr>
      <w:tr w:rsidR="006E71F7" w:rsidTr="00F2365C">
        <w:trPr>
          <w:gridAfter w:val="1"/>
          <w:wAfter w:w="10" w:type="dxa"/>
        </w:trPr>
        <w:tc>
          <w:tcPr>
            <w:tcW w:w="170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w:t>
            </w:r>
          </w:p>
        </w:tc>
        <w:tc>
          <w:tcPr>
            <w:tcW w:w="1268"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w:t>
            </w:r>
          </w:p>
        </w:tc>
        <w:tc>
          <w:tcPr>
            <w:tcW w:w="1000" w:type="dxa"/>
            <w:gridSpan w:val="2"/>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w:t>
            </w:r>
          </w:p>
        </w:tc>
        <w:tc>
          <w:tcPr>
            <w:tcW w:w="1134"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w:t>
            </w:r>
          </w:p>
        </w:tc>
        <w:tc>
          <w:tcPr>
            <w:tcW w:w="992" w:type="dxa"/>
            <w:gridSpan w:val="2"/>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w:t>
            </w:r>
          </w:p>
        </w:tc>
        <w:tc>
          <w:tcPr>
            <w:tcW w:w="992" w:type="dxa"/>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w:t>
            </w:r>
          </w:p>
        </w:tc>
        <w:tc>
          <w:tcPr>
            <w:tcW w:w="1276" w:type="dxa"/>
            <w:gridSpan w:val="2"/>
            <w:vAlign w:val="center"/>
          </w:tcPr>
          <w:p w:rsidR="00842AD1" w:rsidRPr="00EC6E12" w:rsidRDefault="00842AD1" w:rsidP="00842AD1">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w:t>
            </w:r>
          </w:p>
        </w:tc>
      </w:tr>
      <w:tr w:rsidR="00AD1FF4" w:rsidRPr="00E406AA" w:rsidTr="00D13583">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bookmarkStart w:id="1" w:name="_Hlk16233450"/>
            <w:bookmarkStart w:id="2" w:name="_Hlk34639200"/>
            <w:r w:rsidRPr="00E406AA">
              <w:rPr>
                <w:rFonts w:ascii="Times New Roman" w:hAnsi="Times New Roman" w:cs="Times New Roman"/>
                <w:iCs/>
                <w:sz w:val="24"/>
                <w:szCs w:val="24"/>
                <w:lang w:eastAsia="lv-LV"/>
              </w:rPr>
              <w:t>1. Budžeta ieņēmumi</w:t>
            </w:r>
          </w:p>
        </w:tc>
        <w:tc>
          <w:tcPr>
            <w:tcW w:w="1134"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b/>
                <w:iCs/>
                <w:sz w:val="20"/>
                <w:szCs w:val="20"/>
                <w:lang w:eastAsia="lv-LV"/>
              </w:rPr>
            </w:pPr>
            <w:r w:rsidRPr="000F2BD7">
              <w:rPr>
                <w:rFonts w:ascii="Times New Roman" w:hAnsi="Times New Roman" w:cs="Times New Roman"/>
                <w:b/>
                <w:iCs/>
                <w:sz w:val="20"/>
                <w:szCs w:val="20"/>
              </w:rPr>
              <w:t>0</w:t>
            </w:r>
          </w:p>
        </w:tc>
        <w:tc>
          <w:tcPr>
            <w:tcW w:w="1134"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b/>
                <w:iCs/>
                <w:sz w:val="20"/>
                <w:szCs w:val="20"/>
                <w:lang w:eastAsia="lv-LV"/>
              </w:rPr>
            </w:pPr>
            <w:r w:rsidRPr="000F2BD7">
              <w:rPr>
                <w:rFonts w:ascii="Times New Roman" w:hAnsi="Times New Roman" w:cs="Times New Roman"/>
                <w:b/>
                <w:iCs/>
                <w:sz w:val="20"/>
                <w:szCs w:val="20"/>
              </w:rPr>
              <w:t>0</w:t>
            </w:r>
          </w:p>
        </w:tc>
        <w:tc>
          <w:tcPr>
            <w:tcW w:w="992"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0</w:t>
            </w:r>
          </w:p>
        </w:tc>
        <w:tc>
          <w:tcPr>
            <w:tcW w:w="1276" w:type="dxa"/>
            <w:gridSpan w:val="2"/>
          </w:tcPr>
          <w:p w:rsidR="00AD1FF4" w:rsidRPr="000F2BD7" w:rsidRDefault="00AD1FF4" w:rsidP="00AD1FF4">
            <w:pPr>
              <w:jc w:val="center"/>
              <w:rPr>
                <w:b/>
                <w:iCs/>
                <w:sz w:val="20"/>
                <w:szCs w:val="20"/>
              </w:rPr>
            </w:pPr>
            <w:r>
              <w:rPr>
                <w:b/>
                <w:iCs/>
                <w:sz w:val="20"/>
                <w:szCs w:val="20"/>
              </w:rPr>
              <w:t>0</w:t>
            </w:r>
          </w:p>
        </w:tc>
      </w:tr>
      <w:tr w:rsidR="00AD1FF4" w:rsidRPr="00E406AA" w:rsidTr="00F2365C">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bookmarkStart w:id="3" w:name="_Hlk16233500"/>
            <w:bookmarkEnd w:id="1"/>
            <w:r w:rsidRPr="00E406AA">
              <w:rPr>
                <w:rFonts w:ascii="Times New Roman" w:hAnsi="Times New Roman" w:cs="Times New Roman"/>
                <w:iCs/>
                <w:sz w:val="24"/>
                <w:szCs w:val="24"/>
                <w:lang w:eastAsia="lv-LV"/>
              </w:rPr>
              <w:t>1.1. valsts pamatbudžets, tai skaitā ieņēmumi no maksas pakalpojumiem un citi pašu ieņēmumi</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992"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1276" w:type="dxa"/>
            <w:gridSpan w:val="2"/>
          </w:tcPr>
          <w:p w:rsidR="00AD1FF4" w:rsidRPr="000F2BD7" w:rsidRDefault="00AD1FF4" w:rsidP="00AD1FF4">
            <w:pPr>
              <w:jc w:val="center"/>
              <w:rPr>
                <w:iCs/>
                <w:sz w:val="20"/>
                <w:szCs w:val="20"/>
              </w:rPr>
            </w:pPr>
            <w:r>
              <w:rPr>
                <w:iCs/>
                <w:sz w:val="20"/>
                <w:szCs w:val="20"/>
              </w:rPr>
              <w:t>0</w:t>
            </w:r>
          </w:p>
        </w:tc>
      </w:tr>
      <w:tr w:rsidR="00AD1FF4" w:rsidRPr="00E406AA" w:rsidTr="00694BF0">
        <w:trPr>
          <w:gridAfter w:val="1"/>
          <w:wAfter w:w="10" w:type="dxa"/>
        </w:trPr>
        <w:tc>
          <w:tcPr>
            <w:tcW w:w="1702" w:type="dxa"/>
          </w:tcPr>
          <w:p w:rsidR="00AD1FF4" w:rsidRPr="00E406AA" w:rsidRDefault="00AD1FF4" w:rsidP="00AD1FF4">
            <w:bookmarkStart w:id="4" w:name="_Hlk16233540"/>
            <w:bookmarkEnd w:id="2"/>
            <w:bookmarkEnd w:id="3"/>
            <w:r w:rsidRPr="00E406AA">
              <w:t>programma 97.00.00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992"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1276" w:type="dxa"/>
            <w:gridSpan w:val="2"/>
          </w:tcPr>
          <w:p w:rsidR="00AD1FF4" w:rsidRPr="000F2BD7" w:rsidRDefault="00AD1FF4" w:rsidP="00AD1FF4">
            <w:pPr>
              <w:jc w:val="center"/>
              <w:rPr>
                <w:iCs/>
                <w:sz w:val="20"/>
                <w:szCs w:val="20"/>
              </w:rPr>
            </w:pPr>
            <w:r>
              <w:rPr>
                <w:iCs/>
                <w:sz w:val="20"/>
                <w:szCs w:val="20"/>
              </w:rPr>
              <w:t>0</w:t>
            </w:r>
          </w:p>
        </w:tc>
      </w:tr>
      <w:bookmarkEnd w:id="4"/>
      <w:tr w:rsidR="00AD1FF4" w:rsidRPr="00E406AA" w:rsidTr="00F2365C">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1.2. valsts speciālais budžets</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RPr="00E406AA" w:rsidTr="00F2365C">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1.3. pašvaldību budžets</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RPr="00E406AA" w:rsidTr="00694BF0">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2</w:t>
            </w:r>
            <w:r w:rsidRPr="00E406AA">
              <w:rPr>
                <w:rFonts w:ascii="Times New Roman" w:hAnsi="Times New Roman" w:cs="Times New Roman"/>
                <w:b/>
                <w:iCs/>
                <w:sz w:val="24"/>
                <w:szCs w:val="24"/>
                <w:lang w:eastAsia="lv-LV"/>
              </w:rPr>
              <w:t>. Budžeta izdevumi</w:t>
            </w:r>
          </w:p>
        </w:tc>
        <w:tc>
          <w:tcPr>
            <w:tcW w:w="1134"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b/>
                <w:iCs/>
                <w:sz w:val="20"/>
                <w:szCs w:val="20"/>
                <w:lang w:eastAsia="lv-LV"/>
              </w:rPr>
            </w:pPr>
            <w:r w:rsidRPr="000F2BD7">
              <w:rPr>
                <w:rFonts w:ascii="Times New Roman" w:hAnsi="Times New Roman" w:cs="Times New Roman"/>
                <w:b/>
                <w:iCs/>
                <w:sz w:val="20"/>
                <w:szCs w:val="20"/>
              </w:rPr>
              <w:t>0</w:t>
            </w:r>
          </w:p>
        </w:tc>
        <w:tc>
          <w:tcPr>
            <w:tcW w:w="1134"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b/>
                <w:iCs/>
                <w:sz w:val="20"/>
                <w:szCs w:val="20"/>
                <w:lang w:eastAsia="lv-LV"/>
              </w:rPr>
            </w:pPr>
            <w:r w:rsidRPr="000F2BD7">
              <w:rPr>
                <w:rFonts w:ascii="Times New Roman" w:hAnsi="Times New Roman" w:cs="Times New Roman"/>
                <w:b/>
                <w:iCs/>
                <w:sz w:val="20"/>
                <w:szCs w:val="20"/>
              </w:rPr>
              <w:t>0</w:t>
            </w:r>
          </w:p>
        </w:tc>
        <w:tc>
          <w:tcPr>
            <w:tcW w:w="992" w:type="dxa"/>
          </w:tcPr>
          <w:p w:rsidR="00AD1FF4" w:rsidRPr="000F2BD7" w:rsidRDefault="00AD1FF4" w:rsidP="00AD1FF4">
            <w:pPr>
              <w:pStyle w:val="NoSpacing"/>
              <w:jc w:val="center"/>
              <w:rPr>
                <w:rFonts w:ascii="Times New Roman" w:hAnsi="Times New Roman" w:cs="Times New Roman"/>
                <w:b/>
                <w:iCs/>
                <w:sz w:val="20"/>
                <w:szCs w:val="20"/>
                <w:lang w:eastAsia="lv-LV"/>
              </w:rPr>
            </w:pPr>
            <w:r>
              <w:rPr>
                <w:rFonts w:ascii="Times New Roman" w:hAnsi="Times New Roman" w:cs="Times New Roman"/>
                <w:b/>
                <w:iCs/>
                <w:sz w:val="20"/>
                <w:szCs w:val="20"/>
              </w:rPr>
              <w:t>0</w:t>
            </w:r>
          </w:p>
        </w:tc>
        <w:tc>
          <w:tcPr>
            <w:tcW w:w="1276" w:type="dxa"/>
            <w:gridSpan w:val="2"/>
          </w:tcPr>
          <w:p w:rsidR="00AD1FF4" w:rsidRPr="000F2BD7" w:rsidRDefault="00AD1FF4" w:rsidP="00AD1FF4">
            <w:pPr>
              <w:jc w:val="center"/>
              <w:rPr>
                <w:b/>
                <w:iCs/>
                <w:sz w:val="20"/>
                <w:szCs w:val="20"/>
              </w:rPr>
            </w:pPr>
            <w:r>
              <w:rPr>
                <w:b/>
                <w:iCs/>
                <w:sz w:val="20"/>
                <w:szCs w:val="20"/>
              </w:rPr>
              <w:t>0</w:t>
            </w:r>
          </w:p>
        </w:tc>
      </w:tr>
      <w:tr w:rsidR="00AD1FF4" w:rsidRPr="00E406AA" w:rsidTr="00694BF0">
        <w:trPr>
          <w:gridAfter w:val="1"/>
          <w:wAfter w:w="10" w:type="dxa"/>
        </w:trPr>
        <w:tc>
          <w:tcPr>
            <w:tcW w:w="1702" w:type="dxa"/>
            <w:vAlign w:val="center"/>
          </w:tcPr>
          <w:p w:rsidR="00AD1FF4" w:rsidRPr="00E406AA" w:rsidRDefault="00AD1FF4" w:rsidP="00AD1FF4">
            <w:pPr>
              <w:pStyle w:val="NoSpacing"/>
              <w:jc w:val="both"/>
              <w:rPr>
                <w:rFonts w:ascii="Times New Roman" w:hAnsi="Times New Roman" w:cs="Times New Roman"/>
                <w:iCs/>
                <w:sz w:val="24"/>
                <w:szCs w:val="24"/>
                <w:lang w:eastAsia="lv-LV"/>
              </w:rPr>
            </w:pPr>
            <w:r w:rsidRPr="00E406AA">
              <w:rPr>
                <w:rFonts w:ascii="Times New Roman" w:hAnsi="Times New Roman" w:cs="Times New Roman"/>
                <w:iCs/>
                <w:sz w:val="24"/>
                <w:szCs w:val="24"/>
                <w:lang w:eastAsia="lv-LV"/>
              </w:rPr>
              <w:t>2.1. valsts pamatbudžets</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992"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1276" w:type="dxa"/>
            <w:gridSpan w:val="2"/>
          </w:tcPr>
          <w:p w:rsidR="00AD1FF4" w:rsidRPr="000F2BD7" w:rsidRDefault="00AD1FF4" w:rsidP="00AD1FF4">
            <w:pPr>
              <w:jc w:val="center"/>
              <w:rPr>
                <w:iCs/>
                <w:sz w:val="20"/>
                <w:szCs w:val="20"/>
              </w:rPr>
            </w:pPr>
            <w:r>
              <w:rPr>
                <w:iCs/>
                <w:sz w:val="20"/>
                <w:szCs w:val="20"/>
              </w:rPr>
              <w:t>0</w:t>
            </w:r>
          </w:p>
        </w:tc>
      </w:tr>
      <w:tr w:rsidR="00AD1FF4" w:rsidRPr="00E406AA" w:rsidTr="00694BF0">
        <w:trPr>
          <w:gridAfter w:val="1"/>
          <w:wAfter w:w="10" w:type="dxa"/>
        </w:trPr>
        <w:tc>
          <w:tcPr>
            <w:tcW w:w="1702" w:type="dxa"/>
          </w:tcPr>
          <w:p w:rsidR="00AD1FF4" w:rsidRPr="00E406AA" w:rsidRDefault="00AD1FF4" w:rsidP="00AD1FF4">
            <w:r w:rsidRPr="00E406AA">
              <w:t>programma 97.00.00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3 769 406</w:t>
            </w:r>
          </w:p>
        </w:tc>
        <w:tc>
          <w:tcPr>
            <w:tcW w:w="1268" w:type="dxa"/>
          </w:tcPr>
          <w:p w:rsidR="00AD1FF4" w:rsidRPr="000F2BD7" w:rsidRDefault="008E6663"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106 415</w:t>
            </w:r>
          </w:p>
        </w:tc>
        <w:tc>
          <w:tcPr>
            <w:tcW w:w="1000"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1134"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992" w:type="dxa"/>
            <w:gridSpan w:val="2"/>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rPr>
              <w:t>0</w:t>
            </w:r>
          </w:p>
        </w:tc>
        <w:tc>
          <w:tcPr>
            <w:tcW w:w="992" w:type="dxa"/>
          </w:tcPr>
          <w:p w:rsidR="00AD1FF4" w:rsidRPr="000F2BD7" w:rsidRDefault="00AD1FF4" w:rsidP="00AD1FF4">
            <w:pPr>
              <w:pStyle w:val="NoSpacing"/>
              <w:jc w:val="center"/>
              <w:rPr>
                <w:rFonts w:ascii="Times New Roman" w:hAnsi="Times New Roman" w:cs="Times New Roman"/>
                <w:iCs/>
                <w:sz w:val="20"/>
                <w:szCs w:val="20"/>
                <w:lang w:eastAsia="lv-LV"/>
              </w:rPr>
            </w:pPr>
            <w:r>
              <w:rPr>
                <w:rFonts w:ascii="Times New Roman" w:hAnsi="Times New Roman" w:cs="Times New Roman"/>
                <w:iCs/>
                <w:sz w:val="20"/>
                <w:szCs w:val="20"/>
              </w:rPr>
              <w:t>0</w:t>
            </w:r>
          </w:p>
        </w:tc>
        <w:tc>
          <w:tcPr>
            <w:tcW w:w="1276" w:type="dxa"/>
            <w:gridSpan w:val="2"/>
          </w:tcPr>
          <w:p w:rsidR="00AD1FF4" w:rsidRPr="000F2BD7" w:rsidRDefault="00AD1FF4" w:rsidP="00AD1FF4">
            <w:pPr>
              <w:jc w:val="center"/>
              <w:rPr>
                <w:iCs/>
                <w:sz w:val="20"/>
                <w:szCs w:val="20"/>
              </w:rPr>
            </w:pPr>
            <w:r>
              <w:rPr>
                <w:iCs/>
                <w:sz w:val="20"/>
                <w:szCs w:val="20"/>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lastRenderedPageBreak/>
              <w:t>3. Finansiālā ietekme</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68"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000"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134"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992" w:type="dxa"/>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c>
          <w:tcPr>
            <w:tcW w:w="1276" w:type="dxa"/>
            <w:gridSpan w:val="2"/>
            <w:vAlign w:val="center"/>
          </w:tcPr>
          <w:p w:rsidR="00AD1FF4" w:rsidRPr="000F2BD7" w:rsidRDefault="00AD1FF4" w:rsidP="00AD1FF4">
            <w:pPr>
              <w:pStyle w:val="NoSpacing"/>
              <w:jc w:val="center"/>
              <w:rPr>
                <w:rFonts w:ascii="Times New Roman" w:hAnsi="Times New Roman" w:cs="Times New Roman"/>
                <w:iCs/>
                <w:sz w:val="20"/>
                <w:szCs w:val="20"/>
                <w:lang w:eastAsia="lv-LV"/>
              </w:rPr>
            </w:pPr>
            <w:r w:rsidRPr="000F2BD7">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X</w:t>
            </w: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1134" w:type="dxa"/>
            <w:vMerge w:val="restart"/>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X</w:t>
            </w: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Merge w:val="restart"/>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Merge w:val="restart"/>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1134" w:type="dxa"/>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1134" w:type="dxa"/>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rPr>
          <w:gridAfter w:val="1"/>
          <w:wAfter w:w="10" w:type="dxa"/>
        </w:trPr>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1134" w:type="dxa"/>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268"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000"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1134"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992" w:type="dxa"/>
            <w:gridSpan w:val="2"/>
            <w:vMerge/>
            <w:vAlign w:val="center"/>
          </w:tcPr>
          <w:p w:rsidR="00AD1FF4" w:rsidRPr="009A0FE0" w:rsidRDefault="00AD1FF4" w:rsidP="00AD1FF4">
            <w:pPr>
              <w:pStyle w:val="NoSpacing"/>
              <w:jc w:val="center"/>
              <w:rPr>
                <w:rFonts w:ascii="Times New Roman" w:hAnsi="Times New Roman" w:cs="Times New Roman"/>
                <w:iCs/>
                <w:sz w:val="20"/>
                <w:szCs w:val="20"/>
                <w:lang w:eastAsia="lv-LV"/>
              </w:rPr>
            </w:pPr>
          </w:p>
        </w:tc>
        <w:tc>
          <w:tcPr>
            <w:tcW w:w="992" w:type="dxa"/>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c>
          <w:tcPr>
            <w:tcW w:w="1276" w:type="dxa"/>
            <w:gridSpan w:val="2"/>
            <w:vAlign w:val="center"/>
          </w:tcPr>
          <w:p w:rsidR="00AD1FF4" w:rsidRPr="009A0FE0" w:rsidRDefault="00AD1FF4" w:rsidP="00AD1FF4">
            <w:pPr>
              <w:pStyle w:val="NoSpacing"/>
              <w:jc w:val="center"/>
              <w:rPr>
                <w:rFonts w:ascii="Times New Roman" w:hAnsi="Times New Roman" w:cs="Times New Roman"/>
                <w:iCs/>
                <w:sz w:val="20"/>
                <w:szCs w:val="20"/>
                <w:lang w:eastAsia="lv-LV"/>
              </w:rPr>
            </w:pPr>
            <w:r w:rsidRPr="009A0FE0">
              <w:rPr>
                <w:rFonts w:ascii="Times New Roman" w:hAnsi="Times New Roman" w:cs="Times New Roman"/>
                <w:iCs/>
                <w:sz w:val="20"/>
                <w:szCs w:val="20"/>
                <w:lang w:eastAsia="lv-LV"/>
              </w:rPr>
              <w:t>0</w:t>
            </w:r>
          </w:p>
        </w:tc>
      </w:tr>
      <w:tr w:rsidR="00AD1FF4" w:rsidTr="00F2365C">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806" w:type="dxa"/>
            <w:gridSpan w:val="11"/>
            <w:vMerge w:val="restart"/>
            <w:shd w:val="clear" w:color="auto" w:fill="auto"/>
          </w:tcPr>
          <w:p w:rsidR="00AD1FF4" w:rsidRPr="002039CF" w:rsidRDefault="00AD1FF4" w:rsidP="00AD1FF4">
            <w:pPr>
              <w:widowControl w:val="0"/>
              <w:contextualSpacing/>
              <w:jc w:val="both"/>
              <w:rPr>
                <w:i/>
              </w:rPr>
            </w:pPr>
            <w:r w:rsidRPr="002039CF">
              <w:rPr>
                <w:i/>
              </w:rPr>
              <w:t>* Atbilstoši likumam “Par valsts budžetu 2020.gadam”.</w:t>
            </w:r>
          </w:p>
          <w:p w:rsidR="00AD1FF4" w:rsidRPr="002039CF" w:rsidRDefault="00AD1FF4" w:rsidP="00AD1FF4">
            <w:pPr>
              <w:ind w:left="57" w:right="57" w:firstLine="382"/>
              <w:jc w:val="both"/>
              <w:rPr>
                <w:lang w:eastAsia="en-US"/>
              </w:rPr>
            </w:pPr>
            <w:r w:rsidRPr="002039CF">
              <w:rPr>
                <w:lang w:eastAsia="en-US"/>
              </w:rPr>
              <w:t xml:space="preserve">ZVA ir budžeta nefinansēta iestāde un Veselības ministrijas budžetā tā </w:t>
            </w:r>
            <w:r w:rsidR="00C62B8A" w:rsidRPr="002039CF">
              <w:rPr>
                <w:lang w:eastAsia="en-US"/>
              </w:rPr>
              <w:t>neti</w:t>
            </w:r>
            <w:r w:rsidR="00C62B8A">
              <w:rPr>
                <w:lang w:eastAsia="en-US"/>
              </w:rPr>
              <w:t>ek</w:t>
            </w:r>
            <w:r w:rsidR="00C62B8A" w:rsidRPr="002039CF">
              <w:rPr>
                <w:lang w:eastAsia="en-US"/>
              </w:rPr>
              <w:t xml:space="preserve"> </w:t>
            </w:r>
            <w:r w:rsidRPr="002039CF">
              <w:rPr>
                <w:lang w:eastAsia="en-US"/>
              </w:rPr>
              <w:t xml:space="preserve">atspoguļota. </w:t>
            </w:r>
          </w:p>
          <w:p w:rsidR="00AD1FF4" w:rsidRPr="00B968F8" w:rsidRDefault="00AD1FF4" w:rsidP="00AD1FF4">
            <w:pPr>
              <w:ind w:left="57" w:right="57" w:firstLine="382"/>
              <w:jc w:val="both"/>
              <w:rPr>
                <w:rFonts w:cstheme="minorBidi"/>
                <w:bCs/>
              </w:rPr>
            </w:pPr>
            <w:r w:rsidRPr="00B968F8">
              <w:rPr>
                <w:rFonts w:eastAsiaTheme="minorHAnsi" w:cstheme="minorBidi"/>
                <w:lang w:eastAsia="en-US"/>
              </w:rPr>
              <w:t xml:space="preserve">Ministru kabineta sēdes protokollēmuma projekts paredz </w:t>
            </w:r>
            <w:r w:rsidR="001244C0" w:rsidRPr="00B968F8">
              <w:rPr>
                <w:rFonts w:eastAsiaTheme="minorHAnsi" w:cstheme="minorBidi"/>
                <w:b/>
                <w:lang w:eastAsia="en-US"/>
              </w:rPr>
              <w:t>106 415</w:t>
            </w:r>
            <w:r w:rsidRPr="00B968F8">
              <w:rPr>
                <w:rFonts w:eastAsiaTheme="minorHAnsi" w:cstheme="minorBidi"/>
                <w:b/>
                <w:lang w:eastAsia="en-US"/>
              </w:rPr>
              <w:t xml:space="preserve">  </w:t>
            </w:r>
            <w:r w:rsidRPr="00B968F8">
              <w:rPr>
                <w:rFonts w:eastAsiaTheme="minorHAnsi" w:cstheme="minorBidi"/>
                <w:b/>
                <w:i/>
                <w:lang w:eastAsia="en-US"/>
              </w:rPr>
              <w:t>euro</w:t>
            </w:r>
            <w:r w:rsidRPr="00B968F8">
              <w:rPr>
                <w:rFonts w:cstheme="minorBidi"/>
                <w:lang w:eastAsia="en-US"/>
              </w:rPr>
              <w:t xml:space="preserve"> apmērā</w:t>
            </w:r>
            <w:r w:rsidRPr="00B968F8">
              <w:rPr>
                <w:rFonts w:eastAsiaTheme="minorHAnsi" w:cstheme="minorBidi"/>
                <w:lang w:eastAsia="en-US"/>
              </w:rPr>
              <w:t xml:space="preserve"> </w:t>
            </w:r>
            <w:r w:rsidRPr="00B968F8">
              <w:rPr>
                <w:rFonts w:eastAsiaTheme="minorHAnsi" w:cstheme="minorBidi"/>
                <w:b/>
                <w:lang w:eastAsia="en-US"/>
              </w:rPr>
              <w:t>palielināt</w:t>
            </w:r>
            <w:r w:rsidRPr="00B968F8">
              <w:rPr>
                <w:rFonts w:eastAsiaTheme="minorHAnsi" w:cstheme="minorBidi"/>
                <w:lang w:eastAsia="en-US"/>
              </w:rPr>
              <w:t xml:space="preserve"> </w:t>
            </w:r>
            <w:r w:rsidRPr="00B968F8">
              <w:rPr>
                <w:bCs/>
              </w:rPr>
              <w:t xml:space="preserve">valsts budžeta programmas 97.00.00 “Nozaru vadība un politikas plānošana” resursus izdevumu segšanai (17.1.1.0. Valsts budžeta iestāžu saņemtie transferti no savas ministrijas, centrālās valsts iestādes padotībā esošām no valsts budžeta daļēji finansētām atvasinātām publiskām personām un budžeta nefinansētām iestādēm) </w:t>
            </w:r>
            <w:r w:rsidRPr="00B968F8">
              <w:rPr>
                <w:rFonts w:eastAsiaTheme="minorHAnsi" w:cstheme="minorBidi"/>
                <w:bCs/>
              </w:rPr>
              <w:t xml:space="preserve">un atbilstošos izdevumus </w:t>
            </w:r>
            <w:r w:rsidR="001244C0" w:rsidRPr="00B968F8">
              <w:rPr>
                <w:rFonts w:eastAsiaTheme="minorHAnsi" w:cstheme="minorBidi"/>
                <w:b/>
                <w:iCs/>
                <w:lang w:eastAsia="en-US"/>
              </w:rPr>
              <w:t xml:space="preserve">106 </w:t>
            </w:r>
            <w:r w:rsidR="00871C93">
              <w:rPr>
                <w:rFonts w:eastAsiaTheme="minorHAnsi" w:cstheme="minorBidi"/>
                <w:b/>
                <w:iCs/>
                <w:lang w:eastAsia="en-US"/>
              </w:rPr>
              <w:t> </w:t>
            </w:r>
            <w:r w:rsidR="001244C0" w:rsidRPr="00B968F8">
              <w:rPr>
                <w:rFonts w:eastAsiaTheme="minorHAnsi" w:cstheme="minorBidi"/>
                <w:b/>
                <w:iCs/>
                <w:lang w:eastAsia="en-US"/>
              </w:rPr>
              <w:t>415</w:t>
            </w:r>
            <w:r w:rsidRPr="00B968F8">
              <w:rPr>
                <w:rFonts w:eastAsiaTheme="minorHAnsi" w:cstheme="minorBidi"/>
                <w:b/>
                <w:i/>
                <w:lang w:eastAsia="en-US"/>
              </w:rPr>
              <w:t xml:space="preserve"> euro</w:t>
            </w:r>
            <w:r w:rsidRPr="00B968F8">
              <w:rPr>
                <w:rFonts w:eastAsiaTheme="minorHAnsi" w:cstheme="minorBidi"/>
                <w:b/>
                <w:lang w:eastAsia="en-US"/>
              </w:rPr>
              <w:t xml:space="preserve"> </w:t>
            </w:r>
            <w:r w:rsidRPr="00B968F8">
              <w:rPr>
                <w:rFonts w:eastAsiaTheme="minorHAnsi" w:cstheme="minorBidi"/>
                <w:lang w:eastAsia="en-US"/>
              </w:rPr>
              <w:t xml:space="preserve">apmērā </w:t>
            </w:r>
            <w:r w:rsidRPr="00B968F8">
              <w:rPr>
                <w:rFonts w:eastAsiaTheme="minorHAnsi" w:cstheme="minorBidi"/>
                <w:bCs/>
              </w:rPr>
              <w:t xml:space="preserve">Veselības ministrijai </w:t>
            </w:r>
            <w:r w:rsidRPr="00B968F8">
              <w:rPr>
                <w:rFonts w:cstheme="minorBidi"/>
                <w:bCs/>
              </w:rPr>
              <w:t xml:space="preserve"> </w:t>
            </w:r>
            <w:r w:rsidRPr="00B968F8">
              <w:rPr>
                <w:rFonts w:cstheme="minorBidi"/>
                <w:bCs/>
                <w:u w:val="single"/>
              </w:rPr>
              <w:t>izdevumiem precēm un pakalpojumiem</w:t>
            </w:r>
            <w:r w:rsidRPr="00B968F8">
              <w:rPr>
                <w:rFonts w:cstheme="minorBidi"/>
                <w:bCs/>
              </w:rPr>
              <w:t xml:space="preserve"> (2000 kods):</w:t>
            </w:r>
          </w:p>
          <w:p w:rsidR="00AD1FF4" w:rsidRPr="00E05615" w:rsidRDefault="00AD1FF4" w:rsidP="00AD1FF4">
            <w:pPr>
              <w:numPr>
                <w:ilvl w:val="0"/>
                <w:numId w:val="11"/>
              </w:numPr>
              <w:jc w:val="both"/>
              <w:rPr>
                <w:rFonts w:cstheme="minorBidi"/>
                <w:bCs/>
              </w:rPr>
            </w:pPr>
            <w:r w:rsidRPr="00CE18B6">
              <w:rPr>
                <w:rFonts w:eastAsia="Calibri"/>
                <w:b/>
                <w:bCs/>
                <w:lang w:eastAsia="en-US"/>
              </w:rPr>
              <w:t>22 000</w:t>
            </w:r>
            <w:r w:rsidRPr="00CE18B6">
              <w:rPr>
                <w:rFonts w:eastAsia="Calibri"/>
                <w:b/>
                <w:bCs/>
                <w:i/>
                <w:lang w:eastAsia="en-US"/>
              </w:rPr>
              <w:t xml:space="preserve"> euro</w:t>
            </w:r>
            <w:r w:rsidRPr="002039CF">
              <w:rPr>
                <w:rFonts w:eastAsia="Calibri"/>
                <w:b/>
                <w:lang w:eastAsia="en-US"/>
              </w:rPr>
              <w:t xml:space="preserve"> </w:t>
            </w:r>
            <w:r w:rsidRPr="002039CF">
              <w:rPr>
                <w:rFonts w:eastAsia="Calibri"/>
                <w:lang w:eastAsia="en-US"/>
              </w:rPr>
              <w:t>apmērā</w:t>
            </w:r>
            <w:r w:rsidRPr="002039CF">
              <w:rPr>
                <w:bCs/>
              </w:rPr>
              <w:t xml:space="preserve">, </w:t>
            </w:r>
            <w:r w:rsidRPr="002039CF">
              <w:rPr>
                <w:rFonts w:eastAsia="Calibri"/>
                <w:lang w:eastAsia="en-US"/>
              </w:rPr>
              <w:t>lai veiktu OECD pētījumu “Par Latvijas sabiedrības veselību”</w:t>
            </w:r>
            <w:r w:rsidR="00DF0ED7">
              <w:rPr>
                <w:rFonts w:eastAsia="Calibri"/>
                <w:lang w:eastAsia="en-US"/>
              </w:rPr>
              <w:t xml:space="preserve">. </w:t>
            </w:r>
            <w:r w:rsidR="00AA1DD4" w:rsidRPr="00AA1DD4">
              <w:rPr>
                <w:color w:val="000000"/>
                <w:shd w:val="clear" w:color="auto" w:fill="FFFFFF"/>
              </w:rPr>
              <w:t>Kopējais pētījumam nepieciešamais finansējums tika sadalīts divās daļās</w:t>
            </w:r>
            <w:r w:rsidR="00AA1DD4">
              <w:rPr>
                <w:color w:val="000000"/>
                <w:shd w:val="clear" w:color="auto" w:fill="FFFFFF"/>
              </w:rPr>
              <w:t>:</w:t>
            </w:r>
            <w:r w:rsidR="00AA1DD4" w:rsidRPr="00AA1DD4">
              <w:rPr>
                <w:color w:val="000000"/>
                <w:shd w:val="clear" w:color="auto" w:fill="FFFFFF"/>
              </w:rPr>
              <w:t xml:space="preserve"> 88 000 </w:t>
            </w:r>
            <w:r w:rsidR="00AA1DD4" w:rsidRPr="00AD3C48">
              <w:rPr>
                <w:i/>
                <w:iCs/>
                <w:color w:val="000000"/>
                <w:shd w:val="clear" w:color="auto" w:fill="FFFFFF"/>
              </w:rPr>
              <w:t>euro</w:t>
            </w:r>
            <w:r w:rsidR="00AA1DD4" w:rsidRPr="00AA1DD4">
              <w:rPr>
                <w:color w:val="000000"/>
                <w:shd w:val="clear" w:color="auto" w:fill="FFFFFF"/>
              </w:rPr>
              <w:t xml:space="preserve">, kas tika samaksāti 2019.gadā un 22 000 </w:t>
            </w:r>
            <w:r w:rsidR="00AA1DD4" w:rsidRPr="00AD3C48">
              <w:rPr>
                <w:i/>
                <w:iCs/>
                <w:color w:val="000000"/>
                <w:shd w:val="clear" w:color="auto" w:fill="FFFFFF"/>
              </w:rPr>
              <w:t>euro</w:t>
            </w:r>
            <w:r w:rsidR="00AA1DD4" w:rsidRPr="00AA1DD4">
              <w:rPr>
                <w:color w:val="000000"/>
                <w:shd w:val="clear" w:color="auto" w:fill="FFFFFF"/>
              </w:rPr>
              <w:t xml:space="preserve"> maksājums, kas ir jāveic ne vēlāk kā 2020.gada 31.jūlijā.</w:t>
            </w:r>
            <w:r w:rsidR="00AA1DD4">
              <w:rPr>
                <w:rFonts w:eastAsia="Calibri"/>
                <w:lang w:eastAsia="en-US"/>
              </w:rPr>
              <w:t xml:space="preserve"> </w:t>
            </w:r>
            <w:r w:rsidR="00AA1DD4" w:rsidRPr="00AA1DD4">
              <w:rPr>
                <w:color w:val="000000"/>
                <w:shd w:val="clear" w:color="auto" w:fill="FFFFFF"/>
              </w:rPr>
              <w:t xml:space="preserve">Ar Ministru kabineta 2019.gada 17.jūlija rīkojumu Nr.366 “Par Zāļu valsts aģentūras 2019. gada budžeta apstiprināšanu”  2019.gadā OECD pētījuma “Par Latvijas sabiedrības veselību” veikšanai tika novirzīti 88 000 </w:t>
            </w:r>
            <w:r w:rsidR="00AA1DD4" w:rsidRPr="00AD3C48">
              <w:rPr>
                <w:i/>
                <w:iCs/>
                <w:color w:val="000000"/>
                <w:shd w:val="clear" w:color="auto" w:fill="FFFFFF"/>
              </w:rPr>
              <w:t>euro</w:t>
            </w:r>
            <w:r w:rsidRPr="002039CF">
              <w:rPr>
                <w:rFonts w:eastAsia="Calibri"/>
                <w:lang w:eastAsia="en-US"/>
              </w:rPr>
              <w:t>;</w:t>
            </w:r>
          </w:p>
          <w:p w:rsidR="00AD1FF4" w:rsidRPr="00E05615" w:rsidRDefault="00AD1FF4" w:rsidP="00AD1FF4">
            <w:pPr>
              <w:numPr>
                <w:ilvl w:val="0"/>
                <w:numId w:val="11"/>
              </w:numPr>
              <w:ind w:left="746" w:hanging="425"/>
              <w:jc w:val="both"/>
              <w:rPr>
                <w:rFonts w:cstheme="minorBidi"/>
                <w:bCs/>
              </w:rPr>
            </w:pPr>
            <w:r w:rsidRPr="00CE18B6">
              <w:rPr>
                <w:rFonts w:eastAsiaTheme="minorHAnsi" w:cstheme="minorBidi"/>
                <w:b/>
                <w:bCs/>
                <w:lang w:eastAsia="en-US"/>
              </w:rPr>
              <w:t>16 940</w:t>
            </w:r>
            <w:r w:rsidRPr="00CE18B6">
              <w:rPr>
                <w:rFonts w:eastAsiaTheme="minorHAnsi" w:cstheme="minorBidi"/>
                <w:b/>
                <w:bCs/>
                <w:i/>
                <w:lang w:eastAsia="en-US"/>
              </w:rPr>
              <w:t xml:space="preserve"> euro</w:t>
            </w:r>
            <w:r w:rsidRPr="006011AA">
              <w:rPr>
                <w:rFonts w:eastAsiaTheme="minorHAnsi" w:cstheme="minorBidi"/>
                <w:b/>
                <w:lang w:eastAsia="en-US"/>
              </w:rPr>
              <w:t xml:space="preserve"> </w:t>
            </w:r>
            <w:r w:rsidRPr="006011AA">
              <w:rPr>
                <w:rFonts w:eastAsiaTheme="minorHAnsi" w:cstheme="minorBidi"/>
                <w:lang w:eastAsia="en-US"/>
              </w:rPr>
              <w:t xml:space="preserve">apmērā, </w:t>
            </w:r>
            <w:r w:rsidRPr="006011AA">
              <w:rPr>
                <w:rFonts w:eastAsiaTheme="minorHAnsi"/>
                <w:lang w:eastAsia="en-US"/>
              </w:rPr>
              <w:t xml:space="preserve">lai </w:t>
            </w:r>
            <w:r w:rsidRPr="006011AA">
              <w:rPr>
                <w:rFonts w:eastAsiaTheme="minorHAnsi" w:cstheme="minorBidi"/>
                <w:lang w:eastAsia="en-US"/>
              </w:rPr>
              <w:t xml:space="preserve">nodrošinātu </w:t>
            </w:r>
            <w:r w:rsidRPr="006011AA">
              <w:rPr>
                <w:rFonts w:eastAsiaTheme="minorHAnsi" w:cstheme="minorBidi"/>
                <w:bCs/>
                <w:lang w:eastAsia="en-US"/>
              </w:rPr>
              <w:t>Namejs</w:t>
            </w:r>
            <w:r>
              <w:rPr>
                <w:rFonts w:eastAsiaTheme="minorHAnsi" w:cstheme="minorBidi"/>
                <w:bCs/>
                <w:lang w:eastAsia="en-US"/>
              </w:rPr>
              <w:t xml:space="preserve"> </w:t>
            </w:r>
            <w:r w:rsidRPr="006011AA">
              <w:rPr>
                <w:rFonts w:eastAsiaTheme="minorHAnsi" w:cstheme="minorBidi"/>
                <w:lang w:eastAsia="en-US"/>
              </w:rPr>
              <w:t>uzturēšanu un attīstību</w:t>
            </w:r>
            <w:r>
              <w:rPr>
                <w:rFonts w:eastAsiaTheme="minorHAnsi" w:cstheme="minorBidi"/>
                <w:lang w:eastAsia="en-US"/>
              </w:rPr>
              <w:t>;</w:t>
            </w:r>
            <w:r w:rsidRPr="006011AA">
              <w:rPr>
                <w:rFonts w:eastAsiaTheme="minorHAnsi" w:cstheme="minorBidi"/>
                <w:lang w:eastAsia="en-US"/>
              </w:rPr>
              <w:t xml:space="preserve"> </w:t>
            </w:r>
          </w:p>
          <w:p w:rsidR="003629F3" w:rsidRDefault="00AD1FF4" w:rsidP="009C3CF6">
            <w:pPr>
              <w:numPr>
                <w:ilvl w:val="0"/>
                <w:numId w:val="11"/>
              </w:numPr>
              <w:ind w:left="746" w:hanging="425"/>
              <w:jc w:val="both"/>
            </w:pPr>
            <w:r w:rsidRPr="00CE18B6">
              <w:rPr>
                <w:rFonts w:eastAsiaTheme="minorHAnsi" w:cstheme="minorBidi"/>
                <w:b/>
                <w:bCs/>
                <w:lang w:eastAsia="en-US"/>
              </w:rPr>
              <w:t>12 833</w:t>
            </w:r>
            <w:r w:rsidRPr="00CE18B6">
              <w:rPr>
                <w:rFonts w:eastAsiaTheme="minorHAnsi" w:cstheme="minorBidi"/>
                <w:b/>
                <w:bCs/>
                <w:i/>
                <w:lang w:eastAsia="en-US"/>
              </w:rPr>
              <w:t xml:space="preserve"> euro</w:t>
            </w:r>
            <w:r w:rsidRPr="00CE6288">
              <w:rPr>
                <w:rFonts w:eastAsiaTheme="minorHAnsi" w:cstheme="minorBidi"/>
                <w:b/>
                <w:lang w:eastAsia="en-US"/>
              </w:rPr>
              <w:t xml:space="preserve"> </w:t>
            </w:r>
            <w:r w:rsidRPr="00CE6288">
              <w:rPr>
                <w:rFonts w:eastAsiaTheme="minorHAnsi" w:cstheme="minorBidi"/>
                <w:lang w:eastAsia="en-US"/>
              </w:rPr>
              <w:t xml:space="preserve">apmērā, </w:t>
            </w:r>
            <w:r w:rsidRPr="00CE6288">
              <w:rPr>
                <w:rFonts w:eastAsiaTheme="minorHAnsi"/>
                <w:lang w:eastAsia="en-US"/>
              </w:rPr>
              <w:t xml:space="preserve">lai </w:t>
            </w:r>
            <w:r w:rsidRPr="00CE6288">
              <w:rPr>
                <w:rFonts w:eastAsiaTheme="minorHAnsi" w:cstheme="minorBidi"/>
                <w:lang w:eastAsia="en-US"/>
              </w:rPr>
              <w:t>nodrošinātu Horizon programmatūras koda uzturēšanu 9 203</w:t>
            </w:r>
            <w:r w:rsidRPr="00CE6288">
              <w:rPr>
                <w:rFonts w:eastAsiaTheme="minorHAnsi" w:cstheme="minorBidi"/>
                <w:i/>
                <w:lang w:eastAsia="en-US"/>
              </w:rPr>
              <w:t xml:space="preserve"> euro</w:t>
            </w:r>
            <w:r w:rsidRPr="00CE6288">
              <w:rPr>
                <w:rFonts w:eastAsiaTheme="minorHAnsi" w:cstheme="minorBidi"/>
                <w:lang w:eastAsia="en-US"/>
              </w:rPr>
              <w:t xml:space="preserve"> un Horizon programmatūras koda attīstību 3 630</w:t>
            </w:r>
            <w:r w:rsidRPr="00CE6288">
              <w:rPr>
                <w:rFonts w:eastAsiaTheme="minorHAnsi" w:cstheme="minorBidi"/>
                <w:i/>
                <w:lang w:eastAsia="en-US"/>
              </w:rPr>
              <w:t xml:space="preserve"> euro</w:t>
            </w:r>
            <w:r w:rsidRPr="00CE6288">
              <w:rPr>
                <w:rFonts w:eastAsiaTheme="minorHAnsi" w:cstheme="minorBidi"/>
                <w:lang w:eastAsia="en-US"/>
              </w:rPr>
              <w:t>;</w:t>
            </w:r>
            <w:r w:rsidR="000078A6">
              <w:t xml:space="preserve"> </w:t>
            </w:r>
            <w:r w:rsidRPr="00CE6288">
              <w:t xml:space="preserve">60 stundas * 60.5 </w:t>
            </w:r>
            <w:r w:rsidRPr="000078A6">
              <w:rPr>
                <w:i/>
              </w:rPr>
              <w:t>euro</w:t>
            </w:r>
            <w:r w:rsidRPr="00CE6288">
              <w:t xml:space="preserve">/h = 3 630 </w:t>
            </w:r>
            <w:r w:rsidRPr="000078A6">
              <w:rPr>
                <w:i/>
              </w:rPr>
              <w:t>euro</w:t>
            </w:r>
            <w:r w:rsidR="00580268">
              <w:rPr>
                <w:iCs/>
              </w:rPr>
              <w:t>;</w:t>
            </w:r>
          </w:p>
          <w:p w:rsidR="003629F3" w:rsidRPr="009C3CF6" w:rsidRDefault="003629F3" w:rsidP="003629F3">
            <w:pPr>
              <w:numPr>
                <w:ilvl w:val="0"/>
                <w:numId w:val="11"/>
              </w:numPr>
              <w:ind w:left="746" w:hanging="425"/>
              <w:jc w:val="both"/>
            </w:pPr>
            <w:r w:rsidRPr="009C3CF6">
              <w:rPr>
                <w:b/>
                <w:bCs/>
              </w:rPr>
              <w:t>54 642</w:t>
            </w:r>
            <w:r w:rsidRPr="009C3CF6">
              <w:t xml:space="preserve"> </w:t>
            </w:r>
            <w:r w:rsidRPr="009C3CF6">
              <w:rPr>
                <w:b/>
                <w:bCs/>
                <w:i/>
                <w:iCs/>
              </w:rPr>
              <w:t>euro</w:t>
            </w:r>
            <w:r w:rsidRPr="009C3CF6">
              <w:t xml:space="preserve"> (80 gab. Office 365 E1 licenču noma 1 gadam * 98,73 =  </w:t>
            </w:r>
            <w:r w:rsidRPr="009C3CF6">
              <w:rPr>
                <w:b/>
                <w:bCs/>
              </w:rPr>
              <w:t>7</w:t>
            </w:r>
            <w:r w:rsidR="00D41A62" w:rsidRPr="009C3CF6">
              <w:rPr>
                <w:b/>
                <w:bCs/>
              </w:rPr>
              <w:t> 898,40</w:t>
            </w:r>
            <w:r w:rsidRPr="009C3CF6">
              <w:t xml:space="preserve"> </w:t>
            </w:r>
            <w:r w:rsidR="00A84A5E" w:rsidRPr="00A84A5E">
              <w:rPr>
                <w:b/>
                <w:bCs/>
                <w:i/>
                <w:iCs/>
              </w:rPr>
              <w:t>euro</w:t>
            </w:r>
            <w:r w:rsidR="00A84A5E">
              <w:t xml:space="preserve"> </w:t>
            </w:r>
            <w:r w:rsidRPr="009C3CF6">
              <w:t xml:space="preserve">ar PVN; 160 gab. Office 365 E3 licenču noma 1 gadam </w:t>
            </w:r>
            <w:r w:rsidRPr="009C3CF6">
              <w:lastRenderedPageBreak/>
              <w:t xml:space="preserve">* </w:t>
            </w:r>
            <w:r w:rsidR="00392554" w:rsidRPr="009C3CF6">
              <w:t>259,</w:t>
            </w:r>
            <w:r w:rsidR="00D41A62" w:rsidRPr="009C3CF6">
              <w:t>04</w:t>
            </w:r>
            <w:r w:rsidR="00392554" w:rsidRPr="009C3CF6">
              <w:t xml:space="preserve"> =</w:t>
            </w:r>
            <w:r w:rsidRPr="009C3CF6">
              <w:t xml:space="preserve"> </w:t>
            </w:r>
            <w:r w:rsidR="00D41A62" w:rsidRPr="009C3CF6">
              <w:rPr>
                <w:b/>
                <w:bCs/>
              </w:rPr>
              <w:t>41 446,40</w:t>
            </w:r>
            <w:r w:rsidR="00A84A5E">
              <w:rPr>
                <w:b/>
                <w:bCs/>
              </w:rPr>
              <w:t xml:space="preserve"> </w:t>
            </w:r>
            <w:r w:rsidR="00A84A5E" w:rsidRPr="00A84A5E">
              <w:rPr>
                <w:b/>
                <w:bCs/>
                <w:i/>
                <w:iCs/>
              </w:rPr>
              <w:t>euro</w:t>
            </w:r>
            <w:r w:rsidRPr="009C3CF6">
              <w:t xml:space="preserve"> ar PVN; 160 gab. CoreCALBridge O365 licenču noma 1 gadam </w:t>
            </w:r>
            <w:r w:rsidR="00392554" w:rsidRPr="009C3CF6">
              <w:t>* 33, 1</w:t>
            </w:r>
            <w:r w:rsidR="00D41A62" w:rsidRPr="009C3CF6">
              <w:t>1</w:t>
            </w:r>
            <w:r w:rsidR="00392554" w:rsidRPr="009C3CF6">
              <w:t xml:space="preserve"> = </w:t>
            </w:r>
            <w:r w:rsidRPr="009C3CF6">
              <w:t xml:space="preserve"> </w:t>
            </w:r>
            <w:r w:rsidR="00D41A62" w:rsidRPr="009C3CF6">
              <w:rPr>
                <w:b/>
                <w:bCs/>
              </w:rPr>
              <w:t>5297,6</w:t>
            </w:r>
            <w:r w:rsidR="00D41A62" w:rsidRPr="00000087">
              <w:rPr>
                <w:b/>
                <w:bCs/>
              </w:rPr>
              <w:t>0</w:t>
            </w:r>
            <w:r w:rsidR="00A84A5E" w:rsidRPr="00A84A5E">
              <w:rPr>
                <w:b/>
                <w:bCs/>
                <w:i/>
                <w:iCs/>
              </w:rPr>
              <w:t xml:space="preserve"> euro</w:t>
            </w:r>
            <w:r w:rsidR="00A84A5E">
              <w:rPr>
                <w:b/>
                <w:bCs/>
              </w:rPr>
              <w:t xml:space="preserve"> </w:t>
            </w:r>
            <w:r w:rsidRPr="009C3CF6">
              <w:t>ar PVN).</w:t>
            </w:r>
          </w:p>
          <w:p w:rsidR="003629F3" w:rsidRPr="001244C0" w:rsidRDefault="003629F3" w:rsidP="003629F3">
            <w:pPr>
              <w:jc w:val="both"/>
            </w:pPr>
          </w:p>
          <w:p w:rsidR="00AD1FF4" w:rsidRPr="001F1C7D" w:rsidRDefault="00AD1FF4" w:rsidP="00C62B8A">
            <w:pPr>
              <w:ind w:firstLine="463"/>
              <w:jc w:val="both"/>
              <w:rPr>
                <w:rFonts w:cstheme="minorBidi"/>
                <w:bCs/>
                <w:color w:val="FF0000"/>
              </w:rPr>
            </w:pPr>
            <w:r w:rsidRPr="00E3070D">
              <w:rPr>
                <w:rFonts w:eastAsiaTheme="minorHAnsi" w:cstheme="minorBidi"/>
                <w:szCs w:val="22"/>
                <w:lang w:eastAsia="en-US"/>
              </w:rPr>
              <w:t xml:space="preserve">ZVA naudas līdzekļu atlikuma daļu </w:t>
            </w:r>
            <w:r w:rsidR="00217F12" w:rsidRPr="00E3070D">
              <w:rPr>
                <w:rFonts w:eastAsiaTheme="minorHAnsi" w:cstheme="minorBidi"/>
                <w:b/>
                <w:szCs w:val="22"/>
                <w:lang w:eastAsia="en-US"/>
              </w:rPr>
              <w:t>106 415</w:t>
            </w:r>
            <w:r w:rsidRPr="00E3070D">
              <w:rPr>
                <w:rFonts w:eastAsiaTheme="minorHAnsi" w:cstheme="minorBidi"/>
                <w:b/>
                <w:szCs w:val="22"/>
                <w:lang w:eastAsia="en-US"/>
              </w:rPr>
              <w:t> </w:t>
            </w:r>
            <w:r w:rsidRPr="00AD3C48">
              <w:rPr>
                <w:rFonts w:eastAsiaTheme="minorHAnsi" w:cstheme="minorBidi"/>
                <w:b/>
                <w:bCs/>
                <w:i/>
                <w:szCs w:val="22"/>
                <w:lang w:eastAsia="en-US"/>
              </w:rPr>
              <w:t>euro</w:t>
            </w:r>
            <w:r w:rsidRPr="00E3070D">
              <w:rPr>
                <w:rFonts w:eastAsiaTheme="minorHAnsi" w:cstheme="minorBidi"/>
                <w:szCs w:val="22"/>
                <w:lang w:eastAsia="en-US"/>
              </w:rPr>
              <w:t xml:space="preserve"> apmērā </w:t>
            </w:r>
            <w:r w:rsidR="00C62B8A">
              <w:rPr>
                <w:rFonts w:eastAsiaTheme="minorHAnsi" w:cstheme="minorBidi"/>
                <w:szCs w:val="22"/>
                <w:lang w:eastAsia="en-US"/>
              </w:rPr>
              <w:t xml:space="preserve">plānots </w:t>
            </w:r>
            <w:r w:rsidRPr="00E3070D">
              <w:rPr>
                <w:rFonts w:eastAsiaTheme="minorHAnsi" w:cstheme="minorBidi"/>
                <w:szCs w:val="22"/>
                <w:lang w:eastAsia="en-US"/>
              </w:rPr>
              <w:t>novirzīt kā transfertu Veselības ministrijas valsts budžetā.</w:t>
            </w:r>
          </w:p>
        </w:tc>
      </w:tr>
      <w:tr w:rsidR="00AD1FF4" w:rsidTr="00F2365C">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806" w:type="dxa"/>
            <w:gridSpan w:val="11"/>
            <w:vMerge/>
            <w:shd w:val="clear" w:color="auto" w:fill="auto"/>
            <w:vAlign w:val="center"/>
          </w:tcPr>
          <w:p w:rsidR="00AD1FF4" w:rsidRPr="00EC6E12" w:rsidRDefault="00AD1FF4" w:rsidP="00AD1FF4">
            <w:pPr>
              <w:pStyle w:val="NoSpacing"/>
              <w:rPr>
                <w:rFonts w:ascii="Times New Roman" w:hAnsi="Times New Roman" w:cs="Times New Roman"/>
                <w:iCs/>
                <w:sz w:val="24"/>
                <w:szCs w:val="24"/>
                <w:lang w:eastAsia="lv-LV"/>
              </w:rPr>
            </w:pPr>
          </w:p>
        </w:tc>
      </w:tr>
      <w:tr w:rsidR="00AD1FF4" w:rsidTr="00F2365C">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806" w:type="dxa"/>
            <w:gridSpan w:val="11"/>
            <w:vMerge/>
            <w:shd w:val="clear" w:color="auto" w:fill="auto"/>
            <w:vAlign w:val="center"/>
          </w:tcPr>
          <w:p w:rsidR="00AD1FF4" w:rsidRPr="00EC6E12" w:rsidRDefault="00AD1FF4" w:rsidP="00AD1FF4">
            <w:pPr>
              <w:pStyle w:val="NoSpacing"/>
              <w:rPr>
                <w:rFonts w:ascii="Times New Roman" w:hAnsi="Times New Roman" w:cs="Times New Roman"/>
                <w:iCs/>
                <w:sz w:val="24"/>
                <w:szCs w:val="24"/>
                <w:lang w:eastAsia="lv-LV"/>
              </w:rPr>
            </w:pPr>
          </w:p>
        </w:tc>
      </w:tr>
      <w:tr w:rsidR="00AD1FF4" w:rsidTr="00F2365C">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806" w:type="dxa"/>
            <w:gridSpan w:val="11"/>
            <w:vAlign w:val="center"/>
          </w:tcPr>
          <w:p w:rsidR="00AD1FF4" w:rsidRPr="00EC6E12" w:rsidRDefault="00AD1FF4" w:rsidP="00AD1FF4">
            <w:pPr>
              <w:pStyle w:val="NoSpacing"/>
              <w:jc w:val="both"/>
              <w:rPr>
                <w:rFonts w:ascii="Times New Roman" w:hAnsi="Times New Roman" w:cs="Times New Roman"/>
                <w:iCs/>
                <w:sz w:val="24"/>
                <w:szCs w:val="24"/>
                <w:lang w:eastAsia="lv-LV"/>
              </w:rPr>
            </w:pPr>
            <w:r>
              <w:rPr>
                <w:rFonts w:ascii="Times New Roman" w:eastAsia="Calibri" w:hAnsi="Times New Roman" w:cs="Times New Roman"/>
                <w:noProof/>
                <w:sz w:val="24"/>
                <w:szCs w:val="24"/>
              </w:rPr>
              <w:t>Projekts šo jomu neskar.</w:t>
            </w:r>
          </w:p>
        </w:tc>
      </w:tr>
      <w:tr w:rsidR="00AD1FF4" w:rsidTr="00F2365C">
        <w:tc>
          <w:tcPr>
            <w:tcW w:w="1702" w:type="dxa"/>
            <w:vAlign w:val="center"/>
          </w:tcPr>
          <w:p w:rsidR="00AD1FF4" w:rsidRPr="00EC6E12" w:rsidRDefault="00AD1FF4" w:rsidP="00AD1FF4">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806" w:type="dxa"/>
            <w:gridSpan w:val="11"/>
            <w:vAlign w:val="center"/>
          </w:tcPr>
          <w:p w:rsidR="00644E10" w:rsidRPr="00DD2D4E" w:rsidRDefault="00141189" w:rsidP="00CE13CF">
            <w:pPr>
              <w:pStyle w:val="tv213"/>
              <w:shd w:val="clear" w:color="auto" w:fill="FFFFFF"/>
              <w:spacing w:before="0" w:beforeAutospacing="0" w:after="0" w:afterAutospacing="0" w:line="293" w:lineRule="atLeast"/>
              <w:jc w:val="both"/>
            </w:pPr>
            <w:r w:rsidRPr="00DD2D4E">
              <w:t>Veselības ministrijas budžeta a</w:t>
            </w:r>
            <w:r w:rsidR="00644E10" w:rsidRPr="00DD2D4E">
              <w:t xml:space="preserve">propriācijas palielināšana tiks veikta atbilstoši Likuma par budžetu un finanšu vadību 9.panta </w:t>
            </w:r>
            <w:r w:rsidR="00644E10" w:rsidRPr="00DD2D4E">
              <w:rPr>
                <w:color w:val="414142"/>
                <w:shd w:val="clear" w:color="auto" w:fill="FFFFFF"/>
              </w:rPr>
              <w:t>(13</w:t>
            </w:r>
            <w:r w:rsidR="00644E10" w:rsidRPr="00DD2D4E">
              <w:rPr>
                <w:color w:val="414142"/>
                <w:shd w:val="clear" w:color="auto" w:fill="FFFFFF"/>
                <w:vertAlign w:val="superscript"/>
              </w:rPr>
              <w:t>1</w:t>
            </w:r>
            <w:r w:rsidR="00644E10" w:rsidRPr="00DD2D4E">
              <w:rPr>
                <w:color w:val="414142"/>
                <w:shd w:val="clear" w:color="auto" w:fill="FFFFFF"/>
              </w:rPr>
              <w:t>) daļas</w:t>
            </w:r>
            <w:r w:rsidR="00644E10" w:rsidRPr="00DD2D4E">
              <w:t xml:space="preserve"> 1.punktam, kas nosaka, ka  Finanšu ministram ir tiesības, informējot par to Saeimu, veikt apropriāciju izmaiņas valsts budžeta saņemamajiem transfertiem no budžeta nefinansēto iestāžu budžetiem.</w:t>
            </w:r>
          </w:p>
          <w:p w:rsidR="001069BB" w:rsidRPr="00DD2D4E" w:rsidRDefault="001069BB" w:rsidP="00CE13CF">
            <w:pPr>
              <w:pStyle w:val="NoSpacing"/>
              <w:jc w:val="both"/>
              <w:rPr>
                <w:rFonts w:ascii="Times New Roman" w:hAnsi="Times New Roman" w:cs="Times New Roman"/>
                <w:sz w:val="24"/>
                <w:szCs w:val="24"/>
              </w:rPr>
            </w:pPr>
            <w:r w:rsidRPr="00DD2D4E">
              <w:rPr>
                <w:rFonts w:ascii="Times New Roman" w:hAnsi="Times New Roman" w:cs="Times New Roman"/>
                <w:sz w:val="24"/>
                <w:szCs w:val="24"/>
              </w:rPr>
              <w:t>Veselības ministrija normatīvajos aktos noteiktajā kārtībā sagatavos un iesniegts Finanšu ministrijā pieprasījumu valsts budžeta apropriācijas palielināšanai atbilstoši šā protokollēmuma 2. punktam.</w:t>
            </w:r>
          </w:p>
          <w:p w:rsidR="00AD1FF4" w:rsidRPr="00DD2D4E" w:rsidRDefault="001069BB" w:rsidP="00CE13CF">
            <w:pPr>
              <w:pStyle w:val="NoSpacing"/>
              <w:jc w:val="both"/>
              <w:rPr>
                <w:rFonts w:ascii="Times New Roman" w:hAnsi="Times New Roman" w:cs="Times New Roman"/>
                <w:iCs/>
                <w:sz w:val="24"/>
                <w:szCs w:val="24"/>
                <w:lang w:eastAsia="lv-LV"/>
              </w:rPr>
            </w:pPr>
            <w:r w:rsidRPr="00DD2D4E">
              <w:rPr>
                <w:rFonts w:ascii="Times New Roman" w:hAnsi="Times New Roman" w:cs="Times New Roman"/>
                <w:sz w:val="24"/>
                <w:szCs w:val="24"/>
              </w:rPr>
              <w:t xml:space="preserve">Finanšu ministrs, informējot Saeimu, palielinās Veselības ministrijai likumā </w:t>
            </w:r>
            <w:r w:rsidRPr="00DD2D4E">
              <w:rPr>
                <w:rFonts w:ascii="Times New Roman" w:hAnsi="Times New Roman" w:cs="Times New Roman"/>
                <w:bCs/>
                <w:sz w:val="24"/>
                <w:szCs w:val="24"/>
              </w:rPr>
              <w:t>“</w:t>
            </w:r>
            <w:r w:rsidRPr="00DD2D4E">
              <w:rPr>
                <w:rFonts w:ascii="Times New Roman" w:hAnsi="Times New Roman" w:cs="Times New Roman"/>
                <w:sz w:val="24"/>
                <w:szCs w:val="24"/>
              </w:rPr>
              <w:t>Par valsts budžetu 2020.gadam</w:t>
            </w:r>
            <w:r w:rsidRPr="00DD2D4E">
              <w:rPr>
                <w:rFonts w:ascii="Times New Roman" w:hAnsi="Times New Roman" w:cs="Times New Roman"/>
                <w:bCs/>
                <w:sz w:val="24"/>
                <w:szCs w:val="24"/>
              </w:rPr>
              <w:t>”</w:t>
            </w:r>
            <w:r w:rsidRPr="00DD2D4E">
              <w:rPr>
                <w:rFonts w:ascii="Times New Roman" w:hAnsi="Times New Roman" w:cs="Times New Roman"/>
                <w:sz w:val="24"/>
                <w:szCs w:val="24"/>
              </w:rPr>
              <w:t xml:space="preserve"> noteikto apropriāciju</w:t>
            </w:r>
            <w:r w:rsidRPr="00DD2D4E" w:rsidDel="000869B3">
              <w:rPr>
                <w:rFonts w:ascii="Times New Roman" w:hAnsi="Times New Roman" w:cs="Times New Roman"/>
                <w:sz w:val="24"/>
                <w:szCs w:val="24"/>
              </w:rPr>
              <w:t xml:space="preserve"> </w:t>
            </w:r>
            <w:r w:rsidRPr="00DD2D4E">
              <w:rPr>
                <w:rFonts w:ascii="Times New Roman" w:hAnsi="Times New Roman" w:cs="Times New Roman"/>
                <w:iCs/>
                <w:sz w:val="24"/>
                <w:szCs w:val="24"/>
              </w:rPr>
              <w:t>par</w:t>
            </w:r>
            <w:r w:rsidRPr="00DD2D4E">
              <w:rPr>
                <w:rFonts w:ascii="Times New Roman" w:hAnsi="Times New Roman" w:cs="Times New Roman"/>
                <w:i/>
                <w:sz w:val="24"/>
                <w:szCs w:val="24"/>
              </w:rPr>
              <w:t xml:space="preserve"> </w:t>
            </w:r>
            <w:r w:rsidRPr="00DD2D4E">
              <w:rPr>
                <w:rFonts w:ascii="Times New Roman" w:hAnsi="Times New Roman" w:cs="Times New Roman"/>
                <w:sz w:val="24"/>
                <w:szCs w:val="24"/>
              </w:rPr>
              <w:t xml:space="preserve">106 415 </w:t>
            </w:r>
            <w:r w:rsidRPr="00DD2D4E">
              <w:rPr>
                <w:rFonts w:ascii="Times New Roman" w:hAnsi="Times New Roman" w:cs="Times New Roman"/>
                <w:i/>
                <w:iCs/>
                <w:sz w:val="24"/>
                <w:szCs w:val="24"/>
              </w:rPr>
              <w:t>euro</w:t>
            </w:r>
            <w:r w:rsidRPr="00DD2D4E">
              <w:rPr>
                <w:rFonts w:ascii="Times New Roman" w:hAnsi="Times New Roman" w:cs="Times New Roman"/>
                <w:sz w:val="24"/>
                <w:szCs w:val="24"/>
              </w:rPr>
              <w:t>.</w:t>
            </w:r>
          </w:p>
        </w:tc>
      </w:tr>
      <w:tr w:rsidR="00644E10" w:rsidTr="00F2365C">
        <w:tc>
          <w:tcPr>
            <w:tcW w:w="1702" w:type="dxa"/>
            <w:vAlign w:val="center"/>
          </w:tcPr>
          <w:p w:rsidR="00644E10" w:rsidRPr="00EC6E12" w:rsidRDefault="00644E10" w:rsidP="00AD1FF4">
            <w:pPr>
              <w:pStyle w:val="NoSpacing"/>
              <w:jc w:val="both"/>
              <w:rPr>
                <w:rFonts w:ascii="Times New Roman" w:hAnsi="Times New Roman" w:cs="Times New Roman"/>
                <w:iCs/>
                <w:sz w:val="24"/>
                <w:szCs w:val="24"/>
                <w:lang w:eastAsia="lv-LV"/>
              </w:rPr>
            </w:pPr>
          </w:p>
        </w:tc>
        <w:tc>
          <w:tcPr>
            <w:tcW w:w="7806" w:type="dxa"/>
            <w:gridSpan w:val="11"/>
            <w:vAlign w:val="center"/>
          </w:tcPr>
          <w:p w:rsidR="00644E10" w:rsidRPr="00644E10" w:rsidRDefault="00644E10" w:rsidP="00644E10">
            <w:pPr>
              <w:pStyle w:val="tv213"/>
              <w:shd w:val="clear" w:color="auto" w:fill="FFFFFF"/>
              <w:spacing w:before="0" w:beforeAutospacing="0" w:after="0" w:afterAutospacing="0" w:line="293" w:lineRule="atLeast"/>
              <w:jc w:val="both"/>
              <w:rPr>
                <w:highlight w:val="yellow"/>
              </w:rPr>
            </w:pP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8C4F09" w:rsidRPr="00EC6E12" w:rsidRDefault="008C4F09" w:rsidP="008C4F09">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8C4F09" w:rsidRPr="003E6B1C" w:rsidRDefault="00330D5B" w:rsidP="00CD4C7C">
            <w:r w:rsidRPr="00330D5B">
              <w:t>Veselības ministrija</w:t>
            </w:r>
            <w:r>
              <w:t xml:space="preserve"> un </w:t>
            </w:r>
            <w:r w:rsidR="008C4F09" w:rsidRPr="00CD3904">
              <w:t>Zāļu valsts aģentūra</w:t>
            </w:r>
            <w:r>
              <w:t>.</w:t>
            </w:r>
          </w:p>
        </w:tc>
      </w:tr>
      <w:tr w:rsidR="008C4F09" w:rsidTr="006936E5">
        <w:tc>
          <w:tcPr>
            <w:tcW w:w="568" w:type="dxa"/>
          </w:tcPr>
          <w:p w:rsidR="008C4F09" w:rsidRDefault="008C4F09" w:rsidP="008C4F09">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8C4F09" w:rsidRPr="00EC6E12" w:rsidRDefault="008C4F09" w:rsidP="008C4F09">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8C4F09" w:rsidRPr="0014699D" w:rsidRDefault="008C4F09" w:rsidP="00CD4C7C">
            <w:pPr>
              <w:spacing w:before="75" w:after="75"/>
              <w:jc w:val="both"/>
              <w:rPr>
                <w:color w:val="000000"/>
                <w:sz w:val="28"/>
                <w:szCs w:val="28"/>
              </w:rPr>
            </w:pPr>
            <w:r w:rsidRPr="00CD3904">
              <w:t>Zāļu valsts aģentūra</w:t>
            </w:r>
            <w:r w:rsidRPr="00201C13">
              <w:rPr>
                <w:sz w:val="22"/>
              </w:rPr>
              <w:t xml:space="preserve"> </w:t>
            </w:r>
            <w:r w:rsidRPr="000F4C05">
              <w:t>Ministru kabineta rīkojuma projekta izpildi nodrošinās esošo funkciju ietvaros</w:t>
            </w:r>
            <w:r>
              <w:t>.</w:t>
            </w:r>
            <w:r w:rsidRPr="0014699D">
              <w:rPr>
                <w:color w:val="000000"/>
                <w:sz w:val="28"/>
                <w:szCs w:val="28"/>
              </w:rPr>
              <w:t xml:space="preserve">  </w:t>
            </w:r>
          </w:p>
          <w:p w:rsidR="008C4F09" w:rsidRPr="003E6B1C" w:rsidRDefault="008C4F09" w:rsidP="008C4F09">
            <w:pPr>
              <w:spacing w:before="75" w:after="75"/>
              <w:ind w:firstLine="375"/>
              <w:jc w:val="both"/>
            </w:pP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rsidR="0014699D" w:rsidRDefault="0014699D" w:rsidP="0014699D">
      <w:pPr>
        <w:tabs>
          <w:tab w:val="left" w:pos="7371"/>
        </w:tabs>
        <w:rPr>
          <w:sz w:val="28"/>
          <w:szCs w:val="28"/>
          <w:lang w:bidi="gu-IN"/>
        </w:rPr>
      </w:pPr>
      <w:r>
        <w:rPr>
          <w:sz w:val="28"/>
          <w:szCs w:val="28"/>
          <w:lang w:bidi="gu-IN"/>
        </w:rPr>
        <w:t xml:space="preserve">Veselības ministre </w:t>
      </w:r>
      <w:r>
        <w:rPr>
          <w:sz w:val="28"/>
          <w:szCs w:val="28"/>
          <w:lang w:bidi="gu-IN"/>
        </w:rPr>
        <w:tab/>
        <w:t>I. Viņķele</w:t>
      </w:r>
      <w:r>
        <w:rPr>
          <w:sz w:val="28"/>
          <w:szCs w:val="28"/>
          <w:lang w:bidi="gu-IN"/>
        </w:rPr>
        <w:tab/>
      </w:r>
      <w:r>
        <w:rPr>
          <w:sz w:val="28"/>
          <w:szCs w:val="28"/>
          <w:lang w:bidi="gu-IN"/>
        </w:rPr>
        <w:tab/>
      </w:r>
      <w:r>
        <w:rPr>
          <w:sz w:val="28"/>
          <w:szCs w:val="28"/>
          <w:lang w:bidi="gu-IN"/>
        </w:rPr>
        <w:tab/>
        <w:t xml:space="preserve">      </w:t>
      </w:r>
    </w:p>
    <w:p w:rsidR="0014699D" w:rsidRDefault="0014699D" w:rsidP="0014699D">
      <w:pPr>
        <w:tabs>
          <w:tab w:val="left" w:pos="7371"/>
        </w:tabs>
        <w:rPr>
          <w:sz w:val="28"/>
          <w:szCs w:val="28"/>
          <w:lang w:bidi="gu-IN"/>
        </w:rPr>
      </w:pPr>
      <w:r>
        <w:rPr>
          <w:sz w:val="28"/>
          <w:szCs w:val="28"/>
          <w:lang w:bidi="gu-IN"/>
        </w:rPr>
        <w:t xml:space="preserve">Vīza: Valsts sekretāre                                               </w:t>
      </w:r>
      <w:r w:rsidR="00BA2AFD">
        <w:rPr>
          <w:sz w:val="28"/>
          <w:szCs w:val="28"/>
          <w:lang w:bidi="gu-IN"/>
        </w:rPr>
        <w:t xml:space="preserve"> </w:t>
      </w:r>
      <w:r>
        <w:rPr>
          <w:sz w:val="28"/>
          <w:szCs w:val="28"/>
          <w:lang w:bidi="gu-IN"/>
        </w:rPr>
        <w:t>D. Mūrmane-Umbraško</w:t>
      </w:r>
    </w:p>
    <w:p w:rsidR="00905BD5" w:rsidRDefault="00DF461F" w:rsidP="00155578">
      <w:pPr>
        <w:pStyle w:val="NormalWeb"/>
        <w:spacing w:before="0" w:beforeAutospacing="0" w:after="0" w:afterAutospacing="0"/>
      </w:pP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
    <w:p w:rsidR="006034A8" w:rsidRPr="0014699D" w:rsidRDefault="0014699D" w:rsidP="003B5FF1">
      <w:pPr>
        <w:pStyle w:val="NormalWeb"/>
        <w:spacing w:before="0" w:beforeAutospacing="0" w:after="0" w:afterAutospacing="0"/>
        <w:rPr>
          <w:color w:val="3D3D3D"/>
        </w:rPr>
      </w:pPr>
      <w:r w:rsidRPr="0014699D">
        <w:rPr>
          <w:rStyle w:val="Hyperlink"/>
          <w:color w:val="auto"/>
          <w:u w:val="none"/>
        </w:rPr>
        <w:t xml:space="preserve">Ivita Lazdiņa </w:t>
      </w:r>
      <w:r w:rsidRPr="0014699D">
        <w:rPr>
          <w:color w:val="3D3D3D"/>
        </w:rPr>
        <w:t>67876169</w:t>
      </w:r>
    </w:p>
    <w:p w:rsidR="0014699D" w:rsidRPr="0014699D" w:rsidRDefault="0014699D" w:rsidP="003B5FF1">
      <w:pPr>
        <w:pStyle w:val="NormalWeb"/>
        <w:spacing w:before="0" w:beforeAutospacing="0" w:after="0" w:afterAutospacing="0"/>
        <w:rPr>
          <w:rStyle w:val="Hyperlink"/>
        </w:rPr>
      </w:pPr>
      <w:r w:rsidRPr="0014699D">
        <w:rPr>
          <w:color w:val="3D3D3D"/>
        </w:rPr>
        <w:t>Ivita.lazdina@vm.gov.lv</w:t>
      </w:r>
    </w:p>
    <w:sectPr w:rsidR="0014699D" w:rsidRPr="0014699D" w:rsidSect="00B8137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C69" w:rsidRDefault="008A4C69" w:rsidP="00894C55">
      <w:r>
        <w:separator/>
      </w:r>
    </w:p>
  </w:endnote>
  <w:endnote w:type="continuationSeparator" w:id="0">
    <w:p w:rsidR="008A4C69" w:rsidRDefault="008A4C6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99" w:rsidRDefault="000C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4A8" w:rsidRPr="008C4F09" w:rsidRDefault="008C4F09" w:rsidP="008C4F09">
    <w:pPr>
      <w:pStyle w:val="Footer"/>
    </w:pPr>
    <w:r w:rsidRPr="008C4F09">
      <w:rPr>
        <w:rFonts w:ascii="Times New Roman" w:hAnsi="Times New Roman" w:cs="Times New Roman"/>
        <w:sz w:val="20"/>
        <w:szCs w:val="20"/>
      </w:rPr>
      <w:t>VManot_</w:t>
    </w:r>
    <w:r w:rsidR="007162EB">
      <w:rPr>
        <w:rFonts w:ascii="Times New Roman" w:hAnsi="Times New Roman" w:cs="Times New Roman"/>
        <w:sz w:val="20"/>
        <w:szCs w:val="20"/>
      </w:rPr>
      <w:t>2</w:t>
    </w:r>
    <w:r w:rsidR="000C7999">
      <w:rPr>
        <w:rFonts w:ascii="Times New Roman" w:hAnsi="Times New Roman" w:cs="Times New Roman"/>
        <w:sz w:val="20"/>
        <w:szCs w:val="20"/>
      </w:rPr>
      <w:t>7</w:t>
    </w:r>
    <w:bookmarkStart w:id="5" w:name="_GoBack"/>
    <w:bookmarkEnd w:id="5"/>
    <w:r w:rsidR="005E0A26">
      <w:rPr>
        <w:rFonts w:ascii="Times New Roman" w:hAnsi="Times New Roman" w:cs="Times New Roman"/>
        <w:sz w:val="20"/>
        <w:szCs w:val="20"/>
      </w:rPr>
      <w:t>0320</w:t>
    </w:r>
    <w:r w:rsidR="00047DDF">
      <w:rPr>
        <w:rFonts w:ascii="Times New Roman" w:hAnsi="Times New Roman" w:cs="Times New Roman"/>
        <w:sz w:val="20"/>
        <w:szCs w:val="20"/>
      </w:rPr>
      <w:t>_ZVA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889" w:rsidRPr="008C4F09" w:rsidRDefault="00727889" w:rsidP="00727889">
    <w:pPr>
      <w:pStyle w:val="Footer"/>
    </w:pPr>
    <w:r w:rsidRPr="008C4F09">
      <w:rPr>
        <w:rFonts w:ascii="Times New Roman" w:hAnsi="Times New Roman" w:cs="Times New Roman"/>
        <w:sz w:val="20"/>
        <w:szCs w:val="20"/>
      </w:rPr>
      <w:t>VManot_</w:t>
    </w:r>
    <w:r w:rsidR="007162EB">
      <w:rPr>
        <w:rFonts w:ascii="Times New Roman" w:hAnsi="Times New Roman" w:cs="Times New Roman"/>
        <w:sz w:val="20"/>
        <w:szCs w:val="20"/>
      </w:rPr>
      <w:t>2</w:t>
    </w:r>
    <w:r w:rsidR="000C7999">
      <w:rPr>
        <w:rFonts w:ascii="Times New Roman" w:hAnsi="Times New Roman" w:cs="Times New Roman"/>
        <w:sz w:val="20"/>
        <w:szCs w:val="20"/>
      </w:rPr>
      <w:t>7</w:t>
    </w:r>
    <w:r w:rsidR="005E0A26">
      <w:rPr>
        <w:rFonts w:ascii="Times New Roman" w:hAnsi="Times New Roman" w:cs="Times New Roman"/>
        <w:sz w:val="20"/>
        <w:szCs w:val="20"/>
      </w:rPr>
      <w:t>0320</w:t>
    </w:r>
    <w:r w:rsidR="00047DDF">
      <w:rPr>
        <w:rFonts w:ascii="Times New Roman" w:hAnsi="Times New Roman" w:cs="Times New Roman"/>
        <w:sz w:val="20"/>
        <w:szCs w:val="20"/>
      </w:rPr>
      <w:t>_ZVA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C69" w:rsidRDefault="008A4C69" w:rsidP="00894C55">
      <w:r>
        <w:separator/>
      </w:r>
    </w:p>
  </w:footnote>
  <w:footnote w:type="continuationSeparator" w:id="0">
    <w:p w:rsidR="008A4C69" w:rsidRDefault="008A4C6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99" w:rsidRDefault="000C79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34A8" w:rsidRPr="00C25B49" w:rsidRDefault="006034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E13C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999" w:rsidRDefault="000C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1.%2."/>
      <w:lvlJc w:val="left"/>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lvl>
    <w:lvl w:ilvl="4">
      <w:start w:val="1"/>
      <w:numFmt w:val="decimal"/>
      <w:lvlText w:val="%1.%2.%3.%4."/>
      <w:lvlJc w:val="left"/>
    </w:lvl>
    <w:lvl w:ilvl="5">
      <w:start w:val="1"/>
      <w:numFmt w:val="decimal"/>
      <w:lvlText w:val="%1.%2.%3.%4."/>
      <w:lvlJc w:val="left"/>
    </w:lvl>
    <w:lvl w:ilvl="6">
      <w:start w:val="1"/>
      <w:numFmt w:val="decimal"/>
      <w:lvlText w:val="%1.%2.%3.%4."/>
      <w:lvlJc w:val="left"/>
    </w:lvl>
    <w:lvl w:ilvl="7">
      <w:start w:val="1"/>
      <w:numFmt w:val="decimal"/>
      <w:lvlText w:val="%1.%2.%3.%4."/>
      <w:lvlJc w:val="left"/>
    </w:lvl>
    <w:lvl w:ilvl="8">
      <w:start w:val="1"/>
      <w:numFmt w:val="decimal"/>
      <w:lvlText w:val="%1.%2.%3.%4."/>
      <w:lvlJc w:val="left"/>
    </w:lvl>
  </w:abstractNum>
  <w:abstractNum w:abstractNumId="1" w15:restartNumberingAfterBreak="0">
    <w:nsid w:val="063F574E"/>
    <w:multiLevelType w:val="hybridMultilevel"/>
    <w:tmpl w:val="B1D853B8"/>
    <w:lvl w:ilvl="0" w:tplc="7D48A3BA">
      <w:start w:val="47"/>
      <w:numFmt w:val="bullet"/>
      <w:lvlText w:val=""/>
      <w:lvlJc w:val="left"/>
      <w:pPr>
        <w:ind w:left="671" w:hanging="360"/>
      </w:pPr>
      <w:rPr>
        <w:rFonts w:ascii="Symbol" w:eastAsia="Times New Roman" w:hAnsi="Symbol" w:cs="Times New Roman" w:hint="default"/>
      </w:rPr>
    </w:lvl>
    <w:lvl w:ilvl="1" w:tplc="04260003" w:tentative="1">
      <w:start w:val="1"/>
      <w:numFmt w:val="bullet"/>
      <w:lvlText w:val="o"/>
      <w:lvlJc w:val="left"/>
      <w:pPr>
        <w:ind w:left="1391" w:hanging="360"/>
      </w:pPr>
      <w:rPr>
        <w:rFonts w:ascii="Courier New" w:hAnsi="Courier New" w:cs="Courier New" w:hint="default"/>
      </w:rPr>
    </w:lvl>
    <w:lvl w:ilvl="2" w:tplc="04260005" w:tentative="1">
      <w:start w:val="1"/>
      <w:numFmt w:val="bullet"/>
      <w:lvlText w:val=""/>
      <w:lvlJc w:val="left"/>
      <w:pPr>
        <w:ind w:left="2111" w:hanging="360"/>
      </w:pPr>
      <w:rPr>
        <w:rFonts w:ascii="Wingdings" w:hAnsi="Wingdings" w:hint="default"/>
      </w:rPr>
    </w:lvl>
    <w:lvl w:ilvl="3" w:tplc="04260001" w:tentative="1">
      <w:start w:val="1"/>
      <w:numFmt w:val="bullet"/>
      <w:lvlText w:val=""/>
      <w:lvlJc w:val="left"/>
      <w:pPr>
        <w:ind w:left="2831" w:hanging="360"/>
      </w:pPr>
      <w:rPr>
        <w:rFonts w:ascii="Symbol" w:hAnsi="Symbol" w:hint="default"/>
      </w:rPr>
    </w:lvl>
    <w:lvl w:ilvl="4" w:tplc="04260003" w:tentative="1">
      <w:start w:val="1"/>
      <w:numFmt w:val="bullet"/>
      <w:lvlText w:val="o"/>
      <w:lvlJc w:val="left"/>
      <w:pPr>
        <w:ind w:left="3551" w:hanging="360"/>
      </w:pPr>
      <w:rPr>
        <w:rFonts w:ascii="Courier New" w:hAnsi="Courier New" w:cs="Courier New" w:hint="default"/>
      </w:rPr>
    </w:lvl>
    <w:lvl w:ilvl="5" w:tplc="04260005" w:tentative="1">
      <w:start w:val="1"/>
      <w:numFmt w:val="bullet"/>
      <w:lvlText w:val=""/>
      <w:lvlJc w:val="left"/>
      <w:pPr>
        <w:ind w:left="4271" w:hanging="360"/>
      </w:pPr>
      <w:rPr>
        <w:rFonts w:ascii="Wingdings" w:hAnsi="Wingdings" w:hint="default"/>
      </w:rPr>
    </w:lvl>
    <w:lvl w:ilvl="6" w:tplc="04260001" w:tentative="1">
      <w:start w:val="1"/>
      <w:numFmt w:val="bullet"/>
      <w:lvlText w:val=""/>
      <w:lvlJc w:val="left"/>
      <w:pPr>
        <w:ind w:left="4991" w:hanging="360"/>
      </w:pPr>
      <w:rPr>
        <w:rFonts w:ascii="Symbol" w:hAnsi="Symbol" w:hint="default"/>
      </w:rPr>
    </w:lvl>
    <w:lvl w:ilvl="7" w:tplc="04260003" w:tentative="1">
      <w:start w:val="1"/>
      <w:numFmt w:val="bullet"/>
      <w:lvlText w:val="o"/>
      <w:lvlJc w:val="left"/>
      <w:pPr>
        <w:ind w:left="5711" w:hanging="360"/>
      </w:pPr>
      <w:rPr>
        <w:rFonts w:ascii="Courier New" w:hAnsi="Courier New" w:cs="Courier New" w:hint="default"/>
      </w:rPr>
    </w:lvl>
    <w:lvl w:ilvl="8" w:tplc="04260005" w:tentative="1">
      <w:start w:val="1"/>
      <w:numFmt w:val="bullet"/>
      <w:lvlText w:val=""/>
      <w:lvlJc w:val="left"/>
      <w:pPr>
        <w:ind w:left="6431" w:hanging="360"/>
      </w:pPr>
      <w:rPr>
        <w:rFonts w:ascii="Wingdings" w:hAnsi="Wingdings" w:hint="default"/>
      </w:rPr>
    </w:lvl>
  </w:abstractNum>
  <w:abstractNum w:abstractNumId="2" w15:restartNumberingAfterBreak="1">
    <w:nsid w:val="11F81A97"/>
    <w:multiLevelType w:val="hybridMultilevel"/>
    <w:tmpl w:val="818C7936"/>
    <w:lvl w:ilvl="0" w:tplc="AE88050A">
      <w:start w:val="1"/>
      <w:numFmt w:val="decimal"/>
      <w:lvlText w:val="%1)"/>
      <w:lvlJc w:val="left"/>
      <w:pPr>
        <w:ind w:left="731" w:hanging="360"/>
      </w:pPr>
      <w:rPr>
        <w:rFonts w:hint="default"/>
        <w:b/>
        <w:color w:val="000000" w:themeColor="text1"/>
      </w:rPr>
    </w:lvl>
    <w:lvl w:ilvl="1" w:tplc="C436D2C8" w:tentative="1">
      <w:start w:val="1"/>
      <w:numFmt w:val="lowerLetter"/>
      <w:lvlText w:val="%2."/>
      <w:lvlJc w:val="left"/>
      <w:pPr>
        <w:ind w:left="1451" w:hanging="360"/>
      </w:pPr>
    </w:lvl>
    <w:lvl w:ilvl="2" w:tplc="BE208462" w:tentative="1">
      <w:start w:val="1"/>
      <w:numFmt w:val="lowerRoman"/>
      <w:lvlText w:val="%3."/>
      <w:lvlJc w:val="right"/>
      <w:pPr>
        <w:ind w:left="2171" w:hanging="180"/>
      </w:pPr>
    </w:lvl>
    <w:lvl w:ilvl="3" w:tplc="18B40B1E" w:tentative="1">
      <w:start w:val="1"/>
      <w:numFmt w:val="decimal"/>
      <w:lvlText w:val="%4."/>
      <w:lvlJc w:val="left"/>
      <w:pPr>
        <w:ind w:left="2891" w:hanging="360"/>
      </w:pPr>
    </w:lvl>
    <w:lvl w:ilvl="4" w:tplc="C7F48E6C" w:tentative="1">
      <w:start w:val="1"/>
      <w:numFmt w:val="lowerLetter"/>
      <w:lvlText w:val="%5."/>
      <w:lvlJc w:val="left"/>
      <w:pPr>
        <w:ind w:left="3611" w:hanging="360"/>
      </w:pPr>
    </w:lvl>
    <w:lvl w:ilvl="5" w:tplc="5A8AE7B2" w:tentative="1">
      <w:start w:val="1"/>
      <w:numFmt w:val="lowerRoman"/>
      <w:lvlText w:val="%6."/>
      <w:lvlJc w:val="right"/>
      <w:pPr>
        <w:ind w:left="4331" w:hanging="180"/>
      </w:pPr>
    </w:lvl>
    <w:lvl w:ilvl="6" w:tplc="2802617C" w:tentative="1">
      <w:start w:val="1"/>
      <w:numFmt w:val="decimal"/>
      <w:lvlText w:val="%7."/>
      <w:lvlJc w:val="left"/>
      <w:pPr>
        <w:ind w:left="5051" w:hanging="360"/>
      </w:pPr>
    </w:lvl>
    <w:lvl w:ilvl="7" w:tplc="46D6D954" w:tentative="1">
      <w:start w:val="1"/>
      <w:numFmt w:val="lowerLetter"/>
      <w:lvlText w:val="%8."/>
      <w:lvlJc w:val="left"/>
      <w:pPr>
        <w:ind w:left="5771" w:hanging="360"/>
      </w:pPr>
    </w:lvl>
    <w:lvl w:ilvl="8" w:tplc="F2680854" w:tentative="1">
      <w:start w:val="1"/>
      <w:numFmt w:val="lowerRoman"/>
      <w:lvlText w:val="%9."/>
      <w:lvlJc w:val="right"/>
      <w:pPr>
        <w:ind w:left="6491" w:hanging="180"/>
      </w:pPr>
    </w:lvl>
  </w:abstractNum>
  <w:abstractNum w:abstractNumId="3" w15:restartNumberingAfterBreak="0">
    <w:nsid w:val="1751435E"/>
    <w:multiLevelType w:val="hybridMultilevel"/>
    <w:tmpl w:val="6DD892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353EAC"/>
    <w:multiLevelType w:val="hybridMultilevel"/>
    <w:tmpl w:val="A90CD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1">
    <w:nsid w:val="209C45A7"/>
    <w:multiLevelType w:val="hybridMultilevel"/>
    <w:tmpl w:val="6CA6AFA0"/>
    <w:lvl w:ilvl="0" w:tplc="BDB8DBD0">
      <w:start w:val="1"/>
      <w:numFmt w:val="bullet"/>
      <w:lvlText w:val=""/>
      <w:lvlJc w:val="left"/>
      <w:pPr>
        <w:ind w:left="720" w:hanging="360"/>
      </w:pPr>
      <w:rPr>
        <w:rFonts w:ascii="Symbol" w:hAnsi="Symbol" w:hint="default"/>
        <w:color w:val="auto"/>
      </w:rPr>
    </w:lvl>
    <w:lvl w:ilvl="1" w:tplc="79E6F436" w:tentative="1">
      <w:start w:val="1"/>
      <w:numFmt w:val="bullet"/>
      <w:lvlText w:val="o"/>
      <w:lvlJc w:val="left"/>
      <w:pPr>
        <w:ind w:left="1440" w:hanging="360"/>
      </w:pPr>
      <w:rPr>
        <w:rFonts w:ascii="Courier New" w:hAnsi="Courier New" w:cs="Courier New" w:hint="default"/>
      </w:rPr>
    </w:lvl>
    <w:lvl w:ilvl="2" w:tplc="43CEC068" w:tentative="1">
      <w:start w:val="1"/>
      <w:numFmt w:val="bullet"/>
      <w:lvlText w:val=""/>
      <w:lvlJc w:val="left"/>
      <w:pPr>
        <w:ind w:left="2160" w:hanging="360"/>
      </w:pPr>
      <w:rPr>
        <w:rFonts w:ascii="Wingdings" w:hAnsi="Wingdings" w:hint="default"/>
      </w:rPr>
    </w:lvl>
    <w:lvl w:ilvl="3" w:tplc="F006B794" w:tentative="1">
      <w:start w:val="1"/>
      <w:numFmt w:val="bullet"/>
      <w:lvlText w:val=""/>
      <w:lvlJc w:val="left"/>
      <w:pPr>
        <w:ind w:left="2880" w:hanging="360"/>
      </w:pPr>
      <w:rPr>
        <w:rFonts w:ascii="Symbol" w:hAnsi="Symbol" w:hint="default"/>
      </w:rPr>
    </w:lvl>
    <w:lvl w:ilvl="4" w:tplc="532E6290" w:tentative="1">
      <w:start w:val="1"/>
      <w:numFmt w:val="bullet"/>
      <w:lvlText w:val="o"/>
      <w:lvlJc w:val="left"/>
      <w:pPr>
        <w:ind w:left="3600" w:hanging="360"/>
      </w:pPr>
      <w:rPr>
        <w:rFonts w:ascii="Courier New" w:hAnsi="Courier New" w:cs="Courier New" w:hint="default"/>
      </w:rPr>
    </w:lvl>
    <w:lvl w:ilvl="5" w:tplc="B1BAA5E4" w:tentative="1">
      <w:start w:val="1"/>
      <w:numFmt w:val="bullet"/>
      <w:lvlText w:val=""/>
      <w:lvlJc w:val="left"/>
      <w:pPr>
        <w:ind w:left="4320" w:hanging="360"/>
      </w:pPr>
      <w:rPr>
        <w:rFonts w:ascii="Wingdings" w:hAnsi="Wingdings" w:hint="default"/>
      </w:rPr>
    </w:lvl>
    <w:lvl w:ilvl="6" w:tplc="AA3A0BF8" w:tentative="1">
      <w:start w:val="1"/>
      <w:numFmt w:val="bullet"/>
      <w:lvlText w:val=""/>
      <w:lvlJc w:val="left"/>
      <w:pPr>
        <w:ind w:left="5040" w:hanging="360"/>
      </w:pPr>
      <w:rPr>
        <w:rFonts w:ascii="Symbol" w:hAnsi="Symbol" w:hint="default"/>
      </w:rPr>
    </w:lvl>
    <w:lvl w:ilvl="7" w:tplc="810C1C08" w:tentative="1">
      <w:start w:val="1"/>
      <w:numFmt w:val="bullet"/>
      <w:lvlText w:val="o"/>
      <w:lvlJc w:val="left"/>
      <w:pPr>
        <w:ind w:left="5760" w:hanging="360"/>
      </w:pPr>
      <w:rPr>
        <w:rFonts w:ascii="Courier New" w:hAnsi="Courier New" w:cs="Courier New" w:hint="default"/>
      </w:rPr>
    </w:lvl>
    <w:lvl w:ilvl="8" w:tplc="BC524F34" w:tentative="1">
      <w:start w:val="1"/>
      <w:numFmt w:val="bullet"/>
      <w:lvlText w:val=""/>
      <w:lvlJc w:val="left"/>
      <w:pPr>
        <w:ind w:left="6480" w:hanging="360"/>
      </w:pPr>
      <w:rPr>
        <w:rFonts w:ascii="Wingdings" w:hAnsi="Wingdings" w:hint="default"/>
      </w:rPr>
    </w:lvl>
  </w:abstractNum>
  <w:abstractNum w:abstractNumId="6"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7" w15:restartNumberingAfterBreak="0">
    <w:nsid w:val="365E6DAB"/>
    <w:multiLevelType w:val="multilevel"/>
    <w:tmpl w:val="2A7C2EA4"/>
    <w:lvl w:ilvl="0">
      <w:start w:val="1"/>
      <w:numFmt w:val="decimal"/>
      <w:lvlText w:val="%1."/>
      <w:lvlJc w:val="left"/>
      <w:pPr>
        <w:ind w:left="720" w:hanging="360"/>
      </w:pPr>
      <w:rPr>
        <w:rFonts w:eastAsia="Times New Roman" w:hint="default"/>
      </w:rPr>
    </w:lvl>
    <w:lvl w:ilvl="1">
      <w:start w:val="1"/>
      <w:numFmt w:val="decimal"/>
      <w:isLgl/>
      <w:lvlText w:val="%2)"/>
      <w:lvlJc w:val="left"/>
      <w:pPr>
        <w:ind w:left="1440" w:hanging="720"/>
      </w:pPr>
      <w:rPr>
        <w:rFonts w:ascii="Times New Roman" w:eastAsia="Times New Roman"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6B9039D"/>
    <w:multiLevelType w:val="hybridMultilevel"/>
    <w:tmpl w:val="B63E1F7E"/>
    <w:lvl w:ilvl="0" w:tplc="1D78DF80">
      <w:start w:val="1"/>
      <w:numFmt w:val="decimal"/>
      <w:lvlText w:val="%1."/>
      <w:lvlJc w:val="left"/>
      <w:pPr>
        <w:ind w:left="747" w:hanging="360"/>
      </w:pPr>
      <w:rPr>
        <w:rFonts w:hint="default"/>
        <w:b/>
      </w:rPr>
    </w:lvl>
    <w:lvl w:ilvl="1" w:tplc="04260019" w:tentative="1">
      <w:start w:val="1"/>
      <w:numFmt w:val="lowerLetter"/>
      <w:lvlText w:val="%2."/>
      <w:lvlJc w:val="left"/>
      <w:pPr>
        <w:ind w:left="1467" w:hanging="360"/>
      </w:pPr>
    </w:lvl>
    <w:lvl w:ilvl="2" w:tplc="0426001B" w:tentative="1">
      <w:start w:val="1"/>
      <w:numFmt w:val="lowerRoman"/>
      <w:lvlText w:val="%3."/>
      <w:lvlJc w:val="right"/>
      <w:pPr>
        <w:ind w:left="2187" w:hanging="180"/>
      </w:pPr>
    </w:lvl>
    <w:lvl w:ilvl="3" w:tplc="0426000F" w:tentative="1">
      <w:start w:val="1"/>
      <w:numFmt w:val="decimal"/>
      <w:lvlText w:val="%4."/>
      <w:lvlJc w:val="left"/>
      <w:pPr>
        <w:ind w:left="2907" w:hanging="360"/>
      </w:pPr>
    </w:lvl>
    <w:lvl w:ilvl="4" w:tplc="04260019" w:tentative="1">
      <w:start w:val="1"/>
      <w:numFmt w:val="lowerLetter"/>
      <w:lvlText w:val="%5."/>
      <w:lvlJc w:val="left"/>
      <w:pPr>
        <w:ind w:left="3627" w:hanging="360"/>
      </w:pPr>
    </w:lvl>
    <w:lvl w:ilvl="5" w:tplc="0426001B" w:tentative="1">
      <w:start w:val="1"/>
      <w:numFmt w:val="lowerRoman"/>
      <w:lvlText w:val="%6."/>
      <w:lvlJc w:val="right"/>
      <w:pPr>
        <w:ind w:left="4347" w:hanging="180"/>
      </w:pPr>
    </w:lvl>
    <w:lvl w:ilvl="6" w:tplc="0426000F" w:tentative="1">
      <w:start w:val="1"/>
      <w:numFmt w:val="decimal"/>
      <w:lvlText w:val="%7."/>
      <w:lvlJc w:val="left"/>
      <w:pPr>
        <w:ind w:left="5067" w:hanging="360"/>
      </w:pPr>
    </w:lvl>
    <w:lvl w:ilvl="7" w:tplc="04260019" w:tentative="1">
      <w:start w:val="1"/>
      <w:numFmt w:val="lowerLetter"/>
      <w:lvlText w:val="%8."/>
      <w:lvlJc w:val="left"/>
      <w:pPr>
        <w:ind w:left="5787" w:hanging="360"/>
      </w:pPr>
    </w:lvl>
    <w:lvl w:ilvl="8" w:tplc="0426001B" w:tentative="1">
      <w:start w:val="1"/>
      <w:numFmt w:val="lowerRoman"/>
      <w:lvlText w:val="%9."/>
      <w:lvlJc w:val="right"/>
      <w:pPr>
        <w:ind w:left="6507" w:hanging="180"/>
      </w:pPr>
    </w:lvl>
  </w:abstractNum>
  <w:abstractNum w:abstractNumId="9" w15:restartNumberingAfterBreak="0">
    <w:nsid w:val="4ABF4AC8"/>
    <w:multiLevelType w:val="hybridMultilevel"/>
    <w:tmpl w:val="E488E0A4"/>
    <w:lvl w:ilvl="0" w:tplc="037021E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585912F5"/>
    <w:multiLevelType w:val="hybridMultilevel"/>
    <w:tmpl w:val="121647EE"/>
    <w:lvl w:ilvl="0" w:tplc="95DC8DA8">
      <w:numFmt w:val="bullet"/>
      <w:lvlText w:val=""/>
      <w:lvlJc w:val="left"/>
      <w:pPr>
        <w:ind w:left="731" w:hanging="360"/>
      </w:pPr>
      <w:rPr>
        <w:rFonts w:ascii="Symbol" w:eastAsia="Times New Roman" w:hAnsi="Symbol" w:cs="Times New Roman"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1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0B2E0C"/>
    <w:multiLevelType w:val="hybridMultilevel"/>
    <w:tmpl w:val="9FD0893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796C0371"/>
    <w:multiLevelType w:val="hybridMultilevel"/>
    <w:tmpl w:val="70F85E74"/>
    <w:lvl w:ilvl="0" w:tplc="04260001">
      <w:start w:val="1"/>
      <w:numFmt w:val="bullet"/>
      <w:lvlText w:val=""/>
      <w:lvlJc w:val="left"/>
      <w:pPr>
        <w:ind w:left="1056" w:hanging="360"/>
      </w:pPr>
      <w:rPr>
        <w:rFonts w:ascii="Symbol" w:hAnsi="Symbol" w:hint="default"/>
      </w:rPr>
    </w:lvl>
    <w:lvl w:ilvl="1" w:tplc="04260003" w:tentative="1">
      <w:start w:val="1"/>
      <w:numFmt w:val="bullet"/>
      <w:lvlText w:val="o"/>
      <w:lvlJc w:val="left"/>
      <w:pPr>
        <w:ind w:left="1776" w:hanging="360"/>
      </w:pPr>
      <w:rPr>
        <w:rFonts w:ascii="Courier New" w:hAnsi="Courier New" w:cs="Courier New" w:hint="default"/>
      </w:rPr>
    </w:lvl>
    <w:lvl w:ilvl="2" w:tplc="04260005" w:tentative="1">
      <w:start w:val="1"/>
      <w:numFmt w:val="bullet"/>
      <w:lvlText w:val=""/>
      <w:lvlJc w:val="left"/>
      <w:pPr>
        <w:ind w:left="2496" w:hanging="360"/>
      </w:pPr>
      <w:rPr>
        <w:rFonts w:ascii="Wingdings" w:hAnsi="Wingdings" w:hint="default"/>
      </w:rPr>
    </w:lvl>
    <w:lvl w:ilvl="3" w:tplc="04260001" w:tentative="1">
      <w:start w:val="1"/>
      <w:numFmt w:val="bullet"/>
      <w:lvlText w:val=""/>
      <w:lvlJc w:val="left"/>
      <w:pPr>
        <w:ind w:left="3216" w:hanging="360"/>
      </w:pPr>
      <w:rPr>
        <w:rFonts w:ascii="Symbol" w:hAnsi="Symbol" w:hint="default"/>
      </w:rPr>
    </w:lvl>
    <w:lvl w:ilvl="4" w:tplc="04260003" w:tentative="1">
      <w:start w:val="1"/>
      <w:numFmt w:val="bullet"/>
      <w:lvlText w:val="o"/>
      <w:lvlJc w:val="left"/>
      <w:pPr>
        <w:ind w:left="3936" w:hanging="360"/>
      </w:pPr>
      <w:rPr>
        <w:rFonts w:ascii="Courier New" w:hAnsi="Courier New" w:cs="Courier New" w:hint="default"/>
      </w:rPr>
    </w:lvl>
    <w:lvl w:ilvl="5" w:tplc="04260005" w:tentative="1">
      <w:start w:val="1"/>
      <w:numFmt w:val="bullet"/>
      <w:lvlText w:val=""/>
      <w:lvlJc w:val="left"/>
      <w:pPr>
        <w:ind w:left="4656" w:hanging="360"/>
      </w:pPr>
      <w:rPr>
        <w:rFonts w:ascii="Wingdings" w:hAnsi="Wingdings" w:hint="default"/>
      </w:rPr>
    </w:lvl>
    <w:lvl w:ilvl="6" w:tplc="04260001" w:tentative="1">
      <w:start w:val="1"/>
      <w:numFmt w:val="bullet"/>
      <w:lvlText w:val=""/>
      <w:lvlJc w:val="left"/>
      <w:pPr>
        <w:ind w:left="5376" w:hanging="360"/>
      </w:pPr>
      <w:rPr>
        <w:rFonts w:ascii="Symbol" w:hAnsi="Symbol" w:hint="default"/>
      </w:rPr>
    </w:lvl>
    <w:lvl w:ilvl="7" w:tplc="04260003" w:tentative="1">
      <w:start w:val="1"/>
      <w:numFmt w:val="bullet"/>
      <w:lvlText w:val="o"/>
      <w:lvlJc w:val="left"/>
      <w:pPr>
        <w:ind w:left="6096" w:hanging="360"/>
      </w:pPr>
      <w:rPr>
        <w:rFonts w:ascii="Courier New" w:hAnsi="Courier New" w:cs="Courier New" w:hint="default"/>
      </w:rPr>
    </w:lvl>
    <w:lvl w:ilvl="8" w:tplc="04260005" w:tentative="1">
      <w:start w:val="1"/>
      <w:numFmt w:val="bullet"/>
      <w:lvlText w:val=""/>
      <w:lvlJc w:val="left"/>
      <w:pPr>
        <w:ind w:left="6816" w:hanging="360"/>
      </w:pPr>
      <w:rPr>
        <w:rFonts w:ascii="Wingdings" w:hAnsi="Wingdings" w:hint="default"/>
      </w:rPr>
    </w:lvl>
  </w:abstractNum>
  <w:num w:numId="1">
    <w:abstractNumId w:val="11"/>
  </w:num>
  <w:num w:numId="2">
    <w:abstractNumId w:val="13"/>
  </w:num>
  <w:num w:numId="3">
    <w:abstractNumId w:val="6"/>
  </w:num>
  <w:num w:numId="4">
    <w:abstractNumId w:val="1"/>
  </w:num>
  <w:num w:numId="5">
    <w:abstractNumId w:val="7"/>
  </w:num>
  <w:num w:numId="6">
    <w:abstractNumId w:val="0"/>
  </w:num>
  <w:num w:numId="7">
    <w:abstractNumId w:val="9"/>
  </w:num>
  <w:num w:numId="8">
    <w:abstractNumId w:val="2"/>
  </w:num>
  <w:num w:numId="9">
    <w:abstractNumId w:val="8"/>
  </w:num>
  <w:num w:numId="10">
    <w:abstractNumId w:val="10"/>
  </w:num>
  <w:num w:numId="11">
    <w:abstractNumId w:val="5"/>
  </w:num>
  <w:num w:numId="12">
    <w:abstractNumId w:val="14"/>
  </w:num>
  <w:num w:numId="13">
    <w:abstractNumId w:val="4"/>
  </w:num>
  <w:num w:numId="14">
    <w:abstractNumId w:val="12"/>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087"/>
    <w:rsid w:val="00000454"/>
    <w:rsid w:val="00002EF1"/>
    <w:rsid w:val="0000339E"/>
    <w:rsid w:val="000064CA"/>
    <w:rsid w:val="0000729D"/>
    <w:rsid w:val="000078A6"/>
    <w:rsid w:val="00011BE3"/>
    <w:rsid w:val="0001404F"/>
    <w:rsid w:val="00035B1F"/>
    <w:rsid w:val="00037CA6"/>
    <w:rsid w:val="0004022B"/>
    <w:rsid w:val="00041ABC"/>
    <w:rsid w:val="0004705A"/>
    <w:rsid w:val="00047DDF"/>
    <w:rsid w:val="0005003C"/>
    <w:rsid w:val="00051EE3"/>
    <w:rsid w:val="000525CB"/>
    <w:rsid w:val="000526CC"/>
    <w:rsid w:val="000575BF"/>
    <w:rsid w:val="00075CD1"/>
    <w:rsid w:val="0008249D"/>
    <w:rsid w:val="000869B3"/>
    <w:rsid w:val="00087578"/>
    <w:rsid w:val="00094101"/>
    <w:rsid w:val="00094795"/>
    <w:rsid w:val="00095482"/>
    <w:rsid w:val="000B0BEF"/>
    <w:rsid w:val="000B322C"/>
    <w:rsid w:val="000B7C18"/>
    <w:rsid w:val="000C0DAB"/>
    <w:rsid w:val="000C0E38"/>
    <w:rsid w:val="000C2D34"/>
    <w:rsid w:val="000C77F8"/>
    <w:rsid w:val="000C7999"/>
    <w:rsid w:val="000D09BF"/>
    <w:rsid w:val="000D7484"/>
    <w:rsid w:val="000E69A9"/>
    <w:rsid w:val="000F2BD7"/>
    <w:rsid w:val="000F5C57"/>
    <w:rsid w:val="000F7484"/>
    <w:rsid w:val="00101172"/>
    <w:rsid w:val="001014C8"/>
    <w:rsid w:val="001066B0"/>
    <w:rsid w:val="001069BB"/>
    <w:rsid w:val="001110A5"/>
    <w:rsid w:val="001244C0"/>
    <w:rsid w:val="00130487"/>
    <w:rsid w:val="00134437"/>
    <w:rsid w:val="00135197"/>
    <w:rsid w:val="00140644"/>
    <w:rsid w:val="00141189"/>
    <w:rsid w:val="0014699D"/>
    <w:rsid w:val="00151328"/>
    <w:rsid w:val="00151534"/>
    <w:rsid w:val="0015221C"/>
    <w:rsid w:val="00152501"/>
    <w:rsid w:val="001525D7"/>
    <w:rsid w:val="001544DF"/>
    <w:rsid w:val="00154A6D"/>
    <w:rsid w:val="00155578"/>
    <w:rsid w:val="00171354"/>
    <w:rsid w:val="00173EE0"/>
    <w:rsid w:val="001751F3"/>
    <w:rsid w:val="00175ADF"/>
    <w:rsid w:val="0018528C"/>
    <w:rsid w:val="001903DA"/>
    <w:rsid w:val="001A7B85"/>
    <w:rsid w:val="001B2E75"/>
    <w:rsid w:val="001B6C59"/>
    <w:rsid w:val="001C0CE4"/>
    <w:rsid w:val="001C1E72"/>
    <w:rsid w:val="001C2E84"/>
    <w:rsid w:val="001C49F5"/>
    <w:rsid w:val="001C729F"/>
    <w:rsid w:val="001C768D"/>
    <w:rsid w:val="001D4E01"/>
    <w:rsid w:val="001D500C"/>
    <w:rsid w:val="001D66EB"/>
    <w:rsid w:val="001D6988"/>
    <w:rsid w:val="001E0096"/>
    <w:rsid w:val="001E1707"/>
    <w:rsid w:val="001E4E88"/>
    <w:rsid w:val="001E7EAF"/>
    <w:rsid w:val="001F1C7D"/>
    <w:rsid w:val="001F6CC2"/>
    <w:rsid w:val="001F771E"/>
    <w:rsid w:val="002039CF"/>
    <w:rsid w:val="00205008"/>
    <w:rsid w:val="00205EEC"/>
    <w:rsid w:val="00211DDF"/>
    <w:rsid w:val="00217A12"/>
    <w:rsid w:val="00217F12"/>
    <w:rsid w:val="00240098"/>
    <w:rsid w:val="00240162"/>
    <w:rsid w:val="00242091"/>
    <w:rsid w:val="00243426"/>
    <w:rsid w:val="00243A7D"/>
    <w:rsid w:val="002549F5"/>
    <w:rsid w:val="0025568D"/>
    <w:rsid w:val="002629CD"/>
    <w:rsid w:val="00264629"/>
    <w:rsid w:val="00282312"/>
    <w:rsid w:val="00285C17"/>
    <w:rsid w:val="002945AA"/>
    <w:rsid w:val="002A3D7A"/>
    <w:rsid w:val="002A6218"/>
    <w:rsid w:val="002A7ACF"/>
    <w:rsid w:val="002B7271"/>
    <w:rsid w:val="002C0F74"/>
    <w:rsid w:val="002D1E95"/>
    <w:rsid w:val="002E1C05"/>
    <w:rsid w:val="002F2A04"/>
    <w:rsid w:val="002F4975"/>
    <w:rsid w:val="002F736E"/>
    <w:rsid w:val="002F7A69"/>
    <w:rsid w:val="00310EC8"/>
    <w:rsid w:val="003129E4"/>
    <w:rsid w:val="003243B6"/>
    <w:rsid w:val="00330D5B"/>
    <w:rsid w:val="00336CA4"/>
    <w:rsid w:val="003463B1"/>
    <w:rsid w:val="003608D1"/>
    <w:rsid w:val="003610B1"/>
    <w:rsid w:val="00361916"/>
    <w:rsid w:val="003629F3"/>
    <w:rsid w:val="00365C9C"/>
    <w:rsid w:val="003675DA"/>
    <w:rsid w:val="003707E0"/>
    <w:rsid w:val="0038678F"/>
    <w:rsid w:val="003874EF"/>
    <w:rsid w:val="003903BF"/>
    <w:rsid w:val="00391590"/>
    <w:rsid w:val="00391F3D"/>
    <w:rsid w:val="00392554"/>
    <w:rsid w:val="00392C32"/>
    <w:rsid w:val="003A2095"/>
    <w:rsid w:val="003B0BF9"/>
    <w:rsid w:val="003B111D"/>
    <w:rsid w:val="003B194A"/>
    <w:rsid w:val="003B500C"/>
    <w:rsid w:val="003B5FF1"/>
    <w:rsid w:val="003B765B"/>
    <w:rsid w:val="003B7D3B"/>
    <w:rsid w:val="003C2AD6"/>
    <w:rsid w:val="003C3B64"/>
    <w:rsid w:val="003D0C88"/>
    <w:rsid w:val="003D37E6"/>
    <w:rsid w:val="003D50AC"/>
    <w:rsid w:val="003D602A"/>
    <w:rsid w:val="003D7CC0"/>
    <w:rsid w:val="003E0791"/>
    <w:rsid w:val="003E1040"/>
    <w:rsid w:val="003E2E8F"/>
    <w:rsid w:val="003E5DE7"/>
    <w:rsid w:val="003E73D0"/>
    <w:rsid w:val="003F28AC"/>
    <w:rsid w:val="003F2B89"/>
    <w:rsid w:val="003F60AF"/>
    <w:rsid w:val="003F7D8B"/>
    <w:rsid w:val="00404E7B"/>
    <w:rsid w:val="0041378A"/>
    <w:rsid w:val="00417B00"/>
    <w:rsid w:val="00431019"/>
    <w:rsid w:val="00432F14"/>
    <w:rsid w:val="00435CD5"/>
    <w:rsid w:val="00440827"/>
    <w:rsid w:val="00443471"/>
    <w:rsid w:val="00443796"/>
    <w:rsid w:val="004454FE"/>
    <w:rsid w:val="004458B8"/>
    <w:rsid w:val="00445B02"/>
    <w:rsid w:val="0045464A"/>
    <w:rsid w:val="00456E40"/>
    <w:rsid w:val="00463214"/>
    <w:rsid w:val="00471F27"/>
    <w:rsid w:val="00477934"/>
    <w:rsid w:val="00487DF0"/>
    <w:rsid w:val="00491462"/>
    <w:rsid w:val="0049601C"/>
    <w:rsid w:val="004979B4"/>
    <w:rsid w:val="004A1382"/>
    <w:rsid w:val="004A2913"/>
    <w:rsid w:val="004A4CE4"/>
    <w:rsid w:val="004A625B"/>
    <w:rsid w:val="004B0104"/>
    <w:rsid w:val="004B199A"/>
    <w:rsid w:val="004B5A63"/>
    <w:rsid w:val="004B65E7"/>
    <w:rsid w:val="004C0101"/>
    <w:rsid w:val="004D4DE8"/>
    <w:rsid w:val="004D606D"/>
    <w:rsid w:val="004E1BA2"/>
    <w:rsid w:val="004E293B"/>
    <w:rsid w:val="004E29AE"/>
    <w:rsid w:val="004F2340"/>
    <w:rsid w:val="005006B4"/>
    <w:rsid w:val="005013E4"/>
    <w:rsid w:val="0050178F"/>
    <w:rsid w:val="00505810"/>
    <w:rsid w:val="005104FE"/>
    <w:rsid w:val="00516650"/>
    <w:rsid w:val="005175F0"/>
    <w:rsid w:val="00525064"/>
    <w:rsid w:val="00530F6A"/>
    <w:rsid w:val="005439A0"/>
    <w:rsid w:val="005524A4"/>
    <w:rsid w:val="00560A4A"/>
    <w:rsid w:val="00561166"/>
    <w:rsid w:val="00561431"/>
    <w:rsid w:val="0056176F"/>
    <w:rsid w:val="00567AFD"/>
    <w:rsid w:val="00576004"/>
    <w:rsid w:val="00580268"/>
    <w:rsid w:val="00580E04"/>
    <w:rsid w:val="00582544"/>
    <w:rsid w:val="005838CE"/>
    <w:rsid w:val="005856D9"/>
    <w:rsid w:val="00586561"/>
    <w:rsid w:val="00591754"/>
    <w:rsid w:val="00594CF8"/>
    <w:rsid w:val="0059773F"/>
    <w:rsid w:val="00597E0E"/>
    <w:rsid w:val="005A7762"/>
    <w:rsid w:val="005B544D"/>
    <w:rsid w:val="005C0143"/>
    <w:rsid w:val="005C533D"/>
    <w:rsid w:val="005D36F0"/>
    <w:rsid w:val="005D760B"/>
    <w:rsid w:val="005E0A26"/>
    <w:rsid w:val="005E271D"/>
    <w:rsid w:val="005E44D3"/>
    <w:rsid w:val="005F25A4"/>
    <w:rsid w:val="005F2DDA"/>
    <w:rsid w:val="005F3D34"/>
    <w:rsid w:val="005F7477"/>
    <w:rsid w:val="005F7BA4"/>
    <w:rsid w:val="006011AA"/>
    <w:rsid w:val="006034A8"/>
    <w:rsid w:val="006070B8"/>
    <w:rsid w:val="00607686"/>
    <w:rsid w:val="0061191A"/>
    <w:rsid w:val="00613202"/>
    <w:rsid w:val="006136AE"/>
    <w:rsid w:val="00614B36"/>
    <w:rsid w:val="00621810"/>
    <w:rsid w:val="0062376A"/>
    <w:rsid w:val="00623A42"/>
    <w:rsid w:val="00626896"/>
    <w:rsid w:val="00627CE2"/>
    <w:rsid w:val="00631536"/>
    <w:rsid w:val="006335C0"/>
    <w:rsid w:val="00644E10"/>
    <w:rsid w:val="00647B3D"/>
    <w:rsid w:val="00655F2C"/>
    <w:rsid w:val="006579C9"/>
    <w:rsid w:val="00662646"/>
    <w:rsid w:val="00663B33"/>
    <w:rsid w:val="00663DCE"/>
    <w:rsid w:val="00681F74"/>
    <w:rsid w:val="00683D05"/>
    <w:rsid w:val="00684ABE"/>
    <w:rsid w:val="00686296"/>
    <w:rsid w:val="00686AD4"/>
    <w:rsid w:val="006936E5"/>
    <w:rsid w:val="006A2802"/>
    <w:rsid w:val="006A31D0"/>
    <w:rsid w:val="006A44A2"/>
    <w:rsid w:val="006A5E8A"/>
    <w:rsid w:val="006A5F10"/>
    <w:rsid w:val="006B221B"/>
    <w:rsid w:val="006B628C"/>
    <w:rsid w:val="006B7AB1"/>
    <w:rsid w:val="006C0C1A"/>
    <w:rsid w:val="006C0D6A"/>
    <w:rsid w:val="006C5D2B"/>
    <w:rsid w:val="006D37A4"/>
    <w:rsid w:val="006E07FB"/>
    <w:rsid w:val="006E1081"/>
    <w:rsid w:val="006E10AB"/>
    <w:rsid w:val="006E1AF2"/>
    <w:rsid w:val="006E2654"/>
    <w:rsid w:val="006E4A4E"/>
    <w:rsid w:val="006E4F26"/>
    <w:rsid w:val="006E71F7"/>
    <w:rsid w:val="006E748E"/>
    <w:rsid w:val="006F4230"/>
    <w:rsid w:val="007008F2"/>
    <w:rsid w:val="00707153"/>
    <w:rsid w:val="0071254D"/>
    <w:rsid w:val="0071470D"/>
    <w:rsid w:val="007162EB"/>
    <w:rsid w:val="00716E39"/>
    <w:rsid w:val="00720585"/>
    <w:rsid w:val="00720740"/>
    <w:rsid w:val="007272A8"/>
    <w:rsid w:val="00727889"/>
    <w:rsid w:val="007304EB"/>
    <w:rsid w:val="00732E19"/>
    <w:rsid w:val="007345D8"/>
    <w:rsid w:val="00737954"/>
    <w:rsid w:val="00741009"/>
    <w:rsid w:val="00743817"/>
    <w:rsid w:val="007508BE"/>
    <w:rsid w:val="00753555"/>
    <w:rsid w:val="007606BC"/>
    <w:rsid w:val="007617D9"/>
    <w:rsid w:val="00765CC0"/>
    <w:rsid w:val="007674DC"/>
    <w:rsid w:val="0077219A"/>
    <w:rsid w:val="00773AF6"/>
    <w:rsid w:val="00773EC6"/>
    <w:rsid w:val="0077410A"/>
    <w:rsid w:val="007763B0"/>
    <w:rsid w:val="00781317"/>
    <w:rsid w:val="0079260F"/>
    <w:rsid w:val="00795F71"/>
    <w:rsid w:val="007A77B2"/>
    <w:rsid w:val="007B22B7"/>
    <w:rsid w:val="007B2550"/>
    <w:rsid w:val="007C6F29"/>
    <w:rsid w:val="007C73DC"/>
    <w:rsid w:val="007D6923"/>
    <w:rsid w:val="007E3BCE"/>
    <w:rsid w:val="007E5F7A"/>
    <w:rsid w:val="007E659E"/>
    <w:rsid w:val="007E73AB"/>
    <w:rsid w:val="007F04EA"/>
    <w:rsid w:val="007F4296"/>
    <w:rsid w:val="007F6F87"/>
    <w:rsid w:val="00805775"/>
    <w:rsid w:val="00816C11"/>
    <w:rsid w:val="00816D34"/>
    <w:rsid w:val="00824C91"/>
    <w:rsid w:val="008342F5"/>
    <w:rsid w:val="00835A22"/>
    <w:rsid w:val="00836140"/>
    <w:rsid w:val="00842AD1"/>
    <w:rsid w:val="00842C70"/>
    <w:rsid w:val="008502E9"/>
    <w:rsid w:val="00856A43"/>
    <w:rsid w:val="00864FAC"/>
    <w:rsid w:val="00871C93"/>
    <w:rsid w:val="00874F5F"/>
    <w:rsid w:val="00891BBF"/>
    <w:rsid w:val="00891D49"/>
    <w:rsid w:val="00894C55"/>
    <w:rsid w:val="0089762B"/>
    <w:rsid w:val="00897E4D"/>
    <w:rsid w:val="008A43FE"/>
    <w:rsid w:val="008A4C69"/>
    <w:rsid w:val="008A52A9"/>
    <w:rsid w:val="008A66B9"/>
    <w:rsid w:val="008A6969"/>
    <w:rsid w:val="008B31D2"/>
    <w:rsid w:val="008B37B7"/>
    <w:rsid w:val="008B72FD"/>
    <w:rsid w:val="008C03A3"/>
    <w:rsid w:val="008C09EB"/>
    <w:rsid w:val="008C1794"/>
    <w:rsid w:val="008C312F"/>
    <w:rsid w:val="008C4F09"/>
    <w:rsid w:val="008D09E8"/>
    <w:rsid w:val="008E53F3"/>
    <w:rsid w:val="008E6663"/>
    <w:rsid w:val="008E7130"/>
    <w:rsid w:val="008F31B2"/>
    <w:rsid w:val="00905BD5"/>
    <w:rsid w:val="00906153"/>
    <w:rsid w:val="00910DB3"/>
    <w:rsid w:val="009209A5"/>
    <w:rsid w:val="009244CE"/>
    <w:rsid w:val="0093157F"/>
    <w:rsid w:val="00933F57"/>
    <w:rsid w:val="009371F5"/>
    <w:rsid w:val="00937D58"/>
    <w:rsid w:val="009547D2"/>
    <w:rsid w:val="00971BEB"/>
    <w:rsid w:val="00972AC5"/>
    <w:rsid w:val="0098330B"/>
    <w:rsid w:val="00983AF8"/>
    <w:rsid w:val="00986C5B"/>
    <w:rsid w:val="00990F64"/>
    <w:rsid w:val="00991951"/>
    <w:rsid w:val="009938E1"/>
    <w:rsid w:val="00993C10"/>
    <w:rsid w:val="009A0FE0"/>
    <w:rsid w:val="009A153D"/>
    <w:rsid w:val="009A2654"/>
    <w:rsid w:val="009B0C57"/>
    <w:rsid w:val="009B4EBC"/>
    <w:rsid w:val="009B5093"/>
    <w:rsid w:val="009B61EE"/>
    <w:rsid w:val="009B781B"/>
    <w:rsid w:val="009C3CF6"/>
    <w:rsid w:val="009D204C"/>
    <w:rsid w:val="009D4290"/>
    <w:rsid w:val="009D6BC5"/>
    <w:rsid w:val="009D6D25"/>
    <w:rsid w:val="009E7AC3"/>
    <w:rsid w:val="009F25E7"/>
    <w:rsid w:val="009F3875"/>
    <w:rsid w:val="009F3F42"/>
    <w:rsid w:val="00A00A92"/>
    <w:rsid w:val="00A02401"/>
    <w:rsid w:val="00A10FC3"/>
    <w:rsid w:val="00A20BA7"/>
    <w:rsid w:val="00A23770"/>
    <w:rsid w:val="00A30FB8"/>
    <w:rsid w:val="00A3526B"/>
    <w:rsid w:val="00A37F0E"/>
    <w:rsid w:val="00A44916"/>
    <w:rsid w:val="00A504E9"/>
    <w:rsid w:val="00A51CD4"/>
    <w:rsid w:val="00A574DD"/>
    <w:rsid w:val="00A6073E"/>
    <w:rsid w:val="00A65BF6"/>
    <w:rsid w:val="00A73601"/>
    <w:rsid w:val="00A772AD"/>
    <w:rsid w:val="00A8159A"/>
    <w:rsid w:val="00A8354D"/>
    <w:rsid w:val="00A84A5E"/>
    <w:rsid w:val="00A87A94"/>
    <w:rsid w:val="00A87DB7"/>
    <w:rsid w:val="00A905D4"/>
    <w:rsid w:val="00A935DA"/>
    <w:rsid w:val="00A94BEE"/>
    <w:rsid w:val="00AA1DD4"/>
    <w:rsid w:val="00AA4209"/>
    <w:rsid w:val="00AA45EC"/>
    <w:rsid w:val="00AC12EC"/>
    <w:rsid w:val="00AD0597"/>
    <w:rsid w:val="00AD1FF4"/>
    <w:rsid w:val="00AD3C48"/>
    <w:rsid w:val="00AD7747"/>
    <w:rsid w:val="00AE080C"/>
    <w:rsid w:val="00AE33C9"/>
    <w:rsid w:val="00AE34FD"/>
    <w:rsid w:val="00AE5567"/>
    <w:rsid w:val="00AE5BB3"/>
    <w:rsid w:val="00AE5CC4"/>
    <w:rsid w:val="00AF1239"/>
    <w:rsid w:val="00AF627A"/>
    <w:rsid w:val="00AF6E4D"/>
    <w:rsid w:val="00B021BB"/>
    <w:rsid w:val="00B04082"/>
    <w:rsid w:val="00B074B0"/>
    <w:rsid w:val="00B12C06"/>
    <w:rsid w:val="00B12C2C"/>
    <w:rsid w:val="00B14978"/>
    <w:rsid w:val="00B1550D"/>
    <w:rsid w:val="00B16480"/>
    <w:rsid w:val="00B2165C"/>
    <w:rsid w:val="00B24C87"/>
    <w:rsid w:val="00B36532"/>
    <w:rsid w:val="00B43FA3"/>
    <w:rsid w:val="00B50CDA"/>
    <w:rsid w:val="00B530D8"/>
    <w:rsid w:val="00B540C1"/>
    <w:rsid w:val="00B55400"/>
    <w:rsid w:val="00B67377"/>
    <w:rsid w:val="00B740EC"/>
    <w:rsid w:val="00B751F6"/>
    <w:rsid w:val="00B76017"/>
    <w:rsid w:val="00B81372"/>
    <w:rsid w:val="00B81D06"/>
    <w:rsid w:val="00B85F46"/>
    <w:rsid w:val="00B91A57"/>
    <w:rsid w:val="00B937E2"/>
    <w:rsid w:val="00B968F8"/>
    <w:rsid w:val="00BA20AA"/>
    <w:rsid w:val="00BA2AFD"/>
    <w:rsid w:val="00BA6223"/>
    <w:rsid w:val="00BB1A5C"/>
    <w:rsid w:val="00BB496E"/>
    <w:rsid w:val="00BB670E"/>
    <w:rsid w:val="00BD0085"/>
    <w:rsid w:val="00BD373E"/>
    <w:rsid w:val="00BD4425"/>
    <w:rsid w:val="00BD4833"/>
    <w:rsid w:val="00BD7F5E"/>
    <w:rsid w:val="00BE2E70"/>
    <w:rsid w:val="00BE4957"/>
    <w:rsid w:val="00BE51DD"/>
    <w:rsid w:val="00BF1E18"/>
    <w:rsid w:val="00BF5909"/>
    <w:rsid w:val="00C00F16"/>
    <w:rsid w:val="00C03AA7"/>
    <w:rsid w:val="00C10270"/>
    <w:rsid w:val="00C25B49"/>
    <w:rsid w:val="00C2627A"/>
    <w:rsid w:val="00C30F18"/>
    <w:rsid w:val="00C348FC"/>
    <w:rsid w:val="00C362DA"/>
    <w:rsid w:val="00C41408"/>
    <w:rsid w:val="00C42475"/>
    <w:rsid w:val="00C53261"/>
    <w:rsid w:val="00C605E9"/>
    <w:rsid w:val="00C62AC9"/>
    <w:rsid w:val="00C62B8A"/>
    <w:rsid w:val="00C633DC"/>
    <w:rsid w:val="00C7050A"/>
    <w:rsid w:val="00C717D7"/>
    <w:rsid w:val="00C75756"/>
    <w:rsid w:val="00C76533"/>
    <w:rsid w:val="00C82DBF"/>
    <w:rsid w:val="00C93306"/>
    <w:rsid w:val="00C94D89"/>
    <w:rsid w:val="00C965E0"/>
    <w:rsid w:val="00CA6BBB"/>
    <w:rsid w:val="00CB0786"/>
    <w:rsid w:val="00CB1C06"/>
    <w:rsid w:val="00CB70A9"/>
    <w:rsid w:val="00CC0D2D"/>
    <w:rsid w:val="00CD2946"/>
    <w:rsid w:val="00CD4C7C"/>
    <w:rsid w:val="00CD6641"/>
    <w:rsid w:val="00CD72CC"/>
    <w:rsid w:val="00CD77B3"/>
    <w:rsid w:val="00CE13CF"/>
    <w:rsid w:val="00CE16E6"/>
    <w:rsid w:val="00CE18B6"/>
    <w:rsid w:val="00CE5657"/>
    <w:rsid w:val="00CE6288"/>
    <w:rsid w:val="00CF2BE7"/>
    <w:rsid w:val="00CF37B1"/>
    <w:rsid w:val="00CF678D"/>
    <w:rsid w:val="00D03F6B"/>
    <w:rsid w:val="00D133F8"/>
    <w:rsid w:val="00D14A3E"/>
    <w:rsid w:val="00D160B7"/>
    <w:rsid w:val="00D22281"/>
    <w:rsid w:val="00D22FDF"/>
    <w:rsid w:val="00D23B7C"/>
    <w:rsid w:val="00D24501"/>
    <w:rsid w:val="00D24CA9"/>
    <w:rsid w:val="00D260EE"/>
    <w:rsid w:val="00D31859"/>
    <w:rsid w:val="00D32238"/>
    <w:rsid w:val="00D36CB5"/>
    <w:rsid w:val="00D374AF"/>
    <w:rsid w:val="00D41A62"/>
    <w:rsid w:val="00D536EA"/>
    <w:rsid w:val="00D54216"/>
    <w:rsid w:val="00D558FE"/>
    <w:rsid w:val="00D61107"/>
    <w:rsid w:val="00D845AB"/>
    <w:rsid w:val="00D84626"/>
    <w:rsid w:val="00D97004"/>
    <w:rsid w:val="00DA09D3"/>
    <w:rsid w:val="00DA755F"/>
    <w:rsid w:val="00DD09A1"/>
    <w:rsid w:val="00DD2D4E"/>
    <w:rsid w:val="00DD7617"/>
    <w:rsid w:val="00DE07F2"/>
    <w:rsid w:val="00DE555E"/>
    <w:rsid w:val="00DE62F5"/>
    <w:rsid w:val="00DF0ED7"/>
    <w:rsid w:val="00DF2A3C"/>
    <w:rsid w:val="00DF3359"/>
    <w:rsid w:val="00DF3A16"/>
    <w:rsid w:val="00DF461F"/>
    <w:rsid w:val="00DF68F8"/>
    <w:rsid w:val="00DF724A"/>
    <w:rsid w:val="00DF776E"/>
    <w:rsid w:val="00E00899"/>
    <w:rsid w:val="00E01657"/>
    <w:rsid w:val="00E04D81"/>
    <w:rsid w:val="00E05615"/>
    <w:rsid w:val="00E11F82"/>
    <w:rsid w:val="00E135A5"/>
    <w:rsid w:val="00E175C7"/>
    <w:rsid w:val="00E267DE"/>
    <w:rsid w:val="00E3070D"/>
    <w:rsid w:val="00E32710"/>
    <w:rsid w:val="00E3716B"/>
    <w:rsid w:val="00E379B4"/>
    <w:rsid w:val="00E406AA"/>
    <w:rsid w:val="00E415E4"/>
    <w:rsid w:val="00E43FD4"/>
    <w:rsid w:val="00E45E62"/>
    <w:rsid w:val="00E5323B"/>
    <w:rsid w:val="00E5789A"/>
    <w:rsid w:val="00E80B67"/>
    <w:rsid w:val="00E81C02"/>
    <w:rsid w:val="00E83C92"/>
    <w:rsid w:val="00E872A1"/>
    <w:rsid w:val="00E8749E"/>
    <w:rsid w:val="00E90C01"/>
    <w:rsid w:val="00E90FB7"/>
    <w:rsid w:val="00E9384E"/>
    <w:rsid w:val="00E96638"/>
    <w:rsid w:val="00EA0908"/>
    <w:rsid w:val="00EA2D6B"/>
    <w:rsid w:val="00EA486E"/>
    <w:rsid w:val="00EB3003"/>
    <w:rsid w:val="00EC6B92"/>
    <w:rsid w:val="00EC6E12"/>
    <w:rsid w:val="00EC766A"/>
    <w:rsid w:val="00ED3F49"/>
    <w:rsid w:val="00EE10FF"/>
    <w:rsid w:val="00EE2F62"/>
    <w:rsid w:val="00EE735E"/>
    <w:rsid w:val="00EF169B"/>
    <w:rsid w:val="00EF6124"/>
    <w:rsid w:val="00F01E73"/>
    <w:rsid w:val="00F03A82"/>
    <w:rsid w:val="00F13170"/>
    <w:rsid w:val="00F203ED"/>
    <w:rsid w:val="00F2365C"/>
    <w:rsid w:val="00F27F9D"/>
    <w:rsid w:val="00F42311"/>
    <w:rsid w:val="00F5042C"/>
    <w:rsid w:val="00F55516"/>
    <w:rsid w:val="00F57B0C"/>
    <w:rsid w:val="00F60443"/>
    <w:rsid w:val="00F60DB9"/>
    <w:rsid w:val="00F64D2C"/>
    <w:rsid w:val="00F67A01"/>
    <w:rsid w:val="00F70705"/>
    <w:rsid w:val="00F811DE"/>
    <w:rsid w:val="00F82318"/>
    <w:rsid w:val="00F8271C"/>
    <w:rsid w:val="00F9649E"/>
    <w:rsid w:val="00FA212B"/>
    <w:rsid w:val="00FA21C6"/>
    <w:rsid w:val="00FB1DCF"/>
    <w:rsid w:val="00FC3FDB"/>
    <w:rsid w:val="00FC4316"/>
    <w:rsid w:val="00FC70F8"/>
    <w:rsid w:val="00FD6891"/>
    <w:rsid w:val="00FE0D9C"/>
    <w:rsid w:val="00FE2A98"/>
    <w:rsid w:val="00FE7671"/>
    <w:rsid w:val="00FF109B"/>
    <w:rsid w:val="00FF59FD"/>
    <w:rsid w:val="00FF71C9"/>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61A16"/>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91F3D"/>
    <w:rPr>
      <w:sz w:val="16"/>
      <w:szCs w:val="16"/>
    </w:rPr>
  </w:style>
  <w:style w:type="paragraph" w:styleId="CommentText">
    <w:name w:val="annotation text"/>
    <w:basedOn w:val="Normal"/>
    <w:link w:val="CommentTextChar"/>
    <w:uiPriority w:val="99"/>
    <w:semiHidden/>
    <w:unhideWhenUsed/>
    <w:rsid w:val="00391F3D"/>
    <w:rPr>
      <w:sz w:val="20"/>
      <w:szCs w:val="20"/>
    </w:rPr>
  </w:style>
  <w:style w:type="character" w:customStyle="1" w:styleId="CommentTextChar">
    <w:name w:val="Comment Text Char"/>
    <w:basedOn w:val="DefaultParagraphFont"/>
    <w:link w:val="CommentText"/>
    <w:uiPriority w:val="99"/>
    <w:semiHidden/>
    <w:rsid w:val="00391F3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91F3D"/>
    <w:rPr>
      <w:b/>
      <w:bCs/>
    </w:rPr>
  </w:style>
  <w:style w:type="character" w:customStyle="1" w:styleId="CommentSubjectChar">
    <w:name w:val="Comment Subject Char"/>
    <w:basedOn w:val="CommentTextChar"/>
    <w:link w:val="CommentSubject"/>
    <w:uiPriority w:val="99"/>
    <w:semiHidden/>
    <w:rsid w:val="00391F3D"/>
    <w:rPr>
      <w:rFonts w:ascii="Times New Roman" w:eastAsia="Times New Roman" w:hAnsi="Times New Roman" w:cs="Times New Roman"/>
      <w:b/>
      <w:bCs/>
      <w:sz w:val="20"/>
      <w:szCs w:val="20"/>
      <w:lang w:eastAsia="lv-LV"/>
    </w:rPr>
  </w:style>
  <w:style w:type="paragraph" w:customStyle="1" w:styleId="tv2131">
    <w:name w:val="tv2131"/>
    <w:basedOn w:val="Normal"/>
    <w:rsid w:val="00AF6E4D"/>
    <w:pPr>
      <w:spacing w:before="240" w:line="360" w:lineRule="auto"/>
      <w:ind w:firstLine="300"/>
      <w:jc w:val="both"/>
    </w:pPr>
    <w:rPr>
      <w:rFonts w:ascii="Verdana" w:hAnsi="Verdana"/>
      <w:sz w:val="18"/>
      <w:szCs w:val="18"/>
      <w:lang w:val="en-US" w:eastAsia="en-US"/>
    </w:rPr>
  </w:style>
  <w:style w:type="character" w:customStyle="1" w:styleId="hps">
    <w:name w:val="hps"/>
    <w:basedOn w:val="DefaultParagraphFont"/>
    <w:rsid w:val="00990F64"/>
    <w:rPr>
      <w:rFonts w:ascii="Times New Roman" w:hAnsi="Times New Roman" w:cs="Times New Roman" w:hint="default"/>
    </w:rPr>
  </w:style>
  <w:style w:type="paragraph" w:customStyle="1" w:styleId="tv213">
    <w:name w:val="tv213"/>
    <w:basedOn w:val="Normal"/>
    <w:rsid w:val="00644E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50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93643091">
      <w:bodyDiv w:val="1"/>
      <w:marLeft w:val="0"/>
      <w:marRight w:val="0"/>
      <w:marTop w:val="0"/>
      <w:marBottom w:val="0"/>
      <w:divBdr>
        <w:top w:val="none" w:sz="0" w:space="0" w:color="auto"/>
        <w:left w:val="none" w:sz="0" w:space="0" w:color="auto"/>
        <w:bottom w:val="none" w:sz="0" w:space="0" w:color="auto"/>
        <w:right w:val="none" w:sz="0" w:space="0" w:color="auto"/>
      </w:divBdr>
    </w:div>
    <w:div w:id="774134584">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25468237">
      <w:bodyDiv w:val="1"/>
      <w:marLeft w:val="0"/>
      <w:marRight w:val="0"/>
      <w:marTop w:val="0"/>
      <w:marBottom w:val="0"/>
      <w:divBdr>
        <w:top w:val="none" w:sz="0" w:space="0" w:color="auto"/>
        <w:left w:val="none" w:sz="0" w:space="0" w:color="auto"/>
        <w:bottom w:val="none" w:sz="0" w:space="0" w:color="auto"/>
        <w:right w:val="none" w:sz="0" w:space="0" w:color="auto"/>
      </w:divBdr>
    </w:div>
    <w:div w:id="11643246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7403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24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25249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467C-A6BC-4001-AB22-5A8855FA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11191</Words>
  <Characters>6379</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Zāļu valsts aģentūras 2019.gada budžeta apstiprināšanu”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Zāļu valsts aģentūras 2019.gada budžeta apstiprināšanu” sākotnējās ietekmes novērtējuma ziņojums (anotācija)</dc:title>
  <dc:subject>Anotācija</dc:subject>
  <dc:creator>Inga Vinničenko</dc:creator>
  <dc:description>67876029, Inga.Vinnicenko@vm.gov.lv, Nozares budžeta plānošanas departamenta
Vecākā referente</dc:description>
  <cp:lastModifiedBy>Ivita Lazdiņa</cp:lastModifiedBy>
  <cp:revision>11</cp:revision>
  <cp:lastPrinted>2019-09-17T07:33:00Z</cp:lastPrinted>
  <dcterms:created xsi:type="dcterms:W3CDTF">2020-03-27T12:09:00Z</dcterms:created>
  <dcterms:modified xsi:type="dcterms:W3CDTF">2020-03-27T12:28:00Z</dcterms:modified>
</cp:coreProperties>
</file>