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3604462"/>
    <w:p w14:paraId="1E26BB45" w14:textId="5DB6EF02" w:rsidR="00894C55" w:rsidRPr="00573CE9" w:rsidRDefault="009E15F0"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882755678"/>
          <w:placeholder>
            <w:docPart w:val="B2513C7936974E769D1103048039203D"/>
          </w:placeholder>
        </w:sdtPr>
        <w:sdtEndPr/>
        <w:sdtContent>
          <w:r w:rsidR="00DF2C3B" w:rsidRPr="00573CE9">
            <w:rPr>
              <w:rFonts w:ascii="Times New Roman" w:eastAsia="Times New Roman" w:hAnsi="Times New Roman" w:cs="Times New Roman"/>
              <w:b/>
              <w:bCs/>
              <w:color w:val="000000" w:themeColor="text1"/>
              <w:sz w:val="28"/>
              <w:szCs w:val="24"/>
              <w:lang w:eastAsia="lv-LV"/>
            </w:rPr>
            <w:t>Ministru kabineta noteikumu</w:t>
          </w:r>
          <w:r w:rsidR="00CD2F80" w:rsidRPr="00573CE9">
            <w:rPr>
              <w:rFonts w:ascii="Times New Roman" w:eastAsia="Times New Roman" w:hAnsi="Times New Roman" w:cs="Times New Roman"/>
              <w:b/>
              <w:bCs/>
              <w:color w:val="000000" w:themeColor="text1"/>
              <w:sz w:val="28"/>
              <w:szCs w:val="24"/>
              <w:lang w:eastAsia="lv-LV"/>
            </w:rPr>
            <w:t xml:space="preserve"> projekta </w:t>
          </w:r>
          <w:r w:rsidR="00DF2C3B" w:rsidRPr="00573CE9">
            <w:rPr>
              <w:rFonts w:ascii="Times New Roman" w:eastAsia="Times New Roman" w:hAnsi="Times New Roman" w:cs="Times New Roman"/>
              <w:b/>
              <w:bCs/>
              <w:color w:val="000000" w:themeColor="text1"/>
              <w:sz w:val="28"/>
              <w:szCs w:val="24"/>
              <w:lang w:eastAsia="lv-LV"/>
            </w:rPr>
            <w:t>"Grozījumi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sdtContent>
      </w:sdt>
      <w:bookmarkEnd w:id="0"/>
      <w:r w:rsidR="003B0BF9" w:rsidRPr="00573CE9">
        <w:rPr>
          <w:rFonts w:ascii="Times New Roman" w:eastAsia="Times New Roman" w:hAnsi="Times New Roman" w:cs="Times New Roman"/>
          <w:b/>
          <w:bCs/>
          <w:color w:val="000000" w:themeColor="text1"/>
          <w:sz w:val="28"/>
          <w:szCs w:val="24"/>
          <w:lang w:eastAsia="lv-LV"/>
        </w:rPr>
        <w:br/>
      </w:r>
      <w:r w:rsidR="00894C55" w:rsidRPr="00573CE9">
        <w:rPr>
          <w:rFonts w:ascii="Times New Roman" w:eastAsia="Times New Roman" w:hAnsi="Times New Roman" w:cs="Times New Roman"/>
          <w:b/>
          <w:bCs/>
          <w:color w:val="000000" w:themeColor="text1"/>
          <w:sz w:val="28"/>
          <w:szCs w:val="24"/>
          <w:lang w:eastAsia="lv-LV"/>
        </w:rPr>
        <w:t>sākotnējās ietekmes novērtējuma ziņojums (anotācija)</w:t>
      </w:r>
    </w:p>
    <w:p w14:paraId="4EEB0169" w14:textId="77777777" w:rsidR="00E5323B" w:rsidRPr="00573CE9"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4"/>
        <w:gridCol w:w="5661"/>
      </w:tblGrid>
      <w:tr w:rsidR="00E5323B" w:rsidRPr="00573CE9" w14:paraId="6724888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8A1ED97" w14:textId="77777777" w:rsidR="00655F2C" w:rsidRPr="00573CE9" w:rsidRDefault="00E5323B" w:rsidP="000B2764">
            <w:pPr>
              <w:spacing w:after="0" w:line="240" w:lineRule="auto"/>
              <w:jc w:val="center"/>
              <w:rPr>
                <w:rFonts w:ascii="Times New Roman" w:eastAsia="Times New Roman" w:hAnsi="Times New Roman" w:cs="Times New Roman"/>
                <w:b/>
                <w:bCs/>
                <w:iCs/>
                <w:color w:val="000000" w:themeColor="text1"/>
                <w:sz w:val="24"/>
                <w:szCs w:val="24"/>
                <w:lang w:eastAsia="lv-LV"/>
              </w:rPr>
            </w:pPr>
            <w:r w:rsidRPr="00573CE9">
              <w:rPr>
                <w:rFonts w:ascii="Times New Roman" w:eastAsia="Times New Roman" w:hAnsi="Times New Roman" w:cs="Times New Roman"/>
                <w:b/>
                <w:bCs/>
                <w:iCs/>
                <w:color w:val="000000" w:themeColor="text1"/>
                <w:sz w:val="24"/>
                <w:szCs w:val="24"/>
                <w:lang w:eastAsia="lv-LV"/>
              </w:rPr>
              <w:t>Tiesību akta projekta anotācijas kopsavilkums</w:t>
            </w:r>
          </w:p>
        </w:tc>
      </w:tr>
      <w:tr w:rsidR="00E5323B" w:rsidRPr="00573CE9" w14:paraId="15927FDE" w14:textId="77777777" w:rsidTr="0032134F">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7F96989A" w14:textId="77777777" w:rsidR="00E5323B" w:rsidRPr="00573CE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3101" w:type="pct"/>
            <w:tcBorders>
              <w:top w:val="outset" w:sz="6" w:space="0" w:color="auto"/>
              <w:left w:val="outset" w:sz="6" w:space="0" w:color="auto"/>
              <w:bottom w:val="outset" w:sz="6" w:space="0" w:color="auto"/>
              <w:right w:val="outset" w:sz="6" w:space="0" w:color="auto"/>
            </w:tcBorders>
            <w:hideMark/>
          </w:tcPr>
          <w:p w14:paraId="2DE2A885" w14:textId="24A0EB57" w:rsidR="00DF2C3B" w:rsidRPr="00573CE9" w:rsidRDefault="00DF2C3B" w:rsidP="00CD2F80">
            <w:pPr>
              <w:spacing w:after="0" w:line="240" w:lineRule="auto"/>
              <w:jc w:val="both"/>
              <w:rPr>
                <w:rFonts w:ascii="Times New Roman" w:eastAsia="Times New Roman" w:hAnsi="Times New Roman" w:cs="Times New Roman"/>
                <w:iCs/>
                <w:color w:val="000000" w:themeColor="text1"/>
                <w:sz w:val="24"/>
                <w:szCs w:val="24"/>
                <w:lang w:eastAsia="lv-LV"/>
              </w:rPr>
            </w:pPr>
            <w:bookmarkStart w:id="1" w:name="_Hlk20126694"/>
            <w:r w:rsidRPr="00573CE9">
              <w:rPr>
                <w:rFonts w:ascii="Times New Roman" w:eastAsia="Times New Roman" w:hAnsi="Times New Roman" w:cs="Times New Roman"/>
                <w:iCs/>
                <w:color w:val="000000" w:themeColor="text1"/>
                <w:sz w:val="24"/>
                <w:szCs w:val="24"/>
                <w:lang w:eastAsia="lv-LV"/>
              </w:rPr>
              <w:t>Ministru kabineta noteikumu projekt</w:t>
            </w:r>
            <w:r w:rsidR="00EF6D10" w:rsidRPr="00573CE9">
              <w:rPr>
                <w:rFonts w:ascii="Times New Roman" w:eastAsia="Times New Roman" w:hAnsi="Times New Roman" w:cs="Times New Roman"/>
                <w:iCs/>
                <w:color w:val="000000" w:themeColor="text1"/>
                <w:sz w:val="24"/>
                <w:szCs w:val="24"/>
                <w:lang w:eastAsia="lv-LV"/>
              </w:rPr>
              <w:t>a</w:t>
            </w:r>
            <w:r w:rsidRPr="00573CE9">
              <w:rPr>
                <w:rFonts w:ascii="Times New Roman" w:eastAsia="Times New Roman" w:hAnsi="Times New Roman" w:cs="Times New Roman"/>
                <w:iCs/>
                <w:color w:val="000000" w:themeColor="text1"/>
                <w:sz w:val="24"/>
                <w:szCs w:val="24"/>
                <w:lang w:eastAsia="lv-LV"/>
              </w:rPr>
              <w:t xml:space="preserve"> mērķis ir veikt Ekonomikas ministrijas ierosinātus grozījumus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(turpmāk – Noteikumu projekts)</w:t>
            </w:r>
            <w:r w:rsidR="00D76C7F" w:rsidRPr="00573CE9">
              <w:rPr>
                <w:rFonts w:ascii="Times New Roman" w:eastAsia="Times New Roman" w:hAnsi="Times New Roman" w:cs="Times New Roman"/>
                <w:iCs/>
                <w:color w:val="000000" w:themeColor="text1"/>
                <w:sz w:val="24"/>
                <w:szCs w:val="24"/>
                <w:lang w:eastAsia="lv-LV"/>
              </w:rPr>
              <w:t xml:space="preserve">, iekļaujot tajos </w:t>
            </w:r>
            <w:r w:rsidR="00EF6D10" w:rsidRPr="00573CE9">
              <w:rPr>
                <w:rFonts w:ascii="Times New Roman" w:eastAsia="Times New Roman" w:hAnsi="Times New Roman" w:cs="Times New Roman"/>
                <w:iCs/>
                <w:color w:val="000000" w:themeColor="text1"/>
                <w:sz w:val="24"/>
                <w:szCs w:val="24"/>
                <w:lang w:eastAsia="lv-LV"/>
              </w:rPr>
              <w:t>daudzdzīvokļu dzīvojamo māju energoefektivitātes</w:t>
            </w:r>
            <w:r w:rsidR="00D76C7F" w:rsidRPr="00573CE9">
              <w:rPr>
                <w:rFonts w:ascii="Times New Roman" w:eastAsia="Times New Roman" w:hAnsi="Times New Roman" w:cs="Times New Roman"/>
                <w:iCs/>
                <w:color w:val="000000" w:themeColor="text1"/>
                <w:sz w:val="24"/>
                <w:szCs w:val="24"/>
                <w:lang w:eastAsia="lv-LV"/>
              </w:rPr>
              <w:t xml:space="preserve"> </w:t>
            </w:r>
            <w:r w:rsidR="00EF6D10" w:rsidRPr="00573CE9">
              <w:rPr>
                <w:rFonts w:ascii="Times New Roman" w:eastAsia="Times New Roman" w:hAnsi="Times New Roman" w:cs="Times New Roman"/>
                <w:iCs/>
                <w:color w:val="000000" w:themeColor="text1"/>
                <w:sz w:val="24"/>
                <w:szCs w:val="24"/>
                <w:lang w:eastAsia="lv-LV"/>
              </w:rPr>
              <w:t xml:space="preserve">paaugstināšanas pasākumu īstenošanai </w:t>
            </w:r>
            <w:r w:rsidR="00D76C7F" w:rsidRPr="00573CE9">
              <w:rPr>
                <w:rFonts w:ascii="Times New Roman" w:eastAsia="Times New Roman" w:hAnsi="Times New Roman" w:cs="Times New Roman"/>
                <w:iCs/>
                <w:color w:val="000000" w:themeColor="text1"/>
                <w:sz w:val="24"/>
                <w:szCs w:val="24"/>
                <w:lang w:eastAsia="lv-LV"/>
              </w:rPr>
              <w:t xml:space="preserve">paredzēto garantiju nosacījumus </w:t>
            </w:r>
            <w:r w:rsidR="00EF6D10" w:rsidRPr="00573CE9">
              <w:rPr>
                <w:rFonts w:ascii="Times New Roman" w:eastAsia="Times New Roman" w:hAnsi="Times New Roman" w:cs="Times New Roman"/>
                <w:iCs/>
                <w:color w:val="000000" w:themeColor="text1"/>
                <w:sz w:val="24"/>
                <w:szCs w:val="24"/>
                <w:lang w:eastAsia="lv-LV"/>
              </w:rPr>
              <w:t>u.c.</w:t>
            </w:r>
          </w:p>
          <w:p w14:paraId="1FB9E583" w14:textId="77777777" w:rsidR="000B2764" w:rsidRPr="00573CE9" w:rsidRDefault="000B2764" w:rsidP="00CD2F80">
            <w:pPr>
              <w:spacing w:after="0" w:line="240" w:lineRule="auto"/>
              <w:jc w:val="both"/>
              <w:rPr>
                <w:rFonts w:ascii="Times New Roman" w:eastAsia="Times New Roman" w:hAnsi="Times New Roman" w:cs="Times New Roman"/>
                <w:iCs/>
                <w:color w:val="000000" w:themeColor="text1"/>
                <w:sz w:val="24"/>
                <w:szCs w:val="24"/>
                <w:lang w:eastAsia="lv-LV"/>
              </w:rPr>
            </w:pPr>
          </w:p>
          <w:p w14:paraId="4F694BEC" w14:textId="6B67AFC9" w:rsidR="00E5323B" w:rsidRPr="00573CE9" w:rsidRDefault="00DF2C3B" w:rsidP="00CD2F80">
            <w:pPr>
              <w:spacing w:after="0" w:line="240" w:lineRule="auto"/>
              <w:jc w:val="both"/>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Noteikumu projekts stāsies spēkā pēc tā publicēšanas Latvijas Vēstnesī.</w:t>
            </w:r>
            <w:bookmarkEnd w:id="1"/>
          </w:p>
        </w:tc>
      </w:tr>
    </w:tbl>
    <w:p w14:paraId="3040270A" w14:textId="77777777" w:rsidR="00E5323B" w:rsidRPr="00573CE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E5323B" w:rsidRPr="00573CE9" w14:paraId="66CC3D9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2677BC" w14:textId="77777777" w:rsidR="00655F2C" w:rsidRPr="00573CE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573CE9">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E5323B" w:rsidRPr="00573CE9" w14:paraId="01A306EF" w14:textId="77777777" w:rsidTr="003213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649377" w14:textId="77777777" w:rsidR="00655F2C" w:rsidRPr="00573CE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617A177E" w14:textId="77777777" w:rsidR="00E5323B" w:rsidRPr="00573CE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Pamatojums</w:t>
            </w:r>
          </w:p>
        </w:tc>
        <w:tc>
          <w:tcPr>
            <w:tcW w:w="3101" w:type="pct"/>
            <w:tcBorders>
              <w:top w:val="outset" w:sz="6" w:space="0" w:color="auto"/>
              <w:left w:val="outset" w:sz="6" w:space="0" w:color="auto"/>
              <w:bottom w:val="outset" w:sz="6" w:space="0" w:color="auto"/>
              <w:right w:val="outset" w:sz="6" w:space="0" w:color="auto"/>
            </w:tcBorders>
            <w:hideMark/>
          </w:tcPr>
          <w:p w14:paraId="23E41FC1" w14:textId="70EB3A9C" w:rsidR="00E5323B" w:rsidRPr="00573CE9" w:rsidRDefault="001F7B2F" w:rsidP="00CD2F80">
            <w:pPr>
              <w:spacing w:after="0" w:line="240" w:lineRule="auto"/>
              <w:jc w:val="both"/>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 xml:space="preserve">Noteikumu projekts izstrādāts </w:t>
            </w:r>
            <w:r w:rsidR="00381E1C" w:rsidRPr="00573CE9">
              <w:rPr>
                <w:rFonts w:ascii="Times New Roman" w:eastAsia="Times New Roman" w:hAnsi="Times New Roman" w:cs="Times New Roman"/>
                <w:iCs/>
                <w:color w:val="000000" w:themeColor="text1"/>
                <w:sz w:val="24"/>
                <w:szCs w:val="24"/>
                <w:lang w:eastAsia="lv-LV"/>
              </w:rPr>
              <w:t>kā</w:t>
            </w:r>
            <w:r w:rsidRPr="00573CE9">
              <w:rPr>
                <w:rFonts w:ascii="Times New Roman" w:eastAsia="Times New Roman" w:hAnsi="Times New Roman" w:cs="Times New Roman"/>
                <w:iCs/>
                <w:color w:val="000000" w:themeColor="text1"/>
                <w:sz w:val="24"/>
                <w:szCs w:val="24"/>
                <w:lang w:eastAsia="lv-LV"/>
              </w:rPr>
              <w:t xml:space="preserve"> </w:t>
            </w:r>
            <w:r w:rsidR="00416C82" w:rsidRPr="00573CE9">
              <w:rPr>
                <w:rFonts w:ascii="Times New Roman" w:eastAsia="Times New Roman" w:hAnsi="Times New Roman" w:cs="Times New Roman"/>
                <w:iCs/>
                <w:color w:val="000000" w:themeColor="text1"/>
                <w:sz w:val="24"/>
                <w:szCs w:val="24"/>
                <w:lang w:eastAsia="lv-LV"/>
              </w:rPr>
              <w:t>Ekonomikas ministrijas iniciatīv</w:t>
            </w:r>
            <w:r w:rsidR="00381E1C" w:rsidRPr="00573CE9">
              <w:rPr>
                <w:rFonts w:ascii="Times New Roman" w:eastAsia="Times New Roman" w:hAnsi="Times New Roman" w:cs="Times New Roman"/>
                <w:iCs/>
                <w:color w:val="000000" w:themeColor="text1"/>
                <w:sz w:val="24"/>
                <w:szCs w:val="24"/>
                <w:lang w:eastAsia="lv-LV"/>
              </w:rPr>
              <w:t>a</w:t>
            </w:r>
            <w:r w:rsidRPr="00573CE9">
              <w:rPr>
                <w:rFonts w:ascii="Times New Roman" w:eastAsia="Times New Roman" w:hAnsi="Times New Roman" w:cs="Times New Roman"/>
                <w:iCs/>
                <w:color w:val="000000" w:themeColor="text1"/>
                <w:sz w:val="24"/>
                <w:szCs w:val="24"/>
                <w:lang w:eastAsia="lv-LV"/>
              </w:rPr>
              <w:t xml:space="preserve">, ievērojot </w:t>
            </w:r>
            <w:r w:rsidR="00CD2F80" w:rsidRPr="00573CE9">
              <w:rPr>
                <w:rFonts w:ascii="Times New Roman" w:eastAsia="Times New Roman" w:hAnsi="Times New Roman" w:cs="Times New Roman"/>
                <w:iCs/>
                <w:color w:val="000000" w:themeColor="text1"/>
                <w:sz w:val="24"/>
                <w:szCs w:val="24"/>
                <w:lang w:eastAsia="lv-LV"/>
              </w:rPr>
              <w:t>Eiropas Savienības struktūrfondu un Kohēzijas fonda 2014.–2020. gada plānošanas perioda vadības likuma 20. panta 13. un 14. punkt</w:t>
            </w:r>
            <w:r w:rsidRPr="00573CE9">
              <w:rPr>
                <w:rFonts w:ascii="Times New Roman" w:eastAsia="Times New Roman" w:hAnsi="Times New Roman" w:cs="Times New Roman"/>
                <w:iCs/>
                <w:color w:val="000000" w:themeColor="text1"/>
                <w:sz w:val="24"/>
                <w:szCs w:val="24"/>
                <w:lang w:eastAsia="lv-LV"/>
              </w:rPr>
              <w:t>u</w:t>
            </w:r>
            <w:r w:rsidR="00CD2F80" w:rsidRPr="00573CE9">
              <w:rPr>
                <w:rFonts w:ascii="Times New Roman" w:eastAsia="Times New Roman" w:hAnsi="Times New Roman" w:cs="Times New Roman"/>
                <w:iCs/>
                <w:color w:val="000000" w:themeColor="text1"/>
                <w:sz w:val="24"/>
                <w:szCs w:val="24"/>
                <w:lang w:eastAsia="lv-LV"/>
              </w:rPr>
              <w:t xml:space="preserve"> un Publisko iepirkuma likuma 7. panta pirmā daļ</w:t>
            </w:r>
            <w:r w:rsidRPr="00573CE9">
              <w:rPr>
                <w:rFonts w:ascii="Times New Roman" w:eastAsia="Times New Roman" w:hAnsi="Times New Roman" w:cs="Times New Roman"/>
                <w:iCs/>
                <w:color w:val="000000" w:themeColor="text1"/>
                <w:sz w:val="24"/>
                <w:szCs w:val="24"/>
                <w:lang w:eastAsia="lv-LV"/>
              </w:rPr>
              <w:t>u</w:t>
            </w:r>
            <w:r w:rsidR="00CD2F80" w:rsidRPr="00573CE9">
              <w:rPr>
                <w:rFonts w:ascii="Times New Roman" w:eastAsia="Times New Roman" w:hAnsi="Times New Roman" w:cs="Times New Roman"/>
                <w:iCs/>
                <w:color w:val="000000" w:themeColor="text1"/>
                <w:sz w:val="24"/>
                <w:szCs w:val="24"/>
                <w:lang w:eastAsia="lv-LV"/>
              </w:rPr>
              <w:t>.</w:t>
            </w:r>
          </w:p>
        </w:tc>
      </w:tr>
      <w:tr w:rsidR="00CD2F80" w:rsidRPr="00573CE9" w14:paraId="5649DF26" w14:textId="77777777" w:rsidTr="003213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4DADCD" w14:textId="77777777" w:rsidR="00CD2F80" w:rsidRPr="00573CE9" w:rsidRDefault="00CD2F80" w:rsidP="00CD2F80">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69607D4F" w14:textId="77777777" w:rsidR="00CD2F80" w:rsidRPr="00573CE9" w:rsidRDefault="00CD2F80" w:rsidP="00CD2F80">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7A884A43" w14:textId="77777777" w:rsidR="00566EDD" w:rsidRPr="00573CE9" w:rsidRDefault="00566EDD" w:rsidP="00C708D9">
            <w:pPr>
              <w:tabs>
                <w:tab w:val="left" w:pos="960"/>
              </w:tabs>
              <w:rPr>
                <w:rFonts w:ascii="Times New Roman" w:eastAsia="Times New Roman" w:hAnsi="Times New Roman" w:cs="Times New Roman"/>
                <w:sz w:val="24"/>
                <w:szCs w:val="24"/>
                <w:lang w:eastAsia="lv-LV"/>
              </w:rPr>
            </w:pPr>
          </w:p>
          <w:p w14:paraId="66B1CCE6" w14:textId="77777777" w:rsidR="00C708D9" w:rsidRPr="00573CE9" w:rsidRDefault="00C708D9" w:rsidP="00C708D9">
            <w:pPr>
              <w:tabs>
                <w:tab w:val="left" w:pos="960"/>
              </w:tabs>
              <w:rPr>
                <w:rFonts w:ascii="Times New Roman" w:eastAsia="Times New Roman" w:hAnsi="Times New Roman" w:cs="Times New Roman"/>
                <w:sz w:val="24"/>
                <w:szCs w:val="24"/>
                <w:lang w:eastAsia="lv-LV"/>
              </w:rPr>
            </w:pPr>
          </w:p>
          <w:p w14:paraId="4D118D68" w14:textId="5995E652" w:rsidR="00C708D9" w:rsidRPr="00573CE9" w:rsidRDefault="00C708D9" w:rsidP="00C708D9">
            <w:pPr>
              <w:tabs>
                <w:tab w:val="left" w:pos="960"/>
              </w:tabs>
              <w:rPr>
                <w:rFonts w:ascii="Times New Roman" w:eastAsia="Times New Roman" w:hAnsi="Times New Roman" w:cs="Times New Roman"/>
                <w:sz w:val="24"/>
                <w:szCs w:val="24"/>
                <w:lang w:eastAsia="lv-LV"/>
              </w:rPr>
            </w:pPr>
          </w:p>
        </w:tc>
        <w:tc>
          <w:tcPr>
            <w:tcW w:w="3101" w:type="pct"/>
            <w:tcBorders>
              <w:top w:val="outset" w:sz="6" w:space="0" w:color="auto"/>
              <w:left w:val="outset" w:sz="6" w:space="0" w:color="auto"/>
              <w:bottom w:val="outset" w:sz="6" w:space="0" w:color="auto"/>
              <w:right w:val="outset" w:sz="6" w:space="0" w:color="auto"/>
            </w:tcBorders>
            <w:hideMark/>
          </w:tcPr>
          <w:p w14:paraId="2E2248B6" w14:textId="27B83249" w:rsidR="00D76C7F" w:rsidRPr="00573CE9" w:rsidRDefault="00CD2F80" w:rsidP="00CD2F80">
            <w:pPr>
              <w:spacing w:after="0" w:line="240" w:lineRule="auto"/>
              <w:jc w:val="both"/>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 xml:space="preserve">Ekonomikas ministrija ir izstrādājusi Noteikumu projektu, lai </w:t>
            </w:r>
            <w:r w:rsidR="00D76C7F" w:rsidRPr="00573CE9">
              <w:rPr>
                <w:rFonts w:ascii="Times New Roman" w:eastAsia="Times New Roman" w:hAnsi="Times New Roman" w:cs="Times New Roman"/>
                <w:iCs/>
                <w:color w:val="000000" w:themeColor="text1"/>
                <w:sz w:val="24"/>
                <w:szCs w:val="24"/>
                <w:lang w:eastAsia="lv-LV"/>
              </w:rPr>
              <w:t>papildinātu</w:t>
            </w:r>
            <w:r w:rsidRPr="00573CE9">
              <w:rPr>
                <w:rFonts w:ascii="Times New Roman" w:eastAsia="Times New Roman" w:hAnsi="Times New Roman" w:cs="Times New Roman"/>
                <w:iCs/>
                <w:color w:val="000000" w:themeColor="text1"/>
                <w:sz w:val="24"/>
                <w:szCs w:val="24"/>
                <w:lang w:eastAsia="lv-LV"/>
              </w:rPr>
              <w:t xml:space="preserve"> Ministru kabineta 2016. gada 15. marta noteikum</w:t>
            </w:r>
            <w:r w:rsidR="00D76C7F" w:rsidRPr="00573CE9">
              <w:rPr>
                <w:rFonts w:ascii="Times New Roman" w:eastAsia="Times New Roman" w:hAnsi="Times New Roman" w:cs="Times New Roman"/>
                <w:iCs/>
                <w:color w:val="000000" w:themeColor="text1"/>
                <w:sz w:val="24"/>
                <w:szCs w:val="24"/>
                <w:lang w:eastAsia="lv-LV"/>
              </w:rPr>
              <w:t>u</w:t>
            </w:r>
            <w:r w:rsidRPr="00573CE9">
              <w:rPr>
                <w:rFonts w:ascii="Times New Roman" w:eastAsia="Times New Roman" w:hAnsi="Times New Roman" w:cs="Times New Roman"/>
                <w:iCs/>
                <w:color w:val="000000" w:themeColor="text1"/>
                <w:sz w:val="24"/>
                <w:szCs w:val="24"/>
                <w:lang w:eastAsia="lv-LV"/>
              </w:rPr>
              <w:t xml:space="preserve">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(turpmāk – MK noteikumi Nr. 160) </w:t>
            </w:r>
            <w:r w:rsidR="00D76C7F" w:rsidRPr="00573CE9">
              <w:rPr>
                <w:rFonts w:ascii="Times New Roman" w:eastAsia="Times New Roman" w:hAnsi="Times New Roman" w:cs="Times New Roman"/>
                <w:iCs/>
                <w:color w:val="000000" w:themeColor="text1"/>
                <w:sz w:val="24"/>
                <w:szCs w:val="24"/>
                <w:lang w:eastAsia="lv-LV"/>
              </w:rPr>
              <w:t>ar daudzdzīvokļu dzīvojamo māju energoefektivitātes paaugstināšanas pasākumu īstenošanai paredzēto garantiju, kā arī būvkomersantu atlases nosacījumiem.</w:t>
            </w:r>
          </w:p>
          <w:p w14:paraId="1FED468F" w14:textId="7F93936E" w:rsidR="00CD2F80" w:rsidRPr="00573CE9" w:rsidRDefault="00CD2F80" w:rsidP="00CD2F80">
            <w:pPr>
              <w:spacing w:after="0" w:line="240" w:lineRule="auto"/>
              <w:ind w:firstLine="533"/>
              <w:jc w:val="both"/>
              <w:rPr>
                <w:rFonts w:ascii="Times New Roman" w:eastAsia="Times New Roman" w:hAnsi="Times New Roman" w:cs="Times New Roman"/>
                <w:iCs/>
                <w:color w:val="000000" w:themeColor="text1"/>
                <w:sz w:val="24"/>
                <w:szCs w:val="24"/>
                <w:lang w:eastAsia="lv-LV"/>
              </w:rPr>
            </w:pPr>
          </w:p>
          <w:p w14:paraId="0218E644" w14:textId="19A47689" w:rsidR="0042366F" w:rsidRPr="00573CE9" w:rsidRDefault="0042366F" w:rsidP="0042366F">
            <w:pPr>
              <w:pStyle w:val="ListParagraph"/>
              <w:numPr>
                <w:ilvl w:val="0"/>
                <w:numId w:val="2"/>
              </w:numPr>
              <w:ind w:left="0" w:firstLine="31"/>
              <w:jc w:val="both"/>
              <w:rPr>
                <w:color w:val="000000" w:themeColor="text1"/>
                <w:sz w:val="24"/>
                <w:szCs w:val="24"/>
              </w:rPr>
            </w:pPr>
            <w:r w:rsidRPr="00573CE9">
              <w:rPr>
                <w:b/>
                <w:bCs/>
                <w:i/>
                <w:iCs/>
                <w:color w:val="000000" w:themeColor="text1"/>
                <w:sz w:val="24"/>
                <w:szCs w:val="24"/>
                <w:u w:val="single"/>
              </w:rPr>
              <w:t>Papildināt MK noteikumus Nr.160 ar daudzdzīvokļu dzīvojamo māju energoefektivitātes paaugstināšanas pasākumu īstenošanai paredzēto garantiju nosacījumiem.</w:t>
            </w:r>
          </w:p>
          <w:p w14:paraId="21907886" w14:textId="25CF4552" w:rsidR="0042366F" w:rsidRPr="00573CE9" w:rsidRDefault="0042366F" w:rsidP="0032134F">
            <w:pPr>
              <w:pStyle w:val="ListParagraph"/>
              <w:ind w:left="0" w:firstLine="533"/>
              <w:jc w:val="both"/>
              <w:rPr>
                <w:color w:val="000000" w:themeColor="text1"/>
                <w:sz w:val="24"/>
                <w:szCs w:val="24"/>
              </w:rPr>
            </w:pPr>
            <w:r w:rsidRPr="00573CE9">
              <w:rPr>
                <w:color w:val="000000" w:themeColor="text1"/>
                <w:sz w:val="24"/>
                <w:szCs w:val="24"/>
              </w:rPr>
              <w:lastRenderedPageBreak/>
              <w:t xml:space="preserve">Šobrīd Ministru kabineta 2010.gada 26.oktobra noteikumi Nr.997 „Noteikumi par garantijām komersantu un atbilstošu lauksaimniecības pakalpojumu kooperatīvo sabiedrību konkurētspējas uzlabošanai” (turpmāk – </w:t>
            </w:r>
            <w:r w:rsidR="004656D5" w:rsidRPr="00573CE9">
              <w:rPr>
                <w:color w:val="000000" w:themeColor="text1"/>
                <w:sz w:val="24"/>
                <w:szCs w:val="24"/>
              </w:rPr>
              <w:t>MK n</w:t>
            </w:r>
            <w:r w:rsidRPr="00573CE9">
              <w:rPr>
                <w:color w:val="000000" w:themeColor="text1"/>
                <w:sz w:val="24"/>
                <w:szCs w:val="24"/>
              </w:rPr>
              <w:t>oteikumi Nr.997) nosaka atbalsta saņemšanas nosacījumus aizdevumu garantiju un daudzdzīvokļu dzīvojamo māju energoefektivitātes paaugstināšanas pasākumu īstenošanai 4.2.1.1.pasākuma “Veicināt energoefektivitātes paaugstināšanu dzīvojamās ēkās”</w:t>
            </w:r>
            <w:r w:rsidR="0099670C" w:rsidRPr="00573CE9">
              <w:rPr>
                <w:color w:val="000000" w:themeColor="text1"/>
                <w:sz w:val="24"/>
                <w:szCs w:val="24"/>
              </w:rPr>
              <w:t xml:space="preserve"> (turpmāk - 4.2.1.1. pasākums)</w:t>
            </w:r>
            <w:r w:rsidR="0032134F" w:rsidRPr="00573CE9">
              <w:rPr>
                <w:color w:val="000000" w:themeColor="text1"/>
                <w:sz w:val="24"/>
                <w:szCs w:val="24"/>
              </w:rPr>
              <w:t xml:space="preserve"> ietvaros. </w:t>
            </w:r>
            <w:r w:rsidR="00BB7F71" w:rsidRPr="00573CE9">
              <w:rPr>
                <w:color w:val="000000" w:themeColor="text1"/>
                <w:sz w:val="24"/>
                <w:szCs w:val="24"/>
              </w:rPr>
              <w:t>Savukārt 2020.gada 2.janvāra Valsts sekretāru sanāksmē ir izsludināt</w:t>
            </w:r>
            <w:r w:rsidR="00BF565F" w:rsidRPr="00573CE9">
              <w:rPr>
                <w:color w:val="000000" w:themeColor="text1"/>
                <w:sz w:val="24"/>
                <w:szCs w:val="24"/>
              </w:rPr>
              <w:t>s</w:t>
            </w:r>
            <w:r w:rsidR="00BB7F71" w:rsidRPr="00573CE9">
              <w:rPr>
                <w:color w:val="000000" w:themeColor="text1"/>
                <w:sz w:val="24"/>
                <w:szCs w:val="24"/>
              </w:rPr>
              <w:t xml:space="preserve"> </w:t>
            </w:r>
            <w:r w:rsidR="0032134F" w:rsidRPr="00573CE9">
              <w:rPr>
                <w:color w:val="000000" w:themeColor="text1"/>
                <w:sz w:val="24"/>
                <w:szCs w:val="24"/>
              </w:rPr>
              <w:t>Ekonomikas ministrija</w:t>
            </w:r>
            <w:r w:rsidR="00BB7F71" w:rsidRPr="00573CE9">
              <w:rPr>
                <w:color w:val="000000" w:themeColor="text1"/>
                <w:sz w:val="24"/>
                <w:szCs w:val="24"/>
              </w:rPr>
              <w:t>s izstrādāt</w:t>
            </w:r>
            <w:r w:rsidR="00BF565F" w:rsidRPr="00573CE9">
              <w:rPr>
                <w:color w:val="000000" w:themeColor="text1"/>
                <w:sz w:val="24"/>
                <w:szCs w:val="24"/>
              </w:rPr>
              <w:t>ais</w:t>
            </w:r>
            <w:r w:rsidR="00BB7F71" w:rsidRPr="00573CE9">
              <w:rPr>
                <w:color w:val="000000" w:themeColor="text1"/>
                <w:sz w:val="24"/>
                <w:szCs w:val="24"/>
              </w:rPr>
              <w:t xml:space="preserve"> </w:t>
            </w:r>
            <w:r w:rsidR="00BF565F" w:rsidRPr="00573CE9">
              <w:rPr>
                <w:color w:val="000000" w:themeColor="text1"/>
                <w:sz w:val="24"/>
                <w:szCs w:val="24"/>
              </w:rPr>
              <w:t xml:space="preserve">Ministru kabineta noteikumu projekts </w:t>
            </w:r>
            <w:r w:rsidR="00A83C9C" w:rsidRPr="00573CE9">
              <w:rPr>
                <w:color w:val="000000" w:themeColor="text1"/>
                <w:sz w:val="24"/>
                <w:szCs w:val="24"/>
              </w:rPr>
              <w:t>“</w:t>
            </w:r>
            <w:r w:rsidR="009A0E0A" w:rsidRPr="00573CE9">
              <w:rPr>
                <w:color w:val="2A2A2A"/>
                <w:sz w:val="24"/>
                <w:szCs w:val="24"/>
                <w:shd w:val="clear" w:color="auto" w:fill="FFFFFF"/>
              </w:rPr>
              <w:t>Noteikumi par garantijām saimnieciskās darbības veicējiem konkurētspējas uzlabošanai</w:t>
            </w:r>
            <w:r w:rsidR="00BF565F" w:rsidRPr="00573CE9">
              <w:rPr>
                <w:color w:val="000000" w:themeColor="text1"/>
                <w:sz w:val="24"/>
                <w:szCs w:val="24"/>
              </w:rPr>
              <w:t>”(VSS-1284</w:t>
            </w:r>
            <w:r w:rsidR="001D5F0D" w:rsidRPr="00573CE9">
              <w:rPr>
                <w:color w:val="000000" w:themeColor="text1"/>
                <w:sz w:val="24"/>
                <w:szCs w:val="24"/>
              </w:rPr>
              <w:t>, prot.Nr.1, 7.§</w:t>
            </w:r>
            <w:r w:rsidR="00BF565F" w:rsidRPr="00573CE9">
              <w:rPr>
                <w:color w:val="000000" w:themeColor="text1"/>
                <w:sz w:val="24"/>
                <w:szCs w:val="24"/>
              </w:rPr>
              <w:t>)</w:t>
            </w:r>
            <w:r w:rsidR="0032134F" w:rsidRPr="00573CE9">
              <w:rPr>
                <w:color w:val="000000" w:themeColor="text1"/>
                <w:sz w:val="24"/>
                <w:szCs w:val="24"/>
              </w:rPr>
              <w:t xml:space="preserve">, </w:t>
            </w:r>
            <w:r w:rsidR="00BB7F71" w:rsidRPr="00573CE9">
              <w:rPr>
                <w:color w:val="000000" w:themeColor="text1"/>
                <w:sz w:val="24"/>
                <w:szCs w:val="24"/>
              </w:rPr>
              <w:t xml:space="preserve">kas </w:t>
            </w:r>
            <w:r w:rsidR="0032134F" w:rsidRPr="00573CE9">
              <w:rPr>
                <w:color w:val="000000" w:themeColor="text1"/>
                <w:sz w:val="24"/>
                <w:szCs w:val="24"/>
              </w:rPr>
              <w:t>pared</w:t>
            </w:r>
            <w:r w:rsidR="00BB7F71" w:rsidRPr="00573CE9" w:rsidDel="00BB7F71">
              <w:rPr>
                <w:color w:val="000000" w:themeColor="text1"/>
                <w:sz w:val="24"/>
                <w:szCs w:val="24"/>
              </w:rPr>
              <w:t>z</w:t>
            </w:r>
            <w:r w:rsidR="0032134F" w:rsidRPr="00573CE9">
              <w:rPr>
                <w:color w:val="000000" w:themeColor="text1"/>
                <w:sz w:val="24"/>
                <w:szCs w:val="24"/>
              </w:rPr>
              <w:t xml:space="preserve">, </w:t>
            </w:r>
            <w:r w:rsidR="00BB7F71" w:rsidRPr="00573CE9">
              <w:rPr>
                <w:color w:val="000000" w:themeColor="text1"/>
                <w:sz w:val="24"/>
                <w:szCs w:val="24"/>
              </w:rPr>
              <w:t xml:space="preserve"> </w:t>
            </w:r>
            <w:r w:rsidR="002E2B1D" w:rsidRPr="00573CE9">
              <w:rPr>
                <w:color w:val="000000" w:themeColor="text1"/>
                <w:sz w:val="24"/>
                <w:szCs w:val="24"/>
              </w:rPr>
              <w:t xml:space="preserve">MK noteikumus Nr.997 izteikt jaunā redakcijā, svītrojot </w:t>
            </w:r>
            <w:r w:rsidRPr="00573CE9">
              <w:rPr>
                <w:color w:val="000000" w:themeColor="text1"/>
                <w:sz w:val="24"/>
                <w:szCs w:val="24"/>
              </w:rPr>
              <w:t>nosacījum</w:t>
            </w:r>
            <w:r w:rsidR="00BB7F71" w:rsidRPr="00573CE9">
              <w:rPr>
                <w:color w:val="000000" w:themeColor="text1"/>
                <w:sz w:val="24"/>
                <w:szCs w:val="24"/>
              </w:rPr>
              <w:t>us</w:t>
            </w:r>
            <w:r w:rsidR="0032134F" w:rsidRPr="00573CE9">
              <w:rPr>
                <w:color w:val="000000" w:themeColor="text1"/>
                <w:sz w:val="24"/>
                <w:szCs w:val="24"/>
              </w:rPr>
              <w:t>,</w:t>
            </w:r>
            <w:r w:rsidRPr="00573CE9">
              <w:rPr>
                <w:color w:val="000000" w:themeColor="text1"/>
                <w:sz w:val="24"/>
                <w:szCs w:val="24"/>
              </w:rPr>
              <w:t xml:space="preserve"> kas attiecas uz daudzdzīvokļu dzīvojamo māju energoefektivitātes paaugstināšanas pasākumu īstenošanu (1., 1.</w:t>
            </w:r>
            <w:r w:rsidRPr="00573CE9">
              <w:rPr>
                <w:color w:val="000000" w:themeColor="text1"/>
                <w:sz w:val="24"/>
                <w:szCs w:val="24"/>
                <w:vertAlign w:val="superscript"/>
              </w:rPr>
              <w:t>3</w:t>
            </w:r>
            <w:r w:rsidRPr="00573CE9">
              <w:rPr>
                <w:color w:val="000000" w:themeColor="text1"/>
                <w:sz w:val="24"/>
                <w:szCs w:val="24"/>
              </w:rPr>
              <w:t>, 2., 5., 10.</w:t>
            </w:r>
            <w:r w:rsidRPr="00573CE9">
              <w:rPr>
                <w:color w:val="000000" w:themeColor="text1"/>
                <w:sz w:val="24"/>
                <w:szCs w:val="24"/>
                <w:vertAlign w:val="superscript"/>
              </w:rPr>
              <w:t>1</w:t>
            </w:r>
            <w:r w:rsidRPr="00573CE9">
              <w:rPr>
                <w:color w:val="000000" w:themeColor="text1"/>
                <w:sz w:val="24"/>
                <w:szCs w:val="24"/>
              </w:rPr>
              <w:t>, 10.</w:t>
            </w:r>
            <w:r w:rsidRPr="00573CE9">
              <w:rPr>
                <w:color w:val="000000" w:themeColor="text1"/>
                <w:sz w:val="24"/>
                <w:szCs w:val="24"/>
                <w:vertAlign w:val="superscript"/>
              </w:rPr>
              <w:t>2</w:t>
            </w:r>
            <w:r w:rsidRPr="00573CE9">
              <w:rPr>
                <w:color w:val="000000" w:themeColor="text1"/>
                <w:sz w:val="24"/>
                <w:szCs w:val="24"/>
              </w:rPr>
              <w:t>, 10.</w:t>
            </w:r>
            <w:r w:rsidRPr="00573CE9">
              <w:rPr>
                <w:color w:val="000000" w:themeColor="text1"/>
                <w:sz w:val="24"/>
                <w:szCs w:val="24"/>
                <w:vertAlign w:val="superscript"/>
              </w:rPr>
              <w:t>3</w:t>
            </w:r>
            <w:r w:rsidRPr="00573CE9">
              <w:rPr>
                <w:color w:val="000000" w:themeColor="text1"/>
                <w:sz w:val="24"/>
                <w:szCs w:val="24"/>
              </w:rPr>
              <w:t xml:space="preserve"> un 13.</w:t>
            </w:r>
            <w:r w:rsidRPr="00573CE9">
              <w:rPr>
                <w:color w:val="000000" w:themeColor="text1"/>
                <w:sz w:val="24"/>
                <w:szCs w:val="24"/>
                <w:vertAlign w:val="superscript"/>
              </w:rPr>
              <w:t>1</w:t>
            </w:r>
            <w:r w:rsidRPr="00573CE9">
              <w:rPr>
                <w:color w:val="000000" w:themeColor="text1"/>
                <w:sz w:val="24"/>
                <w:szCs w:val="24"/>
              </w:rPr>
              <w:t xml:space="preserve"> punktos)</w:t>
            </w:r>
            <w:r w:rsidR="00BB7F71" w:rsidRPr="00573CE9">
              <w:rPr>
                <w:color w:val="000000" w:themeColor="text1"/>
                <w:sz w:val="24"/>
                <w:szCs w:val="24"/>
              </w:rPr>
              <w:t>.</w:t>
            </w:r>
            <w:r w:rsidR="0032134F" w:rsidRPr="00573CE9">
              <w:rPr>
                <w:color w:val="000000" w:themeColor="text1"/>
                <w:sz w:val="24"/>
                <w:szCs w:val="24"/>
              </w:rPr>
              <w:t xml:space="preserve"> </w:t>
            </w:r>
            <w:r w:rsidRPr="00573CE9">
              <w:rPr>
                <w:color w:val="000000" w:themeColor="text1"/>
                <w:sz w:val="24"/>
                <w:szCs w:val="24"/>
              </w:rPr>
              <w:t xml:space="preserve"> </w:t>
            </w:r>
            <w:r w:rsidR="001F7B2F" w:rsidRPr="00573CE9">
              <w:rPr>
                <w:color w:val="000000" w:themeColor="text1"/>
                <w:sz w:val="24"/>
                <w:szCs w:val="24"/>
              </w:rPr>
              <w:t>Ņemot vērā, ka</w:t>
            </w:r>
            <w:r w:rsidR="001F7B2F" w:rsidRPr="00573CE9">
              <w:t xml:space="preserve"> </w:t>
            </w:r>
            <w:r w:rsidR="001F7B2F" w:rsidRPr="00573CE9">
              <w:rPr>
                <w:color w:val="000000" w:themeColor="text1"/>
                <w:sz w:val="24"/>
                <w:szCs w:val="24"/>
              </w:rPr>
              <w:t>daudzdzīvokļu dzīvojamo māju energoefektivitātes paaugstināšanas pasākumu īstenošanu reglamentē MK noteikumi Nr.160, tad a</w:t>
            </w:r>
            <w:r w:rsidR="00BF6621" w:rsidRPr="00573CE9">
              <w:rPr>
                <w:color w:val="000000" w:themeColor="text1"/>
                <w:sz w:val="24"/>
                <w:szCs w:val="24"/>
              </w:rPr>
              <w:t xml:space="preserve">ttiecīgi, lai </w:t>
            </w:r>
            <w:r w:rsidR="009A0E0A" w:rsidRPr="00573CE9">
              <w:rPr>
                <w:color w:val="000000" w:themeColor="text1"/>
                <w:sz w:val="24"/>
                <w:szCs w:val="24"/>
              </w:rPr>
              <w:t xml:space="preserve">pakārtoti </w:t>
            </w:r>
            <w:r w:rsidR="00BF6621" w:rsidRPr="00573CE9">
              <w:rPr>
                <w:color w:val="000000" w:themeColor="text1"/>
                <w:sz w:val="24"/>
                <w:szCs w:val="24"/>
              </w:rPr>
              <w:t xml:space="preserve">nodrošinātu </w:t>
            </w:r>
            <w:r w:rsidR="001F7B2F" w:rsidRPr="00573CE9">
              <w:rPr>
                <w:color w:val="000000" w:themeColor="text1"/>
                <w:sz w:val="24"/>
                <w:szCs w:val="24"/>
              </w:rPr>
              <w:t>daudzdzīvokļu dzīvojamo māju energoefektivitātes paaugstināšanas pasākumu īstenošanai paredzēto garantiju</w:t>
            </w:r>
            <w:r w:rsidR="00BF565F" w:rsidRPr="00573CE9">
              <w:rPr>
                <w:color w:val="000000" w:themeColor="text1"/>
                <w:sz w:val="24"/>
                <w:szCs w:val="24"/>
              </w:rPr>
              <w:t xml:space="preserve"> nosacījum</w:t>
            </w:r>
            <w:r w:rsidR="00BF6621" w:rsidRPr="00573CE9">
              <w:rPr>
                <w:color w:val="000000" w:themeColor="text1"/>
                <w:sz w:val="24"/>
                <w:szCs w:val="24"/>
              </w:rPr>
              <w:t xml:space="preserve">u spēkā esamību un </w:t>
            </w:r>
            <w:r w:rsidR="009A0E0A" w:rsidRPr="00573CE9">
              <w:rPr>
                <w:color w:val="000000" w:themeColor="text1"/>
                <w:sz w:val="24"/>
                <w:szCs w:val="24"/>
              </w:rPr>
              <w:t xml:space="preserve">turpmāko </w:t>
            </w:r>
            <w:r w:rsidR="00BF6621" w:rsidRPr="00573CE9">
              <w:rPr>
                <w:color w:val="000000" w:themeColor="text1"/>
                <w:sz w:val="24"/>
                <w:szCs w:val="24"/>
              </w:rPr>
              <w:t>piemērošanu, tie</w:t>
            </w:r>
            <w:r w:rsidR="009A0E0A" w:rsidRPr="00573CE9">
              <w:rPr>
                <w:color w:val="000000" w:themeColor="text1"/>
                <w:sz w:val="24"/>
                <w:szCs w:val="24"/>
              </w:rPr>
              <w:t xml:space="preserve"> ir</w:t>
            </w:r>
            <w:r w:rsidR="00BF565F" w:rsidRPr="00573CE9">
              <w:rPr>
                <w:color w:val="000000" w:themeColor="text1"/>
                <w:sz w:val="24"/>
                <w:szCs w:val="24"/>
              </w:rPr>
              <w:t xml:space="preserve"> </w:t>
            </w:r>
            <w:r w:rsidRPr="00573CE9">
              <w:rPr>
                <w:color w:val="000000" w:themeColor="text1"/>
                <w:sz w:val="24"/>
                <w:szCs w:val="24"/>
              </w:rPr>
              <w:t>ietve</w:t>
            </w:r>
            <w:r w:rsidR="0032134F" w:rsidRPr="00573CE9">
              <w:rPr>
                <w:color w:val="000000" w:themeColor="text1"/>
                <w:sz w:val="24"/>
                <w:szCs w:val="24"/>
              </w:rPr>
              <w:t>rami</w:t>
            </w:r>
            <w:r w:rsidRPr="00573CE9">
              <w:rPr>
                <w:color w:val="000000" w:themeColor="text1"/>
                <w:sz w:val="24"/>
                <w:szCs w:val="24"/>
              </w:rPr>
              <w:t xml:space="preserve"> 4.2.1.1. pasākuma </w:t>
            </w:r>
            <w:r w:rsidR="004656D5" w:rsidRPr="00573CE9">
              <w:rPr>
                <w:color w:val="000000" w:themeColor="text1"/>
                <w:sz w:val="24"/>
                <w:szCs w:val="24"/>
              </w:rPr>
              <w:t>īstenošanu regulējošajos Ministru kabineta</w:t>
            </w:r>
            <w:r w:rsidRPr="00573CE9">
              <w:rPr>
                <w:color w:val="000000" w:themeColor="text1"/>
                <w:sz w:val="24"/>
                <w:szCs w:val="24"/>
              </w:rPr>
              <w:t xml:space="preserve"> noteikumos</w:t>
            </w:r>
            <w:r w:rsidR="004656D5" w:rsidRPr="00573CE9">
              <w:rPr>
                <w:color w:val="000000" w:themeColor="text1"/>
                <w:sz w:val="24"/>
                <w:szCs w:val="24"/>
              </w:rPr>
              <w:t xml:space="preserve"> (MK noteikumos Nr.160)</w:t>
            </w:r>
            <w:r w:rsidRPr="00573CE9">
              <w:rPr>
                <w:color w:val="000000" w:themeColor="text1"/>
                <w:sz w:val="24"/>
                <w:szCs w:val="24"/>
              </w:rPr>
              <w:t>.</w:t>
            </w:r>
          </w:p>
          <w:p w14:paraId="63089011" w14:textId="09DBE322" w:rsidR="004656D5" w:rsidRPr="00573CE9" w:rsidRDefault="00BF565F" w:rsidP="0032134F">
            <w:pPr>
              <w:pStyle w:val="ListParagraph"/>
              <w:ind w:left="0" w:firstLine="533"/>
              <w:jc w:val="both"/>
              <w:rPr>
                <w:color w:val="000000" w:themeColor="text1"/>
                <w:sz w:val="24"/>
                <w:szCs w:val="24"/>
              </w:rPr>
            </w:pPr>
            <w:r w:rsidRPr="00573CE9">
              <w:rPr>
                <w:color w:val="000000" w:themeColor="text1"/>
                <w:sz w:val="24"/>
                <w:szCs w:val="24"/>
              </w:rPr>
              <w:t xml:space="preserve">Tādējādi, </w:t>
            </w:r>
            <w:r w:rsidR="004656D5" w:rsidRPr="00573CE9">
              <w:rPr>
                <w:color w:val="000000" w:themeColor="text1"/>
                <w:sz w:val="24"/>
                <w:szCs w:val="24"/>
              </w:rPr>
              <w:t xml:space="preserve">ņemot vērā ierosinātās izmaiņas MK noteikumos Nr.997, Noteikumu projekts paredz MK Noteikumus Nr.160 papildināt ar </w:t>
            </w:r>
            <w:r w:rsidR="004656D5" w:rsidRPr="00573CE9">
              <w:rPr>
                <w:iCs/>
                <w:color w:val="000000" w:themeColor="text1"/>
                <w:sz w:val="24"/>
                <w:szCs w:val="24"/>
              </w:rPr>
              <w:t xml:space="preserve">daudzdzīvokļu dzīvojamo māju energoefektivitātes paaugstināšanas pasākumu īstenošanai paredzēto garantiju </w:t>
            </w:r>
            <w:r w:rsidR="004656D5" w:rsidRPr="00573CE9">
              <w:rPr>
                <w:color w:val="000000" w:themeColor="text1"/>
                <w:sz w:val="24"/>
                <w:szCs w:val="24"/>
              </w:rPr>
              <w:t>nosacījumiem</w:t>
            </w:r>
            <w:r w:rsidR="000F0AED" w:rsidRPr="00573CE9">
              <w:rPr>
                <w:color w:val="000000" w:themeColor="text1"/>
                <w:sz w:val="24"/>
                <w:szCs w:val="24"/>
              </w:rPr>
              <w:t>.</w:t>
            </w:r>
          </w:p>
          <w:p w14:paraId="392268AE" w14:textId="4BAD0D1D" w:rsidR="00D73E44" w:rsidRPr="00D73E44" w:rsidRDefault="0041132E" w:rsidP="00D73E44">
            <w:pPr>
              <w:pStyle w:val="ListParagraph"/>
              <w:ind w:left="0" w:firstLine="533"/>
              <w:jc w:val="both"/>
              <w:rPr>
                <w:color w:val="000000" w:themeColor="text1"/>
                <w:sz w:val="24"/>
                <w:szCs w:val="24"/>
              </w:rPr>
            </w:pPr>
            <w:r w:rsidRPr="00573CE9">
              <w:rPr>
                <w:color w:val="000000" w:themeColor="text1"/>
                <w:sz w:val="24"/>
                <w:szCs w:val="24"/>
              </w:rPr>
              <w:t>Garantiju s</w:t>
            </w:r>
            <w:r w:rsidR="00317A38" w:rsidRPr="00573CE9">
              <w:rPr>
                <w:color w:val="000000" w:themeColor="text1"/>
                <w:sz w:val="24"/>
                <w:szCs w:val="24"/>
              </w:rPr>
              <w:t xml:space="preserve">ubsīdijas ekvivalents </w:t>
            </w:r>
            <w:r w:rsidRPr="00573CE9">
              <w:rPr>
                <w:color w:val="000000" w:themeColor="text1"/>
                <w:sz w:val="24"/>
                <w:szCs w:val="24"/>
              </w:rPr>
              <w:t xml:space="preserve">4.2.1.1.pasākuma ietvaros </w:t>
            </w:r>
            <w:r w:rsidR="00317A38" w:rsidRPr="00573CE9">
              <w:rPr>
                <w:color w:val="000000" w:themeColor="text1"/>
                <w:sz w:val="24"/>
                <w:szCs w:val="24"/>
              </w:rPr>
              <w:t>tiek aprēķināts saskaņā ar Komisijas regulas Nr.  1407/2013 4. panta 6. punkta "c" apakšpunktu – t.i. kā starpība starp drošo zonas prēmijas likmi</w:t>
            </w:r>
            <w:r w:rsidRPr="00573CE9">
              <w:rPr>
                <w:color w:val="000000" w:themeColor="text1"/>
                <w:sz w:val="24"/>
                <w:szCs w:val="24"/>
              </w:rPr>
              <w:t xml:space="preserve"> (saskaņā ar MK noteikumu Nr.160 2.pielikumu)</w:t>
            </w:r>
            <w:r w:rsidR="00317A38" w:rsidRPr="00573CE9">
              <w:rPr>
                <w:color w:val="000000" w:themeColor="text1"/>
                <w:sz w:val="24"/>
                <w:szCs w:val="24"/>
              </w:rPr>
              <w:t>, kas noteikta Komisijas paziņojumā par EK līguma 87. un 88. panta piemērošanu valsts atbalstam garantiju veidā un  4.2.1.1.pasākumā noteikto prēmijas likmi 0,65 %</w:t>
            </w:r>
            <w:r w:rsidR="008E3BBF" w:rsidRPr="00573CE9">
              <w:rPr>
                <w:color w:val="000000" w:themeColor="text1"/>
                <w:sz w:val="24"/>
                <w:szCs w:val="24"/>
              </w:rPr>
              <w:t xml:space="preserve"> apmērā.</w:t>
            </w:r>
            <w:r w:rsidR="00D73E44" w:rsidRPr="00D73E44">
              <w:rPr>
                <w:color w:val="000000" w:themeColor="text1"/>
                <w:sz w:val="24"/>
                <w:szCs w:val="24"/>
              </w:rPr>
              <w:t>.</w:t>
            </w:r>
          </w:p>
          <w:p w14:paraId="46218122" w14:textId="593A3C80" w:rsidR="00FF48DE" w:rsidRPr="00573CE9" w:rsidRDefault="005D1377" w:rsidP="00837CC9">
            <w:pPr>
              <w:pStyle w:val="ListParagraph"/>
              <w:ind w:left="0" w:firstLine="533"/>
              <w:jc w:val="both"/>
              <w:rPr>
                <w:color w:val="000000" w:themeColor="text1"/>
                <w:sz w:val="24"/>
                <w:szCs w:val="24"/>
              </w:rPr>
            </w:pPr>
            <w:r>
              <w:rPr>
                <w:color w:val="000000" w:themeColor="text1"/>
                <w:sz w:val="24"/>
                <w:szCs w:val="24"/>
              </w:rPr>
              <w:t>G</w:t>
            </w:r>
            <w:r w:rsidR="00FF48DE" w:rsidRPr="00FF48DE">
              <w:rPr>
                <w:color w:val="000000" w:themeColor="text1"/>
                <w:sz w:val="24"/>
                <w:szCs w:val="24"/>
              </w:rPr>
              <w:t xml:space="preserve">arantija tiek izsniegta saskaņā ar Komisijas regulas Nr. </w:t>
            </w:r>
            <w:r w:rsidR="00AA57EF">
              <w:rPr>
                <w:color w:val="000000" w:themeColor="text1"/>
                <w:sz w:val="24"/>
                <w:szCs w:val="24"/>
              </w:rPr>
              <w:t> </w:t>
            </w:r>
            <w:r w:rsidR="00FF48DE" w:rsidRPr="00FF48DE">
              <w:rPr>
                <w:color w:val="000000" w:themeColor="text1"/>
                <w:sz w:val="24"/>
                <w:szCs w:val="24"/>
              </w:rPr>
              <w:t>1407/2013 4.</w:t>
            </w:r>
            <w:r w:rsidR="00AA57EF">
              <w:rPr>
                <w:color w:val="000000" w:themeColor="text1"/>
                <w:sz w:val="24"/>
                <w:szCs w:val="24"/>
              </w:rPr>
              <w:t> </w:t>
            </w:r>
            <w:r w:rsidR="00FF48DE" w:rsidRPr="00FF48DE">
              <w:rPr>
                <w:color w:val="000000" w:themeColor="text1"/>
                <w:sz w:val="24"/>
                <w:szCs w:val="24"/>
              </w:rPr>
              <w:t>panta 6. punkta "c" apakšpunktu</w:t>
            </w:r>
            <w:r w:rsidR="00247DA1" w:rsidRPr="00FF48DE">
              <w:rPr>
                <w:color w:val="000000" w:themeColor="text1"/>
                <w:sz w:val="24"/>
                <w:szCs w:val="24"/>
              </w:rPr>
              <w:t xml:space="preserve"> mazajiem un vidējiem uzņēmumiem (turpmāk – MVU</w:t>
            </w:r>
            <w:r w:rsidR="00247DA1">
              <w:rPr>
                <w:color w:val="000000" w:themeColor="text1"/>
                <w:sz w:val="24"/>
                <w:szCs w:val="24"/>
              </w:rPr>
              <w:t>)</w:t>
            </w:r>
            <w:r>
              <w:rPr>
                <w:color w:val="000000" w:themeColor="text1"/>
                <w:sz w:val="24"/>
                <w:szCs w:val="24"/>
              </w:rPr>
              <w:t>, s</w:t>
            </w:r>
            <w:r w:rsidR="00FF48DE" w:rsidRPr="00FF48DE">
              <w:rPr>
                <w:color w:val="000000" w:themeColor="text1"/>
                <w:sz w:val="24"/>
                <w:szCs w:val="24"/>
              </w:rPr>
              <w:t>avukārt</w:t>
            </w:r>
            <w:r>
              <w:rPr>
                <w:color w:val="000000" w:themeColor="text1"/>
                <w:sz w:val="24"/>
                <w:szCs w:val="24"/>
              </w:rPr>
              <w:t xml:space="preserve"> lielajiem saimnieciskās darbības veicējiem</w:t>
            </w:r>
            <w:r w:rsidRPr="00FF48DE">
              <w:rPr>
                <w:color w:val="000000" w:themeColor="text1"/>
                <w:sz w:val="24"/>
                <w:szCs w:val="24"/>
              </w:rPr>
              <w:t xml:space="preserve"> </w:t>
            </w:r>
            <w:r w:rsidR="006B7143">
              <w:rPr>
                <w:color w:val="000000" w:themeColor="text1"/>
                <w:sz w:val="24"/>
                <w:szCs w:val="24"/>
              </w:rPr>
              <w:t xml:space="preserve">tā </w:t>
            </w:r>
            <w:r w:rsidR="00FF48DE" w:rsidRPr="00FF48DE">
              <w:rPr>
                <w:color w:val="000000" w:themeColor="text1"/>
                <w:sz w:val="24"/>
                <w:szCs w:val="24"/>
              </w:rPr>
              <w:t>tiek sniegta saskaņā ar Komisijas regulas Nr.1407/2013 4.</w:t>
            </w:r>
            <w:r w:rsidR="00AA57EF">
              <w:rPr>
                <w:color w:val="000000" w:themeColor="text1"/>
                <w:sz w:val="24"/>
                <w:szCs w:val="24"/>
              </w:rPr>
              <w:t> </w:t>
            </w:r>
            <w:r w:rsidR="00FF48DE" w:rsidRPr="00FF48DE">
              <w:rPr>
                <w:color w:val="000000" w:themeColor="text1"/>
                <w:sz w:val="24"/>
                <w:szCs w:val="24"/>
              </w:rPr>
              <w:t>panta 6.</w:t>
            </w:r>
            <w:r w:rsidR="00AA57EF">
              <w:rPr>
                <w:color w:val="000000" w:themeColor="text1"/>
                <w:sz w:val="24"/>
                <w:szCs w:val="24"/>
              </w:rPr>
              <w:t> </w:t>
            </w:r>
            <w:r w:rsidR="00FF48DE" w:rsidRPr="00FF48DE">
              <w:rPr>
                <w:color w:val="000000" w:themeColor="text1"/>
                <w:sz w:val="24"/>
                <w:szCs w:val="24"/>
              </w:rPr>
              <w:t>punkta "b" apakšpunktu</w:t>
            </w:r>
            <w:r>
              <w:rPr>
                <w:color w:val="000000" w:themeColor="text1"/>
                <w:sz w:val="24"/>
                <w:szCs w:val="24"/>
              </w:rPr>
              <w:t xml:space="preserve">, ar garantijas termiņu </w:t>
            </w:r>
            <w:r w:rsidR="006B7143">
              <w:rPr>
                <w:color w:val="000000" w:themeColor="text1"/>
                <w:sz w:val="24"/>
                <w:szCs w:val="24"/>
              </w:rPr>
              <w:t xml:space="preserve">5 </w:t>
            </w:r>
            <w:r w:rsidR="00247DA1">
              <w:rPr>
                <w:color w:val="000000" w:themeColor="text1"/>
                <w:sz w:val="24"/>
                <w:szCs w:val="24"/>
              </w:rPr>
              <w:t>vai 10 gadi</w:t>
            </w:r>
            <w:r w:rsidR="00FF48DE" w:rsidRPr="00FF48DE">
              <w:rPr>
                <w:color w:val="000000" w:themeColor="text1"/>
                <w:sz w:val="24"/>
                <w:szCs w:val="24"/>
              </w:rPr>
              <w:t>. Ja tiek lūgts pagarināt sabiedrības "</w:t>
            </w:r>
            <w:proofErr w:type="spellStart"/>
            <w:r w:rsidR="00FF48DE" w:rsidRPr="00FF48DE">
              <w:rPr>
                <w:color w:val="000000" w:themeColor="text1"/>
                <w:sz w:val="24"/>
                <w:szCs w:val="24"/>
              </w:rPr>
              <w:t>Altum</w:t>
            </w:r>
            <w:proofErr w:type="spellEnd"/>
            <w:r w:rsidR="00FF48DE" w:rsidRPr="00FF48DE">
              <w:rPr>
                <w:color w:val="000000" w:themeColor="text1"/>
                <w:sz w:val="24"/>
                <w:szCs w:val="24"/>
              </w:rPr>
              <w:t>" iepriekš izsniegtas garantijas termiņu, sabiedrība “</w:t>
            </w:r>
            <w:proofErr w:type="spellStart"/>
            <w:r w:rsidR="00FF48DE" w:rsidRPr="00FF48DE">
              <w:rPr>
                <w:color w:val="000000" w:themeColor="text1"/>
                <w:sz w:val="24"/>
                <w:szCs w:val="24"/>
              </w:rPr>
              <w:t>Altum</w:t>
            </w:r>
            <w:proofErr w:type="spellEnd"/>
            <w:r w:rsidR="00FF48DE" w:rsidRPr="00FF48DE">
              <w:rPr>
                <w:color w:val="000000" w:themeColor="text1"/>
                <w:sz w:val="24"/>
                <w:szCs w:val="24"/>
              </w:rPr>
              <w:t xml:space="preserve">” </w:t>
            </w:r>
            <w:r>
              <w:rPr>
                <w:color w:val="000000" w:themeColor="text1"/>
                <w:sz w:val="24"/>
                <w:szCs w:val="24"/>
              </w:rPr>
              <w:t xml:space="preserve">veic </w:t>
            </w:r>
            <w:proofErr w:type="spellStart"/>
            <w:r>
              <w:rPr>
                <w:color w:val="000000" w:themeColor="text1"/>
                <w:sz w:val="24"/>
                <w:szCs w:val="24"/>
              </w:rPr>
              <w:t>izvērtējumu</w:t>
            </w:r>
            <w:proofErr w:type="spellEnd"/>
            <w:r>
              <w:rPr>
                <w:color w:val="000000" w:themeColor="text1"/>
                <w:sz w:val="24"/>
                <w:szCs w:val="24"/>
              </w:rPr>
              <w:t xml:space="preserve"> </w:t>
            </w:r>
            <w:r w:rsidRPr="00433477">
              <w:rPr>
                <w:color w:val="000000" w:themeColor="text1"/>
                <w:sz w:val="24"/>
                <w:szCs w:val="24"/>
              </w:rPr>
              <w:t xml:space="preserve">saskaņā ar Kredītpolitiku un </w:t>
            </w:r>
            <w:r w:rsidR="006B7143">
              <w:rPr>
                <w:color w:val="000000" w:themeColor="text1"/>
                <w:sz w:val="24"/>
                <w:szCs w:val="24"/>
              </w:rPr>
              <w:t xml:space="preserve">izvērtē </w:t>
            </w:r>
            <w:r w:rsidRPr="00433477">
              <w:rPr>
                <w:color w:val="000000" w:themeColor="text1"/>
                <w:sz w:val="24"/>
                <w:szCs w:val="24"/>
              </w:rPr>
              <w:t>visu</w:t>
            </w:r>
            <w:r w:rsidR="006B7143">
              <w:rPr>
                <w:color w:val="000000" w:themeColor="text1"/>
                <w:sz w:val="24"/>
                <w:szCs w:val="24"/>
              </w:rPr>
              <w:t>s</w:t>
            </w:r>
            <w:r w:rsidRPr="00433477">
              <w:rPr>
                <w:color w:val="000000" w:themeColor="text1"/>
                <w:sz w:val="24"/>
                <w:szCs w:val="24"/>
              </w:rPr>
              <w:t xml:space="preserve"> risku</w:t>
            </w:r>
            <w:r w:rsidR="006B7143">
              <w:rPr>
                <w:color w:val="000000" w:themeColor="text1"/>
                <w:sz w:val="24"/>
                <w:szCs w:val="24"/>
              </w:rPr>
              <w:t>s</w:t>
            </w:r>
            <w:r>
              <w:rPr>
                <w:color w:val="000000" w:themeColor="text1"/>
                <w:sz w:val="24"/>
                <w:szCs w:val="24"/>
              </w:rPr>
              <w:t>, kā arī</w:t>
            </w:r>
            <w:r w:rsidRPr="00FF48DE">
              <w:rPr>
                <w:color w:val="000000" w:themeColor="text1"/>
                <w:sz w:val="24"/>
                <w:szCs w:val="24"/>
              </w:rPr>
              <w:t xml:space="preserve"> </w:t>
            </w:r>
            <w:r w:rsidR="00FF48DE" w:rsidRPr="00FF48DE">
              <w:rPr>
                <w:color w:val="000000" w:themeColor="text1"/>
                <w:sz w:val="24"/>
                <w:szCs w:val="24"/>
              </w:rPr>
              <w:t xml:space="preserve">no jauna izvērtē un pārbauda </w:t>
            </w:r>
            <w:proofErr w:type="spellStart"/>
            <w:r w:rsidR="00FF48DE" w:rsidRPr="00FF48DE">
              <w:rPr>
                <w:i/>
                <w:iCs/>
                <w:color w:val="000000" w:themeColor="text1"/>
                <w:sz w:val="24"/>
                <w:szCs w:val="24"/>
              </w:rPr>
              <w:t>de</w:t>
            </w:r>
            <w:proofErr w:type="spellEnd"/>
            <w:r w:rsidR="00FF48DE" w:rsidRPr="00FF48DE">
              <w:rPr>
                <w:i/>
                <w:iCs/>
                <w:color w:val="000000" w:themeColor="text1"/>
                <w:sz w:val="24"/>
                <w:szCs w:val="24"/>
              </w:rPr>
              <w:t xml:space="preserve"> </w:t>
            </w:r>
            <w:proofErr w:type="spellStart"/>
            <w:r w:rsidR="00FF48DE" w:rsidRPr="00FF48DE">
              <w:rPr>
                <w:i/>
                <w:iCs/>
                <w:color w:val="000000" w:themeColor="text1"/>
                <w:sz w:val="24"/>
                <w:szCs w:val="24"/>
              </w:rPr>
              <w:lastRenderedPageBreak/>
              <w:t>minimis</w:t>
            </w:r>
            <w:proofErr w:type="spellEnd"/>
            <w:r w:rsidR="00FF48DE" w:rsidRPr="00FF48DE">
              <w:rPr>
                <w:color w:val="000000" w:themeColor="text1"/>
                <w:sz w:val="24"/>
                <w:szCs w:val="24"/>
              </w:rPr>
              <w:t xml:space="preserve"> atbalsta nosacījumus, attiecīgi MVU </w:t>
            </w:r>
            <w:r w:rsidR="00F63220">
              <w:rPr>
                <w:color w:val="000000" w:themeColor="text1"/>
                <w:sz w:val="24"/>
                <w:szCs w:val="24"/>
              </w:rPr>
              <w:t xml:space="preserve">un lielajam saimnieciskās darbības veicējam </w:t>
            </w:r>
            <w:r w:rsidR="00FF48DE" w:rsidRPr="00FF48DE">
              <w:rPr>
                <w:color w:val="000000" w:themeColor="text1"/>
                <w:sz w:val="24"/>
                <w:szCs w:val="24"/>
              </w:rPr>
              <w:t xml:space="preserve">piešķirot jaunu </w:t>
            </w:r>
            <w:proofErr w:type="spellStart"/>
            <w:r w:rsidR="00F63220" w:rsidRPr="00F63220">
              <w:rPr>
                <w:i/>
                <w:iCs/>
                <w:color w:val="000000" w:themeColor="text1"/>
                <w:sz w:val="24"/>
                <w:szCs w:val="24"/>
              </w:rPr>
              <w:t>de</w:t>
            </w:r>
            <w:proofErr w:type="spellEnd"/>
            <w:r w:rsidR="00F63220" w:rsidRPr="00F63220">
              <w:rPr>
                <w:i/>
                <w:iCs/>
                <w:color w:val="000000" w:themeColor="text1"/>
                <w:sz w:val="24"/>
                <w:szCs w:val="24"/>
              </w:rPr>
              <w:t xml:space="preserve"> </w:t>
            </w:r>
            <w:proofErr w:type="spellStart"/>
            <w:r w:rsidR="00F63220" w:rsidRPr="00F63220">
              <w:rPr>
                <w:i/>
                <w:iCs/>
                <w:color w:val="000000" w:themeColor="text1"/>
                <w:sz w:val="24"/>
                <w:szCs w:val="24"/>
              </w:rPr>
              <w:t>minimis</w:t>
            </w:r>
            <w:proofErr w:type="spellEnd"/>
            <w:r w:rsidR="00FF48DE" w:rsidRPr="00FF48DE">
              <w:rPr>
                <w:color w:val="000000" w:themeColor="text1"/>
                <w:sz w:val="24"/>
                <w:szCs w:val="24"/>
              </w:rPr>
              <w:t xml:space="preserve"> atbalstu</w:t>
            </w:r>
            <w:r w:rsidR="006B7143">
              <w:rPr>
                <w:color w:val="000000" w:themeColor="text1"/>
                <w:sz w:val="24"/>
                <w:szCs w:val="24"/>
              </w:rPr>
              <w:t xml:space="preserve">, attiecīgi </w:t>
            </w:r>
            <w:r>
              <w:rPr>
                <w:color w:val="000000" w:themeColor="text1"/>
                <w:sz w:val="24"/>
                <w:szCs w:val="24"/>
              </w:rPr>
              <w:t>vei</w:t>
            </w:r>
            <w:r w:rsidR="006B7143">
              <w:rPr>
                <w:color w:val="000000" w:themeColor="text1"/>
                <w:sz w:val="24"/>
                <w:szCs w:val="24"/>
              </w:rPr>
              <w:t>cot arī</w:t>
            </w:r>
            <w:r>
              <w:rPr>
                <w:color w:val="000000" w:themeColor="text1"/>
                <w:sz w:val="24"/>
                <w:szCs w:val="24"/>
              </w:rPr>
              <w:t xml:space="preserve"> subsīdijas ekvivalenta aprēķinu</w:t>
            </w:r>
            <w:r w:rsidR="00FF48DE" w:rsidRPr="00FF48DE">
              <w:rPr>
                <w:color w:val="000000" w:themeColor="text1"/>
                <w:sz w:val="24"/>
                <w:szCs w:val="24"/>
              </w:rPr>
              <w:t>.</w:t>
            </w:r>
            <w:r w:rsidR="00837CC9">
              <w:rPr>
                <w:color w:val="000000" w:themeColor="text1"/>
                <w:sz w:val="24"/>
                <w:szCs w:val="24"/>
              </w:rPr>
              <w:t xml:space="preserve"> </w:t>
            </w:r>
            <w:r w:rsidR="006B7143">
              <w:rPr>
                <w:color w:val="000000" w:themeColor="text1"/>
                <w:sz w:val="24"/>
                <w:szCs w:val="24"/>
              </w:rPr>
              <w:t xml:space="preserve">Veicot iepriekšminētos </w:t>
            </w:r>
            <w:proofErr w:type="spellStart"/>
            <w:r w:rsidR="006B7143">
              <w:rPr>
                <w:color w:val="000000" w:themeColor="text1"/>
                <w:sz w:val="24"/>
                <w:szCs w:val="24"/>
              </w:rPr>
              <w:t>izvērtējumus</w:t>
            </w:r>
            <w:proofErr w:type="spellEnd"/>
            <w:r w:rsidR="00837CC9">
              <w:rPr>
                <w:color w:val="000000" w:themeColor="text1"/>
                <w:sz w:val="24"/>
                <w:szCs w:val="24"/>
              </w:rPr>
              <w:t xml:space="preserve"> </w:t>
            </w:r>
            <w:r w:rsidR="00FF48DE" w:rsidRPr="00433477">
              <w:rPr>
                <w:color w:val="000000" w:themeColor="text1"/>
                <w:sz w:val="24"/>
                <w:szCs w:val="24"/>
              </w:rPr>
              <w:t>garantijai ir iespējams garāks termiņš</w:t>
            </w:r>
            <w:r w:rsidR="006B7143">
              <w:rPr>
                <w:color w:val="000000" w:themeColor="text1"/>
                <w:sz w:val="24"/>
                <w:szCs w:val="24"/>
              </w:rPr>
              <w:t>, vienlaikus</w:t>
            </w:r>
            <w:r w:rsidR="00FF48DE" w:rsidRPr="00433477">
              <w:rPr>
                <w:color w:val="000000" w:themeColor="text1"/>
                <w:sz w:val="24"/>
                <w:szCs w:val="24"/>
              </w:rPr>
              <w:t xml:space="preserve"> </w:t>
            </w:r>
            <w:r w:rsidR="00837CC9">
              <w:rPr>
                <w:color w:val="000000" w:themeColor="text1"/>
                <w:sz w:val="24"/>
                <w:szCs w:val="24"/>
              </w:rPr>
              <w:t xml:space="preserve">nepārsniedzot </w:t>
            </w:r>
            <w:r w:rsidR="006B7143">
              <w:rPr>
                <w:color w:val="000000" w:themeColor="text1"/>
                <w:sz w:val="24"/>
                <w:szCs w:val="24"/>
              </w:rPr>
              <w:t>MK n</w:t>
            </w:r>
            <w:r w:rsidR="00FF48DE" w:rsidRPr="00433477">
              <w:rPr>
                <w:color w:val="000000" w:themeColor="text1"/>
                <w:sz w:val="24"/>
                <w:szCs w:val="24"/>
              </w:rPr>
              <w:t>oteikumos</w:t>
            </w:r>
            <w:r w:rsidR="006B7143">
              <w:rPr>
                <w:color w:val="000000" w:themeColor="text1"/>
                <w:sz w:val="24"/>
                <w:szCs w:val="24"/>
              </w:rPr>
              <w:t xml:space="preserve"> Nr. 160</w:t>
            </w:r>
            <w:r w:rsidR="00FF48DE" w:rsidRPr="00433477">
              <w:rPr>
                <w:color w:val="000000" w:themeColor="text1"/>
                <w:sz w:val="24"/>
                <w:szCs w:val="24"/>
              </w:rPr>
              <w:t xml:space="preserve"> noteikt</w:t>
            </w:r>
            <w:r w:rsidR="00837CC9">
              <w:rPr>
                <w:color w:val="000000" w:themeColor="text1"/>
                <w:sz w:val="24"/>
                <w:szCs w:val="24"/>
              </w:rPr>
              <w:t>o</w:t>
            </w:r>
            <w:r w:rsidR="009649C0">
              <w:rPr>
                <w:color w:val="000000" w:themeColor="text1"/>
                <w:sz w:val="24"/>
                <w:szCs w:val="24"/>
              </w:rPr>
              <w:t xml:space="preserve"> </w:t>
            </w:r>
            <w:r w:rsidR="006B7143">
              <w:rPr>
                <w:color w:val="000000" w:themeColor="text1"/>
                <w:sz w:val="24"/>
                <w:szCs w:val="24"/>
              </w:rPr>
              <w:t xml:space="preserve">maksimālo garantijas termiņu </w:t>
            </w:r>
            <w:r w:rsidR="009649C0">
              <w:rPr>
                <w:color w:val="000000" w:themeColor="text1"/>
                <w:sz w:val="24"/>
                <w:szCs w:val="24"/>
              </w:rPr>
              <w:t>(</w:t>
            </w:r>
            <w:r w:rsidR="00CE5030">
              <w:rPr>
                <w:color w:val="000000" w:themeColor="text1"/>
                <w:sz w:val="24"/>
                <w:szCs w:val="24"/>
              </w:rPr>
              <w:t>2</w:t>
            </w:r>
            <w:r w:rsidR="00FF48DE" w:rsidRPr="00433477">
              <w:rPr>
                <w:color w:val="000000" w:themeColor="text1"/>
                <w:sz w:val="24"/>
                <w:szCs w:val="24"/>
              </w:rPr>
              <w:t>0</w:t>
            </w:r>
            <w:r w:rsidR="00837CC9">
              <w:rPr>
                <w:color w:val="000000" w:themeColor="text1"/>
                <w:sz w:val="24"/>
                <w:szCs w:val="24"/>
              </w:rPr>
              <w:t xml:space="preserve"> gad</w:t>
            </w:r>
            <w:r w:rsidR="009649C0">
              <w:rPr>
                <w:color w:val="000000" w:themeColor="text1"/>
                <w:sz w:val="24"/>
                <w:szCs w:val="24"/>
              </w:rPr>
              <w:t>i)</w:t>
            </w:r>
            <w:r w:rsidR="00FF48DE" w:rsidRPr="00433477">
              <w:rPr>
                <w:color w:val="000000" w:themeColor="text1"/>
                <w:sz w:val="24"/>
                <w:szCs w:val="24"/>
              </w:rPr>
              <w:t xml:space="preserve">. </w:t>
            </w:r>
          </w:p>
          <w:p w14:paraId="0E7694B1" w14:textId="77777777" w:rsidR="00E86DB9" w:rsidRPr="00573CE9" w:rsidRDefault="00E86DB9" w:rsidP="0032134F">
            <w:pPr>
              <w:pStyle w:val="ListParagraph"/>
              <w:ind w:left="0" w:firstLine="533"/>
              <w:jc w:val="both"/>
              <w:rPr>
                <w:color w:val="000000" w:themeColor="text1"/>
                <w:sz w:val="24"/>
                <w:szCs w:val="24"/>
              </w:rPr>
            </w:pPr>
          </w:p>
          <w:p w14:paraId="6CB8A18E" w14:textId="512C8189" w:rsidR="00CD2F80" w:rsidRPr="00573CE9" w:rsidRDefault="00CD2F80" w:rsidP="00CD2F80">
            <w:pPr>
              <w:pStyle w:val="ListParagraph"/>
              <w:numPr>
                <w:ilvl w:val="0"/>
                <w:numId w:val="2"/>
              </w:numPr>
              <w:ind w:left="36" w:firstLine="283"/>
              <w:jc w:val="both"/>
              <w:rPr>
                <w:color w:val="000000" w:themeColor="text1"/>
                <w:sz w:val="24"/>
                <w:szCs w:val="24"/>
              </w:rPr>
            </w:pPr>
            <w:r w:rsidRPr="00573CE9">
              <w:rPr>
                <w:b/>
                <w:bCs/>
                <w:i/>
                <w:iCs/>
                <w:color w:val="000000" w:themeColor="text1"/>
                <w:sz w:val="24"/>
                <w:szCs w:val="24"/>
                <w:u w:val="single"/>
              </w:rPr>
              <w:t xml:space="preserve">Noteikt, ka, </w:t>
            </w:r>
            <w:r w:rsidR="0099670C" w:rsidRPr="00573CE9">
              <w:rPr>
                <w:b/>
                <w:bCs/>
                <w:i/>
                <w:iCs/>
                <w:color w:val="000000" w:themeColor="text1"/>
                <w:sz w:val="24"/>
                <w:szCs w:val="24"/>
                <w:u w:val="single"/>
              </w:rPr>
              <w:t xml:space="preserve">izvēloties būvkomersantu, atlases nolikumā kā </w:t>
            </w:r>
            <w:r w:rsidR="00BB37C3">
              <w:rPr>
                <w:b/>
                <w:bCs/>
                <w:i/>
                <w:iCs/>
                <w:color w:val="000000" w:themeColor="text1"/>
                <w:sz w:val="24"/>
                <w:szCs w:val="24"/>
                <w:u w:val="single"/>
              </w:rPr>
              <w:t>vērtēšanas</w:t>
            </w:r>
            <w:r w:rsidR="0099670C" w:rsidRPr="00573CE9">
              <w:rPr>
                <w:b/>
                <w:bCs/>
                <w:i/>
                <w:iCs/>
                <w:color w:val="000000" w:themeColor="text1"/>
                <w:sz w:val="24"/>
                <w:szCs w:val="24"/>
                <w:u w:val="single"/>
              </w:rPr>
              <w:t xml:space="preserve"> kritēriju nedrīk</w:t>
            </w:r>
            <w:r w:rsidR="003F2084" w:rsidRPr="00573CE9">
              <w:rPr>
                <w:b/>
                <w:bCs/>
                <w:i/>
                <w:iCs/>
                <w:color w:val="000000" w:themeColor="text1"/>
                <w:sz w:val="24"/>
                <w:szCs w:val="24"/>
                <w:u w:val="single"/>
              </w:rPr>
              <w:t>st noteikt</w:t>
            </w:r>
            <w:r w:rsidR="0099670C" w:rsidRPr="00573CE9">
              <w:rPr>
                <w:b/>
                <w:bCs/>
                <w:i/>
                <w:iCs/>
                <w:color w:val="000000" w:themeColor="text1"/>
                <w:sz w:val="24"/>
                <w:szCs w:val="24"/>
                <w:u w:val="single"/>
              </w:rPr>
              <w:t xml:space="preserve"> būvdarbu izpildes termiņu</w:t>
            </w:r>
            <w:r w:rsidRPr="00573CE9">
              <w:rPr>
                <w:b/>
                <w:bCs/>
                <w:i/>
                <w:iCs/>
                <w:color w:val="000000" w:themeColor="text1"/>
                <w:sz w:val="24"/>
                <w:szCs w:val="24"/>
                <w:u w:val="single"/>
              </w:rPr>
              <w:t>.</w:t>
            </w:r>
          </w:p>
          <w:p w14:paraId="5441BE0D" w14:textId="3D169C47" w:rsidR="00D71EDD" w:rsidRPr="00573CE9" w:rsidRDefault="00720DE9" w:rsidP="00D71EDD">
            <w:pPr>
              <w:spacing w:after="0" w:line="240" w:lineRule="auto"/>
              <w:ind w:firstLine="504"/>
              <w:jc w:val="both"/>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 xml:space="preserve">2018.gadā Ekonomikas ministrija MK noteikumus Nr.160 vēlējās papildināt ar normu, kas ierobežotu minimālos iespējamos būvniecības līgumu termiņus. Tika sniegts skaidrojums, ka būvkomersantiem, iesniedzot piedāvājumu sniegt pakalpojumu 4.2.1.1. pasākuma ietvaros finansētajā projektā, viens no izvēles kritērijiem ir būvdarbu izpildes termiņš. </w:t>
            </w:r>
            <w:r w:rsidR="00463648" w:rsidRPr="00573CE9">
              <w:rPr>
                <w:rFonts w:ascii="Times New Roman" w:eastAsia="Times New Roman" w:hAnsi="Times New Roman" w:cs="Times New Roman"/>
                <w:iCs/>
                <w:color w:val="000000" w:themeColor="text1"/>
                <w:sz w:val="24"/>
                <w:szCs w:val="24"/>
                <w:lang w:eastAsia="lv-LV"/>
              </w:rPr>
              <w:t>4.2.1.1. pasākuma ietvaros</w:t>
            </w:r>
            <w:r w:rsidR="003969B6" w:rsidRPr="00573CE9">
              <w:rPr>
                <w:rFonts w:ascii="Times New Roman" w:eastAsia="Times New Roman" w:hAnsi="Times New Roman" w:cs="Times New Roman"/>
                <w:iCs/>
                <w:color w:val="000000" w:themeColor="text1"/>
                <w:sz w:val="24"/>
                <w:szCs w:val="24"/>
                <w:lang w:eastAsia="lv-LV"/>
              </w:rPr>
              <w:t xml:space="preserve"> iesniegtajos projektos konstatēts, ka būvkomersantu atlasē viens no </w:t>
            </w:r>
            <w:r w:rsidR="00732E12" w:rsidRPr="00573CE9">
              <w:rPr>
                <w:rFonts w:ascii="Times New Roman" w:eastAsia="Times New Roman" w:hAnsi="Times New Roman" w:cs="Times New Roman"/>
                <w:iCs/>
                <w:color w:val="000000" w:themeColor="text1"/>
                <w:sz w:val="24"/>
                <w:szCs w:val="24"/>
                <w:lang w:eastAsia="lv-LV"/>
              </w:rPr>
              <w:t xml:space="preserve">būvkomersanta izvēles </w:t>
            </w:r>
            <w:r w:rsidR="003969B6" w:rsidRPr="00573CE9">
              <w:rPr>
                <w:rFonts w:ascii="Times New Roman" w:eastAsia="Times New Roman" w:hAnsi="Times New Roman" w:cs="Times New Roman"/>
                <w:iCs/>
                <w:color w:val="000000" w:themeColor="text1"/>
                <w:sz w:val="24"/>
                <w:szCs w:val="24"/>
                <w:lang w:eastAsia="lv-LV"/>
              </w:rPr>
              <w:t xml:space="preserve">kritērijiem tiek izvirzīts būvdarbu izpildes termiņš.   </w:t>
            </w:r>
            <w:r w:rsidR="00463648" w:rsidRPr="00573CE9">
              <w:rPr>
                <w:rFonts w:ascii="Times New Roman" w:eastAsia="Times New Roman" w:hAnsi="Times New Roman" w:cs="Times New Roman"/>
                <w:iCs/>
                <w:color w:val="000000" w:themeColor="text1"/>
                <w:sz w:val="24"/>
                <w:szCs w:val="24"/>
                <w:lang w:eastAsia="lv-LV"/>
              </w:rPr>
              <w:t xml:space="preserve"> </w:t>
            </w:r>
            <w:r w:rsidRPr="00573CE9">
              <w:rPr>
                <w:rFonts w:ascii="Times New Roman" w:eastAsia="Times New Roman" w:hAnsi="Times New Roman" w:cs="Times New Roman"/>
                <w:iCs/>
                <w:color w:val="000000" w:themeColor="text1"/>
                <w:sz w:val="24"/>
                <w:szCs w:val="24"/>
                <w:lang w:eastAsia="lv-LV"/>
              </w:rPr>
              <w:t xml:space="preserve">Praksē 80% gadījumu projekta īstenošanas laikā būvkomersanti lūdz pagarināt </w:t>
            </w:r>
            <w:r w:rsidR="00463648" w:rsidRPr="00573CE9">
              <w:rPr>
                <w:rFonts w:ascii="Times New Roman" w:eastAsia="Times New Roman" w:hAnsi="Times New Roman" w:cs="Times New Roman"/>
                <w:iCs/>
                <w:color w:val="000000" w:themeColor="text1"/>
                <w:sz w:val="24"/>
                <w:szCs w:val="24"/>
                <w:lang w:eastAsia="lv-LV"/>
              </w:rPr>
              <w:t xml:space="preserve">būvniecības līgumos </w:t>
            </w:r>
            <w:r w:rsidRPr="00573CE9">
              <w:rPr>
                <w:rFonts w:ascii="Times New Roman" w:eastAsia="Times New Roman" w:hAnsi="Times New Roman" w:cs="Times New Roman"/>
                <w:iCs/>
                <w:color w:val="000000" w:themeColor="text1"/>
                <w:sz w:val="24"/>
                <w:szCs w:val="24"/>
                <w:lang w:eastAsia="lv-LV"/>
              </w:rPr>
              <w:t>sākotnēji noteikto termiņu, jo būvniecība nav pabeidzama tik īsā termiņā. Gala rezultātā neapdomīgi īsa būvniecības termiņa piedāvājums un apstiprināšana apdraud dzīvokļu īpašniekus un kvalitatīvu darbu pabeigšanu.</w:t>
            </w:r>
            <w:r w:rsidR="00C1730D" w:rsidRPr="00573CE9">
              <w:rPr>
                <w:rFonts w:ascii="Times New Roman" w:eastAsia="Times New Roman" w:hAnsi="Times New Roman" w:cs="Times New Roman"/>
                <w:iCs/>
                <w:color w:val="000000" w:themeColor="text1"/>
                <w:sz w:val="24"/>
                <w:szCs w:val="24"/>
                <w:lang w:eastAsia="lv-LV"/>
              </w:rPr>
              <w:t xml:space="preserve"> </w:t>
            </w:r>
            <w:r w:rsidR="00732E12" w:rsidRPr="00573CE9">
              <w:rPr>
                <w:rFonts w:ascii="Times New Roman" w:eastAsia="Times New Roman" w:hAnsi="Times New Roman" w:cs="Times New Roman"/>
                <w:iCs/>
                <w:color w:val="000000" w:themeColor="text1"/>
                <w:sz w:val="24"/>
                <w:szCs w:val="24"/>
                <w:lang w:eastAsia="lv-LV"/>
              </w:rPr>
              <w:t>Turklāt, ņemot vērā, ka</w:t>
            </w:r>
            <w:r w:rsidR="00A54FDF" w:rsidRPr="00573CE9">
              <w:rPr>
                <w:rFonts w:ascii="Times New Roman" w:eastAsia="Times New Roman" w:hAnsi="Times New Roman" w:cs="Times New Roman"/>
                <w:iCs/>
                <w:color w:val="000000" w:themeColor="text1"/>
                <w:sz w:val="24"/>
                <w:szCs w:val="24"/>
                <w:lang w:eastAsia="lv-LV"/>
              </w:rPr>
              <w:t>,</w:t>
            </w:r>
            <w:r w:rsidR="00732E12" w:rsidRPr="00573CE9">
              <w:rPr>
                <w:rFonts w:ascii="Times New Roman" w:eastAsia="Times New Roman" w:hAnsi="Times New Roman" w:cs="Times New Roman"/>
                <w:iCs/>
                <w:color w:val="000000" w:themeColor="text1"/>
                <w:sz w:val="24"/>
                <w:szCs w:val="24"/>
                <w:lang w:eastAsia="lv-LV"/>
              </w:rPr>
              <w:t xml:space="preserve"> v</w:t>
            </w:r>
            <w:r w:rsidR="00C1730D" w:rsidRPr="00573CE9">
              <w:rPr>
                <w:rFonts w:ascii="Times New Roman" w:eastAsia="Times New Roman" w:hAnsi="Times New Roman" w:cs="Times New Roman"/>
                <w:iCs/>
                <w:color w:val="000000" w:themeColor="text1"/>
                <w:sz w:val="24"/>
                <w:szCs w:val="24"/>
                <w:lang w:eastAsia="lv-LV"/>
              </w:rPr>
              <w:t>ērtējot saimnieciski visizdevīgāko piedāvājumu, vērtēšanas kritērijs tiek noteikts darbu izpildes termiņš, attiecīgi būvkomersanta piedāvātie izpildes termiņi ti</w:t>
            </w:r>
            <w:r w:rsidR="00D71EDD" w:rsidRPr="00573CE9">
              <w:rPr>
                <w:rFonts w:ascii="Times New Roman" w:eastAsia="Times New Roman" w:hAnsi="Times New Roman" w:cs="Times New Roman"/>
                <w:iCs/>
                <w:color w:val="000000" w:themeColor="text1"/>
                <w:sz w:val="24"/>
                <w:szCs w:val="24"/>
                <w:lang w:eastAsia="lv-LV"/>
              </w:rPr>
              <w:t>ek</w:t>
            </w:r>
            <w:r w:rsidR="00C1730D" w:rsidRPr="00573CE9">
              <w:rPr>
                <w:rFonts w:ascii="Times New Roman" w:eastAsia="Times New Roman" w:hAnsi="Times New Roman" w:cs="Times New Roman"/>
                <w:iCs/>
                <w:color w:val="000000" w:themeColor="text1"/>
                <w:sz w:val="24"/>
                <w:szCs w:val="24"/>
                <w:lang w:eastAsia="lv-LV"/>
              </w:rPr>
              <w:t xml:space="preserve"> vērt</w:t>
            </w:r>
            <w:r w:rsidR="00732E12" w:rsidRPr="00573CE9">
              <w:rPr>
                <w:rFonts w:ascii="Times New Roman" w:eastAsia="Times New Roman" w:hAnsi="Times New Roman" w:cs="Times New Roman"/>
                <w:iCs/>
                <w:color w:val="000000" w:themeColor="text1"/>
                <w:sz w:val="24"/>
                <w:szCs w:val="24"/>
                <w:lang w:eastAsia="lv-LV"/>
              </w:rPr>
              <w:t>ēt</w:t>
            </w:r>
            <w:r w:rsidR="00C1730D" w:rsidRPr="00573CE9">
              <w:rPr>
                <w:rFonts w:ascii="Times New Roman" w:eastAsia="Times New Roman" w:hAnsi="Times New Roman" w:cs="Times New Roman"/>
                <w:iCs/>
                <w:color w:val="000000" w:themeColor="text1"/>
                <w:sz w:val="24"/>
                <w:szCs w:val="24"/>
                <w:lang w:eastAsia="lv-LV"/>
              </w:rPr>
              <w:t>i.</w:t>
            </w:r>
            <w:r w:rsidR="00D71EDD" w:rsidRPr="00573CE9">
              <w:rPr>
                <w:rFonts w:ascii="Times New Roman" w:eastAsia="Times New Roman" w:hAnsi="Times New Roman" w:cs="Times New Roman"/>
                <w:iCs/>
                <w:color w:val="000000" w:themeColor="text1"/>
                <w:sz w:val="24"/>
                <w:szCs w:val="24"/>
                <w:lang w:eastAsia="lv-LV"/>
              </w:rPr>
              <w:t xml:space="preserve"> </w:t>
            </w:r>
            <w:r w:rsidR="008D312A" w:rsidRPr="00573CE9">
              <w:rPr>
                <w:rFonts w:ascii="Times New Roman" w:eastAsia="Times New Roman" w:hAnsi="Times New Roman" w:cs="Times New Roman"/>
                <w:iCs/>
                <w:color w:val="000000" w:themeColor="text1"/>
                <w:sz w:val="24"/>
                <w:szCs w:val="24"/>
                <w:lang w:eastAsia="lv-LV"/>
              </w:rPr>
              <w:t>Kas nozīmē</w:t>
            </w:r>
            <w:r w:rsidR="00D71EDD" w:rsidRPr="00573CE9">
              <w:rPr>
                <w:rFonts w:ascii="Times New Roman" w:eastAsia="Times New Roman" w:hAnsi="Times New Roman" w:cs="Times New Roman"/>
                <w:iCs/>
                <w:color w:val="000000" w:themeColor="text1"/>
                <w:sz w:val="24"/>
                <w:szCs w:val="24"/>
                <w:lang w:eastAsia="lv-LV"/>
              </w:rPr>
              <w:t>,</w:t>
            </w:r>
            <w:r w:rsidR="008D312A" w:rsidRPr="00573CE9">
              <w:rPr>
                <w:rFonts w:ascii="Times New Roman" w:eastAsia="Times New Roman" w:hAnsi="Times New Roman" w:cs="Times New Roman"/>
                <w:iCs/>
                <w:color w:val="000000" w:themeColor="text1"/>
                <w:sz w:val="24"/>
                <w:szCs w:val="24"/>
                <w:lang w:eastAsia="lv-LV"/>
              </w:rPr>
              <w:t xml:space="preserve"> ka,</w:t>
            </w:r>
            <w:r w:rsidR="00D71EDD" w:rsidRPr="00573CE9">
              <w:rPr>
                <w:rFonts w:ascii="Times New Roman" w:eastAsia="Times New Roman" w:hAnsi="Times New Roman" w:cs="Times New Roman"/>
                <w:iCs/>
                <w:color w:val="000000" w:themeColor="text1"/>
                <w:sz w:val="24"/>
                <w:szCs w:val="24"/>
                <w:lang w:eastAsia="lv-LV"/>
              </w:rPr>
              <w:t xml:space="preserve"> pagarinot būvniecības termiņu, pastāv risks, ka mainītos kopējais punktu skaits  atlases vērtēšanas kritērijos, mainot arī atlases uzvarētāju, kas bez īpašiem skaidrojumiem un skaidrojumiem, ir būtisks pārkāpums, par ko piemērojama finanšu korekcija.</w:t>
            </w:r>
            <w:r w:rsidR="008D312A" w:rsidRPr="00573CE9">
              <w:rPr>
                <w:rFonts w:ascii="Times New Roman" w:eastAsia="Times New Roman" w:hAnsi="Times New Roman" w:cs="Times New Roman"/>
                <w:iCs/>
                <w:color w:val="000000" w:themeColor="text1"/>
                <w:sz w:val="24"/>
                <w:szCs w:val="24"/>
                <w:lang w:eastAsia="lv-LV"/>
              </w:rPr>
              <w:t xml:space="preserve"> Ja darbu izpildes termiņš netiek vērtēts, tam nebūs nozīmes, izvēloties būvkomersantu, kas šādā gadījumā varētu novērst to, ka būvkomersanti piedāvā neobjektīvi ātrus izpildes termiņus, lai tiktu izvēlēti par būvdarbu veicējiem. Ņemot vērā, ka 2018. gadā Ekonomikas ministrijai un Finanšu ministrijai atšķīrās viedoklis par grozījumu būtību, Ekonomikas ministrija izlēma grozījumus neveikt, bet gan vienoties ar  </w:t>
            </w:r>
            <w:proofErr w:type="spellStart"/>
            <w:r w:rsidR="008D312A" w:rsidRPr="00573CE9">
              <w:rPr>
                <w:rFonts w:ascii="Times New Roman" w:eastAsia="Times New Roman" w:hAnsi="Times New Roman" w:cs="Times New Roman"/>
                <w:iCs/>
                <w:color w:val="000000" w:themeColor="text1"/>
                <w:sz w:val="24"/>
                <w:szCs w:val="24"/>
                <w:lang w:eastAsia="lv-LV"/>
              </w:rPr>
              <w:t>Altum</w:t>
            </w:r>
            <w:proofErr w:type="spellEnd"/>
            <w:r w:rsidR="008D312A" w:rsidRPr="00573CE9">
              <w:rPr>
                <w:rFonts w:ascii="Times New Roman" w:eastAsia="Times New Roman" w:hAnsi="Times New Roman" w:cs="Times New Roman"/>
                <w:iCs/>
                <w:color w:val="000000" w:themeColor="text1"/>
                <w:sz w:val="24"/>
                <w:szCs w:val="24"/>
                <w:lang w:eastAsia="lv-LV"/>
              </w:rPr>
              <w:t xml:space="preserve">, ka tā turpinās aicināt  pilnvarotās personas nesaskaņot nesamērīgi īsus būvniecības izpildes termiņus vai termiņus neiekļaut kā vērtēšanas kritēriju. </w:t>
            </w:r>
          </w:p>
          <w:p w14:paraId="3B9454AD" w14:textId="5652C86F" w:rsidR="00A739DF" w:rsidRPr="00573CE9" w:rsidRDefault="00BE1280" w:rsidP="005160BD">
            <w:pPr>
              <w:spacing w:after="0" w:line="240" w:lineRule="auto"/>
              <w:ind w:firstLine="504"/>
              <w:jc w:val="both"/>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Ierosināto grozījumu ietekme uz</w:t>
            </w:r>
            <w:r w:rsidR="001F1651" w:rsidRPr="00573CE9">
              <w:rPr>
                <w:rFonts w:ascii="Times New Roman" w:eastAsia="Times New Roman" w:hAnsi="Times New Roman" w:cs="Times New Roman"/>
                <w:iCs/>
                <w:color w:val="000000" w:themeColor="text1"/>
                <w:sz w:val="24"/>
                <w:szCs w:val="24"/>
                <w:lang w:eastAsia="lv-LV"/>
              </w:rPr>
              <w:t xml:space="preserve"> </w:t>
            </w:r>
            <w:r w:rsidRPr="00573CE9">
              <w:rPr>
                <w:rFonts w:ascii="Times New Roman" w:eastAsia="Times New Roman" w:hAnsi="Times New Roman" w:cs="Times New Roman"/>
                <w:iCs/>
                <w:color w:val="000000" w:themeColor="text1"/>
                <w:sz w:val="24"/>
                <w:szCs w:val="24"/>
                <w:lang w:eastAsia="lv-LV"/>
              </w:rPr>
              <w:t>sabiedrību “</w:t>
            </w:r>
            <w:proofErr w:type="spellStart"/>
            <w:r w:rsidRPr="00573CE9">
              <w:rPr>
                <w:rFonts w:ascii="Times New Roman" w:eastAsia="Times New Roman" w:hAnsi="Times New Roman" w:cs="Times New Roman"/>
                <w:iCs/>
                <w:color w:val="000000" w:themeColor="text1"/>
                <w:sz w:val="24"/>
                <w:szCs w:val="24"/>
                <w:lang w:eastAsia="lv-LV"/>
              </w:rPr>
              <w:t>Altum</w:t>
            </w:r>
            <w:proofErr w:type="spellEnd"/>
            <w:r w:rsidRPr="00573CE9">
              <w:rPr>
                <w:rFonts w:ascii="Times New Roman" w:eastAsia="Times New Roman" w:hAnsi="Times New Roman" w:cs="Times New Roman"/>
                <w:iCs/>
                <w:color w:val="000000" w:themeColor="text1"/>
                <w:sz w:val="24"/>
                <w:szCs w:val="24"/>
                <w:lang w:eastAsia="lv-LV"/>
              </w:rPr>
              <w:t>”</w:t>
            </w:r>
            <w:r w:rsidR="00774868" w:rsidRPr="00573CE9">
              <w:rPr>
                <w:rFonts w:ascii="Times New Roman" w:eastAsia="Times New Roman" w:hAnsi="Times New Roman" w:cs="Times New Roman"/>
                <w:iCs/>
                <w:color w:val="000000" w:themeColor="text1"/>
                <w:sz w:val="24"/>
                <w:szCs w:val="24"/>
                <w:lang w:eastAsia="lv-LV"/>
              </w:rPr>
              <w:t xml:space="preserve"> ir pozitīva</w:t>
            </w:r>
            <w:r w:rsidR="001F1651" w:rsidRPr="00573CE9">
              <w:rPr>
                <w:rFonts w:ascii="Times New Roman" w:eastAsia="Times New Roman" w:hAnsi="Times New Roman" w:cs="Times New Roman"/>
                <w:iCs/>
                <w:color w:val="000000" w:themeColor="text1"/>
                <w:sz w:val="24"/>
                <w:szCs w:val="24"/>
                <w:lang w:eastAsia="lv-LV"/>
              </w:rPr>
              <w:t xml:space="preserve">, jo tiks mazināts administratīvais slogs saskaņojot pakalpojumu līgumu grozījumus gadījumos, kad tiek pagarināti izpildes termiņi. </w:t>
            </w:r>
            <w:r w:rsidR="001959AB" w:rsidRPr="00573CE9">
              <w:rPr>
                <w:rFonts w:ascii="Times New Roman" w:eastAsia="Times New Roman" w:hAnsi="Times New Roman" w:cs="Times New Roman"/>
                <w:iCs/>
                <w:color w:val="000000" w:themeColor="text1"/>
                <w:sz w:val="24"/>
                <w:szCs w:val="24"/>
                <w:lang w:eastAsia="lv-LV"/>
              </w:rPr>
              <w:t xml:space="preserve">Šie grozījumi arī pozitīvi ietekmēs dzīvokļu īpašnieku pilnvarotās personas </w:t>
            </w:r>
            <w:r w:rsidR="001959AB" w:rsidRPr="00573CE9">
              <w:rPr>
                <w:rFonts w:ascii="Times New Roman" w:eastAsia="Times New Roman" w:hAnsi="Times New Roman" w:cs="Times New Roman"/>
                <w:iCs/>
                <w:color w:val="000000" w:themeColor="text1"/>
                <w:sz w:val="24"/>
                <w:szCs w:val="24"/>
                <w:lang w:eastAsia="lv-LV"/>
              </w:rPr>
              <w:lastRenderedPageBreak/>
              <w:t>un dzīvokļu īpašniekus</w:t>
            </w:r>
            <w:r w:rsidRPr="00573CE9">
              <w:rPr>
                <w:rFonts w:ascii="Times New Roman" w:eastAsia="Times New Roman" w:hAnsi="Times New Roman" w:cs="Times New Roman"/>
                <w:iCs/>
                <w:color w:val="000000" w:themeColor="text1"/>
                <w:sz w:val="24"/>
                <w:szCs w:val="24"/>
                <w:lang w:eastAsia="lv-LV"/>
              </w:rPr>
              <w:t xml:space="preserve">, </w:t>
            </w:r>
            <w:r w:rsidR="001959AB" w:rsidRPr="00573CE9">
              <w:rPr>
                <w:rFonts w:ascii="Times New Roman" w:eastAsia="Times New Roman" w:hAnsi="Times New Roman" w:cs="Times New Roman"/>
                <w:iCs/>
                <w:color w:val="000000" w:themeColor="text1"/>
                <w:sz w:val="24"/>
                <w:szCs w:val="24"/>
                <w:lang w:eastAsia="lv-LV"/>
              </w:rPr>
              <w:t>jo tiks būtiski samazināts finanšu korekciju risks, kas var rasties pakalpojumu līgumu termiņu pagarināšanas gadījumā.</w:t>
            </w:r>
            <w:r w:rsidR="00E92E01" w:rsidRPr="00573CE9">
              <w:rPr>
                <w:rFonts w:ascii="Times New Roman" w:eastAsia="Times New Roman" w:hAnsi="Times New Roman" w:cs="Times New Roman"/>
                <w:iCs/>
                <w:color w:val="000000" w:themeColor="text1"/>
                <w:sz w:val="24"/>
                <w:szCs w:val="24"/>
                <w:lang w:eastAsia="lv-LV"/>
              </w:rPr>
              <w:t xml:space="preserve"> Ņemot vērā, ka būvniecības pakalpojumu izpildes termiņš ir tikai viens no vērtēšanas kritērijiem, nav uzskatāms, ka šāda kritērija neiekļaušana vērtēšanas kritērijos radīs ietekmi uz to būvkomersantu loku, kas sniedz būvniecības pakalpojumus 4.2.1.1. pasākuma ietvaros.</w:t>
            </w:r>
          </w:p>
          <w:p w14:paraId="0B3A9A95" w14:textId="40814DD9" w:rsidR="00BE1280" w:rsidRPr="00573CE9" w:rsidRDefault="005160BD" w:rsidP="005160BD">
            <w:pPr>
              <w:spacing w:after="0" w:line="240" w:lineRule="auto"/>
              <w:ind w:firstLine="504"/>
              <w:jc w:val="both"/>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Projektus, kuros pakalpojumu sniedzēju atlase ir noslēgusies un ir noslēgti atbalsta līgumi, ierosinātās izmaiņas neietekmēs. Šīs izmaiņas arī neietekmēs projektus, kuros līdz izmaiņu spēkā stāšanās brīdim ir izsludināta atlase.</w:t>
            </w:r>
          </w:p>
          <w:p w14:paraId="4BDF7456" w14:textId="219E82C1" w:rsidR="00BE1280" w:rsidRPr="00573CE9" w:rsidRDefault="00BE1280" w:rsidP="00A739DF">
            <w:pPr>
              <w:spacing w:after="0" w:line="240" w:lineRule="auto"/>
              <w:ind w:firstLine="504"/>
              <w:jc w:val="both"/>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 xml:space="preserve">Grozījumi MK noteikumos </w:t>
            </w:r>
            <w:r w:rsidR="00A739DF" w:rsidRPr="00573CE9">
              <w:rPr>
                <w:rFonts w:ascii="Times New Roman" w:eastAsia="Times New Roman" w:hAnsi="Times New Roman" w:cs="Times New Roman"/>
                <w:iCs/>
                <w:color w:val="000000" w:themeColor="text1"/>
                <w:sz w:val="24"/>
                <w:szCs w:val="24"/>
                <w:lang w:eastAsia="lv-LV"/>
              </w:rPr>
              <w:t xml:space="preserve">Nr.160 </w:t>
            </w:r>
            <w:r w:rsidRPr="00573CE9">
              <w:rPr>
                <w:rFonts w:ascii="Times New Roman" w:eastAsia="Times New Roman" w:hAnsi="Times New Roman" w:cs="Times New Roman"/>
                <w:iCs/>
                <w:color w:val="000000" w:themeColor="text1"/>
                <w:sz w:val="24"/>
                <w:szCs w:val="24"/>
                <w:lang w:eastAsia="lv-LV"/>
              </w:rPr>
              <w:t>skar</w:t>
            </w:r>
            <w:r w:rsidR="00A739DF" w:rsidRPr="00573CE9">
              <w:rPr>
                <w:rFonts w:ascii="Times New Roman" w:eastAsia="Times New Roman" w:hAnsi="Times New Roman" w:cs="Times New Roman"/>
                <w:iCs/>
                <w:color w:val="000000" w:themeColor="text1"/>
                <w:sz w:val="24"/>
                <w:szCs w:val="24"/>
                <w:lang w:eastAsia="lv-LV"/>
              </w:rPr>
              <w:t>s projektus, kuros pēc izmaiņu spēkā stāšanās būs jāorganizē pakalpojumu sniedzēju atlase. Ņemot vērā, ka sabiedrība “</w:t>
            </w:r>
            <w:proofErr w:type="spellStart"/>
            <w:r w:rsidR="00A739DF" w:rsidRPr="00573CE9">
              <w:rPr>
                <w:rFonts w:ascii="Times New Roman" w:eastAsia="Times New Roman" w:hAnsi="Times New Roman" w:cs="Times New Roman"/>
                <w:iCs/>
                <w:color w:val="000000" w:themeColor="text1"/>
                <w:sz w:val="24"/>
                <w:szCs w:val="24"/>
                <w:lang w:eastAsia="lv-LV"/>
              </w:rPr>
              <w:t>Altum</w:t>
            </w:r>
            <w:proofErr w:type="spellEnd"/>
            <w:r w:rsidR="00A739DF" w:rsidRPr="00573CE9">
              <w:rPr>
                <w:rFonts w:ascii="Times New Roman" w:eastAsia="Times New Roman" w:hAnsi="Times New Roman" w:cs="Times New Roman"/>
                <w:iCs/>
                <w:color w:val="000000" w:themeColor="text1"/>
                <w:sz w:val="24"/>
                <w:szCs w:val="24"/>
                <w:lang w:eastAsia="lv-LV"/>
              </w:rPr>
              <w:t>” jau šobrīd rekomendē kā vērtēšanas kritēriju neiekļaut pakalpojumu izpildes termiņu, ietekme uz šiem projektiem būs maza.</w:t>
            </w:r>
          </w:p>
          <w:p w14:paraId="5BEB389D" w14:textId="77777777" w:rsidR="00250D42" w:rsidRPr="00573CE9" w:rsidRDefault="00250D42" w:rsidP="00250D42">
            <w:pPr>
              <w:spacing w:after="0" w:line="240" w:lineRule="auto"/>
              <w:ind w:firstLine="504"/>
              <w:jc w:val="both"/>
              <w:rPr>
                <w:rFonts w:ascii="Times New Roman" w:eastAsia="Times New Roman" w:hAnsi="Times New Roman" w:cs="Times New Roman"/>
                <w:iCs/>
                <w:color w:val="000000" w:themeColor="text1"/>
                <w:sz w:val="24"/>
                <w:szCs w:val="24"/>
                <w:lang w:eastAsia="lv-LV"/>
              </w:rPr>
            </w:pPr>
          </w:p>
          <w:p w14:paraId="69E7C503" w14:textId="102E3778" w:rsidR="00250D42" w:rsidRPr="00573CE9" w:rsidRDefault="00250D42" w:rsidP="00A3357F">
            <w:pPr>
              <w:pStyle w:val="ListParagraph"/>
              <w:numPr>
                <w:ilvl w:val="0"/>
                <w:numId w:val="2"/>
              </w:numPr>
              <w:jc w:val="both"/>
              <w:rPr>
                <w:b/>
                <w:bCs/>
                <w:i/>
                <w:color w:val="000000" w:themeColor="text1"/>
                <w:sz w:val="24"/>
                <w:szCs w:val="24"/>
                <w:u w:val="single"/>
              </w:rPr>
            </w:pPr>
            <w:r w:rsidRPr="00573CE9">
              <w:rPr>
                <w:b/>
                <w:bCs/>
                <w:i/>
                <w:color w:val="000000" w:themeColor="text1"/>
                <w:sz w:val="24"/>
                <w:szCs w:val="24"/>
                <w:u w:val="single"/>
              </w:rPr>
              <w:t xml:space="preserve">Precizēt noteiktās prasības par </w:t>
            </w:r>
            <w:proofErr w:type="spellStart"/>
            <w:r w:rsidRPr="00573CE9">
              <w:rPr>
                <w:b/>
                <w:bCs/>
                <w:i/>
                <w:color w:val="000000" w:themeColor="text1"/>
                <w:sz w:val="24"/>
                <w:szCs w:val="24"/>
                <w:u w:val="single"/>
              </w:rPr>
              <w:t>de</w:t>
            </w:r>
            <w:proofErr w:type="spellEnd"/>
            <w:r w:rsidRPr="00573CE9">
              <w:rPr>
                <w:b/>
                <w:bCs/>
                <w:i/>
                <w:color w:val="000000" w:themeColor="text1"/>
                <w:sz w:val="24"/>
                <w:szCs w:val="24"/>
                <w:u w:val="single"/>
              </w:rPr>
              <w:t xml:space="preserve"> </w:t>
            </w:r>
            <w:proofErr w:type="spellStart"/>
            <w:r w:rsidRPr="00573CE9">
              <w:rPr>
                <w:b/>
                <w:bCs/>
                <w:i/>
                <w:color w:val="000000" w:themeColor="text1"/>
                <w:sz w:val="24"/>
                <w:szCs w:val="24"/>
                <w:u w:val="single"/>
              </w:rPr>
              <w:t>minimis</w:t>
            </w:r>
            <w:proofErr w:type="spellEnd"/>
            <w:r w:rsidRPr="00573CE9">
              <w:rPr>
                <w:b/>
                <w:bCs/>
                <w:i/>
                <w:color w:val="000000" w:themeColor="text1"/>
                <w:sz w:val="24"/>
                <w:szCs w:val="24"/>
                <w:u w:val="single"/>
              </w:rPr>
              <w:t xml:space="preserve"> atbalstu.</w:t>
            </w:r>
          </w:p>
          <w:p w14:paraId="4841A232" w14:textId="77777777" w:rsidR="00250D42" w:rsidRDefault="00250D42" w:rsidP="00250D42">
            <w:pPr>
              <w:spacing w:after="0" w:line="240" w:lineRule="auto"/>
              <w:ind w:firstLine="504"/>
              <w:jc w:val="both"/>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 xml:space="preserve">Ņemot vērā, ka kopš 2019.gada 1.jūnija ir stājušies spēkā Ministru kabineta 2018.gada 21.novembra noteikumi Nr.715 “Noteikumi par </w:t>
            </w:r>
            <w:proofErr w:type="spellStart"/>
            <w:r w:rsidRPr="00573CE9">
              <w:rPr>
                <w:rFonts w:ascii="Times New Roman" w:eastAsia="Times New Roman" w:hAnsi="Times New Roman" w:cs="Times New Roman"/>
                <w:i/>
                <w:color w:val="000000" w:themeColor="text1"/>
                <w:sz w:val="24"/>
                <w:szCs w:val="24"/>
                <w:lang w:eastAsia="lv-LV"/>
              </w:rPr>
              <w:t>de</w:t>
            </w:r>
            <w:proofErr w:type="spellEnd"/>
            <w:r w:rsidRPr="00573CE9">
              <w:rPr>
                <w:rFonts w:ascii="Times New Roman" w:eastAsia="Times New Roman" w:hAnsi="Times New Roman" w:cs="Times New Roman"/>
                <w:i/>
                <w:color w:val="000000" w:themeColor="text1"/>
                <w:sz w:val="24"/>
                <w:szCs w:val="24"/>
                <w:lang w:eastAsia="lv-LV"/>
              </w:rPr>
              <w:t xml:space="preserve"> </w:t>
            </w:r>
            <w:proofErr w:type="spellStart"/>
            <w:r w:rsidRPr="00573CE9">
              <w:rPr>
                <w:rFonts w:ascii="Times New Roman" w:eastAsia="Times New Roman" w:hAnsi="Times New Roman" w:cs="Times New Roman"/>
                <w:i/>
                <w:color w:val="000000" w:themeColor="text1"/>
                <w:sz w:val="24"/>
                <w:szCs w:val="24"/>
                <w:lang w:eastAsia="lv-LV"/>
              </w:rPr>
              <w:t>minimis</w:t>
            </w:r>
            <w:proofErr w:type="spellEnd"/>
            <w:r w:rsidRPr="00573CE9">
              <w:rPr>
                <w:rFonts w:ascii="Times New Roman" w:eastAsia="Times New Roman" w:hAnsi="Times New Roman" w:cs="Times New Roman"/>
                <w:iCs/>
                <w:color w:val="000000" w:themeColor="text1"/>
                <w:sz w:val="24"/>
                <w:szCs w:val="24"/>
                <w:lang w:eastAsia="lv-LV"/>
              </w:rPr>
              <w:t xml:space="preserve"> atbalsta uzskaites un piešķiršanas kārtību un </w:t>
            </w:r>
            <w:proofErr w:type="spellStart"/>
            <w:r w:rsidRPr="00573CE9">
              <w:rPr>
                <w:rFonts w:ascii="Times New Roman" w:eastAsia="Times New Roman" w:hAnsi="Times New Roman" w:cs="Times New Roman"/>
                <w:i/>
                <w:color w:val="000000" w:themeColor="text1"/>
                <w:sz w:val="24"/>
                <w:szCs w:val="24"/>
                <w:lang w:eastAsia="lv-LV"/>
              </w:rPr>
              <w:t>de</w:t>
            </w:r>
            <w:proofErr w:type="spellEnd"/>
            <w:r w:rsidRPr="00573CE9">
              <w:rPr>
                <w:rFonts w:ascii="Times New Roman" w:eastAsia="Times New Roman" w:hAnsi="Times New Roman" w:cs="Times New Roman"/>
                <w:i/>
                <w:color w:val="000000" w:themeColor="text1"/>
                <w:sz w:val="24"/>
                <w:szCs w:val="24"/>
                <w:lang w:eastAsia="lv-LV"/>
              </w:rPr>
              <w:t xml:space="preserve"> </w:t>
            </w:r>
            <w:proofErr w:type="spellStart"/>
            <w:r w:rsidRPr="00573CE9">
              <w:rPr>
                <w:rFonts w:ascii="Times New Roman" w:eastAsia="Times New Roman" w:hAnsi="Times New Roman" w:cs="Times New Roman"/>
                <w:i/>
                <w:color w:val="000000" w:themeColor="text1"/>
                <w:sz w:val="24"/>
                <w:szCs w:val="24"/>
                <w:lang w:eastAsia="lv-LV"/>
              </w:rPr>
              <w:t>minimis</w:t>
            </w:r>
            <w:proofErr w:type="spellEnd"/>
            <w:r w:rsidRPr="00573CE9">
              <w:rPr>
                <w:rFonts w:ascii="Times New Roman" w:eastAsia="Times New Roman" w:hAnsi="Times New Roman" w:cs="Times New Roman"/>
                <w:iCs/>
                <w:color w:val="000000" w:themeColor="text1"/>
                <w:sz w:val="24"/>
                <w:szCs w:val="24"/>
                <w:lang w:eastAsia="lv-LV"/>
              </w:rPr>
              <w:t xml:space="preserve"> atbalsta uzskaites veidlapu paraugiem” , un tie paredz </w:t>
            </w:r>
            <w:proofErr w:type="spellStart"/>
            <w:r w:rsidRPr="00573CE9">
              <w:rPr>
                <w:rFonts w:ascii="Times New Roman" w:eastAsia="Times New Roman" w:hAnsi="Times New Roman" w:cs="Times New Roman"/>
                <w:i/>
                <w:color w:val="000000" w:themeColor="text1"/>
                <w:sz w:val="24"/>
                <w:szCs w:val="24"/>
                <w:lang w:eastAsia="lv-LV"/>
              </w:rPr>
              <w:t>de</w:t>
            </w:r>
            <w:proofErr w:type="spellEnd"/>
            <w:r w:rsidRPr="00573CE9">
              <w:rPr>
                <w:rFonts w:ascii="Times New Roman" w:eastAsia="Times New Roman" w:hAnsi="Times New Roman" w:cs="Times New Roman"/>
                <w:i/>
                <w:color w:val="000000" w:themeColor="text1"/>
                <w:sz w:val="24"/>
                <w:szCs w:val="24"/>
                <w:lang w:eastAsia="lv-LV"/>
              </w:rPr>
              <w:t xml:space="preserve"> </w:t>
            </w:r>
            <w:proofErr w:type="spellStart"/>
            <w:r w:rsidRPr="00573CE9">
              <w:rPr>
                <w:rFonts w:ascii="Times New Roman" w:eastAsia="Times New Roman" w:hAnsi="Times New Roman" w:cs="Times New Roman"/>
                <w:i/>
                <w:color w:val="000000" w:themeColor="text1"/>
                <w:sz w:val="24"/>
                <w:szCs w:val="24"/>
                <w:lang w:eastAsia="lv-LV"/>
              </w:rPr>
              <w:t>minimis</w:t>
            </w:r>
            <w:proofErr w:type="spellEnd"/>
            <w:r w:rsidRPr="00573CE9">
              <w:rPr>
                <w:rFonts w:ascii="Times New Roman" w:eastAsia="Times New Roman" w:hAnsi="Times New Roman" w:cs="Times New Roman"/>
                <w:iCs/>
                <w:color w:val="000000" w:themeColor="text1"/>
                <w:sz w:val="24"/>
                <w:szCs w:val="24"/>
                <w:lang w:eastAsia="lv-LV"/>
              </w:rPr>
              <w:t xml:space="preserve"> veidlapas aizpildīšanu elektroniskā </w:t>
            </w:r>
            <w:proofErr w:type="spellStart"/>
            <w:r w:rsidRPr="00573CE9">
              <w:rPr>
                <w:rFonts w:ascii="Times New Roman" w:eastAsia="Times New Roman" w:hAnsi="Times New Roman" w:cs="Times New Roman"/>
                <w:i/>
                <w:color w:val="000000" w:themeColor="text1"/>
                <w:sz w:val="24"/>
                <w:szCs w:val="24"/>
                <w:lang w:eastAsia="lv-LV"/>
              </w:rPr>
              <w:t>de</w:t>
            </w:r>
            <w:proofErr w:type="spellEnd"/>
            <w:r w:rsidRPr="00573CE9">
              <w:rPr>
                <w:rFonts w:ascii="Times New Roman" w:eastAsia="Times New Roman" w:hAnsi="Times New Roman" w:cs="Times New Roman"/>
                <w:i/>
                <w:color w:val="000000" w:themeColor="text1"/>
                <w:sz w:val="24"/>
                <w:szCs w:val="24"/>
                <w:lang w:eastAsia="lv-LV"/>
              </w:rPr>
              <w:t xml:space="preserve"> </w:t>
            </w:r>
            <w:proofErr w:type="spellStart"/>
            <w:r w:rsidRPr="00573CE9">
              <w:rPr>
                <w:rFonts w:ascii="Times New Roman" w:eastAsia="Times New Roman" w:hAnsi="Times New Roman" w:cs="Times New Roman"/>
                <w:i/>
                <w:color w:val="000000" w:themeColor="text1"/>
                <w:sz w:val="24"/>
                <w:szCs w:val="24"/>
                <w:lang w:eastAsia="lv-LV"/>
              </w:rPr>
              <w:t>minimis</w:t>
            </w:r>
            <w:proofErr w:type="spellEnd"/>
            <w:r w:rsidRPr="00573CE9">
              <w:rPr>
                <w:rFonts w:ascii="Times New Roman" w:eastAsia="Times New Roman" w:hAnsi="Times New Roman" w:cs="Times New Roman"/>
                <w:iCs/>
                <w:color w:val="000000" w:themeColor="text1"/>
                <w:sz w:val="24"/>
                <w:szCs w:val="24"/>
                <w:lang w:eastAsia="lv-LV"/>
              </w:rPr>
              <w:t xml:space="preserve"> atbalsta uzskaites sistēmā, attiecīgi nepieciešams precizēt MK noteikumu Nr.160 50.7.apakšpunktu.</w:t>
            </w:r>
          </w:p>
          <w:p w14:paraId="030AF467" w14:textId="77777777" w:rsidR="002C38A8" w:rsidRDefault="002C38A8" w:rsidP="00250D42">
            <w:pPr>
              <w:spacing w:after="0" w:line="240" w:lineRule="auto"/>
              <w:ind w:firstLine="504"/>
              <w:jc w:val="both"/>
              <w:rPr>
                <w:rFonts w:ascii="Times New Roman" w:eastAsia="Times New Roman" w:hAnsi="Times New Roman" w:cs="Times New Roman"/>
                <w:iCs/>
                <w:color w:val="000000" w:themeColor="text1"/>
                <w:sz w:val="24"/>
                <w:szCs w:val="24"/>
                <w:lang w:eastAsia="lv-LV"/>
              </w:rPr>
            </w:pPr>
          </w:p>
          <w:p w14:paraId="7743587F" w14:textId="6C6203DF" w:rsidR="002C38A8" w:rsidRPr="002C38A8" w:rsidRDefault="002C38A8" w:rsidP="002C38A8">
            <w:pPr>
              <w:pStyle w:val="ListParagraph"/>
              <w:numPr>
                <w:ilvl w:val="0"/>
                <w:numId w:val="2"/>
              </w:numPr>
              <w:jc w:val="both"/>
              <w:rPr>
                <w:b/>
                <w:bCs/>
                <w:iCs/>
                <w:color w:val="000000" w:themeColor="text1"/>
                <w:sz w:val="24"/>
                <w:szCs w:val="24"/>
              </w:rPr>
            </w:pPr>
            <w:r w:rsidRPr="002C38A8">
              <w:rPr>
                <w:b/>
                <w:bCs/>
                <w:iCs/>
                <w:color w:val="000000" w:themeColor="text1"/>
                <w:sz w:val="24"/>
                <w:szCs w:val="24"/>
              </w:rPr>
              <w:t>Atbalsta apvienošanas nosacījumi.</w:t>
            </w:r>
          </w:p>
          <w:p w14:paraId="356A9E5B" w14:textId="6DA6EAAF" w:rsidR="002C38A8" w:rsidRPr="00573CE9" w:rsidRDefault="002C38A8" w:rsidP="002C38A8">
            <w:pPr>
              <w:spacing w:after="0" w:line="240" w:lineRule="auto"/>
              <w:ind w:firstLine="504"/>
              <w:jc w:val="both"/>
              <w:rPr>
                <w:rFonts w:ascii="Times New Roman" w:eastAsia="Times New Roman" w:hAnsi="Times New Roman" w:cs="Times New Roman"/>
                <w:iCs/>
                <w:color w:val="000000" w:themeColor="text1"/>
                <w:sz w:val="24"/>
                <w:szCs w:val="24"/>
                <w:lang w:eastAsia="lv-LV"/>
              </w:rPr>
            </w:pPr>
            <w:r w:rsidRPr="002C38A8">
              <w:rPr>
                <w:rFonts w:ascii="Times New Roman" w:eastAsia="Times New Roman" w:hAnsi="Times New Roman" w:cs="Times New Roman"/>
                <w:iCs/>
                <w:color w:val="000000" w:themeColor="text1"/>
                <w:sz w:val="24"/>
                <w:szCs w:val="24"/>
                <w:lang w:eastAsia="lv-LV"/>
              </w:rPr>
              <w:t>Noteikumu projekts nosaka, ka atbalstu šo noteikumu ietvaros nevar apvienot ar atbalstu, kuru sniedz sabiedrība “</w:t>
            </w:r>
            <w:proofErr w:type="spellStart"/>
            <w:r w:rsidRPr="002C38A8">
              <w:rPr>
                <w:rFonts w:ascii="Times New Roman" w:eastAsia="Times New Roman" w:hAnsi="Times New Roman" w:cs="Times New Roman"/>
                <w:iCs/>
                <w:color w:val="000000" w:themeColor="text1"/>
                <w:sz w:val="24"/>
                <w:szCs w:val="24"/>
                <w:lang w:eastAsia="lv-LV"/>
              </w:rPr>
              <w:t>Altum</w:t>
            </w:r>
            <w:proofErr w:type="spellEnd"/>
            <w:r w:rsidRPr="002C38A8">
              <w:rPr>
                <w:rFonts w:ascii="Times New Roman" w:eastAsia="Times New Roman" w:hAnsi="Times New Roman" w:cs="Times New Roman"/>
                <w:iCs/>
                <w:color w:val="000000" w:themeColor="text1"/>
                <w:sz w:val="24"/>
                <w:szCs w:val="24"/>
                <w:lang w:eastAsia="lv-LV"/>
              </w:rPr>
              <w:t>” aizdevumu un garantiju veidā saskaņā ar Eiropas Komisijas paziņojumu Pagaidu regulējums valsts atbalsta pasākumiem, ar ko atbalsta ekonomiku pašreizējā Covid19 uzliesmojuma situācijā.</w:t>
            </w:r>
          </w:p>
        </w:tc>
      </w:tr>
      <w:tr w:rsidR="00CD2F80" w:rsidRPr="00573CE9" w14:paraId="6149E5E4" w14:textId="77777777" w:rsidTr="003213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02A9B1" w14:textId="1E035867" w:rsidR="00CD2F80" w:rsidRPr="00573CE9" w:rsidRDefault="00800C3C" w:rsidP="00CD2F80">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lastRenderedPageBreak/>
              <w:t xml:space="preserve">  </w:t>
            </w:r>
            <w:r w:rsidR="00CD2F80" w:rsidRPr="00573CE9">
              <w:rPr>
                <w:rFonts w:ascii="Times New Roman" w:eastAsia="Times New Roman" w:hAnsi="Times New Roman" w:cs="Times New Roman"/>
                <w:iCs/>
                <w:color w:val="000000" w:themeColor="text1"/>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6034D2ED" w14:textId="77777777" w:rsidR="00CD2F80" w:rsidRPr="00573CE9" w:rsidRDefault="00CD2F80" w:rsidP="00CD2F80">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hideMark/>
          </w:tcPr>
          <w:p w14:paraId="658CB007" w14:textId="4D99D9E1" w:rsidR="00CD2F80" w:rsidRPr="00573CE9" w:rsidRDefault="00CD2F80" w:rsidP="00CD2F80">
            <w:pPr>
              <w:spacing w:after="0" w:line="240" w:lineRule="auto"/>
              <w:jc w:val="both"/>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Ekonomikas ministrija, sabiedrība “</w:t>
            </w:r>
            <w:proofErr w:type="spellStart"/>
            <w:r w:rsidRPr="00573CE9">
              <w:rPr>
                <w:rFonts w:ascii="Times New Roman" w:eastAsia="Times New Roman" w:hAnsi="Times New Roman" w:cs="Times New Roman"/>
                <w:iCs/>
                <w:color w:val="000000" w:themeColor="text1"/>
                <w:sz w:val="24"/>
                <w:szCs w:val="24"/>
                <w:lang w:eastAsia="lv-LV"/>
              </w:rPr>
              <w:t>Altum</w:t>
            </w:r>
            <w:proofErr w:type="spellEnd"/>
            <w:r w:rsidRPr="00573CE9">
              <w:rPr>
                <w:rFonts w:ascii="Times New Roman" w:eastAsia="Times New Roman" w:hAnsi="Times New Roman" w:cs="Times New Roman"/>
                <w:iCs/>
                <w:color w:val="000000" w:themeColor="text1"/>
                <w:sz w:val="24"/>
                <w:szCs w:val="24"/>
                <w:lang w:eastAsia="lv-LV"/>
              </w:rPr>
              <w:t>”</w:t>
            </w:r>
            <w:r w:rsidR="0058611F" w:rsidRPr="00573CE9">
              <w:rPr>
                <w:rFonts w:ascii="Times New Roman" w:eastAsia="Times New Roman" w:hAnsi="Times New Roman" w:cs="Times New Roman"/>
                <w:iCs/>
                <w:color w:val="000000" w:themeColor="text1"/>
                <w:sz w:val="24"/>
                <w:szCs w:val="24"/>
                <w:lang w:eastAsia="lv-LV"/>
              </w:rPr>
              <w:t>.</w:t>
            </w:r>
          </w:p>
        </w:tc>
      </w:tr>
      <w:tr w:rsidR="00CD2F80" w:rsidRPr="00573CE9" w14:paraId="4C2BE816" w14:textId="77777777" w:rsidTr="003213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054480" w14:textId="77777777" w:rsidR="00CD2F80" w:rsidRPr="00573CE9" w:rsidRDefault="00CD2F80" w:rsidP="00CD2F80">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4421D930" w14:textId="77777777" w:rsidR="00CD2F80" w:rsidRPr="00573CE9" w:rsidRDefault="00CD2F80" w:rsidP="00CD2F80">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6195D57C" w14:textId="1D811BE6" w:rsidR="00CD2F80" w:rsidRPr="00573CE9" w:rsidRDefault="00A97B10" w:rsidP="00A97B10">
            <w:pPr>
              <w:spacing w:after="0" w:line="240" w:lineRule="auto"/>
              <w:jc w:val="both"/>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Nav</w:t>
            </w:r>
          </w:p>
        </w:tc>
      </w:tr>
    </w:tbl>
    <w:p w14:paraId="4B737F5D" w14:textId="77777777" w:rsidR="00E5323B" w:rsidRPr="00573CE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73CE9" w14:paraId="32D3D48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E9F7CA" w14:textId="77777777" w:rsidR="00655F2C" w:rsidRPr="00573CE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573CE9">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E5323B" w:rsidRPr="00573CE9" w14:paraId="1FF676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8D1836" w14:textId="77777777" w:rsidR="00655F2C" w:rsidRPr="00573CE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E688F0" w14:textId="77777777" w:rsidR="00E5323B" w:rsidRPr="00573CE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 xml:space="preserve">Sabiedrības </w:t>
            </w:r>
            <w:proofErr w:type="spellStart"/>
            <w:r w:rsidRPr="00573CE9">
              <w:rPr>
                <w:rFonts w:ascii="Times New Roman" w:eastAsia="Times New Roman" w:hAnsi="Times New Roman" w:cs="Times New Roman"/>
                <w:iCs/>
                <w:color w:val="000000" w:themeColor="text1"/>
                <w:sz w:val="24"/>
                <w:szCs w:val="24"/>
                <w:lang w:eastAsia="lv-LV"/>
              </w:rPr>
              <w:t>mērķgrupas</w:t>
            </w:r>
            <w:proofErr w:type="spellEnd"/>
            <w:r w:rsidRPr="00573CE9">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520374D" w14:textId="08FB0C34" w:rsidR="00E5323B" w:rsidRPr="00573CE9" w:rsidRDefault="00D76C7F" w:rsidP="005360C5">
            <w:pPr>
              <w:spacing w:after="0" w:line="240" w:lineRule="auto"/>
              <w:jc w:val="both"/>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D</w:t>
            </w:r>
            <w:r w:rsidR="005360C5" w:rsidRPr="00573CE9">
              <w:rPr>
                <w:rFonts w:ascii="Times New Roman" w:eastAsia="Times New Roman" w:hAnsi="Times New Roman" w:cs="Times New Roman"/>
                <w:iCs/>
                <w:color w:val="000000" w:themeColor="text1"/>
                <w:sz w:val="24"/>
                <w:szCs w:val="24"/>
                <w:lang w:eastAsia="lv-LV"/>
              </w:rPr>
              <w:t>zīvokļu īpašnieki un to pilnvarotās personas</w:t>
            </w:r>
            <w:r w:rsidR="0058611F" w:rsidRPr="00573CE9">
              <w:rPr>
                <w:rFonts w:ascii="Times New Roman" w:eastAsia="Times New Roman" w:hAnsi="Times New Roman" w:cs="Times New Roman"/>
                <w:iCs/>
                <w:color w:val="000000" w:themeColor="text1"/>
                <w:sz w:val="24"/>
                <w:szCs w:val="24"/>
                <w:lang w:eastAsia="lv-LV"/>
              </w:rPr>
              <w:t>, būvkomersanti.</w:t>
            </w:r>
          </w:p>
        </w:tc>
      </w:tr>
      <w:tr w:rsidR="00E5323B" w:rsidRPr="00573CE9" w14:paraId="2EA3E1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20FAE2" w14:textId="77777777" w:rsidR="00655F2C" w:rsidRPr="00573CE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5459C14" w14:textId="77777777" w:rsidR="00E5323B" w:rsidRPr="00573CE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A8154ED" w14:textId="736AEC78" w:rsidR="00E5323B" w:rsidRPr="00573CE9" w:rsidRDefault="005360C5" w:rsidP="008E6FFD">
            <w:pPr>
              <w:spacing w:after="0" w:line="240" w:lineRule="auto"/>
              <w:jc w:val="both"/>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 xml:space="preserve">Noteikumu projekts neparedz ietekmi uz administratīvo slogu. </w:t>
            </w:r>
          </w:p>
        </w:tc>
      </w:tr>
      <w:tr w:rsidR="00E5323B" w:rsidRPr="00573CE9" w14:paraId="3F83F62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140660" w14:textId="77777777" w:rsidR="00655F2C" w:rsidRPr="00573CE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457ABF" w14:textId="77777777" w:rsidR="00E5323B" w:rsidRPr="00573CE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382E47A" w14:textId="58DEF7C6" w:rsidR="00E5323B" w:rsidRPr="00573CE9" w:rsidRDefault="005360C5" w:rsidP="008E6FFD">
            <w:pPr>
              <w:spacing w:after="0" w:line="240" w:lineRule="auto"/>
              <w:jc w:val="both"/>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 xml:space="preserve">Noteikumu projekts </w:t>
            </w:r>
            <w:r w:rsidR="00B02AC1" w:rsidRPr="00573CE9">
              <w:rPr>
                <w:rFonts w:ascii="Times New Roman" w:eastAsia="Times New Roman" w:hAnsi="Times New Roman" w:cs="Times New Roman"/>
                <w:iCs/>
                <w:color w:val="000000" w:themeColor="text1"/>
                <w:sz w:val="24"/>
                <w:szCs w:val="24"/>
                <w:lang w:eastAsia="lv-LV"/>
              </w:rPr>
              <w:t>šo jomu neskar.</w:t>
            </w:r>
          </w:p>
        </w:tc>
      </w:tr>
      <w:tr w:rsidR="00E5323B" w:rsidRPr="00573CE9" w14:paraId="44BAC5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875491" w14:textId="77777777" w:rsidR="00655F2C" w:rsidRPr="00573CE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6C41811" w14:textId="59711795" w:rsidR="002B73AF" w:rsidRPr="00573CE9" w:rsidRDefault="00E5323B" w:rsidP="00E75D95">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BDC1266" w14:textId="7CD44184" w:rsidR="00E5323B" w:rsidRPr="00573CE9" w:rsidRDefault="0055018D" w:rsidP="00F441DB">
            <w:pPr>
              <w:spacing w:after="0" w:line="240" w:lineRule="auto"/>
              <w:jc w:val="both"/>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 xml:space="preserve">Noteikumu projekts </w:t>
            </w:r>
            <w:r w:rsidR="00B02AC1" w:rsidRPr="00573CE9">
              <w:rPr>
                <w:rFonts w:ascii="Times New Roman" w:eastAsia="Times New Roman" w:hAnsi="Times New Roman" w:cs="Times New Roman"/>
                <w:iCs/>
                <w:color w:val="000000" w:themeColor="text1"/>
                <w:sz w:val="24"/>
                <w:szCs w:val="24"/>
                <w:lang w:eastAsia="lv-LV"/>
              </w:rPr>
              <w:t>šo jomu neskar.</w:t>
            </w:r>
          </w:p>
        </w:tc>
      </w:tr>
      <w:tr w:rsidR="00E5323B" w:rsidRPr="00573CE9" w14:paraId="46487C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2AF509" w14:textId="77777777" w:rsidR="00655F2C" w:rsidRPr="00573CE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707421F" w14:textId="77777777" w:rsidR="00E5323B" w:rsidRPr="00573CE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806FA9" w14:textId="30EB5E71" w:rsidR="00E5323B" w:rsidRPr="00573CE9" w:rsidRDefault="0055018D" w:rsidP="00E5323B">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Nav</w:t>
            </w:r>
            <w:r w:rsidR="00B02AC1" w:rsidRPr="00573CE9">
              <w:rPr>
                <w:rFonts w:ascii="Times New Roman" w:eastAsia="Times New Roman" w:hAnsi="Times New Roman" w:cs="Times New Roman"/>
                <w:iCs/>
                <w:color w:val="000000" w:themeColor="text1"/>
                <w:sz w:val="24"/>
                <w:szCs w:val="24"/>
                <w:lang w:eastAsia="lv-LV"/>
              </w:rPr>
              <w:t>.</w:t>
            </w:r>
          </w:p>
        </w:tc>
      </w:tr>
    </w:tbl>
    <w:p w14:paraId="65D9B610" w14:textId="77777777" w:rsidR="00E5323B" w:rsidRPr="00573CE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73CE9" w14:paraId="3306A26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2A6F8F" w14:textId="77777777" w:rsidR="00655F2C" w:rsidRPr="00573CE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bookmarkStart w:id="2" w:name="_Hlk33599319"/>
            <w:r w:rsidRPr="00573CE9">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E75D95" w:rsidRPr="00573CE9" w14:paraId="0A3C63E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310E561" w14:textId="38984C12" w:rsidR="00E75D95" w:rsidRPr="00573CE9" w:rsidRDefault="00E75D95" w:rsidP="00E75D95">
            <w:pPr>
              <w:spacing w:after="0" w:line="240" w:lineRule="auto"/>
              <w:jc w:val="center"/>
              <w:rPr>
                <w:rFonts w:ascii="Times New Roman" w:eastAsia="Times New Roman" w:hAnsi="Times New Roman" w:cs="Times New Roman"/>
                <w:b/>
                <w:bCs/>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Projekts šo jomu neskar.</w:t>
            </w:r>
          </w:p>
        </w:tc>
      </w:tr>
    </w:tbl>
    <w:bookmarkEnd w:id="2"/>
    <w:p w14:paraId="75C637EC" w14:textId="77777777" w:rsidR="00E5323B" w:rsidRPr="00573CE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 xml:space="preserve">  </w:t>
      </w: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8"/>
        <w:gridCol w:w="6093"/>
      </w:tblGrid>
      <w:tr w:rsidR="00D056AF" w:rsidRPr="00573CE9" w14:paraId="28196E21" w14:textId="77777777" w:rsidTr="00914E96">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255292C" w14:textId="77777777" w:rsidR="00D056AF" w:rsidRPr="00573CE9" w:rsidRDefault="00D056AF" w:rsidP="008269E4">
            <w:pPr>
              <w:ind w:firstLine="300"/>
              <w:contextualSpacing/>
              <w:rPr>
                <w:rFonts w:ascii="Times New Roman" w:eastAsia="Times New Roman" w:hAnsi="Times New Roman" w:cs="Times New Roman"/>
                <w:b/>
                <w:bCs/>
                <w:sz w:val="26"/>
                <w:szCs w:val="26"/>
                <w:lang w:eastAsia="lv-LV"/>
              </w:rPr>
            </w:pPr>
            <w:r w:rsidRPr="00573CE9">
              <w:rPr>
                <w:rFonts w:ascii="Times New Roman" w:eastAsia="Times New Roman" w:hAnsi="Times New Roman" w:cs="Times New Roman"/>
                <w:b/>
                <w:bCs/>
                <w:sz w:val="26"/>
                <w:szCs w:val="26"/>
                <w:lang w:eastAsia="lv-LV"/>
              </w:rPr>
              <w:t>IV. Tiesību akta projekta ietekme uz spēkā esošo tiesību normu sistēmu</w:t>
            </w:r>
          </w:p>
        </w:tc>
      </w:tr>
      <w:tr w:rsidR="00D056AF" w:rsidRPr="00573CE9" w14:paraId="5A5A7CCC" w14:textId="77777777" w:rsidTr="00914E96">
        <w:tc>
          <w:tcPr>
            <w:tcW w:w="250" w:type="pct"/>
            <w:tcBorders>
              <w:top w:val="outset" w:sz="6" w:space="0" w:color="414142"/>
              <w:left w:val="outset" w:sz="6" w:space="0" w:color="414142"/>
              <w:bottom w:val="outset" w:sz="6" w:space="0" w:color="414142"/>
              <w:right w:val="outset" w:sz="6" w:space="0" w:color="414142"/>
            </w:tcBorders>
            <w:hideMark/>
          </w:tcPr>
          <w:p w14:paraId="72A2A61A" w14:textId="77777777" w:rsidR="00D056AF" w:rsidRPr="00573CE9" w:rsidRDefault="00D056AF" w:rsidP="008269E4">
            <w:pPr>
              <w:contextualSpacing/>
              <w:rPr>
                <w:rFonts w:ascii="Times New Roman" w:eastAsia="Times New Roman" w:hAnsi="Times New Roman" w:cs="Times New Roman"/>
                <w:sz w:val="26"/>
                <w:szCs w:val="26"/>
                <w:lang w:eastAsia="lv-LV"/>
              </w:rPr>
            </w:pPr>
            <w:r w:rsidRPr="00573CE9">
              <w:rPr>
                <w:rFonts w:ascii="Times New Roman" w:eastAsia="Times New Roman" w:hAnsi="Times New Roman" w:cs="Times New Roman"/>
                <w:sz w:val="26"/>
                <w:szCs w:val="26"/>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64CB2389" w14:textId="77777777" w:rsidR="00D056AF" w:rsidRPr="00573CE9" w:rsidRDefault="00D056AF" w:rsidP="008269E4">
            <w:pPr>
              <w:contextualSpacing/>
              <w:rPr>
                <w:rFonts w:ascii="Times New Roman" w:eastAsia="Times New Roman" w:hAnsi="Times New Roman" w:cs="Times New Roman"/>
                <w:sz w:val="24"/>
                <w:szCs w:val="24"/>
                <w:lang w:eastAsia="lv-LV"/>
              </w:rPr>
            </w:pPr>
            <w:r w:rsidRPr="00573CE9">
              <w:rPr>
                <w:rFonts w:ascii="Times New Roman" w:eastAsia="Times New Roman" w:hAnsi="Times New Roman" w:cs="Times New Roman"/>
                <w:sz w:val="24"/>
                <w:szCs w:val="24"/>
                <w:lang w:eastAsia="lv-LV"/>
              </w:rPr>
              <w:t>Saistītie tiesību aktu projekti</w:t>
            </w:r>
          </w:p>
        </w:tc>
        <w:tc>
          <w:tcPr>
            <w:tcW w:w="3361" w:type="pct"/>
            <w:tcBorders>
              <w:top w:val="outset" w:sz="6" w:space="0" w:color="414142"/>
              <w:left w:val="outset" w:sz="6" w:space="0" w:color="414142"/>
              <w:bottom w:val="outset" w:sz="6" w:space="0" w:color="414142"/>
              <w:right w:val="outset" w:sz="6" w:space="0" w:color="414142"/>
            </w:tcBorders>
            <w:hideMark/>
          </w:tcPr>
          <w:p w14:paraId="044C46FE" w14:textId="28983970" w:rsidR="00D056AF" w:rsidRPr="00573CE9" w:rsidRDefault="00F263A0" w:rsidP="00D056AF">
            <w:pPr>
              <w:contextualSpacing/>
              <w:jc w:val="both"/>
              <w:rPr>
                <w:rFonts w:ascii="Times New Roman" w:hAnsi="Times New Roman" w:cs="Times New Roman"/>
                <w:sz w:val="24"/>
                <w:szCs w:val="24"/>
              </w:rPr>
            </w:pPr>
            <w:r w:rsidRPr="00573CE9">
              <w:rPr>
                <w:rFonts w:ascii="Times New Roman" w:hAnsi="Times New Roman" w:cs="Times New Roman"/>
                <w:sz w:val="24"/>
                <w:szCs w:val="24"/>
              </w:rPr>
              <w:t>2020.gada 2.janvāra Valsts sekretāru sanāksmē</w:t>
            </w:r>
            <w:r w:rsidR="006A5A74" w:rsidRPr="00573CE9">
              <w:rPr>
                <w:rFonts w:ascii="Times New Roman" w:hAnsi="Times New Roman" w:cs="Times New Roman"/>
                <w:sz w:val="24"/>
                <w:szCs w:val="24"/>
              </w:rPr>
              <w:t xml:space="preserve"> (turpmāk – VSS)</w:t>
            </w:r>
            <w:r w:rsidRPr="00573CE9">
              <w:rPr>
                <w:rFonts w:ascii="Times New Roman" w:hAnsi="Times New Roman" w:cs="Times New Roman"/>
                <w:sz w:val="24"/>
                <w:szCs w:val="24"/>
              </w:rPr>
              <w:t xml:space="preserve"> izsludināts  Ministru kabineta noteikumu projekts “Noteikumi par garantijām saimnieciskās darbības veicējiem konkurētspējas uzlabošanai”(VSS-1284, prot.Nr.1, 7.§), kas paredz izslēgt daudzdzīvokļu dzīvojamo māju energoefektivitātes paaugstināšanas pasākumu īstenošanai paredzēto garantiju nosacījumus</w:t>
            </w:r>
            <w:r w:rsidR="00811548" w:rsidRPr="00573CE9">
              <w:rPr>
                <w:rFonts w:ascii="Times New Roman" w:hAnsi="Times New Roman" w:cs="Times New Roman"/>
                <w:sz w:val="24"/>
                <w:szCs w:val="24"/>
              </w:rPr>
              <w:t>.</w:t>
            </w:r>
          </w:p>
          <w:p w14:paraId="72AC62E2" w14:textId="2F13557D" w:rsidR="006A5A74" w:rsidRPr="00573CE9" w:rsidRDefault="006A5A74" w:rsidP="00D056AF">
            <w:pPr>
              <w:contextualSpacing/>
              <w:jc w:val="both"/>
              <w:rPr>
                <w:rFonts w:ascii="Times New Roman" w:hAnsi="Times New Roman" w:cs="Times New Roman"/>
                <w:sz w:val="24"/>
                <w:szCs w:val="24"/>
              </w:rPr>
            </w:pPr>
            <w:r w:rsidRPr="00573CE9">
              <w:rPr>
                <w:rFonts w:ascii="Times New Roman" w:hAnsi="Times New Roman" w:cs="Times New Roman"/>
                <w:sz w:val="24"/>
                <w:szCs w:val="24"/>
              </w:rPr>
              <w:t>Grozījumi MK noteikumos Nr.160 tiks virzīti apstiprināšanai Ministru kabinetā vienlaicīgi vai pēc Valsts sekretāru sanāksmē 2020.gada 2.janvārī izsludinātā Ministru kabineta noteikumu projekta “Noteikumi par garantijām saimnieciskās darbības veicējiem konkurētspējas uzlabošanai” apstiprināšanas.</w:t>
            </w:r>
          </w:p>
        </w:tc>
      </w:tr>
      <w:tr w:rsidR="00D056AF" w:rsidRPr="00573CE9" w14:paraId="5C56B2B8" w14:textId="77777777" w:rsidTr="00914E96">
        <w:tc>
          <w:tcPr>
            <w:tcW w:w="250" w:type="pct"/>
            <w:tcBorders>
              <w:top w:val="outset" w:sz="6" w:space="0" w:color="414142"/>
              <w:left w:val="outset" w:sz="6" w:space="0" w:color="414142"/>
              <w:bottom w:val="outset" w:sz="6" w:space="0" w:color="414142"/>
              <w:right w:val="outset" w:sz="6" w:space="0" w:color="414142"/>
            </w:tcBorders>
            <w:hideMark/>
          </w:tcPr>
          <w:p w14:paraId="5C729252" w14:textId="77777777" w:rsidR="00D056AF" w:rsidRPr="00573CE9" w:rsidRDefault="00D056AF" w:rsidP="008269E4">
            <w:pPr>
              <w:contextualSpacing/>
              <w:rPr>
                <w:rFonts w:ascii="Times New Roman" w:eastAsia="Times New Roman" w:hAnsi="Times New Roman" w:cs="Times New Roman"/>
                <w:sz w:val="26"/>
                <w:szCs w:val="26"/>
                <w:lang w:eastAsia="lv-LV"/>
              </w:rPr>
            </w:pPr>
            <w:r w:rsidRPr="00573CE9">
              <w:rPr>
                <w:rFonts w:ascii="Times New Roman" w:eastAsia="Times New Roman" w:hAnsi="Times New Roman" w:cs="Times New Roman"/>
                <w:sz w:val="26"/>
                <w:szCs w:val="26"/>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3264496D" w14:textId="77777777" w:rsidR="00D056AF" w:rsidRPr="00573CE9" w:rsidRDefault="00D056AF" w:rsidP="008269E4">
            <w:pPr>
              <w:contextualSpacing/>
              <w:rPr>
                <w:rFonts w:ascii="Times New Roman" w:eastAsia="Times New Roman" w:hAnsi="Times New Roman" w:cs="Times New Roman"/>
                <w:sz w:val="24"/>
                <w:szCs w:val="24"/>
                <w:lang w:eastAsia="lv-LV"/>
              </w:rPr>
            </w:pPr>
            <w:r w:rsidRPr="00573CE9">
              <w:rPr>
                <w:rFonts w:ascii="Times New Roman" w:eastAsia="Times New Roman" w:hAnsi="Times New Roman" w:cs="Times New Roman"/>
                <w:sz w:val="24"/>
                <w:szCs w:val="24"/>
                <w:lang w:eastAsia="lv-LV"/>
              </w:rPr>
              <w:t>Atbildīgā institūcija</w:t>
            </w:r>
          </w:p>
        </w:tc>
        <w:tc>
          <w:tcPr>
            <w:tcW w:w="3361" w:type="pct"/>
            <w:tcBorders>
              <w:top w:val="outset" w:sz="6" w:space="0" w:color="414142"/>
              <w:left w:val="outset" w:sz="6" w:space="0" w:color="414142"/>
              <w:bottom w:val="outset" w:sz="6" w:space="0" w:color="414142"/>
              <w:right w:val="outset" w:sz="6" w:space="0" w:color="414142"/>
            </w:tcBorders>
            <w:hideMark/>
          </w:tcPr>
          <w:p w14:paraId="4C61BB2E" w14:textId="7A29A433" w:rsidR="00D056AF" w:rsidRPr="00573CE9" w:rsidRDefault="00D056AF" w:rsidP="008269E4">
            <w:pPr>
              <w:pStyle w:val="BodyText"/>
              <w:ind w:right="142"/>
              <w:contextualSpacing/>
              <w:rPr>
                <w:rFonts w:eastAsia="Calibri"/>
                <w:sz w:val="24"/>
                <w:szCs w:val="24"/>
                <w:lang w:eastAsia="en-US"/>
              </w:rPr>
            </w:pPr>
            <w:r w:rsidRPr="00573CE9">
              <w:rPr>
                <w:rFonts w:eastAsia="Calibri"/>
                <w:sz w:val="24"/>
                <w:szCs w:val="24"/>
                <w:lang w:eastAsia="en-US"/>
              </w:rPr>
              <w:t>Ekonomikas ministrija</w:t>
            </w:r>
            <w:r w:rsidR="00DD5A21" w:rsidRPr="00573CE9">
              <w:rPr>
                <w:rFonts w:eastAsia="Calibri"/>
                <w:sz w:val="24"/>
                <w:szCs w:val="24"/>
                <w:lang w:eastAsia="en-US"/>
              </w:rPr>
              <w:t>.</w:t>
            </w:r>
          </w:p>
        </w:tc>
      </w:tr>
      <w:tr w:rsidR="00D056AF" w:rsidRPr="00573CE9" w14:paraId="5C65C645" w14:textId="77777777" w:rsidTr="00914E96">
        <w:tc>
          <w:tcPr>
            <w:tcW w:w="250" w:type="pct"/>
            <w:tcBorders>
              <w:top w:val="outset" w:sz="6" w:space="0" w:color="414142"/>
              <w:left w:val="outset" w:sz="6" w:space="0" w:color="414142"/>
              <w:bottom w:val="outset" w:sz="6" w:space="0" w:color="414142"/>
              <w:right w:val="outset" w:sz="6" w:space="0" w:color="414142"/>
            </w:tcBorders>
            <w:hideMark/>
          </w:tcPr>
          <w:p w14:paraId="051322FA" w14:textId="77777777" w:rsidR="00D056AF" w:rsidRPr="00573CE9" w:rsidRDefault="00D056AF" w:rsidP="008269E4">
            <w:pPr>
              <w:contextualSpacing/>
              <w:rPr>
                <w:rFonts w:ascii="Times New Roman" w:eastAsia="Times New Roman" w:hAnsi="Times New Roman" w:cs="Times New Roman"/>
                <w:sz w:val="26"/>
                <w:szCs w:val="26"/>
                <w:lang w:eastAsia="lv-LV"/>
              </w:rPr>
            </w:pPr>
            <w:r w:rsidRPr="00573CE9">
              <w:rPr>
                <w:rFonts w:ascii="Times New Roman" w:eastAsia="Times New Roman" w:hAnsi="Times New Roman" w:cs="Times New Roman"/>
                <w:sz w:val="26"/>
                <w:szCs w:val="26"/>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4A317409" w14:textId="77777777" w:rsidR="00D056AF" w:rsidRPr="00573CE9" w:rsidRDefault="00D056AF" w:rsidP="008269E4">
            <w:pPr>
              <w:contextualSpacing/>
              <w:rPr>
                <w:rFonts w:ascii="Times New Roman" w:eastAsia="Times New Roman" w:hAnsi="Times New Roman" w:cs="Times New Roman"/>
                <w:sz w:val="24"/>
                <w:szCs w:val="24"/>
                <w:lang w:eastAsia="lv-LV"/>
              </w:rPr>
            </w:pPr>
            <w:r w:rsidRPr="00573CE9">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663D6558" w14:textId="2A8D3117" w:rsidR="00D056AF" w:rsidRPr="00573CE9" w:rsidRDefault="00D056AF" w:rsidP="008269E4">
            <w:pPr>
              <w:contextualSpacing/>
              <w:jc w:val="both"/>
              <w:rPr>
                <w:rFonts w:ascii="Times New Roman" w:hAnsi="Times New Roman" w:cs="Times New Roman"/>
                <w:sz w:val="24"/>
                <w:szCs w:val="24"/>
              </w:rPr>
            </w:pPr>
            <w:r w:rsidRPr="00573CE9">
              <w:rPr>
                <w:rFonts w:ascii="Times New Roman" w:hAnsi="Times New Roman" w:cs="Times New Roman"/>
                <w:sz w:val="24"/>
                <w:szCs w:val="24"/>
              </w:rPr>
              <w:t>Nav</w:t>
            </w:r>
            <w:r w:rsidR="00DD5A21" w:rsidRPr="00573CE9">
              <w:rPr>
                <w:rFonts w:ascii="Times New Roman" w:hAnsi="Times New Roman" w:cs="Times New Roman"/>
                <w:sz w:val="24"/>
                <w:szCs w:val="24"/>
              </w:rPr>
              <w:t>.</w:t>
            </w:r>
          </w:p>
        </w:tc>
      </w:tr>
    </w:tbl>
    <w:p w14:paraId="61C17EB7" w14:textId="6E496AC1" w:rsidR="008E6FFD" w:rsidRPr="00573CE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
        <w:gridCol w:w="2480"/>
        <w:gridCol w:w="6160"/>
      </w:tblGrid>
      <w:tr w:rsidR="00914E96" w:rsidRPr="00573CE9" w14:paraId="2ED6BADC" w14:textId="77777777" w:rsidTr="0028012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4713FD" w14:textId="77777777" w:rsidR="00914E96" w:rsidRPr="00573CE9" w:rsidRDefault="00914E96" w:rsidP="00280123">
            <w:pPr>
              <w:spacing w:after="0" w:line="240" w:lineRule="auto"/>
              <w:rPr>
                <w:rFonts w:ascii="Times New Roman" w:eastAsia="Times New Roman" w:hAnsi="Times New Roman" w:cs="Times New Roman"/>
                <w:b/>
                <w:bCs/>
                <w:iCs/>
                <w:sz w:val="24"/>
                <w:szCs w:val="24"/>
                <w:lang w:eastAsia="lv-LV"/>
              </w:rPr>
            </w:pPr>
            <w:r w:rsidRPr="00573CE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B61C4" w:rsidRPr="00573CE9" w14:paraId="7BDF39C9" w14:textId="77777777" w:rsidTr="006B61C4">
        <w:trPr>
          <w:tblCellSpacing w:w="15" w:type="dxa"/>
        </w:trPr>
        <w:tc>
          <w:tcPr>
            <w:tcW w:w="204" w:type="pct"/>
            <w:tcBorders>
              <w:top w:val="outset" w:sz="6" w:space="0" w:color="auto"/>
              <w:left w:val="outset" w:sz="6" w:space="0" w:color="auto"/>
              <w:bottom w:val="outset" w:sz="6" w:space="0" w:color="auto"/>
              <w:right w:val="outset" w:sz="6" w:space="0" w:color="auto"/>
            </w:tcBorders>
            <w:vAlign w:val="center"/>
          </w:tcPr>
          <w:p w14:paraId="70B778D1" w14:textId="0D7576AF" w:rsidR="006B61C4" w:rsidRPr="00573CE9" w:rsidRDefault="006B61C4" w:rsidP="00914E96">
            <w:pPr>
              <w:spacing w:after="0" w:line="240" w:lineRule="auto"/>
              <w:jc w:val="center"/>
              <w:rPr>
                <w:rFonts w:ascii="Times New Roman" w:eastAsia="Times New Roman" w:hAnsi="Times New Roman" w:cs="Times New Roman"/>
                <w:b/>
                <w:bCs/>
                <w:iCs/>
                <w:sz w:val="24"/>
                <w:szCs w:val="24"/>
                <w:lang w:eastAsia="lv-LV"/>
              </w:rPr>
            </w:pPr>
            <w:r w:rsidRPr="00573CE9">
              <w:rPr>
                <w:rFonts w:ascii="Times New Roman" w:eastAsia="Times New Roman" w:hAnsi="Times New Roman" w:cs="Times New Roman"/>
                <w:b/>
                <w:bCs/>
                <w:iCs/>
                <w:sz w:val="24"/>
                <w:szCs w:val="24"/>
                <w:lang w:eastAsia="lv-LV"/>
              </w:rPr>
              <w:t>1.</w:t>
            </w:r>
          </w:p>
        </w:tc>
        <w:tc>
          <w:tcPr>
            <w:tcW w:w="1353" w:type="pct"/>
            <w:tcBorders>
              <w:top w:val="outset" w:sz="6" w:space="0" w:color="auto"/>
              <w:left w:val="outset" w:sz="6" w:space="0" w:color="auto"/>
              <w:bottom w:val="outset" w:sz="6" w:space="0" w:color="auto"/>
              <w:right w:val="outset" w:sz="6" w:space="0" w:color="auto"/>
            </w:tcBorders>
            <w:vAlign w:val="center"/>
          </w:tcPr>
          <w:p w14:paraId="30702F62" w14:textId="2BA39DA0" w:rsidR="006B61C4" w:rsidRPr="00573CE9" w:rsidRDefault="006B61C4" w:rsidP="006B61C4">
            <w:pPr>
              <w:spacing w:after="0" w:line="240" w:lineRule="auto"/>
              <w:rPr>
                <w:rFonts w:ascii="Times New Roman" w:eastAsia="Times New Roman" w:hAnsi="Times New Roman" w:cs="Times New Roman"/>
                <w:b/>
                <w:bCs/>
                <w:iCs/>
                <w:sz w:val="24"/>
                <w:szCs w:val="24"/>
                <w:lang w:eastAsia="lv-LV"/>
              </w:rPr>
            </w:pPr>
            <w:r w:rsidRPr="00573CE9">
              <w:rPr>
                <w:rFonts w:ascii="Times New Roman" w:eastAsia="Times New Roman" w:hAnsi="Times New Roman" w:cs="Times New Roman"/>
                <w:sz w:val="26"/>
                <w:szCs w:val="26"/>
                <w:lang w:eastAsia="lv-LV"/>
              </w:rPr>
              <w:t>Saistības pret Eiropas Savienību</w:t>
            </w:r>
          </w:p>
        </w:tc>
        <w:tc>
          <w:tcPr>
            <w:tcW w:w="3376" w:type="pct"/>
            <w:tcBorders>
              <w:top w:val="outset" w:sz="6" w:space="0" w:color="auto"/>
              <w:left w:val="outset" w:sz="6" w:space="0" w:color="auto"/>
              <w:bottom w:val="outset" w:sz="6" w:space="0" w:color="auto"/>
              <w:right w:val="outset" w:sz="6" w:space="0" w:color="auto"/>
            </w:tcBorders>
            <w:vAlign w:val="center"/>
          </w:tcPr>
          <w:p w14:paraId="459BD53C" w14:textId="3D3FC1C6" w:rsidR="005E4ED5" w:rsidRPr="002C38A8" w:rsidRDefault="006B61C4" w:rsidP="002C38A8">
            <w:pPr>
              <w:pStyle w:val="ListParagraph"/>
              <w:numPr>
                <w:ilvl w:val="0"/>
                <w:numId w:val="15"/>
              </w:numPr>
              <w:ind w:left="432"/>
              <w:jc w:val="both"/>
              <w:rPr>
                <w:b/>
                <w:bCs/>
                <w:iCs/>
                <w:sz w:val="24"/>
                <w:szCs w:val="24"/>
              </w:rPr>
            </w:pPr>
            <w:r w:rsidRPr="002C38A8">
              <w:rPr>
                <w:iCs/>
                <w:sz w:val="24"/>
                <w:szCs w:val="24"/>
              </w:rPr>
              <w:t xml:space="preserve">Komisijas </w:t>
            </w:r>
            <w:r w:rsidR="005E4ED5" w:rsidRPr="002C38A8">
              <w:rPr>
                <w:iCs/>
                <w:sz w:val="24"/>
                <w:szCs w:val="24"/>
              </w:rPr>
              <w:t>r</w:t>
            </w:r>
            <w:r w:rsidRPr="002C38A8">
              <w:rPr>
                <w:iCs/>
                <w:sz w:val="24"/>
                <w:szCs w:val="24"/>
              </w:rPr>
              <w:t>egula</w:t>
            </w:r>
            <w:r w:rsidR="005E4ED5" w:rsidRPr="002C38A8">
              <w:rPr>
                <w:iCs/>
                <w:sz w:val="24"/>
                <w:szCs w:val="24"/>
              </w:rPr>
              <w:t xml:space="preserve"> </w:t>
            </w:r>
            <w:r w:rsidRPr="002C38A8">
              <w:rPr>
                <w:iCs/>
                <w:sz w:val="24"/>
                <w:szCs w:val="24"/>
              </w:rPr>
              <w:t>Nr. 1407/2013</w:t>
            </w:r>
            <w:r w:rsidR="005E4ED5">
              <w:rPr>
                <w:iCs/>
                <w:sz w:val="24"/>
                <w:szCs w:val="24"/>
              </w:rPr>
              <w:t>;</w:t>
            </w:r>
          </w:p>
          <w:p w14:paraId="055DD5C9" w14:textId="0650332C" w:rsidR="005E4ED5" w:rsidRPr="002C38A8" w:rsidRDefault="005E4ED5" w:rsidP="002C38A8">
            <w:pPr>
              <w:pStyle w:val="ListParagraph"/>
              <w:numPr>
                <w:ilvl w:val="0"/>
                <w:numId w:val="15"/>
              </w:numPr>
              <w:ind w:left="432"/>
              <w:jc w:val="both"/>
              <w:rPr>
                <w:iCs/>
                <w:sz w:val="24"/>
                <w:szCs w:val="24"/>
              </w:rPr>
            </w:pPr>
            <w:r w:rsidRPr="002C38A8">
              <w:rPr>
                <w:iCs/>
                <w:sz w:val="24"/>
                <w:szCs w:val="24"/>
              </w:rPr>
              <w:t>Eiropas Komisijas 2014. gada 17. jūnija Regulas (ES) Nr. 651/2014, ar ko noteiktas atbalsta kategorijas atzīst par saderīgām ar iekšējo tirgu, piemērojot Līguma 107. un 108. panta (turpmāk – Komisijas regula Nr. 651/2014)</w:t>
            </w:r>
            <w:r>
              <w:rPr>
                <w:iCs/>
                <w:sz w:val="24"/>
                <w:szCs w:val="24"/>
              </w:rPr>
              <w:t>.</w:t>
            </w:r>
          </w:p>
        </w:tc>
      </w:tr>
      <w:tr w:rsidR="006B61C4" w:rsidRPr="00573CE9" w14:paraId="773AC692" w14:textId="77777777" w:rsidTr="006B61C4">
        <w:trPr>
          <w:tblCellSpacing w:w="15" w:type="dxa"/>
        </w:trPr>
        <w:tc>
          <w:tcPr>
            <w:tcW w:w="204" w:type="pct"/>
            <w:tcBorders>
              <w:top w:val="outset" w:sz="6" w:space="0" w:color="auto"/>
              <w:left w:val="outset" w:sz="6" w:space="0" w:color="auto"/>
              <w:bottom w:val="outset" w:sz="6" w:space="0" w:color="auto"/>
              <w:right w:val="outset" w:sz="6" w:space="0" w:color="auto"/>
            </w:tcBorders>
            <w:vAlign w:val="center"/>
          </w:tcPr>
          <w:p w14:paraId="0507604B" w14:textId="607E46CC" w:rsidR="006B61C4" w:rsidRPr="00573CE9" w:rsidRDefault="006B61C4" w:rsidP="00914E96">
            <w:pPr>
              <w:spacing w:after="0" w:line="240" w:lineRule="auto"/>
              <w:jc w:val="center"/>
              <w:rPr>
                <w:rFonts w:ascii="Times New Roman" w:eastAsia="Times New Roman" w:hAnsi="Times New Roman" w:cs="Times New Roman"/>
                <w:b/>
                <w:bCs/>
                <w:iCs/>
                <w:sz w:val="24"/>
                <w:szCs w:val="24"/>
                <w:lang w:eastAsia="lv-LV"/>
              </w:rPr>
            </w:pPr>
            <w:r w:rsidRPr="00573CE9">
              <w:rPr>
                <w:rFonts w:ascii="Times New Roman" w:eastAsia="Times New Roman" w:hAnsi="Times New Roman" w:cs="Times New Roman"/>
                <w:b/>
                <w:bCs/>
                <w:iCs/>
                <w:sz w:val="24"/>
                <w:szCs w:val="24"/>
                <w:lang w:eastAsia="lv-LV"/>
              </w:rPr>
              <w:t>2.</w:t>
            </w:r>
          </w:p>
        </w:tc>
        <w:tc>
          <w:tcPr>
            <w:tcW w:w="1353" w:type="pct"/>
            <w:tcBorders>
              <w:top w:val="outset" w:sz="6" w:space="0" w:color="auto"/>
              <w:left w:val="outset" w:sz="6" w:space="0" w:color="auto"/>
              <w:bottom w:val="outset" w:sz="6" w:space="0" w:color="auto"/>
              <w:right w:val="outset" w:sz="6" w:space="0" w:color="auto"/>
            </w:tcBorders>
            <w:vAlign w:val="center"/>
          </w:tcPr>
          <w:p w14:paraId="0705DED0" w14:textId="10A7D67D" w:rsidR="006B61C4" w:rsidRPr="00573CE9" w:rsidRDefault="006B61C4" w:rsidP="006B61C4">
            <w:pPr>
              <w:spacing w:after="0" w:line="240" w:lineRule="auto"/>
              <w:rPr>
                <w:rFonts w:ascii="Times New Roman" w:eastAsia="Times New Roman" w:hAnsi="Times New Roman" w:cs="Times New Roman"/>
                <w:sz w:val="26"/>
                <w:szCs w:val="26"/>
                <w:lang w:eastAsia="lv-LV"/>
              </w:rPr>
            </w:pPr>
            <w:r w:rsidRPr="00573CE9">
              <w:rPr>
                <w:rFonts w:ascii="Times New Roman" w:eastAsia="Times New Roman" w:hAnsi="Times New Roman" w:cs="Times New Roman"/>
                <w:sz w:val="26"/>
                <w:szCs w:val="26"/>
                <w:lang w:eastAsia="lv-LV"/>
              </w:rPr>
              <w:t>Citas starptautiskās saistības</w:t>
            </w:r>
          </w:p>
        </w:tc>
        <w:tc>
          <w:tcPr>
            <w:tcW w:w="3376" w:type="pct"/>
            <w:tcBorders>
              <w:top w:val="outset" w:sz="6" w:space="0" w:color="auto"/>
              <w:left w:val="outset" w:sz="6" w:space="0" w:color="auto"/>
              <w:bottom w:val="outset" w:sz="6" w:space="0" w:color="auto"/>
              <w:right w:val="outset" w:sz="6" w:space="0" w:color="auto"/>
            </w:tcBorders>
            <w:vAlign w:val="center"/>
          </w:tcPr>
          <w:p w14:paraId="07418292" w14:textId="4295AAC7" w:rsidR="006B61C4" w:rsidRPr="00573CE9" w:rsidRDefault="006B61C4" w:rsidP="006B61C4">
            <w:pPr>
              <w:spacing w:after="0" w:line="240" w:lineRule="auto"/>
              <w:rPr>
                <w:rFonts w:ascii="Times New Roman" w:eastAsia="Times New Roman" w:hAnsi="Times New Roman" w:cs="Times New Roman"/>
                <w:iCs/>
                <w:sz w:val="24"/>
                <w:szCs w:val="24"/>
                <w:lang w:eastAsia="lv-LV"/>
              </w:rPr>
            </w:pPr>
            <w:r w:rsidRPr="00573CE9">
              <w:rPr>
                <w:rFonts w:ascii="Times New Roman" w:eastAsia="Times New Roman" w:hAnsi="Times New Roman" w:cs="Times New Roman"/>
                <w:iCs/>
                <w:sz w:val="24"/>
                <w:szCs w:val="24"/>
                <w:lang w:eastAsia="lv-LV"/>
              </w:rPr>
              <w:t>Projekts šo jomu neskar</w:t>
            </w:r>
          </w:p>
        </w:tc>
      </w:tr>
      <w:tr w:rsidR="006B61C4" w:rsidRPr="00573CE9" w14:paraId="6864EA06" w14:textId="77777777" w:rsidTr="006B61C4">
        <w:trPr>
          <w:tblCellSpacing w:w="15" w:type="dxa"/>
        </w:trPr>
        <w:tc>
          <w:tcPr>
            <w:tcW w:w="204" w:type="pct"/>
            <w:tcBorders>
              <w:top w:val="outset" w:sz="6" w:space="0" w:color="auto"/>
              <w:left w:val="outset" w:sz="6" w:space="0" w:color="auto"/>
              <w:bottom w:val="outset" w:sz="6" w:space="0" w:color="auto"/>
              <w:right w:val="outset" w:sz="6" w:space="0" w:color="auto"/>
            </w:tcBorders>
            <w:vAlign w:val="center"/>
          </w:tcPr>
          <w:p w14:paraId="169CD9BE" w14:textId="704815F6" w:rsidR="006B61C4" w:rsidRPr="00573CE9" w:rsidRDefault="006B61C4" w:rsidP="006B61C4">
            <w:pPr>
              <w:spacing w:after="0" w:line="240" w:lineRule="auto"/>
              <w:jc w:val="center"/>
              <w:rPr>
                <w:rFonts w:ascii="Times New Roman" w:eastAsia="Times New Roman" w:hAnsi="Times New Roman" w:cs="Times New Roman"/>
                <w:b/>
                <w:bCs/>
                <w:iCs/>
                <w:sz w:val="24"/>
                <w:szCs w:val="24"/>
                <w:lang w:eastAsia="lv-LV"/>
              </w:rPr>
            </w:pPr>
            <w:r w:rsidRPr="00573CE9">
              <w:rPr>
                <w:rFonts w:ascii="Times New Roman" w:eastAsia="Times New Roman" w:hAnsi="Times New Roman" w:cs="Times New Roman"/>
                <w:b/>
                <w:bCs/>
                <w:iCs/>
                <w:sz w:val="24"/>
                <w:szCs w:val="24"/>
                <w:lang w:eastAsia="lv-LV"/>
              </w:rPr>
              <w:t>3.</w:t>
            </w:r>
          </w:p>
        </w:tc>
        <w:tc>
          <w:tcPr>
            <w:tcW w:w="1353" w:type="pct"/>
            <w:tcBorders>
              <w:top w:val="outset" w:sz="6" w:space="0" w:color="auto"/>
              <w:left w:val="outset" w:sz="6" w:space="0" w:color="auto"/>
              <w:bottom w:val="outset" w:sz="6" w:space="0" w:color="auto"/>
              <w:right w:val="outset" w:sz="6" w:space="0" w:color="auto"/>
            </w:tcBorders>
            <w:vAlign w:val="center"/>
          </w:tcPr>
          <w:p w14:paraId="1A5A138F" w14:textId="2D5E291E" w:rsidR="006B61C4" w:rsidRPr="00573CE9" w:rsidRDefault="006B61C4" w:rsidP="006B61C4">
            <w:pPr>
              <w:spacing w:after="0" w:line="240" w:lineRule="auto"/>
              <w:rPr>
                <w:rFonts w:ascii="Times New Roman" w:eastAsia="Times New Roman" w:hAnsi="Times New Roman" w:cs="Times New Roman"/>
                <w:sz w:val="26"/>
                <w:szCs w:val="26"/>
                <w:lang w:eastAsia="lv-LV"/>
              </w:rPr>
            </w:pPr>
            <w:r w:rsidRPr="00573CE9">
              <w:rPr>
                <w:rFonts w:ascii="Times New Roman" w:eastAsia="Times New Roman" w:hAnsi="Times New Roman" w:cs="Times New Roman"/>
                <w:sz w:val="26"/>
                <w:szCs w:val="26"/>
                <w:lang w:eastAsia="lv-LV"/>
              </w:rPr>
              <w:t>Cita informācija</w:t>
            </w:r>
          </w:p>
        </w:tc>
        <w:tc>
          <w:tcPr>
            <w:tcW w:w="3376" w:type="pct"/>
            <w:tcBorders>
              <w:top w:val="outset" w:sz="6" w:space="0" w:color="auto"/>
              <w:left w:val="outset" w:sz="6" w:space="0" w:color="auto"/>
              <w:bottom w:val="outset" w:sz="6" w:space="0" w:color="auto"/>
              <w:right w:val="outset" w:sz="6" w:space="0" w:color="auto"/>
            </w:tcBorders>
          </w:tcPr>
          <w:p w14:paraId="0CAD1E02" w14:textId="0180BFF8" w:rsidR="006B61C4" w:rsidRPr="00573CE9" w:rsidRDefault="006B61C4" w:rsidP="006B61C4">
            <w:pPr>
              <w:spacing w:after="0" w:line="240" w:lineRule="auto"/>
              <w:rPr>
                <w:rFonts w:ascii="Times New Roman" w:eastAsia="Times New Roman" w:hAnsi="Times New Roman" w:cs="Times New Roman"/>
                <w:iCs/>
                <w:sz w:val="24"/>
                <w:szCs w:val="24"/>
                <w:lang w:eastAsia="lv-LV"/>
              </w:rPr>
            </w:pPr>
            <w:r w:rsidRPr="00573CE9">
              <w:rPr>
                <w:rFonts w:ascii="Times New Roman" w:eastAsia="Times New Roman" w:hAnsi="Times New Roman" w:cs="Times New Roman"/>
                <w:iCs/>
                <w:sz w:val="24"/>
                <w:szCs w:val="24"/>
                <w:lang w:eastAsia="lv-LV"/>
              </w:rPr>
              <w:t xml:space="preserve">Nav </w:t>
            </w:r>
          </w:p>
        </w:tc>
      </w:tr>
    </w:tbl>
    <w:p w14:paraId="065EFA4D" w14:textId="5FC8F6F1" w:rsidR="003072A1" w:rsidRPr="00573CE9" w:rsidRDefault="003072A1" w:rsidP="00E5323B">
      <w:pPr>
        <w:spacing w:after="0" w:line="240" w:lineRule="auto"/>
        <w:rPr>
          <w:rFonts w:ascii="Times New Roman" w:eastAsia="Times New Roman" w:hAnsi="Times New Roman" w:cs="Times New Roman"/>
          <w:iCs/>
          <w:color w:val="000000" w:themeColor="text1"/>
          <w:sz w:val="24"/>
          <w:szCs w:val="24"/>
          <w:lang w:eastAsia="lv-LV"/>
        </w:rPr>
      </w:pPr>
    </w:p>
    <w:p w14:paraId="46AE7942" w14:textId="77777777" w:rsidR="006B61C4" w:rsidRPr="00573CE9" w:rsidRDefault="003072A1" w:rsidP="00E5323B">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 xml:space="preserve"> </w:t>
      </w:r>
    </w:p>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64"/>
        <w:gridCol w:w="2264"/>
        <w:gridCol w:w="1985"/>
        <w:gridCol w:w="2692"/>
      </w:tblGrid>
      <w:tr w:rsidR="006B61C4" w:rsidRPr="00573CE9" w14:paraId="7EC2FB31" w14:textId="77777777" w:rsidTr="009F0F5C">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E50379" w14:textId="77777777" w:rsidR="006B61C4" w:rsidRPr="00573CE9" w:rsidRDefault="006B61C4" w:rsidP="009F0F5C">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sidRPr="00573CE9">
              <w:rPr>
                <w:rFonts w:ascii="Times New Roman" w:eastAsia="Times New Roman" w:hAnsi="Times New Roman" w:cs="Times New Roman"/>
                <w:b/>
                <w:bCs/>
                <w:color w:val="414142"/>
                <w:sz w:val="26"/>
                <w:szCs w:val="26"/>
                <w:lang w:eastAsia="lv-LV"/>
              </w:rPr>
              <w:t>1. tabula</w:t>
            </w:r>
            <w:r w:rsidRPr="00573CE9">
              <w:rPr>
                <w:rFonts w:ascii="Times New Roman" w:eastAsia="Times New Roman" w:hAnsi="Times New Roman" w:cs="Times New Roman"/>
                <w:b/>
                <w:bCs/>
                <w:color w:val="414142"/>
                <w:sz w:val="26"/>
                <w:szCs w:val="26"/>
                <w:lang w:eastAsia="lv-LV"/>
              </w:rPr>
              <w:br/>
              <w:t>Tiesību akta projekta atbilstība ES tiesību aktiem</w:t>
            </w:r>
          </w:p>
        </w:tc>
      </w:tr>
      <w:tr w:rsidR="006B61C4" w:rsidRPr="00573CE9" w14:paraId="542FFF4A" w14:textId="77777777" w:rsidTr="009F0F5C">
        <w:tc>
          <w:tcPr>
            <w:tcW w:w="1230" w:type="pct"/>
            <w:tcBorders>
              <w:top w:val="outset" w:sz="6" w:space="0" w:color="414142"/>
              <w:left w:val="outset" w:sz="6" w:space="0" w:color="414142"/>
              <w:bottom w:val="outset" w:sz="6" w:space="0" w:color="414142"/>
              <w:right w:val="outset" w:sz="6" w:space="0" w:color="414142"/>
            </w:tcBorders>
            <w:shd w:val="clear" w:color="auto" w:fill="FFFFFF"/>
            <w:hideMark/>
          </w:tcPr>
          <w:p w14:paraId="192B7686" w14:textId="77777777" w:rsidR="006B61C4" w:rsidRPr="00573CE9" w:rsidRDefault="006B61C4" w:rsidP="009F0F5C">
            <w:pPr>
              <w:rPr>
                <w:rFonts w:ascii="Times New Roman" w:eastAsia="Times New Roman" w:hAnsi="Times New Roman" w:cs="Times New Roman"/>
                <w:color w:val="414142"/>
                <w:sz w:val="26"/>
                <w:szCs w:val="26"/>
                <w:lang w:eastAsia="lv-LV"/>
              </w:rPr>
            </w:pPr>
            <w:r w:rsidRPr="00573CE9">
              <w:rPr>
                <w:rFonts w:ascii="Times New Roman" w:eastAsia="Times New Roman" w:hAnsi="Times New Roman" w:cs="Times New Roman"/>
                <w:color w:val="414142"/>
                <w:sz w:val="26"/>
                <w:szCs w:val="26"/>
                <w:lang w:eastAsia="lv-LV"/>
              </w:rPr>
              <w:lastRenderedPageBreak/>
              <w:t>Attiecīgā ES tiesību akta datums, numurs un nosaukums</w:t>
            </w:r>
          </w:p>
        </w:tc>
        <w:tc>
          <w:tcPr>
            <w:tcW w:w="377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36E9F90" w14:textId="77777777" w:rsidR="006B61C4" w:rsidRPr="00573CE9" w:rsidRDefault="006B61C4" w:rsidP="00CE28CE">
            <w:pPr>
              <w:pStyle w:val="naiskr"/>
              <w:spacing w:before="0" w:after="0"/>
              <w:ind w:right="250"/>
              <w:jc w:val="both"/>
              <w:rPr>
                <w:color w:val="414142"/>
                <w:sz w:val="26"/>
                <w:szCs w:val="26"/>
              </w:rPr>
            </w:pPr>
            <w:r w:rsidRPr="00573CE9">
              <w:rPr>
                <w:color w:val="414142"/>
                <w:sz w:val="26"/>
                <w:szCs w:val="26"/>
              </w:rPr>
              <w:t>Ar Noteikumu projektu tiek ieviestas šādas Eiropas Savienības tiesību aktu prasības:</w:t>
            </w:r>
          </w:p>
          <w:p w14:paraId="1E214019" w14:textId="77777777" w:rsidR="005E4ED5" w:rsidRPr="005E4ED5" w:rsidRDefault="005E4ED5" w:rsidP="004E44A9">
            <w:pPr>
              <w:pStyle w:val="naiskr"/>
              <w:numPr>
                <w:ilvl w:val="0"/>
                <w:numId w:val="14"/>
              </w:numPr>
              <w:spacing w:after="0"/>
              <w:ind w:left="400" w:right="250"/>
              <w:jc w:val="both"/>
              <w:rPr>
                <w:color w:val="000000"/>
                <w:sz w:val="26"/>
                <w:szCs w:val="26"/>
                <w:lang w:eastAsia="en-US"/>
              </w:rPr>
            </w:pPr>
            <w:r w:rsidRPr="005E4ED5">
              <w:rPr>
                <w:color w:val="000000"/>
                <w:sz w:val="26"/>
                <w:szCs w:val="26"/>
                <w:lang w:eastAsia="en-US"/>
              </w:rPr>
              <w:t>Komisijas regula Nr. 1407/2013;</w:t>
            </w:r>
          </w:p>
          <w:p w14:paraId="7C4A9480" w14:textId="3DC5CAA6" w:rsidR="006B61C4" w:rsidRPr="00573CE9" w:rsidRDefault="005E4ED5" w:rsidP="00F96B92">
            <w:pPr>
              <w:pStyle w:val="naiskr"/>
              <w:numPr>
                <w:ilvl w:val="0"/>
                <w:numId w:val="14"/>
              </w:numPr>
              <w:spacing w:before="0" w:after="0"/>
              <w:ind w:left="400" w:right="250"/>
              <w:jc w:val="both"/>
              <w:rPr>
                <w:color w:val="000000"/>
                <w:sz w:val="26"/>
                <w:szCs w:val="26"/>
                <w:lang w:eastAsia="en-US"/>
              </w:rPr>
            </w:pPr>
            <w:r w:rsidRPr="005E4ED5">
              <w:rPr>
                <w:color w:val="000000"/>
                <w:sz w:val="26"/>
                <w:szCs w:val="26"/>
                <w:lang w:eastAsia="en-US"/>
              </w:rPr>
              <w:t>Komisijas regula Nr. 651/2014</w:t>
            </w:r>
            <w:r w:rsidR="00F96B92">
              <w:rPr>
                <w:color w:val="000000"/>
                <w:sz w:val="26"/>
                <w:szCs w:val="26"/>
                <w:lang w:eastAsia="en-US"/>
              </w:rPr>
              <w:t>.</w:t>
            </w:r>
          </w:p>
        </w:tc>
      </w:tr>
      <w:tr w:rsidR="006B61C4" w:rsidRPr="00573CE9" w14:paraId="3810954C" w14:textId="77777777" w:rsidTr="009F0F5C">
        <w:tc>
          <w:tcPr>
            <w:tcW w:w="123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0619F69" w14:textId="77777777" w:rsidR="006B61C4" w:rsidRPr="00573CE9" w:rsidRDefault="006B61C4" w:rsidP="009F0F5C">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573CE9">
              <w:rPr>
                <w:rFonts w:ascii="Times New Roman" w:eastAsia="Times New Roman" w:hAnsi="Times New Roman" w:cs="Times New Roman"/>
                <w:color w:val="414142"/>
                <w:sz w:val="26"/>
                <w:szCs w:val="26"/>
                <w:lang w:eastAsia="lv-LV"/>
              </w:rPr>
              <w:t>A</w:t>
            </w:r>
          </w:p>
        </w:tc>
        <w:tc>
          <w:tcPr>
            <w:tcW w:w="123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4C2D5DB4" w14:textId="77777777" w:rsidR="006B61C4" w:rsidRPr="00573CE9" w:rsidRDefault="006B61C4" w:rsidP="009F0F5C">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573CE9">
              <w:rPr>
                <w:rFonts w:ascii="Times New Roman" w:eastAsia="Times New Roman" w:hAnsi="Times New Roman" w:cs="Times New Roman"/>
                <w:color w:val="414142"/>
                <w:sz w:val="26"/>
                <w:szCs w:val="26"/>
                <w:lang w:eastAsia="lv-LV"/>
              </w:rPr>
              <w:t>B</w:t>
            </w:r>
          </w:p>
        </w:tc>
        <w:tc>
          <w:tcPr>
            <w:tcW w:w="1078"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370A513" w14:textId="77777777" w:rsidR="006B61C4" w:rsidRPr="00573CE9" w:rsidRDefault="006B61C4" w:rsidP="009F0F5C">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573CE9">
              <w:rPr>
                <w:rFonts w:ascii="Times New Roman" w:eastAsia="Times New Roman" w:hAnsi="Times New Roman" w:cs="Times New Roman"/>
                <w:color w:val="414142"/>
                <w:sz w:val="26"/>
                <w:szCs w:val="26"/>
                <w:lang w:eastAsia="lv-LV"/>
              </w:rPr>
              <w:t>C</w:t>
            </w:r>
          </w:p>
        </w:tc>
        <w:tc>
          <w:tcPr>
            <w:tcW w:w="1462"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37985D9" w14:textId="77777777" w:rsidR="006B61C4" w:rsidRPr="00573CE9" w:rsidRDefault="006B61C4" w:rsidP="009F0F5C">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573CE9">
              <w:rPr>
                <w:rFonts w:ascii="Times New Roman" w:eastAsia="Times New Roman" w:hAnsi="Times New Roman" w:cs="Times New Roman"/>
                <w:color w:val="414142"/>
                <w:sz w:val="26"/>
                <w:szCs w:val="26"/>
                <w:lang w:eastAsia="lv-LV"/>
              </w:rPr>
              <w:t>D</w:t>
            </w:r>
          </w:p>
        </w:tc>
      </w:tr>
      <w:tr w:rsidR="005E4ED5" w:rsidRPr="00573CE9" w14:paraId="747C3073" w14:textId="77777777" w:rsidTr="005E4ED5">
        <w:tc>
          <w:tcPr>
            <w:tcW w:w="1230" w:type="pct"/>
            <w:tcBorders>
              <w:top w:val="outset" w:sz="6" w:space="0" w:color="414142"/>
              <w:left w:val="outset" w:sz="6" w:space="0" w:color="414142"/>
              <w:bottom w:val="single" w:sz="4" w:space="0" w:color="auto"/>
              <w:right w:val="outset" w:sz="6" w:space="0" w:color="414142"/>
            </w:tcBorders>
            <w:shd w:val="clear" w:color="auto" w:fill="FFFFFF"/>
            <w:vAlign w:val="center"/>
          </w:tcPr>
          <w:p w14:paraId="4D7BA802" w14:textId="74D3FA3D" w:rsidR="005E4ED5" w:rsidRPr="00756524" w:rsidRDefault="005E4ED5" w:rsidP="00756524">
            <w:pPr>
              <w:spacing w:before="100" w:beforeAutospacing="1" w:after="100" w:afterAutospacing="1" w:line="293" w:lineRule="atLeast"/>
              <w:rPr>
                <w:rFonts w:ascii="Times New Roman" w:eastAsia="Times New Roman" w:hAnsi="Times New Roman" w:cs="Times New Roman"/>
                <w:i/>
                <w:iCs/>
                <w:color w:val="414142"/>
                <w:sz w:val="26"/>
                <w:szCs w:val="26"/>
                <w:lang w:eastAsia="lv-LV"/>
              </w:rPr>
            </w:pPr>
            <w:r w:rsidRPr="00756524">
              <w:rPr>
                <w:rFonts w:ascii="Times New Roman" w:eastAsia="Times New Roman" w:hAnsi="Times New Roman" w:cs="Times New Roman"/>
                <w:i/>
                <w:iCs/>
                <w:color w:val="414142"/>
                <w:sz w:val="26"/>
                <w:szCs w:val="26"/>
                <w:lang w:eastAsia="lv-LV"/>
              </w:rPr>
              <w:t>Komisijas regulas Nr. 651/2014 1. pielikums</w:t>
            </w:r>
          </w:p>
        </w:tc>
        <w:tc>
          <w:tcPr>
            <w:tcW w:w="1230" w:type="pct"/>
            <w:tcBorders>
              <w:top w:val="outset" w:sz="6" w:space="0" w:color="414142"/>
              <w:left w:val="outset" w:sz="6" w:space="0" w:color="414142"/>
              <w:bottom w:val="single" w:sz="4" w:space="0" w:color="auto"/>
              <w:right w:val="outset" w:sz="6" w:space="0" w:color="414142"/>
            </w:tcBorders>
            <w:shd w:val="clear" w:color="auto" w:fill="FFFFFF"/>
            <w:vAlign w:val="center"/>
          </w:tcPr>
          <w:p w14:paraId="1BE9243A" w14:textId="1C422798" w:rsidR="005E4ED5" w:rsidRPr="0029204C" w:rsidRDefault="005E4ED5" w:rsidP="0029204C">
            <w:pPr>
              <w:ind w:right="105"/>
              <w:rPr>
                <w:rFonts w:ascii="Times New Roman" w:hAnsi="Times New Roman" w:cs="Times New Roman"/>
                <w:iCs/>
                <w:color w:val="000000"/>
                <w:sz w:val="24"/>
                <w:szCs w:val="24"/>
              </w:rPr>
            </w:pPr>
            <w:r w:rsidRPr="0029204C">
              <w:rPr>
                <w:rFonts w:ascii="Times New Roman" w:hAnsi="Times New Roman" w:cs="Times New Roman"/>
                <w:iCs/>
                <w:color w:val="000000"/>
                <w:sz w:val="24"/>
                <w:szCs w:val="24"/>
              </w:rPr>
              <w:t>Noteikumu projekta 6. punkts</w:t>
            </w:r>
          </w:p>
        </w:tc>
        <w:tc>
          <w:tcPr>
            <w:tcW w:w="1078" w:type="pct"/>
            <w:tcBorders>
              <w:top w:val="outset" w:sz="6" w:space="0" w:color="414142"/>
              <w:left w:val="outset" w:sz="6" w:space="0" w:color="414142"/>
              <w:bottom w:val="single" w:sz="4" w:space="0" w:color="auto"/>
              <w:right w:val="outset" w:sz="6" w:space="0" w:color="414142"/>
            </w:tcBorders>
            <w:shd w:val="clear" w:color="auto" w:fill="FFFFFF"/>
          </w:tcPr>
          <w:p w14:paraId="5A1F9431" w14:textId="3BBACA8F" w:rsidR="005E4ED5" w:rsidRPr="00756524" w:rsidRDefault="005E4ED5" w:rsidP="0075652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756524">
              <w:rPr>
                <w:rFonts w:ascii="Times New Roman" w:hAnsi="Times New Roman" w:cs="Times New Roman"/>
                <w:iCs/>
                <w:color w:val="000000"/>
                <w:sz w:val="24"/>
                <w:szCs w:val="24"/>
              </w:rPr>
              <w:t>Ieviests pilnībā</w:t>
            </w:r>
          </w:p>
        </w:tc>
        <w:tc>
          <w:tcPr>
            <w:tcW w:w="1462" w:type="pct"/>
            <w:tcBorders>
              <w:top w:val="outset" w:sz="6" w:space="0" w:color="414142"/>
              <w:left w:val="outset" w:sz="6" w:space="0" w:color="414142"/>
              <w:bottom w:val="single" w:sz="4" w:space="0" w:color="auto"/>
              <w:right w:val="outset" w:sz="6" w:space="0" w:color="414142"/>
            </w:tcBorders>
            <w:shd w:val="clear" w:color="auto" w:fill="FFFFFF"/>
          </w:tcPr>
          <w:p w14:paraId="088514D0" w14:textId="07F9B1CF" w:rsidR="005E4ED5" w:rsidRPr="00756524" w:rsidRDefault="005E4ED5" w:rsidP="0075652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756524">
              <w:rPr>
                <w:rFonts w:ascii="Times New Roman" w:hAnsi="Times New Roman" w:cs="Times New Roman"/>
                <w:iCs/>
                <w:color w:val="000000"/>
                <w:sz w:val="24"/>
                <w:szCs w:val="24"/>
              </w:rPr>
              <w:t>Neparedz stingrākas prasības</w:t>
            </w:r>
          </w:p>
        </w:tc>
      </w:tr>
      <w:tr w:rsidR="005E4ED5" w:rsidRPr="00573CE9" w14:paraId="5387EE7A" w14:textId="77777777" w:rsidTr="005E4ED5">
        <w:tc>
          <w:tcPr>
            <w:tcW w:w="1230" w:type="pct"/>
            <w:tcBorders>
              <w:top w:val="outset" w:sz="6" w:space="0" w:color="414142"/>
              <w:left w:val="outset" w:sz="6" w:space="0" w:color="414142"/>
              <w:bottom w:val="single" w:sz="4" w:space="0" w:color="auto"/>
              <w:right w:val="outset" w:sz="6" w:space="0" w:color="414142"/>
            </w:tcBorders>
            <w:shd w:val="clear" w:color="auto" w:fill="FFFFFF"/>
            <w:vAlign w:val="center"/>
          </w:tcPr>
          <w:p w14:paraId="7B2A5364" w14:textId="7BA45565" w:rsidR="005E4ED5" w:rsidRPr="00756524" w:rsidRDefault="005E4ED5" w:rsidP="00756524">
            <w:pPr>
              <w:spacing w:before="100" w:beforeAutospacing="1" w:after="100" w:afterAutospacing="1" w:line="293" w:lineRule="atLeast"/>
              <w:rPr>
                <w:rFonts w:ascii="Times New Roman" w:eastAsia="Times New Roman" w:hAnsi="Times New Roman" w:cs="Times New Roman"/>
                <w:i/>
                <w:iCs/>
                <w:color w:val="414142"/>
                <w:sz w:val="26"/>
                <w:szCs w:val="26"/>
                <w:lang w:eastAsia="lv-LV"/>
              </w:rPr>
            </w:pPr>
            <w:r w:rsidRPr="00756524">
              <w:rPr>
                <w:rFonts w:ascii="Times New Roman" w:eastAsia="Times New Roman" w:hAnsi="Times New Roman" w:cs="Times New Roman"/>
                <w:i/>
                <w:iCs/>
                <w:color w:val="414142"/>
                <w:sz w:val="26"/>
                <w:szCs w:val="26"/>
                <w:lang w:eastAsia="lv-LV"/>
              </w:rPr>
              <w:t>Komisijas regulas Nr. 651/2014 2.panta 24.punkts</w:t>
            </w:r>
          </w:p>
        </w:tc>
        <w:tc>
          <w:tcPr>
            <w:tcW w:w="1230" w:type="pct"/>
            <w:tcBorders>
              <w:top w:val="outset" w:sz="6" w:space="0" w:color="414142"/>
              <w:left w:val="outset" w:sz="6" w:space="0" w:color="414142"/>
              <w:bottom w:val="single" w:sz="4" w:space="0" w:color="auto"/>
              <w:right w:val="outset" w:sz="6" w:space="0" w:color="414142"/>
            </w:tcBorders>
            <w:shd w:val="clear" w:color="auto" w:fill="FFFFFF"/>
            <w:vAlign w:val="center"/>
          </w:tcPr>
          <w:p w14:paraId="21CE0AE2" w14:textId="1E55C9D2" w:rsidR="005E4ED5" w:rsidRPr="0029204C" w:rsidRDefault="005E4ED5" w:rsidP="0029204C">
            <w:pPr>
              <w:ind w:right="105"/>
              <w:rPr>
                <w:rFonts w:ascii="Times New Roman" w:hAnsi="Times New Roman" w:cs="Times New Roman"/>
                <w:iCs/>
                <w:color w:val="000000"/>
                <w:sz w:val="24"/>
                <w:szCs w:val="24"/>
              </w:rPr>
            </w:pPr>
            <w:r w:rsidRPr="0029204C">
              <w:rPr>
                <w:rFonts w:ascii="Times New Roman" w:hAnsi="Times New Roman" w:cs="Times New Roman"/>
                <w:iCs/>
                <w:color w:val="000000"/>
                <w:sz w:val="24"/>
                <w:szCs w:val="24"/>
              </w:rPr>
              <w:t>Noteikumu projekta 6. punkts</w:t>
            </w:r>
          </w:p>
        </w:tc>
        <w:tc>
          <w:tcPr>
            <w:tcW w:w="1078" w:type="pct"/>
            <w:tcBorders>
              <w:top w:val="outset" w:sz="6" w:space="0" w:color="414142"/>
              <w:left w:val="outset" w:sz="6" w:space="0" w:color="414142"/>
              <w:bottom w:val="single" w:sz="4" w:space="0" w:color="auto"/>
              <w:right w:val="outset" w:sz="6" w:space="0" w:color="414142"/>
            </w:tcBorders>
            <w:shd w:val="clear" w:color="auto" w:fill="FFFFFF"/>
          </w:tcPr>
          <w:p w14:paraId="788434C6" w14:textId="11270E38" w:rsidR="005E4ED5" w:rsidRPr="00756524" w:rsidRDefault="005E4ED5" w:rsidP="0075652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756524">
              <w:rPr>
                <w:rFonts w:ascii="Times New Roman" w:hAnsi="Times New Roman" w:cs="Times New Roman"/>
                <w:iCs/>
                <w:color w:val="000000"/>
                <w:sz w:val="24"/>
                <w:szCs w:val="24"/>
              </w:rPr>
              <w:t>Ieviests pilnībā</w:t>
            </w:r>
          </w:p>
        </w:tc>
        <w:tc>
          <w:tcPr>
            <w:tcW w:w="1462" w:type="pct"/>
            <w:tcBorders>
              <w:top w:val="outset" w:sz="6" w:space="0" w:color="414142"/>
              <w:left w:val="outset" w:sz="6" w:space="0" w:color="414142"/>
              <w:bottom w:val="single" w:sz="4" w:space="0" w:color="auto"/>
              <w:right w:val="outset" w:sz="6" w:space="0" w:color="414142"/>
            </w:tcBorders>
            <w:shd w:val="clear" w:color="auto" w:fill="FFFFFF"/>
          </w:tcPr>
          <w:p w14:paraId="02E9845F" w14:textId="225940C7" w:rsidR="005E4ED5" w:rsidRPr="00756524" w:rsidRDefault="005E4ED5" w:rsidP="0075652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756524">
              <w:rPr>
                <w:rFonts w:ascii="Times New Roman" w:hAnsi="Times New Roman" w:cs="Times New Roman"/>
                <w:iCs/>
                <w:color w:val="000000"/>
                <w:sz w:val="24"/>
                <w:szCs w:val="24"/>
              </w:rPr>
              <w:t>Neparedz stingrākas prasības</w:t>
            </w:r>
          </w:p>
        </w:tc>
      </w:tr>
      <w:tr w:rsidR="00756524" w:rsidRPr="00573CE9" w14:paraId="227B6C09" w14:textId="77777777" w:rsidTr="009F0F5C">
        <w:tc>
          <w:tcPr>
            <w:tcW w:w="1230" w:type="pct"/>
            <w:tcBorders>
              <w:top w:val="single" w:sz="4" w:space="0" w:color="auto"/>
              <w:left w:val="single" w:sz="4" w:space="0" w:color="auto"/>
              <w:bottom w:val="single" w:sz="4" w:space="0" w:color="auto"/>
              <w:right w:val="single" w:sz="4" w:space="0" w:color="auto"/>
            </w:tcBorders>
            <w:shd w:val="clear" w:color="auto" w:fill="auto"/>
          </w:tcPr>
          <w:p w14:paraId="25D7E83C" w14:textId="553B1E68" w:rsidR="00756524" w:rsidRPr="00573CE9" w:rsidRDefault="00756524" w:rsidP="00756524">
            <w:pPr>
              <w:rPr>
                <w:rFonts w:ascii="Times New Roman" w:hAnsi="Times New Roman" w:cs="Times New Roman"/>
                <w:i/>
                <w:color w:val="000000"/>
                <w:sz w:val="24"/>
                <w:szCs w:val="24"/>
              </w:rPr>
            </w:pPr>
            <w:r w:rsidRPr="00573CE9">
              <w:rPr>
                <w:rFonts w:ascii="Times New Roman" w:hAnsi="Times New Roman" w:cs="Times New Roman"/>
                <w:i/>
                <w:color w:val="000000"/>
                <w:sz w:val="24"/>
                <w:szCs w:val="24"/>
              </w:rPr>
              <w:t xml:space="preserve">Komisijas Regulas Nr.1407/2013 4.panta 6.punkta  </w:t>
            </w:r>
            <w:r>
              <w:rPr>
                <w:rFonts w:ascii="Times New Roman" w:hAnsi="Times New Roman" w:cs="Times New Roman"/>
                <w:i/>
                <w:color w:val="000000"/>
                <w:sz w:val="24"/>
                <w:szCs w:val="24"/>
              </w:rPr>
              <w:t>b</w:t>
            </w:r>
            <w:r w:rsidRPr="00573CE9">
              <w:rPr>
                <w:rFonts w:ascii="Times New Roman" w:hAnsi="Times New Roman" w:cs="Times New Roman"/>
                <w:i/>
                <w:color w:val="000000"/>
                <w:sz w:val="24"/>
                <w:szCs w:val="24"/>
              </w:rPr>
              <w:t>) apakšpunkts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6F505DC" w14:textId="2A2FCF78" w:rsidR="00756524" w:rsidRPr="002C38A8" w:rsidRDefault="00756524" w:rsidP="00756524">
            <w:pPr>
              <w:ind w:right="105"/>
              <w:rPr>
                <w:rFonts w:ascii="Times New Roman" w:hAnsi="Times New Roman" w:cs="Times New Roman"/>
                <w:iCs/>
                <w:color w:val="000000"/>
                <w:sz w:val="24"/>
                <w:szCs w:val="24"/>
              </w:rPr>
            </w:pPr>
            <w:r w:rsidRPr="00756524">
              <w:rPr>
                <w:rFonts w:ascii="Times New Roman" w:hAnsi="Times New Roman" w:cs="Times New Roman"/>
                <w:iCs/>
                <w:color w:val="000000"/>
                <w:sz w:val="24"/>
                <w:szCs w:val="24"/>
              </w:rPr>
              <w:t xml:space="preserve">Noteikumu projekta </w:t>
            </w:r>
            <w:r w:rsidR="002D2708">
              <w:rPr>
                <w:rFonts w:ascii="Times New Roman" w:hAnsi="Times New Roman" w:cs="Times New Roman"/>
                <w:iCs/>
                <w:color w:val="000000"/>
                <w:sz w:val="24"/>
                <w:szCs w:val="24"/>
              </w:rPr>
              <w:t>7</w:t>
            </w:r>
            <w:r w:rsidRPr="00756524">
              <w:rPr>
                <w:rFonts w:ascii="Times New Roman" w:hAnsi="Times New Roman" w:cs="Times New Roman"/>
                <w:iCs/>
                <w:color w:val="000000"/>
                <w:sz w:val="24"/>
                <w:szCs w:val="24"/>
              </w:rPr>
              <w:t>. un 9.punkts.</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60EEAE60" w14:textId="3ABC8CE7" w:rsidR="00756524" w:rsidRPr="00756524" w:rsidRDefault="00756524" w:rsidP="00756524">
            <w:pPr>
              <w:rPr>
                <w:rFonts w:ascii="Times New Roman" w:hAnsi="Times New Roman" w:cs="Times New Roman"/>
                <w:iCs/>
                <w:color w:val="000000"/>
                <w:sz w:val="24"/>
                <w:szCs w:val="24"/>
              </w:rPr>
            </w:pPr>
            <w:r w:rsidRPr="00756524">
              <w:rPr>
                <w:rFonts w:ascii="Times New Roman" w:hAnsi="Times New Roman" w:cs="Times New Roman"/>
                <w:iCs/>
                <w:color w:val="000000"/>
                <w:sz w:val="24"/>
                <w:szCs w:val="24"/>
              </w:rPr>
              <w:t>Ieviests pilnībā</w:t>
            </w:r>
          </w:p>
        </w:tc>
        <w:tc>
          <w:tcPr>
            <w:tcW w:w="1462" w:type="pct"/>
            <w:tcBorders>
              <w:top w:val="single" w:sz="4" w:space="0" w:color="auto"/>
              <w:left w:val="single" w:sz="4" w:space="0" w:color="auto"/>
              <w:bottom w:val="single" w:sz="4" w:space="0" w:color="auto"/>
              <w:right w:val="single" w:sz="4" w:space="0" w:color="auto"/>
            </w:tcBorders>
            <w:shd w:val="clear" w:color="auto" w:fill="auto"/>
          </w:tcPr>
          <w:p w14:paraId="3FA47077" w14:textId="6E765567" w:rsidR="00756524" w:rsidRPr="00756524" w:rsidRDefault="00756524" w:rsidP="00756524">
            <w:pPr>
              <w:ind w:right="109"/>
              <w:rPr>
                <w:rFonts w:ascii="Times New Roman" w:hAnsi="Times New Roman" w:cs="Times New Roman"/>
                <w:iCs/>
                <w:color w:val="000000"/>
                <w:sz w:val="24"/>
                <w:szCs w:val="24"/>
              </w:rPr>
            </w:pPr>
            <w:r w:rsidRPr="00756524">
              <w:rPr>
                <w:rFonts w:ascii="Times New Roman" w:hAnsi="Times New Roman" w:cs="Times New Roman"/>
                <w:iCs/>
                <w:color w:val="000000"/>
                <w:sz w:val="24"/>
                <w:szCs w:val="24"/>
              </w:rPr>
              <w:t>Neparedz stingrākas prasības</w:t>
            </w:r>
          </w:p>
        </w:tc>
      </w:tr>
      <w:tr w:rsidR="006B61C4" w:rsidRPr="00573CE9" w14:paraId="2D998106" w14:textId="77777777" w:rsidTr="009F0F5C">
        <w:tc>
          <w:tcPr>
            <w:tcW w:w="1230" w:type="pct"/>
            <w:tcBorders>
              <w:top w:val="single" w:sz="4" w:space="0" w:color="auto"/>
              <w:left w:val="outset" w:sz="6" w:space="0" w:color="414142"/>
              <w:bottom w:val="outset" w:sz="6" w:space="0" w:color="414142"/>
              <w:right w:val="outset" w:sz="6" w:space="0" w:color="414142"/>
            </w:tcBorders>
            <w:shd w:val="clear" w:color="auto" w:fill="FFFFFF"/>
            <w:hideMark/>
          </w:tcPr>
          <w:p w14:paraId="0C95114E" w14:textId="77777777" w:rsidR="006B61C4" w:rsidRPr="00573CE9" w:rsidRDefault="006B61C4" w:rsidP="009F0F5C">
            <w:pPr>
              <w:rPr>
                <w:rFonts w:ascii="Times New Roman" w:eastAsia="Times New Roman" w:hAnsi="Times New Roman" w:cs="Times New Roman"/>
                <w:color w:val="414142"/>
                <w:sz w:val="26"/>
                <w:szCs w:val="26"/>
                <w:lang w:eastAsia="lv-LV"/>
              </w:rPr>
            </w:pPr>
            <w:r w:rsidRPr="00573CE9">
              <w:rPr>
                <w:rFonts w:ascii="Times New Roman" w:eastAsia="Times New Roman" w:hAnsi="Times New Roman" w:cs="Times New Roman"/>
                <w:color w:val="414142"/>
                <w:sz w:val="26"/>
                <w:szCs w:val="26"/>
                <w:lang w:eastAsia="lv-LV"/>
              </w:rPr>
              <w:t>Kā ir izmantota ES tiesību aktā paredzētā rīcības brīvība dalībvalstij pārņemt vai ieviest noteiktas ES tiesību akta normas? Kādēļ?</w:t>
            </w:r>
          </w:p>
        </w:tc>
        <w:tc>
          <w:tcPr>
            <w:tcW w:w="3770" w:type="pct"/>
            <w:gridSpan w:val="3"/>
            <w:tcBorders>
              <w:top w:val="single" w:sz="4" w:space="0" w:color="auto"/>
              <w:left w:val="single" w:sz="4" w:space="0" w:color="auto"/>
              <w:bottom w:val="single" w:sz="4" w:space="0" w:color="auto"/>
              <w:right w:val="single" w:sz="4" w:space="0" w:color="auto"/>
            </w:tcBorders>
            <w:hideMark/>
          </w:tcPr>
          <w:p w14:paraId="4DC58559" w14:textId="77777777" w:rsidR="006B61C4" w:rsidRPr="00573CE9" w:rsidRDefault="006B61C4" w:rsidP="009F0F5C">
            <w:pPr>
              <w:rPr>
                <w:rFonts w:ascii="Times New Roman" w:eastAsia="Times New Roman" w:hAnsi="Times New Roman" w:cs="Times New Roman"/>
                <w:color w:val="414142"/>
                <w:sz w:val="26"/>
                <w:szCs w:val="26"/>
                <w:lang w:eastAsia="lv-LV"/>
              </w:rPr>
            </w:pPr>
            <w:r w:rsidRPr="00573CE9">
              <w:rPr>
                <w:rFonts w:ascii="Times New Roman" w:eastAsia="Times New Roman" w:hAnsi="Times New Roman" w:cs="Times New Roman"/>
                <w:sz w:val="26"/>
                <w:szCs w:val="26"/>
              </w:rPr>
              <w:t>Projekts šo jomu neskar.</w:t>
            </w:r>
          </w:p>
        </w:tc>
      </w:tr>
      <w:tr w:rsidR="006B61C4" w:rsidRPr="00573CE9" w14:paraId="27C28121" w14:textId="77777777" w:rsidTr="009F0F5C">
        <w:tc>
          <w:tcPr>
            <w:tcW w:w="1230" w:type="pct"/>
            <w:tcBorders>
              <w:top w:val="outset" w:sz="6" w:space="0" w:color="414142"/>
              <w:left w:val="outset" w:sz="6" w:space="0" w:color="414142"/>
              <w:bottom w:val="outset" w:sz="6" w:space="0" w:color="414142"/>
              <w:right w:val="outset" w:sz="6" w:space="0" w:color="414142"/>
            </w:tcBorders>
            <w:shd w:val="clear" w:color="auto" w:fill="FFFFFF"/>
            <w:hideMark/>
          </w:tcPr>
          <w:p w14:paraId="74F786E9" w14:textId="77777777" w:rsidR="006B61C4" w:rsidRPr="00573CE9" w:rsidRDefault="006B61C4" w:rsidP="009F0F5C">
            <w:pPr>
              <w:rPr>
                <w:rFonts w:ascii="Times New Roman" w:eastAsia="Times New Roman" w:hAnsi="Times New Roman" w:cs="Times New Roman"/>
                <w:color w:val="414142"/>
                <w:sz w:val="26"/>
                <w:szCs w:val="26"/>
                <w:lang w:eastAsia="lv-LV"/>
              </w:rPr>
            </w:pPr>
            <w:r w:rsidRPr="00573CE9">
              <w:rPr>
                <w:rFonts w:ascii="Times New Roman" w:eastAsia="Times New Roman" w:hAnsi="Times New Roman" w:cs="Times New Roman"/>
                <w:color w:val="414142"/>
                <w:sz w:val="26"/>
                <w:szCs w:val="26"/>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70" w:type="pct"/>
            <w:gridSpan w:val="3"/>
            <w:tcBorders>
              <w:top w:val="single" w:sz="4" w:space="0" w:color="auto"/>
              <w:left w:val="single" w:sz="4" w:space="0" w:color="auto"/>
              <w:bottom w:val="single" w:sz="4" w:space="0" w:color="auto"/>
              <w:right w:val="single" w:sz="4" w:space="0" w:color="auto"/>
            </w:tcBorders>
            <w:hideMark/>
          </w:tcPr>
          <w:p w14:paraId="56FFA0A3" w14:textId="77777777" w:rsidR="006B61C4" w:rsidRPr="00573CE9" w:rsidRDefault="006B61C4" w:rsidP="009F0F5C">
            <w:pPr>
              <w:rPr>
                <w:rFonts w:ascii="Times New Roman" w:eastAsia="Times New Roman" w:hAnsi="Times New Roman" w:cs="Times New Roman"/>
                <w:color w:val="414142"/>
                <w:sz w:val="26"/>
                <w:szCs w:val="26"/>
                <w:lang w:eastAsia="lv-LV"/>
              </w:rPr>
            </w:pPr>
            <w:r w:rsidRPr="00573CE9">
              <w:rPr>
                <w:rFonts w:ascii="Times New Roman" w:eastAsia="Times New Roman" w:hAnsi="Times New Roman" w:cs="Times New Roman"/>
                <w:sz w:val="26"/>
                <w:szCs w:val="26"/>
              </w:rPr>
              <w:t>Projekts šo jomu neskar.</w:t>
            </w:r>
          </w:p>
        </w:tc>
      </w:tr>
      <w:tr w:rsidR="006B61C4" w:rsidRPr="00F96B92" w14:paraId="11C33584" w14:textId="77777777" w:rsidTr="009F0F5C">
        <w:tc>
          <w:tcPr>
            <w:tcW w:w="1230" w:type="pct"/>
            <w:tcBorders>
              <w:top w:val="outset" w:sz="6" w:space="0" w:color="414142"/>
              <w:left w:val="outset" w:sz="6" w:space="0" w:color="414142"/>
              <w:bottom w:val="outset" w:sz="6" w:space="0" w:color="414142"/>
              <w:right w:val="outset" w:sz="6" w:space="0" w:color="414142"/>
            </w:tcBorders>
            <w:shd w:val="clear" w:color="auto" w:fill="FFFFFF"/>
            <w:hideMark/>
          </w:tcPr>
          <w:p w14:paraId="6BE0A8C0" w14:textId="77777777" w:rsidR="006B61C4" w:rsidRPr="00F96B92" w:rsidRDefault="006B61C4" w:rsidP="009F0F5C">
            <w:pPr>
              <w:rPr>
                <w:rFonts w:ascii="Times New Roman" w:eastAsia="Times New Roman" w:hAnsi="Times New Roman" w:cs="Times New Roman"/>
                <w:color w:val="414142"/>
                <w:sz w:val="26"/>
                <w:szCs w:val="26"/>
                <w:lang w:eastAsia="lv-LV"/>
              </w:rPr>
            </w:pPr>
            <w:r w:rsidRPr="00F96B92">
              <w:rPr>
                <w:rFonts w:ascii="Times New Roman" w:eastAsia="Times New Roman" w:hAnsi="Times New Roman" w:cs="Times New Roman"/>
                <w:color w:val="414142"/>
                <w:sz w:val="26"/>
                <w:szCs w:val="26"/>
                <w:lang w:eastAsia="lv-LV"/>
              </w:rPr>
              <w:t>Cita informācija</w:t>
            </w:r>
          </w:p>
        </w:tc>
        <w:tc>
          <w:tcPr>
            <w:tcW w:w="3770" w:type="pct"/>
            <w:gridSpan w:val="3"/>
            <w:tcBorders>
              <w:top w:val="single" w:sz="4" w:space="0" w:color="auto"/>
              <w:left w:val="single" w:sz="4" w:space="0" w:color="auto"/>
              <w:bottom w:val="single" w:sz="4" w:space="0" w:color="auto"/>
              <w:right w:val="single" w:sz="4" w:space="0" w:color="auto"/>
            </w:tcBorders>
            <w:hideMark/>
          </w:tcPr>
          <w:p w14:paraId="24B6BED2" w14:textId="4F90F4F0" w:rsidR="006B61C4" w:rsidRPr="00F96B92" w:rsidRDefault="00F96B92" w:rsidP="00F96B92">
            <w:pPr>
              <w:jc w:val="both"/>
              <w:rPr>
                <w:rFonts w:ascii="Times New Roman" w:eastAsia="Times New Roman" w:hAnsi="Times New Roman" w:cs="Times New Roman"/>
                <w:color w:val="414142"/>
                <w:sz w:val="26"/>
                <w:szCs w:val="26"/>
                <w:lang w:eastAsia="lv-LV"/>
              </w:rPr>
            </w:pPr>
            <w:r w:rsidRPr="00F96B92">
              <w:rPr>
                <w:rFonts w:ascii="Times New Roman" w:hAnsi="Times New Roman" w:cs="Times New Roman"/>
                <w:color w:val="000000"/>
                <w:sz w:val="26"/>
                <w:szCs w:val="26"/>
              </w:rPr>
              <w:t>Ar Noteikumu projektu tiek ievies</w:t>
            </w:r>
            <w:r>
              <w:rPr>
                <w:rFonts w:ascii="Times New Roman" w:hAnsi="Times New Roman" w:cs="Times New Roman"/>
                <w:color w:val="000000"/>
                <w:sz w:val="26"/>
                <w:szCs w:val="26"/>
              </w:rPr>
              <w:t xml:space="preserve">ts </w:t>
            </w:r>
            <w:r w:rsidRPr="00F96B92">
              <w:rPr>
                <w:rFonts w:ascii="Times New Roman" w:hAnsi="Times New Roman" w:cs="Times New Roman"/>
                <w:color w:val="000000"/>
                <w:sz w:val="26"/>
                <w:szCs w:val="26"/>
              </w:rPr>
              <w:t>Komisijas paziņojums par EK līguma 87. un 88. panta piemērošanu valsts atbalstam garantiju veidā.</w:t>
            </w:r>
          </w:p>
        </w:tc>
      </w:tr>
    </w:tbl>
    <w:p w14:paraId="1F4F2383" w14:textId="29F56849" w:rsidR="00E5323B" w:rsidRPr="00573CE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p w14:paraId="3EEB58C2" w14:textId="77777777" w:rsidR="006B61C4" w:rsidRPr="00573CE9" w:rsidRDefault="006B61C4"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3070"/>
        <w:gridCol w:w="5426"/>
      </w:tblGrid>
      <w:tr w:rsidR="003D1800" w:rsidRPr="00573CE9" w14:paraId="6229310D" w14:textId="77777777" w:rsidTr="0054488C">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3A121129" w14:textId="77777777" w:rsidR="00655F2C" w:rsidRPr="00573CE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573CE9">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3D1800" w:rsidRPr="00573CE9" w14:paraId="20A56262" w14:textId="77777777" w:rsidTr="0054488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14BB3C9" w14:textId="77777777" w:rsidR="00655F2C" w:rsidRPr="00573CE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1.</w:t>
            </w:r>
          </w:p>
        </w:tc>
        <w:tc>
          <w:tcPr>
            <w:tcW w:w="3040" w:type="dxa"/>
            <w:tcBorders>
              <w:top w:val="outset" w:sz="6" w:space="0" w:color="auto"/>
              <w:left w:val="outset" w:sz="6" w:space="0" w:color="auto"/>
              <w:bottom w:val="outset" w:sz="6" w:space="0" w:color="auto"/>
              <w:right w:val="outset" w:sz="6" w:space="0" w:color="auto"/>
            </w:tcBorders>
            <w:hideMark/>
          </w:tcPr>
          <w:p w14:paraId="303D0DB9" w14:textId="77777777" w:rsidR="00E5323B" w:rsidRPr="00573CE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5381" w:type="dxa"/>
            <w:tcBorders>
              <w:top w:val="outset" w:sz="6" w:space="0" w:color="auto"/>
              <w:left w:val="outset" w:sz="6" w:space="0" w:color="auto"/>
              <w:bottom w:val="outset" w:sz="6" w:space="0" w:color="auto"/>
              <w:right w:val="outset" w:sz="6" w:space="0" w:color="auto"/>
            </w:tcBorders>
            <w:hideMark/>
          </w:tcPr>
          <w:p w14:paraId="7D2E9016" w14:textId="5EAE6632" w:rsidR="004F3222" w:rsidRPr="00573CE9" w:rsidRDefault="004F3222" w:rsidP="00F441DB">
            <w:pPr>
              <w:spacing w:after="0" w:line="240" w:lineRule="auto"/>
              <w:jc w:val="both"/>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sz w:val="24"/>
                <w:szCs w:val="24"/>
                <w:lang w:eastAsia="lv-LV"/>
              </w:rPr>
              <w:t>Atbilstoši Ministru kabineta 2009. gada 25. augusta noteikumiem Nr. 970 "Sabiedrības līdzdalības kārtība attīstības plānošanas procesā", lai informētu sabiedrību par noteikumu projektu un dotu iespēju izteikt viedokli, informācija par noteikumu projektu ievietota Ekonomikas ministrijas un Valsts kancelejas mājaslapā.</w:t>
            </w:r>
          </w:p>
          <w:p w14:paraId="314434AB" w14:textId="4F98845B" w:rsidR="00E5323B" w:rsidRPr="00573CE9" w:rsidRDefault="004F3222" w:rsidP="00F441DB">
            <w:pPr>
              <w:spacing w:after="0" w:line="240" w:lineRule="auto"/>
              <w:jc w:val="both"/>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Tāpat p</w:t>
            </w:r>
            <w:r w:rsidR="00E75D95" w:rsidRPr="00573CE9">
              <w:rPr>
                <w:rFonts w:ascii="Times New Roman" w:eastAsia="Times New Roman" w:hAnsi="Times New Roman" w:cs="Times New Roman"/>
                <w:iCs/>
                <w:color w:val="000000" w:themeColor="text1"/>
                <w:sz w:val="24"/>
                <w:szCs w:val="24"/>
                <w:lang w:eastAsia="lv-LV"/>
              </w:rPr>
              <w:t xml:space="preserve">ēc noteikumu projekta </w:t>
            </w:r>
            <w:r w:rsidRPr="00573CE9">
              <w:rPr>
                <w:rFonts w:ascii="Times New Roman" w:eastAsia="Times New Roman" w:hAnsi="Times New Roman" w:cs="Times New Roman"/>
                <w:iCs/>
                <w:color w:val="000000" w:themeColor="text1"/>
                <w:sz w:val="24"/>
                <w:szCs w:val="24"/>
                <w:lang w:eastAsia="lv-LV"/>
              </w:rPr>
              <w:t>spēkā stāšanās</w:t>
            </w:r>
            <w:r w:rsidR="00E75D95" w:rsidRPr="00573CE9">
              <w:rPr>
                <w:rFonts w:ascii="Times New Roman" w:eastAsia="Times New Roman" w:hAnsi="Times New Roman" w:cs="Times New Roman"/>
                <w:iCs/>
                <w:color w:val="000000" w:themeColor="text1"/>
                <w:sz w:val="24"/>
                <w:szCs w:val="24"/>
                <w:lang w:eastAsia="lv-LV"/>
              </w:rPr>
              <w:t xml:space="preserve"> sabiedrība “</w:t>
            </w:r>
            <w:proofErr w:type="spellStart"/>
            <w:r w:rsidR="00E75D95" w:rsidRPr="00573CE9">
              <w:rPr>
                <w:rFonts w:ascii="Times New Roman" w:eastAsia="Times New Roman" w:hAnsi="Times New Roman" w:cs="Times New Roman"/>
                <w:iCs/>
                <w:color w:val="000000" w:themeColor="text1"/>
                <w:sz w:val="24"/>
                <w:szCs w:val="24"/>
                <w:lang w:eastAsia="lv-LV"/>
              </w:rPr>
              <w:t>Altum</w:t>
            </w:r>
            <w:proofErr w:type="spellEnd"/>
            <w:r w:rsidR="00E75D95" w:rsidRPr="00573CE9">
              <w:rPr>
                <w:rFonts w:ascii="Times New Roman" w:eastAsia="Times New Roman" w:hAnsi="Times New Roman" w:cs="Times New Roman"/>
                <w:iCs/>
                <w:color w:val="000000" w:themeColor="text1"/>
                <w:sz w:val="24"/>
                <w:szCs w:val="24"/>
                <w:lang w:eastAsia="lv-LV"/>
              </w:rPr>
              <w:t>”</w:t>
            </w:r>
            <w:r w:rsidRPr="00573CE9">
              <w:rPr>
                <w:rFonts w:ascii="Times New Roman" w:eastAsia="Times New Roman" w:hAnsi="Times New Roman" w:cs="Times New Roman"/>
                <w:iCs/>
                <w:color w:val="000000" w:themeColor="text1"/>
                <w:sz w:val="24"/>
                <w:szCs w:val="24"/>
                <w:lang w:eastAsia="lv-LV"/>
              </w:rPr>
              <w:t xml:space="preserve"> plāno </w:t>
            </w:r>
            <w:r w:rsidR="00E75D95" w:rsidRPr="00573CE9">
              <w:rPr>
                <w:rFonts w:ascii="Times New Roman" w:eastAsia="Times New Roman" w:hAnsi="Times New Roman" w:cs="Times New Roman"/>
                <w:iCs/>
                <w:color w:val="000000" w:themeColor="text1"/>
                <w:sz w:val="24"/>
                <w:szCs w:val="24"/>
                <w:lang w:eastAsia="lv-LV"/>
              </w:rPr>
              <w:t xml:space="preserve"> nodrošinā</w:t>
            </w:r>
            <w:r w:rsidRPr="00573CE9">
              <w:rPr>
                <w:rFonts w:ascii="Times New Roman" w:eastAsia="Times New Roman" w:hAnsi="Times New Roman" w:cs="Times New Roman"/>
                <w:iCs/>
                <w:color w:val="000000" w:themeColor="text1"/>
                <w:sz w:val="24"/>
                <w:szCs w:val="24"/>
                <w:lang w:eastAsia="lv-LV"/>
              </w:rPr>
              <w:t>t</w:t>
            </w:r>
            <w:r w:rsidR="00E75D95" w:rsidRPr="00573CE9">
              <w:rPr>
                <w:rFonts w:ascii="Times New Roman" w:eastAsia="Times New Roman" w:hAnsi="Times New Roman" w:cs="Times New Roman"/>
                <w:iCs/>
                <w:color w:val="000000" w:themeColor="text1"/>
                <w:sz w:val="24"/>
                <w:szCs w:val="24"/>
                <w:lang w:eastAsia="lv-LV"/>
              </w:rPr>
              <w:t xml:space="preserve"> </w:t>
            </w:r>
            <w:r w:rsidRPr="00573CE9">
              <w:rPr>
                <w:rFonts w:ascii="Times New Roman" w:eastAsia="Times New Roman" w:hAnsi="Times New Roman" w:cs="Times New Roman"/>
                <w:iCs/>
                <w:color w:val="000000" w:themeColor="text1"/>
                <w:sz w:val="24"/>
                <w:szCs w:val="24"/>
                <w:lang w:eastAsia="lv-LV"/>
              </w:rPr>
              <w:t xml:space="preserve">sabiedrības </w:t>
            </w:r>
            <w:r w:rsidR="00E75D95" w:rsidRPr="00573CE9">
              <w:rPr>
                <w:rFonts w:ascii="Times New Roman" w:eastAsia="Times New Roman" w:hAnsi="Times New Roman" w:cs="Times New Roman"/>
                <w:iCs/>
                <w:color w:val="000000" w:themeColor="text1"/>
                <w:sz w:val="24"/>
                <w:szCs w:val="24"/>
                <w:lang w:eastAsia="lv-LV"/>
              </w:rPr>
              <w:t>informēšanas pasākumus.</w:t>
            </w:r>
          </w:p>
        </w:tc>
      </w:tr>
      <w:tr w:rsidR="003D1800" w:rsidRPr="00573CE9" w14:paraId="20F5A14F" w14:textId="77777777" w:rsidTr="0054488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03BC106A" w14:textId="77777777" w:rsidR="0054488C" w:rsidRPr="00573CE9" w:rsidRDefault="0054488C" w:rsidP="0054488C">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2.</w:t>
            </w:r>
          </w:p>
        </w:tc>
        <w:tc>
          <w:tcPr>
            <w:tcW w:w="3040" w:type="dxa"/>
            <w:tcBorders>
              <w:top w:val="outset" w:sz="6" w:space="0" w:color="auto"/>
              <w:left w:val="outset" w:sz="6" w:space="0" w:color="auto"/>
              <w:bottom w:val="outset" w:sz="6" w:space="0" w:color="auto"/>
              <w:right w:val="outset" w:sz="6" w:space="0" w:color="auto"/>
            </w:tcBorders>
            <w:hideMark/>
          </w:tcPr>
          <w:p w14:paraId="60CE5892" w14:textId="77777777" w:rsidR="0054488C" w:rsidRPr="00573CE9" w:rsidRDefault="0054488C" w:rsidP="0054488C">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Sabiedrības līdzdalība projekta izstrādē</w:t>
            </w:r>
          </w:p>
        </w:tc>
        <w:tc>
          <w:tcPr>
            <w:tcW w:w="5381" w:type="dxa"/>
            <w:tcBorders>
              <w:top w:val="outset" w:sz="6" w:space="0" w:color="auto"/>
              <w:left w:val="outset" w:sz="6" w:space="0" w:color="auto"/>
              <w:bottom w:val="outset" w:sz="6" w:space="0" w:color="auto"/>
              <w:right w:val="outset" w:sz="6" w:space="0" w:color="auto"/>
            </w:tcBorders>
            <w:hideMark/>
          </w:tcPr>
          <w:p w14:paraId="5373A9FD" w14:textId="2BC1A0FD" w:rsidR="0054488C" w:rsidRPr="00573CE9" w:rsidRDefault="0054488C" w:rsidP="00F441DB">
            <w:pPr>
              <w:spacing w:after="0" w:line="240" w:lineRule="auto"/>
              <w:jc w:val="both"/>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 xml:space="preserve">Noteikumu projekts </w:t>
            </w:r>
            <w:r w:rsidR="00156C18" w:rsidRPr="00573CE9">
              <w:rPr>
                <w:rFonts w:ascii="Times New Roman" w:eastAsia="Times New Roman" w:hAnsi="Times New Roman" w:cs="Times New Roman"/>
                <w:iCs/>
                <w:color w:val="000000" w:themeColor="text1"/>
                <w:sz w:val="24"/>
                <w:szCs w:val="24"/>
                <w:lang w:eastAsia="lv-LV"/>
              </w:rPr>
              <w:t xml:space="preserve">2020.gada 26.februārī </w:t>
            </w:r>
            <w:r w:rsidRPr="00573CE9">
              <w:rPr>
                <w:rFonts w:ascii="Times New Roman" w:eastAsia="Times New Roman" w:hAnsi="Times New Roman" w:cs="Times New Roman"/>
                <w:iCs/>
                <w:color w:val="000000" w:themeColor="text1"/>
                <w:sz w:val="24"/>
                <w:szCs w:val="24"/>
                <w:lang w:eastAsia="lv-LV"/>
              </w:rPr>
              <w:t>tika ievietots sabiedrības apspriešanai:</w:t>
            </w:r>
            <w:r w:rsidR="00904F2B" w:rsidRPr="00573CE9">
              <w:rPr>
                <w:rFonts w:ascii="Times New Roman" w:eastAsia="Times New Roman" w:hAnsi="Times New Roman" w:cs="Times New Roman"/>
                <w:iCs/>
                <w:color w:val="000000" w:themeColor="text1"/>
                <w:sz w:val="24"/>
                <w:szCs w:val="24"/>
                <w:lang w:eastAsia="lv-LV"/>
              </w:rPr>
              <w:t xml:space="preserve"> </w:t>
            </w:r>
          </w:p>
          <w:p w14:paraId="174D42E7" w14:textId="77777777" w:rsidR="0054488C" w:rsidRPr="00573CE9" w:rsidRDefault="0054488C" w:rsidP="00F441DB">
            <w:pPr>
              <w:spacing w:after="0" w:line="240" w:lineRule="auto"/>
              <w:jc w:val="both"/>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 xml:space="preserve">1) Ekonomikas ministrijas </w:t>
            </w:r>
            <w:bookmarkStart w:id="3" w:name="_Hlk33604914"/>
            <w:r w:rsidRPr="00573CE9">
              <w:rPr>
                <w:rFonts w:ascii="Times New Roman" w:eastAsia="Times New Roman" w:hAnsi="Times New Roman" w:cs="Times New Roman"/>
                <w:iCs/>
                <w:color w:val="000000" w:themeColor="text1"/>
                <w:sz w:val="24"/>
                <w:szCs w:val="24"/>
                <w:lang w:eastAsia="lv-LV"/>
              </w:rPr>
              <w:t>tīmekļvietnē:</w:t>
            </w:r>
          </w:p>
          <w:p w14:paraId="0A0C524A" w14:textId="3E49DCC8" w:rsidR="0054488C" w:rsidRPr="00573CE9" w:rsidRDefault="009E15F0" w:rsidP="00F441DB">
            <w:pPr>
              <w:spacing w:after="0" w:line="240" w:lineRule="auto"/>
              <w:jc w:val="both"/>
              <w:rPr>
                <w:rFonts w:ascii="Times New Roman" w:eastAsia="Times New Roman" w:hAnsi="Times New Roman" w:cs="Times New Roman"/>
                <w:iCs/>
                <w:color w:val="000000" w:themeColor="text1"/>
                <w:sz w:val="24"/>
                <w:szCs w:val="24"/>
                <w:lang w:eastAsia="lv-LV"/>
              </w:rPr>
            </w:pPr>
            <w:hyperlink r:id="rId8" w:history="1">
              <w:r w:rsidR="0054488C" w:rsidRPr="00573CE9">
                <w:rPr>
                  <w:rFonts w:ascii="Times New Roman" w:eastAsia="Times New Roman" w:hAnsi="Times New Roman" w:cs="Times New Roman"/>
                  <w:iCs/>
                  <w:color w:val="000000" w:themeColor="text1"/>
                  <w:sz w:val="24"/>
                  <w:szCs w:val="24"/>
                  <w:lang w:eastAsia="lv-LV"/>
                </w:rPr>
                <w:t>https://em.gov.lv/lv/Ministrija/sabiedribas_lidzdaliba/diskusiju_dokumenti/</w:t>
              </w:r>
            </w:hyperlink>
            <w:bookmarkEnd w:id="3"/>
            <w:r w:rsidR="00156C18" w:rsidRPr="00573CE9">
              <w:rPr>
                <w:rFonts w:ascii="Times New Roman" w:eastAsia="Times New Roman" w:hAnsi="Times New Roman" w:cs="Times New Roman"/>
                <w:iCs/>
                <w:color w:val="000000" w:themeColor="text1"/>
                <w:sz w:val="24"/>
                <w:szCs w:val="24"/>
                <w:lang w:eastAsia="lv-LV"/>
              </w:rPr>
              <w:t>;</w:t>
            </w:r>
            <w:r w:rsidR="00D02C31" w:rsidRPr="00573CE9">
              <w:rPr>
                <w:rFonts w:ascii="Times New Roman" w:eastAsia="Times New Roman" w:hAnsi="Times New Roman" w:cs="Times New Roman"/>
                <w:iCs/>
                <w:color w:val="000000" w:themeColor="text1"/>
                <w:sz w:val="24"/>
                <w:szCs w:val="24"/>
                <w:lang w:eastAsia="lv-LV"/>
              </w:rPr>
              <w:t xml:space="preserve">  </w:t>
            </w:r>
          </w:p>
          <w:p w14:paraId="15BDA778" w14:textId="77777777" w:rsidR="0054488C" w:rsidRPr="00573CE9" w:rsidRDefault="0054488C" w:rsidP="00F441DB">
            <w:pPr>
              <w:spacing w:after="0" w:line="240" w:lineRule="auto"/>
              <w:jc w:val="both"/>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2) Ministru kabineta tīmekļvietnē:</w:t>
            </w:r>
          </w:p>
          <w:p w14:paraId="6728BD5E" w14:textId="27CE5E1E" w:rsidR="0054488C" w:rsidRPr="00573CE9" w:rsidRDefault="009E15F0" w:rsidP="00F441DB">
            <w:pPr>
              <w:spacing w:after="0" w:line="240" w:lineRule="auto"/>
              <w:jc w:val="both"/>
              <w:rPr>
                <w:rFonts w:ascii="Times New Roman" w:eastAsia="Times New Roman" w:hAnsi="Times New Roman" w:cs="Times New Roman"/>
                <w:iCs/>
                <w:color w:val="000000" w:themeColor="text1"/>
                <w:sz w:val="24"/>
                <w:szCs w:val="24"/>
                <w:lang w:eastAsia="lv-LV"/>
              </w:rPr>
            </w:pPr>
            <w:hyperlink r:id="rId9" w:history="1">
              <w:r w:rsidR="0054488C" w:rsidRPr="00573CE9">
                <w:rPr>
                  <w:rFonts w:ascii="Times New Roman" w:hAnsi="Times New Roman" w:cs="Times New Roman"/>
                  <w:iCs/>
                  <w:color w:val="000000" w:themeColor="text1"/>
                  <w:sz w:val="24"/>
                  <w:szCs w:val="24"/>
                  <w:lang w:eastAsia="lv-LV"/>
                </w:rPr>
                <w:t>https://www.mk.gov.lv/content/ministru-kabineta-diskusiju-dokumenti</w:t>
              </w:r>
            </w:hyperlink>
          </w:p>
        </w:tc>
      </w:tr>
      <w:tr w:rsidR="003D1800" w:rsidRPr="00573CE9" w14:paraId="0F416249" w14:textId="77777777" w:rsidTr="0054488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0A3A053B" w14:textId="77777777" w:rsidR="0054488C" w:rsidRPr="00573CE9" w:rsidRDefault="0054488C" w:rsidP="0054488C">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3.</w:t>
            </w:r>
          </w:p>
        </w:tc>
        <w:tc>
          <w:tcPr>
            <w:tcW w:w="3040" w:type="dxa"/>
            <w:tcBorders>
              <w:top w:val="outset" w:sz="6" w:space="0" w:color="auto"/>
              <w:left w:val="outset" w:sz="6" w:space="0" w:color="auto"/>
              <w:bottom w:val="outset" w:sz="6" w:space="0" w:color="auto"/>
              <w:right w:val="outset" w:sz="6" w:space="0" w:color="auto"/>
            </w:tcBorders>
            <w:hideMark/>
          </w:tcPr>
          <w:p w14:paraId="6EE75E61" w14:textId="77777777" w:rsidR="0054488C" w:rsidRPr="00573CE9" w:rsidRDefault="0054488C" w:rsidP="0054488C">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Sabiedrības līdzdalības rezultāti</w:t>
            </w:r>
          </w:p>
        </w:tc>
        <w:tc>
          <w:tcPr>
            <w:tcW w:w="5381" w:type="dxa"/>
            <w:tcBorders>
              <w:top w:val="outset" w:sz="6" w:space="0" w:color="auto"/>
              <w:left w:val="outset" w:sz="6" w:space="0" w:color="auto"/>
              <w:bottom w:val="outset" w:sz="6" w:space="0" w:color="auto"/>
              <w:right w:val="outset" w:sz="6" w:space="0" w:color="auto"/>
            </w:tcBorders>
            <w:hideMark/>
          </w:tcPr>
          <w:p w14:paraId="3D1CA70D" w14:textId="7276619A" w:rsidR="0054488C" w:rsidRPr="00573CE9" w:rsidRDefault="00156C18" w:rsidP="0054488C">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Priekšlikumi vai iebildumi netika saņemti</w:t>
            </w:r>
          </w:p>
        </w:tc>
      </w:tr>
      <w:tr w:rsidR="003D1800" w:rsidRPr="00573CE9" w14:paraId="4B72EE77" w14:textId="77777777" w:rsidTr="0054488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5A6445B6" w14:textId="77777777" w:rsidR="0054488C" w:rsidRPr="00573CE9" w:rsidRDefault="0054488C" w:rsidP="0054488C">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4.</w:t>
            </w:r>
          </w:p>
        </w:tc>
        <w:tc>
          <w:tcPr>
            <w:tcW w:w="3040" w:type="dxa"/>
            <w:tcBorders>
              <w:top w:val="outset" w:sz="6" w:space="0" w:color="auto"/>
              <w:left w:val="outset" w:sz="6" w:space="0" w:color="auto"/>
              <w:bottom w:val="outset" w:sz="6" w:space="0" w:color="auto"/>
              <w:right w:val="outset" w:sz="6" w:space="0" w:color="auto"/>
            </w:tcBorders>
            <w:hideMark/>
          </w:tcPr>
          <w:p w14:paraId="53D343FD" w14:textId="77777777" w:rsidR="0054488C" w:rsidRPr="00573CE9" w:rsidRDefault="0054488C" w:rsidP="0054488C">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Cita informācija</w:t>
            </w:r>
          </w:p>
        </w:tc>
        <w:tc>
          <w:tcPr>
            <w:tcW w:w="5381" w:type="dxa"/>
            <w:tcBorders>
              <w:top w:val="outset" w:sz="6" w:space="0" w:color="auto"/>
              <w:left w:val="outset" w:sz="6" w:space="0" w:color="auto"/>
              <w:bottom w:val="outset" w:sz="6" w:space="0" w:color="auto"/>
              <w:right w:val="outset" w:sz="6" w:space="0" w:color="auto"/>
            </w:tcBorders>
            <w:hideMark/>
          </w:tcPr>
          <w:p w14:paraId="6AE417D3" w14:textId="27635ECE" w:rsidR="0054488C" w:rsidRPr="00573CE9" w:rsidRDefault="0054488C" w:rsidP="0054488C">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Nav</w:t>
            </w:r>
            <w:r w:rsidR="004006DB" w:rsidRPr="00573CE9">
              <w:rPr>
                <w:rFonts w:ascii="Times New Roman" w:eastAsia="Times New Roman" w:hAnsi="Times New Roman" w:cs="Times New Roman"/>
                <w:iCs/>
                <w:color w:val="000000" w:themeColor="text1"/>
                <w:sz w:val="24"/>
                <w:szCs w:val="24"/>
                <w:lang w:eastAsia="lv-LV"/>
              </w:rPr>
              <w:t>.</w:t>
            </w:r>
          </w:p>
        </w:tc>
      </w:tr>
    </w:tbl>
    <w:p w14:paraId="13332BF7" w14:textId="77777777" w:rsidR="00E5323B" w:rsidRPr="00573CE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73CE9" w14:paraId="4F16FFF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2A6950" w14:textId="77777777" w:rsidR="00655F2C" w:rsidRPr="00573CE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573CE9">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E5323B" w:rsidRPr="00573CE9" w14:paraId="6FBF55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65D79B" w14:textId="77777777" w:rsidR="00655F2C" w:rsidRPr="00573CE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0D3658" w14:textId="77777777" w:rsidR="00E5323B" w:rsidRPr="00573CE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BEA8A0F" w14:textId="0A65AF13" w:rsidR="00E5323B" w:rsidRPr="00573CE9" w:rsidRDefault="00ED2B23" w:rsidP="00E5323B">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Noteikumu projekta izpildi nodrošinās sabiedrība “</w:t>
            </w:r>
            <w:proofErr w:type="spellStart"/>
            <w:r w:rsidRPr="00573CE9">
              <w:rPr>
                <w:rFonts w:ascii="Times New Roman" w:eastAsia="Times New Roman" w:hAnsi="Times New Roman" w:cs="Times New Roman"/>
                <w:iCs/>
                <w:color w:val="000000" w:themeColor="text1"/>
                <w:sz w:val="24"/>
                <w:szCs w:val="24"/>
                <w:lang w:eastAsia="lv-LV"/>
              </w:rPr>
              <w:t>Altum</w:t>
            </w:r>
            <w:proofErr w:type="spellEnd"/>
            <w:r w:rsidRPr="00573CE9">
              <w:rPr>
                <w:rFonts w:ascii="Times New Roman" w:eastAsia="Times New Roman" w:hAnsi="Times New Roman" w:cs="Times New Roman"/>
                <w:iCs/>
                <w:color w:val="000000" w:themeColor="text1"/>
                <w:sz w:val="24"/>
                <w:szCs w:val="24"/>
                <w:lang w:eastAsia="lv-LV"/>
              </w:rPr>
              <w:t>”.</w:t>
            </w:r>
          </w:p>
        </w:tc>
      </w:tr>
      <w:tr w:rsidR="00E5323B" w:rsidRPr="00573CE9" w14:paraId="31844B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34EAE3" w14:textId="77777777" w:rsidR="00655F2C" w:rsidRPr="00573CE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B23BA16" w14:textId="77777777" w:rsidR="00E5323B" w:rsidRPr="00573CE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573CE9">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27FE9A3" w14:textId="77777777" w:rsidR="00ED2B23" w:rsidRPr="00573CE9" w:rsidRDefault="00ED2B23" w:rsidP="00F441DB">
            <w:pPr>
              <w:spacing w:after="0" w:line="240" w:lineRule="auto"/>
              <w:jc w:val="both"/>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Noteikumu projekta izpilde tiks nodrošināta sabiedrības “</w:t>
            </w:r>
            <w:proofErr w:type="spellStart"/>
            <w:r w:rsidRPr="00573CE9">
              <w:rPr>
                <w:rFonts w:ascii="Times New Roman" w:eastAsia="Times New Roman" w:hAnsi="Times New Roman" w:cs="Times New Roman"/>
                <w:iCs/>
                <w:color w:val="000000" w:themeColor="text1"/>
                <w:sz w:val="24"/>
                <w:szCs w:val="24"/>
                <w:lang w:eastAsia="lv-LV"/>
              </w:rPr>
              <w:t>Altum</w:t>
            </w:r>
            <w:proofErr w:type="spellEnd"/>
            <w:r w:rsidRPr="00573CE9">
              <w:rPr>
                <w:rFonts w:ascii="Times New Roman" w:eastAsia="Times New Roman" w:hAnsi="Times New Roman" w:cs="Times New Roman"/>
                <w:iCs/>
                <w:color w:val="000000" w:themeColor="text1"/>
                <w:sz w:val="24"/>
                <w:szCs w:val="24"/>
                <w:lang w:eastAsia="lv-LV"/>
              </w:rPr>
              <w:t>” esošo funkciju ietvaros, nav nepieciešams izveidot jaunas institūcijas, likvidēt esošas institūcijas vai veikt reorganizāciju.</w:t>
            </w:r>
          </w:p>
          <w:p w14:paraId="24A6E3F7" w14:textId="30330874" w:rsidR="00E5323B" w:rsidRPr="00573CE9" w:rsidRDefault="00ED2B23" w:rsidP="00F441DB">
            <w:pPr>
              <w:spacing w:after="0" w:line="240" w:lineRule="auto"/>
              <w:jc w:val="both"/>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Noteikumu projekta izpilde tiks organizēta esošo cilvēkresursu ietvaros.</w:t>
            </w:r>
          </w:p>
        </w:tc>
      </w:tr>
      <w:tr w:rsidR="003D1800" w:rsidRPr="00573CE9" w14:paraId="55C2811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5FC5B7" w14:textId="77777777" w:rsidR="00655F2C" w:rsidRPr="00573CE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430C230" w14:textId="77777777" w:rsidR="00E5323B" w:rsidRPr="00573CE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969AEE" w14:textId="64605A4B" w:rsidR="00E5323B" w:rsidRPr="00573CE9" w:rsidRDefault="00ED2B23" w:rsidP="00E5323B">
            <w:pPr>
              <w:spacing w:after="0" w:line="240" w:lineRule="auto"/>
              <w:rPr>
                <w:rFonts w:ascii="Times New Roman" w:eastAsia="Times New Roman" w:hAnsi="Times New Roman" w:cs="Times New Roman"/>
                <w:iCs/>
                <w:color w:val="000000" w:themeColor="text1"/>
                <w:sz w:val="24"/>
                <w:szCs w:val="24"/>
                <w:lang w:eastAsia="lv-LV"/>
              </w:rPr>
            </w:pPr>
            <w:r w:rsidRPr="00573CE9">
              <w:rPr>
                <w:rFonts w:ascii="Times New Roman" w:eastAsia="Times New Roman" w:hAnsi="Times New Roman" w:cs="Times New Roman"/>
                <w:iCs/>
                <w:color w:val="000000" w:themeColor="text1"/>
                <w:sz w:val="24"/>
                <w:szCs w:val="24"/>
                <w:lang w:eastAsia="lv-LV"/>
              </w:rPr>
              <w:t>Nav</w:t>
            </w:r>
            <w:r w:rsidR="004006DB" w:rsidRPr="00573CE9">
              <w:rPr>
                <w:rFonts w:ascii="Times New Roman" w:eastAsia="Times New Roman" w:hAnsi="Times New Roman" w:cs="Times New Roman"/>
                <w:iCs/>
                <w:color w:val="000000" w:themeColor="text1"/>
                <w:sz w:val="24"/>
                <w:szCs w:val="24"/>
                <w:lang w:eastAsia="lv-LV"/>
              </w:rPr>
              <w:t>.</w:t>
            </w:r>
          </w:p>
        </w:tc>
      </w:tr>
    </w:tbl>
    <w:p w14:paraId="21DF2706" w14:textId="2955A538" w:rsidR="00C25B49" w:rsidRPr="00573CE9" w:rsidRDefault="00C25B49" w:rsidP="00894C55">
      <w:pPr>
        <w:spacing w:after="0" w:line="240" w:lineRule="auto"/>
        <w:rPr>
          <w:rFonts w:ascii="Times New Roman" w:hAnsi="Times New Roman" w:cs="Times New Roman"/>
          <w:color w:val="000000" w:themeColor="text1"/>
          <w:sz w:val="24"/>
          <w:szCs w:val="24"/>
        </w:rPr>
      </w:pPr>
    </w:p>
    <w:p w14:paraId="55B00DEA" w14:textId="77777777" w:rsidR="004910E0" w:rsidRPr="00573CE9" w:rsidRDefault="004910E0" w:rsidP="00894C55">
      <w:pPr>
        <w:spacing w:after="0" w:line="240" w:lineRule="auto"/>
        <w:rPr>
          <w:rFonts w:ascii="Times New Roman" w:hAnsi="Times New Roman" w:cs="Times New Roman"/>
          <w:color w:val="000000" w:themeColor="text1"/>
          <w:sz w:val="24"/>
          <w:szCs w:val="24"/>
        </w:rPr>
      </w:pPr>
    </w:p>
    <w:p w14:paraId="035025EF" w14:textId="4634E9F5" w:rsidR="00ED2B23" w:rsidRPr="00573CE9" w:rsidRDefault="00ED2B23" w:rsidP="006A5A74">
      <w:pPr>
        <w:tabs>
          <w:tab w:val="left" w:pos="7655"/>
        </w:tabs>
        <w:contextualSpacing/>
        <w:rPr>
          <w:rFonts w:ascii="Times New Roman" w:hAnsi="Times New Roman" w:cs="Times New Roman"/>
          <w:color w:val="000000" w:themeColor="text1"/>
          <w:sz w:val="28"/>
          <w:szCs w:val="28"/>
        </w:rPr>
      </w:pPr>
      <w:r w:rsidRPr="00573CE9">
        <w:rPr>
          <w:rFonts w:ascii="Times New Roman" w:hAnsi="Times New Roman" w:cs="Times New Roman"/>
          <w:color w:val="000000" w:themeColor="text1"/>
          <w:sz w:val="28"/>
          <w:szCs w:val="28"/>
        </w:rPr>
        <w:t>Ekonomikas ministr</w:t>
      </w:r>
      <w:r w:rsidR="006A5A74" w:rsidRPr="00573CE9">
        <w:rPr>
          <w:rFonts w:ascii="Times New Roman" w:hAnsi="Times New Roman" w:cs="Times New Roman"/>
          <w:color w:val="000000" w:themeColor="text1"/>
          <w:sz w:val="28"/>
          <w:szCs w:val="28"/>
        </w:rPr>
        <w:t>s</w:t>
      </w:r>
      <w:r w:rsidRPr="00573CE9">
        <w:rPr>
          <w:rFonts w:ascii="Times New Roman" w:hAnsi="Times New Roman" w:cs="Times New Roman"/>
          <w:color w:val="000000" w:themeColor="text1"/>
          <w:sz w:val="28"/>
          <w:szCs w:val="28"/>
        </w:rPr>
        <w:tab/>
      </w:r>
      <w:proofErr w:type="spellStart"/>
      <w:r w:rsidR="006A5A74" w:rsidRPr="00573CE9">
        <w:rPr>
          <w:rFonts w:ascii="Times New Roman" w:hAnsi="Times New Roman" w:cs="Times New Roman"/>
          <w:color w:val="000000" w:themeColor="text1"/>
          <w:sz w:val="28"/>
          <w:szCs w:val="28"/>
        </w:rPr>
        <w:t>J.Vitenbergs</w:t>
      </w:r>
      <w:proofErr w:type="spellEnd"/>
    </w:p>
    <w:p w14:paraId="0EEA8406" w14:textId="77777777" w:rsidR="00ED2B23" w:rsidRPr="00573CE9" w:rsidRDefault="00ED2B23" w:rsidP="00ED2B23">
      <w:pPr>
        <w:contextualSpacing/>
        <w:rPr>
          <w:rFonts w:ascii="Times New Roman" w:hAnsi="Times New Roman" w:cs="Times New Roman"/>
          <w:color w:val="000000" w:themeColor="text1"/>
          <w:sz w:val="28"/>
          <w:szCs w:val="28"/>
        </w:rPr>
      </w:pPr>
    </w:p>
    <w:p w14:paraId="2BDEED38" w14:textId="510912B6" w:rsidR="00C60EE3" w:rsidRPr="00573CE9" w:rsidRDefault="00ED2B23" w:rsidP="00ED2B23">
      <w:pPr>
        <w:tabs>
          <w:tab w:val="left" w:pos="7938"/>
        </w:tabs>
        <w:contextualSpacing/>
        <w:rPr>
          <w:rFonts w:ascii="Times New Roman" w:hAnsi="Times New Roman" w:cs="Times New Roman"/>
          <w:color w:val="000000" w:themeColor="text1"/>
          <w:sz w:val="28"/>
          <w:szCs w:val="28"/>
        </w:rPr>
      </w:pPr>
      <w:r w:rsidRPr="00573CE9">
        <w:rPr>
          <w:rFonts w:ascii="Times New Roman" w:hAnsi="Times New Roman" w:cs="Times New Roman"/>
          <w:color w:val="000000" w:themeColor="text1"/>
          <w:sz w:val="28"/>
          <w:szCs w:val="28"/>
        </w:rPr>
        <w:t xml:space="preserve">Vīza: </w:t>
      </w:r>
      <w:bookmarkStart w:id="4" w:name="_Hlk33603899"/>
      <w:r w:rsidRPr="00573CE9">
        <w:rPr>
          <w:rFonts w:ascii="Times New Roman" w:hAnsi="Times New Roman" w:cs="Times New Roman"/>
          <w:color w:val="000000" w:themeColor="text1"/>
          <w:sz w:val="28"/>
          <w:szCs w:val="28"/>
        </w:rPr>
        <w:t>Valsts sekretār</w:t>
      </w:r>
      <w:r w:rsidR="00C60EE3" w:rsidRPr="00573CE9">
        <w:rPr>
          <w:rFonts w:ascii="Times New Roman" w:hAnsi="Times New Roman" w:cs="Times New Roman"/>
          <w:color w:val="000000" w:themeColor="text1"/>
          <w:sz w:val="28"/>
          <w:szCs w:val="28"/>
        </w:rPr>
        <w:t>a pienākuma</w:t>
      </w:r>
      <w:r w:rsidR="00AD3453" w:rsidRPr="00573CE9">
        <w:rPr>
          <w:rFonts w:ascii="Times New Roman" w:hAnsi="Times New Roman" w:cs="Times New Roman"/>
          <w:color w:val="000000" w:themeColor="text1"/>
          <w:sz w:val="28"/>
          <w:szCs w:val="28"/>
        </w:rPr>
        <w:t xml:space="preserve"> </w:t>
      </w:r>
      <w:r w:rsidR="00C60EE3" w:rsidRPr="00573CE9">
        <w:rPr>
          <w:rFonts w:ascii="Times New Roman" w:hAnsi="Times New Roman" w:cs="Times New Roman"/>
          <w:color w:val="000000" w:themeColor="text1"/>
          <w:sz w:val="28"/>
          <w:szCs w:val="28"/>
        </w:rPr>
        <w:t>izpildītājs</w:t>
      </w:r>
      <w:bookmarkEnd w:id="4"/>
    </w:p>
    <w:p w14:paraId="3FF61738" w14:textId="1F2B0B74" w:rsidR="00003316" w:rsidRPr="00573CE9" w:rsidRDefault="00C60EE3" w:rsidP="00ED2B23">
      <w:pPr>
        <w:tabs>
          <w:tab w:val="left" w:pos="7938"/>
        </w:tabs>
        <w:contextualSpacing/>
        <w:rPr>
          <w:rFonts w:ascii="Times New Roman" w:hAnsi="Times New Roman" w:cs="Times New Roman"/>
          <w:color w:val="000000" w:themeColor="text1"/>
          <w:sz w:val="28"/>
          <w:szCs w:val="28"/>
        </w:rPr>
      </w:pPr>
      <w:bookmarkStart w:id="5" w:name="_Hlk33603856"/>
      <w:r w:rsidRPr="00573CE9">
        <w:rPr>
          <w:rFonts w:ascii="Times New Roman" w:hAnsi="Times New Roman" w:cs="Times New Roman"/>
          <w:color w:val="000000" w:themeColor="text1"/>
          <w:sz w:val="28"/>
          <w:szCs w:val="28"/>
        </w:rPr>
        <w:t xml:space="preserve">valsts sekretāra vietnieks                                                                        </w:t>
      </w:r>
      <w:proofErr w:type="spellStart"/>
      <w:r w:rsidRPr="00573CE9">
        <w:rPr>
          <w:rFonts w:ascii="Times New Roman" w:hAnsi="Times New Roman" w:cs="Times New Roman"/>
          <w:color w:val="000000" w:themeColor="text1"/>
          <w:sz w:val="28"/>
          <w:szCs w:val="28"/>
        </w:rPr>
        <w:t>E.Valantis</w:t>
      </w:r>
      <w:bookmarkEnd w:id="5"/>
      <w:proofErr w:type="spellEnd"/>
      <w:r w:rsidR="00C751AF" w:rsidRPr="00573CE9">
        <w:rPr>
          <w:rFonts w:ascii="Times New Roman" w:hAnsi="Times New Roman" w:cs="Times New Roman"/>
          <w:color w:val="000000" w:themeColor="text1"/>
          <w:sz w:val="28"/>
          <w:szCs w:val="28"/>
        </w:rPr>
        <w:t xml:space="preserve">                                                     </w:t>
      </w:r>
      <w:r w:rsidR="004910E0" w:rsidRPr="00573CE9">
        <w:rPr>
          <w:rFonts w:ascii="Times New Roman" w:hAnsi="Times New Roman" w:cs="Times New Roman"/>
          <w:color w:val="000000" w:themeColor="text1"/>
          <w:sz w:val="28"/>
          <w:szCs w:val="28"/>
        </w:rPr>
        <w:t xml:space="preserve"> </w:t>
      </w:r>
      <w:r w:rsidR="00C751AF" w:rsidRPr="00573CE9">
        <w:rPr>
          <w:rFonts w:ascii="Times New Roman" w:hAnsi="Times New Roman" w:cs="Times New Roman"/>
          <w:color w:val="000000" w:themeColor="text1"/>
          <w:sz w:val="28"/>
          <w:szCs w:val="28"/>
        </w:rPr>
        <w:t xml:space="preserve">                         </w:t>
      </w:r>
    </w:p>
    <w:p w14:paraId="11332ACE" w14:textId="72FDE924" w:rsidR="00BE3FE5" w:rsidRPr="00573CE9" w:rsidRDefault="00BE3FE5" w:rsidP="00841A28">
      <w:pPr>
        <w:tabs>
          <w:tab w:val="left" w:pos="6237"/>
        </w:tabs>
        <w:spacing w:after="0" w:line="240" w:lineRule="auto"/>
        <w:rPr>
          <w:rFonts w:ascii="Times New Roman" w:hAnsi="Times New Roman" w:cs="Times New Roman"/>
          <w:color w:val="000000" w:themeColor="text1"/>
          <w:sz w:val="28"/>
          <w:szCs w:val="28"/>
        </w:rPr>
      </w:pPr>
    </w:p>
    <w:p w14:paraId="11E5EEC9" w14:textId="3D064D4B" w:rsidR="00BE3FE5" w:rsidRPr="00573CE9" w:rsidRDefault="00BE3FE5" w:rsidP="00841A28">
      <w:pPr>
        <w:tabs>
          <w:tab w:val="left" w:pos="6237"/>
        </w:tabs>
        <w:spacing w:after="0" w:line="240" w:lineRule="auto"/>
        <w:rPr>
          <w:rFonts w:ascii="Times New Roman" w:hAnsi="Times New Roman" w:cs="Times New Roman"/>
          <w:color w:val="000000" w:themeColor="text1"/>
          <w:sz w:val="28"/>
          <w:szCs w:val="28"/>
        </w:rPr>
      </w:pPr>
    </w:p>
    <w:p w14:paraId="6059B872" w14:textId="77777777" w:rsidR="00BE3FE5" w:rsidRPr="00104CA6" w:rsidRDefault="00BE3FE5" w:rsidP="00BE3FE5">
      <w:pPr>
        <w:widowControl w:val="0"/>
        <w:spacing w:after="0" w:line="240" w:lineRule="auto"/>
        <w:jc w:val="both"/>
        <w:rPr>
          <w:rFonts w:ascii="Times New Roman" w:eastAsia="Times New Roman" w:hAnsi="Times New Roman" w:cs="Times New Roman"/>
          <w:sz w:val="18"/>
          <w:szCs w:val="18"/>
          <w:lang w:eastAsia="lv-LV"/>
        </w:rPr>
      </w:pPr>
      <w:r w:rsidRPr="00104CA6">
        <w:rPr>
          <w:rFonts w:ascii="Times New Roman" w:eastAsia="Times New Roman" w:hAnsi="Times New Roman" w:cs="Times New Roman"/>
          <w:sz w:val="18"/>
          <w:szCs w:val="18"/>
          <w:lang w:eastAsia="lv-LV"/>
        </w:rPr>
        <w:t>Ilze Grīnberga; 67013231</w:t>
      </w:r>
    </w:p>
    <w:p w14:paraId="35CFF988" w14:textId="6F93F894" w:rsidR="00BE3FE5" w:rsidRPr="00104CA6" w:rsidRDefault="009E15F0" w:rsidP="00160F14">
      <w:pPr>
        <w:widowControl w:val="0"/>
        <w:spacing w:after="0" w:line="240" w:lineRule="auto"/>
        <w:jc w:val="both"/>
        <w:rPr>
          <w:rFonts w:ascii="Times New Roman" w:eastAsia="Times New Roman" w:hAnsi="Times New Roman" w:cs="Times New Roman"/>
          <w:sz w:val="18"/>
          <w:szCs w:val="18"/>
          <w:lang w:eastAsia="lv-LV"/>
        </w:rPr>
      </w:pPr>
      <w:hyperlink r:id="rId10" w:history="1">
        <w:r w:rsidR="00BE3FE5" w:rsidRPr="00104CA6">
          <w:rPr>
            <w:rFonts w:ascii="Times New Roman" w:eastAsia="Times New Roman" w:hAnsi="Times New Roman" w:cs="Times New Roman"/>
            <w:color w:val="0000FF"/>
            <w:sz w:val="18"/>
            <w:szCs w:val="18"/>
            <w:u w:val="single"/>
            <w:lang w:eastAsia="lv-LV"/>
          </w:rPr>
          <w:t>Ilze.Grinberga@em.gov.lv</w:t>
        </w:r>
      </w:hyperlink>
      <w:bookmarkStart w:id="6" w:name="_GoBack"/>
      <w:bookmarkEnd w:id="6"/>
    </w:p>
    <w:sectPr w:rsidR="00BE3FE5" w:rsidRPr="00104CA6" w:rsidSect="00D76C7F">
      <w:headerReference w:type="default" r:id="rId11"/>
      <w:footerReference w:type="default" r:id="rId12"/>
      <w:footerReference w:type="first" r:id="rId13"/>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2A439" w14:textId="77777777" w:rsidR="009E15F0" w:rsidRDefault="009E15F0" w:rsidP="00894C55">
      <w:pPr>
        <w:spacing w:after="0" w:line="240" w:lineRule="auto"/>
      </w:pPr>
      <w:r>
        <w:separator/>
      </w:r>
    </w:p>
  </w:endnote>
  <w:endnote w:type="continuationSeparator" w:id="0">
    <w:p w14:paraId="50B55266" w14:textId="77777777" w:rsidR="009E15F0" w:rsidRDefault="009E15F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7" w:name="_Hlk33604634"/>
  <w:bookmarkStart w:id="8" w:name="_Hlk33604635"/>
  <w:p w14:paraId="102B711B" w14:textId="363050E3" w:rsidR="00700481" w:rsidRPr="00FA1F16" w:rsidRDefault="00700481" w:rsidP="00FA1F16">
    <w:pPr>
      <w:pStyle w:val="Footer"/>
      <w:rPr>
        <w:rFonts w:ascii="Times New Roman" w:hAnsi="Times New Roman" w:cs="Times New Roman"/>
        <w:sz w:val="20"/>
        <w:szCs w:val="20"/>
      </w:rPr>
    </w:pPr>
    <w:r w:rsidRPr="00FA1F16">
      <w:rPr>
        <w:rFonts w:ascii="Times New Roman" w:hAnsi="Times New Roman" w:cs="Times New Roman"/>
        <w:sz w:val="20"/>
        <w:szCs w:val="20"/>
      </w:rPr>
      <w:fldChar w:fldCharType="begin"/>
    </w:r>
    <w:r w:rsidRPr="00FA1F16">
      <w:rPr>
        <w:rFonts w:ascii="Times New Roman" w:hAnsi="Times New Roman" w:cs="Times New Roman"/>
        <w:sz w:val="20"/>
        <w:szCs w:val="20"/>
      </w:rPr>
      <w:instrText xml:space="preserve"> FILENAME   \* MERGEFORMAT </w:instrText>
    </w:r>
    <w:r w:rsidRPr="00FA1F16">
      <w:rPr>
        <w:rFonts w:ascii="Times New Roman" w:hAnsi="Times New Roman" w:cs="Times New Roman"/>
        <w:sz w:val="20"/>
        <w:szCs w:val="20"/>
      </w:rPr>
      <w:fldChar w:fldCharType="separate"/>
    </w:r>
    <w:r w:rsidR="00AD4466">
      <w:rPr>
        <w:rFonts w:ascii="Times New Roman" w:hAnsi="Times New Roman" w:cs="Times New Roman"/>
        <w:noProof/>
        <w:sz w:val="20"/>
        <w:szCs w:val="20"/>
      </w:rPr>
      <w:t>EMAnot_05052020_Groz160.docx</w:t>
    </w:r>
    <w:r w:rsidRPr="00FA1F16">
      <w:rPr>
        <w:rFonts w:ascii="Times New Roman" w:hAnsi="Times New Roman" w:cs="Times New Roman"/>
        <w:sz w:val="20"/>
        <w:szCs w:val="20"/>
      </w:rPr>
      <w:fldChar w:fldCharType="end"/>
    </w:r>
    <w:bookmarkEnd w:id="7"/>
    <w:bookmarkEnd w:id="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9950" w14:textId="423F4F35" w:rsidR="00700481" w:rsidRPr="00FA1F16" w:rsidRDefault="00700481" w:rsidP="00FA1F16">
    <w:pPr>
      <w:pStyle w:val="Footer"/>
      <w:rPr>
        <w:rFonts w:ascii="Times New Roman" w:hAnsi="Times New Roman" w:cs="Times New Roman"/>
        <w:sz w:val="20"/>
        <w:szCs w:val="20"/>
      </w:rPr>
    </w:pPr>
    <w:r w:rsidRPr="00FA1F16">
      <w:rPr>
        <w:rFonts w:ascii="Times New Roman" w:hAnsi="Times New Roman" w:cs="Times New Roman"/>
        <w:sz w:val="20"/>
        <w:szCs w:val="20"/>
      </w:rPr>
      <w:fldChar w:fldCharType="begin"/>
    </w:r>
    <w:r w:rsidRPr="00FA1F16">
      <w:rPr>
        <w:rFonts w:ascii="Times New Roman" w:hAnsi="Times New Roman" w:cs="Times New Roman"/>
        <w:sz w:val="20"/>
        <w:szCs w:val="20"/>
      </w:rPr>
      <w:instrText xml:space="preserve"> FILENAME   \* MERGEFORMAT </w:instrText>
    </w:r>
    <w:r w:rsidRPr="00FA1F16">
      <w:rPr>
        <w:rFonts w:ascii="Times New Roman" w:hAnsi="Times New Roman" w:cs="Times New Roman"/>
        <w:sz w:val="20"/>
        <w:szCs w:val="20"/>
      </w:rPr>
      <w:fldChar w:fldCharType="separate"/>
    </w:r>
    <w:r w:rsidR="006C0502">
      <w:rPr>
        <w:rFonts w:ascii="Times New Roman" w:hAnsi="Times New Roman" w:cs="Times New Roman"/>
        <w:noProof/>
        <w:sz w:val="20"/>
        <w:szCs w:val="20"/>
      </w:rPr>
      <w:t>EMAnot_</w:t>
    </w:r>
    <w:r w:rsidR="009C3C39">
      <w:rPr>
        <w:rFonts w:ascii="Times New Roman" w:hAnsi="Times New Roman" w:cs="Times New Roman"/>
        <w:noProof/>
        <w:sz w:val="20"/>
        <w:szCs w:val="20"/>
      </w:rPr>
      <w:t>0505</w:t>
    </w:r>
    <w:r w:rsidR="006C0502">
      <w:rPr>
        <w:rFonts w:ascii="Times New Roman" w:hAnsi="Times New Roman" w:cs="Times New Roman"/>
        <w:noProof/>
        <w:sz w:val="20"/>
        <w:szCs w:val="20"/>
      </w:rPr>
      <w:t>2020_Groz160.docx</w:t>
    </w:r>
    <w:r w:rsidRPr="00FA1F1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D1B19" w14:textId="77777777" w:rsidR="009E15F0" w:rsidRDefault="009E15F0" w:rsidP="00894C55">
      <w:pPr>
        <w:spacing w:after="0" w:line="240" w:lineRule="auto"/>
      </w:pPr>
      <w:r>
        <w:separator/>
      </w:r>
    </w:p>
  </w:footnote>
  <w:footnote w:type="continuationSeparator" w:id="0">
    <w:p w14:paraId="1B04627C" w14:textId="77777777" w:rsidR="009E15F0" w:rsidRDefault="009E15F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02FF69F" w14:textId="51A63082" w:rsidR="00700481" w:rsidRPr="00C25B49" w:rsidRDefault="0070048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5163E">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35A1"/>
    <w:multiLevelType w:val="multilevel"/>
    <w:tmpl w:val="557CE1C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0CE14A0F"/>
    <w:multiLevelType w:val="multilevel"/>
    <w:tmpl w:val="E65CEFF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212D7570"/>
    <w:multiLevelType w:val="hybridMultilevel"/>
    <w:tmpl w:val="20FE20B4"/>
    <w:lvl w:ilvl="0" w:tplc="04260011">
      <w:start w:val="1"/>
      <w:numFmt w:val="decimal"/>
      <w:lvlText w:val="%1)"/>
      <w:lvlJc w:val="left"/>
      <w:pPr>
        <w:ind w:left="1329" w:hanging="360"/>
      </w:pPr>
    </w:lvl>
    <w:lvl w:ilvl="1" w:tplc="04260019" w:tentative="1">
      <w:start w:val="1"/>
      <w:numFmt w:val="lowerLetter"/>
      <w:lvlText w:val="%2."/>
      <w:lvlJc w:val="left"/>
      <w:pPr>
        <w:ind w:left="2049" w:hanging="360"/>
      </w:pPr>
    </w:lvl>
    <w:lvl w:ilvl="2" w:tplc="0426001B" w:tentative="1">
      <w:start w:val="1"/>
      <w:numFmt w:val="lowerRoman"/>
      <w:lvlText w:val="%3."/>
      <w:lvlJc w:val="right"/>
      <w:pPr>
        <w:ind w:left="2769" w:hanging="180"/>
      </w:pPr>
    </w:lvl>
    <w:lvl w:ilvl="3" w:tplc="0426000F" w:tentative="1">
      <w:start w:val="1"/>
      <w:numFmt w:val="decimal"/>
      <w:lvlText w:val="%4."/>
      <w:lvlJc w:val="left"/>
      <w:pPr>
        <w:ind w:left="3489" w:hanging="360"/>
      </w:pPr>
    </w:lvl>
    <w:lvl w:ilvl="4" w:tplc="04260019" w:tentative="1">
      <w:start w:val="1"/>
      <w:numFmt w:val="lowerLetter"/>
      <w:lvlText w:val="%5."/>
      <w:lvlJc w:val="left"/>
      <w:pPr>
        <w:ind w:left="4209" w:hanging="360"/>
      </w:pPr>
    </w:lvl>
    <w:lvl w:ilvl="5" w:tplc="0426001B" w:tentative="1">
      <w:start w:val="1"/>
      <w:numFmt w:val="lowerRoman"/>
      <w:lvlText w:val="%6."/>
      <w:lvlJc w:val="right"/>
      <w:pPr>
        <w:ind w:left="4929" w:hanging="180"/>
      </w:pPr>
    </w:lvl>
    <w:lvl w:ilvl="6" w:tplc="0426000F" w:tentative="1">
      <w:start w:val="1"/>
      <w:numFmt w:val="decimal"/>
      <w:lvlText w:val="%7."/>
      <w:lvlJc w:val="left"/>
      <w:pPr>
        <w:ind w:left="5649" w:hanging="360"/>
      </w:pPr>
    </w:lvl>
    <w:lvl w:ilvl="7" w:tplc="04260019" w:tentative="1">
      <w:start w:val="1"/>
      <w:numFmt w:val="lowerLetter"/>
      <w:lvlText w:val="%8."/>
      <w:lvlJc w:val="left"/>
      <w:pPr>
        <w:ind w:left="6369" w:hanging="360"/>
      </w:pPr>
    </w:lvl>
    <w:lvl w:ilvl="8" w:tplc="0426001B" w:tentative="1">
      <w:start w:val="1"/>
      <w:numFmt w:val="lowerRoman"/>
      <w:lvlText w:val="%9."/>
      <w:lvlJc w:val="right"/>
      <w:pPr>
        <w:ind w:left="7089" w:hanging="180"/>
      </w:pPr>
    </w:lvl>
  </w:abstractNum>
  <w:abstractNum w:abstractNumId="3" w15:restartNumberingAfterBreak="0">
    <w:nsid w:val="2ABC2191"/>
    <w:multiLevelType w:val="hybridMultilevel"/>
    <w:tmpl w:val="B7B065C4"/>
    <w:lvl w:ilvl="0" w:tplc="AB5A186A">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D836B4"/>
    <w:multiLevelType w:val="multilevel"/>
    <w:tmpl w:val="D408C0C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2F5B01A9"/>
    <w:multiLevelType w:val="multilevel"/>
    <w:tmpl w:val="D408C0C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304B60AC"/>
    <w:multiLevelType w:val="hybridMultilevel"/>
    <w:tmpl w:val="E9A85C1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C70E65"/>
    <w:multiLevelType w:val="hybridMultilevel"/>
    <w:tmpl w:val="F5D2440C"/>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2352863"/>
    <w:multiLevelType w:val="hybridMultilevel"/>
    <w:tmpl w:val="2F5EAFB6"/>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5478B8"/>
    <w:multiLevelType w:val="hybridMultilevel"/>
    <w:tmpl w:val="06C06286"/>
    <w:lvl w:ilvl="0" w:tplc="A9DE4F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1A00AC2"/>
    <w:multiLevelType w:val="hybridMultilevel"/>
    <w:tmpl w:val="E6002B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54025A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9A2A95"/>
    <w:multiLevelType w:val="hybridMultilevel"/>
    <w:tmpl w:val="D5BE66CE"/>
    <w:lvl w:ilvl="0" w:tplc="63CA92F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C4C5125"/>
    <w:multiLevelType w:val="hybridMultilevel"/>
    <w:tmpl w:val="919C7736"/>
    <w:lvl w:ilvl="0" w:tplc="669CDAE6">
      <w:start w:val="1"/>
      <w:numFmt w:val="decimal"/>
      <w:lvlText w:val="%1."/>
      <w:lvlJc w:val="left"/>
      <w:pPr>
        <w:ind w:left="360" w:hanging="360"/>
      </w:pPr>
      <w:rPr>
        <w:b/>
        <w:bCs/>
        <w:i/>
        <w:iCs/>
        <w:u w:val="singl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7D514DD7"/>
    <w:multiLevelType w:val="hybridMultilevel"/>
    <w:tmpl w:val="CC265FBC"/>
    <w:lvl w:ilvl="0" w:tplc="04260011">
      <w:start w:val="1"/>
      <w:numFmt w:val="decimal"/>
      <w:lvlText w:val="%1)"/>
      <w:lvlJc w:val="left"/>
      <w:pPr>
        <w:ind w:left="1253" w:hanging="360"/>
      </w:pPr>
    </w:lvl>
    <w:lvl w:ilvl="1" w:tplc="04260019" w:tentative="1">
      <w:start w:val="1"/>
      <w:numFmt w:val="lowerLetter"/>
      <w:lvlText w:val="%2."/>
      <w:lvlJc w:val="left"/>
      <w:pPr>
        <w:ind w:left="1973" w:hanging="360"/>
      </w:pPr>
    </w:lvl>
    <w:lvl w:ilvl="2" w:tplc="0426001B" w:tentative="1">
      <w:start w:val="1"/>
      <w:numFmt w:val="lowerRoman"/>
      <w:lvlText w:val="%3."/>
      <w:lvlJc w:val="right"/>
      <w:pPr>
        <w:ind w:left="2693" w:hanging="180"/>
      </w:pPr>
    </w:lvl>
    <w:lvl w:ilvl="3" w:tplc="0426000F" w:tentative="1">
      <w:start w:val="1"/>
      <w:numFmt w:val="decimal"/>
      <w:lvlText w:val="%4."/>
      <w:lvlJc w:val="left"/>
      <w:pPr>
        <w:ind w:left="3413" w:hanging="360"/>
      </w:pPr>
    </w:lvl>
    <w:lvl w:ilvl="4" w:tplc="04260019" w:tentative="1">
      <w:start w:val="1"/>
      <w:numFmt w:val="lowerLetter"/>
      <w:lvlText w:val="%5."/>
      <w:lvlJc w:val="left"/>
      <w:pPr>
        <w:ind w:left="4133" w:hanging="360"/>
      </w:pPr>
    </w:lvl>
    <w:lvl w:ilvl="5" w:tplc="0426001B" w:tentative="1">
      <w:start w:val="1"/>
      <w:numFmt w:val="lowerRoman"/>
      <w:lvlText w:val="%6."/>
      <w:lvlJc w:val="right"/>
      <w:pPr>
        <w:ind w:left="4853" w:hanging="180"/>
      </w:pPr>
    </w:lvl>
    <w:lvl w:ilvl="6" w:tplc="0426000F" w:tentative="1">
      <w:start w:val="1"/>
      <w:numFmt w:val="decimal"/>
      <w:lvlText w:val="%7."/>
      <w:lvlJc w:val="left"/>
      <w:pPr>
        <w:ind w:left="5573" w:hanging="360"/>
      </w:pPr>
    </w:lvl>
    <w:lvl w:ilvl="7" w:tplc="04260019" w:tentative="1">
      <w:start w:val="1"/>
      <w:numFmt w:val="lowerLetter"/>
      <w:lvlText w:val="%8."/>
      <w:lvlJc w:val="left"/>
      <w:pPr>
        <w:ind w:left="6293" w:hanging="360"/>
      </w:pPr>
    </w:lvl>
    <w:lvl w:ilvl="8" w:tplc="0426001B" w:tentative="1">
      <w:start w:val="1"/>
      <w:numFmt w:val="lowerRoman"/>
      <w:lvlText w:val="%9."/>
      <w:lvlJc w:val="right"/>
      <w:pPr>
        <w:ind w:left="7013" w:hanging="180"/>
      </w:pPr>
    </w:lvl>
  </w:abstractNum>
  <w:num w:numId="1">
    <w:abstractNumId w:val="2"/>
  </w:num>
  <w:num w:numId="2">
    <w:abstractNumId w:val="13"/>
  </w:num>
  <w:num w:numId="3">
    <w:abstractNumId w:val="14"/>
  </w:num>
  <w:num w:numId="4">
    <w:abstractNumId w:val="12"/>
  </w:num>
  <w:num w:numId="5">
    <w:abstractNumId w:val="1"/>
  </w:num>
  <w:num w:numId="6">
    <w:abstractNumId w:val="5"/>
  </w:num>
  <w:num w:numId="7">
    <w:abstractNumId w:val="0"/>
  </w:num>
  <w:num w:numId="8">
    <w:abstractNumId w:val="4"/>
  </w:num>
  <w:num w:numId="9">
    <w:abstractNumId w:val="9"/>
  </w:num>
  <w:num w:numId="10">
    <w:abstractNumId w:val="11"/>
  </w:num>
  <w:num w:numId="11">
    <w:abstractNumId w:val="8"/>
  </w:num>
  <w:num w:numId="12">
    <w:abstractNumId w:val="6"/>
  </w:num>
  <w:num w:numId="13">
    <w:abstractNumId w:val="7"/>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7E3"/>
    <w:rsid w:val="00003316"/>
    <w:rsid w:val="00013D50"/>
    <w:rsid w:val="00016332"/>
    <w:rsid w:val="00022657"/>
    <w:rsid w:val="000734E9"/>
    <w:rsid w:val="00090738"/>
    <w:rsid w:val="000B0D28"/>
    <w:rsid w:val="000B2764"/>
    <w:rsid w:val="000B3744"/>
    <w:rsid w:val="000D2CF0"/>
    <w:rsid w:val="000F0AED"/>
    <w:rsid w:val="00104CA6"/>
    <w:rsid w:val="001101BD"/>
    <w:rsid w:val="00114642"/>
    <w:rsid w:val="00115EAC"/>
    <w:rsid w:val="0012131D"/>
    <w:rsid w:val="00124E01"/>
    <w:rsid w:val="00134B71"/>
    <w:rsid w:val="00156323"/>
    <w:rsid w:val="00156C18"/>
    <w:rsid w:val="00160F14"/>
    <w:rsid w:val="00162439"/>
    <w:rsid w:val="001959AB"/>
    <w:rsid w:val="001A765E"/>
    <w:rsid w:val="001A787B"/>
    <w:rsid w:val="001D0551"/>
    <w:rsid w:val="001D297A"/>
    <w:rsid w:val="001D5F0D"/>
    <w:rsid w:val="001D6351"/>
    <w:rsid w:val="001E567D"/>
    <w:rsid w:val="001F1651"/>
    <w:rsid w:val="001F475C"/>
    <w:rsid w:val="001F4CBE"/>
    <w:rsid w:val="001F6E74"/>
    <w:rsid w:val="001F7B2F"/>
    <w:rsid w:val="00200E15"/>
    <w:rsid w:val="00202519"/>
    <w:rsid w:val="00221479"/>
    <w:rsid w:val="00231C4B"/>
    <w:rsid w:val="00243426"/>
    <w:rsid w:val="00247DA1"/>
    <w:rsid w:val="00250D42"/>
    <w:rsid w:val="00254397"/>
    <w:rsid w:val="0026103A"/>
    <w:rsid w:val="0029204C"/>
    <w:rsid w:val="002B73AF"/>
    <w:rsid w:val="002C38A8"/>
    <w:rsid w:val="002D2708"/>
    <w:rsid w:val="002E1C05"/>
    <w:rsid w:val="002E2B1D"/>
    <w:rsid w:val="002E5CA0"/>
    <w:rsid w:val="002F242F"/>
    <w:rsid w:val="003072A1"/>
    <w:rsid w:val="00317A38"/>
    <w:rsid w:val="0032134F"/>
    <w:rsid w:val="00343462"/>
    <w:rsid w:val="00354CD3"/>
    <w:rsid w:val="00360E6F"/>
    <w:rsid w:val="00364800"/>
    <w:rsid w:val="00372401"/>
    <w:rsid w:val="00381E1C"/>
    <w:rsid w:val="003969B6"/>
    <w:rsid w:val="003B0BF9"/>
    <w:rsid w:val="003B3B7D"/>
    <w:rsid w:val="003C0A82"/>
    <w:rsid w:val="003D1800"/>
    <w:rsid w:val="003D5A50"/>
    <w:rsid w:val="003D6339"/>
    <w:rsid w:val="003E0791"/>
    <w:rsid w:val="003F2084"/>
    <w:rsid w:val="003F28AC"/>
    <w:rsid w:val="004006DB"/>
    <w:rsid w:val="0040536E"/>
    <w:rsid w:val="0041132E"/>
    <w:rsid w:val="00416C82"/>
    <w:rsid w:val="004174ED"/>
    <w:rsid w:val="00422A65"/>
    <w:rsid w:val="0042366F"/>
    <w:rsid w:val="00424006"/>
    <w:rsid w:val="00433477"/>
    <w:rsid w:val="004454FE"/>
    <w:rsid w:val="00451E48"/>
    <w:rsid w:val="0045529B"/>
    <w:rsid w:val="00456E40"/>
    <w:rsid w:val="00463648"/>
    <w:rsid w:val="004656D5"/>
    <w:rsid w:val="00471F27"/>
    <w:rsid w:val="004910E0"/>
    <w:rsid w:val="004B6AB7"/>
    <w:rsid w:val="004C02C7"/>
    <w:rsid w:val="004E3751"/>
    <w:rsid w:val="004E44A9"/>
    <w:rsid w:val="004E64B8"/>
    <w:rsid w:val="004F3222"/>
    <w:rsid w:val="0050178F"/>
    <w:rsid w:val="005160BD"/>
    <w:rsid w:val="00530539"/>
    <w:rsid w:val="005360C5"/>
    <w:rsid w:val="00541F2A"/>
    <w:rsid w:val="0054488C"/>
    <w:rsid w:val="00544FA2"/>
    <w:rsid w:val="0055018D"/>
    <w:rsid w:val="00550D57"/>
    <w:rsid w:val="005523DC"/>
    <w:rsid w:val="00566EDD"/>
    <w:rsid w:val="00573CE9"/>
    <w:rsid w:val="0058611F"/>
    <w:rsid w:val="005B0EE9"/>
    <w:rsid w:val="005C11FD"/>
    <w:rsid w:val="005C4213"/>
    <w:rsid w:val="005C52EB"/>
    <w:rsid w:val="005C7E25"/>
    <w:rsid w:val="005D1377"/>
    <w:rsid w:val="005E4ED5"/>
    <w:rsid w:val="005E6441"/>
    <w:rsid w:val="00620CB8"/>
    <w:rsid w:val="00622319"/>
    <w:rsid w:val="00655F2C"/>
    <w:rsid w:val="0068363B"/>
    <w:rsid w:val="006972BE"/>
    <w:rsid w:val="006A5A74"/>
    <w:rsid w:val="006A69CE"/>
    <w:rsid w:val="006B342E"/>
    <w:rsid w:val="006B61C4"/>
    <w:rsid w:val="006B7143"/>
    <w:rsid w:val="006C0502"/>
    <w:rsid w:val="006E1081"/>
    <w:rsid w:val="006E3BDF"/>
    <w:rsid w:val="006F766D"/>
    <w:rsid w:val="0070007C"/>
    <w:rsid w:val="00700481"/>
    <w:rsid w:val="00704222"/>
    <w:rsid w:val="00720585"/>
    <w:rsid w:val="00720DE9"/>
    <w:rsid w:val="00732E12"/>
    <w:rsid w:val="0074044E"/>
    <w:rsid w:val="00742054"/>
    <w:rsid w:val="00756524"/>
    <w:rsid w:val="0077033E"/>
    <w:rsid w:val="00773AF6"/>
    <w:rsid w:val="00774868"/>
    <w:rsid w:val="00783EE1"/>
    <w:rsid w:val="00795F71"/>
    <w:rsid w:val="007D7968"/>
    <w:rsid w:val="007E5E18"/>
    <w:rsid w:val="007E5F7A"/>
    <w:rsid w:val="007E73AB"/>
    <w:rsid w:val="00800C3C"/>
    <w:rsid w:val="00811548"/>
    <w:rsid w:val="00816C11"/>
    <w:rsid w:val="00837CC9"/>
    <w:rsid w:val="00841A28"/>
    <w:rsid w:val="00847A5A"/>
    <w:rsid w:val="00883535"/>
    <w:rsid w:val="0088564C"/>
    <w:rsid w:val="00885AC9"/>
    <w:rsid w:val="00893365"/>
    <w:rsid w:val="00894C55"/>
    <w:rsid w:val="008C715F"/>
    <w:rsid w:val="008D312A"/>
    <w:rsid w:val="008E3BBF"/>
    <w:rsid w:val="008E601C"/>
    <w:rsid w:val="008E6FFD"/>
    <w:rsid w:val="008F2CDA"/>
    <w:rsid w:val="009024D7"/>
    <w:rsid w:val="00903A86"/>
    <w:rsid w:val="00904F2B"/>
    <w:rsid w:val="00914E96"/>
    <w:rsid w:val="00916C59"/>
    <w:rsid w:val="0092177F"/>
    <w:rsid w:val="00925F18"/>
    <w:rsid w:val="00926BF2"/>
    <w:rsid w:val="00941F40"/>
    <w:rsid w:val="0095163E"/>
    <w:rsid w:val="0095563A"/>
    <w:rsid w:val="009565D5"/>
    <w:rsid w:val="009649C0"/>
    <w:rsid w:val="00971920"/>
    <w:rsid w:val="0098077B"/>
    <w:rsid w:val="00982434"/>
    <w:rsid w:val="0099670C"/>
    <w:rsid w:val="009A0E0A"/>
    <w:rsid w:val="009A2654"/>
    <w:rsid w:val="009C3C39"/>
    <w:rsid w:val="009E15F0"/>
    <w:rsid w:val="00A10FC3"/>
    <w:rsid w:val="00A3357F"/>
    <w:rsid w:val="00A50301"/>
    <w:rsid w:val="00A54FDF"/>
    <w:rsid w:val="00A6073E"/>
    <w:rsid w:val="00A739DF"/>
    <w:rsid w:val="00A7755F"/>
    <w:rsid w:val="00A83C9C"/>
    <w:rsid w:val="00A90B27"/>
    <w:rsid w:val="00A97B10"/>
    <w:rsid w:val="00AA3767"/>
    <w:rsid w:val="00AA57EF"/>
    <w:rsid w:val="00AA6523"/>
    <w:rsid w:val="00AB4460"/>
    <w:rsid w:val="00AD309A"/>
    <w:rsid w:val="00AD3453"/>
    <w:rsid w:val="00AD4466"/>
    <w:rsid w:val="00AE5567"/>
    <w:rsid w:val="00AF1239"/>
    <w:rsid w:val="00B02AC1"/>
    <w:rsid w:val="00B16480"/>
    <w:rsid w:val="00B2165C"/>
    <w:rsid w:val="00B30691"/>
    <w:rsid w:val="00B42FCB"/>
    <w:rsid w:val="00B44468"/>
    <w:rsid w:val="00B474C7"/>
    <w:rsid w:val="00B86E16"/>
    <w:rsid w:val="00BA20AA"/>
    <w:rsid w:val="00BB37C3"/>
    <w:rsid w:val="00BB6931"/>
    <w:rsid w:val="00BB6F87"/>
    <w:rsid w:val="00BB7F71"/>
    <w:rsid w:val="00BD4425"/>
    <w:rsid w:val="00BE1280"/>
    <w:rsid w:val="00BE3FE5"/>
    <w:rsid w:val="00BF565F"/>
    <w:rsid w:val="00BF6621"/>
    <w:rsid w:val="00C1730D"/>
    <w:rsid w:val="00C24108"/>
    <w:rsid w:val="00C25B49"/>
    <w:rsid w:val="00C312FB"/>
    <w:rsid w:val="00C40C3F"/>
    <w:rsid w:val="00C45F54"/>
    <w:rsid w:val="00C5175B"/>
    <w:rsid w:val="00C531E4"/>
    <w:rsid w:val="00C54885"/>
    <w:rsid w:val="00C60EE3"/>
    <w:rsid w:val="00C67795"/>
    <w:rsid w:val="00C708D9"/>
    <w:rsid w:val="00C709F9"/>
    <w:rsid w:val="00C751AF"/>
    <w:rsid w:val="00C81FC6"/>
    <w:rsid w:val="00CA5562"/>
    <w:rsid w:val="00CC0D2D"/>
    <w:rsid w:val="00CC5F0D"/>
    <w:rsid w:val="00CD2F80"/>
    <w:rsid w:val="00CE28CE"/>
    <w:rsid w:val="00CE5030"/>
    <w:rsid w:val="00CE5657"/>
    <w:rsid w:val="00CF0422"/>
    <w:rsid w:val="00CF544A"/>
    <w:rsid w:val="00D02C31"/>
    <w:rsid w:val="00D056AF"/>
    <w:rsid w:val="00D07165"/>
    <w:rsid w:val="00D133F8"/>
    <w:rsid w:val="00D148FC"/>
    <w:rsid w:val="00D14A3E"/>
    <w:rsid w:val="00D24EAD"/>
    <w:rsid w:val="00D339AD"/>
    <w:rsid w:val="00D4114C"/>
    <w:rsid w:val="00D6075C"/>
    <w:rsid w:val="00D651C6"/>
    <w:rsid w:val="00D71EDD"/>
    <w:rsid w:val="00D73E44"/>
    <w:rsid w:val="00D76C7F"/>
    <w:rsid w:val="00D92066"/>
    <w:rsid w:val="00D92F11"/>
    <w:rsid w:val="00D93D67"/>
    <w:rsid w:val="00DA1375"/>
    <w:rsid w:val="00DA20FD"/>
    <w:rsid w:val="00DD5A21"/>
    <w:rsid w:val="00DF2C3B"/>
    <w:rsid w:val="00DF522E"/>
    <w:rsid w:val="00E273F9"/>
    <w:rsid w:val="00E3716B"/>
    <w:rsid w:val="00E425E7"/>
    <w:rsid w:val="00E5323B"/>
    <w:rsid w:val="00E65939"/>
    <w:rsid w:val="00E65D17"/>
    <w:rsid w:val="00E726CB"/>
    <w:rsid w:val="00E7566E"/>
    <w:rsid w:val="00E75D95"/>
    <w:rsid w:val="00E86DB9"/>
    <w:rsid w:val="00E8749E"/>
    <w:rsid w:val="00E90C01"/>
    <w:rsid w:val="00E92E01"/>
    <w:rsid w:val="00EA486E"/>
    <w:rsid w:val="00EC02B0"/>
    <w:rsid w:val="00EC54FE"/>
    <w:rsid w:val="00ED2B23"/>
    <w:rsid w:val="00EF6D10"/>
    <w:rsid w:val="00F11DEA"/>
    <w:rsid w:val="00F263A0"/>
    <w:rsid w:val="00F441DB"/>
    <w:rsid w:val="00F51680"/>
    <w:rsid w:val="00F57B0C"/>
    <w:rsid w:val="00F63220"/>
    <w:rsid w:val="00F6633E"/>
    <w:rsid w:val="00F96B92"/>
    <w:rsid w:val="00FA1F16"/>
    <w:rsid w:val="00FF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7601F"/>
  <w15:docId w15:val="{6022FE5C-93A4-4528-92C6-E0FA80B8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unhideWhenUsed/>
    <w:rsid w:val="00DF2C3B"/>
    <w:rPr>
      <w:sz w:val="16"/>
      <w:szCs w:val="16"/>
    </w:rPr>
  </w:style>
  <w:style w:type="paragraph" w:styleId="CommentText">
    <w:name w:val="annotation text"/>
    <w:basedOn w:val="Normal"/>
    <w:link w:val="CommentTextChar"/>
    <w:unhideWhenUsed/>
    <w:rsid w:val="00DF2C3B"/>
    <w:pPr>
      <w:spacing w:after="0" w:line="240" w:lineRule="auto"/>
    </w:pPr>
    <w:rPr>
      <w:rFonts w:ascii="Times New Roman" w:eastAsia="Calibri" w:hAnsi="Times New Roman" w:cs="Times New Roman"/>
      <w:sz w:val="20"/>
      <w:szCs w:val="20"/>
      <w:lang w:eastAsia="lv-LV"/>
    </w:rPr>
  </w:style>
  <w:style w:type="character" w:customStyle="1" w:styleId="CommentTextChar">
    <w:name w:val="Comment Text Char"/>
    <w:basedOn w:val="DefaultParagraphFont"/>
    <w:link w:val="CommentText"/>
    <w:rsid w:val="00DF2C3B"/>
    <w:rPr>
      <w:rFonts w:ascii="Times New Roman" w:eastAsia="Calibri" w:hAnsi="Times New Roman" w:cs="Times New Roman"/>
      <w:sz w:val="20"/>
      <w:szCs w:val="20"/>
      <w:lang w:eastAsia="lv-LV"/>
    </w:rPr>
  </w:style>
  <w:style w:type="paragraph" w:styleId="ListParagraph">
    <w:name w:val="List Paragraph"/>
    <w:aliases w:val="2,Strip,Normal bullet 2,Bullet list,Saistīto dokumentu saraksts,Syle 1,Numurets,List Paragraph11,OBC Bullet,Bullet Style,L,H&amp;P List Paragraph,List Paragraph1,Akapit z listą BS,Bullet 1,Bullet Points,Dot pt,F5 List Paragraph,Indicator Text"/>
    <w:basedOn w:val="Normal"/>
    <w:link w:val="ListParagraphChar"/>
    <w:uiPriority w:val="34"/>
    <w:qFormat/>
    <w:rsid w:val="00CD2F80"/>
    <w:pPr>
      <w:spacing w:after="0" w:line="240" w:lineRule="auto"/>
      <w:ind w:left="720"/>
      <w:contextualSpacing/>
    </w:pPr>
    <w:rPr>
      <w:rFonts w:ascii="Times New Roman" w:eastAsia="Times New Roman" w:hAnsi="Times New Roman" w:cs="Times New Roman"/>
      <w:lang w:eastAsia="lv-LV"/>
    </w:rPr>
  </w:style>
  <w:style w:type="character" w:customStyle="1" w:styleId="ListParagraphChar">
    <w:name w:val="List Paragraph Char"/>
    <w:aliases w:val="2 Char,Strip Char,Normal bullet 2 Char,Bullet list Char,Saistīto dokumentu saraksts Char,Syle 1 Char,Numurets Char,List Paragraph11 Char,OBC Bullet Char,Bullet Style Char,L Char,H&amp;P List Paragraph Char,List Paragraph1 Char"/>
    <w:link w:val="ListParagraph"/>
    <w:uiPriority w:val="34"/>
    <w:qFormat/>
    <w:rsid w:val="00CD2F80"/>
    <w:rPr>
      <w:rFonts w:ascii="Times New Roman" w:eastAsia="Times New Roman" w:hAnsi="Times New Roman" w:cs="Times New Roman"/>
      <w:lang w:eastAsia="lv-LV"/>
    </w:rPr>
  </w:style>
  <w:style w:type="paragraph" w:styleId="CommentSubject">
    <w:name w:val="annotation subject"/>
    <w:basedOn w:val="CommentText"/>
    <w:next w:val="CommentText"/>
    <w:link w:val="CommentSubjectChar"/>
    <w:uiPriority w:val="99"/>
    <w:semiHidden/>
    <w:unhideWhenUsed/>
    <w:rsid w:val="00254397"/>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54397"/>
    <w:rPr>
      <w:rFonts w:ascii="Times New Roman" w:eastAsia="Calibri" w:hAnsi="Times New Roman" w:cs="Times New Roman"/>
      <w:b/>
      <w:bCs/>
      <w:sz w:val="20"/>
      <w:szCs w:val="20"/>
      <w:lang w:eastAsia="lv-LV"/>
    </w:rPr>
  </w:style>
  <w:style w:type="paragraph" w:styleId="FootnoteText">
    <w:name w:val="footnote text"/>
    <w:basedOn w:val="Normal"/>
    <w:link w:val="FootnoteTextChar"/>
    <w:unhideWhenUsed/>
    <w:rsid w:val="001E567D"/>
    <w:pPr>
      <w:spacing w:after="0" w:line="240" w:lineRule="auto"/>
    </w:pPr>
    <w:rPr>
      <w:sz w:val="20"/>
      <w:szCs w:val="20"/>
    </w:rPr>
  </w:style>
  <w:style w:type="character" w:customStyle="1" w:styleId="FootnoteTextChar">
    <w:name w:val="Footnote Text Char"/>
    <w:basedOn w:val="DefaultParagraphFont"/>
    <w:link w:val="FootnoteText"/>
    <w:rsid w:val="001E567D"/>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nhideWhenUsed/>
    <w:rsid w:val="001E567D"/>
    <w:rPr>
      <w:vertAlign w:val="superscript"/>
    </w:rPr>
  </w:style>
  <w:style w:type="character" w:customStyle="1" w:styleId="UnresolvedMention1">
    <w:name w:val="Unresolved Mention1"/>
    <w:basedOn w:val="DefaultParagraphFont"/>
    <w:uiPriority w:val="99"/>
    <w:semiHidden/>
    <w:unhideWhenUsed/>
    <w:rsid w:val="001E567D"/>
    <w:rPr>
      <w:color w:val="605E5C"/>
      <w:shd w:val="clear" w:color="auto" w:fill="E1DFDD"/>
    </w:rPr>
  </w:style>
  <w:style w:type="paragraph" w:styleId="Revision">
    <w:name w:val="Revision"/>
    <w:hidden/>
    <w:uiPriority w:val="99"/>
    <w:semiHidden/>
    <w:rsid w:val="008E6FFD"/>
    <w:pPr>
      <w:spacing w:after="0" w:line="240" w:lineRule="auto"/>
    </w:pPr>
  </w:style>
  <w:style w:type="paragraph" w:styleId="BodyText">
    <w:name w:val="Body Text"/>
    <w:basedOn w:val="Normal"/>
    <w:link w:val="BodyTextChar"/>
    <w:unhideWhenUsed/>
    <w:rsid w:val="00D056AF"/>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D056AF"/>
    <w:rPr>
      <w:rFonts w:ascii="Times New Roman" w:eastAsia="Times New Roman" w:hAnsi="Times New Roman" w:cs="Times New Roman"/>
      <w:sz w:val="28"/>
      <w:szCs w:val="20"/>
      <w:lang w:eastAsia="lv-LV"/>
    </w:rPr>
  </w:style>
  <w:style w:type="paragraph" w:customStyle="1" w:styleId="naiskr">
    <w:name w:val="naiskr"/>
    <w:basedOn w:val="Normal"/>
    <w:rsid w:val="006B61C4"/>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lze.Grinberga@e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F619C"/>
    <w:rsid w:val="00211589"/>
    <w:rsid w:val="00257482"/>
    <w:rsid w:val="002609B8"/>
    <w:rsid w:val="00310D45"/>
    <w:rsid w:val="003425CF"/>
    <w:rsid w:val="00344186"/>
    <w:rsid w:val="00344F20"/>
    <w:rsid w:val="003A5DD0"/>
    <w:rsid w:val="003C6ED4"/>
    <w:rsid w:val="003C7AB3"/>
    <w:rsid w:val="00400DBF"/>
    <w:rsid w:val="00451ED7"/>
    <w:rsid w:val="00472F39"/>
    <w:rsid w:val="00483DAB"/>
    <w:rsid w:val="004962A5"/>
    <w:rsid w:val="004F356D"/>
    <w:rsid w:val="00523A63"/>
    <w:rsid w:val="00534DB2"/>
    <w:rsid w:val="00570FFD"/>
    <w:rsid w:val="005E2BC6"/>
    <w:rsid w:val="005E4EB7"/>
    <w:rsid w:val="00626B55"/>
    <w:rsid w:val="006369B4"/>
    <w:rsid w:val="00673397"/>
    <w:rsid w:val="006B05ED"/>
    <w:rsid w:val="006B0EC4"/>
    <w:rsid w:val="006E71F0"/>
    <w:rsid w:val="006F1566"/>
    <w:rsid w:val="007117EC"/>
    <w:rsid w:val="00823CB6"/>
    <w:rsid w:val="008A6C19"/>
    <w:rsid w:val="008B623B"/>
    <w:rsid w:val="008C69D9"/>
    <w:rsid w:val="008D39C9"/>
    <w:rsid w:val="008E044E"/>
    <w:rsid w:val="009632CF"/>
    <w:rsid w:val="009B55AC"/>
    <w:rsid w:val="009B71CA"/>
    <w:rsid w:val="009C1B4C"/>
    <w:rsid w:val="009C2F9B"/>
    <w:rsid w:val="00A0500B"/>
    <w:rsid w:val="00A57006"/>
    <w:rsid w:val="00AD4A2F"/>
    <w:rsid w:val="00AF45E7"/>
    <w:rsid w:val="00B04FB7"/>
    <w:rsid w:val="00B3767C"/>
    <w:rsid w:val="00B757E9"/>
    <w:rsid w:val="00BD7B07"/>
    <w:rsid w:val="00BE1117"/>
    <w:rsid w:val="00C00671"/>
    <w:rsid w:val="00C8637F"/>
    <w:rsid w:val="00CA0DE8"/>
    <w:rsid w:val="00CB62FC"/>
    <w:rsid w:val="00CE0143"/>
    <w:rsid w:val="00D03198"/>
    <w:rsid w:val="00D970CC"/>
    <w:rsid w:val="00DA4926"/>
    <w:rsid w:val="00E13C87"/>
    <w:rsid w:val="00ED4ED0"/>
    <w:rsid w:val="00EE6348"/>
    <w:rsid w:val="00F36C7D"/>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800E2-D96F-41E6-A445-D457C771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9629</Words>
  <Characters>5490</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EMAnot_01112019_Groz160</vt:lpstr>
    </vt:vector>
  </TitlesOfParts>
  <Company>Iestādes nosaukums</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EMAnot_01112019_Groz160</dc:title>
  <dc:subject>Anotācija</dc:subject>
  <dc:creator>Janis.Silins@em.gov.lv</dc:creator>
  <dc:description>67013005, Janis.Silins@em.gov.lv</dc:description>
  <cp:lastModifiedBy>Ilze Grīnberga</cp:lastModifiedBy>
  <cp:revision>4</cp:revision>
  <dcterms:created xsi:type="dcterms:W3CDTF">2020-05-11T09:29:00Z</dcterms:created>
  <dcterms:modified xsi:type="dcterms:W3CDTF">2020-05-11T09:35:00Z</dcterms:modified>
</cp:coreProperties>
</file>