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C7" w:rsidRPr="00712B66" w:rsidRDefault="007116C7" w:rsidP="00F22BD8">
      <w:pPr>
        <w:pStyle w:val="naisnod"/>
        <w:spacing w:before="0" w:after="0"/>
        <w:rPr>
          <w:sz w:val="28"/>
          <w:szCs w:val="28"/>
        </w:rPr>
      </w:pPr>
      <w:r w:rsidRPr="00712B66">
        <w:rPr>
          <w:sz w:val="28"/>
          <w:szCs w:val="28"/>
        </w:rPr>
        <w:t>Izziņa par atzinumos sniegtajiem iebildumiem</w:t>
      </w:r>
    </w:p>
    <w:p w:rsidR="007116C7" w:rsidRPr="008A36C9" w:rsidRDefault="007116C7" w:rsidP="00F22BD8">
      <w:pPr>
        <w:pStyle w:val="naisf"/>
        <w:spacing w:before="0" w:after="0"/>
        <w:ind w:firstLine="0"/>
      </w:pPr>
    </w:p>
    <w:tbl>
      <w:tblPr>
        <w:tblW w:w="0" w:type="auto"/>
        <w:jc w:val="center"/>
        <w:tblLook w:val="00A0"/>
      </w:tblPr>
      <w:tblGrid>
        <w:gridCol w:w="10188"/>
      </w:tblGrid>
      <w:tr w:rsidR="007116C7" w:rsidRPr="00712B66">
        <w:trPr>
          <w:jc w:val="center"/>
        </w:trPr>
        <w:tc>
          <w:tcPr>
            <w:tcW w:w="10188" w:type="dxa"/>
            <w:tcBorders>
              <w:bottom w:val="single" w:sz="6" w:space="0" w:color="000000"/>
            </w:tcBorders>
          </w:tcPr>
          <w:p w:rsidR="007116C7" w:rsidRPr="00712B66" w:rsidRDefault="00346001" w:rsidP="00BF630B">
            <w:pPr>
              <w:jc w:val="center"/>
            </w:pPr>
            <w:r>
              <w:rPr>
                <w:b/>
                <w:bCs/>
              </w:rPr>
              <w:t>Min</w:t>
            </w:r>
            <w:r w:rsidRPr="00C90D02">
              <w:rPr>
                <w:b/>
                <w:bCs/>
              </w:rPr>
              <w:t>istru kabineta noteikumu projekt</w:t>
            </w:r>
            <w:r>
              <w:rPr>
                <w:b/>
                <w:bCs/>
              </w:rPr>
              <w:t>s</w:t>
            </w:r>
            <w:r w:rsidRPr="00C90D02">
              <w:rPr>
                <w:b/>
                <w:bCs/>
              </w:rPr>
              <w:t xml:space="preserve"> </w:t>
            </w:r>
            <w:r w:rsidR="00BF630B" w:rsidRPr="00C90D02">
              <w:rPr>
                <w:b/>
                <w:bCs/>
              </w:rPr>
              <w:t>“</w:t>
            </w:r>
            <w:r w:rsidR="00BF630B" w:rsidRPr="00561634">
              <w:rPr>
                <w:b/>
                <w:bCs/>
              </w:rPr>
              <w:t>Grozījumi Ministru kabineta 2015.</w:t>
            </w:r>
            <w:r w:rsidR="00BF630B">
              <w:rPr>
                <w:b/>
                <w:bCs/>
              </w:rPr>
              <w:t> </w:t>
            </w:r>
            <w:r w:rsidR="00BF630B" w:rsidRPr="00561634">
              <w:rPr>
                <w:b/>
                <w:bCs/>
              </w:rPr>
              <w:t xml:space="preserve">gada </w:t>
            </w:r>
            <w:r w:rsidR="00BF630B">
              <w:rPr>
                <w:b/>
                <w:bCs/>
              </w:rPr>
              <w:t>30</w:t>
            </w:r>
            <w:r w:rsidR="00BF630B" w:rsidRPr="00561634">
              <w:rPr>
                <w:b/>
                <w:bCs/>
              </w:rPr>
              <w:t>.</w:t>
            </w:r>
            <w:r w:rsidR="00BF630B">
              <w:rPr>
                <w:b/>
                <w:bCs/>
              </w:rPr>
              <w:t> </w:t>
            </w:r>
            <w:r w:rsidR="00BF630B" w:rsidRPr="00561634">
              <w:rPr>
                <w:b/>
                <w:bCs/>
              </w:rPr>
              <w:t>jūnija noteikumos Nr.</w:t>
            </w:r>
            <w:r w:rsidR="00BF630B">
              <w:rPr>
                <w:b/>
                <w:bCs/>
              </w:rPr>
              <w:t> </w:t>
            </w:r>
            <w:r w:rsidR="00BF630B" w:rsidRPr="00561634">
              <w:rPr>
                <w:b/>
                <w:bCs/>
              </w:rPr>
              <w:t>3</w:t>
            </w:r>
            <w:r w:rsidR="00BF630B">
              <w:rPr>
                <w:b/>
                <w:bCs/>
              </w:rPr>
              <w:t>3</w:t>
            </w:r>
            <w:r w:rsidR="00BF630B" w:rsidRPr="00561634">
              <w:rPr>
                <w:b/>
                <w:bCs/>
              </w:rPr>
              <w:t xml:space="preserve">1 </w:t>
            </w:r>
            <w:r w:rsidR="00BF630B">
              <w:rPr>
                <w:b/>
                <w:bCs/>
              </w:rPr>
              <w:t>“</w:t>
            </w:r>
            <w:r w:rsidR="00BF630B" w:rsidRPr="00D16F4C">
              <w:rPr>
                <w:b/>
                <w:bCs/>
              </w:rPr>
              <w:t>Noteikumi par Latvijas būvnormatīvu LBN</w:t>
            </w:r>
            <w:r w:rsidR="00BF630B">
              <w:rPr>
                <w:b/>
                <w:bCs/>
              </w:rPr>
              <w:t> </w:t>
            </w:r>
            <w:r w:rsidR="00BF630B" w:rsidRPr="00D16F4C">
              <w:rPr>
                <w:b/>
                <w:bCs/>
              </w:rPr>
              <w:t>2</w:t>
            </w:r>
            <w:r w:rsidR="00BF630B">
              <w:rPr>
                <w:b/>
                <w:bCs/>
              </w:rPr>
              <w:t>08-</w:t>
            </w:r>
            <w:r w:rsidR="00BF630B" w:rsidRPr="00D16F4C">
              <w:rPr>
                <w:b/>
                <w:bCs/>
              </w:rPr>
              <w:t xml:space="preserve">15 </w:t>
            </w:r>
            <w:r w:rsidR="00BF630B" w:rsidRPr="00A974F3">
              <w:rPr>
                <w:b/>
                <w:bCs/>
              </w:rPr>
              <w:t>“</w:t>
            </w:r>
            <w:r w:rsidR="00BF630B">
              <w:rPr>
                <w:b/>
                <w:bCs/>
              </w:rPr>
              <w:t>Publiskas būves</w:t>
            </w:r>
            <w:r w:rsidR="00BF630B" w:rsidRPr="00A974F3">
              <w:rPr>
                <w:b/>
                <w:bCs/>
              </w:rPr>
              <w:t>”</w:t>
            </w:r>
            <w:r w:rsidR="00BF630B">
              <w:rPr>
                <w:b/>
                <w:bCs/>
              </w:rPr>
              <w:t>”</w:t>
            </w:r>
            <w:r w:rsidR="00BF630B" w:rsidRPr="00C90D02">
              <w:rPr>
                <w:b/>
                <w:bCs/>
              </w:rPr>
              <w:t>”</w:t>
            </w:r>
            <w:r w:rsidR="004F2C0E">
              <w:rPr>
                <w:b/>
              </w:rPr>
              <w:t xml:space="preserve"> (VSS-</w:t>
            </w:r>
            <w:r w:rsidR="00BF630B">
              <w:rPr>
                <w:b/>
              </w:rPr>
              <w:t>152</w:t>
            </w:r>
            <w:r w:rsidR="004F2C0E">
              <w:rPr>
                <w:b/>
              </w:rPr>
              <w:t>)</w:t>
            </w:r>
          </w:p>
        </w:tc>
      </w:tr>
    </w:tbl>
    <w:p w:rsidR="007116C7" w:rsidRPr="00712B66" w:rsidRDefault="007116C7" w:rsidP="00F22BD8">
      <w:pPr>
        <w:pStyle w:val="naisc"/>
        <w:spacing w:before="0" w:after="0"/>
      </w:pPr>
      <w:r w:rsidRPr="00712B66">
        <w:t>(dokumenta veids un nosaukums)</w:t>
      </w:r>
    </w:p>
    <w:p w:rsidR="007B4C0F" w:rsidRPr="00712B66" w:rsidRDefault="007B4C0F" w:rsidP="00F22BD8">
      <w:pPr>
        <w:pStyle w:val="naisf"/>
        <w:spacing w:before="0" w:after="0"/>
        <w:ind w:firstLine="0"/>
      </w:pPr>
    </w:p>
    <w:p w:rsidR="007B4C0F" w:rsidRPr="00712B66" w:rsidRDefault="007B4C0F" w:rsidP="00F22BD8">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tblPr>
      <w:tblGrid>
        <w:gridCol w:w="708"/>
        <w:gridCol w:w="2377"/>
        <w:gridCol w:w="3827"/>
        <w:gridCol w:w="2977"/>
        <w:gridCol w:w="2126"/>
        <w:gridCol w:w="2410"/>
      </w:tblGrid>
      <w:tr w:rsidR="005F4BFD" w:rsidRPr="00712B66" w:rsidTr="000372EB">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5F0B43">
            <w:pPr>
              <w:pStyle w:val="naisc"/>
              <w:spacing w:before="0" w:after="0"/>
            </w:pPr>
            <w:r w:rsidRPr="00712B66">
              <w:t>Nr. p.</w:t>
            </w:r>
            <w:r w:rsidR="00D64FB0">
              <w:t> </w:t>
            </w:r>
            <w:r w:rsidRPr="00712B66">
              <w:t>k.</w:t>
            </w:r>
          </w:p>
        </w:tc>
        <w:tc>
          <w:tcPr>
            <w:tcW w:w="23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4786D">
            <w:pPr>
              <w:pStyle w:val="naisc"/>
              <w:spacing w:before="0" w:after="0"/>
              <w:ind w:firstLine="21"/>
            </w:pPr>
            <w:r w:rsidRPr="00712B66">
              <w:t>Atbildīgās ministrijas pamatojums</w:t>
            </w:r>
            <w:r w:rsidR="009307F2" w:rsidRPr="00712B66">
              <w:t xml:space="preserve">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241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rsidTr="000372EB">
        <w:tc>
          <w:tcPr>
            <w:tcW w:w="708" w:type="dxa"/>
            <w:tcBorders>
              <w:top w:val="single" w:sz="6" w:space="0" w:color="000000"/>
              <w:left w:val="single" w:sz="6" w:space="0" w:color="000000"/>
              <w:bottom w:val="single" w:sz="4" w:space="0" w:color="auto"/>
              <w:right w:val="single" w:sz="6" w:space="0" w:color="000000"/>
            </w:tcBorders>
          </w:tcPr>
          <w:p w:rsidR="005F4BFD" w:rsidRPr="008A36C9" w:rsidRDefault="008A36C9" w:rsidP="005F0B43">
            <w:pPr>
              <w:pStyle w:val="naisc"/>
              <w:spacing w:before="0" w:after="0"/>
              <w:rPr>
                <w:sz w:val="20"/>
                <w:szCs w:val="20"/>
              </w:rPr>
            </w:pPr>
            <w:r w:rsidRPr="008A36C9">
              <w:rPr>
                <w:sz w:val="20"/>
                <w:szCs w:val="20"/>
              </w:rPr>
              <w:t>1</w:t>
            </w:r>
          </w:p>
        </w:tc>
        <w:tc>
          <w:tcPr>
            <w:tcW w:w="2377" w:type="dxa"/>
            <w:tcBorders>
              <w:top w:val="single" w:sz="6" w:space="0" w:color="000000"/>
              <w:left w:val="single" w:sz="6" w:space="0" w:color="000000"/>
              <w:bottom w:val="single" w:sz="4" w:space="0" w:color="auto"/>
              <w:right w:val="single" w:sz="6" w:space="0" w:color="000000"/>
            </w:tcBorders>
          </w:tcPr>
          <w:p w:rsidR="005F4BFD" w:rsidRPr="008A36C9" w:rsidRDefault="008A36C9" w:rsidP="004F2C0E">
            <w:pPr>
              <w:pStyle w:val="naisc"/>
              <w:spacing w:before="0" w:after="0"/>
              <w:rPr>
                <w:sz w:val="20"/>
                <w:szCs w:val="20"/>
              </w:rPr>
            </w:pPr>
            <w:r w:rsidRPr="008A36C9">
              <w:rPr>
                <w:sz w:val="20"/>
                <w:szCs w:val="20"/>
              </w:rPr>
              <w:t>2</w:t>
            </w:r>
          </w:p>
        </w:tc>
        <w:tc>
          <w:tcPr>
            <w:tcW w:w="3827" w:type="dxa"/>
            <w:tcBorders>
              <w:top w:val="single" w:sz="6" w:space="0" w:color="000000"/>
              <w:left w:val="single" w:sz="6" w:space="0" w:color="000000"/>
              <w:bottom w:val="single" w:sz="4" w:space="0" w:color="auto"/>
              <w:right w:val="single" w:sz="6" w:space="0" w:color="000000"/>
            </w:tcBorders>
          </w:tcPr>
          <w:p w:rsidR="005F4BFD" w:rsidRPr="008A36C9" w:rsidRDefault="008A36C9" w:rsidP="004F2C0E">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4" w:space="0" w:color="auto"/>
              <w:right w:val="single" w:sz="6" w:space="0" w:color="000000"/>
            </w:tcBorders>
          </w:tcPr>
          <w:p w:rsidR="005F4BFD" w:rsidRPr="008A36C9" w:rsidRDefault="008A36C9" w:rsidP="0034786D">
            <w:pPr>
              <w:pStyle w:val="naisc"/>
              <w:spacing w:before="0" w:after="0"/>
              <w:rPr>
                <w:sz w:val="20"/>
                <w:szCs w:val="20"/>
              </w:rPr>
            </w:pPr>
            <w:r w:rsidRPr="008A36C9">
              <w:rPr>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241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A87637" w:rsidRPr="006E497C" w:rsidTr="000372EB">
        <w:tc>
          <w:tcPr>
            <w:tcW w:w="708" w:type="dxa"/>
            <w:tcBorders>
              <w:top w:val="single" w:sz="4" w:space="0" w:color="auto"/>
              <w:left w:val="single" w:sz="4" w:space="0" w:color="auto"/>
              <w:bottom w:val="single" w:sz="4" w:space="0" w:color="auto"/>
              <w:right w:val="single" w:sz="4" w:space="0" w:color="auto"/>
            </w:tcBorders>
          </w:tcPr>
          <w:p w:rsidR="00A87637" w:rsidRDefault="00A87637" w:rsidP="00EA444A">
            <w:pPr>
              <w:pStyle w:val="naisc"/>
              <w:spacing w:before="0" w:after="0"/>
            </w:pPr>
            <w:r>
              <w:t>1.</w:t>
            </w:r>
          </w:p>
        </w:tc>
        <w:tc>
          <w:tcPr>
            <w:tcW w:w="2377" w:type="dxa"/>
            <w:tcBorders>
              <w:top w:val="single" w:sz="4" w:space="0" w:color="auto"/>
              <w:left w:val="single" w:sz="4" w:space="0" w:color="auto"/>
              <w:bottom w:val="single" w:sz="4" w:space="0" w:color="auto"/>
              <w:right w:val="single" w:sz="4" w:space="0" w:color="auto"/>
            </w:tcBorders>
          </w:tcPr>
          <w:p w:rsidR="00A87637" w:rsidRDefault="00A87637" w:rsidP="00990BF6">
            <w:pPr>
              <w:pStyle w:val="naisc"/>
              <w:spacing w:before="0" w:after="0"/>
              <w:jc w:val="both"/>
            </w:pPr>
          </w:p>
        </w:tc>
        <w:tc>
          <w:tcPr>
            <w:tcW w:w="3827" w:type="dxa"/>
            <w:tcBorders>
              <w:top w:val="single" w:sz="4" w:space="0" w:color="auto"/>
              <w:left w:val="single" w:sz="4" w:space="0" w:color="auto"/>
              <w:bottom w:val="single" w:sz="4" w:space="0" w:color="auto"/>
              <w:right w:val="single" w:sz="4" w:space="0" w:color="auto"/>
            </w:tcBorders>
          </w:tcPr>
          <w:p w:rsidR="00A87637" w:rsidRDefault="00A87637" w:rsidP="00990BF6">
            <w:pPr>
              <w:pStyle w:val="naisc"/>
              <w:spacing w:before="0" w:after="0"/>
              <w:jc w:val="both"/>
              <w:rPr>
                <w:b/>
                <w:bCs/>
              </w:rPr>
            </w:pPr>
          </w:p>
        </w:tc>
        <w:tc>
          <w:tcPr>
            <w:tcW w:w="2977" w:type="dxa"/>
            <w:tcBorders>
              <w:top w:val="single" w:sz="4" w:space="0" w:color="auto"/>
              <w:left w:val="single" w:sz="4" w:space="0" w:color="auto"/>
              <w:bottom w:val="single" w:sz="4" w:space="0" w:color="auto"/>
              <w:right w:val="single" w:sz="4" w:space="0" w:color="auto"/>
            </w:tcBorders>
          </w:tcPr>
          <w:p w:rsidR="00A87637" w:rsidRPr="00912F98" w:rsidRDefault="00A87637" w:rsidP="00912F98">
            <w:pPr>
              <w:pStyle w:val="naisc"/>
              <w:spacing w:before="0" w:after="0"/>
              <w:jc w:val="both"/>
            </w:pPr>
          </w:p>
        </w:tc>
        <w:tc>
          <w:tcPr>
            <w:tcW w:w="2126" w:type="dxa"/>
            <w:tcBorders>
              <w:top w:val="single" w:sz="4" w:space="0" w:color="auto"/>
              <w:left w:val="single" w:sz="4" w:space="0" w:color="auto"/>
              <w:bottom w:val="single" w:sz="4" w:space="0" w:color="auto"/>
              <w:right w:val="single" w:sz="4" w:space="0" w:color="auto"/>
            </w:tcBorders>
          </w:tcPr>
          <w:p w:rsidR="00A87637" w:rsidRPr="006E497C" w:rsidRDefault="00A87637" w:rsidP="00EA444A"/>
        </w:tc>
        <w:tc>
          <w:tcPr>
            <w:tcW w:w="2410" w:type="dxa"/>
            <w:tcBorders>
              <w:top w:val="single" w:sz="4" w:space="0" w:color="auto"/>
              <w:left w:val="single" w:sz="4" w:space="0" w:color="auto"/>
              <w:bottom w:val="single" w:sz="4" w:space="0" w:color="auto"/>
            </w:tcBorders>
          </w:tcPr>
          <w:p w:rsidR="00A87637" w:rsidRDefault="00A87637" w:rsidP="00990BF6">
            <w:pPr>
              <w:pStyle w:val="naisc"/>
              <w:spacing w:before="0" w:after="0"/>
              <w:jc w:val="both"/>
            </w:pPr>
          </w:p>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7229"/>
      </w:tblGrid>
      <w:tr w:rsidR="007B4C0F" w:rsidRPr="00712B66" w:rsidTr="00F10DF3">
        <w:tc>
          <w:tcPr>
            <w:tcW w:w="7196" w:type="dxa"/>
            <w:tcBorders>
              <w:top w:val="nil"/>
              <w:left w:val="nil"/>
              <w:bottom w:val="nil"/>
              <w:right w:val="nil"/>
            </w:tcBorders>
          </w:tcPr>
          <w:p w:rsidR="007B4C0F" w:rsidRPr="00712B66" w:rsidRDefault="005D67F7" w:rsidP="00F10DF3">
            <w:pPr>
              <w:pStyle w:val="naisf"/>
              <w:spacing w:before="0" w:after="0"/>
              <w:ind w:right="454" w:firstLine="0"/>
            </w:pPr>
            <w:r w:rsidRPr="00712B66">
              <w:t>D</w:t>
            </w:r>
            <w:r w:rsidR="007B4C0F" w:rsidRPr="00712B66">
              <w:t>atums</w:t>
            </w:r>
          </w:p>
        </w:tc>
        <w:tc>
          <w:tcPr>
            <w:tcW w:w="7229" w:type="dxa"/>
            <w:tcBorders>
              <w:top w:val="nil"/>
              <w:left w:val="nil"/>
              <w:right w:val="nil"/>
            </w:tcBorders>
          </w:tcPr>
          <w:p w:rsidR="007B4C0F" w:rsidRPr="00F55FD8" w:rsidRDefault="00F55FD8" w:rsidP="006642C2">
            <w:pPr>
              <w:pStyle w:val="NormalWeb"/>
              <w:spacing w:before="0" w:beforeAutospacing="0" w:after="0" w:afterAutospacing="0"/>
              <w:ind w:left="171"/>
            </w:pPr>
            <w:r>
              <w:t>2020. </w:t>
            </w:r>
            <w:r w:rsidRPr="006642C2">
              <w:t xml:space="preserve">gada </w:t>
            </w:r>
            <w:r w:rsidR="006642C2" w:rsidRPr="006642C2">
              <w:t>16.-22</w:t>
            </w:r>
            <w:r w:rsidRPr="006642C2">
              <w:t>. </w:t>
            </w:r>
            <w:r w:rsidR="000D00D3" w:rsidRPr="006642C2">
              <w:t>aprīli</w:t>
            </w:r>
            <w:r w:rsidRPr="006642C2">
              <w:t>s</w:t>
            </w:r>
          </w:p>
        </w:tc>
      </w:tr>
      <w:tr w:rsidR="003C27A2" w:rsidRPr="00712B66" w:rsidTr="00F10DF3">
        <w:tc>
          <w:tcPr>
            <w:tcW w:w="7196" w:type="dxa"/>
            <w:tcBorders>
              <w:top w:val="nil"/>
              <w:left w:val="nil"/>
              <w:bottom w:val="nil"/>
              <w:right w:val="nil"/>
            </w:tcBorders>
          </w:tcPr>
          <w:p w:rsidR="003C27A2" w:rsidRPr="00712B66" w:rsidRDefault="003C27A2" w:rsidP="00F10DF3">
            <w:pPr>
              <w:pStyle w:val="naisf"/>
              <w:spacing w:before="0" w:after="0"/>
              <w:ind w:right="454" w:firstLine="0"/>
            </w:pPr>
          </w:p>
        </w:tc>
        <w:tc>
          <w:tcPr>
            <w:tcW w:w="7229" w:type="dxa"/>
            <w:tcBorders>
              <w:left w:val="nil"/>
              <w:bottom w:val="nil"/>
              <w:right w:val="nil"/>
            </w:tcBorders>
          </w:tcPr>
          <w:p w:rsidR="003C27A2" w:rsidRPr="00712B66" w:rsidRDefault="003C27A2" w:rsidP="00F10DF3">
            <w:pPr>
              <w:pStyle w:val="NormalWeb"/>
              <w:spacing w:before="0" w:beforeAutospacing="0" w:after="0" w:afterAutospacing="0"/>
              <w:ind w:left="171"/>
            </w:pPr>
          </w:p>
        </w:tc>
      </w:tr>
      <w:tr w:rsidR="007B4C0F" w:rsidRPr="00712B66" w:rsidTr="00F10DF3">
        <w:tc>
          <w:tcPr>
            <w:tcW w:w="7196" w:type="dxa"/>
            <w:tcBorders>
              <w:top w:val="nil"/>
              <w:left w:val="nil"/>
              <w:bottom w:val="nil"/>
              <w:right w:val="nil"/>
            </w:tcBorders>
          </w:tcPr>
          <w:p w:rsidR="007B4C0F" w:rsidRPr="00712B66" w:rsidRDefault="00365CC0" w:rsidP="00F10DF3">
            <w:pPr>
              <w:pStyle w:val="naiskr"/>
              <w:spacing w:before="0" w:after="0"/>
              <w:ind w:right="454"/>
            </w:pPr>
            <w:r>
              <w:t>Saskaņošanas d</w:t>
            </w:r>
            <w:r w:rsidRPr="00712B66">
              <w:t>alībnieki</w:t>
            </w:r>
          </w:p>
        </w:tc>
        <w:tc>
          <w:tcPr>
            <w:tcW w:w="7229" w:type="dxa"/>
            <w:tcBorders>
              <w:top w:val="nil"/>
              <w:left w:val="nil"/>
              <w:right w:val="nil"/>
            </w:tcBorders>
          </w:tcPr>
          <w:p w:rsidR="007B4C0F" w:rsidRPr="00712B66" w:rsidRDefault="00EE2B0B" w:rsidP="00EE2B0B">
            <w:pPr>
              <w:pStyle w:val="NormalWeb"/>
              <w:spacing w:before="0" w:beforeAutospacing="0" w:after="0" w:afterAutospacing="0"/>
              <w:ind w:left="171"/>
            </w:pPr>
            <w:r>
              <w:t xml:space="preserve">Aizsardzības ministrija, </w:t>
            </w:r>
            <w:r w:rsidRPr="00C3501B">
              <w:t>Finanšu ministrija</w:t>
            </w:r>
            <w:r>
              <w:t>, Satiksmes ministrija,</w:t>
            </w:r>
          </w:p>
        </w:tc>
      </w:tr>
      <w:tr w:rsidR="00F10DF3" w:rsidRPr="00712B66" w:rsidTr="00F10DF3">
        <w:tc>
          <w:tcPr>
            <w:tcW w:w="7196" w:type="dxa"/>
            <w:tcBorders>
              <w:top w:val="nil"/>
              <w:left w:val="nil"/>
              <w:bottom w:val="nil"/>
              <w:right w:val="nil"/>
            </w:tcBorders>
          </w:tcPr>
          <w:p w:rsidR="00F10DF3" w:rsidRDefault="00F10DF3" w:rsidP="00F10DF3">
            <w:pPr>
              <w:pStyle w:val="naiskr"/>
              <w:spacing w:before="0" w:after="0"/>
              <w:ind w:right="454"/>
            </w:pPr>
          </w:p>
        </w:tc>
        <w:tc>
          <w:tcPr>
            <w:tcW w:w="7229" w:type="dxa"/>
            <w:tcBorders>
              <w:top w:val="nil"/>
              <w:left w:val="nil"/>
              <w:right w:val="nil"/>
            </w:tcBorders>
          </w:tcPr>
          <w:p w:rsidR="00F10DF3" w:rsidRPr="00712B66" w:rsidRDefault="00EE2B0B" w:rsidP="00F10DF3">
            <w:pPr>
              <w:pStyle w:val="NormalWeb"/>
              <w:spacing w:before="0" w:beforeAutospacing="0" w:after="0" w:afterAutospacing="0"/>
              <w:ind w:left="171"/>
            </w:pPr>
            <w:r>
              <w:t>Tieslietu ministrija, Vides aizsardzības un reģionālās attīstības</w:t>
            </w:r>
          </w:p>
        </w:tc>
      </w:tr>
      <w:tr w:rsidR="00EE2B0B" w:rsidRPr="00712B66" w:rsidTr="00F10DF3">
        <w:tc>
          <w:tcPr>
            <w:tcW w:w="7196" w:type="dxa"/>
            <w:tcBorders>
              <w:top w:val="nil"/>
              <w:left w:val="nil"/>
              <w:bottom w:val="nil"/>
              <w:right w:val="nil"/>
            </w:tcBorders>
          </w:tcPr>
          <w:p w:rsidR="00EE2B0B" w:rsidRDefault="00EE2B0B" w:rsidP="00F10DF3">
            <w:pPr>
              <w:pStyle w:val="naiskr"/>
              <w:spacing w:before="0" w:after="0"/>
              <w:ind w:right="454"/>
            </w:pPr>
          </w:p>
        </w:tc>
        <w:tc>
          <w:tcPr>
            <w:tcW w:w="7229" w:type="dxa"/>
            <w:tcBorders>
              <w:top w:val="nil"/>
              <w:left w:val="nil"/>
              <w:right w:val="nil"/>
            </w:tcBorders>
          </w:tcPr>
          <w:p w:rsidR="00EE2B0B" w:rsidRPr="00EE2B0B" w:rsidRDefault="00EE2B0B" w:rsidP="00F10DF3">
            <w:pPr>
              <w:pStyle w:val="NormalWeb"/>
              <w:spacing w:before="0" w:beforeAutospacing="0" w:after="0" w:afterAutospacing="0"/>
              <w:ind w:left="171"/>
            </w:pPr>
            <w:r w:rsidRPr="00EE2B0B">
              <w:t xml:space="preserve">ministrija, Valsts kanceleja, </w:t>
            </w:r>
            <w:r w:rsidRPr="00EE2B0B">
              <w:rPr>
                <w:bCs/>
                <w:noProof/>
              </w:rPr>
              <w:t>Latvijas Pašvaldību savienība,</w:t>
            </w:r>
          </w:p>
        </w:tc>
      </w:tr>
      <w:tr w:rsidR="00EE2B0B" w:rsidRPr="00712B66" w:rsidTr="00F10DF3">
        <w:tc>
          <w:tcPr>
            <w:tcW w:w="7196" w:type="dxa"/>
            <w:tcBorders>
              <w:top w:val="nil"/>
              <w:left w:val="nil"/>
              <w:bottom w:val="nil"/>
              <w:right w:val="nil"/>
            </w:tcBorders>
          </w:tcPr>
          <w:p w:rsidR="00EE2B0B" w:rsidRDefault="00EE2B0B" w:rsidP="00F10DF3">
            <w:pPr>
              <w:pStyle w:val="naiskr"/>
              <w:spacing w:before="0" w:after="0"/>
              <w:ind w:right="454"/>
            </w:pPr>
          </w:p>
        </w:tc>
        <w:tc>
          <w:tcPr>
            <w:tcW w:w="7229" w:type="dxa"/>
            <w:tcBorders>
              <w:top w:val="nil"/>
              <w:left w:val="nil"/>
              <w:right w:val="nil"/>
            </w:tcBorders>
          </w:tcPr>
          <w:p w:rsidR="00EE2B0B" w:rsidRPr="00EE2B0B" w:rsidRDefault="00EE2B0B" w:rsidP="00EE2B0B">
            <w:pPr>
              <w:pStyle w:val="NormalWeb"/>
              <w:spacing w:before="0" w:beforeAutospacing="0" w:after="0" w:afterAutospacing="0"/>
              <w:ind w:left="171"/>
            </w:pPr>
            <w:r w:rsidRPr="00EE2B0B">
              <w:rPr>
                <w:bCs/>
                <w:noProof/>
              </w:rPr>
              <w:t xml:space="preserve">Latvijas Lielo pilsētu asociācija, Latvijas Brīvo arodbiedrību </w:t>
            </w:r>
          </w:p>
        </w:tc>
      </w:tr>
      <w:tr w:rsidR="00EE2B0B" w:rsidRPr="00712B66" w:rsidTr="00F10DF3">
        <w:tc>
          <w:tcPr>
            <w:tcW w:w="7196" w:type="dxa"/>
            <w:tcBorders>
              <w:top w:val="nil"/>
              <w:left w:val="nil"/>
              <w:bottom w:val="nil"/>
              <w:right w:val="nil"/>
            </w:tcBorders>
          </w:tcPr>
          <w:p w:rsidR="00EE2B0B" w:rsidRDefault="00EE2B0B" w:rsidP="00F10DF3">
            <w:pPr>
              <w:pStyle w:val="naiskr"/>
              <w:spacing w:before="0" w:after="0"/>
              <w:ind w:right="454"/>
            </w:pPr>
          </w:p>
        </w:tc>
        <w:tc>
          <w:tcPr>
            <w:tcW w:w="7229" w:type="dxa"/>
            <w:tcBorders>
              <w:top w:val="nil"/>
              <w:left w:val="nil"/>
              <w:right w:val="nil"/>
            </w:tcBorders>
          </w:tcPr>
          <w:p w:rsidR="00EE2B0B" w:rsidRPr="00EE2B0B" w:rsidRDefault="00EE2B0B" w:rsidP="00EE2B0B">
            <w:pPr>
              <w:pStyle w:val="NormalWeb"/>
              <w:spacing w:before="0" w:beforeAutospacing="0" w:after="0" w:afterAutospacing="0"/>
              <w:ind w:left="171"/>
              <w:rPr>
                <w:bCs/>
                <w:noProof/>
              </w:rPr>
            </w:pPr>
            <w:r w:rsidRPr="00EE2B0B">
              <w:rPr>
                <w:bCs/>
                <w:noProof/>
              </w:rPr>
              <w:t>savienība</w:t>
            </w:r>
          </w:p>
        </w:tc>
      </w:tr>
      <w:tr w:rsidR="007B4C0F" w:rsidRPr="00712B66" w:rsidTr="00F10DF3">
        <w:tc>
          <w:tcPr>
            <w:tcW w:w="7196" w:type="dxa"/>
            <w:tcBorders>
              <w:top w:val="nil"/>
              <w:left w:val="nil"/>
              <w:bottom w:val="nil"/>
              <w:right w:val="nil"/>
            </w:tcBorders>
          </w:tcPr>
          <w:p w:rsidR="007B4C0F" w:rsidRPr="00712B66" w:rsidRDefault="007B4C0F" w:rsidP="00F10DF3">
            <w:pPr>
              <w:pStyle w:val="naiskr"/>
              <w:spacing w:before="0" w:after="0"/>
              <w:ind w:right="454" w:firstLine="720"/>
            </w:pPr>
            <w:r w:rsidRPr="00712B66">
              <w:t>  </w:t>
            </w:r>
          </w:p>
        </w:tc>
        <w:tc>
          <w:tcPr>
            <w:tcW w:w="7229" w:type="dxa"/>
            <w:tcBorders>
              <w:left w:val="nil"/>
              <w:bottom w:val="nil"/>
              <w:right w:val="nil"/>
            </w:tcBorders>
          </w:tcPr>
          <w:p w:rsidR="007B4C0F" w:rsidRPr="00712B66" w:rsidRDefault="007B4C0F" w:rsidP="00F10DF3">
            <w:pPr>
              <w:pStyle w:val="naiskr"/>
              <w:spacing w:before="0" w:after="0"/>
              <w:ind w:left="171"/>
            </w:pPr>
          </w:p>
        </w:tc>
      </w:tr>
      <w:tr w:rsidR="00F10DF3" w:rsidRPr="00712B66" w:rsidTr="00F10DF3">
        <w:trPr>
          <w:trHeight w:val="278"/>
        </w:trPr>
        <w:tc>
          <w:tcPr>
            <w:tcW w:w="7196" w:type="dxa"/>
            <w:vMerge w:val="restart"/>
            <w:tcBorders>
              <w:top w:val="nil"/>
              <w:left w:val="nil"/>
              <w:bottom w:val="nil"/>
              <w:right w:val="nil"/>
            </w:tcBorders>
          </w:tcPr>
          <w:p w:rsidR="00F10DF3" w:rsidRPr="00712B66" w:rsidRDefault="00F10DF3" w:rsidP="00F10DF3">
            <w:pPr>
              <w:pStyle w:val="naiskr"/>
              <w:spacing w:before="0" w:after="0"/>
              <w:ind w:right="454"/>
            </w:pPr>
            <w:r>
              <w:t>Saskaņošanas d</w:t>
            </w:r>
            <w:r w:rsidRPr="00712B66">
              <w:t xml:space="preserve">alībnieki izskatīja šādu ministriju </w:t>
            </w:r>
            <w:r>
              <w:t>(c</w:t>
            </w:r>
            <w:r w:rsidRPr="00712B66">
              <w:t>itu institūciju</w:t>
            </w:r>
            <w:r>
              <w:t>)</w:t>
            </w:r>
            <w:r w:rsidRPr="00712B66">
              <w:t xml:space="preserve"> iebildumus</w:t>
            </w:r>
          </w:p>
        </w:tc>
        <w:tc>
          <w:tcPr>
            <w:tcW w:w="7229" w:type="dxa"/>
            <w:tcBorders>
              <w:top w:val="nil"/>
              <w:left w:val="nil"/>
              <w:right w:val="nil"/>
            </w:tcBorders>
          </w:tcPr>
          <w:p w:rsidR="00F10DF3" w:rsidRPr="00C3501B" w:rsidRDefault="00023A79" w:rsidP="00023A79">
            <w:pPr>
              <w:pStyle w:val="naiskr"/>
              <w:spacing w:before="0" w:after="0"/>
              <w:ind w:left="171"/>
            </w:pPr>
            <w:r>
              <w:t xml:space="preserve">Aizsardzības ministrijas, </w:t>
            </w:r>
            <w:r w:rsidR="00F10DF3" w:rsidRPr="00C3501B">
              <w:t>Finanšu ministrijas</w:t>
            </w:r>
            <w:r w:rsidR="003D5688">
              <w:t>, Tieslietu ministrijas</w:t>
            </w:r>
          </w:p>
        </w:tc>
      </w:tr>
      <w:tr w:rsidR="00F10DF3" w:rsidRPr="00712B66" w:rsidTr="00F10DF3">
        <w:trPr>
          <w:trHeight w:val="277"/>
        </w:trPr>
        <w:tc>
          <w:tcPr>
            <w:tcW w:w="7196" w:type="dxa"/>
            <w:vMerge/>
            <w:tcBorders>
              <w:top w:val="nil"/>
              <w:left w:val="nil"/>
              <w:bottom w:val="nil"/>
              <w:right w:val="nil"/>
            </w:tcBorders>
          </w:tcPr>
          <w:p w:rsidR="00F10DF3" w:rsidRDefault="00F10DF3" w:rsidP="00F10DF3">
            <w:pPr>
              <w:pStyle w:val="naiskr"/>
              <w:spacing w:before="0" w:after="0"/>
              <w:ind w:right="454"/>
            </w:pPr>
          </w:p>
        </w:tc>
        <w:tc>
          <w:tcPr>
            <w:tcW w:w="7229" w:type="dxa"/>
            <w:tcBorders>
              <w:left w:val="nil"/>
              <w:right w:val="nil"/>
            </w:tcBorders>
          </w:tcPr>
          <w:p w:rsidR="00F10DF3" w:rsidRPr="00C3501B" w:rsidRDefault="00F10DF3" w:rsidP="00F10DF3">
            <w:pPr>
              <w:pStyle w:val="naiskr"/>
              <w:spacing w:before="0" w:after="0"/>
              <w:ind w:left="171"/>
            </w:pPr>
          </w:p>
        </w:tc>
      </w:tr>
      <w:tr w:rsidR="00F10DF3" w:rsidRPr="00712B66" w:rsidTr="00F10DF3">
        <w:tc>
          <w:tcPr>
            <w:tcW w:w="7196" w:type="dxa"/>
            <w:tcBorders>
              <w:top w:val="nil"/>
              <w:left w:val="nil"/>
              <w:bottom w:val="nil"/>
              <w:right w:val="nil"/>
            </w:tcBorders>
          </w:tcPr>
          <w:p w:rsidR="00F10DF3" w:rsidRDefault="00F10DF3" w:rsidP="00F10DF3">
            <w:pPr>
              <w:pStyle w:val="naiskr"/>
              <w:spacing w:before="0" w:after="0"/>
              <w:ind w:right="454"/>
            </w:pPr>
          </w:p>
        </w:tc>
        <w:tc>
          <w:tcPr>
            <w:tcW w:w="7229" w:type="dxa"/>
            <w:tcBorders>
              <w:left w:val="nil"/>
              <w:bottom w:val="nil"/>
              <w:right w:val="nil"/>
            </w:tcBorders>
          </w:tcPr>
          <w:p w:rsidR="00F10DF3" w:rsidRPr="00712B66" w:rsidRDefault="00F10DF3" w:rsidP="00F10DF3">
            <w:pPr>
              <w:pStyle w:val="naiskr"/>
              <w:spacing w:before="0" w:after="0"/>
              <w:ind w:left="171"/>
            </w:pPr>
          </w:p>
        </w:tc>
      </w:tr>
      <w:tr w:rsidR="00F10DF3" w:rsidRPr="00712B66" w:rsidTr="00F10DF3">
        <w:trPr>
          <w:trHeight w:val="275"/>
        </w:trPr>
        <w:tc>
          <w:tcPr>
            <w:tcW w:w="7196" w:type="dxa"/>
            <w:vMerge w:val="restart"/>
            <w:tcBorders>
              <w:top w:val="nil"/>
              <w:left w:val="nil"/>
              <w:bottom w:val="nil"/>
              <w:right w:val="nil"/>
            </w:tcBorders>
          </w:tcPr>
          <w:p w:rsidR="00F10DF3" w:rsidRDefault="00F10DF3" w:rsidP="00F10DF3">
            <w:pPr>
              <w:pStyle w:val="naiskr"/>
              <w:spacing w:before="0" w:after="0"/>
              <w:ind w:right="454"/>
            </w:pPr>
            <w:r w:rsidRPr="00712B66">
              <w:t xml:space="preserve">Ministrijas (citas institūcijas), kuras nav ieradušās uz sanāksmi vai </w:t>
            </w:r>
            <w:r w:rsidRPr="00712B66">
              <w:lastRenderedPageBreak/>
              <w:t>kuras nav atbildējušas uz uzaicinājumu piedalīties elektroniskajā saskaņošanā</w:t>
            </w:r>
          </w:p>
        </w:tc>
        <w:tc>
          <w:tcPr>
            <w:tcW w:w="7229" w:type="dxa"/>
            <w:tcBorders>
              <w:top w:val="nil"/>
              <w:left w:val="nil"/>
              <w:right w:val="nil"/>
            </w:tcBorders>
          </w:tcPr>
          <w:p w:rsidR="00F10DF3" w:rsidRPr="00712B66" w:rsidRDefault="00F10DF3" w:rsidP="00F10DF3">
            <w:pPr>
              <w:pStyle w:val="naiskr"/>
              <w:spacing w:before="0" w:after="0"/>
              <w:ind w:left="171"/>
            </w:pPr>
          </w:p>
        </w:tc>
      </w:tr>
      <w:tr w:rsidR="00F10DF3" w:rsidRPr="00712B66" w:rsidTr="00F10DF3">
        <w:trPr>
          <w:trHeight w:val="275"/>
        </w:trPr>
        <w:tc>
          <w:tcPr>
            <w:tcW w:w="7196" w:type="dxa"/>
            <w:vMerge/>
            <w:tcBorders>
              <w:top w:val="nil"/>
              <w:left w:val="nil"/>
              <w:bottom w:val="nil"/>
              <w:right w:val="nil"/>
            </w:tcBorders>
          </w:tcPr>
          <w:p w:rsidR="00F10DF3" w:rsidRPr="00712B66" w:rsidRDefault="00F10DF3" w:rsidP="00F10DF3">
            <w:pPr>
              <w:pStyle w:val="naiskr"/>
              <w:spacing w:before="0" w:after="0"/>
            </w:pPr>
          </w:p>
        </w:tc>
        <w:tc>
          <w:tcPr>
            <w:tcW w:w="7229" w:type="dxa"/>
            <w:tcBorders>
              <w:left w:val="nil"/>
              <w:bottom w:val="single" w:sz="4" w:space="0" w:color="auto"/>
              <w:right w:val="nil"/>
            </w:tcBorders>
          </w:tcPr>
          <w:p w:rsidR="00F10DF3" w:rsidRPr="00712B66" w:rsidRDefault="00F10DF3" w:rsidP="00F10DF3">
            <w:pPr>
              <w:pStyle w:val="naiskr"/>
              <w:spacing w:before="0" w:after="0"/>
              <w:ind w:left="171"/>
            </w:pPr>
          </w:p>
        </w:tc>
      </w:tr>
      <w:tr w:rsidR="00F10DF3" w:rsidRPr="00712B66" w:rsidTr="00F10DF3">
        <w:trPr>
          <w:trHeight w:val="275"/>
        </w:trPr>
        <w:tc>
          <w:tcPr>
            <w:tcW w:w="7196" w:type="dxa"/>
            <w:vMerge/>
            <w:tcBorders>
              <w:top w:val="nil"/>
              <w:left w:val="nil"/>
              <w:bottom w:val="nil"/>
              <w:right w:val="nil"/>
            </w:tcBorders>
          </w:tcPr>
          <w:p w:rsidR="00F10DF3" w:rsidRPr="00712B66" w:rsidRDefault="00F10DF3" w:rsidP="00F10DF3">
            <w:pPr>
              <w:pStyle w:val="naiskr"/>
              <w:spacing w:before="0" w:after="0"/>
            </w:pPr>
          </w:p>
        </w:tc>
        <w:tc>
          <w:tcPr>
            <w:tcW w:w="7229" w:type="dxa"/>
            <w:tcBorders>
              <w:left w:val="nil"/>
              <w:bottom w:val="nil"/>
              <w:right w:val="nil"/>
            </w:tcBorders>
          </w:tcPr>
          <w:p w:rsidR="00F10DF3" w:rsidRPr="00712B66" w:rsidRDefault="00F10DF3" w:rsidP="00F10DF3">
            <w:pPr>
              <w:pStyle w:val="naiskr"/>
              <w:spacing w:before="0" w:after="0"/>
              <w:ind w:left="609"/>
            </w:pPr>
          </w:p>
        </w:tc>
      </w:tr>
    </w:tbl>
    <w:p w:rsidR="00683081" w:rsidRPr="00712B66" w:rsidRDefault="00683081" w:rsidP="00683081">
      <w:pPr>
        <w:pStyle w:val="naisf"/>
        <w:spacing w:before="0" w:after="0"/>
        <w:ind w:firstLine="720"/>
      </w:pPr>
    </w:p>
    <w:p w:rsidR="0065637A" w:rsidRDefault="0065637A" w:rsidP="00184479">
      <w:pPr>
        <w:pStyle w:val="naisf"/>
        <w:spacing w:before="0" w:after="0"/>
        <w:ind w:firstLine="0"/>
        <w:jc w:val="center"/>
        <w:rPr>
          <w:b/>
        </w:rPr>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tblPr>
      <w:tblGrid>
        <w:gridCol w:w="708"/>
        <w:gridCol w:w="2400"/>
        <w:gridCol w:w="686"/>
        <w:gridCol w:w="4394"/>
        <w:gridCol w:w="1099"/>
        <w:gridCol w:w="2020"/>
        <w:gridCol w:w="3118"/>
      </w:tblGrid>
      <w:tr w:rsidR="00134188" w:rsidRPr="00712B66" w:rsidTr="00F10DF3">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E31B4">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CB4E1D">
            <w:pPr>
              <w:pStyle w:val="naisc"/>
              <w:spacing w:before="0" w:after="0"/>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CB4E1D">
            <w:pPr>
              <w:pStyle w:val="naisc"/>
              <w:spacing w:before="0" w:after="0"/>
              <w:ind w:right="3"/>
            </w:pPr>
            <w:r w:rsidRPr="00712B66">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E31B4">
            <w:pPr>
              <w:pStyle w:val="naisc"/>
              <w:spacing w:before="0" w:after="0"/>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8" w:type="dxa"/>
            <w:tcBorders>
              <w:top w:val="single" w:sz="4" w:space="0" w:color="auto"/>
              <w:left w:val="single" w:sz="4" w:space="0" w:color="auto"/>
              <w:bottom w:val="single" w:sz="4" w:space="0" w:color="auto"/>
            </w:tcBorders>
            <w:vAlign w:val="center"/>
          </w:tcPr>
          <w:p w:rsidR="00134188" w:rsidRPr="005F0B43" w:rsidRDefault="00134188" w:rsidP="00CB4E1D">
            <w:pPr>
              <w:jc w:val="center"/>
            </w:pPr>
            <w:r w:rsidRPr="005F0B43">
              <w:t>Projekta attiecīgā punkta (panta) galīgā redakcija</w:t>
            </w:r>
          </w:p>
        </w:tc>
      </w:tr>
      <w:tr w:rsidR="00134188" w:rsidRPr="003B71E0" w:rsidTr="00F10DF3">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5E31B4">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CB4E1D">
            <w:pPr>
              <w:pStyle w:val="naisc"/>
              <w:spacing w:before="0" w:after="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3B71E0" w:rsidRDefault="003B71E0" w:rsidP="00CB4E1D">
            <w:pPr>
              <w:pStyle w:val="naisc"/>
              <w:spacing w:before="0" w:after="0"/>
              <w:rPr>
                <w:sz w:val="20"/>
                <w:szCs w:val="20"/>
              </w:rPr>
            </w:pPr>
            <w:r w:rsidRPr="003B71E0">
              <w:rPr>
                <w:sz w:val="20"/>
                <w:szCs w:val="20"/>
              </w:rPr>
              <w:t>3</w:t>
            </w:r>
          </w:p>
        </w:tc>
        <w:tc>
          <w:tcPr>
            <w:tcW w:w="3119"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5E31B4">
            <w:pPr>
              <w:pStyle w:val="naisc"/>
              <w:spacing w:before="0" w:after="0"/>
              <w:rPr>
                <w:sz w:val="20"/>
                <w:szCs w:val="20"/>
              </w:rPr>
            </w:pPr>
            <w:r w:rsidRPr="003B71E0">
              <w:rPr>
                <w:sz w:val="20"/>
                <w:szCs w:val="20"/>
              </w:rPr>
              <w:t>4</w:t>
            </w:r>
          </w:p>
        </w:tc>
        <w:tc>
          <w:tcPr>
            <w:tcW w:w="3118" w:type="dxa"/>
            <w:tcBorders>
              <w:top w:val="single" w:sz="4" w:space="0" w:color="auto"/>
              <w:left w:val="single" w:sz="4" w:space="0" w:color="auto"/>
              <w:bottom w:val="single" w:sz="4" w:space="0" w:color="auto"/>
            </w:tcBorders>
          </w:tcPr>
          <w:p w:rsidR="00134188" w:rsidRPr="005F0B43" w:rsidRDefault="003B71E0" w:rsidP="00CB4E1D">
            <w:pPr>
              <w:jc w:val="center"/>
            </w:pPr>
            <w:r w:rsidRPr="005F0B43">
              <w:t>5</w:t>
            </w:r>
          </w:p>
        </w:tc>
      </w:tr>
      <w:tr w:rsidR="00B83DB0" w:rsidRPr="00712B66" w:rsidTr="00F10DF3">
        <w:tc>
          <w:tcPr>
            <w:tcW w:w="708" w:type="dxa"/>
            <w:tcBorders>
              <w:left w:val="single" w:sz="6" w:space="0" w:color="000000"/>
              <w:bottom w:val="single" w:sz="4" w:space="0" w:color="auto"/>
              <w:right w:val="single" w:sz="6" w:space="0" w:color="000000"/>
            </w:tcBorders>
          </w:tcPr>
          <w:p w:rsidR="00B83DB0" w:rsidRDefault="00B83DB0" w:rsidP="00927F4B">
            <w:pPr>
              <w:pStyle w:val="naisc"/>
              <w:spacing w:before="0" w:after="0"/>
            </w:pPr>
            <w:r>
              <w:t>1.</w:t>
            </w:r>
          </w:p>
        </w:tc>
        <w:tc>
          <w:tcPr>
            <w:tcW w:w="3086" w:type="dxa"/>
            <w:gridSpan w:val="2"/>
            <w:tcBorders>
              <w:left w:val="single" w:sz="6" w:space="0" w:color="000000"/>
              <w:bottom w:val="single" w:sz="4" w:space="0" w:color="auto"/>
              <w:right w:val="single" w:sz="6" w:space="0" w:color="000000"/>
            </w:tcBorders>
          </w:tcPr>
          <w:p w:rsidR="00B83DB0" w:rsidRDefault="00B83DB0" w:rsidP="00F32DF3">
            <w:pPr>
              <w:pStyle w:val="naisc"/>
              <w:spacing w:before="0" w:after="0"/>
              <w:jc w:val="both"/>
            </w:pPr>
            <w:r>
              <w:t>Noteikumu projekts</w:t>
            </w:r>
          </w:p>
        </w:tc>
        <w:tc>
          <w:tcPr>
            <w:tcW w:w="4394" w:type="dxa"/>
            <w:tcBorders>
              <w:left w:val="single" w:sz="6" w:space="0" w:color="000000"/>
              <w:bottom w:val="single" w:sz="4" w:space="0" w:color="auto"/>
              <w:right w:val="single" w:sz="6" w:space="0" w:color="000000"/>
            </w:tcBorders>
          </w:tcPr>
          <w:p w:rsidR="00B83DB0" w:rsidRDefault="00B83DB0" w:rsidP="00F32DF3">
            <w:pPr>
              <w:pStyle w:val="naisc"/>
              <w:spacing w:before="0" w:after="0"/>
              <w:jc w:val="both"/>
              <w:rPr>
                <w:b/>
                <w:bCs/>
              </w:rPr>
            </w:pPr>
            <w:r>
              <w:rPr>
                <w:b/>
                <w:bCs/>
              </w:rPr>
              <w:t>Aizsardzības ministrija</w:t>
            </w:r>
          </w:p>
          <w:p w:rsidR="00B83DB0" w:rsidRDefault="00B83DB0" w:rsidP="00F32DF3">
            <w:pPr>
              <w:pStyle w:val="naisc"/>
              <w:spacing w:before="0" w:after="0"/>
              <w:jc w:val="both"/>
              <w:rPr>
                <w:b/>
                <w:bCs/>
              </w:rPr>
            </w:pPr>
            <w:r>
              <w:t>Lūdzam normatīvā akta projektā  iekļaut punktu, ka šis regulējums neattiecas uz Aizsardzības ministrijas valdījumā esošajiem objektiem. Šādas izņēmums ir svarīgs, jo  pie šiem objektiem stāvvietās tiek nodrošināta drošības kontrole, monitorings un atbilstošs drošības režīms. Līdz ar to arī drošības apsvērumu dēļ nav vēlams, ka autostāvvietās pie aizsardzības objektiem tiek novietots transportlīdzeklis, tikai lai veiktu uzlādi. Tāpat nav paredzēts, ka tuvāko gadu laikā tiks nomainīts autotransports uz elektrotransportu aizsardzības resora ietvaros.</w:t>
            </w:r>
          </w:p>
        </w:tc>
        <w:tc>
          <w:tcPr>
            <w:tcW w:w="3119" w:type="dxa"/>
            <w:gridSpan w:val="2"/>
            <w:tcBorders>
              <w:left w:val="single" w:sz="6" w:space="0" w:color="000000"/>
              <w:bottom w:val="single" w:sz="4" w:space="0" w:color="auto"/>
              <w:right w:val="single" w:sz="6" w:space="0" w:color="000000"/>
            </w:tcBorders>
          </w:tcPr>
          <w:p w:rsidR="00B83DB0" w:rsidRPr="00912F98" w:rsidRDefault="00B83DB0" w:rsidP="00F32DF3">
            <w:pPr>
              <w:pStyle w:val="naisc"/>
              <w:spacing w:before="0" w:after="0"/>
              <w:rPr>
                <w:b/>
              </w:rPr>
            </w:pPr>
            <w:r w:rsidRPr="00912F98">
              <w:rPr>
                <w:b/>
              </w:rPr>
              <w:t>N</w:t>
            </w:r>
            <w:r>
              <w:rPr>
                <w:b/>
              </w:rPr>
              <w:t>euztur iebildumu</w:t>
            </w:r>
            <w:r w:rsidRPr="00912F98">
              <w:rPr>
                <w:b/>
              </w:rPr>
              <w:t>.</w:t>
            </w:r>
          </w:p>
          <w:p w:rsidR="00B83DB0" w:rsidRPr="00912F98" w:rsidRDefault="00B83DB0" w:rsidP="00F32DF3">
            <w:pPr>
              <w:pStyle w:val="naisc"/>
              <w:spacing w:before="0" w:after="0"/>
              <w:jc w:val="both"/>
            </w:pPr>
            <w:r w:rsidRPr="00912F98">
              <w:t xml:space="preserve">Saskaņā ar </w:t>
            </w:r>
            <w:r w:rsidRPr="00912F98">
              <w:rPr>
                <w:bCs/>
              </w:rPr>
              <w:t xml:space="preserve">Ministru kabineta 2015. gada 30. jūnija noteikumu Nr. 331 “Noteikumi par Latvijas būvnormatīvu LBN 208-15 “Publiskas būves”” 2.punktu </w:t>
            </w:r>
            <w:r w:rsidRPr="00912F98">
              <w:rPr>
                <w:shd w:val="clear" w:color="auto" w:fill="FFFFFF"/>
              </w:rPr>
              <w:t>Latvijas būvnormatīva LBN 208-15 prasības militārajiem objektiem, kas tiek izmantoti valsts aizsardzības vajadzībām atbilstoši</w:t>
            </w:r>
            <w:r w:rsidRPr="00912F98">
              <w:rPr>
                <w:rStyle w:val="apple-converted-space"/>
                <w:shd w:val="clear" w:color="auto" w:fill="FFFFFF"/>
              </w:rPr>
              <w:t> </w:t>
            </w:r>
            <w:r w:rsidRPr="00912F98">
              <w:rPr>
                <w:shd w:val="clear" w:color="auto" w:fill="FFFFFF"/>
              </w:rPr>
              <w:t xml:space="preserve">Nacionālo bruņoto spēku likumam, piemēro tiktāl, cik tās nav pretrunā ar šos objektus reglamentējošo normatīvo aktu prasībām. </w:t>
            </w:r>
            <w:r w:rsidRPr="00912F98">
              <w:t xml:space="preserve">Līdz ar to nepieciešamie ierobežojumi (piemēram, aizliegums pie militārajiem objektiem novietot stāvēšanai </w:t>
            </w:r>
            <w:r w:rsidRPr="00912F98">
              <w:lastRenderedPageBreak/>
              <w:t>vai uzlādei civilo transportlīdzekli) ir ārpus Noteikumu projekta tvēruma, un ir nosakāmi speciālajos militāro objektu darbību regulējošajos normatīvajos aktos.</w:t>
            </w:r>
            <w:r>
              <w:t xml:space="preserve"> Ar Noteikumu projektu tiek </w:t>
            </w:r>
            <w:r w:rsidRPr="00912F98">
              <w:t xml:space="preserve">pārņemtas </w:t>
            </w:r>
            <w:r w:rsidRPr="00912F98">
              <w:rPr>
                <w:iCs/>
              </w:rPr>
              <w:t>Direktīvas 2010/31/ES prasības</w:t>
            </w:r>
            <w:r>
              <w:rPr>
                <w:iCs/>
              </w:rPr>
              <w:t>, kas šādus izņēmumus neparedz</w:t>
            </w:r>
            <w:r w:rsidRPr="00912F98">
              <w:rPr>
                <w:iCs/>
              </w:rPr>
              <w:t>.</w:t>
            </w:r>
          </w:p>
        </w:tc>
        <w:tc>
          <w:tcPr>
            <w:tcW w:w="3118" w:type="dxa"/>
            <w:tcBorders>
              <w:top w:val="single" w:sz="4" w:space="0" w:color="auto"/>
              <w:left w:val="single" w:sz="4" w:space="0" w:color="auto"/>
              <w:bottom w:val="single" w:sz="4" w:space="0" w:color="auto"/>
            </w:tcBorders>
          </w:tcPr>
          <w:p w:rsidR="00B83DB0" w:rsidRDefault="00B83DB0" w:rsidP="00F32DF3">
            <w:pPr>
              <w:pStyle w:val="naisc"/>
              <w:spacing w:before="0" w:after="0"/>
              <w:jc w:val="both"/>
            </w:pPr>
            <w:r>
              <w:lastRenderedPageBreak/>
              <w:t>Noteikumu projekts</w:t>
            </w:r>
          </w:p>
        </w:tc>
      </w:tr>
      <w:tr w:rsidR="00EE2B0B" w:rsidRPr="00712B66" w:rsidTr="00F10DF3">
        <w:tc>
          <w:tcPr>
            <w:tcW w:w="708" w:type="dxa"/>
            <w:tcBorders>
              <w:left w:val="single" w:sz="6" w:space="0" w:color="000000"/>
              <w:bottom w:val="single" w:sz="4" w:space="0" w:color="auto"/>
              <w:right w:val="single" w:sz="6" w:space="0" w:color="000000"/>
            </w:tcBorders>
          </w:tcPr>
          <w:p w:rsidR="00EE2B0B" w:rsidRDefault="00C54458" w:rsidP="00927F4B">
            <w:pPr>
              <w:pStyle w:val="naisc"/>
              <w:spacing w:before="0" w:after="0"/>
            </w:pPr>
            <w:r>
              <w:lastRenderedPageBreak/>
              <w:t>2.</w:t>
            </w:r>
          </w:p>
        </w:tc>
        <w:tc>
          <w:tcPr>
            <w:tcW w:w="3086" w:type="dxa"/>
            <w:gridSpan w:val="2"/>
            <w:tcBorders>
              <w:left w:val="single" w:sz="6" w:space="0" w:color="000000"/>
              <w:bottom w:val="single" w:sz="4" w:space="0" w:color="auto"/>
              <w:right w:val="single" w:sz="6" w:space="0" w:color="000000"/>
            </w:tcBorders>
          </w:tcPr>
          <w:p w:rsidR="00EE2B0B" w:rsidRDefault="00EE2B0B" w:rsidP="00F32DF3">
            <w:pPr>
              <w:pStyle w:val="naisc"/>
              <w:spacing w:before="0" w:after="0"/>
              <w:jc w:val="both"/>
            </w:pPr>
            <w:r>
              <w:t>1. punkts:</w:t>
            </w:r>
          </w:p>
          <w:p w:rsidR="004F6F22" w:rsidRPr="001D2FBC" w:rsidRDefault="00EE2B0B" w:rsidP="004F6F22">
            <w:pPr>
              <w:contextualSpacing/>
            </w:pPr>
            <w:r>
              <w:t>”</w:t>
            </w:r>
            <w:r w:rsidR="004F6F22">
              <w:t>1. P</w:t>
            </w:r>
            <w:r w:rsidR="004F6F22" w:rsidRPr="001D2FBC">
              <w:t xml:space="preserve">apildināt noteikumus ar </w:t>
            </w:r>
            <w:r w:rsidR="004F6F22">
              <w:t>4</w:t>
            </w:r>
            <w:r w:rsidR="004F6F22" w:rsidRPr="001D2FBC">
              <w:t>.</w:t>
            </w:r>
            <w:r w:rsidR="004F6F22">
              <w:t> </w:t>
            </w:r>
            <w:r w:rsidR="004F6F22" w:rsidRPr="001D2FBC">
              <w:t>punktu šādā redakcijā</w:t>
            </w:r>
            <w:r w:rsidR="004F6F22">
              <w:t>:</w:t>
            </w:r>
          </w:p>
          <w:p w:rsidR="00EE2B0B" w:rsidRDefault="004F6F22" w:rsidP="004F6F22">
            <w:pPr>
              <w:pStyle w:val="naisc"/>
              <w:spacing w:before="0" w:after="0"/>
              <w:jc w:val="both"/>
            </w:pPr>
            <w:r w:rsidRPr="003C631B">
              <w:t xml:space="preserve">“4. Būvniecības ieceres dokumentāciju, kas noteiktā kārtībā saskaņota (akceptēta) vai iesniegta saskaņošanai institūcijā, kas pilda būvvaldes funkcijas, līdz 2021. gada 10. martam, var nepārstrādāt atbilstoši </w:t>
            </w:r>
            <w:r w:rsidRPr="003C631B">
              <w:rPr>
                <w:shd w:val="clear" w:color="auto" w:fill="FFFFFF"/>
              </w:rPr>
              <w:t xml:space="preserve">Latvijas būvnormatīva LBN 208-15 </w:t>
            </w:r>
            <w:r w:rsidRPr="003C631B">
              <w:t>89.</w:t>
            </w:r>
            <w:r w:rsidRPr="003C631B">
              <w:rPr>
                <w:vertAlign w:val="superscript"/>
              </w:rPr>
              <w:t>1</w:t>
            </w:r>
            <w:r w:rsidRPr="003C631B">
              <w:t> un 89.</w:t>
            </w:r>
            <w:r w:rsidRPr="003C631B">
              <w:rPr>
                <w:vertAlign w:val="superscript"/>
              </w:rPr>
              <w:t>2</w:t>
            </w:r>
            <w:r w:rsidRPr="003C631B">
              <w:t> punkta prasībām.”</w:t>
            </w:r>
            <w:r w:rsidR="00EE2B0B">
              <w:t>”</w:t>
            </w:r>
          </w:p>
        </w:tc>
        <w:tc>
          <w:tcPr>
            <w:tcW w:w="4394" w:type="dxa"/>
            <w:tcBorders>
              <w:left w:val="single" w:sz="6" w:space="0" w:color="000000"/>
              <w:bottom w:val="single" w:sz="4" w:space="0" w:color="auto"/>
              <w:right w:val="single" w:sz="6" w:space="0" w:color="000000"/>
            </w:tcBorders>
          </w:tcPr>
          <w:p w:rsidR="00EE2B0B" w:rsidRDefault="00EE2B0B" w:rsidP="00F32DF3">
            <w:pPr>
              <w:pStyle w:val="naisc"/>
              <w:spacing w:before="0" w:after="0"/>
              <w:jc w:val="both"/>
              <w:rPr>
                <w:b/>
                <w:bCs/>
              </w:rPr>
            </w:pPr>
            <w:r>
              <w:rPr>
                <w:b/>
                <w:bCs/>
              </w:rPr>
              <w:t>Tieslietu ministrija (papildus)</w:t>
            </w:r>
          </w:p>
          <w:p w:rsidR="00EE2B0B" w:rsidRDefault="00EE2B0B" w:rsidP="00F32DF3">
            <w:pPr>
              <w:pStyle w:val="naisc"/>
              <w:spacing w:before="0" w:after="0"/>
              <w:jc w:val="both"/>
              <w:rPr>
                <w:b/>
                <w:bCs/>
              </w:rPr>
            </w:pPr>
            <w:r>
              <w:rPr>
                <w:bCs/>
                <w:iCs/>
                <w:bdr w:val="none" w:sz="0" w:space="0" w:color="auto" w:frame="1"/>
              </w:rPr>
              <w:t>N</w:t>
            </w:r>
            <w:r w:rsidRPr="00B27228">
              <w:rPr>
                <w:bCs/>
                <w:iCs/>
                <w:bdr w:val="none" w:sz="0" w:space="0" w:color="auto" w:frame="1"/>
              </w:rPr>
              <w:t>oteikumu projekta 1. punktā</w:t>
            </w:r>
            <w:r w:rsidRPr="00B27228">
              <w:rPr>
                <w:rStyle w:val="apple-converted-space"/>
                <w:bCs/>
                <w:iCs/>
                <w:bdr w:val="none" w:sz="0" w:space="0" w:color="auto" w:frame="1"/>
              </w:rPr>
              <w:t> </w:t>
            </w:r>
            <w:r w:rsidRPr="00B27228">
              <w:rPr>
                <w:bCs/>
                <w:iCs/>
                <w:bdr w:val="none" w:sz="0" w:space="0" w:color="auto" w:frame="1"/>
              </w:rPr>
              <w:t>(vārdu - "noteiktā kārtībā" - vietā)</w:t>
            </w:r>
            <w:r w:rsidRPr="00B27228">
              <w:rPr>
                <w:rStyle w:val="apple-converted-space"/>
                <w:bCs/>
                <w:iCs/>
                <w:bdr w:val="none" w:sz="0" w:space="0" w:color="auto" w:frame="1"/>
              </w:rPr>
              <w:t> </w:t>
            </w:r>
            <w:r w:rsidRPr="00B27228">
              <w:rPr>
                <w:bCs/>
                <w:iCs/>
                <w:bdr w:val="none" w:sz="0" w:space="0" w:color="auto" w:frame="1"/>
              </w:rPr>
              <w:t>tiek ietverta korekta atsauce uz normatīvajiem aktiem noteiktā jomā, ievērojot Ministru kabineta 2009. gada 3. februāra noteikumu Nr. 108 "Normatīvo aktu projektu sagatavošanas noteikumi" 137. punktu.</w:t>
            </w:r>
          </w:p>
        </w:tc>
        <w:tc>
          <w:tcPr>
            <w:tcW w:w="3119" w:type="dxa"/>
            <w:gridSpan w:val="2"/>
            <w:tcBorders>
              <w:left w:val="single" w:sz="6" w:space="0" w:color="000000"/>
              <w:bottom w:val="single" w:sz="4" w:space="0" w:color="auto"/>
              <w:right w:val="single" w:sz="6" w:space="0" w:color="000000"/>
            </w:tcBorders>
          </w:tcPr>
          <w:p w:rsidR="00EE2B0B" w:rsidRPr="00912F98" w:rsidRDefault="00EE2B0B" w:rsidP="00F32DF3">
            <w:pPr>
              <w:pStyle w:val="naisc"/>
              <w:spacing w:before="0" w:after="0"/>
              <w:rPr>
                <w:b/>
              </w:rPr>
            </w:pPr>
            <w:r>
              <w:rPr>
                <w:b/>
              </w:rPr>
              <w:t>Ņemts vērā.</w:t>
            </w:r>
          </w:p>
        </w:tc>
        <w:tc>
          <w:tcPr>
            <w:tcW w:w="3118" w:type="dxa"/>
            <w:tcBorders>
              <w:top w:val="single" w:sz="4" w:space="0" w:color="auto"/>
              <w:left w:val="single" w:sz="4" w:space="0" w:color="auto"/>
              <w:bottom w:val="single" w:sz="4" w:space="0" w:color="auto"/>
            </w:tcBorders>
          </w:tcPr>
          <w:p w:rsidR="00EE2B0B" w:rsidRDefault="004F6F22" w:rsidP="00F32DF3">
            <w:pPr>
              <w:pStyle w:val="naisc"/>
              <w:spacing w:before="0" w:after="0"/>
              <w:jc w:val="both"/>
            </w:pPr>
            <w:r>
              <w:t>1.punkts:</w:t>
            </w:r>
          </w:p>
          <w:p w:rsidR="004F6F22" w:rsidRPr="001D2FBC" w:rsidRDefault="004F6F22" w:rsidP="004F6F22">
            <w:pPr>
              <w:contextualSpacing/>
            </w:pPr>
            <w:r>
              <w:t>”1. P</w:t>
            </w:r>
            <w:r w:rsidRPr="001D2FBC">
              <w:t xml:space="preserve">apildināt noteikumus ar </w:t>
            </w:r>
            <w:r>
              <w:t>4</w:t>
            </w:r>
            <w:r w:rsidRPr="001D2FBC">
              <w:t>.</w:t>
            </w:r>
            <w:r>
              <w:t> </w:t>
            </w:r>
            <w:r w:rsidRPr="001D2FBC">
              <w:t>punktu šādā redakcijā</w:t>
            </w:r>
            <w:r>
              <w:t>:</w:t>
            </w:r>
          </w:p>
          <w:p w:rsidR="004F6F22" w:rsidRDefault="004F6F22" w:rsidP="004F6F22">
            <w:pPr>
              <w:pStyle w:val="naisc"/>
              <w:spacing w:before="0" w:after="0"/>
              <w:jc w:val="both"/>
            </w:pPr>
            <w:r w:rsidRPr="003C631B">
              <w:t xml:space="preserve">“4. Būvniecības ieceres dokumentāciju, kas </w:t>
            </w:r>
            <w:r>
              <w:t xml:space="preserve">normatīvajos aktos būvniecības jomā </w:t>
            </w:r>
            <w:r w:rsidRPr="003C631B">
              <w:t>noteikt</w:t>
            </w:r>
            <w:r>
              <w:t>aj</w:t>
            </w:r>
            <w:r w:rsidRPr="003C631B">
              <w:t xml:space="preserve">ā kārtībā saskaņota (akceptēta) vai iesniegta saskaņošanai institūcijā, kas pilda būvvaldes funkcijas, līdz 2021. gada 10. martam, var nepārstrādāt atbilstoši </w:t>
            </w:r>
            <w:r w:rsidRPr="003C631B">
              <w:rPr>
                <w:shd w:val="clear" w:color="auto" w:fill="FFFFFF"/>
              </w:rPr>
              <w:t xml:space="preserve">Latvijas būvnormatīva LBN 208-15 </w:t>
            </w:r>
            <w:r w:rsidRPr="003C631B">
              <w:t>89.</w:t>
            </w:r>
            <w:r w:rsidRPr="003C631B">
              <w:rPr>
                <w:vertAlign w:val="superscript"/>
              </w:rPr>
              <w:t>1</w:t>
            </w:r>
            <w:r w:rsidRPr="003C631B">
              <w:t> un 89.</w:t>
            </w:r>
            <w:r w:rsidRPr="003C631B">
              <w:rPr>
                <w:vertAlign w:val="superscript"/>
              </w:rPr>
              <w:t>2</w:t>
            </w:r>
            <w:r w:rsidRPr="003C631B">
              <w:t> punkta prasībām.”</w:t>
            </w:r>
            <w:r>
              <w:t>”</w:t>
            </w:r>
          </w:p>
        </w:tc>
      </w:tr>
      <w:tr w:rsidR="00B83DB0" w:rsidRPr="00712B66" w:rsidTr="00F10DF3">
        <w:tc>
          <w:tcPr>
            <w:tcW w:w="708" w:type="dxa"/>
            <w:tcBorders>
              <w:left w:val="single" w:sz="6" w:space="0" w:color="000000"/>
              <w:bottom w:val="single" w:sz="4" w:space="0" w:color="auto"/>
              <w:right w:val="single" w:sz="6" w:space="0" w:color="000000"/>
            </w:tcBorders>
          </w:tcPr>
          <w:p w:rsidR="00B83DB0" w:rsidRDefault="00C54458" w:rsidP="00927F4B">
            <w:pPr>
              <w:pStyle w:val="naisc"/>
              <w:spacing w:before="0" w:after="0"/>
            </w:pPr>
            <w:r>
              <w:t>3</w:t>
            </w:r>
            <w:r w:rsidR="00B83DB0">
              <w:t>.</w:t>
            </w:r>
          </w:p>
        </w:tc>
        <w:tc>
          <w:tcPr>
            <w:tcW w:w="3086" w:type="dxa"/>
            <w:gridSpan w:val="2"/>
            <w:tcBorders>
              <w:left w:val="single" w:sz="6" w:space="0" w:color="000000"/>
              <w:bottom w:val="single" w:sz="4" w:space="0" w:color="auto"/>
              <w:right w:val="single" w:sz="6" w:space="0" w:color="000000"/>
            </w:tcBorders>
          </w:tcPr>
          <w:p w:rsidR="00B83DB0" w:rsidRDefault="00B83DB0" w:rsidP="008336B0">
            <w:pPr>
              <w:pStyle w:val="naisc"/>
              <w:spacing w:before="0" w:after="0"/>
              <w:jc w:val="both"/>
            </w:pPr>
            <w:r>
              <w:t>2. punkts:</w:t>
            </w:r>
          </w:p>
          <w:p w:rsidR="00B83DB0" w:rsidRPr="001D2FBC" w:rsidRDefault="00B83DB0" w:rsidP="008336B0">
            <w:pPr>
              <w:contextualSpacing/>
            </w:pPr>
            <w:r>
              <w:t>”2. </w:t>
            </w:r>
            <w:r w:rsidRPr="001D2FBC">
              <w:t>Papildināt būvnormatīvu ar 5.</w:t>
            </w:r>
            <w:r w:rsidRPr="001D2FBC">
              <w:rPr>
                <w:vertAlign w:val="superscript"/>
              </w:rPr>
              <w:t>1</w:t>
            </w:r>
            <w:r>
              <w:t> nodaļ</w:t>
            </w:r>
            <w:r w:rsidRPr="001D2FBC">
              <w:t>u šādā redakcijā:</w:t>
            </w:r>
          </w:p>
          <w:p w:rsidR="00B83DB0" w:rsidRPr="00745F2A" w:rsidRDefault="00B83DB0" w:rsidP="00881DAD">
            <w:pPr>
              <w:pStyle w:val="ListParagraph"/>
              <w:spacing w:after="0" w:line="240" w:lineRule="auto"/>
              <w:ind w:left="0"/>
              <w:jc w:val="center"/>
              <w:rPr>
                <w:rFonts w:ascii="Times New Roman" w:hAnsi="Times New Roman"/>
                <w:sz w:val="24"/>
                <w:szCs w:val="24"/>
                <w:lang w:val="lv-LV"/>
              </w:rPr>
            </w:pPr>
            <w:r w:rsidRPr="00D83699">
              <w:rPr>
                <w:rFonts w:ascii="Times New Roman" w:hAnsi="Times New Roman"/>
                <w:sz w:val="24"/>
                <w:szCs w:val="24"/>
                <w:lang w:val="lv-LV"/>
              </w:rPr>
              <w:t>“</w:t>
            </w:r>
            <w:r w:rsidRPr="00D83699">
              <w:rPr>
                <w:rFonts w:ascii="Times New Roman" w:hAnsi="Times New Roman"/>
                <w:b/>
                <w:bCs/>
                <w:sz w:val="24"/>
                <w:szCs w:val="24"/>
                <w:lang w:val="lv-LV"/>
              </w:rPr>
              <w:t>5.</w:t>
            </w:r>
            <w:r w:rsidRPr="00D83699">
              <w:rPr>
                <w:rFonts w:ascii="Times New Roman" w:hAnsi="Times New Roman"/>
                <w:b/>
                <w:bCs/>
                <w:sz w:val="24"/>
                <w:szCs w:val="24"/>
                <w:vertAlign w:val="superscript"/>
                <w:lang w:val="lv-LV"/>
              </w:rPr>
              <w:t>1</w:t>
            </w:r>
            <w:r w:rsidRPr="00D83699">
              <w:rPr>
                <w:rFonts w:ascii="Times New Roman" w:hAnsi="Times New Roman"/>
                <w:b/>
                <w:bCs/>
                <w:sz w:val="24"/>
                <w:szCs w:val="24"/>
                <w:lang w:val="lv-LV"/>
              </w:rPr>
              <w:t xml:space="preserve"> Prasības </w:t>
            </w:r>
            <w:proofErr w:type="spellStart"/>
            <w:r w:rsidRPr="00D83699">
              <w:rPr>
                <w:rFonts w:ascii="Times New Roman" w:hAnsi="Times New Roman"/>
                <w:b/>
                <w:bCs/>
                <w:sz w:val="24"/>
                <w:szCs w:val="24"/>
                <w:lang w:val="lv-LV"/>
              </w:rPr>
              <w:t>elektromobilitātei</w:t>
            </w:r>
            <w:proofErr w:type="spellEnd"/>
          </w:p>
          <w:p w:rsidR="00B83DB0" w:rsidRPr="00745F2A" w:rsidRDefault="00B83DB0" w:rsidP="008336B0">
            <w:pPr>
              <w:pStyle w:val="ListParagraph"/>
              <w:spacing w:after="0" w:line="240" w:lineRule="auto"/>
              <w:ind w:left="0"/>
              <w:rPr>
                <w:rFonts w:ascii="Times New Roman" w:hAnsi="Times New Roman"/>
                <w:sz w:val="24"/>
                <w:szCs w:val="24"/>
                <w:lang w:val="lv-LV"/>
              </w:rPr>
            </w:pPr>
            <w:r w:rsidRPr="00D83699">
              <w:rPr>
                <w:rFonts w:ascii="Times New Roman" w:hAnsi="Times New Roman"/>
                <w:sz w:val="24"/>
                <w:szCs w:val="24"/>
                <w:lang w:val="lv-LV"/>
              </w:rPr>
              <w:t>89.</w:t>
            </w:r>
            <w:r w:rsidRPr="00D83699">
              <w:rPr>
                <w:rFonts w:ascii="Times New Roman" w:hAnsi="Times New Roman"/>
                <w:sz w:val="24"/>
                <w:szCs w:val="24"/>
                <w:vertAlign w:val="superscript"/>
                <w:lang w:val="lv-LV"/>
              </w:rPr>
              <w:t>1</w:t>
            </w:r>
            <w:r w:rsidRPr="00D83699">
              <w:rPr>
                <w:rFonts w:ascii="Times New Roman" w:hAnsi="Times New Roman"/>
                <w:sz w:val="24"/>
                <w:szCs w:val="24"/>
                <w:lang w:val="lv-LV"/>
              </w:rPr>
              <w:t xml:space="preserve"> Publiskās ēkās ar vairāk kā 10 autostāvvietām paredz </w:t>
            </w:r>
            <w:r w:rsidRPr="00D83699">
              <w:rPr>
                <w:rFonts w:ascii="Times New Roman" w:hAnsi="Times New Roman"/>
                <w:sz w:val="24"/>
                <w:szCs w:val="24"/>
                <w:lang w:val="lv-LV"/>
              </w:rPr>
              <w:lastRenderedPageBreak/>
              <w:t xml:space="preserve">vismaz vienu </w:t>
            </w:r>
            <w:proofErr w:type="spellStart"/>
            <w:r w:rsidRPr="00D83699">
              <w:rPr>
                <w:rFonts w:ascii="Times New Roman" w:hAnsi="Times New Roman"/>
                <w:sz w:val="24"/>
                <w:szCs w:val="24"/>
                <w:lang w:val="lv-LV"/>
              </w:rPr>
              <w:t>elektrotransportlīdzekļu</w:t>
            </w:r>
            <w:proofErr w:type="spellEnd"/>
            <w:r w:rsidRPr="00D83699">
              <w:rPr>
                <w:rFonts w:ascii="Times New Roman" w:hAnsi="Times New Roman"/>
                <w:sz w:val="24"/>
                <w:szCs w:val="24"/>
                <w:lang w:val="lv-LV"/>
              </w:rPr>
              <w:t xml:space="preserve"> uzlādes punktu. Katrai piektajai automašīnu stāvvietai paredz kanālus elektrības kabeļiem, lai nepieciešamības gadījumā varētu ierīkot </w:t>
            </w:r>
            <w:proofErr w:type="spellStart"/>
            <w:r w:rsidRPr="00D83699">
              <w:rPr>
                <w:rFonts w:ascii="Times New Roman" w:hAnsi="Times New Roman"/>
                <w:sz w:val="24"/>
                <w:szCs w:val="24"/>
                <w:lang w:val="lv-LV"/>
              </w:rPr>
              <w:t>elektrotransportlīdzekļu</w:t>
            </w:r>
            <w:proofErr w:type="spellEnd"/>
            <w:r w:rsidRPr="00D83699">
              <w:rPr>
                <w:rFonts w:ascii="Times New Roman" w:hAnsi="Times New Roman"/>
                <w:sz w:val="24"/>
                <w:szCs w:val="24"/>
                <w:lang w:val="lv-LV"/>
              </w:rPr>
              <w:t xml:space="preserve"> uzlādes punktus. Šīs prasības piemēro arī ar publisko ēku funkcionāli saistītu, bet ārpus šīs ēkas esošu stāvvietu projektēšanai.</w:t>
            </w:r>
          </w:p>
          <w:p w:rsidR="00B83DB0" w:rsidRPr="006E497C" w:rsidRDefault="00B83DB0" w:rsidP="008336B0">
            <w:pPr>
              <w:pStyle w:val="naisc"/>
              <w:spacing w:before="0" w:after="0"/>
              <w:jc w:val="both"/>
            </w:pPr>
            <w:r w:rsidRPr="00D72DBA">
              <w:t>89.</w:t>
            </w:r>
            <w:r w:rsidRPr="00D72DBA">
              <w:rPr>
                <w:vertAlign w:val="superscript"/>
              </w:rPr>
              <w:t>2</w:t>
            </w:r>
            <w:r w:rsidRPr="00D72DBA">
              <w:t xml:space="preserve"> </w:t>
            </w:r>
            <w:r>
              <w:t xml:space="preserve">Pārbūves gadījumā </w:t>
            </w:r>
            <w:r w:rsidRPr="00D72DBA">
              <w:t>šī būvnormatīva 89.</w:t>
            </w:r>
            <w:r w:rsidRPr="00D72DBA">
              <w:rPr>
                <w:vertAlign w:val="superscript"/>
              </w:rPr>
              <w:t>1</w:t>
            </w:r>
            <w:r>
              <w:t> </w:t>
            </w:r>
            <w:r w:rsidRPr="00D72DBA">
              <w:t>punkta prasības piemēro</w:t>
            </w:r>
            <w:r>
              <w:t xml:space="preserve"> attiecībā uz pārbūvējamo daļu, ja šī daļa ir paredzēta automašīnu stāvvietām.</w:t>
            </w:r>
            <w:r w:rsidRPr="00D72DBA">
              <w:rPr>
                <w:rStyle w:val="normaltextrun"/>
              </w:rPr>
              <w:t>”</w:t>
            </w:r>
            <w:r>
              <w:t>”</w:t>
            </w:r>
          </w:p>
        </w:tc>
        <w:tc>
          <w:tcPr>
            <w:tcW w:w="4394" w:type="dxa"/>
            <w:tcBorders>
              <w:left w:val="single" w:sz="6" w:space="0" w:color="000000"/>
              <w:bottom w:val="single" w:sz="4" w:space="0" w:color="auto"/>
              <w:right w:val="single" w:sz="6" w:space="0" w:color="000000"/>
            </w:tcBorders>
          </w:tcPr>
          <w:p w:rsidR="00B83DB0" w:rsidRPr="000958C6" w:rsidRDefault="00B83DB0" w:rsidP="006461AC">
            <w:pPr>
              <w:pStyle w:val="naisc"/>
              <w:spacing w:before="0" w:after="0"/>
              <w:jc w:val="both"/>
              <w:rPr>
                <w:b/>
                <w:bCs/>
              </w:rPr>
            </w:pPr>
            <w:r w:rsidRPr="000958C6">
              <w:rPr>
                <w:b/>
                <w:bCs/>
              </w:rPr>
              <w:lastRenderedPageBreak/>
              <w:t>Tieslietu ministrija</w:t>
            </w:r>
          </w:p>
          <w:p w:rsidR="00B83DB0" w:rsidRPr="000958C6" w:rsidRDefault="00B83DB0" w:rsidP="006461AC">
            <w:pPr>
              <w:pStyle w:val="naisc"/>
              <w:spacing w:before="0" w:after="0"/>
              <w:jc w:val="both"/>
              <w:rPr>
                <w:b/>
                <w:bCs/>
              </w:rPr>
            </w:pPr>
            <w:r w:rsidRPr="000958C6">
              <w:t>Lūdzam izvērtēt un nodrošināt, ka no noteikumu projekta 89.</w:t>
            </w:r>
            <w:r w:rsidRPr="000958C6">
              <w:rPr>
                <w:vertAlign w:val="superscript"/>
              </w:rPr>
              <w:t>1</w:t>
            </w:r>
            <w:r w:rsidRPr="000958C6">
              <w:t xml:space="preserve"> punkta teksta ir nepārprotami skaidrs, ka arī prasība katrai piektajai automašīnu stāvvietai paredzēt kanālus elektrības kabeļiem, ne vien prasība paredzēt vienu </w:t>
            </w:r>
            <w:proofErr w:type="spellStart"/>
            <w:r w:rsidRPr="000958C6">
              <w:lastRenderedPageBreak/>
              <w:t>elektrotransportlīdzekļu</w:t>
            </w:r>
            <w:proofErr w:type="spellEnd"/>
            <w:r w:rsidRPr="000958C6">
              <w:t xml:space="preserve"> uzlādes punktu, ir attiecināma tikai uz gadījumiem, ja publiskās ēkās ir 10 autostāvvietas, piemēram minēto punktu, kura pirmajos divos teikumos ietvertas attiecīgās prasības, dalot atbilstošos apakšpunktos. Norādām, ka atbilstoši juridiskās tehnikas prasībām tiesību normai ir jābūt skaidrai, lai tās lietotājs un piemērotājs gūtu nepārprotamu priekšstatu par saviem pienākumiem un tiesībām.</w:t>
            </w:r>
          </w:p>
        </w:tc>
        <w:tc>
          <w:tcPr>
            <w:tcW w:w="3119" w:type="dxa"/>
            <w:gridSpan w:val="2"/>
            <w:tcBorders>
              <w:left w:val="single" w:sz="6" w:space="0" w:color="000000"/>
              <w:bottom w:val="single" w:sz="4" w:space="0" w:color="auto"/>
              <w:right w:val="single" w:sz="6" w:space="0" w:color="000000"/>
            </w:tcBorders>
          </w:tcPr>
          <w:p w:rsidR="00B83DB0" w:rsidRPr="00EF35AB" w:rsidRDefault="00B83DB0" w:rsidP="00A746A6">
            <w:pPr>
              <w:pStyle w:val="naisc"/>
              <w:spacing w:before="0" w:after="0"/>
              <w:rPr>
                <w:b/>
              </w:rPr>
            </w:pPr>
            <w:r w:rsidRPr="00EF35AB">
              <w:rPr>
                <w:b/>
              </w:rPr>
              <w:lastRenderedPageBreak/>
              <w:t>Ņemts vērā.</w:t>
            </w:r>
          </w:p>
          <w:p w:rsidR="00B83DB0" w:rsidRPr="000958C6" w:rsidRDefault="00B83DB0" w:rsidP="00A746A6">
            <w:pPr>
              <w:pStyle w:val="naisc"/>
              <w:spacing w:before="0" w:after="0"/>
              <w:rPr>
                <w:b/>
                <w:highlight w:val="yellow"/>
              </w:rPr>
            </w:pPr>
          </w:p>
        </w:tc>
        <w:tc>
          <w:tcPr>
            <w:tcW w:w="3118" w:type="dxa"/>
            <w:tcBorders>
              <w:top w:val="single" w:sz="4" w:space="0" w:color="auto"/>
              <w:left w:val="single" w:sz="4" w:space="0" w:color="auto"/>
              <w:bottom w:val="single" w:sz="4" w:space="0" w:color="auto"/>
            </w:tcBorders>
          </w:tcPr>
          <w:p w:rsidR="00B83DB0" w:rsidRDefault="00B83DB0" w:rsidP="00EF35AB">
            <w:pPr>
              <w:pStyle w:val="naisc"/>
              <w:spacing w:before="0" w:after="0"/>
              <w:jc w:val="both"/>
            </w:pPr>
            <w:r>
              <w:t>2. punkts:</w:t>
            </w:r>
          </w:p>
          <w:p w:rsidR="00B83DB0" w:rsidRDefault="00B83DB0" w:rsidP="00881DAD">
            <w:pPr>
              <w:contextualSpacing/>
            </w:pPr>
            <w:r>
              <w:t>”2. </w:t>
            </w:r>
            <w:r w:rsidRPr="001D2FBC">
              <w:t>Papildināt būvnormatīvu ar 5.</w:t>
            </w:r>
            <w:r w:rsidRPr="001D2FBC">
              <w:rPr>
                <w:vertAlign w:val="superscript"/>
              </w:rPr>
              <w:t>1</w:t>
            </w:r>
            <w:r>
              <w:t> nodaļ</w:t>
            </w:r>
            <w:r w:rsidRPr="001D2FBC">
              <w:t>u šādā redakcijā:</w:t>
            </w:r>
          </w:p>
          <w:p w:rsidR="00B83DB0" w:rsidRPr="00745F2A" w:rsidRDefault="00B83DB0" w:rsidP="00881DAD">
            <w:pPr>
              <w:pStyle w:val="ListParagraph"/>
              <w:spacing w:after="0" w:line="240" w:lineRule="auto"/>
              <w:ind w:left="0"/>
              <w:jc w:val="center"/>
              <w:rPr>
                <w:rFonts w:ascii="Times New Roman" w:hAnsi="Times New Roman"/>
                <w:sz w:val="24"/>
                <w:szCs w:val="24"/>
                <w:lang w:val="lv-LV"/>
              </w:rPr>
            </w:pPr>
            <w:r w:rsidRPr="00734143">
              <w:rPr>
                <w:rFonts w:ascii="Times New Roman" w:hAnsi="Times New Roman"/>
                <w:sz w:val="24"/>
                <w:szCs w:val="24"/>
                <w:lang w:val="lv-LV"/>
              </w:rPr>
              <w:t>“</w:t>
            </w:r>
            <w:r w:rsidRPr="00734143">
              <w:rPr>
                <w:rFonts w:ascii="Times New Roman" w:hAnsi="Times New Roman"/>
                <w:b/>
                <w:bCs/>
                <w:sz w:val="24"/>
                <w:szCs w:val="24"/>
                <w:lang w:val="lv-LV"/>
              </w:rPr>
              <w:t>5.</w:t>
            </w:r>
            <w:r w:rsidRPr="00734143">
              <w:rPr>
                <w:rFonts w:ascii="Times New Roman" w:hAnsi="Times New Roman"/>
                <w:b/>
                <w:bCs/>
                <w:sz w:val="24"/>
                <w:szCs w:val="24"/>
                <w:vertAlign w:val="superscript"/>
                <w:lang w:val="lv-LV"/>
              </w:rPr>
              <w:t xml:space="preserve">1 </w:t>
            </w:r>
            <w:r w:rsidRPr="00734143">
              <w:rPr>
                <w:rFonts w:ascii="Times New Roman" w:hAnsi="Times New Roman"/>
                <w:b/>
                <w:bCs/>
                <w:sz w:val="24"/>
                <w:szCs w:val="24"/>
                <w:lang w:val="lv-LV"/>
              </w:rPr>
              <w:t xml:space="preserve">Prasības </w:t>
            </w:r>
            <w:proofErr w:type="spellStart"/>
            <w:r w:rsidRPr="00734143">
              <w:rPr>
                <w:rFonts w:ascii="Times New Roman" w:hAnsi="Times New Roman"/>
                <w:b/>
                <w:bCs/>
                <w:sz w:val="24"/>
                <w:szCs w:val="24"/>
                <w:lang w:val="lv-LV"/>
              </w:rPr>
              <w:t>elektromobilitātei</w:t>
            </w:r>
            <w:proofErr w:type="spellEnd"/>
          </w:p>
          <w:p w:rsidR="00B83DB0" w:rsidRPr="00745F2A" w:rsidRDefault="00B83DB0" w:rsidP="00881DAD">
            <w:pPr>
              <w:pStyle w:val="ListParagraph"/>
              <w:spacing w:after="0" w:line="240" w:lineRule="auto"/>
              <w:ind w:left="0"/>
              <w:rPr>
                <w:rFonts w:ascii="Times New Roman" w:hAnsi="Times New Roman"/>
                <w:sz w:val="24"/>
                <w:szCs w:val="24"/>
                <w:lang w:val="lv-LV"/>
              </w:rPr>
            </w:pPr>
            <w:r w:rsidRPr="00734143">
              <w:rPr>
                <w:rFonts w:ascii="Times New Roman" w:hAnsi="Times New Roman"/>
                <w:sz w:val="24"/>
                <w:szCs w:val="24"/>
                <w:lang w:val="lv-LV"/>
              </w:rPr>
              <w:t>89.</w:t>
            </w:r>
            <w:r w:rsidRPr="00734143">
              <w:rPr>
                <w:rFonts w:ascii="Times New Roman" w:hAnsi="Times New Roman"/>
                <w:sz w:val="24"/>
                <w:szCs w:val="24"/>
                <w:vertAlign w:val="superscript"/>
                <w:lang w:val="lv-LV"/>
              </w:rPr>
              <w:t>1</w:t>
            </w:r>
            <w:r w:rsidRPr="00734143">
              <w:rPr>
                <w:rFonts w:ascii="Times New Roman" w:hAnsi="Times New Roman"/>
                <w:sz w:val="24"/>
                <w:szCs w:val="24"/>
                <w:lang w:val="lv-LV"/>
              </w:rPr>
              <w:t xml:space="preserve"> Publiskās ēkās ar vairāk kā 10 autostāvvietām paredz </w:t>
            </w:r>
            <w:r w:rsidRPr="00734143">
              <w:rPr>
                <w:rFonts w:ascii="Times New Roman" w:hAnsi="Times New Roman"/>
                <w:sz w:val="24"/>
                <w:szCs w:val="24"/>
                <w:lang w:val="lv-LV"/>
              </w:rPr>
              <w:lastRenderedPageBreak/>
              <w:t xml:space="preserve">vismaz vienu </w:t>
            </w:r>
            <w:proofErr w:type="spellStart"/>
            <w:r w:rsidRPr="00734143">
              <w:rPr>
                <w:rFonts w:ascii="Times New Roman" w:hAnsi="Times New Roman"/>
                <w:sz w:val="24"/>
                <w:szCs w:val="24"/>
                <w:lang w:val="lv-LV"/>
              </w:rPr>
              <w:t>elektrotransportlīdzekļu</w:t>
            </w:r>
            <w:proofErr w:type="spellEnd"/>
            <w:r w:rsidRPr="00734143">
              <w:rPr>
                <w:rFonts w:ascii="Times New Roman" w:hAnsi="Times New Roman"/>
                <w:sz w:val="24"/>
                <w:szCs w:val="24"/>
                <w:lang w:val="lv-LV"/>
              </w:rPr>
              <w:t xml:space="preserve"> uzlādes punktu, kā arī katrai piektajai autostāvvietai paredz kanālus elektrības kabeļiem, lai nepieciešamības gadījumā varētu ierīkot </w:t>
            </w:r>
            <w:proofErr w:type="spellStart"/>
            <w:r w:rsidRPr="00734143">
              <w:rPr>
                <w:rFonts w:ascii="Times New Roman" w:hAnsi="Times New Roman"/>
                <w:sz w:val="24"/>
                <w:szCs w:val="24"/>
                <w:lang w:val="lv-LV"/>
              </w:rPr>
              <w:t>elektrotransportlīdzekļu</w:t>
            </w:r>
            <w:proofErr w:type="spellEnd"/>
            <w:r w:rsidRPr="00734143">
              <w:rPr>
                <w:rFonts w:ascii="Times New Roman" w:hAnsi="Times New Roman"/>
                <w:sz w:val="24"/>
                <w:szCs w:val="24"/>
                <w:lang w:val="lv-LV"/>
              </w:rPr>
              <w:t xml:space="preserve"> uzlādes punktus. Šīs prasības piemēro arī ar publisko ēku funkcionāli saistītu, bet ārpus šīs ēkas esošu autostāvvietu projektēšanai.</w:t>
            </w:r>
          </w:p>
          <w:p w:rsidR="00B83DB0" w:rsidRDefault="00B83DB0" w:rsidP="0065637A">
            <w:pPr>
              <w:pStyle w:val="naisc"/>
              <w:spacing w:before="0" w:after="0"/>
              <w:jc w:val="both"/>
            </w:pPr>
            <w:r w:rsidRPr="00D72DBA">
              <w:t>89.</w:t>
            </w:r>
            <w:r w:rsidRPr="00D72DBA">
              <w:rPr>
                <w:vertAlign w:val="superscript"/>
              </w:rPr>
              <w:t>2</w:t>
            </w:r>
            <w:r w:rsidRPr="00D72DBA">
              <w:t xml:space="preserve"> </w:t>
            </w:r>
            <w:r>
              <w:t xml:space="preserve">Pārbūves gadījumā </w:t>
            </w:r>
            <w:r w:rsidRPr="00D72DBA">
              <w:t>šī būvnormatīva 89.</w:t>
            </w:r>
            <w:r w:rsidRPr="00D72DBA">
              <w:rPr>
                <w:vertAlign w:val="superscript"/>
              </w:rPr>
              <w:t>1</w:t>
            </w:r>
            <w:r>
              <w:t> </w:t>
            </w:r>
            <w:r w:rsidRPr="00D72DBA">
              <w:t>punkta prasības piemēro</w:t>
            </w:r>
            <w:r>
              <w:t xml:space="preserve"> attiecībā uz pārbūvējamo daļu, ja šī daļa ir paredzēta autostāvvietām.</w:t>
            </w:r>
            <w:r w:rsidRPr="00D72DBA">
              <w:rPr>
                <w:rStyle w:val="normaltextrun"/>
              </w:rPr>
              <w:t>”</w:t>
            </w:r>
            <w:r>
              <w:t>”</w:t>
            </w:r>
          </w:p>
        </w:tc>
      </w:tr>
      <w:tr w:rsidR="00B83DB0" w:rsidRPr="00712B66" w:rsidTr="00F10DF3">
        <w:tc>
          <w:tcPr>
            <w:tcW w:w="708" w:type="dxa"/>
            <w:tcBorders>
              <w:left w:val="single" w:sz="6" w:space="0" w:color="000000"/>
              <w:bottom w:val="single" w:sz="4" w:space="0" w:color="auto"/>
              <w:right w:val="single" w:sz="6" w:space="0" w:color="000000"/>
            </w:tcBorders>
          </w:tcPr>
          <w:p w:rsidR="00B83DB0" w:rsidRDefault="00C54458" w:rsidP="00927F4B">
            <w:pPr>
              <w:pStyle w:val="naisc"/>
              <w:spacing w:before="0" w:after="0"/>
            </w:pPr>
            <w:r>
              <w:lastRenderedPageBreak/>
              <w:t>4</w:t>
            </w:r>
            <w:r w:rsidR="00B83DB0">
              <w:t>.</w:t>
            </w:r>
          </w:p>
        </w:tc>
        <w:tc>
          <w:tcPr>
            <w:tcW w:w="3086" w:type="dxa"/>
            <w:gridSpan w:val="2"/>
            <w:tcBorders>
              <w:left w:val="single" w:sz="6" w:space="0" w:color="000000"/>
              <w:bottom w:val="single" w:sz="4" w:space="0" w:color="auto"/>
              <w:right w:val="single" w:sz="6" w:space="0" w:color="000000"/>
            </w:tcBorders>
          </w:tcPr>
          <w:p w:rsidR="00B83DB0" w:rsidRDefault="00B83DB0" w:rsidP="008336B0">
            <w:pPr>
              <w:pStyle w:val="naisc"/>
              <w:spacing w:before="0" w:after="0"/>
              <w:jc w:val="both"/>
            </w:pPr>
            <w:r>
              <w:t>2. punkts:</w:t>
            </w:r>
          </w:p>
          <w:p w:rsidR="00B83DB0" w:rsidRPr="001D2FBC" w:rsidRDefault="00B83DB0" w:rsidP="008336B0">
            <w:pPr>
              <w:contextualSpacing/>
            </w:pPr>
            <w:r>
              <w:t>”2. </w:t>
            </w:r>
            <w:r w:rsidRPr="001D2FBC">
              <w:t>Papildināt būvnormatīvu ar 5.</w:t>
            </w:r>
            <w:r w:rsidRPr="001D2FBC">
              <w:rPr>
                <w:vertAlign w:val="superscript"/>
              </w:rPr>
              <w:t>1</w:t>
            </w:r>
            <w:r>
              <w:t> nodaļ</w:t>
            </w:r>
            <w:r w:rsidRPr="001D2FBC">
              <w:t>u šādā redakcijā:</w:t>
            </w:r>
          </w:p>
          <w:p w:rsidR="00B83DB0" w:rsidRPr="00745F2A" w:rsidRDefault="00B83DB0" w:rsidP="008336B0">
            <w:pPr>
              <w:pStyle w:val="ListParagraph"/>
              <w:spacing w:after="0" w:line="240" w:lineRule="auto"/>
              <w:ind w:left="0"/>
              <w:rPr>
                <w:rFonts w:ascii="Times New Roman" w:hAnsi="Times New Roman"/>
                <w:sz w:val="24"/>
                <w:szCs w:val="24"/>
                <w:lang w:val="lv-LV"/>
              </w:rPr>
            </w:pPr>
            <w:r w:rsidRPr="00D83699">
              <w:rPr>
                <w:rFonts w:ascii="Times New Roman" w:hAnsi="Times New Roman"/>
                <w:sz w:val="24"/>
                <w:szCs w:val="24"/>
                <w:lang w:val="lv-LV"/>
              </w:rPr>
              <w:t>“</w:t>
            </w:r>
            <w:r w:rsidRPr="00D83699">
              <w:rPr>
                <w:rFonts w:ascii="Times New Roman" w:hAnsi="Times New Roman"/>
                <w:b/>
                <w:bCs/>
                <w:sz w:val="24"/>
                <w:szCs w:val="24"/>
                <w:lang w:val="lv-LV"/>
              </w:rPr>
              <w:t>5.</w:t>
            </w:r>
            <w:r w:rsidRPr="00D83699">
              <w:rPr>
                <w:rFonts w:ascii="Times New Roman" w:hAnsi="Times New Roman"/>
                <w:b/>
                <w:bCs/>
                <w:sz w:val="24"/>
                <w:szCs w:val="24"/>
                <w:vertAlign w:val="superscript"/>
                <w:lang w:val="lv-LV"/>
              </w:rPr>
              <w:t>1</w:t>
            </w:r>
            <w:r w:rsidRPr="00D83699">
              <w:rPr>
                <w:rFonts w:ascii="Times New Roman" w:hAnsi="Times New Roman"/>
                <w:b/>
                <w:bCs/>
                <w:sz w:val="24"/>
                <w:szCs w:val="24"/>
                <w:lang w:val="lv-LV"/>
              </w:rPr>
              <w:t xml:space="preserve"> Prasības </w:t>
            </w:r>
            <w:proofErr w:type="spellStart"/>
            <w:r w:rsidRPr="00D83699">
              <w:rPr>
                <w:rFonts w:ascii="Times New Roman" w:hAnsi="Times New Roman"/>
                <w:b/>
                <w:bCs/>
                <w:sz w:val="24"/>
                <w:szCs w:val="24"/>
                <w:lang w:val="lv-LV"/>
              </w:rPr>
              <w:t>elektromobilitātei</w:t>
            </w:r>
            <w:proofErr w:type="spellEnd"/>
          </w:p>
          <w:p w:rsidR="00B83DB0" w:rsidRPr="00745F2A" w:rsidRDefault="00B83DB0" w:rsidP="008336B0">
            <w:pPr>
              <w:pStyle w:val="ListParagraph"/>
              <w:spacing w:after="0" w:line="240" w:lineRule="auto"/>
              <w:ind w:left="0"/>
              <w:rPr>
                <w:rFonts w:ascii="Times New Roman" w:hAnsi="Times New Roman"/>
                <w:sz w:val="24"/>
                <w:szCs w:val="24"/>
                <w:lang w:val="lv-LV"/>
              </w:rPr>
            </w:pPr>
            <w:r w:rsidRPr="00D83699">
              <w:rPr>
                <w:rFonts w:ascii="Times New Roman" w:hAnsi="Times New Roman"/>
                <w:sz w:val="24"/>
                <w:szCs w:val="24"/>
                <w:lang w:val="lv-LV"/>
              </w:rPr>
              <w:t>89.</w:t>
            </w:r>
            <w:r w:rsidRPr="00D83699">
              <w:rPr>
                <w:rFonts w:ascii="Times New Roman" w:hAnsi="Times New Roman"/>
                <w:sz w:val="24"/>
                <w:szCs w:val="24"/>
                <w:vertAlign w:val="superscript"/>
                <w:lang w:val="lv-LV"/>
              </w:rPr>
              <w:t>1</w:t>
            </w:r>
            <w:r w:rsidRPr="00D83699">
              <w:rPr>
                <w:rFonts w:ascii="Times New Roman" w:hAnsi="Times New Roman"/>
                <w:sz w:val="24"/>
                <w:szCs w:val="24"/>
                <w:lang w:val="lv-LV"/>
              </w:rPr>
              <w:t xml:space="preserve"> Publiskās ēkās ar vairāk kā 10 autostāvvietām paredz vismaz vienu </w:t>
            </w:r>
            <w:proofErr w:type="spellStart"/>
            <w:r w:rsidRPr="00D83699">
              <w:rPr>
                <w:rFonts w:ascii="Times New Roman" w:hAnsi="Times New Roman"/>
                <w:sz w:val="24"/>
                <w:szCs w:val="24"/>
                <w:lang w:val="lv-LV"/>
              </w:rPr>
              <w:t>elektrotransportlīdzekļu</w:t>
            </w:r>
            <w:proofErr w:type="spellEnd"/>
            <w:r w:rsidRPr="00D83699">
              <w:rPr>
                <w:rFonts w:ascii="Times New Roman" w:hAnsi="Times New Roman"/>
                <w:sz w:val="24"/>
                <w:szCs w:val="24"/>
                <w:lang w:val="lv-LV"/>
              </w:rPr>
              <w:t xml:space="preserve"> uzlādes punktu. Katrai piektajai automašīnu stāvvietai paredz kanālus elektrības kabeļiem, lai </w:t>
            </w:r>
            <w:r w:rsidRPr="00D83699">
              <w:rPr>
                <w:rFonts w:ascii="Times New Roman" w:hAnsi="Times New Roman"/>
                <w:sz w:val="24"/>
                <w:szCs w:val="24"/>
                <w:lang w:val="lv-LV"/>
              </w:rPr>
              <w:lastRenderedPageBreak/>
              <w:t xml:space="preserve">nepieciešamības gadījumā varētu ierīkot </w:t>
            </w:r>
            <w:proofErr w:type="spellStart"/>
            <w:r w:rsidRPr="00D83699">
              <w:rPr>
                <w:rFonts w:ascii="Times New Roman" w:hAnsi="Times New Roman"/>
                <w:sz w:val="24"/>
                <w:szCs w:val="24"/>
                <w:lang w:val="lv-LV"/>
              </w:rPr>
              <w:t>elektrotransportlīdzekļu</w:t>
            </w:r>
            <w:proofErr w:type="spellEnd"/>
            <w:r w:rsidRPr="00D83699">
              <w:rPr>
                <w:rFonts w:ascii="Times New Roman" w:hAnsi="Times New Roman"/>
                <w:sz w:val="24"/>
                <w:szCs w:val="24"/>
                <w:lang w:val="lv-LV"/>
              </w:rPr>
              <w:t xml:space="preserve"> uzlādes punktus. Šīs prasības piemēro arī ar publisko ēku funkcionāli saistītu, bet ārpus šīs ēkas esošu stāvvietu projektēšanai.</w:t>
            </w:r>
          </w:p>
          <w:p w:rsidR="00B83DB0" w:rsidRPr="006E497C" w:rsidRDefault="00B83DB0" w:rsidP="008336B0">
            <w:pPr>
              <w:pStyle w:val="naisc"/>
              <w:spacing w:before="0" w:after="0"/>
              <w:jc w:val="both"/>
            </w:pPr>
            <w:r w:rsidRPr="00D72DBA">
              <w:t>89.</w:t>
            </w:r>
            <w:r w:rsidRPr="00D72DBA">
              <w:rPr>
                <w:vertAlign w:val="superscript"/>
              </w:rPr>
              <w:t>2</w:t>
            </w:r>
            <w:r w:rsidRPr="00D72DBA">
              <w:t xml:space="preserve"> </w:t>
            </w:r>
            <w:r>
              <w:t xml:space="preserve">Pārbūves gadījumā </w:t>
            </w:r>
            <w:r w:rsidRPr="00D72DBA">
              <w:t>šī būvnormatīva 89.</w:t>
            </w:r>
            <w:r w:rsidRPr="00D72DBA">
              <w:rPr>
                <w:vertAlign w:val="superscript"/>
              </w:rPr>
              <w:t>1</w:t>
            </w:r>
            <w:r>
              <w:t> </w:t>
            </w:r>
            <w:r w:rsidRPr="00D72DBA">
              <w:t>punkta prasības piemēro</w:t>
            </w:r>
            <w:r>
              <w:t xml:space="preserve"> attiecībā uz pārbūvējamo daļu, ja šī daļa ir paredzēta automašīnu stāvvietām.</w:t>
            </w:r>
            <w:r w:rsidRPr="00D72DBA">
              <w:rPr>
                <w:rStyle w:val="normaltextrun"/>
              </w:rPr>
              <w:t>”</w:t>
            </w:r>
            <w:r>
              <w:t>”</w:t>
            </w:r>
          </w:p>
        </w:tc>
        <w:tc>
          <w:tcPr>
            <w:tcW w:w="4394" w:type="dxa"/>
            <w:tcBorders>
              <w:left w:val="single" w:sz="6" w:space="0" w:color="000000"/>
              <w:bottom w:val="single" w:sz="4" w:space="0" w:color="auto"/>
              <w:right w:val="single" w:sz="6" w:space="0" w:color="000000"/>
            </w:tcBorders>
          </w:tcPr>
          <w:p w:rsidR="00B83DB0" w:rsidRPr="000958C6" w:rsidRDefault="00B83DB0" w:rsidP="00584D89">
            <w:pPr>
              <w:pStyle w:val="naisc"/>
              <w:spacing w:before="0" w:after="0"/>
              <w:jc w:val="left"/>
              <w:rPr>
                <w:b/>
                <w:bCs/>
              </w:rPr>
            </w:pPr>
            <w:r w:rsidRPr="000958C6">
              <w:rPr>
                <w:b/>
                <w:bCs/>
              </w:rPr>
              <w:lastRenderedPageBreak/>
              <w:t>Tieslietu ministrija</w:t>
            </w:r>
          </w:p>
          <w:p w:rsidR="00B83DB0" w:rsidRPr="000958C6" w:rsidRDefault="00B83DB0" w:rsidP="000958C6">
            <w:pPr>
              <w:pStyle w:val="naisc"/>
              <w:spacing w:before="0" w:after="0"/>
              <w:jc w:val="both"/>
              <w:rPr>
                <w:b/>
                <w:bCs/>
              </w:rPr>
            </w:pPr>
            <w:r w:rsidRPr="000958C6">
              <w:t>Ņemot vērā, ka jēdzieni "</w:t>
            </w:r>
            <w:proofErr w:type="spellStart"/>
            <w:r w:rsidRPr="000958C6">
              <w:t>elektrotransportlīdzeklis</w:t>
            </w:r>
            <w:proofErr w:type="spellEnd"/>
            <w:r w:rsidRPr="000958C6">
              <w:t xml:space="preserve">" un "uzlādes punkts" ir skaidroti Ministru kabineta 2018. gada 6. februāra noteikumos "Prasības </w:t>
            </w:r>
            <w:proofErr w:type="spellStart"/>
            <w:r w:rsidRPr="000958C6">
              <w:t>elektrotransportlīdzekļu</w:t>
            </w:r>
            <w:proofErr w:type="spellEnd"/>
            <w:r w:rsidRPr="000958C6">
              <w:t xml:space="preserve"> uzlādes, dabasgāzes uzpildes, ūdeņraža uzpildes un krasta </w:t>
            </w:r>
            <w:proofErr w:type="spellStart"/>
            <w:r w:rsidRPr="000958C6">
              <w:t>elektropadeves</w:t>
            </w:r>
            <w:proofErr w:type="spellEnd"/>
            <w:r w:rsidRPr="000958C6">
              <w:t xml:space="preserve"> iekārtām" attiecīgi 2.2. un 2.3. apakšpunktā, kas pieņemti, pārņemot Eiropas Parlamenta un Padomes 2014. gada 22. oktobra Direktīvas 2014/94/ES par alternatīvo degvielu infrastruktūras ieviešanu prasības, lūdzam </w:t>
            </w:r>
            <w:r w:rsidRPr="000958C6">
              <w:lastRenderedPageBreak/>
              <w:t>izvērtēt un precizēt noteikumu projekta 2. punktu, papildus norādot uz nacionālo tiesību aktu, konkrētajā gadījumā – minēto Ministru kabineta noteikumu normām, ar kurām ir pārņemtas iepriekš minētās direktīvas attiecīgās prasības, šo atsauci noformējot atbilstoši Ministru kabineta noteikumu Nr. 108 3.7. apakšnodaļai.</w:t>
            </w:r>
          </w:p>
          <w:p w:rsidR="00B83DB0" w:rsidRPr="000958C6" w:rsidRDefault="00B83DB0" w:rsidP="00584D89">
            <w:pPr>
              <w:pStyle w:val="naisc"/>
              <w:spacing w:before="0" w:after="0"/>
              <w:jc w:val="left"/>
              <w:rPr>
                <w:b/>
                <w:bCs/>
              </w:rPr>
            </w:pPr>
            <w:r w:rsidRPr="000958C6">
              <w:rPr>
                <w:b/>
                <w:bCs/>
              </w:rPr>
              <w:t>Latvijas Lielo pilsētu asociācija (priekšlikums)</w:t>
            </w:r>
          </w:p>
          <w:p w:rsidR="00B83DB0" w:rsidRPr="00745F2A" w:rsidRDefault="00B83DB0" w:rsidP="00584D89">
            <w:pPr>
              <w:pStyle w:val="ListParagraph"/>
              <w:spacing w:after="0" w:line="240" w:lineRule="auto"/>
              <w:ind w:left="0"/>
              <w:contextualSpacing w:val="0"/>
              <w:rPr>
                <w:rFonts w:ascii="Times New Roman" w:hAnsi="Times New Roman"/>
                <w:sz w:val="24"/>
                <w:szCs w:val="24"/>
                <w:lang w:val="lv-LV"/>
              </w:rPr>
            </w:pPr>
            <w:r w:rsidRPr="00D83699">
              <w:rPr>
                <w:rFonts w:ascii="Times New Roman" w:hAnsi="Times New Roman"/>
                <w:sz w:val="24"/>
                <w:szCs w:val="24"/>
                <w:lang w:val="lv-LV"/>
              </w:rPr>
              <w:t>Lai būtu noteiktas prasības, kāds uzlādes punkts autostāvvietām ir jāparedz, priekšlikums punktu izteikt šādā redakcijā:</w:t>
            </w:r>
          </w:p>
          <w:p w:rsidR="00B83DB0" w:rsidRPr="00745F2A" w:rsidRDefault="00B83DB0" w:rsidP="00584D89">
            <w:pPr>
              <w:pStyle w:val="ListParagraph"/>
              <w:spacing w:after="0" w:line="240" w:lineRule="auto"/>
              <w:ind w:left="0"/>
              <w:contextualSpacing w:val="0"/>
              <w:rPr>
                <w:rFonts w:ascii="Times New Roman" w:hAnsi="Times New Roman"/>
                <w:i/>
                <w:sz w:val="24"/>
                <w:szCs w:val="24"/>
                <w:lang w:val="lv-LV"/>
              </w:rPr>
            </w:pPr>
            <w:r w:rsidRPr="00D83699">
              <w:rPr>
                <w:rFonts w:ascii="Times New Roman" w:hAnsi="Times New Roman"/>
                <w:i/>
                <w:sz w:val="24"/>
                <w:szCs w:val="24"/>
                <w:lang w:val="lv-LV"/>
              </w:rPr>
              <w:t>“89.</w:t>
            </w:r>
            <w:r w:rsidRPr="00D83699">
              <w:rPr>
                <w:rFonts w:ascii="Times New Roman" w:hAnsi="Times New Roman"/>
                <w:i/>
                <w:sz w:val="24"/>
                <w:szCs w:val="24"/>
                <w:vertAlign w:val="superscript"/>
                <w:lang w:val="lv-LV"/>
              </w:rPr>
              <w:t>1</w:t>
            </w:r>
            <w:r w:rsidRPr="00D83699">
              <w:rPr>
                <w:rFonts w:ascii="Times New Roman" w:hAnsi="Times New Roman"/>
                <w:i/>
                <w:sz w:val="24"/>
                <w:szCs w:val="24"/>
                <w:lang w:val="lv-LV"/>
              </w:rPr>
              <w:t xml:space="preserve"> Publiskās ēkās ar vairāk kā 10 autostāvvietām paredz vismaz vienu </w:t>
            </w:r>
            <w:proofErr w:type="spellStart"/>
            <w:r w:rsidRPr="00D83699">
              <w:rPr>
                <w:rFonts w:ascii="Times New Roman" w:hAnsi="Times New Roman"/>
                <w:i/>
                <w:sz w:val="24"/>
                <w:szCs w:val="24"/>
                <w:lang w:val="lv-LV"/>
              </w:rPr>
              <w:t>elektrotransportlīdzekļu</w:t>
            </w:r>
            <w:proofErr w:type="spellEnd"/>
            <w:r w:rsidRPr="00D83699">
              <w:rPr>
                <w:rFonts w:ascii="Times New Roman" w:hAnsi="Times New Roman"/>
                <w:i/>
                <w:sz w:val="24"/>
                <w:szCs w:val="24"/>
                <w:lang w:val="lv-LV"/>
              </w:rPr>
              <w:t xml:space="preserve"> uzlādes punktu </w:t>
            </w:r>
            <w:r w:rsidRPr="00D83699">
              <w:rPr>
                <w:rFonts w:ascii="Times New Roman" w:hAnsi="Times New Roman"/>
                <w:b/>
                <w:i/>
                <w:sz w:val="24"/>
                <w:szCs w:val="24"/>
                <w:u w:val="single"/>
                <w:lang w:val="lv-LV"/>
              </w:rPr>
              <w:t xml:space="preserve">ar CCS, </w:t>
            </w:r>
            <w:proofErr w:type="spellStart"/>
            <w:r w:rsidRPr="00D83699">
              <w:rPr>
                <w:rFonts w:ascii="Times New Roman" w:hAnsi="Times New Roman"/>
                <w:b/>
                <w:i/>
                <w:sz w:val="24"/>
                <w:szCs w:val="24"/>
                <w:u w:val="single"/>
                <w:lang w:val="lv-LV"/>
              </w:rPr>
              <w:t>CHAdeMO</w:t>
            </w:r>
            <w:proofErr w:type="spellEnd"/>
            <w:r w:rsidRPr="00D83699">
              <w:rPr>
                <w:rFonts w:ascii="Times New Roman" w:hAnsi="Times New Roman"/>
                <w:b/>
                <w:i/>
                <w:sz w:val="24"/>
                <w:szCs w:val="24"/>
                <w:u w:val="single"/>
                <w:lang w:val="lv-LV"/>
              </w:rPr>
              <w:t xml:space="preserve">, </w:t>
            </w:r>
            <w:proofErr w:type="spellStart"/>
            <w:r w:rsidRPr="00D83699">
              <w:rPr>
                <w:rFonts w:ascii="Times New Roman" w:hAnsi="Times New Roman"/>
                <w:b/>
                <w:i/>
                <w:sz w:val="24"/>
                <w:szCs w:val="24"/>
                <w:u w:val="single"/>
                <w:lang w:val="lv-LV"/>
              </w:rPr>
              <w:t>Type</w:t>
            </w:r>
            <w:proofErr w:type="spellEnd"/>
            <w:r w:rsidRPr="00D83699">
              <w:rPr>
                <w:rFonts w:ascii="Times New Roman" w:hAnsi="Times New Roman"/>
                <w:b/>
                <w:i/>
                <w:sz w:val="24"/>
                <w:szCs w:val="24"/>
                <w:u w:val="single"/>
                <w:lang w:val="lv-LV"/>
              </w:rPr>
              <w:t xml:space="preserve"> 2 </w:t>
            </w:r>
            <w:proofErr w:type="spellStart"/>
            <w:r w:rsidRPr="00D83699">
              <w:rPr>
                <w:rFonts w:ascii="Times New Roman" w:hAnsi="Times New Roman"/>
                <w:b/>
                <w:i/>
                <w:sz w:val="24"/>
                <w:szCs w:val="24"/>
                <w:u w:val="single"/>
                <w:lang w:val="lv-LV"/>
              </w:rPr>
              <w:t>konektoru</w:t>
            </w:r>
            <w:proofErr w:type="spellEnd"/>
            <w:r w:rsidRPr="00D83699">
              <w:rPr>
                <w:rFonts w:ascii="Times New Roman" w:hAnsi="Times New Roman"/>
                <w:b/>
                <w:i/>
                <w:sz w:val="24"/>
                <w:szCs w:val="24"/>
                <w:u w:val="single"/>
                <w:lang w:val="lv-LV"/>
              </w:rPr>
              <w:t xml:space="preserve"> ar jaudu no 3,6 līdz 22 kW (vai tomēr 50kW un/vai 100kW iespēju arī jāparedz).</w:t>
            </w:r>
            <w:r w:rsidRPr="00D83699">
              <w:rPr>
                <w:rFonts w:ascii="Times New Roman" w:hAnsi="Times New Roman"/>
                <w:i/>
                <w:sz w:val="24"/>
                <w:szCs w:val="24"/>
                <w:lang w:val="lv-LV"/>
              </w:rPr>
              <w:t xml:space="preserve"> Katrai piektajai automašīnu stāvvietai paredz kanālus elektrības kabeļiem, lai nepieciešamības gadījumā varētu ierīkot </w:t>
            </w:r>
            <w:proofErr w:type="spellStart"/>
            <w:r w:rsidRPr="00D83699">
              <w:rPr>
                <w:rFonts w:ascii="Times New Roman" w:hAnsi="Times New Roman"/>
                <w:i/>
                <w:sz w:val="24"/>
                <w:szCs w:val="24"/>
                <w:lang w:val="lv-LV"/>
              </w:rPr>
              <w:t>elektrotransportlīdzekļu</w:t>
            </w:r>
            <w:proofErr w:type="spellEnd"/>
            <w:r w:rsidRPr="00D83699">
              <w:rPr>
                <w:rFonts w:ascii="Times New Roman" w:hAnsi="Times New Roman"/>
                <w:i/>
                <w:sz w:val="24"/>
                <w:szCs w:val="24"/>
                <w:lang w:val="lv-LV"/>
              </w:rPr>
              <w:t xml:space="preserve"> uzlādes punktus. Šīs prasības piemēro arī ar publisko ēku funkcionāli saistītu, bet ārpus šīs ēkas esošu stāvvietu projektēšanai.”</w:t>
            </w:r>
          </w:p>
          <w:p w:rsidR="00B83DB0" w:rsidRPr="00745F2A" w:rsidRDefault="00B83DB0" w:rsidP="00584D89">
            <w:pPr>
              <w:pStyle w:val="ListParagraph"/>
              <w:spacing w:after="0" w:line="240" w:lineRule="auto"/>
              <w:ind w:left="0"/>
              <w:contextualSpacing w:val="0"/>
              <w:rPr>
                <w:rFonts w:ascii="Times New Roman" w:hAnsi="Times New Roman"/>
                <w:i/>
                <w:sz w:val="24"/>
                <w:szCs w:val="24"/>
                <w:lang w:val="lv-LV"/>
              </w:rPr>
            </w:pPr>
            <w:r w:rsidRPr="00D83699">
              <w:rPr>
                <w:rFonts w:ascii="Times New Roman" w:hAnsi="Times New Roman"/>
                <w:sz w:val="24"/>
                <w:szCs w:val="24"/>
                <w:lang w:val="lv-LV"/>
              </w:rPr>
              <w:t>Pie esošās redakcijas var uzstādīt 220V rozeti un normatīvs būs izpildīts.</w:t>
            </w:r>
          </w:p>
        </w:tc>
        <w:tc>
          <w:tcPr>
            <w:tcW w:w="3119" w:type="dxa"/>
            <w:gridSpan w:val="2"/>
            <w:tcBorders>
              <w:left w:val="single" w:sz="6" w:space="0" w:color="000000"/>
              <w:bottom w:val="single" w:sz="4" w:space="0" w:color="auto"/>
              <w:right w:val="single" w:sz="6" w:space="0" w:color="000000"/>
            </w:tcBorders>
          </w:tcPr>
          <w:p w:rsidR="00B83DB0" w:rsidRPr="00EF35AB" w:rsidRDefault="00B83DB0" w:rsidP="00A746A6">
            <w:pPr>
              <w:pStyle w:val="naisc"/>
              <w:spacing w:before="0" w:after="0"/>
              <w:rPr>
                <w:b/>
              </w:rPr>
            </w:pPr>
            <w:r>
              <w:rPr>
                <w:b/>
              </w:rPr>
              <w:lastRenderedPageBreak/>
              <w:t>Daļēji ņ</w:t>
            </w:r>
            <w:r w:rsidRPr="00EF35AB">
              <w:rPr>
                <w:b/>
              </w:rPr>
              <w:t>emts vērā.</w:t>
            </w:r>
          </w:p>
          <w:p w:rsidR="00B83DB0" w:rsidRPr="002503C1" w:rsidRDefault="00B83DB0" w:rsidP="002628C5">
            <w:pPr>
              <w:pStyle w:val="naisc"/>
              <w:spacing w:before="0" w:after="0"/>
              <w:jc w:val="both"/>
              <w:rPr>
                <w:highlight w:val="yellow"/>
              </w:rPr>
            </w:pPr>
            <w:r w:rsidRPr="002503C1">
              <w:t>Noteikumu projektā netiek iekļauta atsauce uz konkrētu normatīvo aktu</w:t>
            </w:r>
            <w:r>
              <w:t xml:space="preserve"> vai nosauktas konkrētas tehniskās prasības</w:t>
            </w:r>
            <w:r w:rsidRPr="002503C1">
              <w:t xml:space="preserve">, lai izvairītos no tehnisku grozījumu veikšanas </w:t>
            </w:r>
            <w:r>
              <w:t xml:space="preserve">speciālā </w:t>
            </w:r>
            <w:r w:rsidRPr="002503C1">
              <w:t>tiesiskā regulējuma</w:t>
            </w:r>
            <w:r>
              <w:t xml:space="preserve"> (prasības </w:t>
            </w:r>
            <w:proofErr w:type="spellStart"/>
            <w:r>
              <w:t>elektrotransportlīdzekļu</w:t>
            </w:r>
            <w:proofErr w:type="spellEnd"/>
            <w:r>
              <w:t xml:space="preserve"> uzlādes punktiem)</w:t>
            </w:r>
            <w:r w:rsidRPr="002503C1">
              <w:t xml:space="preserve"> izmaiņu gadījumā.</w:t>
            </w:r>
          </w:p>
        </w:tc>
        <w:tc>
          <w:tcPr>
            <w:tcW w:w="3118" w:type="dxa"/>
            <w:tcBorders>
              <w:top w:val="single" w:sz="4" w:space="0" w:color="auto"/>
              <w:left w:val="single" w:sz="4" w:space="0" w:color="auto"/>
              <w:bottom w:val="single" w:sz="4" w:space="0" w:color="auto"/>
            </w:tcBorders>
          </w:tcPr>
          <w:p w:rsidR="00B83DB0" w:rsidRPr="0065637A" w:rsidRDefault="00B83DB0" w:rsidP="00143C25">
            <w:pPr>
              <w:pStyle w:val="naisc"/>
              <w:spacing w:before="0" w:after="0"/>
              <w:jc w:val="left"/>
            </w:pPr>
            <w:r w:rsidRPr="0065637A">
              <w:t>Precizēts anotācijas I sadaļas 2. punkts.</w:t>
            </w:r>
          </w:p>
          <w:p w:rsidR="00B83DB0" w:rsidRPr="0065637A" w:rsidRDefault="00B83DB0" w:rsidP="00143C25">
            <w:pPr>
              <w:pStyle w:val="naisc"/>
              <w:spacing w:before="0" w:after="0"/>
              <w:jc w:val="left"/>
            </w:pPr>
          </w:p>
          <w:p w:rsidR="00B83DB0" w:rsidRPr="0065637A" w:rsidRDefault="00B83DB0" w:rsidP="00881DAD">
            <w:pPr>
              <w:pStyle w:val="naisc"/>
              <w:spacing w:before="0" w:after="0"/>
              <w:jc w:val="both"/>
            </w:pPr>
            <w:r w:rsidRPr="0065637A">
              <w:t>2. punkts:</w:t>
            </w:r>
          </w:p>
          <w:p w:rsidR="00B83DB0" w:rsidRPr="0065637A" w:rsidRDefault="00B83DB0" w:rsidP="00881DAD">
            <w:pPr>
              <w:contextualSpacing/>
            </w:pPr>
            <w:r w:rsidRPr="0065637A">
              <w:t>”2. Papildināt būvnormatīvu ar 5.</w:t>
            </w:r>
            <w:r w:rsidRPr="0065637A">
              <w:rPr>
                <w:vertAlign w:val="superscript"/>
              </w:rPr>
              <w:t>1</w:t>
            </w:r>
            <w:r w:rsidRPr="0065637A">
              <w:t> nodaļu šādā redakcijā:</w:t>
            </w:r>
          </w:p>
          <w:p w:rsidR="00B83DB0" w:rsidRPr="00745F2A" w:rsidRDefault="00B83DB0" w:rsidP="00881DAD">
            <w:pPr>
              <w:pStyle w:val="ListParagraph"/>
              <w:spacing w:after="0" w:line="240" w:lineRule="auto"/>
              <w:ind w:left="0"/>
              <w:jc w:val="center"/>
              <w:rPr>
                <w:rFonts w:ascii="Times New Roman" w:hAnsi="Times New Roman"/>
                <w:sz w:val="24"/>
                <w:szCs w:val="24"/>
                <w:lang w:val="lv-LV"/>
              </w:rPr>
            </w:pPr>
            <w:r w:rsidRPr="00734143">
              <w:rPr>
                <w:rFonts w:ascii="Times New Roman" w:hAnsi="Times New Roman"/>
                <w:sz w:val="24"/>
                <w:szCs w:val="24"/>
                <w:lang w:val="lv-LV"/>
              </w:rPr>
              <w:t>“</w:t>
            </w:r>
            <w:r w:rsidRPr="00734143">
              <w:rPr>
                <w:rFonts w:ascii="Times New Roman" w:hAnsi="Times New Roman"/>
                <w:b/>
                <w:bCs/>
                <w:sz w:val="24"/>
                <w:szCs w:val="24"/>
                <w:lang w:val="lv-LV"/>
              </w:rPr>
              <w:t>5.</w:t>
            </w:r>
            <w:r w:rsidRPr="00734143">
              <w:rPr>
                <w:rFonts w:ascii="Times New Roman" w:hAnsi="Times New Roman"/>
                <w:b/>
                <w:bCs/>
                <w:sz w:val="24"/>
                <w:szCs w:val="24"/>
                <w:vertAlign w:val="superscript"/>
                <w:lang w:val="lv-LV"/>
              </w:rPr>
              <w:t xml:space="preserve">1 </w:t>
            </w:r>
            <w:r w:rsidRPr="00734143">
              <w:rPr>
                <w:rFonts w:ascii="Times New Roman" w:hAnsi="Times New Roman"/>
                <w:b/>
                <w:bCs/>
                <w:sz w:val="24"/>
                <w:szCs w:val="24"/>
                <w:lang w:val="lv-LV"/>
              </w:rPr>
              <w:t xml:space="preserve">Prasības </w:t>
            </w:r>
            <w:proofErr w:type="spellStart"/>
            <w:r w:rsidRPr="00734143">
              <w:rPr>
                <w:rFonts w:ascii="Times New Roman" w:hAnsi="Times New Roman"/>
                <w:b/>
                <w:bCs/>
                <w:sz w:val="24"/>
                <w:szCs w:val="24"/>
                <w:lang w:val="lv-LV"/>
              </w:rPr>
              <w:t>elektromobilitātei</w:t>
            </w:r>
            <w:proofErr w:type="spellEnd"/>
          </w:p>
          <w:p w:rsidR="00B83DB0" w:rsidRPr="00745F2A" w:rsidRDefault="00B83DB0" w:rsidP="00881DAD">
            <w:pPr>
              <w:pStyle w:val="ListParagraph"/>
              <w:spacing w:after="0" w:line="240" w:lineRule="auto"/>
              <w:ind w:left="0"/>
              <w:rPr>
                <w:rFonts w:ascii="Times New Roman" w:hAnsi="Times New Roman"/>
                <w:sz w:val="24"/>
                <w:szCs w:val="24"/>
                <w:lang w:val="lv-LV"/>
              </w:rPr>
            </w:pPr>
            <w:r w:rsidRPr="00734143">
              <w:rPr>
                <w:rFonts w:ascii="Times New Roman" w:hAnsi="Times New Roman"/>
                <w:sz w:val="24"/>
                <w:szCs w:val="24"/>
                <w:lang w:val="lv-LV"/>
              </w:rPr>
              <w:t>89.</w:t>
            </w:r>
            <w:r w:rsidRPr="00734143">
              <w:rPr>
                <w:rFonts w:ascii="Times New Roman" w:hAnsi="Times New Roman"/>
                <w:sz w:val="24"/>
                <w:szCs w:val="24"/>
                <w:vertAlign w:val="superscript"/>
                <w:lang w:val="lv-LV"/>
              </w:rPr>
              <w:t>1</w:t>
            </w:r>
            <w:r w:rsidRPr="00734143">
              <w:rPr>
                <w:rFonts w:ascii="Times New Roman" w:hAnsi="Times New Roman"/>
                <w:sz w:val="24"/>
                <w:szCs w:val="24"/>
                <w:lang w:val="lv-LV"/>
              </w:rPr>
              <w:t xml:space="preserve"> Publiskās ēkās ar vairāk kā 10 autostāvvietām paredz vismaz vienu </w:t>
            </w:r>
            <w:proofErr w:type="spellStart"/>
            <w:r w:rsidRPr="00734143">
              <w:rPr>
                <w:rFonts w:ascii="Times New Roman" w:hAnsi="Times New Roman"/>
                <w:sz w:val="24"/>
                <w:szCs w:val="24"/>
                <w:lang w:val="lv-LV"/>
              </w:rPr>
              <w:t>elektrotransportlīdzekļu</w:t>
            </w:r>
            <w:proofErr w:type="spellEnd"/>
            <w:r w:rsidRPr="00734143">
              <w:rPr>
                <w:rFonts w:ascii="Times New Roman" w:hAnsi="Times New Roman"/>
                <w:sz w:val="24"/>
                <w:szCs w:val="24"/>
                <w:lang w:val="lv-LV"/>
              </w:rPr>
              <w:t xml:space="preserve"> uzlādes punktu, kā arī katrai </w:t>
            </w:r>
            <w:r w:rsidRPr="00734143">
              <w:rPr>
                <w:rFonts w:ascii="Times New Roman" w:hAnsi="Times New Roman"/>
                <w:sz w:val="24"/>
                <w:szCs w:val="24"/>
                <w:lang w:val="lv-LV"/>
              </w:rPr>
              <w:lastRenderedPageBreak/>
              <w:t xml:space="preserve">piektajai autostāvvietai paredz kanālus elektrības kabeļiem, lai nepieciešamības gadījumā varētu ierīkot </w:t>
            </w:r>
            <w:proofErr w:type="spellStart"/>
            <w:r w:rsidRPr="00734143">
              <w:rPr>
                <w:rFonts w:ascii="Times New Roman" w:hAnsi="Times New Roman"/>
                <w:sz w:val="24"/>
                <w:szCs w:val="24"/>
                <w:lang w:val="lv-LV"/>
              </w:rPr>
              <w:t>elektrotransportlīdzekļu</w:t>
            </w:r>
            <w:proofErr w:type="spellEnd"/>
            <w:r w:rsidRPr="00734143">
              <w:rPr>
                <w:rFonts w:ascii="Times New Roman" w:hAnsi="Times New Roman"/>
                <w:sz w:val="24"/>
                <w:szCs w:val="24"/>
                <w:lang w:val="lv-LV"/>
              </w:rPr>
              <w:t xml:space="preserve"> uzlādes punktus. Šīs prasības piemēro arī ar publisko ēku funkcionāli saistītu, bet ārpus šīs ēkas esošu autostāvvietu projektēšanai.</w:t>
            </w:r>
          </w:p>
          <w:p w:rsidR="00B83DB0" w:rsidRPr="0065637A" w:rsidRDefault="00B83DB0" w:rsidP="0065637A">
            <w:pPr>
              <w:pStyle w:val="naisc"/>
              <w:spacing w:before="0" w:after="0"/>
              <w:jc w:val="both"/>
            </w:pPr>
            <w:r w:rsidRPr="0065637A">
              <w:t>89.</w:t>
            </w:r>
            <w:r w:rsidRPr="0065637A">
              <w:rPr>
                <w:vertAlign w:val="superscript"/>
              </w:rPr>
              <w:t>2</w:t>
            </w:r>
            <w:r w:rsidRPr="0065637A">
              <w:t xml:space="preserve"> Pārbūves gadījumā šī būvnormatīva 89.</w:t>
            </w:r>
            <w:r w:rsidRPr="0065637A">
              <w:rPr>
                <w:vertAlign w:val="superscript"/>
              </w:rPr>
              <w:t>1</w:t>
            </w:r>
            <w:r w:rsidRPr="0065637A">
              <w:t> punkta prasības piemēro attiecībā uz pārbūvējamo daļu, ja šī daļa ir paredzēta autostāvvietām.</w:t>
            </w:r>
            <w:r w:rsidRPr="0065637A">
              <w:rPr>
                <w:rStyle w:val="normaltextrun"/>
              </w:rPr>
              <w:t>”</w:t>
            </w:r>
            <w:r w:rsidRPr="0065637A">
              <w:t>”</w:t>
            </w:r>
          </w:p>
        </w:tc>
      </w:tr>
      <w:tr w:rsidR="00B83DB0" w:rsidRPr="00712B66" w:rsidTr="00F10DF3">
        <w:tc>
          <w:tcPr>
            <w:tcW w:w="708" w:type="dxa"/>
            <w:tcBorders>
              <w:left w:val="single" w:sz="6" w:space="0" w:color="000000"/>
              <w:bottom w:val="single" w:sz="4" w:space="0" w:color="auto"/>
              <w:right w:val="single" w:sz="6" w:space="0" w:color="000000"/>
            </w:tcBorders>
          </w:tcPr>
          <w:p w:rsidR="00B83DB0" w:rsidRDefault="00C54458" w:rsidP="00927F4B">
            <w:pPr>
              <w:pStyle w:val="naisc"/>
              <w:spacing w:before="0" w:after="0"/>
            </w:pPr>
            <w:r>
              <w:lastRenderedPageBreak/>
              <w:t>5</w:t>
            </w:r>
            <w:r w:rsidR="00B83DB0">
              <w:t>.</w:t>
            </w:r>
          </w:p>
        </w:tc>
        <w:tc>
          <w:tcPr>
            <w:tcW w:w="3086" w:type="dxa"/>
            <w:gridSpan w:val="2"/>
            <w:tcBorders>
              <w:left w:val="single" w:sz="6" w:space="0" w:color="000000"/>
              <w:bottom w:val="single" w:sz="4" w:space="0" w:color="auto"/>
              <w:right w:val="single" w:sz="6" w:space="0" w:color="000000"/>
            </w:tcBorders>
          </w:tcPr>
          <w:p w:rsidR="00B83DB0" w:rsidRDefault="00B83DB0" w:rsidP="004746DB">
            <w:pPr>
              <w:pStyle w:val="naisc"/>
              <w:spacing w:before="0" w:after="0"/>
              <w:jc w:val="both"/>
            </w:pPr>
            <w:r>
              <w:t>2. punkts:</w:t>
            </w:r>
          </w:p>
          <w:p w:rsidR="00B83DB0" w:rsidRPr="001D2FBC" w:rsidRDefault="00B83DB0" w:rsidP="004746DB">
            <w:pPr>
              <w:contextualSpacing/>
            </w:pPr>
            <w:r>
              <w:t>”2. </w:t>
            </w:r>
            <w:r w:rsidRPr="001D2FBC">
              <w:t>Papildināt būvnormatīvu ar 5.</w:t>
            </w:r>
            <w:r w:rsidRPr="001D2FBC">
              <w:rPr>
                <w:vertAlign w:val="superscript"/>
              </w:rPr>
              <w:t>1</w:t>
            </w:r>
            <w:r>
              <w:t> nodaļ</w:t>
            </w:r>
            <w:r w:rsidRPr="001D2FBC">
              <w:t>u šādā redakcijā:</w:t>
            </w:r>
          </w:p>
          <w:p w:rsidR="00B83DB0" w:rsidRPr="00745F2A" w:rsidRDefault="00B83DB0" w:rsidP="004746DB">
            <w:pPr>
              <w:pStyle w:val="ListParagraph"/>
              <w:spacing w:after="0" w:line="240" w:lineRule="auto"/>
              <w:ind w:left="0"/>
              <w:rPr>
                <w:rFonts w:ascii="Times New Roman" w:hAnsi="Times New Roman"/>
                <w:sz w:val="24"/>
                <w:szCs w:val="24"/>
                <w:lang w:val="lv-LV"/>
              </w:rPr>
            </w:pPr>
            <w:r w:rsidRPr="00D83699">
              <w:rPr>
                <w:rFonts w:ascii="Times New Roman" w:hAnsi="Times New Roman"/>
                <w:sz w:val="24"/>
                <w:szCs w:val="24"/>
                <w:lang w:val="lv-LV"/>
              </w:rPr>
              <w:t>“</w:t>
            </w:r>
            <w:r w:rsidRPr="00D83699">
              <w:rPr>
                <w:rFonts w:ascii="Times New Roman" w:hAnsi="Times New Roman"/>
                <w:b/>
                <w:bCs/>
                <w:sz w:val="24"/>
                <w:szCs w:val="24"/>
                <w:lang w:val="lv-LV"/>
              </w:rPr>
              <w:t>5.</w:t>
            </w:r>
            <w:r w:rsidRPr="00D83699">
              <w:rPr>
                <w:rFonts w:ascii="Times New Roman" w:hAnsi="Times New Roman"/>
                <w:b/>
                <w:bCs/>
                <w:sz w:val="24"/>
                <w:szCs w:val="24"/>
                <w:vertAlign w:val="superscript"/>
                <w:lang w:val="lv-LV"/>
              </w:rPr>
              <w:t>1</w:t>
            </w:r>
            <w:r w:rsidRPr="00D83699">
              <w:rPr>
                <w:rFonts w:ascii="Times New Roman" w:hAnsi="Times New Roman"/>
                <w:b/>
                <w:bCs/>
                <w:sz w:val="24"/>
                <w:szCs w:val="24"/>
                <w:lang w:val="lv-LV"/>
              </w:rPr>
              <w:t xml:space="preserve"> Prasības </w:t>
            </w:r>
            <w:proofErr w:type="spellStart"/>
            <w:r w:rsidRPr="00D83699">
              <w:rPr>
                <w:rFonts w:ascii="Times New Roman" w:hAnsi="Times New Roman"/>
                <w:b/>
                <w:bCs/>
                <w:sz w:val="24"/>
                <w:szCs w:val="24"/>
                <w:lang w:val="lv-LV"/>
              </w:rPr>
              <w:t>elektromobilitātei</w:t>
            </w:r>
            <w:proofErr w:type="spellEnd"/>
          </w:p>
          <w:p w:rsidR="00B83DB0" w:rsidRPr="00745F2A" w:rsidRDefault="00B83DB0" w:rsidP="004746DB">
            <w:pPr>
              <w:pStyle w:val="ListParagraph"/>
              <w:spacing w:after="0" w:line="240" w:lineRule="auto"/>
              <w:ind w:left="0"/>
              <w:rPr>
                <w:rFonts w:ascii="Times New Roman" w:hAnsi="Times New Roman"/>
                <w:sz w:val="24"/>
                <w:szCs w:val="24"/>
                <w:lang w:val="lv-LV"/>
              </w:rPr>
            </w:pPr>
            <w:r w:rsidRPr="00D83699">
              <w:rPr>
                <w:rFonts w:ascii="Times New Roman" w:hAnsi="Times New Roman"/>
                <w:sz w:val="24"/>
                <w:szCs w:val="24"/>
                <w:lang w:val="lv-LV"/>
              </w:rPr>
              <w:lastRenderedPageBreak/>
              <w:t>89.</w:t>
            </w:r>
            <w:r w:rsidRPr="00D83699">
              <w:rPr>
                <w:rFonts w:ascii="Times New Roman" w:hAnsi="Times New Roman"/>
                <w:sz w:val="24"/>
                <w:szCs w:val="24"/>
                <w:vertAlign w:val="superscript"/>
                <w:lang w:val="lv-LV"/>
              </w:rPr>
              <w:t>1</w:t>
            </w:r>
            <w:r w:rsidRPr="00D83699">
              <w:rPr>
                <w:rFonts w:ascii="Times New Roman" w:hAnsi="Times New Roman"/>
                <w:sz w:val="24"/>
                <w:szCs w:val="24"/>
                <w:lang w:val="lv-LV"/>
              </w:rPr>
              <w:t xml:space="preserve"> Publiskās ēkās ar vairāk kā 10 autostāvvietām paredz vismaz vienu </w:t>
            </w:r>
            <w:proofErr w:type="spellStart"/>
            <w:r w:rsidRPr="00D83699">
              <w:rPr>
                <w:rFonts w:ascii="Times New Roman" w:hAnsi="Times New Roman"/>
                <w:sz w:val="24"/>
                <w:szCs w:val="24"/>
                <w:lang w:val="lv-LV"/>
              </w:rPr>
              <w:t>elektrotransportlīdzekļu</w:t>
            </w:r>
            <w:proofErr w:type="spellEnd"/>
            <w:r w:rsidRPr="00D83699">
              <w:rPr>
                <w:rFonts w:ascii="Times New Roman" w:hAnsi="Times New Roman"/>
                <w:sz w:val="24"/>
                <w:szCs w:val="24"/>
                <w:lang w:val="lv-LV"/>
              </w:rPr>
              <w:t xml:space="preserve"> uzlādes punktu. Katrai piektajai automašīnu stāvvietai paredz kanālus elektrības kabeļiem, lai nepieciešamības gadījumā varētu ierīkot </w:t>
            </w:r>
            <w:proofErr w:type="spellStart"/>
            <w:r w:rsidRPr="00D83699">
              <w:rPr>
                <w:rFonts w:ascii="Times New Roman" w:hAnsi="Times New Roman"/>
                <w:sz w:val="24"/>
                <w:szCs w:val="24"/>
                <w:lang w:val="lv-LV"/>
              </w:rPr>
              <w:t>elektrotransportlīdzekļu</w:t>
            </w:r>
            <w:proofErr w:type="spellEnd"/>
            <w:r w:rsidRPr="00D83699">
              <w:rPr>
                <w:rFonts w:ascii="Times New Roman" w:hAnsi="Times New Roman"/>
                <w:sz w:val="24"/>
                <w:szCs w:val="24"/>
                <w:lang w:val="lv-LV"/>
              </w:rPr>
              <w:t xml:space="preserve"> uzlādes punktus. Šīs prasības piemēro arī ar publisko ēku funkcionāli saistītu, bet ārpus šīs ēkas esošu stāvvietu projektēšanai.</w:t>
            </w:r>
          </w:p>
          <w:p w:rsidR="00B83DB0" w:rsidRPr="006E497C" w:rsidRDefault="00B83DB0" w:rsidP="004746DB">
            <w:pPr>
              <w:pStyle w:val="naisc"/>
              <w:spacing w:before="0" w:after="0"/>
              <w:jc w:val="both"/>
            </w:pPr>
            <w:r w:rsidRPr="00D72DBA">
              <w:t>89.</w:t>
            </w:r>
            <w:r w:rsidRPr="00D72DBA">
              <w:rPr>
                <w:vertAlign w:val="superscript"/>
              </w:rPr>
              <w:t>2</w:t>
            </w:r>
            <w:r w:rsidRPr="00D72DBA">
              <w:t xml:space="preserve"> </w:t>
            </w:r>
            <w:r>
              <w:t xml:space="preserve">Pārbūves gadījumā </w:t>
            </w:r>
            <w:r w:rsidRPr="00D72DBA">
              <w:t>šī būvnormatīva 89.</w:t>
            </w:r>
            <w:r w:rsidRPr="00D72DBA">
              <w:rPr>
                <w:vertAlign w:val="superscript"/>
              </w:rPr>
              <w:t>1</w:t>
            </w:r>
            <w:r>
              <w:t> </w:t>
            </w:r>
            <w:r w:rsidRPr="00D72DBA">
              <w:t>punkta prasības piemēro</w:t>
            </w:r>
            <w:r>
              <w:t xml:space="preserve"> attiecībā uz pārbūvējamo daļu, ja šī daļa ir paredzēta automašīnu stāvvietām.</w:t>
            </w:r>
            <w:r w:rsidRPr="00D72DBA">
              <w:rPr>
                <w:rStyle w:val="normaltextrun"/>
              </w:rPr>
              <w:t>”</w:t>
            </w:r>
            <w:r>
              <w:t>”</w:t>
            </w:r>
          </w:p>
        </w:tc>
        <w:tc>
          <w:tcPr>
            <w:tcW w:w="4394" w:type="dxa"/>
            <w:tcBorders>
              <w:left w:val="single" w:sz="6" w:space="0" w:color="000000"/>
              <w:bottom w:val="single" w:sz="4" w:space="0" w:color="auto"/>
              <w:right w:val="single" w:sz="6" w:space="0" w:color="000000"/>
            </w:tcBorders>
          </w:tcPr>
          <w:p w:rsidR="00B83DB0" w:rsidRPr="000958C6" w:rsidRDefault="00B83DB0" w:rsidP="006461AC">
            <w:pPr>
              <w:pStyle w:val="naisc"/>
              <w:spacing w:before="0" w:after="0"/>
              <w:jc w:val="both"/>
              <w:rPr>
                <w:b/>
                <w:bCs/>
              </w:rPr>
            </w:pPr>
            <w:r w:rsidRPr="000958C6">
              <w:rPr>
                <w:b/>
                <w:bCs/>
              </w:rPr>
              <w:lastRenderedPageBreak/>
              <w:t>Tieslietu ministrija</w:t>
            </w:r>
          </w:p>
          <w:p w:rsidR="00B83DB0" w:rsidRPr="000958C6" w:rsidRDefault="00B83DB0" w:rsidP="006461AC">
            <w:pPr>
              <w:pStyle w:val="naisc"/>
              <w:spacing w:before="0" w:after="0"/>
              <w:jc w:val="both"/>
              <w:rPr>
                <w:b/>
                <w:bCs/>
              </w:rPr>
            </w:pPr>
            <w:r w:rsidRPr="000958C6">
              <w:t xml:space="preserve">Lūdzam izvērtēt un sniegt skaidrojumu, vai ar noteikumu projektu ir korekti pārņemtas Eiropas Parlamenta un Padomes 2018. gada 30. maija Direktīvas (ES) </w:t>
            </w:r>
            <w:r w:rsidRPr="000958C6">
              <w:lastRenderedPageBreak/>
              <w:t>2018/844, ar ko groza Direktīvu 2010/31/ES par ēku energoefektivitāti un Direktīvu 2012/27/ES par energoefektivitāti (turpmāk – direktīva Nr. 2018/844) prasības. Proti, vēršam uzmanību, ka direktīvas Nr. 2018/844 1. panta 5. punktā izteiktajā Eiropas Parlamenta un Padomes 2010. gada 19. maija Direktīvas 2010/31/ES par ēku energoefektivitāti 8. panta 2. punktā lietoti jēdzieni "stāvvieta" ("</w:t>
            </w:r>
            <w:proofErr w:type="spellStart"/>
            <w:r w:rsidRPr="000958C6">
              <w:t>parking</w:t>
            </w:r>
            <w:proofErr w:type="spellEnd"/>
            <w:r w:rsidRPr="000958C6">
              <w:t xml:space="preserve"> </w:t>
            </w:r>
            <w:proofErr w:type="spellStart"/>
            <w:r w:rsidRPr="000958C6">
              <w:t>space</w:t>
            </w:r>
            <w:proofErr w:type="spellEnd"/>
            <w:r w:rsidRPr="000958C6">
              <w:t>") un "automašīnu stāvvieta" ("</w:t>
            </w:r>
            <w:proofErr w:type="spellStart"/>
            <w:r w:rsidRPr="000958C6">
              <w:t>car</w:t>
            </w:r>
            <w:proofErr w:type="spellEnd"/>
            <w:r w:rsidRPr="000958C6">
              <w:t xml:space="preserve"> </w:t>
            </w:r>
            <w:proofErr w:type="spellStart"/>
            <w:r w:rsidRPr="000958C6">
              <w:t>park</w:t>
            </w:r>
            <w:proofErr w:type="spellEnd"/>
            <w:r w:rsidRPr="000958C6">
              <w:t>"), kamēr noteikumu projektā lietoti jēdzieni "autostāvvieta", "automašīnu stāvvieta" un "stāvvieta" (noteikumu projekta 2. punktā izteiktais Latvijas būvnormatīva LBN 208-15 "Publiskas būves" 89.</w:t>
            </w:r>
            <w:r w:rsidRPr="000958C6">
              <w:rPr>
                <w:vertAlign w:val="superscript"/>
              </w:rPr>
              <w:t>1</w:t>
            </w:r>
            <w:r w:rsidRPr="000958C6">
              <w:t> punkts (turpmāk – būvnormatīvs), automašīnu stāvvieta – 89.</w:t>
            </w:r>
            <w:r w:rsidRPr="000958C6">
              <w:rPr>
                <w:vertAlign w:val="superscript"/>
              </w:rPr>
              <w:t>2</w:t>
            </w:r>
            <w:r w:rsidRPr="000958C6">
              <w:t> punkts), turklāt, piemēram, būvnormatīva 89.</w:t>
            </w:r>
            <w:r w:rsidRPr="000958C6">
              <w:rPr>
                <w:vertAlign w:val="superscript"/>
              </w:rPr>
              <w:t>1</w:t>
            </w:r>
            <w:r w:rsidRPr="000958C6">
              <w:t> punkta pirmajos divos teikumos paredzēts lietot jēdzienus "autostāvvieta" un "automašīnu stāvvieta", kaut gan direktīvā Nr. 2018/844 iepretim minētajam attiecīgos nosacījumos lietots vienots apzīmējums – "stāvvieta". Nepieciešamības gadījumā lūdzam precizēt noteikumu projektu. Norādām, ka viena jēdziena izteikšanai normatīvos aktos jāizmanto vieni un tie paši termini. Iekšējā terminoloģiskā konsekvence nodrošina normatīvā akta skaidrību, novēršot pretrunīgus viedokļus vai šaubas par dažādu terminu saturu.</w:t>
            </w:r>
          </w:p>
        </w:tc>
        <w:tc>
          <w:tcPr>
            <w:tcW w:w="3119" w:type="dxa"/>
            <w:gridSpan w:val="2"/>
            <w:tcBorders>
              <w:left w:val="single" w:sz="6" w:space="0" w:color="000000"/>
              <w:bottom w:val="single" w:sz="4" w:space="0" w:color="auto"/>
              <w:right w:val="single" w:sz="6" w:space="0" w:color="000000"/>
            </w:tcBorders>
          </w:tcPr>
          <w:p w:rsidR="00B83DB0" w:rsidRPr="00156AD6" w:rsidRDefault="00B83DB0" w:rsidP="00A746A6">
            <w:pPr>
              <w:pStyle w:val="naisc"/>
              <w:spacing w:before="0" w:after="0"/>
              <w:rPr>
                <w:b/>
              </w:rPr>
            </w:pPr>
            <w:r w:rsidRPr="00156AD6">
              <w:rPr>
                <w:b/>
              </w:rPr>
              <w:lastRenderedPageBreak/>
              <w:t>Ņemts vērā.</w:t>
            </w:r>
          </w:p>
          <w:p w:rsidR="00B83DB0" w:rsidRPr="000958C6" w:rsidRDefault="00B83DB0" w:rsidP="00A746A6">
            <w:pPr>
              <w:pStyle w:val="naisc"/>
              <w:spacing w:before="0" w:after="0"/>
              <w:rPr>
                <w:b/>
                <w:highlight w:val="yellow"/>
              </w:rPr>
            </w:pPr>
          </w:p>
        </w:tc>
        <w:tc>
          <w:tcPr>
            <w:tcW w:w="3118" w:type="dxa"/>
            <w:tcBorders>
              <w:top w:val="single" w:sz="4" w:space="0" w:color="auto"/>
              <w:left w:val="single" w:sz="4" w:space="0" w:color="auto"/>
              <w:bottom w:val="single" w:sz="4" w:space="0" w:color="auto"/>
            </w:tcBorders>
          </w:tcPr>
          <w:p w:rsidR="00B83DB0" w:rsidRPr="0065637A" w:rsidRDefault="00B83DB0" w:rsidP="00881DAD">
            <w:pPr>
              <w:pStyle w:val="naisc"/>
              <w:spacing w:before="0" w:after="0"/>
              <w:jc w:val="both"/>
            </w:pPr>
            <w:r w:rsidRPr="0065637A">
              <w:t>2. punkts:</w:t>
            </w:r>
          </w:p>
          <w:p w:rsidR="00B83DB0" w:rsidRPr="0065637A" w:rsidRDefault="00B83DB0" w:rsidP="00881DAD">
            <w:pPr>
              <w:contextualSpacing/>
            </w:pPr>
            <w:r w:rsidRPr="0065637A">
              <w:t>”2. Papildināt būvnormatīvu ar 5.</w:t>
            </w:r>
            <w:r w:rsidRPr="0065637A">
              <w:rPr>
                <w:vertAlign w:val="superscript"/>
              </w:rPr>
              <w:t>1</w:t>
            </w:r>
            <w:r w:rsidRPr="0065637A">
              <w:t> nodaļu šādā redakcijā:</w:t>
            </w:r>
          </w:p>
          <w:p w:rsidR="00B83DB0" w:rsidRPr="00745F2A" w:rsidRDefault="00B83DB0" w:rsidP="00881DAD">
            <w:pPr>
              <w:pStyle w:val="ListParagraph"/>
              <w:spacing w:after="0" w:line="240" w:lineRule="auto"/>
              <w:ind w:left="0"/>
              <w:jc w:val="center"/>
              <w:rPr>
                <w:rFonts w:ascii="Times New Roman" w:hAnsi="Times New Roman"/>
                <w:sz w:val="24"/>
                <w:szCs w:val="24"/>
                <w:lang w:val="lv-LV"/>
              </w:rPr>
            </w:pPr>
            <w:r w:rsidRPr="00734143">
              <w:rPr>
                <w:rFonts w:ascii="Times New Roman" w:hAnsi="Times New Roman"/>
                <w:sz w:val="24"/>
                <w:szCs w:val="24"/>
                <w:lang w:val="lv-LV"/>
              </w:rPr>
              <w:t>“</w:t>
            </w:r>
            <w:r w:rsidRPr="00734143">
              <w:rPr>
                <w:rFonts w:ascii="Times New Roman" w:hAnsi="Times New Roman"/>
                <w:b/>
                <w:bCs/>
                <w:sz w:val="24"/>
                <w:szCs w:val="24"/>
                <w:lang w:val="lv-LV"/>
              </w:rPr>
              <w:t>5.</w:t>
            </w:r>
            <w:r w:rsidRPr="00734143">
              <w:rPr>
                <w:rFonts w:ascii="Times New Roman" w:hAnsi="Times New Roman"/>
                <w:b/>
                <w:bCs/>
                <w:sz w:val="24"/>
                <w:szCs w:val="24"/>
                <w:vertAlign w:val="superscript"/>
                <w:lang w:val="lv-LV"/>
              </w:rPr>
              <w:t xml:space="preserve">1 </w:t>
            </w:r>
            <w:r w:rsidRPr="00734143">
              <w:rPr>
                <w:rFonts w:ascii="Times New Roman" w:hAnsi="Times New Roman"/>
                <w:b/>
                <w:bCs/>
                <w:sz w:val="24"/>
                <w:szCs w:val="24"/>
                <w:lang w:val="lv-LV"/>
              </w:rPr>
              <w:t xml:space="preserve">Prasības </w:t>
            </w:r>
            <w:proofErr w:type="spellStart"/>
            <w:r w:rsidRPr="00734143">
              <w:rPr>
                <w:rFonts w:ascii="Times New Roman" w:hAnsi="Times New Roman"/>
                <w:b/>
                <w:bCs/>
                <w:sz w:val="24"/>
                <w:szCs w:val="24"/>
                <w:lang w:val="lv-LV"/>
              </w:rPr>
              <w:t>elektromobilitātei</w:t>
            </w:r>
            <w:proofErr w:type="spellEnd"/>
          </w:p>
          <w:p w:rsidR="00B83DB0" w:rsidRPr="00745F2A" w:rsidRDefault="00B83DB0" w:rsidP="00881DAD">
            <w:pPr>
              <w:pStyle w:val="ListParagraph"/>
              <w:spacing w:after="0" w:line="240" w:lineRule="auto"/>
              <w:ind w:left="0"/>
              <w:rPr>
                <w:rFonts w:ascii="Times New Roman" w:hAnsi="Times New Roman"/>
                <w:sz w:val="24"/>
                <w:szCs w:val="24"/>
                <w:lang w:val="lv-LV"/>
              </w:rPr>
            </w:pPr>
            <w:r w:rsidRPr="00734143">
              <w:rPr>
                <w:rFonts w:ascii="Times New Roman" w:hAnsi="Times New Roman"/>
                <w:sz w:val="24"/>
                <w:szCs w:val="24"/>
                <w:lang w:val="lv-LV"/>
              </w:rPr>
              <w:lastRenderedPageBreak/>
              <w:t>89.</w:t>
            </w:r>
            <w:r w:rsidRPr="00734143">
              <w:rPr>
                <w:rFonts w:ascii="Times New Roman" w:hAnsi="Times New Roman"/>
                <w:sz w:val="24"/>
                <w:szCs w:val="24"/>
                <w:vertAlign w:val="superscript"/>
                <w:lang w:val="lv-LV"/>
              </w:rPr>
              <w:t>1</w:t>
            </w:r>
            <w:r w:rsidRPr="00734143">
              <w:rPr>
                <w:rFonts w:ascii="Times New Roman" w:hAnsi="Times New Roman"/>
                <w:sz w:val="24"/>
                <w:szCs w:val="24"/>
                <w:lang w:val="lv-LV"/>
              </w:rPr>
              <w:t xml:space="preserve"> Publiskās ēkās ar vairāk kā 10 autostāvvietām paredz vismaz vienu </w:t>
            </w:r>
            <w:proofErr w:type="spellStart"/>
            <w:r w:rsidRPr="00734143">
              <w:rPr>
                <w:rFonts w:ascii="Times New Roman" w:hAnsi="Times New Roman"/>
                <w:sz w:val="24"/>
                <w:szCs w:val="24"/>
                <w:lang w:val="lv-LV"/>
              </w:rPr>
              <w:t>elektrotransportlīdzekļu</w:t>
            </w:r>
            <w:proofErr w:type="spellEnd"/>
            <w:r w:rsidRPr="00734143">
              <w:rPr>
                <w:rFonts w:ascii="Times New Roman" w:hAnsi="Times New Roman"/>
                <w:sz w:val="24"/>
                <w:szCs w:val="24"/>
                <w:lang w:val="lv-LV"/>
              </w:rPr>
              <w:t xml:space="preserve"> uzlādes punktu, kā arī katrai piektajai autostāvvietai paredz kanālus elektrības kabeļiem, lai nepieciešamības gadījumā varētu ierīkot </w:t>
            </w:r>
            <w:proofErr w:type="spellStart"/>
            <w:r w:rsidRPr="00734143">
              <w:rPr>
                <w:rFonts w:ascii="Times New Roman" w:hAnsi="Times New Roman"/>
                <w:sz w:val="24"/>
                <w:szCs w:val="24"/>
                <w:lang w:val="lv-LV"/>
              </w:rPr>
              <w:t>elektrotransportlīdzekļu</w:t>
            </w:r>
            <w:proofErr w:type="spellEnd"/>
            <w:r w:rsidRPr="00734143">
              <w:rPr>
                <w:rFonts w:ascii="Times New Roman" w:hAnsi="Times New Roman"/>
                <w:sz w:val="24"/>
                <w:szCs w:val="24"/>
                <w:lang w:val="lv-LV"/>
              </w:rPr>
              <w:t xml:space="preserve"> uzlādes punktus. Šīs prasības piemēro arī ar publisko ēku funkcionāli saistītu, bet ārpus šīs ēkas esošu autostāvvietu projektēšanai.</w:t>
            </w:r>
          </w:p>
          <w:p w:rsidR="00B83DB0" w:rsidRPr="0065637A" w:rsidRDefault="00B83DB0" w:rsidP="0065637A">
            <w:pPr>
              <w:pStyle w:val="naisc"/>
              <w:spacing w:before="0" w:after="0"/>
              <w:jc w:val="both"/>
            </w:pPr>
            <w:r w:rsidRPr="0065637A">
              <w:t>89.</w:t>
            </w:r>
            <w:r w:rsidRPr="0065637A">
              <w:rPr>
                <w:vertAlign w:val="superscript"/>
              </w:rPr>
              <w:t>2</w:t>
            </w:r>
            <w:r w:rsidRPr="0065637A">
              <w:t xml:space="preserve"> Pārbūves gadījumā šī būvnormatīva 89.</w:t>
            </w:r>
            <w:r w:rsidRPr="0065637A">
              <w:rPr>
                <w:vertAlign w:val="superscript"/>
              </w:rPr>
              <w:t>1</w:t>
            </w:r>
            <w:r w:rsidRPr="0065637A">
              <w:t> punkta prasības piemēro attiecībā uz pārbūvējamo daļu, ja šī daļa ir paredzēta autostāvvietām.</w:t>
            </w:r>
            <w:r w:rsidRPr="0065637A">
              <w:rPr>
                <w:rStyle w:val="normaltextrun"/>
              </w:rPr>
              <w:t>”</w:t>
            </w:r>
            <w:r w:rsidRPr="0065637A">
              <w:t>”</w:t>
            </w:r>
          </w:p>
        </w:tc>
      </w:tr>
      <w:tr w:rsidR="00B83DB0" w:rsidRPr="00712B66" w:rsidTr="00F10DF3">
        <w:tc>
          <w:tcPr>
            <w:tcW w:w="708" w:type="dxa"/>
            <w:tcBorders>
              <w:left w:val="single" w:sz="6" w:space="0" w:color="000000"/>
              <w:bottom w:val="single" w:sz="4" w:space="0" w:color="auto"/>
              <w:right w:val="single" w:sz="6" w:space="0" w:color="000000"/>
            </w:tcBorders>
          </w:tcPr>
          <w:p w:rsidR="00B83DB0" w:rsidRDefault="00C54458" w:rsidP="00927F4B">
            <w:pPr>
              <w:pStyle w:val="naisc"/>
              <w:spacing w:before="0" w:after="0"/>
            </w:pPr>
            <w:r>
              <w:lastRenderedPageBreak/>
              <w:t>6</w:t>
            </w:r>
            <w:r w:rsidR="00B83DB0">
              <w:t>.</w:t>
            </w:r>
          </w:p>
        </w:tc>
        <w:tc>
          <w:tcPr>
            <w:tcW w:w="3086" w:type="dxa"/>
            <w:gridSpan w:val="2"/>
            <w:tcBorders>
              <w:left w:val="single" w:sz="6" w:space="0" w:color="000000"/>
              <w:bottom w:val="single" w:sz="4" w:space="0" w:color="auto"/>
              <w:right w:val="single" w:sz="6" w:space="0" w:color="000000"/>
            </w:tcBorders>
          </w:tcPr>
          <w:p w:rsidR="00B83DB0" w:rsidRDefault="00B83DB0" w:rsidP="00F7404A">
            <w:pPr>
              <w:pStyle w:val="naisc"/>
              <w:spacing w:before="0" w:after="0"/>
              <w:jc w:val="left"/>
            </w:pPr>
            <w:r>
              <w:t>Anotācijas I sadaļas 2. punkts</w:t>
            </w:r>
          </w:p>
        </w:tc>
        <w:tc>
          <w:tcPr>
            <w:tcW w:w="4394" w:type="dxa"/>
            <w:tcBorders>
              <w:left w:val="single" w:sz="6" w:space="0" w:color="000000"/>
              <w:bottom w:val="single" w:sz="4" w:space="0" w:color="auto"/>
              <w:right w:val="single" w:sz="6" w:space="0" w:color="000000"/>
            </w:tcBorders>
          </w:tcPr>
          <w:p w:rsidR="00B83DB0" w:rsidRDefault="00B83DB0" w:rsidP="006461AC">
            <w:pPr>
              <w:pStyle w:val="naisc"/>
              <w:spacing w:before="0" w:after="0"/>
              <w:jc w:val="both"/>
              <w:rPr>
                <w:b/>
                <w:bCs/>
              </w:rPr>
            </w:pPr>
            <w:r>
              <w:rPr>
                <w:b/>
                <w:bCs/>
              </w:rPr>
              <w:t>Finanšu ministrija (priekšlikums)</w:t>
            </w:r>
          </w:p>
          <w:p w:rsidR="00B83DB0" w:rsidRDefault="00B83DB0" w:rsidP="00FC2777">
            <w:pPr>
              <w:shd w:val="clear" w:color="auto" w:fill="FFFFFF"/>
              <w:rPr>
                <w:rFonts w:ascii="Segoe UI" w:hAnsi="Segoe UI" w:cs="Segoe UI"/>
                <w:color w:val="212121"/>
                <w:sz w:val="23"/>
                <w:szCs w:val="23"/>
              </w:rPr>
            </w:pPr>
            <w:r w:rsidRPr="00E951BC">
              <w:rPr>
                <w:color w:val="212121"/>
                <w:shd w:val="clear" w:color="auto" w:fill="FFFFFF"/>
              </w:rPr>
              <w:t>Latvijas būvnormatīva LBN 208-15 “Publiskas būves”</w:t>
            </w:r>
            <w:r w:rsidRPr="00E951BC">
              <w:rPr>
                <w:color w:val="212121"/>
              </w:rPr>
              <w:t> (turpmāk – Būvnormatīvs),</w:t>
            </w:r>
            <w:r w:rsidRPr="00E951BC">
              <w:rPr>
                <w:color w:val="212121"/>
                <w:shd w:val="clear" w:color="auto" w:fill="FFFFFF"/>
              </w:rPr>
              <w:t> kas apstiprināts ar </w:t>
            </w:r>
            <w:r w:rsidRPr="00E951BC">
              <w:rPr>
                <w:color w:val="212121"/>
              </w:rPr>
              <w:t>Ministru kabineta 2015.gada 30.jūnija noteikumiem Nr.331 “Noteikumi par Latvijas būvnormatīvu LBN 208-15 “Publiskas būves””, </w:t>
            </w:r>
            <w:r w:rsidRPr="00E951BC">
              <w:rPr>
                <w:color w:val="212121"/>
                <w:shd w:val="clear" w:color="auto" w:fill="FFFFFF"/>
              </w:rPr>
              <w:t>2.4.apakšpunkts noteic, ka publiska būve ir ēka, kurā vairāk nekā 50% ēkas kopējās platības ir publiskas telpas vai telpas publiskas funkcijas nodrošināšanai, vai inženierbūve, kura paredzēta publiskai lietošanai (piemēram, estrādes, stadioni)</w:t>
            </w:r>
            <w:r>
              <w:rPr>
                <w:color w:val="212121"/>
                <w:shd w:val="clear" w:color="auto" w:fill="FFFFFF"/>
              </w:rPr>
              <w:t>.</w:t>
            </w:r>
          </w:p>
          <w:p w:rsidR="00B83DB0" w:rsidRDefault="00B83DB0" w:rsidP="00FC2777">
            <w:pPr>
              <w:shd w:val="clear" w:color="auto" w:fill="FFFFFF"/>
              <w:rPr>
                <w:rFonts w:ascii="Segoe UI" w:hAnsi="Segoe UI" w:cs="Segoe UI"/>
                <w:color w:val="212121"/>
                <w:sz w:val="23"/>
                <w:szCs w:val="23"/>
              </w:rPr>
            </w:pPr>
            <w:r w:rsidRPr="00E951BC">
              <w:rPr>
                <w:color w:val="212121"/>
              </w:rPr>
              <w:t>Anotācijas I</w:t>
            </w:r>
            <w:r>
              <w:rPr>
                <w:color w:val="212121"/>
              </w:rPr>
              <w:t xml:space="preserve"> </w:t>
            </w:r>
            <w:r w:rsidRPr="00E951BC">
              <w:rPr>
                <w:color w:val="212121"/>
              </w:rPr>
              <w:t>sadaļas 2.punktā (2.lpp.) ir norādīts, ka </w:t>
            </w:r>
            <w:r w:rsidRPr="00E951BC">
              <w:rPr>
                <w:color w:val="212121"/>
                <w:shd w:val="clear" w:color="auto" w:fill="FFFFFF"/>
              </w:rPr>
              <w:t>saskaņā ar minētā būvnormatīva 2.4.apakšpunktu pie publiskām būvēm pieder ēkas, kurās vairāk nekā 50% ēkas kopējās platības ir publiskas telpas vai telpas publiskas funkcijas nodrošināšanai.</w:t>
            </w:r>
          </w:p>
          <w:p w:rsidR="00B83DB0" w:rsidRDefault="00B83DB0" w:rsidP="00FC2777">
            <w:pPr>
              <w:pStyle w:val="naisc"/>
              <w:spacing w:before="0" w:after="0"/>
              <w:jc w:val="both"/>
              <w:rPr>
                <w:color w:val="212121"/>
                <w:shd w:val="clear" w:color="auto" w:fill="FFFFFF"/>
              </w:rPr>
            </w:pPr>
            <w:r w:rsidRPr="00E951BC">
              <w:rPr>
                <w:color w:val="212121"/>
                <w:shd w:val="clear" w:color="auto" w:fill="FFFFFF"/>
              </w:rPr>
              <w:t>L</w:t>
            </w:r>
            <w:r>
              <w:rPr>
                <w:color w:val="212121"/>
                <w:shd w:val="clear" w:color="auto" w:fill="FFFFFF"/>
              </w:rPr>
              <w:t>ūdzam a</w:t>
            </w:r>
            <w:r w:rsidRPr="00E951BC">
              <w:rPr>
                <w:color w:val="212121"/>
                <w:shd w:val="clear" w:color="auto" w:fill="FFFFFF"/>
              </w:rPr>
              <w:t>notācijas </w:t>
            </w:r>
            <w:r w:rsidRPr="00E951BC">
              <w:rPr>
                <w:color w:val="212121"/>
              </w:rPr>
              <w:t>I</w:t>
            </w:r>
            <w:r>
              <w:rPr>
                <w:color w:val="212121"/>
              </w:rPr>
              <w:t xml:space="preserve"> </w:t>
            </w:r>
            <w:r w:rsidRPr="00E951BC">
              <w:rPr>
                <w:color w:val="212121"/>
              </w:rPr>
              <w:t>sadaļas 2.punktā</w:t>
            </w:r>
            <w:r w:rsidRPr="00E951BC">
              <w:rPr>
                <w:color w:val="212121"/>
                <w:shd w:val="clear" w:color="auto" w:fill="FFFFFF"/>
              </w:rPr>
              <w:t> norādīto informāciju salāgot ar Būvnormatīva 2.4.apakšpunkta redakciju.</w:t>
            </w:r>
          </w:p>
          <w:p w:rsidR="00B83DB0" w:rsidRPr="00584D89" w:rsidRDefault="00B83DB0" w:rsidP="009B2661">
            <w:pPr>
              <w:pStyle w:val="naisc"/>
              <w:spacing w:before="0" w:after="0"/>
              <w:jc w:val="left"/>
              <w:rPr>
                <w:b/>
                <w:bCs/>
              </w:rPr>
            </w:pPr>
            <w:r w:rsidRPr="00584D89">
              <w:rPr>
                <w:b/>
                <w:bCs/>
              </w:rPr>
              <w:t>Latvijas Lielo pilsētu asociācija (priekšlikums)</w:t>
            </w:r>
          </w:p>
          <w:p w:rsidR="00B83DB0" w:rsidRDefault="00B83DB0" w:rsidP="009B2661">
            <w:pPr>
              <w:pStyle w:val="naisc"/>
              <w:spacing w:before="0" w:after="0"/>
              <w:jc w:val="both"/>
              <w:rPr>
                <w:b/>
                <w:bCs/>
              </w:rPr>
            </w:pPr>
            <w:r w:rsidRPr="00D83699">
              <w:t xml:space="preserve">Noteikumu projektā paredzēts sākot ar 10.03.2021. noteikt prasības jaunbūvējamu un pārbūvējamu publisko ēku </w:t>
            </w:r>
            <w:proofErr w:type="spellStart"/>
            <w:r w:rsidRPr="00D83699">
              <w:t>elektromobilitātei</w:t>
            </w:r>
            <w:proofErr w:type="spellEnd"/>
            <w:r w:rsidRPr="00D83699">
              <w:t xml:space="preserve">. Ņemot vērā, ka projektā kā kritērijs jaunu prasību piemērošanai ir norādīts autostāvvietu skaits </w:t>
            </w:r>
            <w:r w:rsidRPr="00D83699">
              <w:rPr>
                <w:i/>
              </w:rPr>
              <w:t xml:space="preserve">(projektu anotācijā norādīts: “[..] ar vairāk kā </w:t>
            </w:r>
            <w:r w:rsidRPr="00D83699">
              <w:rPr>
                <w:i/>
              </w:rPr>
              <w:lastRenderedPageBreak/>
              <w:t xml:space="preserve">desmit autostāvvietām paredz vismaz vienu </w:t>
            </w:r>
            <w:proofErr w:type="spellStart"/>
            <w:r w:rsidRPr="00D83699">
              <w:rPr>
                <w:i/>
              </w:rPr>
              <w:t>elektrotransportlīdzekļu</w:t>
            </w:r>
            <w:proofErr w:type="spellEnd"/>
            <w:r w:rsidRPr="00D83699">
              <w:rPr>
                <w:i/>
              </w:rPr>
              <w:t xml:space="preserve"> uzlādes punktu. Katrai piektajai automašīnu stāvvietai paredz kanālus elektrības kabeļiem, lai nepieciešamības gadījumā varētu ierīkot </w:t>
            </w:r>
            <w:proofErr w:type="spellStart"/>
            <w:r w:rsidRPr="00D83699">
              <w:rPr>
                <w:i/>
              </w:rPr>
              <w:t>elektrotransportlīdzekļu</w:t>
            </w:r>
            <w:proofErr w:type="spellEnd"/>
            <w:r w:rsidRPr="00D83699">
              <w:rPr>
                <w:i/>
              </w:rPr>
              <w:t xml:space="preserve"> uzlādes punktus.”)</w:t>
            </w:r>
            <w:r w:rsidRPr="00D83699">
              <w:t xml:space="preserve">, </w:t>
            </w:r>
            <w:r w:rsidRPr="00D83699">
              <w:rPr>
                <w:u w:val="single"/>
              </w:rPr>
              <w:t>vēršam uzmanība, ka šāds kritērijs var būt aktuāls ne vien ēkām, bet arī inženierbūvēm.</w:t>
            </w:r>
            <w:r w:rsidRPr="00D83699">
              <w:t xml:space="preserve"> Piemēram, atbilstoši Ministru kabineta 19.08.2014. noteikumu Nr. 500 “Vispārīgie būvnoteikumi” 1. pielikumam trešās grupas inženierbūve ir estrāde, atklātais sporta laukums un baseins ar tribīnēm, paredzēts vairāk nekā 100 cilvēkiem. Līdz ar to </w:t>
            </w:r>
            <w:r w:rsidRPr="00D83699">
              <w:rPr>
                <w:b/>
              </w:rPr>
              <w:t>projekta anotācijā būtu vēlams norādīt, kāpēc jaunās prasības netiek attiecinātās arī uz publiskām inženierbūvēm.</w:t>
            </w:r>
          </w:p>
        </w:tc>
        <w:tc>
          <w:tcPr>
            <w:tcW w:w="3119" w:type="dxa"/>
            <w:gridSpan w:val="2"/>
            <w:tcBorders>
              <w:left w:val="single" w:sz="6" w:space="0" w:color="000000"/>
              <w:bottom w:val="single" w:sz="4" w:space="0" w:color="auto"/>
              <w:right w:val="single" w:sz="6" w:space="0" w:color="000000"/>
            </w:tcBorders>
          </w:tcPr>
          <w:p w:rsidR="00B83DB0" w:rsidRPr="00F1598F" w:rsidRDefault="00B83DB0" w:rsidP="00A746A6">
            <w:pPr>
              <w:pStyle w:val="naisc"/>
              <w:spacing w:before="0" w:after="0"/>
              <w:rPr>
                <w:b/>
              </w:rPr>
            </w:pPr>
            <w:r w:rsidRPr="00F1598F">
              <w:rPr>
                <w:b/>
              </w:rPr>
              <w:lastRenderedPageBreak/>
              <w:t>Ņemts vērā.</w:t>
            </w:r>
          </w:p>
          <w:p w:rsidR="00B83DB0" w:rsidRPr="00E35F7E" w:rsidRDefault="00B83DB0" w:rsidP="00A746A6">
            <w:pPr>
              <w:pStyle w:val="naisc"/>
              <w:spacing w:before="0" w:after="0"/>
              <w:rPr>
                <w:b/>
              </w:rPr>
            </w:pPr>
          </w:p>
        </w:tc>
        <w:tc>
          <w:tcPr>
            <w:tcW w:w="3118" w:type="dxa"/>
            <w:tcBorders>
              <w:top w:val="single" w:sz="4" w:space="0" w:color="auto"/>
              <w:left w:val="single" w:sz="4" w:space="0" w:color="auto"/>
              <w:bottom w:val="single" w:sz="4" w:space="0" w:color="auto"/>
            </w:tcBorders>
          </w:tcPr>
          <w:p w:rsidR="00B83DB0" w:rsidRDefault="00B83DB0" w:rsidP="00143C25">
            <w:pPr>
              <w:pStyle w:val="naisc"/>
              <w:spacing w:before="0" w:after="0"/>
              <w:jc w:val="left"/>
            </w:pPr>
            <w:r>
              <w:t>Precizēts anotācijas I sadaļas 2. punkts.</w:t>
            </w:r>
          </w:p>
        </w:tc>
      </w:tr>
      <w:tr w:rsidR="00B83DB0" w:rsidRPr="00712B66" w:rsidTr="00F10DF3">
        <w:tc>
          <w:tcPr>
            <w:tcW w:w="708" w:type="dxa"/>
            <w:tcBorders>
              <w:left w:val="single" w:sz="6" w:space="0" w:color="000000"/>
              <w:bottom w:val="single" w:sz="4" w:space="0" w:color="auto"/>
              <w:right w:val="single" w:sz="6" w:space="0" w:color="000000"/>
            </w:tcBorders>
          </w:tcPr>
          <w:p w:rsidR="00B83DB0" w:rsidRDefault="00C54458" w:rsidP="00927F4B">
            <w:pPr>
              <w:pStyle w:val="naisc"/>
              <w:spacing w:before="0" w:after="0"/>
            </w:pPr>
            <w:r>
              <w:lastRenderedPageBreak/>
              <w:t>7</w:t>
            </w:r>
            <w:r w:rsidR="00B83DB0">
              <w:t>.</w:t>
            </w:r>
          </w:p>
        </w:tc>
        <w:tc>
          <w:tcPr>
            <w:tcW w:w="3086" w:type="dxa"/>
            <w:gridSpan w:val="2"/>
            <w:tcBorders>
              <w:left w:val="single" w:sz="6" w:space="0" w:color="000000"/>
              <w:bottom w:val="single" w:sz="4" w:space="0" w:color="auto"/>
              <w:right w:val="single" w:sz="6" w:space="0" w:color="000000"/>
            </w:tcBorders>
          </w:tcPr>
          <w:p w:rsidR="00B83DB0" w:rsidRDefault="00B83DB0" w:rsidP="00F7404A">
            <w:pPr>
              <w:pStyle w:val="naisc"/>
              <w:spacing w:before="0" w:after="0"/>
              <w:jc w:val="left"/>
            </w:pPr>
            <w:r>
              <w:t>Anotācijas II sadaļas 4. punkts</w:t>
            </w:r>
          </w:p>
        </w:tc>
        <w:tc>
          <w:tcPr>
            <w:tcW w:w="4394" w:type="dxa"/>
            <w:tcBorders>
              <w:left w:val="single" w:sz="6" w:space="0" w:color="000000"/>
              <w:bottom w:val="single" w:sz="4" w:space="0" w:color="auto"/>
              <w:right w:val="single" w:sz="6" w:space="0" w:color="000000"/>
            </w:tcBorders>
          </w:tcPr>
          <w:p w:rsidR="00B83DB0" w:rsidRPr="002628C5" w:rsidRDefault="00B83DB0" w:rsidP="00B1357A">
            <w:pPr>
              <w:pStyle w:val="naisc"/>
              <w:spacing w:before="0" w:after="0"/>
              <w:jc w:val="both"/>
              <w:rPr>
                <w:b/>
                <w:bCs/>
              </w:rPr>
            </w:pPr>
            <w:r w:rsidRPr="002628C5">
              <w:rPr>
                <w:b/>
                <w:bCs/>
              </w:rPr>
              <w:t>Valsts kanceleja (priekšlikums)</w:t>
            </w:r>
          </w:p>
          <w:p w:rsidR="00B83DB0" w:rsidRPr="002628C5" w:rsidRDefault="00B83DB0" w:rsidP="002628C5">
            <w:pPr>
              <w:pStyle w:val="naisc"/>
              <w:spacing w:before="0" w:after="0"/>
              <w:jc w:val="both"/>
              <w:rPr>
                <w:b/>
                <w:bCs/>
              </w:rPr>
            </w:pPr>
            <w:r w:rsidRPr="002628C5">
              <w:rPr>
                <w:bdr w:val="none" w:sz="0" w:space="0" w:color="auto" w:frame="1"/>
              </w:rPr>
              <w:t>Papildināt anotācijas 2.sadaļas 4.punktu ar to atbilstības prasību izmaksu aprēķinu, ko esošajā stadijā ir iespējams novērtēt (uz vienu vienību), piemēram:</w:t>
            </w:r>
            <w:r w:rsidRPr="002628C5">
              <w:rPr>
                <w:bdr w:val="none" w:sz="0" w:space="0" w:color="auto" w:frame="1"/>
              </w:rPr>
              <w:br/>
              <w:t xml:space="preserve">*   viena </w:t>
            </w:r>
            <w:proofErr w:type="spellStart"/>
            <w:r w:rsidRPr="002628C5">
              <w:rPr>
                <w:bdr w:val="none" w:sz="0" w:space="0" w:color="auto" w:frame="1"/>
              </w:rPr>
              <w:t>elektrotransportlīdzekļu</w:t>
            </w:r>
            <w:proofErr w:type="spellEnd"/>
            <w:r w:rsidRPr="002628C5">
              <w:rPr>
                <w:bdr w:val="none" w:sz="0" w:space="0" w:color="auto" w:frame="1"/>
              </w:rPr>
              <w:t xml:space="preserve"> uzlādes punkta ierīkošanas (un uzturēšanas) izmaksas,</w:t>
            </w:r>
            <w:r w:rsidRPr="002628C5">
              <w:rPr>
                <w:bdr w:val="none" w:sz="0" w:space="0" w:color="auto" w:frame="1"/>
              </w:rPr>
              <w:br/>
              <w:t>*   vienas automašīnas stāvvietas ierīkošanas (un uzturēšanas) izmaksas,</w:t>
            </w:r>
            <w:r w:rsidRPr="002628C5">
              <w:rPr>
                <w:bdr w:val="none" w:sz="0" w:space="0" w:color="auto" w:frame="1"/>
              </w:rPr>
              <w:br/>
            </w:r>
            <w:r>
              <w:rPr>
                <w:bdr w:val="none" w:sz="0" w:space="0" w:color="auto" w:frame="1"/>
              </w:rPr>
              <w:t>.</w:t>
            </w:r>
            <w:r w:rsidRPr="002628C5">
              <w:rPr>
                <w:bdr w:val="none" w:sz="0" w:space="0" w:color="auto" w:frame="1"/>
              </w:rPr>
              <w:t>.</w:t>
            </w:r>
          </w:p>
        </w:tc>
        <w:tc>
          <w:tcPr>
            <w:tcW w:w="3119" w:type="dxa"/>
            <w:gridSpan w:val="2"/>
            <w:tcBorders>
              <w:left w:val="single" w:sz="6" w:space="0" w:color="000000"/>
              <w:bottom w:val="single" w:sz="4" w:space="0" w:color="auto"/>
              <w:right w:val="single" w:sz="6" w:space="0" w:color="000000"/>
            </w:tcBorders>
          </w:tcPr>
          <w:p w:rsidR="00B83DB0" w:rsidRDefault="00B83DB0" w:rsidP="00B1357A">
            <w:pPr>
              <w:pStyle w:val="naisc"/>
              <w:spacing w:before="0" w:after="0"/>
              <w:rPr>
                <w:b/>
              </w:rPr>
            </w:pPr>
            <w:r>
              <w:rPr>
                <w:b/>
              </w:rPr>
              <w:t>Ņemts vērā.</w:t>
            </w:r>
          </w:p>
          <w:p w:rsidR="00B83DB0" w:rsidRPr="002628C5" w:rsidRDefault="00B83DB0" w:rsidP="002628C5">
            <w:pPr>
              <w:pStyle w:val="naisc"/>
              <w:spacing w:before="0" w:after="0"/>
              <w:jc w:val="both"/>
            </w:pPr>
            <w:r w:rsidRPr="002628C5">
              <w:t>Noteikumu projekts neparedz prasību ierīkot jaunas automašīnu stāvvietas.</w:t>
            </w:r>
          </w:p>
        </w:tc>
        <w:tc>
          <w:tcPr>
            <w:tcW w:w="3118" w:type="dxa"/>
            <w:tcBorders>
              <w:top w:val="single" w:sz="4" w:space="0" w:color="auto"/>
              <w:left w:val="single" w:sz="4" w:space="0" w:color="auto"/>
              <w:bottom w:val="single" w:sz="4" w:space="0" w:color="auto"/>
            </w:tcBorders>
          </w:tcPr>
          <w:p w:rsidR="00B83DB0" w:rsidRPr="005806EF" w:rsidRDefault="00B83DB0" w:rsidP="00F921F2">
            <w:pPr>
              <w:pStyle w:val="naisc"/>
              <w:spacing w:before="0" w:after="0"/>
              <w:jc w:val="left"/>
              <w:rPr>
                <w:highlight w:val="yellow"/>
              </w:rPr>
            </w:pPr>
            <w:r>
              <w:t>Precizēts a</w:t>
            </w:r>
            <w:r w:rsidRPr="00F921F2">
              <w:t>notācijas II sadaļas 4. punkts.</w:t>
            </w:r>
          </w:p>
        </w:tc>
      </w:tr>
      <w:tr w:rsidR="00B83DB0" w:rsidRPr="00712B66" w:rsidTr="00F10DF3">
        <w:tc>
          <w:tcPr>
            <w:tcW w:w="708" w:type="dxa"/>
            <w:tcBorders>
              <w:left w:val="single" w:sz="6" w:space="0" w:color="000000"/>
              <w:bottom w:val="single" w:sz="4" w:space="0" w:color="auto"/>
              <w:right w:val="single" w:sz="6" w:space="0" w:color="000000"/>
            </w:tcBorders>
          </w:tcPr>
          <w:p w:rsidR="00B83DB0" w:rsidRDefault="00C54458" w:rsidP="00927F4B">
            <w:pPr>
              <w:pStyle w:val="naisc"/>
              <w:spacing w:before="0" w:after="0"/>
            </w:pPr>
            <w:r>
              <w:t>8</w:t>
            </w:r>
            <w:r w:rsidR="00B83DB0">
              <w:t>.</w:t>
            </w:r>
          </w:p>
        </w:tc>
        <w:tc>
          <w:tcPr>
            <w:tcW w:w="3086" w:type="dxa"/>
            <w:gridSpan w:val="2"/>
            <w:tcBorders>
              <w:left w:val="single" w:sz="6" w:space="0" w:color="000000"/>
              <w:bottom w:val="single" w:sz="4" w:space="0" w:color="auto"/>
              <w:right w:val="single" w:sz="6" w:space="0" w:color="000000"/>
            </w:tcBorders>
          </w:tcPr>
          <w:p w:rsidR="00B83DB0" w:rsidRPr="006E497C" w:rsidRDefault="00B83DB0" w:rsidP="00A746A6">
            <w:pPr>
              <w:pStyle w:val="naisc"/>
              <w:spacing w:before="0" w:after="0"/>
              <w:jc w:val="both"/>
            </w:pPr>
            <w:r>
              <w:t>A</w:t>
            </w:r>
            <w:r w:rsidRPr="00C5362A">
              <w:t>notācijas III sadaļa</w:t>
            </w:r>
          </w:p>
        </w:tc>
        <w:tc>
          <w:tcPr>
            <w:tcW w:w="4394" w:type="dxa"/>
            <w:tcBorders>
              <w:left w:val="single" w:sz="6" w:space="0" w:color="000000"/>
              <w:bottom w:val="single" w:sz="4" w:space="0" w:color="auto"/>
              <w:right w:val="single" w:sz="6" w:space="0" w:color="000000"/>
            </w:tcBorders>
          </w:tcPr>
          <w:p w:rsidR="00B83DB0" w:rsidRPr="009A64DB" w:rsidRDefault="00B83DB0" w:rsidP="00A746A6">
            <w:pPr>
              <w:pStyle w:val="naisc"/>
              <w:spacing w:before="0" w:after="0"/>
              <w:jc w:val="both"/>
              <w:rPr>
                <w:b/>
                <w:bCs/>
              </w:rPr>
            </w:pPr>
            <w:r w:rsidRPr="009A64DB">
              <w:rPr>
                <w:b/>
                <w:bCs/>
              </w:rPr>
              <w:t>Finanšu ministrija</w:t>
            </w:r>
          </w:p>
          <w:p w:rsidR="00B83DB0" w:rsidRPr="006E497C" w:rsidRDefault="00B83DB0" w:rsidP="00A746A6">
            <w:pPr>
              <w:pStyle w:val="naisc"/>
              <w:spacing w:before="0" w:after="0"/>
              <w:jc w:val="both"/>
            </w:pPr>
            <w:r w:rsidRPr="00946530">
              <w:rPr>
                <w:color w:val="212121"/>
              </w:rPr>
              <w:t xml:space="preserve">Ņemot vērā 8.punktā sniegto informāciju, ka noteikumu projektā paredzēto prasību izpilde var radīt izmaksu palielinājumu, </w:t>
            </w:r>
            <w:r w:rsidRPr="00946530">
              <w:rPr>
                <w:color w:val="212121"/>
              </w:rPr>
              <w:lastRenderedPageBreak/>
              <w:t>lūdzam "Nav precīzi aprēķināms" norādīt tikai ailēs pie izmaiņām.</w:t>
            </w:r>
          </w:p>
        </w:tc>
        <w:tc>
          <w:tcPr>
            <w:tcW w:w="3119" w:type="dxa"/>
            <w:gridSpan w:val="2"/>
            <w:tcBorders>
              <w:left w:val="single" w:sz="6" w:space="0" w:color="000000"/>
              <w:bottom w:val="single" w:sz="4" w:space="0" w:color="auto"/>
              <w:right w:val="single" w:sz="6" w:space="0" w:color="000000"/>
            </w:tcBorders>
          </w:tcPr>
          <w:p w:rsidR="00B83DB0" w:rsidRPr="000422B5" w:rsidRDefault="00B83DB0" w:rsidP="00A746A6">
            <w:pPr>
              <w:pStyle w:val="naisc"/>
              <w:spacing w:before="0" w:after="0"/>
              <w:rPr>
                <w:b/>
              </w:rPr>
            </w:pPr>
            <w:r w:rsidRPr="000422B5">
              <w:rPr>
                <w:b/>
              </w:rPr>
              <w:lastRenderedPageBreak/>
              <w:t>Ņemts vērā.</w:t>
            </w:r>
          </w:p>
          <w:p w:rsidR="00B83DB0" w:rsidRPr="000422B5" w:rsidRDefault="00B83DB0" w:rsidP="00A746A6">
            <w:pPr>
              <w:pStyle w:val="naisc"/>
              <w:spacing w:before="0" w:after="0"/>
              <w:rPr>
                <w:b/>
              </w:rPr>
            </w:pPr>
          </w:p>
        </w:tc>
        <w:tc>
          <w:tcPr>
            <w:tcW w:w="3118" w:type="dxa"/>
            <w:tcBorders>
              <w:top w:val="single" w:sz="4" w:space="0" w:color="auto"/>
              <w:left w:val="single" w:sz="4" w:space="0" w:color="auto"/>
              <w:bottom w:val="single" w:sz="4" w:space="0" w:color="auto"/>
            </w:tcBorders>
          </w:tcPr>
          <w:p w:rsidR="00B83DB0" w:rsidRPr="006E497C" w:rsidRDefault="00B83DB0" w:rsidP="00AB7635">
            <w:pPr>
              <w:pStyle w:val="naisc"/>
              <w:spacing w:before="0" w:after="0"/>
              <w:jc w:val="left"/>
            </w:pPr>
            <w:r>
              <w:t>Precizēta a</w:t>
            </w:r>
            <w:r w:rsidRPr="00C5362A">
              <w:t>notācijas III sadaļa</w:t>
            </w:r>
            <w:r>
              <w:t>.</w:t>
            </w:r>
          </w:p>
        </w:tc>
      </w:tr>
      <w:tr w:rsidR="00B83DB0" w:rsidRPr="00712B66" w:rsidTr="00F10DF3">
        <w:tc>
          <w:tcPr>
            <w:tcW w:w="708" w:type="dxa"/>
            <w:tcBorders>
              <w:left w:val="single" w:sz="6" w:space="0" w:color="000000"/>
              <w:bottom w:val="single" w:sz="4" w:space="0" w:color="auto"/>
              <w:right w:val="single" w:sz="6" w:space="0" w:color="000000"/>
            </w:tcBorders>
          </w:tcPr>
          <w:p w:rsidR="00B83DB0" w:rsidRDefault="00C54458" w:rsidP="00927F4B">
            <w:pPr>
              <w:pStyle w:val="naisc"/>
              <w:spacing w:before="0" w:after="0"/>
            </w:pPr>
            <w:r>
              <w:lastRenderedPageBreak/>
              <w:t>9</w:t>
            </w:r>
            <w:r w:rsidR="00B83DB0">
              <w:t>.</w:t>
            </w:r>
          </w:p>
        </w:tc>
        <w:tc>
          <w:tcPr>
            <w:tcW w:w="3086" w:type="dxa"/>
            <w:gridSpan w:val="2"/>
            <w:tcBorders>
              <w:left w:val="single" w:sz="6" w:space="0" w:color="000000"/>
              <w:bottom w:val="single" w:sz="4" w:space="0" w:color="auto"/>
              <w:right w:val="single" w:sz="6" w:space="0" w:color="000000"/>
            </w:tcBorders>
          </w:tcPr>
          <w:p w:rsidR="00B83DB0" w:rsidRPr="009A64DB" w:rsidRDefault="00B83DB0" w:rsidP="00A746A6">
            <w:pPr>
              <w:pStyle w:val="naisc"/>
              <w:spacing w:before="0" w:after="0"/>
              <w:jc w:val="left"/>
            </w:pPr>
            <w:r w:rsidRPr="009A64DB">
              <w:t>Anotācijas III sadaļas 8. punkts</w:t>
            </w:r>
          </w:p>
        </w:tc>
        <w:tc>
          <w:tcPr>
            <w:tcW w:w="4394" w:type="dxa"/>
            <w:tcBorders>
              <w:left w:val="single" w:sz="6" w:space="0" w:color="000000"/>
              <w:bottom w:val="single" w:sz="4" w:space="0" w:color="auto"/>
              <w:right w:val="single" w:sz="6" w:space="0" w:color="000000"/>
            </w:tcBorders>
          </w:tcPr>
          <w:p w:rsidR="00B83DB0" w:rsidRPr="009A64DB" w:rsidRDefault="00B83DB0" w:rsidP="00A746A6">
            <w:pPr>
              <w:pStyle w:val="naisc"/>
              <w:spacing w:before="0" w:after="0"/>
              <w:jc w:val="both"/>
              <w:rPr>
                <w:b/>
                <w:bCs/>
              </w:rPr>
            </w:pPr>
            <w:r w:rsidRPr="009A64DB">
              <w:rPr>
                <w:b/>
                <w:bCs/>
              </w:rPr>
              <w:t>Finanšu ministrija</w:t>
            </w:r>
          </w:p>
          <w:p w:rsidR="00B83DB0" w:rsidRPr="009A64DB" w:rsidRDefault="00B83DB0" w:rsidP="00A746A6">
            <w:pPr>
              <w:pStyle w:val="naisc"/>
              <w:spacing w:before="0" w:after="0"/>
              <w:jc w:val="both"/>
            </w:pPr>
            <w:r w:rsidRPr="00946530">
              <w:rPr>
                <w:color w:val="212121"/>
              </w:rPr>
              <w:t>Lūdzam skaidrot, kādas valsts tiešās pārvaldes institūcijas ir domātas 8.punktā, kuru izmaksu palielinājums radītu ietekmi uz valsts pamatbudžetu.</w:t>
            </w:r>
          </w:p>
        </w:tc>
        <w:tc>
          <w:tcPr>
            <w:tcW w:w="3119" w:type="dxa"/>
            <w:gridSpan w:val="2"/>
            <w:tcBorders>
              <w:left w:val="single" w:sz="6" w:space="0" w:color="000000"/>
              <w:bottom w:val="single" w:sz="4" w:space="0" w:color="auto"/>
              <w:right w:val="single" w:sz="6" w:space="0" w:color="000000"/>
            </w:tcBorders>
          </w:tcPr>
          <w:p w:rsidR="00B83DB0" w:rsidRPr="000422B5" w:rsidRDefault="00B83DB0" w:rsidP="00A746A6">
            <w:pPr>
              <w:pStyle w:val="naisc"/>
              <w:spacing w:before="0" w:after="0"/>
              <w:rPr>
                <w:b/>
              </w:rPr>
            </w:pPr>
            <w:r w:rsidRPr="000422B5">
              <w:rPr>
                <w:b/>
              </w:rPr>
              <w:t>Ņemts vērā.</w:t>
            </w:r>
          </w:p>
          <w:p w:rsidR="00B83DB0" w:rsidRPr="000422B5" w:rsidRDefault="00B83DB0" w:rsidP="00A746A6">
            <w:pPr>
              <w:pStyle w:val="naisc"/>
              <w:spacing w:before="0" w:after="0"/>
              <w:rPr>
                <w:b/>
              </w:rPr>
            </w:pPr>
          </w:p>
        </w:tc>
        <w:tc>
          <w:tcPr>
            <w:tcW w:w="3118" w:type="dxa"/>
            <w:tcBorders>
              <w:top w:val="single" w:sz="4" w:space="0" w:color="auto"/>
              <w:left w:val="single" w:sz="4" w:space="0" w:color="auto"/>
              <w:bottom w:val="single" w:sz="4" w:space="0" w:color="auto"/>
            </w:tcBorders>
          </w:tcPr>
          <w:p w:rsidR="00B83DB0" w:rsidRPr="006E497C" w:rsidRDefault="00B83DB0" w:rsidP="00AB7635">
            <w:pPr>
              <w:pStyle w:val="naisc"/>
              <w:spacing w:before="0" w:after="0"/>
              <w:jc w:val="left"/>
            </w:pPr>
            <w:r>
              <w:t>Precizēts a</w:t>
            </w:r>
            <w:r w:rsidRPr="00C5362A">
              <w:t>notācijas III sadaļa</w:t>
            </w:r>
            <w:r>
              <w:t>s 8. punkts.</w:t>
            </w:r>
          </w:p>
        </w:tc>
      </w:tr>
      <w:tr w:rsidR="00B83DB0" w:rsidRPr="00712B66" w:rsidTr="00F10DF3">
        <w:tc>
          <w:tcPr>
            <w:tcW w:w="708" w:type="dxa"/>
            <w:tcBorders>
              <w:left w:val="single" w:sz="6" w:space="0" w:color="000000"/>
              <w:bottom w:val="single" w:sz="4" w:space="0" w:color="auto"/>
              <w:right w:val="single" w:sz="6" w:space="0" w:color="000000"/>
            </w:tcBorders>
          </w:tcPr>
          <w:p w:rsidR="00B83DB0" w:rsidRDefault="00C54458" w:rsidP="00927F4B">
            <w:pPr>
              <w:pStyle w:val="naisc"/>
              <w:spacing w:before="0" w:after="0"/>
            </w:pPr>
            <w:r>
              <w:t>10</w:t>
            </w:r>
            <w:r w:rsidR="00B83DB0">
              <w:t>.</w:t>
            </w:r>
          </w:p>
        </w:tc>
        <w:tc>
          <w:tcPr>
            <w:tcW w:w="3086" w:type="dxa"/>
            <w:gridSpan w:val="2"/>
            <w:tcBorders>
              <w:left w:val="single" w:sz="6" w:space="0" w:color="000000"/>
              <w:bottom w:val="single" w:sz="4" w:space="0" w:color="auto"/>
              <w:right w:val="single" w:sz="6" w:space="0" w:color="000000"/>
            </w:tcBorders>
          </w:tcPr>
          <w:p w:rsidR="00B83DB0" w:rsidRPr="009A64DB" w:rsidRDefault="00B83DB0" w:rsidP="00A746A6">
            <w:pPr>
              <w:pStyle w:val="naisc"/>
              <w:spacing w:before="0" w:after="0"/>
              <w:jc w:val="left"/>
            </w:pPr>
            <w:r>
              <w:t>Anotācijas IV sadaļas 1. punkts</w:t>
            </w:r>
          </w:p>
        </w:tc>
        <w:tc>
          <w:tcPr>
            <w:tcW w:w="4394" w:type="dxa"/>
            <w:tcBorders>
              <w:left w:val="single" w:sz="6" w:space="0" w:color="000000"/>
              <w:bottom w:val="single" w:sz="4" w:space="0" w:color="auto"/>
              <w:right w:val="single" w:sz="6" w:space="0" w:color="000000"/>
            </w:tcBorders>
          </w:tcPr>
          <w:p w:rsidR="00B83DB0" w:rsidRPr="000958C6" w:rsidRDefault="00B83DB0" w:rsidP="00A746A6">
            <w:pPr>
              <w:pStyle w:val="naisc"/>
              <w:spacing w:before="0" w:after="0"/>
              <w:jc w:val="both"/>
              <w:rPr>
                <w:b/>
                <w:bCs/>
              </w:rPr>
            </w:pPr>
            <w:r w:rsidRPr="000958C6">
              <w:rPr>
                <w:b/>
                <w:bCs/>
              </w:rPr>
              <w:t>Tieslietu ministrija</w:t>
            </w:r>
          </w:p>
          <w:p w:rsidR="00B83DB0" w:rsidRPr="000958C6" w:rsidRDefault="00B83DB0" w:rsidP="00A746A6">
            <w:pPr>
              <w:pStyle w:val="naisc"/>
              <w:spacing w:before="0" w:after="0"/>
              <w:jc w:val="both"/>
              <w:rPr>
                <w:b/>
                <w:bCs/>
              </w:rPr>
            </w:pPr>
            <w:r w:rsidRPr="000958C6">
              <w:t xml:space="preserve">Saskaņā ar </w:t>
            </w:r>
            <w:bookmarkStart w:id="0" w:name="_Hlk34298457"/>
            <w:r w:rsidRPr="000958C6">
              <w:t>Ministru kabineta 2009. gada 15. decembra instrukcijas Nr. 19 "Tiesību akta projekta sākotnējās ietekmes izvērtēšanas kārtība"</w:t>
            </w:r>
            <w:bookmarkEnd w:id="0"/>
            <w:r w:rsidRPr="000958C6">
              <w:t xml:space="preserve"> (turpmāk – instrukcija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kā arī skaidro šādu izmaiņu nepieciešamību. Attiecīgi lūdzam precizēt noteikumu projekta anotācijas IV sadaļas 1. punktu, ietverot šajā punktā konkrētu skaidrojumu par tajā ietverto tiesību aktu projektu nepieciešamību un mērķi.</w:t>
            </w:r>
          </w:p>
        </w:tc>
        <w:tc>
          <w:tcPr>
            <w:tcW w:w="3119" w:type="dxa"/>
            <w:gridSpan w:val="2"/>
            <w:tcBorders>
              <w:left w:val="single" w:sz="6" w:space="0" w:color="000000"/>
              <w:bottom w:val="single" w:sz="4" w:space="0" w:color="auto"/>
              <w:right w:val="single" w:sz="6" w:space="0" w:color="000000"/>
            </w:tcBorders>
          </w:tcPr>
          <w:p w:rsidR="00B83DB0" w:rsidRPr="00AB7635" w:rsidRDefault="00B83DB0" w:rsidP="00A746A6">
            <w:pPr>
              <w:pStyle w:val="naisc"/>
              <w:spacing w:before="0" w:after="0"/>
              <w:rPr>
                <w:b/>
              </w:rPr>
            </w:pPr>
            <w:r w:rsidRPr="00AB7635">
              <w:rPr>
                <w:b/>
              </w:rPr>
              <w:t>Ņemts vērā.</w:t>
            </w:r>
          </w:p>
          <w:p w:rsidR="00B83DB0" w:rsidRPr="00FC2777" w:rsidRDefault="00B83DB0" w:rsidP="00A746A6">
            <w:pPr>
              <w:pStyle w:val="naisc"/>
              <w:spacing w:before="0" w:after="0"/>
              <w:rPr>
                <w:b/>
                <w:highlight w:val="yellow"/>
              </w:rPr>
            </w:pPr>
          </w:p>
        </w:tc>
        <w:tc>
          <w:tcPr>
            <w:tcW w:w="3118" w:type="dxa"/>
            <w:tcBorders>
              <w:top w:val="single" w:sz="4" w:space="0" w:color="auto"/>
              <w:left w:val="single" w:sz="4" w:space="0" w:color="auto"/>
              <w:bottom w:val="single" w:sz="4" w:space="0" w:color="auto"/>
            </w:tcBorders>
          </w:tcPr>
          <w:p w:rsidR="00B83DB0" w:rsidRDefault="00B83DB0" w:rsidP="00AB7635">
            <w:pPr>
              <w:pStyle w:val="naisc"/>
              <w:spacing w:before="0" w:after="0"/>
              <w:jc w:val="left"/>
            </w:pPr>
            <w:r>
              <w:t>Precizēta anotācijas IV sadaļa.</w:t>
            </w:r>
          </w:p>
        </w:tc>
      </w:tr>
      <w:tr w:rsidR="00B83DB0" w:rsidRPr="00712B66" w:rsidTr="00F10DF3">
        <w:tc>
          <w:tcPr>
            <w:tcW w:w="708" w:type="dxa"/>
            <w:tcBorders>
              <w:left w:val="single" w:sz="6" w:space="0" w:color="000000"/>
              <w:bottom w:val="single" w:sz="4" w:space="0" w:color="auto"/>
              <w:right w:val="single" w:sz="6" w:space="0" w:color="000000"/>
            </w:tcBorders>
          </w:tcPr>
          <w:p w:rsidR="00B83DB0" w:rsidRDefault="00B83DB0" w:rsidP="00C54458">
            <w:pPr>
              <w:pStyle w:val="naisc"/>
              <w:spacing w:before="0" w:after="0"/>
            </w:pPr>
            <w:r>
              <w:t>1</w:t>
            </w:r>
            <w:r w:rsidR="00C54458">
              <w:t>1</w:t>
            </w:r>
            <w:r>
              <w:t>.</w:t>
            </w:r>
          </w:p>
        </w:tc>
        <w:tc>
          <w:tcPr>
            <w:tcW w:w="3086" w:type="dxa"/>
            <w:gridSpan w:val="2"/>
            <w:tcBorders>
              <w:left w:val="single" w:sz="6" w:space="0" w:color="000000"/>
              <w:bottom w:val="single" w:sz="4" w:space="0" w:color="auto"/>
              <w:right w:val="single" w:sz="6" w:space="0" w:color="000000"/>
            </w:tcBorders>
          </w:tcPr>
          <w:p w:rsidR="00B83DB0" w:rsidRDefault="00B83DB0" w:rsidP="00A746A6">
            <w:pPr>
              <w:pStyle w:val="naisc"/>
              <w:spacing w:before="0" w:after="0"/>
              <w:jc w:val="left"/>
            </w:pPr>
            <w:r>
              <w:t>Anotācijas V sadaļas 1. tabula</w:t>
            </w:r>
          </w:p>
        </w:tc>
        <w:tc>
          <w:tcPr>
            <w:tcW w:w="4394" w:type="dxa"/>
            <w:tcBorders>
              <w:left w:val="single" w:sz="6" w:space="0" w:color="000000"/>
              <w:bottom w:val="single" w:sz="4" w:space="0" w:color="auto"/>
              <w:right w:val="single" w:sz="6" w:space="0" w:color="000000"/>
            </w:tcBorders>
          </w:tcPr>
          <w:p w:rsidR="00B83DB0" w:rsidRPr="000958C6" w:rsidRDefault="00B83DB0" w:rsidP="00A746A6">
            <w:pPr>
              <w:pStyle w:val="naisc"/>
              <w:spacing w:before="0" w:after="0"/>
              <w:jc w:val="both"/>
              <w:rPr>
                <w:b/>
                <w:bCs/>
              </w:rPr>
            </w:pPr>
            <w:r w:rsidRPr="000958C6">
              <w:rPr>
                <w:b/>
                <w:bCs/>
              </w:rPr>
              <w:t>Tieslietu ministrija</w:t>
            </w:r>
          </w:p>
          <w:p w:rsidR="00B83DB0" w:rsidRPr="000958C6" w:rsidRDefault="00B83DB0" w:rsidP="000958C6">
            <w:pPr>
              <w:ind w:right="12"/>
            </w:pPr>
            <w:r w:rsidRPr="000958C6">
              <w:t xml:space="preserve">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w:t>
            </w:r>
            <w:r w:rsidRPr="000958C6">
              <w:lastRenderedPageBreak/>
              <w:t>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vai ir korekti un pilnīgi pārņemtas (tai skaitā kādā pakāpē pārņemtas) Eiropas Parlamenta un Padomes 2018. gada 30. maija Direktīvas (ES) 2018/844, ar ko groza Direktīvu 2010/31/ES par ēku energoefektivitāti un Direktīvu 2012/27/ES par energoefektivitāti (turpmāk – direktīva Nr. 2018/844), prasības bez pienācīgā detalizācijas pakāpē veiktas noteikumu projekta anotācijas V sadaļas 1. tabulas aizpildīšanas, ievērojot instrukcijas Nr. 19 55. un 56. punktu. Proti, vēršam uzmanību, ka šobrīd noteikumu projekta anotācijas V sadaļas tabulā Nr. 1:</w:t>
            </w:r>
          </w:p>
          <w:p w:rsidR="00B83DB0" w:rsidRPr="000324F6" w:rsidRDefault="00B83DB0" w:rsidP="000958C6">
            <w:pPr>
              <w:ind w:right="12"/>
            </w:pPr>
            <w:r w:rsidRPr="000324F6">
              <w:t>pirmkārt, vienā rindā (B ailē) ietvertas noteikumu projekta vienības, kas paredz atšķirīgu tiesisko regulējumu. Saistībā ar minēto norādām, ka katram direktīvas pantam vai panta daļai un apakšpunktam anotācijas V sadaļas 1. tabulā būtu jākorespondē attiecīgam noteikumu projekta pantam, panta</w:t>
            </w:r>
            <w:r w:rsidRPr="000958C6">
              <w:t xml:space="preserve"> daļai vai punktam, </w:t>
            </w:r>
            <w:r w:rsidRPr="000324F6">
              <w:t>kas konkrētajā gadījumā neizpildās;</w:t>
            </w:r>
          </w:p>
          <w:p w:rsidR="00B83DB0" w:rsidRPr="000958C6" w:rsidRDefault="00B83DB0" w:rsidP="000958C6">
            <w:pPr>
              <w:ind w:right="12"/>
            </w:pPr>
            <w:r w:rsidRPr="000324F6">
              <w:t>otrkārt, direktīvas</w:t>
            </w:r>
            <w:r w:rsidRPr="000958C6">
              <w:t xml:space="preserve"> Nr. 2018/844 prasības pārņemtas daļēji, nesniedzot šajā sakarā pietiekami detalizētu skaidrojumu. </w:t>
            </w:r>
            <w:r w:rsidRPr="000958C6">
              <w:lastRenderedPageBreak/>
              <w:t xml:space="preserve">Norādām, ja direktīvu prasības ar noteikumu projektu tiek pārņemtas daļēji, anotācijas V sadaļas 1. tabulā (C ailē) būtu jāsniedz attiecīgs skaidrojums, kāda konkrēti prasība netiek pārņemta un precīzi jānorāda, cita starpā kādā veidā un termiņā attiecīgās direktīvu vienības tiks pārņemtas pilnībā. Termiņam konkrētajā gadījumā pievēršama pastiprināta vērība, ņemot vērā, ka atbilstoši noteikumu projekta anotācijā norādītajam direktīvas Nr. 2018/844 </w:t>
            </w:r>
            <w:r w:rsidRPr="000324F6">
              <w:t>prasības jāpārņem līdz 2020. gada 10. martam (t.i., līdz šim datumam dalībvalstīs stājas spēkā normatīvie un administratīvie akti, kas vajadzīgi, lai izpildītu šīs direktīvas prasības), savukārt 1. tabulā minēts, ka atsevišķas prasības paredzēts pilnībā ieviest līdz 2020. gada 30. jūnijam.</w:t>
            </w:r>
          </w:p>
          <w:p w:rsidR="00B83DB0" w:rsidRPr="000958C6" w:rsidRDefault="00B83DB0" w:rsidP="000958C6">
            <w:pPr>
              <w:pStyle w:val="naisc"/>
              <w:spacing w:before="0" w:after="0"/>
              <w:jc w:val="both"/>
              <w:rPr>
                <w:b/>
                <w:bCs/>
              </w:rPr>
            </w:pPr>
            <w:r w:rsidRPr="000958C6">
              <w:t>Ievērojot minēto, lūdzam pārstrādāt noteikumu projekta anotācijas V sadaļas 1. tabulu, aizpildot to pienācīgā detalizācijas pakāpē, un tādējādi nodrošināt to, ka kāda no direktīvas prasībām nejaušības pēc nepaliek nepārņemta vai veids vai termiņš, kādā to plāno pārņemt, nav neatbilstošs</w:t>
            </w:r>
          </w:p>
        </w:tc>
        <w:tc>
          <w:tcPr>
            <w:tcW w:w="3119" w:type="dxa"/>
            <w:gridSpan w:val="2"/>
            <w:tcBorders>
              <w:left w:val="single" w:sz="6" w:space="0" w:color="000000"/>
              <w:bottom w:val="single" w:sz="4" w:space="0" w:color="auto"/>
              <w:right w:val="single" w:sz="6" w:space="0" w:color="000000"/>
            </w:tcBorders>
          </w:tcPr>
          <w:p w:rsidR="00B83DB0" w:rsidRPr="000324F6" w:rsidRDefault="00B83DB0" w:rsidP="00A746A6">
            <w:pPr>
              <w:pStyle w:val="naisc"/>
              <w:spacing w:before="0" w:after="0"/>
              <w:rPr>
                <w:b/>
              </w:rPr>
            </w:pPr>
            <w:r w:rsidRPr="000324F6">
              <w:rPr>
                <w:b/>
              </w:rPr>
              <w:lastRenderedPageBreak/>
              <w:t>Ņemts vērā.</w:t>
            </w:r>
          </w:p>
          <w:p w:rsidR="00B83DB0" w:rsidRDefault="00B83DB0" w:rsidP="00A746A6">
            <w:pPr>
              <w:pStyle w:val="naisc"/>
              <w:spacing w:before="0" w:after="0"/>
              <w:rPr>
                <w:b/>
                <w:highlight w:val="yellow"/>
              </w:rPr>
            </w:pPr>
          </w:p>
        </w:tc>
        <w:tc>
          <w:tcPr>
            <w:tcW w:w="3118" w:type="dxa"/>
            <w:tcBorders>
              <w:top w:val="single" w:sz="4" w:space="0" w:color="auto"/>
              <w:left w:val="single" w:sz="4" w:space="0" w:color="auto"/>
              <w:bottom w:val="single" w:sz="4" w:space="0" w:color="auto"/>
            </w:tcBorders>
          </w:tcPr>
          <w:p w:rsidR="00B83DB0" w:rsidRDefault="00B83DB0" w:rsidP="00A746A6">
            <w:pPr>
              <w:pStyle w:val="naisc"/>
              <w:spacing w:before="0" w:after="0"/>
              <w:jc w:val="left"/>
            </w:pPr>
            <w:r>
              <w:t>Precizēta anotācijas V sadaļas 1. tabula.</w:t>
            </w:r>
          </w:p>
        </w:tc>
      </w:tr>
      <w:tr w:rsidR="00B83DB0" w:rsidRPr="00712B66" w:rsidTr="00F10DF3">
        <w:tc>
          <w:tcPr>
            <w:tcW w:w="708" w:type="dxa"/>
            <w:tcBorders>
              <w:left w:val="single" w:sz="6" w:space="0" w:color="000000"/>
              <w:bottom w:val="single" w:sz="4" w:space="0" w:color="auto"/>
              <w:right w:val="single" w:sz="6" w:space="0" w:color="000000"/>
            </w:tcBorders>
          </w:tcPr>
          <w:p w:rsidR="00B83DB0" w:rsidRDefault="00B83DB0" w:rsidP="00C54458">
            <w:pPr>
              <w:pStyle w:val="naisc"/>
              <w:spacing w:before="0" w:after="0"/>
            </w:pPr>
            <w:r>
              <w:lastRenderedPageBreak/>
              <w:t>1</w:t>
            </w:r>
            <w:r w:rsidR="00C54458">
              <w:t>2</w:t>
            </w:r>
            <w:r>
              <w:t>.</w:t>
            </w:r>
          </w:p>
        </w:tc>
        <w:tc>
          <w:tcPr>
            <w:tcW w:w="3086" w:type="dxa"/>
            <w:gridSpan w:val="2"/>
            <w:tcBorders>
              <w:left w:val="single" w:sz="6" w:space="0" w:color="000000"/>
              <w:bottom w:val="single" w:sz="4" w:space="0" w:color="auto"/>
              <w:right w:val="single" w:sz="6" w:space="0" w:color="000000"/>
            </w:tcBorders>
          </w:tcPr>
          <w:p w:rsidR="00B83DB0" w:rsidRDefault="00B83DB0" w:rsidP="00A746A6">
            <w:pPr>
              <w:pStyle w:val="naisc"/>
              <w:spacing w:before="0" w:after="0"/>
              <w:jc w:val="left"/>
            </w:pPr>
            <w:r>
              <w:t>Anotācijas V sadaļas 1. tabula.</w:t>
            </w:r>
          </w:p>
          <w:p w:rsidR="00B83DB0" w:rsidRDefault="00B83DB0" w:rsidP="00A746A6">
            <w:pPr>
              <w:pStyle w:val="naisc"/>
              <w:spacing w:before="0" w:after="0"/>
              <w:jc w:val="left"/>
            </w:pPr>
          </w:p>
          <w:p w:rsidR="00B83DB0" w:rsidRDefault="00B83DB0" w:rsidP="00A746A6">
            <w:pPr>
              <w:pStyle w:val="naisc"/>
              <w:spacing w:before="0" w:after="0"/>
              <w:jc w:val="left"/>
            </w:pPr>
            <w:r>
              <w:t>1. punkts:</w:t>
            </w:r>
          </w:p>
          <w:p w:rsidR="00B83DB0" w:rsidRPr="001D2FBC" w:rsidRDefault="00B83DB0" w:rsidP="00CC1AD7">
            <w:pPr>
              <w:contextualSpacing/>
            </w:pPr>
            <w:r>
              <w:t>”1. P</w:t>
            </w:r>
            <w:r w:rsidRPr="001D2FBC">
              <w:t xml:space="preserve">apildināt noteikumus ar </w:t>
            </w:r>
            <w:r>
              <w:t>4</w:t>
            </w:r>
            <w:r w:rsidRPr="001D2FBC">
              <w:t>.</w:t>
            </w:r>
            <w:r>
              <w:t> </w:t>
            </w:r>
            <w:r w:rsidRPr="001D2FBC">
              <w:t>punktu šādā redakcijā</w:t>
            </w:r>
            <w:r>
              <w:t>:</w:t>
            </w:r>
          </w:p>
          <w:p w:rsidR="00B83DB0" w:rsidRPr="009A64DB" w:rsidRDefault="00B83DB0" w:rsidP="00CC1AD7">
            <w:pPr>
              <w:pStyle w:val="naisc"/>
              <w:spacing w:before="0" w:after="0"/>
              <w:jc w:val="both"/>
            </w:pPr>
            <w:r w:rsidRPr="00A974F3">
              <w:lastRenderedPageBreak/>
              <w:t>“</w:t>
            </w:r>
            <w:r>
              <w:t>4</w:t>
            </w:r>
            <w:r w:rsidRPr="00A974F3">
              <w:t>.</w:t>
            </w:r>
            <w:r>
              <w:t> </w:t>
            </w:r>
            <w:r w:rsidRPr="005B5E86">
              <w:t>Būv</w:t>
            </w:r>
            <w:r>
              <w:t>projektus</w:t>
            </w:r>
            <w:r w:rsidRPr="005B5E86">
              <w:t>, kur</w:t>
            </w:r>
            <w:r>
              <w:t>i</w:t>
            </w:r>
            <w:r w:rsidRPr="005B5E86">
              <w:t xml:space="preserve"> </w:t>
            </w:r>
            <w:r>
              <w:t>izstrādāti, pamatojoties uz būvatļaujām</w:t>
            </w:r>
            <w:r w:rsidRPr="005B5E86">
              <w:t xml:space="preserve">, kas </w:t>
            </w:r>
            <w:r>
              <w:t>izdotas</w:t>
            </w:r>
            <w:r w:rsidRPr="005B5E86">
              <w:t xml:space="preserve"> </w:t>
            </w:r>
            <w:r>
              <w:t>līdz</w:t>
            </w:r>
            <w:r w:rsidRPr="005B5E86">
              <w:t xml:space="preserve"> 202</w:t>
            </w:r>
            <w:r>
              <w:t>1</w:t>
            </w:r>
            <w:r w:rsidRPr="005B5E86">
              <w:t>.</w:t>
            </w:r>
            <w:r>
              <w:t> </w:t>
            </w:r>
            <w:r w:rsidRPr="005B5E86">
              <w:t xml:space="preserve">gada </w:t>
            </w:r>
            <w:r>
              <w:t>10</w:t>
            </w:r>
            <w:r w:rsidRPr="005B5E86">
              <w:t>.</w:t>
            </w:r>
            <w:r>
              <w:t> martam</w:t>
            </w:r>
            <w:r w:rsidRPr="005B5E86">
              <w:t>, v</w:t>
            </w:r>
            <w:r>
              <w:t>ar</w:t>
            </w:r>
            <w:r w:rsidRPr="005B5E86">
              <w:t xml:space="preserve"> </w:t>
            </w:r>
            <w:r>
              <w:t>ne</w:t>
            </w:r>
            <w:r w:rsidRPr="00077E60">
              <w:t>pārstrādā</w:t>
            </w:r>
            <w:r>
              <w:t>t</w:t>
            </w:r>
            <w:r w:rsidRPr="00077E60">
              <w:t xml:space="preserve"> atbilstoši </w:t>
            </w:r>
            <w:r w:rsidRPr="00077E60">
              <w:rPr>
                <w:shd w:val="clear" w:color="auto" w:fill="FFFFFF"/>
              </w:rPr>
              <w:t>Latvijas būvnormatīva LBN 2</w:t>
            </w:r>
            <w:r>
              <w:rPr>
                <w:shd w:val="clear" w:color="auto" w:fill="FFFFFF"/>
              </w:rPr>
              <w:t>08</w:t>
            </w:r>
            <w:r w:rsidRPr="00077E60">
              <w:rPr>
                <w:shd w:val="clear" w:color="auto" w:fill="FFFFFF"/>
              </w:rPr>
              <w:t xml:space="preserve">-15 </w:t>
            </w:r>
            <w:r>
              <w:t>89</w:t>
            </w:r>
            <w:r w:rsidRPr="00077E60">
              <w:t>.</w:t>
            </w:r>
            <w:r w:rsidRPr="00077E60">
              <w:rPr>
                <w:vertAlign w:val="superscript"/>
              </w:rPr>
              <w:t>1</w:t>
            </w:r>
            <w:r w:rsidRPr="00077E60">
              <w:t> </w:t>
            </w:r>
            <w:r>
              <w:t>un 89</w:t>
            </w:r>
            <w:r w:rsidRPr="00077E60">
              <w:t>.</w:t>
            </w:r>
            <w:r>
              <w:rPr>
                <w:vertAlign w:val="superscript"/>
              </w:rPr>
              <w:t>2</w:t>
            </w:r>
            <w:r>
              <w:t> p</w:t>
            </w:r>
            <w:r w:rsidRPr="00077E60">
              <w:t>unkta prasībām.</w:t>
            </w:r>
            <w:r w:rsidRPr="005B5E86">
              <w:t>”</w:t>
            </w:r>
            <w:r>
              <w:t>”</w:t>
            </w:r>
          </w:p>
        </w:tc>
        <w:tc>
          <w:tcPr>
            <w:tcW w:w="4394" w:type="dxa"/>
            <w:tcBorders>
              <w:left w:val="single" w:sz="6" w:space="0" w:color="000000"/>
              <w:bottom w:val="single" w:sz="4" w:space="0" w:color="auto"/>
              <w:right w:val="single" w:sz="6" w:space="0" w:color="000000"/>
            </w:tcBorders>
          </w:tcPr>
          <w:p w:rsidR="00B83DB0" w:rsidRDefault="00B83DB0" w:rsidP="000958C6">
            <w:pPr>
              <w:pStyle w:val="naisc"/>
              <w:spacing w:before="0" w:after="0"/>
              <w:jc w:val="left"/>
              <w:rPr>
                <w:b/>
                <w:bCs/>
              </w:rPr>
            </w:pPr>
            <w:r w:rsidRPr="000958C6">
              <w:rPr>
                <w:b/>
                <w:bCs/>
              </w:rPr>
              <w:lastRenderedPageBreak/>
              <w:t>Tieslietu ministrij</w:t>
            </w:r>
            <w:r>
              <w:rPr>
                <w:b/>
                <w:bCs/>
              </w:rPr>
              <w:t>a</w:t>
            </w:r>
          </w:p>
          <w:p w:rsidR="00B83DB0" w:rsidRPr="000958C6" w:rsidRDefault="00B83DB0" w:rsidP="000958C6">
            <w:pPr>
              <w:pStyle w:val="naisc"/>
              <w:spacing w:before="0" w:after="0"/>
              <w:jc w:val="both"/>
              <w:rPr>
                <w:b/>
                <w:bCs/>
              </w:rPr>
            </w:pPr>
            <w:r w:rsidRPr="000958C6">
              <w:t xml:space="preserve">Vēršam uzmanību, ka direktīvā Nr. 2018/844 ir </w:t>
            </w:r>
            <w:r w:rsidRPr="00881DAD">
              <w:t>paredzēta rīcības brīvība (sk. </w:t>
            </w:r>
            <w:bookmarkStart w:id="1" w:name="_Hlk34321729"/>
            <w:r w:rsidRPr="00881DAD">
              <w:t>direktīvas Nr. 2018/844 1.</w:t>
            </w:r>
            <w:r w:rsidRPr="000958C6">
              <w:t xml:space="preserve"> panta 5. punktā izteikto Eiropas Parlamenta un Padomes 2010. gada 19. maija Direktīvas </w:t>
            </w:r>
            <w:r w:rsidRPr="000958C6">
              <w:lastRenderedPageBreak/>
              <w:t>2010/31/ES par ēku energoefektivitāti 8. panta 4. un 6. punktu</w:t>
            </w:r>
            <w:bookmarkEnd w:id="1"/>
            <w:r w:rsidRPr="000958C6">
              <w:t>). Attiecīgi lūdzam detalizēti skaidrot rīcības brīvības izmantošanu atbilstoši instrukcijas Nr. 19 56.5. apakšpunktam, norādot konkrēto direktīvas Nr. 2018/844 normu, kas paredz rīcības brīvību, kādā veidā minētā rīcības brīvība ir izmantota noteikumu projektā (tai skaitā izvērsti skaidrojot 8. panta 6. punkta "a" apakšpunktā paredzētās rīcības brīvības izmantošanas veidu un pamatotību, ņemot vērā šajā apakšpunktā norādīto, ka tai skaitā var nepiemērot 8. panta 2. punktu konkrētām ēku kategorijām</w:t>
            </w:r>
            <w:r w:rsidRPr="00CC1AD7">
              <w:t xml:space="preserve">, ja ir iesniegti līdz 2021. gada 10. martam </w:t>
            </w:r>
            <w:r w:rsidRPr="00CC1AD7">
              <w:rPr>
                <w:u w:val="single"/>
              </w:rPr>
              <w:t>būvatļaujas pieteikumi vai līdzvērtīgi pieteikumi</w:t>
            </w:r>
            <w:r w:rsidRPr="00CC1AD7">
              <w:t>, bet nevis izdotas būvatļaujas, ko paredz noteikumu projekta 1. punkts), un</w:t>
            </w:r>
            <w:r w:rsidRPr="000958C6">
              <w:t xml:space="preserve"> to, kādēļ ir vai nav izmantota direktīvā Nr. 2018/844 paredzētā rīcības brīvība.</w:t>
            </w:r>
          </w:p>
          <w:p w:rsidR="00B83DB0" w:rsidRPr="000958C6" w:rsidRDefault="00B83DB0" w:rsidP="00A746A6">
            <w:pPr>
              <w:pStyle w:val="naisc"/>
              <w:spacing w:before="0" w:after="0"/>
              <w:jc w:val="both"/>
              <w:rPr>
                <w:b/>
                <w:bCs/>
              </w:rPr>
            </w:pPr>
            <w:r w:rsidRPr="000958C6">
              <w:rPr>
                <w:b/>
                <w:bCs/>
              </w:rPr>
              <w:t>Finanšu ministrija (priekšlikums)</w:t>
            </w:r>
          </w:p>
          <w:p w:rsidR="00B83DB0" w:rsidRPr="000958C6" w:rsidRDefault="00B83DB0" w:rsidP="00FC2777">
            <w:r w:rsidRPr="000958C6">
              <w:t xml:space="preserve">Saskaņā ar anotācijā sniegto informāciju noteikumu projekts izstrādāts, lai pārņemtu Eiropas Parlamenta un Padomes 2010. gada 19. maija Direktīvas 2010/31/ES par ēku energoefektivitāti (turpmāk – Direktīva 2010/31/ES) prasības (redakcijā ar Eiropas Parlamenta un Padomes 2018. gada 30. maija Direktīvas (ES) 2018/844, ar ko groza Direktīvu 2010/31/ES par ēku energoefektivitāti un Direktīvu 2012/27/ES par energoefektivitāti (turpmāk – Direktīva </w:t>
            </w:r>
            <w:r w:rsidRPr="000958C6">
              <w:lastRenderedPageBreak/>
              <w:t xml:space="preserve">2018/844), grozījumiem). </w:t>
            </w:r>
            <w:r w:rsidRPr="000958C6">
              <w:tab/>
              <w:t xml:space="preserve">Direktīvas 2018/844 8.panta 2.punkts nosaka, ka attiecībā uz jaunām nedzīvojamām ēkām un nedzīvojamām ēkām, kurās veic nozīmīgu atjaunošanu, ar vairāk nekā desmit stāvvietām, dalībvalstis nodrošina, ka tiek ierīkots vismaz viens uzlādes punkts Eiropas Parlamenta un Padomes Direktīvas 2014/94/ES nozīmē un kabeļkanālu infrastruktūra, t. i., elektrības kabeļiem paredzēti kanāli, vismaz katrai piektajai stāvvietai, lai vēlākā stadijā būtu iespējams ierīkot </w:t>
            </w:r>
            <w:proofErr w:type="spellStart"/>
            <w:r w:rsidRPr="000958C6">
              <w:t>elektrotransportlīdzekļu</w:t>
            </w:r>
            <w:proofErr w:type="spellEnd"/>
            <w:r w:rsidRPr="000958C6">
              <w:t xml:space="preserve"> uzlādes punktus, ja:</w:t>
            </w:r>
          </w:p>
          <w:p w:rsidR="00B83DB0" w:rsidRPr="000958C6" w:rsidRDefault="00B83DB0" w:rsidP="00FC2777">
            <w:r w:rsidRPr="000958C6">
              <w:t xml:space="preserve">a) automašīnu stāvvietas atrodas ēkas iekšienē un – nozīmīgas atjaunošanas gadījumā – atjaunošanas pasākumi ietver automašīnu stāvvietas vai ēkas </w:t>
            </w:r>
            <w:proofErr w:type="spellStart"/>
            <w:r w:rsidRPr="000958C6">
              <w:t>elektroinfrastruktūru</w:t>
            </w:r>
            <w:proofErr w:type="spellEnd"/>
            <w:r w:rsidRPr="000958C6">
              <w:t>; vai</w:t>
            </w:r>
          </w:p>
          <w:p w:rsidR="00B83DB0" w:rsidRPr="000958C6" w:rsidRDefault="00B83DB0" w:rsidP="00FC2777">
            <w:r w:rsidRPr="000958C6">
              <w:t xml:space="preserve">b) automašīnu stāvvietas atrodas fiziski blakus ēkai un – nozīmīgas atjaunošanas gadījumā – atjaunošanas pasākumi ietver automašīnu stāvvietas vai automašīnu stāvvietu </w:t>
            </w:r>
            <w:proofErr w:type="spellStart"/>
            <w:r w:rsidRPr="000958C6">
              <w:t>elektroinfrastruktūru</w:t>
            </w:r>
            <w:proofErr w:type="spellEnd"/>
            <w:r w:rsidRPr="000958C6">
              <w:t>.</w:t>
            </w:r>
          </w:p>
          <w:p w:rsidR="00B83DB0" w:rsidRPr="000958C6" w:rsidRDefault="00B83DB0" w:rsidP="00FC2777">
            <w:r w:rsidRPr="000958C6">
              <w:t>Tai pat laikā Direktīvas 2018/844 8.panta 6.punktā noteikti gadījumi, kad dalībvalstis var nepiemērot 8.panta 2., 3. un 5. punktu konkrētām ēku kategorijām, t.i., ja:</w:t>
            </w:r>
          </w:p>
          <w:p w:rsidR="00B83DB0" w:rsidRPr="000958C6" w:rsidRDefault="00B83DB0" w:rsidP="00FC2777">
            <w:r w:rsidRPr="000958C6">
              <w:t>a) attiecībā uz 2. un 5. punktu – būvatļaujas pieteikumi vai līdzvērtīgi pieteikumi ir iesniegti līdz 2021. gada 10. martam;</w:t>
            </w:r>
          </w:p>
          <w:p w:rsidR="00B83DB0" w:rsidRPr="000958C6" w:rsidRDefault="00B83DB0" w:rsidP="00FC2777">
            <w:r w:rsidRPr="000958C6">
              <w:t xml:space="preserve">b) vajadzīgā kabeļkanālu infrastruktūra </w:t>
            </w:r>
            <w:r w:rsidRPr="000958C6">
              <w:rPr>
                <w:u w:val="single"/>
              </w:rPr>
              <w:lastRenderedPageBreak/>
              <w:t>būtu atkarīga no izolētām mikrosistēmām</w:t>
            </w:r>
            <w:r w:rsidRPr="000958C6">
              <w:t xml:space="preserve"> vai ēkas atrodas tālākajos reģionos Līguma par Eiropas Savienības darbību 349. panta nozīmē, ja tā rezultātā rastos būtiskas problēmas vietējās energosistēmas darbībai un tiktu apdraudēta vietējā tīkla stabilitāte;</w:t>
            </w:r>
          </w:p>
          <w:p w:rsidR="00B83DB0" w:rsidRPr="000958C6" w:rsidRDefault="00B83DB0" w:rsidP="00FC2777">
            <w:r w:rsidRPr="000958C6">
              <w:t>c) uzlādes punktu un kabeļkanālu ierīkošanas izmaksas pārsniedz 7 % no ēkas nozīmīgās atjaunošanas kopējām izmaksām;</w:t>
            </w:r>
          </w:p>
          <w:p w:rsidR="00B83DB0" w:rsidRPr="000958C6" w:rsidRDefault="00B83DB0" w:rsidP="00FC2777">
            <w:r w:rsidRPr="000958C6">
              <w:t>d) uz publisku ēku jau attiecas līdzīgas prasības saskaņā ar Direktīvas 2014/94/ES transponēšanu.</w:t>
            </w:r>
          </w:p>
          <w:p w:rsidR="00B83DB0" w:rsidRPr="000958C6" w:rsidRDefault="00B83DB0" w:rsidP="00FC2777">
            <w:r w:rsidRPr="000958C6">
              <w:t xml:space="preserve">Izņēmums noteikts arī Direktīvas  2018/844  8.panta 4.punktā: dalībvalstis var nolemt Direktīvas  2018/844  8.panta 2. un 3. punktā minētās prasības nenoteikt vai nepiemērot ēkām, kas ir mazo un vidējo uzņēmumu, kā definēts Komisijas Ieteikuma 2003/361/EK pielikuma I sadaļā, īpašumā un lietošanā. </w:t>
            </w:r>
          </w:p>
          <w:p w:rsidR="00B83DB0" w:rsidRPr="000958C6" w:rsidRDefault="00B83DB0" w:rsidP="00FC2777">
            <w:pPr>
              <w:pStyle w:val="naisc"/>
              <w:spacing w:before="0" w:after="0"/>
              <w:jc w:val="both"/>
              <w:rPr>
                <w:b/>
                <w:bCs/>
              </w:rPr>
            </w:pPr>
            <w:r w:rsidRPr="000958C6">
              <w:t>Ievērojot minēto, lūdzam skaidrot, kādēļ noteikumu projekts paredz piemērot Direktīvas  2018/844  8.panta 2.punktu jebkurā gadījumā, neparedzot iespējamos izņēmuma gadījumus, kas noteikti Direktīvas  2018/844  8.panta 4.punktā un 6.punkta b, c, d apakšpunktos.</w:t>
            </w:r>
          </w:p>
        </w:tc>
        <w:tc>
          <w:tcPr>
            <w:tcW w:w="3119" w:type="dxa"/>
            <w:gridSpan w:val="2"/>
            <w:tcBorders>
              <w:left w:val="single" w:sz="6" w:space="0" w:color="000000"/>
              <w:bottom w:val="single" w:sz="4" w:space="0" w:color="auto"/>
              <w:right w:val="single" w:sz="6" w:space="0" w:color="000000"/>
            </w:tcBorders>
          </w:tcPr>
          <w:p w:rsidR="00B83DB0" w:rsidRPr="00881DAD" w:rsidRDefault="00B83DB0" w:rsidP="00A746A6">
            <w:pPr>
              <w:pStyle w:val="naisc"/>
              <w:spacing w:before="0" w:after="0"/>
              <w:rPr>
                <w:b/>
              </w:rPr>
            </w:pPr>
            <w:r w:rsidRPr="00881DAD">
              <w:rPr>
                <w:b/>
              </w:rPr>
              <w:lastRenderedPageBreak/>
              <w:t>Ņemts vērā.</w:t>
            </w:r>
          </w:p>
          <w:p w:rsidR="00B83DB0" w:rsidRPr="00FC2777" w:rsidRDefault="00B83DB0" w:rsidP="000324F6">
            <w:pPr>
              <w:pStyle w:val="naisc"/>
              <w:spacing w:before="0" w:after="0"/>
              <w:rPr>
                <w:b/>
                <w:highlight w:val="yellow"/>
              </w:rPr>
            </w:pPr>
          </w:p>
        </w:tc>
        <w:tc>
          <w:tcPr>
            <w:tcW w:w="3118" w:type="dxa"/>
            <w:tcBorders>
              <w:top w:val="single" w:sz="4" w:space="0" w:color="auto"/>
              <w:left w:val="single" w:sz="4" w:space="0" w:color="auto"/>
              <w:bottom w:val="single" w:sz="4" w:space="0" w:color="auto"/>
            </w:tcBorders>
          </w:tcPr>
          <w:p w:rsidR="00B83DB0" w:rsidRPr="0065637A" w:rsidRDefault="00B83DB0" w:rsidP="00990BF6">
            <w:pPr>
              <w:pStyle w:val="naisc"/>
              <w:spacing w:before="0" w:after="0"/>
              <w:jc w:val="left"/>
            </w:pPr>
            <w:r w:rsidRPr="0065637A">
              <w:t>Precizēta anotācijas V sadaļas 1. tabula.</w:t>
            </w:r>
          </w:p>
          <w:p w:rsidR="00B83DB0" w:rsidRPr="0065637A" w:rsidRDefault="00B83DB0" w:rsidP="00990BF6">
            <w:pPr>
              <w:pStyle w:val="naisc"/>
              <w:spacing w:before="0" w:after="0"/>
              <w:jc w:val="left"/>
            </w:pPr>
          </w:p>
          <w:p w:rsidR="00B83DB0" w:rsidRPr="0065637A" w:rsidRDefault="00B83DB0" w:rsidP="00990BF6">
            <w:pPr>
              <w:pStyle w:val="naisc"/>
              <w:spacing w:before="0" w:after="0"/>
              <w:jc w:val="left"/>
            </w:pPr>
            <w:r w:rsidRPr="0065637A">
              <w:t>1. punkts:</w:t>
            </w:r>
          </w:p>
          <w:p w:rsidR="00E20A50" w:rsidRPr="001D2FBC" w:rsidRDefault="00B83DB0" w:rsidP="00E20A50">
            <w:pPr>
              <w:contextualSpacing/>
            </w:pPr>
            <w:r w:rsidRPr="0065637A">
              <w:t>”</w:t>
            </w:r>
            <w:r w:rsidR="00E20A50">
              <w:t xml:space="preserve"> 1. P</w:t>
            </w:r>
            <w:r w:rsidR="00E20A50" w:rsidRPr="001D2FBC">
              <w:t xml:space="preserve">apildināt noteikumus ar </w:t>
            </w:r>
            <w:r w:rsidR="00E20A50">
              <w:t>4</w:t>
            </w:r>
            <w:r w:rsidR="00E20A50" w:rsidRPr="001D2FBC">
              <w:t>.</w:t>
            </w:r>
            <w:r w:rsidR="00E20A50">
              <w:t> </w:t>
            </w:r>
            <w:r w:rsidR="00E20A50" w:rsidRPr="001D2FBC">
              <w:t>punktu šādā redakcijā</w:t>
            </w:r>
            <w:r w:rsidR="00E20A50">
              <w:t>:</w:t>
            </w:r>
          </w:p>
          <w:p w:rsidR="00B83DB0" w:rsidRPr="0065637A" w:rsidRDefault="00E20A50" w:rsidP="00E20A50">
            <w:pPr>
              <w:pStyle w:val="naisc"/>
              <w:spacing w:before="0" w:after="0"/>
              <w:jc w:val="both"/>
            </w:pPr>
            <w:r w:rsidRPr="003C631B">
              <w:lastRenderedPageBreak/>
              <w:t xml:space="preserve">“4. Būvniecības ieceres dokumentāciju, kas </w:t>
            </w:r>
            <w:r>
              <w:t xml:space="preserve">normatīvajos aktos būvniecības jomā </w:t>
            </w:r>
            <w:r w:rsidRPr="003C631B">
              <w:t>noteikt</w:t>
            </w:r>
            <w:r>
              <w:t>aj</w:t>
            </w:r>
            <w:r w:rsidRPr="003C631B">
              <w:t xml:space="preserve">ā kārtībā saskaņota (akceptēta) vai iesniegta saskaņošanai institūcijā, kas pilda būvvaldes funkcijas, līdz 2021. gada 10. martam, var nepārstrādāt atbilstoši </w:t>
            </w:r>
            <w:r w:rsidRPr="003C631B">
              <w:rPr>
                <w:shd w:val="clear" w:color="auto" w:fill="FFFFFF"/>
              </w:rPr>
              <w:t xml:space="preserve">Latvijas būvnormatīva LBN 208-15 </w:t>
            </w:r>
            <w:r w:rsidRPr="003C631B">
              <w:t>89.</w:t>
            </w:r>
            <w:r w:rsidRPr="003C631B">
              <w:rPr>
                <w:vertAlign w:val="superscript"/>
              </w:rPr>
              <w:t>1</w:t>
            </w:r>
            <w:r w:rsidRPr="003C631B">
              <w:t> un 89.</w:t>
            </w:r>
            <w:r w:rsidRPr="003C631B">
              <w:rPr>
                <w:vertAlign w:val="superscript"/>
              </w:rPr>
              <w:t>2</w:t>
            </w:r>
            <w:r w:rsidRPr="003C631B">
              <w:t> punkta prasībām.”</w:t>
            </w:r>
            <w:r w:rsidR="00B83DB0" w:rsidRPr="0065637A">
              <w:t>”</w:t>
            </w:r>
          </w:p>
        </w:tc>
      </w:tr>
      <w:tr w:rsidR="00C54458" w:rsidRPr="00712B66" w:rsidTr="00F10DF3">
        <w:tc>
          <w:tcPr>
            <w:tcW w:w="708" w:type="dxa"/>
            <w:tcBorders>
              <w:left w:val="single" w:sz="6" w:space="0" w:color="000000"/>
              <w:bottom w:val="single" w:sz="4" w:space="0" w:color="auto"/>
              <w:right w:val="single" w:sz="6" w:space="0" w:color="000000"/>
            </w:tcBorders>
          </w:tcPr>
          <w:p w:rsidR="00C54458" w:rsidRDefault="00C54458" w:rsidP="00B83DB0">
            <w:pPr>
              <w:pStyle w:val="naisc"/>
              <w:spacing w:before="0" w:after="0"/>
            </w:pPr>
            <w:r>
              <w:lastRenderedPageBreak/>
              <w:t>13.</w:t>
            </w:r>
          </w:p>
        </w:tc>
        <w:tc>
          <w:tcPr>
            <w:tcW w:w="3086" w:type="dxa"/>
            <w:gridSpan w:val="2"/>
            <w:tcBorders>
              <w:left w:val="single" w:sz="6" w:space="0" w:color="000000"/>
              <w:bottom w:val="single" w:sz="4" w:space="0" w:color="auto"/>
              <w:right w:val="single" w:sz="6" w:space="0" w:color="000000"/>
            </w:tcBorders>
          </w:tcPr>
          <w:p w:rsidR="00C54458" w:rsidRDefault="00C54458" w:rsidP="00A746A6">
            <w:pPr>
              <w:pStyle w:val="naisc"/>
              <w:spacing w:before="0" w:after="0"/>
              <w:jc w:val="left"/>
            </w:pPr>
            <w:r>
              <w:t>Anotācijas V sadaļas 1. tabula.</w:t>
            </w:r>
          </w:p>
        </w:tc>
        <w:tc>
          <w:tcPr>
            <w:tcW w:w="4394" w:type="dxa"/>
            <w:tcBorders>
              <w:left w:val="single" w:sz="6" w:space="0" w:color="000000"/>
              <w:bottom w:val="single" w:sz="4" w:space="0" w:color="auto"/>
              <w:right w:val="single" w:sz="6" w:space="0" w:color="000000"/>
            </w:tcBorders>
          </w:tcPr>
          <w:p w:rsidR="00C54458" w:rsidRDefault="00C54458" w:rsidP="000958C6">
            <w:pPr>
              <w:pStyle w:val="naisc"/>
              <w:spacing w:before="0" w:after="0"/>
              <w:jc w:val="left"/>
              <w:rPr>
                <w:b/>
                <w:bCs/>
              </w:rPr>
            </w:pPr>
            <w:r>
              <w:rPr>
                <w:b/>
                <w:bCs/>
              </w:rPr>
              <w:t>Tieslietu ministrija (papildus priekšlikums)</w:t>
            </w:r>
          </w:p>
          <w:p w:rsidR="00C54458" w:rsidRPr="000958C6" w:rsidRDefault="00C54458" w:rsidP="00C54458">
            <w:pPr>
              <w:pStyle w:val="naisc"/>
              <w:spacing w:before="0" w:after="0"/>
              <w:jc w:val="both"/>
              <w:rPr>
                <w:b/>
                <w:bCs/>
              </w:rPr>
            </w:pPr>
            <w:r>
              <w:rPr>
                <w:bCs/>
                <w:iCs/>
                <w:bdr w:val="none" w:sz="0" w:space="0" w:color="auto" w:frame="1"/>
              </w:rPr>
              <w:t>I</w:t>
            </w:r>
            <w:r w:rsidRPr="00B27228">
              <w:rPr>
                <w:bCs/>
                <w:iCs/>
                <w:bdr w:val="none" w:sz="0" w:space="0" w:color="auto" w:frame="1"/>
              </w:rPr>
              <w:t>zsakām priekšlikumu noteikumu projekta anotācijā V sadaļas 1. tabulu papildināt ar skaidrojumu, kādēļ ir izmantota</w:t>
            </w:r>
            <w:r w:rsidRPr="00B27228">
              <w:rPr>
                <w:rStyle w:val="apple-converted-space"/>
                <w:bCs/>
                <w:iCs/>
                <w:bdr w:val="none" w:sz="0" w:space="0" w:color="auto" w:frame="1"/>
              </w:rPr>
              <w:t> </w:t>
            </w:r>
            <w:r w:rsidRPr="00B27228">
              <w:rPr>
                <w:bCs/>
                <w:iCs/>
                <w:bdr w:val="none" w:sz="0" w:space="0" w:color="auto" w:frame="1"/>
              </w:rPr>
              <w:t xml:space="preserve">Direktīvas </w:t>
            </w:r>
            <w:r w:rsidRPr="00B27228">
              <w:rPr>
                <w:bCs/>
                <w:iCs/>
                <w:bdr w:val="none" w:sz="0" w:space="0" w:color="auto" w:frame="1"/>
              </w:rPr>
              <w:lastRenderedPageBreak/>
              <w:t>2010/31/ES 8. panta 6. punkta a apakšpunktā paredzētā rīcības brīvība, ievērojot Ministru kabineta 2009. gada 15. decembra instrukcijas Nr. 19 "Tiesību akta projekta sākotnējās ietekmes izvērtēšanas kārtība" 56.5. apakšpunktu.</w:t>
            </w:r>
          </w:p>
        </w:tc>
        <w:tc>
          <w:tcPr>
            <w:tcW w:w="3119" w:type="dxa"/>
            <w:gridSpan w:val="2"/>
            <w:tcBorders>
              <w:left w:val="single" w:sz="6" w:space="0" w:color="000000"/>
              <w:bottom w:val="single" w:sz="4" w:space="0" w:color="auto"/>
              <w:right w:val="single" w:sz="6" w:space="0" w:color="000000"/>
            </w:tcBorders>
          </w:tcPr>
          <w:p w:rsidR="00C54458" w:rsidRPr="00881DAD" w:rsidRDefault="00C54458" w:rsidP="00A746A6">
            <w:pPr>
              <w:pStyle w:val="naisc"/>
              <w:spacing w:before="0" w:after="0"/>
              <w:rPr>
                <w:b/>
              </w:rPr>
            </w:pPr>
            <w:r>
              <w:rPr>
                <w:b/>
              </w:rPr>
              <w:lastRenderedPageBreak/>
              <w:t>Ņemts vērā.</w:t>
            </w:r>
          </w:p>
        </w:tc>
        <w:tc>
          <w:tcPr>
            <w:tcW w:w="3118" w:type="dxa"/>
            <w:tcBorders>
              <w:top w:val="single" w:sz="4" w:space="0" w:color="auto"/>
              <w:left w:val="single" w:sz="4" w:space="0" w:color="auto"/>
              <w:bottom w:val="single" w:sz="4" w:space="0" w:color="auto"/>
            </w:tcBorders>
          </w:tcPr>
          <w:p w:rsidR="00C54458" w:rsidRPr="0065637A" w:rsidRDefault="00C54458" w:rsidP="00990BF6">
            <w:pPr>
              <w:pStyle w:val="naisc"/>
              <w:spacing w:before="0" w:after="0"/>
              <w:jc w:val="left"/>
            </w:pPr>
            <w:r w:rsidRPr="0065637A">
              <w:t>Precizēta anotācijas V sadaļas 1. tabula.</w:t>
            </w:r>
          </w:p>
        </w:tc>
      </w:tr>
      <w:tr w:rsidR="00B83DB0" w:rsidRPr="005F0B43" w:rsidTr="00F10DF3">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rsidR="00B83DB0" w:rsidRPr="00712B66" w:rsidRDefault="00B83DB0" w:rsidP="003A191F">
            <w:pPr>
              <w:pStyle w:val="naiskr"/>
              <w:spacing w:before="0" w:after="0"/>
              <w:jc w:val="center"/>
            </w:pPr>
          </w:p>
          <w:p w:rsidR="00B83DB0" w:rsidRPr="00712B66" w:rsidRDefault="00B83DB0" w:rsidP="003A191F">
            <w:pPr>
              <w:pStyle w:val="naiskr"/>
              <w:spacing w:before="0" w:after="0"/>
              <w:jc w:val="center"/>
            </w:pPr>
            <w:r w:rsidRPr="00712B66">
              <w:t>Atbildīgā amatpersona</w:t>
            </w:r>
          </w:p>
        </w:tc>
        <w:tc>
          <w:tcPr>
            <w:tcW w:w="6179" w:type="dxa"/>
            <w:gridSpan w:val="3"/>
          </w:tcPr>
          <w:p w:rsidR="00B83DB0" w:rsidRPr="00712B66" w:rsidRDefault="00B83DB0" w:rsidP="003A191F">
            <w:pPr>
              <w:pStyle w:val="naiskr"/>
              <w:spacing w:before="0" w:after="0"/>
              <w:jc w:val="center"/>
            </w:pPr>
          </w:p>
        </w:tc>
      </w:tr>
      <w:tr w:rsidR="00B83DB0" w:rsidRPr="005F0B43" w:rsidTr="00F10DF3">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rsidR="00B83DB0" w:rsidRPr="00712B66" w:rsidRDefault="00B83DB0" w:rsidP="003A191F">
            <w:pPr>
              <w:pStyle w:val="naiskr"/>
              <w:spacing w:before="0" w:after="0"/>
              <w:jc w:val="center"/>
            </w:pPr>
          </w:p>
        </w:tc>
        <w:tc>
          <w:tcPr>
            <w:tcW w:w="6179" w:type="dxa"/>
            <w:gridSpan w:val="3"/>
            <w:tcBorders>
              <w:top w:val="single" w:sz="6" w:space="0" w:color="000000"/>
            </w:tcBorders>
          </w:tcPr>
          <w:p w:rsidR="00B83DB0" w:rsidRPr="00712B66" w:rsidRDefault="00B83DB0" w:rsidP="003A191F">
            <w:pPr>
              <w:pStyle w:val="naisc"/>
              <w:spacing w:before="0" w:after="0"/>
            </w:pPr>
            <w:r w:rsidRPr="00712B66">
              <w:t>(paraksts*)</w:t>
            </w:r>
          </w:p>
        </w:tc>
      </w:tr>
    </w:tbl>
    <w:p w:rsidR="007116C7" w:rsidRDefault="007116C7" w:rsidP="00DB7395">
      <w:pPr>
        <w:pStyle w:val="naisf"/>
        <w:spacing w:before="0" w:after="0"/>
        <w:ind w:firstLine="720"/>
      </w:pPr>
    </w:p>
    <w:p w:rsidR="00317DC7"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8B1E63" w:rsidRPr="00712B66" w:rsidRDefault="008B1E63" w:rsidP="00DB7395">
      <w:pPr>
        <w:pStyle w:val="naisf"/>
        <w:spacing w:before="0" w:after="0"/>
        <w:ind w:firstLine="720"/>
      </w:pPr>
    </w:p>
    <w:tbl>
      <w:tblPr>
        <w:tblW w:w="0" w:type="auto"/>
        <w:tblLook w:val="00A0"/>
      </w:tblPr>
      <w:tblGrid>
        <w:gridCol w:w="8268"/>
      </w:tblGrid>
      <w:tr w:rsidR="008B1E63" w:rsidRPr="00712B66" w:rsidTr="008B1E63">
        <w:trPr>
          <w:trHeight w:val="284"/>
        </w:trPr>
        <w:tc>
          <w:tcPr>
            <w:tcW w:w="8268" w:type="dxa"/>
            <w:tcBorders>
              <w:bottom w:val="single" w:sz="4" w:space="0" w:color="000000"/>
            </w:tcBorders>
          </w:tcPr>
          <w:p w:rsidR="008B1E63" w:rsidRDefault="008B1E63" w:rsidP="008B1E63">
            <w:pPr>
              <w:jc w:val="center"/>
            </w:pPr>
            <w:r>
              <w:t>Marta Bergmane</w:t>
            </w:r>
          </w:p>
        </w:tc>
      </w:tr>
      <w:tr w:rsidR="008B1E63" w:rsidRPr="00712B66" w:rsidTr="008B1E63">
        <w:trPr>
          <w:trHeight w:val="284"/>
        </w:trPr>
        <w:tc>
          <w:tcPr>
            <w:tcW w:w="8268" w:type="dxa"/>
            <w:tcBorders>
              <w:top w:val="single" w:sz="4" w:space="0" w:color="000000"/>
            </w:tcBorders>
          </w:tcPr>
          <w:p w:rsidR="008B1E63" w:rsidRPr="00A270F9" w:rsidRDefault="008B1E63" w:rsidP="008B1E63">
            <w:pPr>
              <w:jc w:val="center"/>
              <w:rPr>
                <w:sz w:val="20"/>
                <w:szCs w:val="20"/>
              </w:rPr>
            </w:pPr>
            <w:r w:rsidRPr="00A270F9">
              <w:rPr>
                <w:sz w:val="20"/>
                <w:szCs w:val="20"/>
              </w:rPr>
              <w:t>(par projektu atbildīgās amatpersonas vārds un uzvārds)</w:t>
            </w:r>
          </w:p>
        </w:tc>
      </w:tr>
      <w:tr w:rsidR="008B1E63" w:rsidRPr="00712B66" w:rsidTr="008B1E63">
        <w:trPr>
          <w:trHeight w:val="284"/>
        </w:trPr>
        <w:tc>
          <w:tcPr>
            <w:tcW w:w="8268" w:type="dxa"/>
            <w:tcBorders>
              <w:bottom w:val="single" w:sz="4" w:space="0" w:color="000000"/>
            </w:tcBorders>
          </w:tcPr>
          <w:p w:rsidR="008B1E63" w:rsidRPr="00712B66" w:rsidRDefault="008B1E63" w:rsidP="008B1E63">
            <w:pPr>
              <w:jc w:val="center"/>
            </w:pPr>
            <w:r>
              <w:t>Mājokļu politikas departamenta vecākā referente</w:t>
            </w:r>
          </w:p>
        </w:tc>
      </w:tr>
      <w:tr w:rsidR="008B1E63" w:rsidRPr="00712B66" w:rsidTr="008B1E63">
        <w:trPr>
          <w:trHeight w:val="284"/>
        </w:trPr>
        <w:tc>
          <w:tcPr>
            <w:tcW w:w="8268" w:type="dxa"/>
            <w:tcBorders>
              <w:top w:val="single" w:sz="4" w:space="0" w:color="000000"/>
            </w:tcBorders>
          </w:tcPr>
          <w:p w:rsidR="008B1E63" w:rsidRPr="00A270F9" w:rsidRDefault="008B1E63" w:rsidP="008B1E63">
            <w:pPr>
              <w:jc w:val="center"/>
              <w:rPr>
                <w:sz w:val="20"/>
                <w:szCs w:val="20"/>
              </w:rPr>
            </w:pPr>
            <w:r w:rsidRPr="00A270F9">
              <w:rPr>
                <w:sz w:val="20"/>
                <w:szCs w:val="20"/>
              </w:rPr>
              <w:t>(amats)</w:t>
            </w:r>
          </w:p>
        </w:tc>
      </w:tr>
      <w:tr w:rsidR="008B1E63" w:rsidRPr="00712B66" w:rsidTr="008B1E63">
        <w:trPr>
          <w:trHeight w:val="284"/>
        </w:trPr>
        <w:tc>
          <w:tcPr>
            <w:tcW w:w="8268" w:type="dxa"/>
            <w:tcBorders>
              <w:bottom w:val="single" w:sz="4" w:space="0" w:color="000000"/>
            </w:tcBorders>
          </w:tcPr>
          <w:p w:rsidR="008B1E63" w:rsidRPr="00712B66" w:rsidRDefault="008B1E63" w:rsidP="008B1E63">
            <w:pPr>
              <w:jc w:val="center"/>
            </w:pPr>
            <w:r>
              <w:t>Tālr. 67013041, Fakss 67280882</w:t>
            </w:r>
          </w:p>
        </w:tc>
      </w:tr>
      <w:tr w:rsidR="008B1E63" w:rsidRPr="00712B66" w:rsidTr="008B1E63">
        <w:trPr>
          <w:trHeight w:val="284"/>
        </w:trPr>
        <w:tc>
          <w:tcPr>
            <w:tcW w:w="8268" w:type="dxa"/>
            <w:tcBorders>
              <w:top w:val="single" w:sz="4" w:space="0" w:color="000000"/>
            </w:tcBorders>
          </w:tcPr>
          <w:p w:rsidR="008B1E63" w:rsidRPr="00A270F9" w:rsidRDefault="008B1E63" w:rsidP="008B1E63">
            <w:pPr>
              <w:jc w:val="center"/>
              <w:rPr>
                <w:sz w:val="20"/>
                <w:szCs w:val="20"/>
              </w:rPr>
            </w:pPr>
            <w:r w:rsidRPr="00A270F9">
              <w:rPr>
                <w:sz w:val="20"/>
                <w:szCs w:val="20"/>
              </w:rPr>
              <w:t>(tālruņa un faksa numurs)</w:t>
            </w:r>
          </w:p>
        </w:tc>
      </w:tr>
      <w:tr w:rsidR="008B1E63" w:rsidRPr="00712B66" w:rsidTr="008B1E63">
        <w:trPr>
          <w:trHeight w:val="284"/>
        </w:trPr>
        <w:tc>
          <w:tcPr>
            <w:tcW w:w="8268" w:type="dxa"/>
            <w:tcBorders>
              <w:bottom w:val="single" w:sz="4" w:space="0" w:color="000000"/>
            </w:tcBorders>
          </w:tcPr>
          <w:p w:rsidR="008B1E63" w:rsidRPr="00712B66" w:rsidRDefault="008B1E63" w:rsidP="008B1E63">
            <w:pPr>
              <w:jc w:val="center"/>
            </w:pPr>
            <w:r>
              <w:t>Marta.Bergmane@em.gov.lv</w:t>
            </w:r>
          </w:p>
        </w:tc>
      </w:tr>
      <w:tr w:rsidR="008B1E63" w:rsidRPr="00712B66" w:rsidTr="008B1E63">
        <w:trPr>
          <w:trHeight w:val="284"/>
        </w:trPr>
        <w:tc>
          <w:tcPr>
            <w:tcW w:w="8268" w:type="dxa"/>
            <w:tcBorders>
              <w:top w:val="single" w:sz="4" w:space="0" w:color="000000"/>
            </w:tcBorders>
          </w:tcPr>
          <w:p w:rsidR="008B1E63" w:rsidRPr="00A270F9" w:rsidRDefault="008B1E63" w:rsidP="008B1E63">
            <w:pPr>
              <w:jc w:val="center"/>
              <w:rPr>
                <w:sz w:val="20"/>
                <w:szCs w:val="20"/>
              </w:rPr>
            </w:pPr>
            <w:r w:rsidRPr="00A270F9">
              <w:rPr>
                <w:sz w:val="20"/>
                <w:szCs w:val="20"/>
              </w:rPr>
              <w:t>(e-pasta adrese)</w:t>
            </w:r>
          </w:p>
        </w:tc>
      </w:tr>
    </w:tbl>
    <w:p w:rsidR="007116C7" w:rsidRPr="00507795" w:rsidRDefault="007116C7" w:rsidP="00507795">
      <w:pPr>
        <w:pStyle w:val="naisf"/>
        <w:spacing w:before="0" w:after="0"/>
        <w:ind w:firstLine="0"/>
      </w:pPr>
    </w:p>
    <w:sectPr w:rsidR="007116C7" w:rsidRPr="00507795"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F2A" w:rsidRDefault="00745F2A">
      <w:r>
        <w:separator/>
      </w:r>
    </w:p>
  </w:endnote>
  <w:endnote w:type="continuationSeparator" w:id="0">
    <w:p w:rsidR="00745F2A" w:rsidRDefault="00745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8" w:rsidRPr="005D1A52" w:rsidRDefault="00123658" w:rsidP="005D1A52">
    <w:pPr>
      <w:pStyle w:val="Footer"/>
      <w:rPr>
        <w:sz w:val="20"/>
        <w:szCs w:val="20"/>
      </w:rPr>
    </w:pPr>
    <w:r>
      <w:rPr>
        <w:sz w:val="20"/>
        <w:szCs w:val="20"/>
      </w:rPr>
      <w:t>EMI</w:t>
    </w:r>
    <w:r w:rsidRPr="00015C84">
      <w:rPr>
        <w:sz w:val="20"/>
        <w:szCs w:val="20"/>
      </w:rPr>
      <w:t>zz_</w:t>
    </w:r>
    <w:r w:rsidR="00B83DB0">
      <w:rPr>
        <w:sz w:val="20"/>
        <w:szCs w:val="20"/>
      </w:rPr>
      <w:t>29</w:t>
    </w:r>
    <w:r w:rsidRPr="00015C84">
      <w:rPr>
        <w:sz w:val="20"/>
        <w:szCs w:val="20"/>
      </w:rPr>
      <w:t>0</w:t>
    </w:r>
    <w:r w:rsidR="003D5688">
      <w:rPr>
        <w:sz w:val="20"/>
        <w:szCs w:val="20"/>
      </w:rPr>
      <w:t>4</w:t>
    </w:r>
    <w:r>
      <w:rPr>
        <w:sz w:val="20"/>
        <w:szCs w:val="20"/>
      </w:rPr>
      <w:t>2</w:t>
    </w:r>
    <w:r w:rsidRPr="00015C84">
      <w:rPr>
        <w:sz w:val="20"/>
        <w:szCs w:val="20"/>
      </w:rPr>
      <w:t>0</w:t>
    </w:r>
    <w:r>
      <w:rPr>
        <w:sz w:val="20"/>
        <w:szCs w:val="20"/>
      </w:rPr>
      <w:t>_</w:t>
    </w:r>
    <w:r w:rsidR="003D5688">
      <w:rPr>
        <w:sz w:val="20"/>
        <w:szCs w:val="20"/>
      </w:rPr>
      <w:t>LBN208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8" w:rsidRPr="00015C84" w:rsidRDefault="00123658" w:rsidP="00364BB6">
    <w:pPr>
      <w:pStyle w:val="Footer"/>
      <w:rPr>
        <w:sz w:val="20"/>
        <w:szCs w:val="20"/>
      </w:rPr>
    </w:pPr>
    <w:r>
      <w:rPr>
        <w:sz w:val="20"/>
        <w:szCs w:val="20"/>
      </w:rPr>
      <w:t>EMI</w:t>
    </w:r>
    <w:r w:rsidRPr="00015C84">
      <w:rPr>
        <w:sz w:val="20"/>
        <w:szCs w:val="20"/>
      </w:rPr>
      <w:t>zz_</w:t>
    </w:r>
    <w:r w:rsidR="00B83DB0">
      <w:rPr>
        <w:sz w:val="20"/>
        <w:szCs w:val="20"/>
      </w:rPr>
      <w:t>29</w:t>
    </w:r>
    <w:r w:rsidRPr="00015C84">
      <w:rPr>
        <w:sz w:val="20"/>
        <w:szCs w:val="20"/>
      </w:rPr>
      <w:t>0</w:t>
    </w:r>
    <w:r w:rsidR="003D5688">
      <w:rPr>
        <w:sz w:val="20"/>
        <w:szCs w:val="20"/>
      </w:rPr>
      <w:t>4</w:t>
    </w:r>
    <w:r>
      <w:rPr>
        <w:sz w:val="20"/>
        <w:szCs w:val="20"/>
      </w:rPr>
      <w:t>2</w:t>
    </w:r>
    <w:r w:rsidRPr="00015C84">
      <w:rPr>
        <w:sz w:val="20"/>
        <w:szCs w:val="20"/>
      </w:rPr>
      <w:t>0_</w:t>
    </w:r>
    <w:r w:rsidR="00941656">
      <w:rPr>
        <w:sz w:val="20"/>
        <w:szCs w:val="20"/>
      </w:rPr>
      <w:t>LBN2</w:t>
    </w:r>
    <w:r w:rsidR="003D5688">
      <w:rPr>
        <w:sz w:val="20"/>
        <w:szCs w:val="20"/>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F2A" w:rsidRDefault="00745F2A">
      <w:r>
        <w:separator/>
      </w:r>
    </w:p>
  </w:footnote>
  <w:footnote w:type="continuationSeparator" w:id="0">
    <w:p w:rsidR="00745F2A" w:rsidRDefault="00745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8" w:rsidRDefault="007D379A" w:rsidP="00364BB6">
    <w:pPr>
      <w:pStyle w:val="Header"/>
      <w:framePr w:wrap="around" w:vAnchor="text" w:hAnchor="margin" w:xAlign="center" w:y="1"/>
      <w:rPr>
        <w:rStyle w:val="PageNumber"/>
      </w:rPr>
    </w:pPr>
    <w:r>
      <w:rPr>
        <w:rStyle w:val="PageNumber"/>
      </w:rPr>
      <w:fldChar w:fldCharType="begin"/>
    </w:r>
    <w:r w:rsidR="00123658">
      <w:rPr>
        <w:rStyle w:val="PageNumber"/>
      </w:rPr>
      <w:instrText xml:space="preserve">PAGE  </w:instrText>
    </w:r>
    <w:r>
      <w:rPr>
        <w:rStyle w:val="PageNumber"/>
      </w:rPr>
      <w:fldChar w:fldCharType="end"/>
    </w:r>
  </w:p>
  <w:p w:rsidR="00123658" w:rsidRDefault="001236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8" w:rsidRDefault="007D379A" w:rsidP="00364BB6">
    <w:pPr>
      <w:pStyle w:val="Header"/>
      <w:framePr w:wrap="around" w:vAnchor="text" w:hAnchor="margin" w:xAlign="center" w:y="1"/>
      <w:rPr>
        <w:rStyle w:val="PageNumber"/>
      </w:rPr>
    </w:pPr>
    <w:r>
      <w:rPr>
        <w:rStyle w:val="PageNumber"/>
      </w:rPr>
      <w:fldChar w:fldCharType="begin"/>
    </w:r>
    <w:r w:rsidR="00123658">
      <w:rPr>
        <w:rStyle w:val="PageNumber"/>
      </w:rPr>
      <w:instrText xml:space="preserve">PAGE  </w:instrText>
    </w:r>
    <w:r>
      <w:rPr>
        <w:rStyle w:val="PageNumber"/>
      </w:rPr>
      <w:fldChar w:fldCharType="separate"/>
    </w:r>
    <w:r w:rsidR="00E20A50">
      <w:rPr>
        <w:rStyle w:val="PageNumber"/>
        <w:noProof/>
      </w:rPr>
      <w:t>15</w:t>
    </w:r>
    <w:r>
      <w:rPr>
        <w:rStyle w:val="PageNumber"/>
      </w:rPr>
      <w:fldChar w:fldCharType="end"/>
    </w:r>
  </w:p>
  <w:p w:rsidR="00123658" w:rsidRDefault="00123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28F9"/>
    <w:multiLevelType w:val="hybridMultilevel"/>
    <w:tmpl w:val="7534AC40"/>
    <w:lvl w:ilvl="0" w:tplc="6A0A62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0EA27F11"/>
    <w:multiLevelType w:val="hybridMultilevel"/>
    <w:tmpl w:val="53F2CFDE"/>
    <w:lvl w:ilvl="0" w:tplc="3C6EAC0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291E3146"/>
    <w:multiLevelType w:val="hybridMultilevel"/>
    <w:tmpl w:val="EAEE5D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5B146950"/>
    <w:multiLevelType w:val="hybridMultilevel"/>
    <w:tmpl w:val="F6466ED2"/>
    <w:lvl w:ilvl="0" w:tplc="04260017">
      <w:start w:val="1"/>
      <w:numFmt w:val="lowerLetter"/>
      <w:lvlText w:val="%1)"/>
      <w:lvlJc w:val="left"/>
      <w:pPr>
        <w:ind w:left="1713" w:hanging="360"/>
      </w:pPr>
    </w:lvl>
    <w:lvl w:ilvl="1" w:tplc="04260019">
      <w:start w:val="1"/>
      <w:numFmt w:val="lowerLetter"/>
      <w:lvlText w:val="%2."/>
      <w:lvlJc w:val="left"/>
      <w:pPr>
        <w:ind w:left="2433" w:hanging="360"/>
      </w:pPr>
    </w:lvl>
    <w:lvl w:ilvl="2" w:tplc="0426001B">
      <w:start w:val="1"/>
      <w:numFmt w:val="lowerRoman"/>
      <w:lvlText w:val="%3."/>
      <w:lvlJc w:val="right"/>
      <w:pPr>
        <w:ind w:left="3153" w:hanging="180"/>
      </w:pPr>
    </w:lvl>
    <w:lvl w:ilvl="3" w:tplc="0426000F">
      <w:start w:val="1"/>
      <w:numFmt w:val="decimal"/>
      <w:lvlText w:val="%4."/>
      <w:lvlJc w:val="left"/>
      <w:pPr>
        <w:ind w:left="3873" w:hanging="360"/>
      </w:pPr>
    </w:lvl>
    <w:lvl w:ilvl="4" w:tplc="04260019">
      <w:start w:val="1"/>
      <w:numFmt w:val="lowerLetter"/>
      <w:lvlText w:val="%5."/>
      <w:lvlJc w:val="left"/>
      <w:pPr>
        <w:ind w:left="4593" w:hanging="360"/>
      </w:pPr>
    </w:lvl>
    <w:lvl w:ilvl="5" w:tplc="0426001B">
      <w:start w:val="1"/>
      <w:numFmt w:val="lowerRoman"/>
      <w:lvlText w:val="%6."/>
      <w:lvlJc w:val="right"/>
      <w:pPr>
        <w:ind w:left="5313" w:hanging="180"/>
      </w:pPr>
    </w:lvl>
    <w:lvl w:ilvl="6" w:tplc="0426000F">
      <w:start w:val="1"/>
      <w:numFmt w:val="decimal"/>
      <w:lvlText w:val="%7."/>
      <w:lvlJc w:val="left"/>
      <w:pPr>
        <w:ind w:left="6033" w:hanging="360"/>
      </w:pPr>
    </w:lvl>
    <w:lvl w:ilvl="7" w:tplc="04260019">
      <w:start w:val="1"/>
      <w:numFmt w:val="lowerLetter"/>
      <w:lvlText w:val="%8."/>
      <w:lvlJc w:val="left"/>
      <w:pPr>
        <w:ind w:left="6753" w:hanging="360"/>
      </w:pPr>
    </w:lvl>
    <w:lvl w:ilvl="8" w:tplc="0426001B">
      <w:start w:val="1"/>
      <w:numFmt w:val="lowerRoman"/>
      <w:lvlText w:val="%9."/>
      <w:lvlJc w:val="right"/>
      <w:pPr>
        <w:ind w:left="7473" w:hanging="180"/>
      </w:pPr>
    </w:lvl>
  </w:abstractNum>
  <w:abstractNum w:abstractNumId="6">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4"/>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CE4"/>
    <w:rsid w:val="00001F89"/>
    <w:rsid w:val="00003C53"/>
    <w:rsid w:val="0000456E"/>
    <w:rsid w:val="000054CA"/>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6865"/>
    <w:rsid w:val="000172E2"/>
    <w:rsid w:val="00017449"/>
    <w:rsid w:val="00020249"/>
    <w:rsid w:val="00022338"/>
    <w:rsid w:val="0002296A"/>
    <w:rsid w:val="00022B0F"/>
    <w:rsid w:val="00022B9A"/>
    <w:rsid w:val="00023A79"/>
    <w:rsid w:val="00023FD6"/>
    <w:rsid w:val="0002416A"/>
    <w:rsid w:val="00024CCD"/>
    <w:rsid w:val="00024D20"/>
    <w:rsid w:val="000253DB"/>
    <w:rsid w:val="000278E7"/>
    <w:rsid w:val="00027A63"/>
    <w:rsid w:val="00027F9D"/>
    <w:rsid w:val="000307B5"/>
    <w:rsid w:val="00032457"/>
    <w:rsid w:val="000324F6"/>
    <w:rsid w:val="000334D0"/>
    <w:rsid w:val="0003413A"/>
    <w:rsid w:val="000349CA"/>
    <w:rsid w:val="0003557A"/>
    <w:rsid w:val="00035C06"/>
    <w:rsid w:val="000366DF"/>
    <w:rsid w:val="000372EB"/>
    <w:rsid w:val="000376CD"/>
    <w:rsid w:val="00040A5C"/>
    <w:rsid w:val="000422B5"/>
    <w:rsid w:val="000427F7"/>
    <w:rsid w:val="00043005"/>
    <w:rsid w:val="0004345F"/>
    <w:rsid w:val="00044026"/>
    <w:rsid w:val="00044CDC"/>
    <w:rsid w:val="00046075"/>
    <w:rsid w:val="00046CAD"/>
    <w:rsid w:val="00046F5C"/>
    <w:rsid w:val="00047385"/>
    <w:rsid w:val="00050554"/>
    <w:rsid w:val="000506F2"/>
    <w:rsid w:val="00052E07"/>
    <w:rsid w:val="00053706"/>
    <w:rsid w:val="00053E04"/>
    <w:rsid w:val="000553D6"/>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4360"/>
    <w:rsid w:val="0007577A"/>
    <w:rsid w:val="0007709D"/>
    <w:rsid w:val="000775D0"/>
    <w:rsid w:val="00081B0F"/>
    <w:rsid w:val="0008283D"/>
    <w:rsid w:val="00083090"/>
    <w:rsid w:val="00083214"/>
    <w:rsid w:val="00083B8F"/>
    <w:rsid w:val="00083C33"/>
    <w:rsid w:val="000845DC"/>
    <w:rsid w:val="00084B11"/>
    <w:rsid w:val="00085322"/>
    <w:rsid w:val="0008656F"/>
    <w:rsid w:val="00086AB9"/>
    <w:rsid w:val="00086BCE"/>
    <w:rsid w:val="00086F36"/>
    <w:rsid w:val="00087886"/>
    <w:rsid w:val="00090168"/>
    <w:rsid w:val="00090C76"/>
    <w:rsid w:val="00091033"/>
    <w:rsid w:val="00091F10"/>
    <w:rsid w:val="0009302B"/>
    <w:rsid w:val="00093EC2"/>
    <w:rsid w:val="000958A2"/>
    <w:rsid w:val="000958C6"/>
    <w:rsid w:val="000965E7"/>
    <w:rsid w:val="0009704D"/>
    <w:rsid w:val="00097A10"/>
    <w:rsid w:val="000A0041"/>
    <w:rsid w:val="000A06FC"/>
    <w:rsid w:val="000A1A02"/>
    <w:rsid w:val="000A4035"/>
    <w:rsid w:val="000A483A"/>
    <w:rsid w:val="000A55D2"/>
    <w:rsid w:val="000A64D3"/>
    <w:rsid w:val="000A77B9"/>
    <w:rsid w:val="000A7EA7"/>
    <w:rsid w:val="000B0403"/>
    <w:rsid w:val="000B057B"/>
    <w:rsid w:val="000B06E7"/>
    <w:rsid w:val="000B0C94"/>
    <w:rsid w:val="000B15A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0D3"/>
    <w:rsid w:val="000D0AED"/>
    <w:rsid w:val="000D3602"/>
    <w:rsid w:val="000D4D89"/>
    <w:rsid w:val="000D6BBD"/>
    <w:rsid w:val="000D7751"/>
    <w:rsid w:val="000D7C23"/>
    <w:rsid w:val="000E0A16"/>
    <w:rsid w:val="000E1745"/>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3658"/>
    <w:rsid w:val="001255E6"/>
    <w:rsid w:val="001259F8"/>
    <w:rsid w:val="0013053A"/>
    <w:rsid w:val="0013066A"/>
    <w:rsid w:val="001315EF"/>
    <w:rsid w:val="001317E9"/>
    <w:rsid w:val="00131F39"/>
    <w:rsid w:val="00132375"/>
    <w:rsid w:val="00132E73"/>
    <w:rsid w:val="00133505"/>
    <w:rsid w:val="00134188"/>
    <w:rsid w:val="00137403"/>
    <w:rsid w:val="00137ADE"/>
    <w:rsid w:val="00140706"/>
    <w:rsid w:val="0014122A"/>
    <w:rsid w:val="00141E85"/>
    <w:rsid w:val="0014319C"/>
    <w:rsid w:val="001436B3"/>
    <w:rsid w:val="00143976"/>
    <w:rsid w:val="00143C25"/>
    <w:rsid w:val="00143DAC"/>
    <w:rsid w:val="00144622"/>
    <w:rsid w:val="00144781"/>
    <w:rsid w:val="00144917"/>
    <w:rsid w:val="0014702D"/>
    <w:rsid w:val="00147596"/>
    <w:rsid w:val="001477E1"/>
    <w:rsid w:val="0014790C"/>
    <w:rsid w:val="00152718"/>
    <w:rsid w:val="00152932"/>
    <w:rsid w:val="001530CF"/>
    <w:rsid w:val="00153F12"/>
    <w:rsid w:val="001543DB"/>
    <w:rsid w:val="001547F2"/>
    <w:rsid w:val="00155473"/>
    <w:rsid w:val="00155DC2"/>
    <w:rsid w:val="00156AD6"/>
    <w:rsid w:val="00156D90"/>
    <w:rsid w:val="00156E9F"/>
    <w:rsid w:val="00157A57"/>
    <w:rsid w:val="00157DB6"/>
    <w:rsid w:val="00157EC2"/>
    <w:rsid w:val="00162A68"/>
    <w:rsid w:val="00162E08"/>
    <w:rsid w:val="00163061"/>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2EC2"/>
    <w:rsid w:val="0018386C"/>
    <w:rsid w:val="00184479"/>
    <w:rsid w:val="0018472C"/>
    <w:rsid w:val="00184838"/>
    <w:rsid w:val="00185755"/>
    <w:rsid w:val="00187398"/>
    <w:rsid w:val="00187F73"/>
    <w:rsid w:val="00187FB0"/>
    <w:rsid w:val="001902E9"/>
    <w:rsid w:val="00190327"/>
    <w:rsid w:val="00190A0A"/>
    <w:rsid w:val="001926F2"/>
    <w:rsid w:val="001929A6"/>
    <w:rsid w:val="00193BCE"/>
    <w:rsid w:val="00194B87"/>
    <w:rsid w:val="0019569A"/>
    <w:rsid w:val="00195962"/>
    <w:rsid w:val="00197533"/>
    <w:rsid w:val="001977E7"/>
    <w:rsid w:val="00197CCA"/>
    <w:rsid w:val="001A0A40"/>
    <w:rsid w:val="001A0D8A"/>
    <w:rsid w:val="001A192D"/>
    <w:rsid w:val="001A47B3"/>
    <w:rsid w:val="001A7950"/>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A1B"/>
    <w:rsid w:val="001C0B83"/>
    <w:rsid w:val="001C1510"/>
    <w:rsid w:val="001C1989"/>
    <w:rsid w:val="001C256B"/>
    <w:rsid w:val="001C28FD"/>
    <w:rsid w:val="001C3349"/>
    <w:rsid w:val="001C3F6C"/>
    <w:rsid w:val="001C4ABA"/>
    <w:rsid w:val="001C546B"/>
    <w:rsid w:val="001C5EA2"/>
    <w:rsid w:val="001C6608"/>
    <w:rsid w:val="001C6C7D"/>
    <w:rsid w:val="001C7010"/>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5A05"/>
    <w:rsid w:val="002261CB"/>
    <w:rsid w:val="002268BF"/>
    <w:rsid w:val="00227BDE"/>
    <w:rsid w:val="00230045"/>
    <w:rsid w:val="0023014E"/>
    <w:rsid w:val="002308FA"/>
    <w:rsid w:val="00230E51"/>
    <w:rsid w:val="0023132F"/>
    <w:rsid w:val="00231AA5"/>
    <w:rsid w:val="00232F90"/>
    <w:rsid w:val="0023339B"/>
    <w:rsid w:val="0023469C"/>
    <w:rsid w:val="00234C71"/>
    <w:rsid w:val="00235511"/>
    <w:rsid w:val="002366E0"/>
    <w:rsid w:val="002367DF"/>
    <w:rsid w:val="00236DE1"/>
    <w:rsid w:val="002372EE"/>
    <w:rsid w:val="002372FD"/>
    <w:rsid w:val="0023764D"/>
    <w:rsid w:val="002415BC"/>
    <w:rsid w:val="00241B9B"/>
    <w:rsid w:val="002434B2"/>
    <w:rsid w:val="002442F4"/>
    <w:rsid w:val="002445EA"/>
    <w:rsid w:val="00244ECE"/>
    <w:rsid w:val="00244FC5"/>
    <w:rsid w:val="00245D1D"/>
    <w:rsid w:val="002503C1"/>
    <w:rsid w:val="00250EDA"/>
    <w:rsid w:val="00251284"/>
    <w:rsid w:val="00251502"/>
    <w:rsid w:val="002518E8"/>
    <w:rsid w:val="00251C10"/>
    <w:rsid w:val="00252E1E"/>
    <w:rsid w:val="002538BA"/>
    <w:rsid w:val="0025469D"/>
    <w:rsid w:val="00254945"/>
    <w:rsid w:val="002552B1"/>
    <w:rsid w:val="00255D01"/>
    <w:rsid w:val="00256E55"/>
    <w:rsid w:val="00257E0E"/>
    <w:rsid w:val="00257FF4"/>
    <w:rsid w:val="00260FCB"/>
    <w:rsid w:val="002615F5"/>
    <w:rsid w:val="002616B9"/>
    <w:rsid w:val="0026217B"/>
    <w:rsid w:val="002628C5"/>
    <w:rsid w:val="002629E4"/>
    <w:rsid w:val="00263FE3"/>
    <w:rsid w:val="00265593"/>
    <w:rsid w:val="002675EA"/>
    <w:rsid w:val="00267BC5"/>
    <w:rsid w:val="00267CBE"/>
    <w:rsid w:val="00267E0B"/>
    <w:rsid w:val="00270680"/>
    <w:rsid w:val="00271103"/>
    <w:rsid w:val="002721FA"/>
    <w:rsid w:val="0027230C"/>
    <w:rsid w:val="00272B99"/>
    <w:rsid w:val="0027322D"/>
    <w:rsid w:val="0027380D"/>
    <w:rsid w:val="0027468E"/>
    <w:rsid w:val="00274826"/>
    <w:rsid w:val="00275005"/>
    <w:rsid w:val="002752AB"/>
    <w:rsid w:val="002756D6"/>
    <w:rsid w:val="0027573C"/>
    <w:rsid w:val="002815D0"/>
    <w:rsid w:val="002820A7"/>
    <w:rsid w:val="00282164"/>
    <w:rsid w:val="00283B82"/>
    <w:rsid w:val="00283E13"/>
    <w:rsid w:val="00284146"/>
    <w:rsid w:val="00286478"/>
    <w:rsid w:val="00287EDD"/>
    <w:rsid w:val="002910B5"/>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0C"/>
    <w:rsid w:val="002D1CA4"/>
    <w:rsid w:val="002D2C09"/>
    <w:rsid w:val="002D2C45"/>
    <w:rsid w:val="002D4969"/>
    <w:rsid w:val="002D4EE1"/>
    <w:rsid w:val="002D4F49"/>
    <w:rsid w:val="002D67A1"/>
    <w:rsid w:val="002D73E4"/>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6CC8"/>
    <w:rsid w:val="002F797A"/>
    <w:rsid w:val="00300483"/>
    <w:rsid w:val="00301172"/>
    <w:rsid w:val="0030161D"/>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1F72"/>
    <w:rsid w:val="003223CE"/>
    <w:rsid w:val="00322A2D"/>
    <w:rsid w:val="00322E80"/>
    <w:rsid w:val="00324D5B"/>
    <w:rsid w:val="00325045"/>
    <w:rsid w:val="00325459"/>
    <w:rsid w:val="00325D91"/>
    <w:rsid w:val="003267B4"/>
    <w:rsid w:val="00326CC1"/>
    <w:rsid w:val="00331193"/>
    <w:rsid w:val="003333D4"/>
    <w:rsid w:val="00334951"/>
    <w:rsid w:val="00336411"/>
    <w:rsid w:val="0033678D"/>
    <w:rsid w:val="0033720D"/>
    <w:rsid w:val="00337334"/>
    <w:rsid w:val="003373E8"/>
    <w:rsid w:val="003443DD"/>
    <w:rsid w:val="00344D5A"/>
    <w:rsid w:val="00346001"/>
    <w:rsid w:val="00346EB6"/>
    <w:rsid w:val="0034786D"/>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94E"/>
    <w:rsid w:val="00372221"/>
    <w:rsid w:val="00372CF2"/>
    <w:rsid w:val="0037495E"/>
    <w:rsid w:val="00374C7E"/>
    <w:rsid w:val="0037675F"/>
    <w:rsid w:val="00377353"/>
    <w:rsid w:val="0037736B"/>
    <w:rsid w:val="00381F57"/>
    <w:rsid w:val="0038216E"/>
    <w:rsid w:val="003822E5"/>
    <w:rsid w:val="003830B8"/>
    <w:rsid w:val="00383262"/>
    <w:rsid w:val="00387904"/>
    <w:rsid w:val="003A157A"/>
    <w:rsid w:val="003A191F"/>
    <w:rsid w:val="003A283F"/>
    <w:rsid w:val="003A2A16"/>
    <w:rsid w:val="003A2FDD"/>
    <w:rsid w:val="003A3C43"/>
    <w:rsid w:val="003A5CCC"/>
    <w:rsid w:val="003A5D3B"/>
    <w:rsid w:val="003A70FF"/>
    <w:rsid w:val="003A74D2"/>
    <w:rsid w:val="003A756B"/>
    <w:rsid w:val="003A7902"/>
    <w:rsid w:val="003B234A"/>
    <w:rsid w:val="003B23D7"/>
    <w:rsid w:val="003B3414"/>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6E9"/>
    <w:rsid w:val="003C59B8"/>
    <w:rsid w:val="003C6809"/>
    <w:rsid w:val="003C7897"/>
    <w:rsid w:val="003D0937"/>
    <w:rsid w:val="003D17E6"/>
    <w:rsid w:val="003D1A20"/>
    <w:rsid w:val="003D1AC9"/>
    <w:rsid w:val="003D2AC9"/>
    <w:rsid w:val="003D2CD8"/>
    <w:rsid w:val="003D3724"/>
    <w:rsid w:val="003D46A7"/>
    <w:rsid w:val="003D5688"/>
    <w:rsid w:val="003D5F5F"/>
    <w:rsid w:val="003D6376"/>
    <w:rsid w:val="003E1235"/>
    <w:rsid w:val="003E2A35"/>
    <w:rsid w:val="003E2B56"/>
    <w:rsid w:val="003E2CE1"/>
    <w:rsid w:val="003E2DCB"/>
    <w:rsid w:val="003E4C3F"/>
    <w:rsid w:val="003E4D7C"/>
    <w:rsid w:val="003E5FA8"/>
    <w:rsid w:val="003E6252"/>
    <w:rsid w:val="003F04C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5BB"/>
    <w:rsid w:val="00413A67"/>
    <w:rsid w:val="00416277"/>
    <w:rsid w:val="00416E24"/>
    <w:rsid w:val="0042063D"/>
    <w:rsid w:val="00422B23"/>
    <w:rsid w:val="00423A60"/>
    <w:rsid w:val="0042651C"/>
    <w:rsid w:val="00426E9B"/>
    <w:rsid w:val="00427D55"/>
    <w:rsid w:val="0043233C"/>
    <w:rsid w:val="004336E9"/>
    <w:rsid w:val="004345A6"/>
    <w:rsid w:val="00435B2F"/>
    <w:rsid w:val="00435E03"/>
    <w:rsid w:val="004373E1"/>
    <w:rsid w:val="004374A3"/>
    <w:rsid w:val="00437A7E"/>
    <w:rsid w:val="00437B6C"/>
    <w:rsid w:val="00440144"/>
    <w:rsid w:val="0044064E"/>
    <w:rsid w:val="00440805"/>
    <w:rsid w:val="004412E1"/>
    <w:rsid w:val="00441554"/>
    <w:rsid w:val="00442E48"/>
    <w:rsid w:val="0044351C"/>
    <w:rsid w:val="00443DCD"/>
    <w:rsid w:val="00443E7E"/>
    <w:rsid w:val="00444C06"/>
    <w:rsid w:val="004454DF"/>
    <w:rsid w:val="0044646E"/>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288"/>
    <w:rsid w:val="004603D0"/>
    <w:rsid w:val="00460B26"/>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0B7D"/>
    <w:rsid w:val="00481247"/>
    <w:rsid w:val="004828DC"/>
    <w:rsid w:val="00482FF7"/>
    <w:rsid w:val="00483098"/>
    <w:rsid w:val="00483AFB"/>
    <w:rsid w:val="0048402B"/>
    <w:rsid w:val="0048414A"/>
    <w:rsid w:val="00485C56"/>
    <w:rsid w:val="00486B79"/>
    <w:rsid w:val="00486CA2"/>
    <w:rsid w:val="00490B25"/>
    <w:rsid w:val="00490FD6"/>
    <w:rsid w:val="004911C4"/>
    <w:rsid w:val="0049256E"/>
    <w:rsid w:val="00494CC8"/>
    <w:rsid w:val="004955E7"/>
    <w:rsid w:val="0049589C"/>
    <w:rsid w:val="00495EF1"/>
    <w:rsid w:val="00496ED4"/>
    <w:rsid w:val="00497D4A"/>
    <w:rsid w:val="004A0441"/>
    <w:rsid w:val="004A084C"/>
    <w:rsid w:val="004A15B3"/>
    <w:rsid w:val="004A1D01"/>
    <w:rsid w:val="004A2A54"/>
    <w:rsid w:val="004A2EF3"/>
    <w:rsid w:val="004A309B"/>
    <w:rsid w:val="004A37FC"/>
    <w:rsid w:val="004A3B0D"/>
    <w:rsid w:val="004A52F5"/>
    <w:rsid w:val="004A5843"/>
    <w:rsid w:val="004A5ADF"/>
    <w:rsid w:val="004A5D3A"/>
    <w:rsid w:val="004A6897"/>
    <w:rsid w:val="004A692B"/>
    <w:rsid w:val="004A6EB6"/>
    <w:rsid w:val="004A794C"/>
    <w:rsid w:val="004B3EC7"/>
    <w:rsid w:val="004B5664"/>
    <w:rsid w:val="004B59A8"/>
    <w:rsid w:val="004B796A"/>
    <w:rsid w:val="004C1743"/>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29C5"/>
    <w:rsid w:val="004E35E8"/>
    <w:rsid w:val="004E50F0"/>
    <w:rsid w:val="004E6A03"/>
    <w:rsid w:val="004F0070"/>
    <w:rsid w:val="004F0468"/>
    <w:rsid w:val="004F0C51"/>
    <w:rsid w:val="004F263C"/>
    <w:rsid w:val="004F2BB1"/>
    <w:rsid w:val="004F2C0E"/>
    <w:rsid w:val="004F2EC7"/>
    <w:rsid w:val="004F3CE8"/>
    <w:rsid w:val="004F6BFB"/>
    <w:rsid w:val="004F6F22"/>
    <w:rsid w:val="004F7E4A"/>
    <w:rsid w:val="0050147C"/>
    <w:rsid w:val="0050182B"/>
    <w:rsid w:val="00502579"/>
    <w:rsid w:val="005029F7"/>
    <w:rsid w:val="00503AA5"/>
    <w:rsid w:val="00503D4C"/>
    <w:rsid w:val="00504C0C"/>
    <w:rsid w:val="00504E48"/>
    <w:rsid w:val="005070FF"/>
    <w:rsid w:val="00507795"/>
    <w:rsid w:val="00512BBC"/>
    <w:rsid w:val="005134FB"/>
    <w:rsid w:val="005135FD"/>
    <w:rsid w:val="0051366C"/>
    <w:rsid w:val="0051684F"/>
    <w:rsid w:val="00516A92"/>
    <w:rsid w:val="00516B9F"/>
    <w:rsid w:val="00517693"/>
    <w:rsid w:val="005205AB"/>
    <w:rsid w:val="00523378"/>
    <w:rsid w:val="00523D26"/>
    <w:rsid w:val="0052550F"/>
    <w:rsid w:val="00526C0F"/>
    <w:rsid w:val="0052702A"/>
    <w:rsid w:val="00530397"/>
    <w:rsid w:val="00530F73"/>
    <w:rsid w:val="00532107"/>
    <w:rsid w:val="00533B8E"/>
    <w:rsid w:val="00535417"/>
    <w:rsid w:val="00535833"/>
    <w:rsid w:val="00536D28"/>
    <w:rsid w:val="0053716F"/>
    <w:rsid w:val="005372C5"/>
    <w:rsid w:val="00537A26"/>
    <w:rsid w:val="00540E47"/>
    <w:rsid w:val="00542E2C"/>
    <w:rsid w:val="00543283"/>
    <w:rsid w:val="0054364C"/>
    <w:rsid w:val="00546747"/>
    <w:rsid w:val="00547510"/>
    <w:rsid w:val="00547ECC"/>
    <w:rsid w:val="00551D5A"/>
    <w:rsid w:val="00551EC3"/>
    <w:rsid w:val="00554A44"/>
    <w:rsid w:val="00554C53"/>
    <w:rsid w:val="00554F18"/>
    <w:rsid w:val="00555220"/>
    <w:rsid w:val="005555F0"/>
    <w:rsid w:val="00555739"/>
    <w:rsid w:val="00555ACB"/>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3F61"/>
    <w:rsid w:val="005746D2"/>
    <w:rsid w:val="00574BAC"/>
    <w:rsid w:val="00574E8A"/>
    <w:rsid w:val="0057729C"/>
    <w:rsid w:val="00577775"/>
    <w:rsid w:val="005806EF"/>
    <w:rsid w:val="0058121A"/>
    <w:rsid w:val="00581863"/>
    <w:rsid w:val="00581EA3"/>
    <w:rsid w:val="0058205A"/>
    <w:rsid w:val="0058260B"/>
    <w:rsid w:val="00584D1E"/>
    <w:rsid w:val="00584D89"/>
    <w:rsid w:val="00586795"/>
    <w:rsid w:val="00586B82"/>
    <w:rsid w:val="00587E13"/>
    <w:rsid w:val="005933AA"/>
    <w:rsid w:val="005940AA"/>
    <w:rsid w:val="00594614"/>
    <w:rsid w:val="00594E10"/>
    <w:rsid w:val="00596306"/>
    <w:rsid w:val="00596487"/>
    <w:rsid w:val="005A0809"/>
    <w:rsid w:val="005A0875"/>
    <w:rsid w:val="005A0B91"/>
    <w:rsid w:val="005A1494"/>
    <w:rsid w:val="005A3139"/>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53"/>
    <w:rsid w:val="005C04A7"/>
    <w:rsid w:val="005C17A4"/>
    <w:rsid w:val="005C22CD"/>
    <w:rsid w:val="005C27CC"/>
    <w:rsid w:val="005C370D"/>
    <w:rsid w:val="005C504E"/>
    <w:rsid w:val="005C6153"/>
    <w:rsid w:val="005C78B0"/>
    <w:rsid w:val="005C7B95"/>
    <w:rsid w:val="005D01EB"/>
    <w:rsid w:val="005D0DFB"/>
    <w:rsid w:val="005D1112"/>
    <w:rsid w:val="005D1A52"/>
    <w:rsid w:val="005D237C"/>
    <w:rsid w:val="005D25E2"/>
    <w:rsid w:val="005D25FF"/>
    <w:rsid w:val="005D2632"/>
    <w:rsid w:val="005D38E0"/>
    <w:rsid w:val="005D3F32"/>
    <w:rsid w:val="005D4E3E"/>
    <w:rsid w:val="005D67F7"/>
    <w:rsid w:val="005D7D7E"/>
    <w:rsid w:val="005E0B59"/>
    <w:rsid w:val="005E1105"/>
    <w:rsid w:val="005E162F"/>
    <w:rsid w:val="005E2C60"/>
    <w:rsid w:val="005E31B4"/>
    <w:rsid w:val="005E31F6"/>
    <w:rsid w:val="005E3622"/>
    <w:rsid w:val="005E60B3"/>
    <w:rsid w:val="005E676C"/>
    <w:rsid w:val="005E6CB9"/>
    <w:rsid w:val="005E7F14"/>
    <w:rsid w:val="005F0154"/>
    <w:rsid w:val="005F0176"/>
    <w:rsid w:val="005F021D"/>
    <w:rsid w:val="005F0B43"/>
    <w:rsid w:val="005F1EAC"/>
    <w:rsid w:val="005F23FD"/>
    <w:rsid w:val="005F308F"/>
    <w:rsid w:val="005F4572"/>
    <w:rsid w:val="005F4869"/>
    <w:rsid w:val="005F4BFD"/>
    <w:rsid w:val="005F5748"/>
    <w:rsid w:val="005F5834"/>
    <w:rsid w:val="005F5E11"/>
    <w:rsid w:val="005F73D3"/>
    <w:rsid w:val="006003E5"/>
    <w:rsid w:val="00600E63"/>
    <w:rsid w:val="00601561"/>
    <w:rsid w:val="00601E55"/>
    <w:rsid w:val="00602037"/>
    <w:rsid w:val="006029DD"/>
    <w:rsid w:val="00602C6A"/>
    <w:rsid w:val="00603A17"/>
    <w:rsid w:val="00603AF5"/>
    <w:rsid w:val="006067A8"/>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27E60"/>
    <w:rsid w:val="00630069"/>
    <w:rsid w:val="00630583"/>
    <w:rsid w:val="00630D2E"/>
    <w:rsid w:val="00630D39"/>
    <w:rsid w:val="00631E19"/>
    <w:rsid w:val="0063340F"/>
    <w:rsid w:val="00633E76"/>
    <w:rsid w:val="00633EC9"/>
    <w:rsid w:val="006340F5"/>
    <w:rsid w:val="00634542"/>
    <w:rsid w:val="00635E4D"/>
    <w:rsid w:val="00635EA3"/>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61AC"/>
    <w:rsid w:val="00647422"/>
    <w:rsid w:val="00647E6B"/>
    <w:rsid w:val="00650E84"/>
    <w:rsid w:val="0065198B"/>
    <w:rsid w:val="006525AF"/>
    <w:rsid w:val="0065266A"/>
    <w:rsid w:val="00653F9C"/>
    <w:rsid w:val="00655470"/>
    <w:rsid w:val="00655E6C"/>
    <w:rsid w:val="0065637A"/>
    <w:rsid w:val="00656FEE"/>
    <w:rsid w:val="0065758F"/>
    <w:rsid w:val="00660897"/>
    <w:rsid w:val="00660DBC"/>
    <w:rsid w:val="00661028"/>
    <w:rsid w:val="006617BD"/>
    <w:rsid w:val="0066194D"/>
    <w:rsid w:val="006642C2"/>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77D33"/>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97543"/>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62B"/>
    <w:rsid w:val="006B6DDA"/>
    <w:rsid w:val="006B73D9"/>
    <w:rsid w:val="006B7DF0"/>
    <w:rsid w:val="006B7E74"/>
    <w:rsid w:val="006C0D75"/>
    <w:rsid w:val="006C1C48"/>
    <w:rsid w:val="006C3C1D"/>
    <w:rsid w:val="006C41FF"/>
    <w:rsid w:val="006C5145"/>
    <w:rsid w:val="006C65A8"/>
    <w:rsid w:val="006C7935"/>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497C"/>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B66"/>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143"/>
    <w:rsid w:val="00735557"/>
    <w:rsid w:val="00737108"/>
    <w:rsid w:val="007379CE"/>
    <w:rsid w:val="007419A7"/>
    <w:rsid w:val="00741B21"/>
    <w:rsid w:val="00741DD8"/>
    <w:rsid w:val="00741E49"/>
    <w:rsid w:val="0074250D"/>
    <w:rsid w:val="007443B8"/>
    <w:rsid w:val="007445E2"/>
    <w:rsid w:val="00745496"/>
    <w:rsid w:val="00745F2A"/>
    <w:rsid w:val="007460DA"/>
    <w:rsid w:val="0074705B"/>
    <w:rsid w:val="007470EC"/>
    <w:rsid w:val="0075020B"/>
    <w:rsid w:val="00751017"/>
    <w:rsid w:val="00751960"/>
    <w:rsid w:val="00752FE9"/>
    <w:rsid w:val="007535C7"/>
    <w:rsid w:val="00756551"/>
    <w:rsid w:val="00757769"/>
    <w:rsid w:val="0076067E"/>
    <w:rsid w:val="00761A81"/>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74A"/>
    <w:rsid w:val="00777CE9"/>
    <w:rsid w:val="00780D05"/>
    <w:rsid w:val="00783212"/>
    <w:rsid w:val="00783C7B"/>
    <w:rsid w:val="0078556C"/>
    <w:rsid w:val="007855C5"/>
    <w:rsid w:val="007856D3"/>
    <w:rsid w:val="007859FD"/>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425C"/>
    <w:rsid w:val="007C5EB9"/>
    <w:rsid w:val="007C7449"/>
    <w:rsid w:val="007C7EA5"/>
    <w:rsid w:val="007D1201"/>
    <w:rsid w:val="007D1A95"/>
    <w:rsid w:val="007D245E"/>
    <w:rsid w:val="007D3764"/>
    <w:rsid w:val="007D379A"/>
    <w:rsid w:val="007D485A"/>
    <w:rsid w:val="007D54FF"/>
    <w:rsid w:val="007D57D4"/>
    <w:rsid w:val="007D5DFE"/>
    <w:rsid w:val="007D6315"/>
    <w:rsid w:val="007D724A"/>
    <w:rsid w:val="007D75A3"/>
    <w:rsid w:val="007E16E2"/>
    <w:rsid w:val="007E19FE"/>
    <w:rsid w:val="007E1AAC"/>
    <w:rsid w:val="007E3B9C"/>
    <w:rsid w:val="007E4A2F"/>
    <w:rsid w:val="007E5C4A"/>
    <w:rsid w:val="007E62A1"/>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5B08"/>
    <w:rsid w:val="00806A62"/>
    <w:rsid w:val="00806E55"/>
    <w:rsid w:val="008075CE"/>
    <w:rsid w:val="00812179"/>
    <w:rsid w:val="00812380"/>
    <w:rsid w:val="008124E2"/>
    <w:rsid w:val="008125CA"/>
    <w:rsid w:val="00813928"/>
    <w:rsid w:val="00815321"/>
    <w:rsid w:val="008166DB"/>
    <w:rsid w:val="008173E0"/>
    <w:rsid w:val="008175C1"/>
    <w:rsid w:val="008200D4"/>
    <w:rsid w:val="00820370"/>
    <w:rsid w:val="00820CC6"/>
    <w:rsid w:val="00822805"/>
    <w:rsid w:val="00822C41"/>
    <w:rsid w:val="00825043"/>
    <w:rsid w:val="00825267"/>
    <w:rsid w:val="008264EC"/>
    <w:rsid w:val="00827AA4"/>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3A5"/>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0FF1"/>
    <w:rsid w:val="00881692"/>
    <w:rsid w:val="00881DAD"/>
    <w:rsid w:val="00883143"/>
    <w:rsid w:val="008846B5"/>
    <w:rsid w:val="00884EC8"/>
    <w:rsid w:val="00884FAE"/>
    <w:rsid w:val="00886154"/>
    <w:rsid w:val="00890277"/>
    <w:rsid w:val="0089061A"/>
    <w:rsid w:val="008915C6"/>
    <w:rsid w:val="00891677"/>
    <w:rsid w:val="00892DB5"/>
    <w:rsid w:val="00894B61"/>
    <w:rsid w:val="00895255"/>
    <w:rsid w:val="00895DF1"/>
    <w:rsid w:val="00896645"/>
    <w:rsid w:val="008975D2"/>
    <w:rsid w:val="00897674"/>
    <w:rsid w:val="008A035B"/>
    <w:rsid w:val="008A0459"/>
    <w:rsid w:val="008A1218"/>
    <w:rsid w:val="008A149E"/>
    <w:rsid w:val="008A15B6"/>
    <w:rsid w:val="008A1A6E"/>
    <w:rsid w:val="008A202A"/>
    <w:rsid w:val="008A36C9"/>
    <w:rsid w:val="008A5AF9"/>
    <w:rsid w:val="008B16DE"/>
    <w:rsid w:val="008B1E63"/>
    <w:rsid w:val="008B251F"/>
    <w:rsid w:val="008B2602"/>
    <w:rsid w:val="008B2727"/>
    <w:rsid w:val="008B316B"/>
    <w:rsid w:val="008B5059"/>
    <w:rsid w:val="008B5BF2"/>
    <w:rsid w:val="008B6934"/>
    <w:rsid w:val="008B6CF8"/>
    <w:rsid w:val="008B72F6"/>
    <w:rsid w:val="008B7C3C"/>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05F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2F98"/>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714"/>
    <w:rsid w:val="00927F4B"/>
    <w:rsid w:val="009302D4"/>
    <w:rsid w:val="009307F2"/>
    <w:rsid w:val="00930CEC"/>
    <w:rsid w:val="00930F4A"/>
    <w:rsid w:val="0093375E"/>
    <w:rsid w:val="00933BEF"/>
    <w:rsid w:val="0093787E"/>
    <w:rsid w:val="009412CC"/>
    <w:rsid w:val="00941656"/>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AD5"/>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169F"/>
    <w:rsid w:val="00972E28"/>
    <w:rsid w:val="00973030"/>
    <w:rsid w:val="009733F3"/>
    <w:rsid w:val="009748E4"/>
    <w:rsid w:val="00975EC7"/>
    <w:rsid w:val="009765CD"/>
    <w:rsid w:val="00976D65"/>
    <w:rsid w:val="00977CE6"/>
    <w:rsid w:val="009807AC"/>
    <w:rsid w:val="00980C18"/>
    <w:rsid w:val="009810E9"/>
    <w:rsid w:val="0098141C"/>
    <w:rsid w:val="00981AA9"/>
    <w:rsid w:val="00981C91"/>
    <w:rsid w:val="00983066"/>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64DB"/>
    <w:rsid w:val="009A6FB7"/>
    <w:rsid w:val="009B01DF"/>
    <w:rsid w:val="009B020D"/>
    <w:rsid w:val="009B072F"/>
    <w:rsid w:val="009B07A1"/>
    <w:rsid w:val="009B09CC"/>
    <w:rsid w:val="009B173B"/>
    <w:rsid w:val="009B1A1A"/>
    <w:rsid w:val="009B2608"/>
    <w:rsid w:val="009B2661"/>
    <w:rsid w:val="009B2A71"/>
    <w:rsid w:val="009B4027"/>
    <w:rsid w:val="009B4975"/>
    <w:rsid w:val="009B5191"/>
    <w:rsid w:val="009B561F"/>
    <w:rsid w:val="009B5773"/>
    <w:rsid w:val="009B57FF"/>
    <w:rsid w:val="009B5D2D"/>
    <w:rsid w:val="009C058F"/>
    <w:rsid w:val="009C2B3E"/>
    <w:rsid w:val="009C2EA2"/>
    <w:rsid w:val="009C3721"/>
    <w:rsid w:val="009C4141"/>
    <w:rsid w:val="009C43BB"/>
    <w:rsid w:val="009C4B55"/>
    <w:rsid w:val="009C5FCC"/>
    <w:rsid w:val="009C61A2"/>
    <w:rsid w:val="009C6DF6"/>
    <w:rsid w:val="009C6E92"/>
    <w:rsid w:val="009C7573"/>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08DF"/>
    <w:rsid w:val="009F1521"/>
    <w:rsid w:val="009F3F1E"/>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3241"/>
    <w:rsid w:val="00A1496E"/>
    <w:rsid w:val="00A14F84"/>
    <w:rsid w:val="00A16104"/>
    <w:rsid w:val="00A16D6D"/>
    <w:rsid w:val="00A17C75"/>
    <w:rsid w:val="00A211C8"/>
    <w:rsid w:val="00A2121E"/>
    <w:rsid w:val="00A21EAC"/>
    <w:rsid w:val="00A221DE"/>
    <w:rsid w:val="00A22CB2"/>
    <w:rsid w:val="00A22E69"/>
    <w:rsid w:val="00A23138"/>
    <w:rsid w:val="00A23940"/>
    <w:rsid w:val="00A23ECC"/>
    <w:rsid w:val="00A24CD3"/>
    <w:rsid w:val="00A25461"/>
    <w:rsid w:val="00A26367"/>
    <w:rsid w:val="00A2678A"/>
    <w:rsid w:val="00A269E1"/>
    <w:rsid w:val="00A270F9"/>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7F2"/>
    <w:rsid w:val="00A55921"/>
    <w:rsid w:val="00A560E3"/>
    <w:rsid w:val="00A5628F"/>
    <w:rsid w:val="00A564AF"/>
    <w:rsid w:val="00A565D8"/>
    <w:rsid w:val="00A566A8"/>
    <w:rsid w:val="00A56D0B"/>
    <w:rsid w:val="00A56F60"/>
    <w:rsid w:val="00A5775C"/>
    <w:rsid w:val="00A60E72"/>
    <w:rsid w:val="00A61F0C"/>
    <w:rsid w:val="00A61FF0"/>
    <w:rsid w:val="00A62580"/>
    <w:rsid w:val="00A639A2"/>
    <w:rsid w:val="00A63AC9"/>
    <w:rsid w:val="00A64502"/>
    <w:rsid w:val="00A64B5F"/>
    <w:rsid w:val="00A65EA0"/>
    <w:rsid w:val="00A66517"/>
    <w:rsid w:val="00A67B0E"/>
    <w:rsid w:val="00A718EF"/>
    <w:rsid w:val="00A72134"/>
    <w:rsid w:val="00A726A8"/>
    <w:rsid w:val="00A72951"/>
    <w:rsid w:val="00A73505"/>
    <w:rsid w:val="00A73AB1"/>
    <w:rsid w:val="00A75E02"/>
    <w:rsid w:val="00A76E79"/>
    <w:rsid w:val="00A7771B"/>
    <w:rsid w:val="00A77B53"/>
    <w:rsid w:val="00A811F1"/>
    <w:rsid w:val="00A81627"/>
    <w:rsid w:val="00A82887"/>
    <w:rsid w:val="00A83010"/>
    <w:rsid w:val="00A83BF5"/>
    <w:rsid w:val="00A84CD1"/>
    <w:rsid w:val="00A85E2E"/>
    <w:rsid w:val="00A861F3"/>
    <w:rsid w:val="00A8728F"/>
    <w:rsid w:val="00A8756A"/>
    <w:rsid w:val="00A87637"/>
    <w:rsid w:val="00A876C0"/>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A7E6F"/>
    <w:rsid w:val="00AB0262"/>
    <w:rsid w:val="00AB14A1"/>
    <w:rsid w:val="00AB202A"/>
    <w:rsid w:val="00AB5555"/>
    <w:rsid w:val="00AB55AD"/>
    <w:rsid w:val="00AB5D1B"/>
    <w:rsid w:val="00AB6918"/>
    <w:rsid w:val="00AB6B40"/>
    <w:rsid w:val="00AB740A"/>
    <w:rsid w:val="00AB7635"/>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02A8"/>
    <w:rsid w:val="00B11520"/>
    <w:rsid w:val="00B11D2D"/>
    <w:rsid w:val="00B123F0"/>
    <w:rsid w:val="00B12891"/>
    <w:rsid w:val="00B137D3"/>
    <w:rsid w:val="00B146C1"/>
    <w:rsid w:val="00B146E7"/>
    <w:rsid w:val="00B156DF"/>
    <w:rsid w:val="00B15AA2"/>
    <w:rsid w:val="00B15ABB"/>
    <w:rsid w:val="00B16973"/>
    <w:rsid w:val="00B2036A"/>
    <w:rsid w:val="00B20404"/>
    <w:rsid w:val="00B21057"/>
    <w:rsid w:val="00B2202B"/>
    <w:rsid w:val="00B23422"/>
    <w:rsid w:val="00B24948"/>
    <w:rsid w:val="00B24CBD"/>
    <w:rsid w:val="00B24E63"/>
    <w:rsid w:val="00B25CA3"/>
    <w:rsid w:val="00B30028"/>
    <w:rsid w:val="00B31DC4"/>
    <w:rsid w:val="00B31E8D"/>
    <w:rsid w:val="00B32E87"/>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0D65"/>
    <w:rsid w:val="00B716BB"/>
    <w:rsid w:val="00B716FD"/>
    <w:rsid w:val="00B71B56"/>
    <w:rsid w:val="00B734C2"/>
    <w:rsid w:val="00B73BDA"/>
    <w:rsid w:val="00B74053"/>
    <w:rsid w:val="00B765A0"/>
    <w:rsid w:val="00B76C02"/>
    <w:rsid w:val="00B77BD2"/>
    <w:rsid w:val="00B814CB"/>
    <w:rsid w:val="00B81B6A"/>
    <w:rsid w:val="00B820F4"/>
    <w:rsid w:val="00B835E0"/>
    <w:rsid w:val="00B8396D"/>
    <w:rsid w:val="00B83DB0"/>
    <w:rsid w:val="00B850DB"/>
    <w:rsid w:val="00B857A7"/>
    <w:rsid w:val="00B90331"/>
    <w:rsid w:val="00B903ED"/>
    <w:rsid w:val="00B90B2D"/>
    <w:rsid w:val="00B935A1"/>
    <w:rsid w:val="00B95BDD"/>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73F"/>
    <w:rsid w:val="00BD6C02"/>
    <w:rsid w:val="00BE1244"/>
    <w:rsid w:val="00BE165D"/>
    <w:rsid w:val="00BE2394"/>
    <w:rsid w:val="00BE2702"/>
    <w:rsid w:val="00BE37FB"/>
    <w:rsid w:val="00BE4326"/>
    <w:rsid w:val="00BE481B"/>
    <w:rsid w:val="00BE5F4F"/>
    <w:rsid w:val="00BE60DB"/>
    <w:rsid w:val="00BE716D"/>
    <w:rsid w:val="00BF0191"/>
    <w:rsid w:val="00BF13EC"/>
    <w:rsid w:val="00BF1C07"/>
    <w:rsid w:val="00BF3DEE"/>
    <w:rsid w:val="00BF54AC"/>
    <w:rsid w:val="00BF54BD"/>
    <w:rsid w:val="00BF630B"/>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5A"/>
    <w:rsid w:val="00C16BE0"/>
    <w:rsid w:val="00C21C39"/>
    <w:rsid w:val="00C22A75"/>
    <w:rsid w:val="00C2325C"/>
    <w:rsid w:val="00C239ED"/>
    <w:rsid w:val="00C23ECE"/>
    <w:rsid w:val="00C24D9D"/>
    <w:rsid w:val="00C25CF3"/>
    <w:rsid w:val="00C263E9"/>
    <w:rsid w:val="00C2775A"/>
    <w:rsid w:val="00C3063A"/>
    <w:rsid w:val="00C30BAD"/>
    <w:rsid w:val="00C31E8F"/>
    <w:rsid w:val="00C335DA"/>
    <w:rsid w:val="00C33D3E"/>
    <w:rsid w:val="00C3501B"/>
    <w:rsid w:val="00C362E0"/>
    <w:rsid w:val="00C36ED4"/>
    <w:rsid w:val="00C376CC"/>
    <w:rsid w:val="00C400F7"/>
    <w:rsid w:val="00C40EC6"/>
    <w:rsid w:val="00C40EFA"/>
    <w:rsid w:val="00C419AD"/>
    <w:rsid w:val="00C41B5F"/>
    <w:rsid w:val="00C437BA"/>
    <w:rsid w:val="00C44395"/>
    <w:rsid w:val="00C443B3"/>
    <w:rsid w:val="00C45CE8"/>
    <w:rsid w:val="00C46F06"/>
    <w:rsid w:val="00C474DD"/>
    <w:rsid w:val="00C47DA6"/>
    <w:rsid w:val="00C50546"/>
    <w:rsid w:val="00C50986"/>
    <w:rsid w:val="00C50ABF"/>
    <w:rsid w:val="00C50EF2"/>
    <w:rsid w:val="00C51256"/>
    <w:rsid w:val="00C51566"/>
    <w:rsid w:val="00C516B7"/>
    <w:rsid w:val="00C516C4"/>
    <w:rsid w:val="00C51C1F"/>
    <w:rsid w:val="00C52433"/>
    <w:rsid w:val="00C52D62"/>
    <w:rsid w:val="00C52EF3"/>
    <w:rsid w:val="00C533D4"/>
    <w:rsid w:val="00C53A4C"/>
    <w:rsid w:val="00C54458"/>
    <w:rsid w:val="00C5448D"/>
    <w:rsid w:val="00C5477F"/>
    <w:rsid w:val="00C547B7"/>
    <w:rsid w:val="00C5503B"/>
    <w:rsid w:val="00C55A32"/>
    <w:rsid w:val="00C564F2"/>
    <w:rsid w:val="00C56F11"/>
    <w:rsid w:val="00C570DE"/>
    <w:rsid w:val="00C61F3A"/>
    <w:rsid w:val="00C629CB"/>
    <w:rsid w:val="00C62B75"/>
    <w:rsid w:val="00C64F62"/>
    <w:rsid w:val="00C657B5"/>
    <w:rsid w:val="00C661E1"/>
    <w:rsid w:val="00C66686"/>
    <w:rsid w:val="00C6730F"/>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87334"/>
    <w:rsid w:val="00C916B2"/>
    <w:rsid w:val="00C91C88"/>
    <w:rsid w:val="00C939C3"/>
    <w:rsid w:val="00C94228"/>
    <w:rsid w:val="00C96D56"/>
    <w:rsid w:val="00C977E6"/>
    <w:rsid w:val="00CA0020"/>
    <w:rsid w:val="00CA0B2E"/>
    <w:rsid w:val="00CA18CA"/>
    <w:rsid w:val="00CA2557"/>
    <w:rsid w:val="00CA4C99"/>
    <w:rsid w:val="00CA5413"/>
    <w:rsid w:val="00CA5674"/>
    <w:rsid w:val="00CA5BDA"/>
    <w:rsid w:val="00CA5C1A"/>
    <w:rsid w:val="00CA633F"/>
    <w:rsid w:val="00CA641E"/>
    <w:rsid w:val="00CA7558"/>
    <w:rsid w:val="00CA785F"/>
    <w:rsid w:val="00CA792A"/>
    <w:rsid w:val="00CA7949"/>
    <w:rsid w:val="00CB0400"/>
    <w:rsid w:val="00CB0C6E"/>
    <w:rsid w:val="00CB0C89"/>
    <w:rsid w:val="00CB1E56"/>
    <w:rsid w:val="00CB226B"/>
    <w:rsid w:val="00CB229B"/>
    <w:rsid w:val="00CB33B4"/>
    <w:rsid w:val="00CB3D93"/>
    <w:rsid w:val="00CB4441"/>
    <w:rsid w:val="00CB4B1A"/>
    <w:rsid w:val="00CB4E1D"/>
    <w:rsid w:val="00CB4E1F"/>
    <w:rsid w:val="00CB5980"/>
    <w:rsid w:val="00CC152E"/>
    <w:rsid w:val="00CC1AD7"/>
    <w:rsid w:val="00CC2493"/>
    <w:rsid w:val="00CC3222"/>
    <w:rsid w:val="00CC35F1"/>
    <w:rsid w:val="00CC35FF"/>
    <w:rsid w:val="00CD0E6E"/>
    <w:rsid w:val="00CD23AE"/>
    <w:rsid w:val="00CD27DF"/>
    <w:rsid w:val="00CD2D8A"/>
    <w:rsid w:val="00CD3BAC"/>
    <w:rsid w:val="00CD3FF2"/>
    <w:rsid w:val="00CD455F"/>
    <w:rsid w:val="00CD4A65"/>
    <w:rsid w:val="00CD531F"/>
    <w:rsid w:val="00CD6FA3"/>
    <w:rsid w:val="00CD779A"/>
    <w:rsid w:val="00CD7D66"/>
    <w:rsid w:val="00CE2184"/>
    <w:rsid w:val="00CE2E13"/>
    <w:rsid w:val="00CE3B7F"/>
    <w:rsid w:val="00CE3FA2"/>
    <w:rsid w:val="00CE41A0"/>
    <w:rsid w:val="00CE4958"/>
    <w:rsid w:val="00CE68E2"/>
    <w:rsid w:val="00CE706E"/>
    <w:rsid w:val="00CE70B1"/>
    <w:rsid w:val="00CE70BC"/>
    <w:rsid w:val="00CE7AE4"/>
    <w:rsid w:val="00CF0A4C"/>
    <w:rsid w:val="00CF150A"/>
    <w:rsid w:val="00CF2225"/>
    <w:rsid w:val="00CF25E7"/>
    <w:rsid w:val="00CF2B36"/>
    <w:rsid w:val="00CF3C77"/>
    <w:rsid w:val="00CF45A2"/>
    <w:rsid w:val="00CF52E7"/>
    <w:rsid w:val="00CF5ED9"/>
    <w:rsid w:val="00CF64B5"/>
    <w:rsid w:val="00CF74DB"/>
    <w:rsid w:val="00CF7853"/>
    <w:rsid w:val="00CF7EE2"/>
    <w:rsid w:val="00D004ED"/>
    <w:rsid w:val="00D0260F"/>
    <w:rsid w:val="00D03708"/>
    <w:rsid w:val="00D06776"/>
    <w:rsid w:val="00D06E46"/>
    <w:rsid w:val="00D06F95"/>
    <w:rsid w:val="00D1158C"/>
    <w:rsid w:val="00D11600"/>
    <w:rsid w:val="00D119A2"/>
    <w:rsid w:val="00D12E31"/>
    <w:rsid w:val="00D137F9"/>
    <w:rsid w:val="00D1458C"/>
    <w:rsid w:val="00D146FA"/>
    <w:rsid w:val="00D1620E"/>
    <w:rsid w:val="00D16867"/>
    <w:rsid w:val="00D16EEC"/>
    <w:rsid w:val="00D17115"/>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2C33"/>
    <w:rsid w:val="00D340E2"/>
    <w:rsid w:val="00D34EAB"/>
    <w:rsid w:val="00D350E5"/>
    <w:rsid w:val="00D36887"/>
    <w:rsid w:val="00D37563"/>
    <w:rsid w:val="00D3780A"/>
    <w:rsid w:val="00D379EB"/>
    <w:rsid w:val="00D400B8"/>
    <w:rsid w:val="00D4022C"/>
    <w:rsid w:val="00D41023"/>
    <w:rsid w:val="00D41C6C"/>
    <w:rsid w:val="00D42465"/>
    <w:rsid w:val="00D42E5B"/>
    <w:rsid w:val="00D439D1"/>
    <w:rsid w:val="00D43C68"/>
    <w:rsid w:val="00D444B2"/>
    <w:rsid w:val="00D45358"/>
    <w:rsid w:val="00D453E4"/>
    <w:rsid w:val="00D47226"/>
    <w:rsid w:val="00D50B21"/>
    <w:rsid w:val="00D51349"/>
    <w:rsid w:val="00D527AF"/>
    <w:rsid w:val="00D529E1"/>
    <w:rsid w:val="00D534C2"/>
    <w:rsid w:val="00D5410F"/>
    <w:rsid w:val="00D564DF"/>
    <w:rsid w:val="00D576DD"/>
    <w:rsid w:val="00D57CB4"/>
    <w:rsid w:val="00D61477"/>
    <w:rsid w:val="00D619E2"/>
    <w:rsid w:val="00D61A4A"/>
    <w:rsid w:val="00D62036"/>
    <w:rsid w:val="00D620CC"/>
    <w:rsid w:val="00D634B8"/>
    <w:rsid w:val="00D63EF3"/>
    <w:rsid w:val="00D64441"/>
    <w:rsid w:val="00D64FB0"/>
    <w:rsid w:val="00D65497"/>
    <w:rsid w:val="00D654DA"/>
    <w:rsid w:val="00D6609E"/>
    <w:rsid w:val="00D66C6C"/>
    <w:rsid w:val="00D67A9F"/>
    <w:rsid w:val="00D67C20"/>
    <w:rsid w:val="00D70C1B"/>
    <w:rsid w:val="00D70E5C"/>
    <w:rsid w:val="00D7146C"/>
    <w:rsid w:val="00D718CD"/>
    <w:rsid w:val="00D7416F"/>
    <w:rsid w:val="00D755F2"/>
    <w:rsid w:val="00D75B2D"/>
    <w:rsid w:val="00D762AC"/>
    <w:rsid w:val="00D775E7"/>
    <w:rsid w:val="00D77B9E"/>
    <w:rsid w:val="00D81CA9"/>
    <w:rsid w:val="00D83699"/>
    <w:rsid w:val="00D839D8"/>
    <w:rsid w:val="00D83F9E"/>
    <w:rsid w:val="00D840C2"/>
    <w:rsid w:val="00D84562"/>
    <w:rsid w:val="00D85C16"/>
    <w:rsid w:val="00D86169"/>
    <w:rsid w:val="00D8732E"/>
    <w:rsid w:val="00D91294"/>
    <w:rsid w:val="00D9186A"/>
    <w:rsid w:val="00D92D47"/>
    <w:rsid w:val="00D9359F"/>
    <w:rsid w:val="00D94213"/>
    <w:rsid w:val="00D94BEB"/>
    <w:rsid w:val="00D94EA5"/>
    <w:rsid w:val="00D95F32"/>
    <w:rsid w:val="00D979FC"/>
    <w:rsid w:val="00DA024A"/>
    <w:rsid w:val="00DA07EE"/>
    <w:rsid w:val="00DA0A58"/>
    <w:rsid w:val="00DA16B6"/>
    <w:rsid w:val="00DA1C85"/>
    <w:rsid w:val="00DA1CC9"/>
    <w:rsid w:val="00DA2563"/>
    <w:rsid w:val="00DA2871"/>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68B2"/>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490"/>
    <w:rsid w:val="00DD686C"/>
    <w:rsid w:val="00DD6E86"/>
    <w:rsid w:val="00DD7FB9"/>
    <w:rsid w:val="00DE0E5D"/>
    <w:rsid w:val="00DE447F"/>
    <w:rsid w:val="00DE48F0"/>
    <w:rsid w:val="00DE4A77"/>
    <w:rsid w:val="00DE68EE"/>
    <w:rsid w:val="00DE6D24"/>
    <w:rsid w:val="00DE7285"/>
    <w:rsid w:val="00DE7C40"/>
    <w:rsid w:val="00DF0EA5"/>
    <w:rsid w:val="00DF1F1D"/>
    <w:rsid w:val="00DF23A5"/>
    <w:rsid w:val="00DF4C6E"/>
    <w:rsid w:val="00DF51A3"/>
    <w:rsid w:val="00DF6666"/>
    <w:rsid w:val="00DF745E"/>
    <w:rsid w:val="00DF762E"/>
    <w:rsid w:val="00E0044E"/>
    <w:rsid w:val="00E00816"/>
    <w:rsid w:val="00E0239F"/>
    <w:rsid w:val="00E0267B"/>
    <w:rsid w:val="00E02B5C"/>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0A50"/>
    <w:rsid w:val="00E22F24"/>
    <w:rsid w:val="00E24287"/>
    <w:rsid w:val="00E31367"/>
    <w:rsid w:val="00E3181C"/>
    <w:rsid w:val="00E32EF3"/>
    <w:rsid w:val="00E33E21"/>
    <w:rsid w:val="00E34BC4"/>
    <w:rsid w:val="00E3540C"/>
    <w:rsid w:val="00E35F7E"/>
    <w:rsid w:val="00E36187"/>
    <w:rsid w:val="00E36220"/>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48F"/>
    <w:rsid w:val="00E66857"/>
    <w:rsid w:val="00E67556"/>
    <w:rsid w:val="00E7252F"/>
    <w:rsid w:val="00E73FC2"/>
    <w:rsid w:val="00E74481"/>
    <w:rsid w:val="00E74517"/>
    <w:rsid w:val="00E755D7"/>
    <w:rsid w:val="00E7566D"/>
    <w:rsid w:val="00E767FE"/>
    <w:rsid w:val="00E76E91"/>
    <w:rsid w:val="00E774B4"/>
    <w:rsid w:val="00E778F5"/>
    <w:rsid w:val="00E80E7C"/>
    <w:rsid w:val="00E81779"/>
    <w:rsid w:val="00E8205B"/>
    <w:rsid w:val="00E82444"/>
    <w:rsid w:val="00E8341C"/>
    <w:rsid w:val="00E8602B"/>
    <w:rsid w:val="00E861A8"/>
    <w:rsid w:val="00E868A9"/>
    <w:rsid w:val="00E86B5F"/>
    <w:rsid w:val="00E87D05"/>
    <w:rsid w:val="00E91A52"/>
    <w:rsid w:val="00E91EF3"/>
    <w:rsid w:val="00E91F96"/>
    <w:rsid w:val="00E92E99"/>
    <w:rsid w:val="00E9488A"/>
    <w:rsid w:val="00E968FD"/>
    <w:rsid w:val="00E96D55"/>
    <w:rsid w:val="00E975FC"/>
    <w:rsid w:val="00E97993"/>
    <w:rsid w:val="00EA0D5D"/>
    <w:rsid w:val="00EA1192"/>
    <w:rsid w:val="00EA153F"/>
    <w:rsid w:val="00EA2784"/>
    <w:rsid w:val="00EA2788"/>
    <w:rsid w:val="00EA2C6E"/>
    <w:rsid w:val="00EA444A"/>
    <w:rsid w:val="00EA4964"/>
    <w:rsid w:val="00EA4F1A"/>
    <w:rsid w:val="00EB02DE"/>
    <w:rsid w:val="00EB0A07"/>
    <w:rsid w:val="00EB11C4"/>
    <w:rsid w:val="00EB1B69"/>
    <w:rsid w:val="00EB1C78"/>
    <w:rsid w:val="00EB3B46"/>
    <w:rsid w:val="00EB4F08"/>
    <w:rsid w:val="00EC2E07"/>
    <w:rsid w:val="00EC43C7"/>
    <w:rsid w:val="00EC465D"/>
    <w:rsid w:val="00EC5C89"/>
    <w:rsid w:val="00EC66D2"/>
    <w:rsid w:val="00EC67E7"/>
    <w:rsid w:val="00ED0A1B"/>
    <w:rsid w:val="00ED21BC"/>
    <w:rsid w:val="00ED25B6"/>
    <w:rsid w:val="00ED2FEC"/>
    <w:rsid w:val="00ED3F11"/>
    <w:rsid w:val="00ED3F67"/>
    <w:rsid w:val="00ED440A"/>
    <w:rsid w:val="00ED5B84"/>
    <w:rsid w:val="00ED7971"/>
    <w:rsid w:val="00EE0748"/>
    <w:rsid w:val="00EE29A0"/>
    <w:rsid w:val="00EE2B0B"/>
    <w:rsid w:val="00EE2CEA"/>
    <w:rsid w:val="00EE3365"/>
    <w:rsid w:val="00EE48DF"/>
    <w:rsid w:val="00EE4AB3"/>
    <w:rsid w:val="00EE7405"/>
    <w:rsid w:val="00EE7D3C"/>
    <w:rsid w:val="00EF033E"/>
    <w:rsid w:val="00EF06EC"/>
    <w:rsid w:val="00EF14FF"/>
    <w:rsid w:val="00EF2BFE"/>
    <w:rsid w:val="00EF2D85"/>
    <w:rsid w:val="00EF35AB"/>
    <w:rsid w:val="00EF402C"/>
    <w:rsid w:val="00EF45E0"/>
    <w:rsid w:val="00EF4E6F"/>
    <w:rsid w:val="00EF5C82"/>
    <w:rsid w:val="00EF7A15"/>
    <w:rsid w:val="00F01A2D"/>
    <w:rsid w:val="00F01F8C"/>
    <w:rsid w:val="00F035A6"/>
    <w:rsid w:val="00F04AD0"/>
    <w:rsid w:val="00F04B9C"/>
    <w:rsid w:val="00F10033"/>
    <w:rsid w:val="00F10848"/>
    <w:rsid w:val="00F10B68"/>
    <w:rsid w:val="00F10DF3"/>
    <w:rsid w:val="00F11F55"/>
    <w:rsid w:val="00F12DEC"/>
    <w:rsid w:val="00F13151"/>
    <w:rsid w:val="00F15523"/>
    <w:rsid w:val="00F1598F"/>
    <w:rsid w:val="00F16391"/>
    <w:rsid w:val="00F2062B"/>
    <w:rsid w:val="00F21A18"/>
    <w:rsid w:val="00F21E61"/>
    <w:rsid w:val="00F220EA"/>
    <w:rsid w:val="00F222CD"/>
    <w:rsid w:val="00F22BD8"/>
    <w:rsid w:val="00F24295"/>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48A"/>
    <w:rsid w:val="00F4315F"/>
    <w:rsid w:val="00F445F6"/>
    <w:rsid w:val="00F44DAF"/>
    <w:rsid w:val="00F4512F"/>
    <w:rsid w:val="00F45763"/>
    <w:rsid w:val="00F45BCF"/>
    <w:rsid w:val="00F45BEA"/>
    <w:rsid w:val="00F45CFE"/>
    <w:rsid w:val="00F46877"/>
    <w:rsid w:val="00F47F3E"/>
    <w:rsid w:val="00F523D7"/>
    <w:rsid w:val="00F530E6"/>
    <w:rsid w:val="00F532C7"/>
    <w:rsid w:val="00F54EE5"/>
    <w:rsid w:val="00F55358"/>
    <w:rsid w:val="00F55FD8"/>
    <w:rsid w:val="00F5603C"/>
    <w:rsid w:val="00F5605C"/>
    <w:rsid w:val="00F564B9"/>
    <w:rsid w:val="00F57909"/>
    <w:rsid w:val="00F600A2"/>
    <w:rsid w:val="00F612D6"/>
    <w:rsid w:val="00F63400"/>
    <w:rsid w:val="00F636C6"/>
    <w:rsid w:val="00F6433D"/>
    <w:rsid w:val="00F6573E"/>
    <w:rsid w:val="00F662EB"/>
    <w:rsid w:val="00F67606"/>
    <w:rsid w:val="00F70327"/>
    <w:rsid w:val="00F7084F"/>
    <w:rsid w:val="00F70FEF"/>
    <w:rsid w:val="00F7241F"/>
    <w:rsid w:val="00F72FA8"/>
    <w:rsid w:val="00F7404A"/>
    <w:rsid w:val="00F75415"/>
    <w:rsid w:val="00F75645"/>
    <w:rsid w:val="00F773F9"/>
    <w:rsid w:val="00F8101C"/>
    <w:rsid w:val="00F817B9"/>
    <w:rsid w:val="00F81CB7"/>
    <w:rsid w:val="00F82280"/>
    <w:rsid w:val="00F8235F"/>
    <w:rsid w:val="00F825DA"/>
    <w:rsid w:val="00F83A22"/>
    <w:rsid w:val="00F83A97"/>
    <w:rsid w:val="00F844F0"/>
    <w:rsid w:val="00F84895"/>
    <w:rsid w:val="00F84E9D"/>
    <w:rsid w:val="00F8659E"/>
    <w:rsid w:val="00F86CE4"/>
    <w:rsid w:val="00F86F42"/>
    <w:rsid w:val="00F8782B"/>
    <w:rsid w:val="00F91941"/>
    <w:rsid w:val="00F921F2"/>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27A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777"/>
    <w:rsid w:val="00FC393B"/>
    <w:rsid w:val="00FC4052"/>
    <w:rsid w:val="00FC5252"/>
    <w:rsid w:val="00FC6356"/>
    <w:rsid w:val="00FC7D01"/>
    <w:rsid w:val="00FD0130"/>
    <w:rsid w:val="00FD0373"/>
    <w:rsid w:val="00FD0582"/>
    <w:rsid w:val="00FD0C93"/>
    <w:rsid w:val="00FD1062"/>
    <w:rsid w:val="00FD2589"/>
    <w:rsid w:val="00FD4876"/>
    <w:rsid w:val="00FD50F1"/>
    <w:rsid w:val="00FD52A3"/>
    <w:rsid w:val="00FD61C4"/>
    <w:rsid w:val="00FD68D4"/>
    <w:rsid w:val="00FE00D9"/>
    <w:rsid w:val="00FE1186"/>
    <w:rsid w:val="00FE177A"/>
    <w:rsid w:val="00FE240A"/>
    <w:rsid w:val="00FE2CEA"/>
    <w:rsid w:val="00FE3C7E"/>
    <w:rsid w:val="00FE3E3C"/>
    <w:rsid w:val="00FE43E7"/>
    <w:rsid w:val="00FE4B66"/>
    <w:rsid w:val="00FE4F6E"/>
    <w:rsid w:val="00FE583F"/>
    <w:rsid w:val="00FE597F"/>
    <w:rsid w:val="00FE5CC4"/>
    <w:rsid w:val="00FE6B13"/>
    <w:rsid w:val="00FE7575"/>
    <w:rsid w:val="00FF1070"/>
    <w:rsid w:val="00FF13E2"/>
    <w:rsid w:val="00FF2237"/>
    <w:rsid w:val="00FF46F0"/>
    <w:rsid w:val="00FF4953"/>
    <w:rsid w:val="00FF4D54"/>
    <w:rsid w:val="00FF5FA3"/>
    <w:rsid w:val="00FF5FCE"/>
    <w:rsid w:val="00FF6177"/>
    <w:rsid w:val="00FF6AD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C4"/>
    <w:pPr>
      <w:jc w:val="both"/>
    </w:pPr>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pPr>
    <w:rPr>
      <w:sz w:val="28"/>
      <w:szCs w:val="28"/>
      <w:lang/>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lang/>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trip Char"/>
    <w:link w:val="ListParagraph"/>
    <w:locked/>
    <w:rsid w:val="00555ACB"/>
    <w:rPr>
      <w:rFonts w:ascii="Calibri" w:hAnsi="Calibri"/>
      <w:sz w:val="22"/>
      <w:szCs w:val="22"/>
      <w:lang w:eastAsia="en-US"/>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C"/>
    <w:basedOn w:val="Normal"/>
    <w:link w:val="FootnoteTextChar"/>
    <w:uiPriority w:val="99"/>
    <w:rsid w:val="00097A10"/>
    <w:pPr>
      <w:jc w:val="left"/>
    </w:pPr>
    <w:rPr>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C Char"/>
    <w:basedOn w:val="DefaultParagraphFont"/>
    <w:link w:val="FootnoteText"/>
    <w:uiPriority w:val="99"/>
    <w:rsid w:val="00097A10"/>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uiPriority w:val="99"/>
    <w:rsid w:val="00097A10"/>
    <w:rPr>
      <w:vertAlign w:val="superscript"/>
    </w:rPr>
  </w:style>
  <w:style w:type="character" w:customStyle="1" w:styleId="normaltextrun">
    <w:name w:val="normaltextrun"/>
    <w:rsid w:val="00346001"/>
  </w:style>
  <w:style w:type="paragraph" w:styleId="NoSpacing">
    <w:name w:val="No Spacing"/>
    <w:uiPriority w:val="1"/>
    <w:qFormat/>
    <w:rsid w:val="006E497C"/>
    <w:rPr>
      <w:rFonts w:ascii="Calibri" w:eastAsia="Calibri" w:hAnsi="Calibri"/>
      <w:sz w:val="22"/>
      <w:szCs w:val="22"/>
      <w:lang w:val="lv-LV"/>
    </w:rPr>
  </w:style>
  <w:style w:type="paragraph" w:customStyle="1" w:styleId="paragraph">
    <w:name w:val="paragraph"/>
    <w:basedOn w:val="Normal"/>
    <w:rsid w:val="006067A8"/>
    <w:pPr>
      <w:spacing w:before="100" w:beforeAutospacing="1" w:after="100" w:afterAutospacing="1"/>
      <w:jc w:val="left"/>
    </w:pPr>
  </w:style>
  <w:style w:type="character" w:customStyle="1" w:styleId="eop">
    <w:name w:val="eop"/>
    <w:rsid w:val="006067A8"/>
  </w:style>
  <w:style w:type="character" w:customStyle="1" w:styleId="spellingerror">
    <w:name w:val="spellingerror"/>
    <w:rsid w:val="00EA444A"/>
  </w:style>
  <w:style w:type="paragraph" w:customStyle="1" w:styleId="norm">
    <w:name w:val="norm"/>
    <w:basedOn w:val="Normal"/>
    <w:rsid w:val="00282164"/>
    <w:pPr>
      <w:spacing w:before="100" w:beforeAutospacing="1" w:after="100" w:afterAutospacing="1"/>
      <w:jc w:val="left"/>
    </w:pPr>
  </w:style>
  <w:style w:type="character" w:customStyle="1" w:styleId="apple-converted-space">
    <w:name w:val="apple-converted-space"/>
    <w:basedOn w:val="DefaultParagraphFont"/>
    <w:rsid w:val="008F05F6"/>
  </w:style>
</w:styles>
</file>

<file path=word/webSettings.xml><?xml version="1.0" encoding="utf-8"?>
<w:webSettings xmlns:r="http://schemas.openxmlformats.org/officeDocument/2006/relationships" xmlns:w="http://schemas.openxmlformats.org/wordprocessingml/2006/main">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1158593">
      <w:bodyDiv w:val="1"/>
      <w:marLeft w:val="0"/>
      <w:marRight w:val="0"/>
      <w:marTop w:val="0"/>
      <w:marBottom w:val="0"/>
      <w:divBdr>
        <w:top w:val="none" w:sz="0" w:space="0" w:color="auto"/>
        <w:left w:val="none" w:sz="0" w:space="0" w:color="auto"/>
        <w:bottom w:val="none" w:sz="0" w:space="0" w:color="auto"/>
        <w:right w:val="none" w:sz="0" w:space="0" w:color="auto"/>
      </w:divBdr>
      <w:divsChild>
        <w:div w:id="1714579117">
          <w:marLeft w:val="840"/>
          <w:marRight w:val="0"/>
          <w:marTop w:val="0"/>
          <w:marBottom w:val="0"/>
          <w:divBdr>
            <w:top w:val="none" w:sz="0" w:space="0" w:color="auto"/>
            <w:left w:val="none" w:sz="0" w:space="0" w:color="auto"/>
            <w:bottom w:val="none" w:sz="0" w:space="0" w:color="auto"/>
            <w:right w:val="none" w:sz="0" w:space="0" w:color="auto"/>
          </w:divBdr>
        </w:div>
        <w:div w:id="852690653">
          <w:marLeft w:val="480"/>
          <w:marRight w:val="0"/>
          <w:marTop w:val="0"/>
          <w:marBottom w:val="0"/>
          <w:divBdr>
            <w:top w:val="none" w:sz="0" w:space="0" w:color="auto"/>
            <w:left w:val="none" w:sz="0" w:space="0" w:color="auto"/>
            <w:bottom w:val="none" w:sz="0" w:space="0" w:color="auto"/>
            <w:right w:val="none" w:sz="0" w:space="0" w:color="auto"/>
          </w:divBdr>
        </w:div>
        <w:div w:id="1273975462">
          <w:marLeft w:val="480"/>
          <w:marRight w:val="0"/>
          <w:marTop w:val="0"/>
          <w:marBottom w:val="0"/>
          <w:divBdr>
            <w:top w:val="none" w:sz="0" w:space="0" w:color="auto"/>
            <w:left w:val="none" w:sz="0" w:space="0" w:color="auto"/>
            <w:bottom w:val="none" w:sz="0" w:space="0" w:color="auto"/>
            <w:right w:val="none" w:sz="0" w:space="0" w:color="auto"/>
          </w:divBdr>
        </w:div>
        <w:div w:id="958025864">
          <w:marLeft w:val="48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825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1586B-707B-4E7E-B191-20ED7CFF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24153</CharactersWithSpaces>
  <SharedDoc>false</SharedDoc>
  <HLinks>
    <vt:vector size="12" baseType="variant">
      <vt:variant>
        <vt:i4>4522006</vt:i4>
      </vt:variant>
      <vt:variant>
        <vt:i4>3</vt:i4>
      </vt:variant>
      <vt:variant>
        <vt:i4>0</vt:i4>
      </vt:variant>
      <vt:variant>
        <vt:i4>5</vt:i4>
      </vt:variant>
      <vt:variant>
        <vt:lpwstr>https://em.gov.lv/lv/Ministrija/sabiedribas_lidzdaliba/diskusiju_dokumenti/</vt:lpwstr>
      </vt:variant>
      <vt:variant>
        <vt:lpwstr/>
      </vt:variant>
      <vt:variant>
        <vt:i4>3473509</vt:i4>
      </vt:variant>
      <vt:variant>
        <vt:i4>0</vt:i4>
      </vt:variant>
      <vt:variant>
        <vt:i4>0</vt:i4>
      </vt:variant>
      <vt:variant>
        <vt:i4>5</vt:i4>
      </vt:variant>
      <vt:variant>
        <vt:lpwstr>http://tap.mk.gov.lv/doc/2005/EMAnot_080411_parvreg.1016.doc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Marta</cp:lastModifiedBy>
  <cp:revision>4</cp:revision>
  <cp:lastPrinted>2009-04-08T08:39:00Z</cp:lastPrinted>
  <dcterms:created xsi:type="dcterms:W3CDTF">2020-04-29T08:11:00Z</dcterms:created>
  <dcterms:modified xsi:type="dcterms:W3CDTF">2020-04-29T14:10:00Z</dcterms:modified>
</cp:coreProperties>
</file>