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C7" w:rsidRPr="00712B66" w:rsidRDefault="007116C7" w:rsidP="00F22BD8">
      <w:pPr>
        <w:pStyle w:val="naisnod"/>
        <w:spacing w:before="0" w:after="0"/>
        <w:rPr>
          <w:sz w:val="28"/>
          <w:szCs w:val="28"/>
        </w:rPr>
      </w:pPr>
      <w:r w:rsidRPr="00712B66">
        <w:rPr>
          <w:sz w:val="28"/>
          <w:szCs w:val="28"/>
        </w:rPr>
        <w:t>Izziņa par atzinumos sniegtajiem iebildumiem</w:t>
      </w:r>
    </w:p>
    <w:p w:rsidR="007116C7" w:rsidRPr="008A36C9" w:rsidRDefault="007116C7" w:rsidP="00F22BD8">
      <w:pPr>
        <w:pStyle w:val="naisf"/>
        <w:spacing w:before="0" w:after="0"/>
        <w:ind w:firstLine="0"/>
      </w:pPr>
    </w:p>
    <w:tbl>
      <w:tblPr>
        <w:tblW w:w="0" w:type="auto"/>
        <w:jc w:val="center"/>
        <w:tblLook w:val="00A0"/>
      </w:tblPr>
      <w:tblGrid>
        <w:gridCol w:w="10188"/>
      </w:tblGrid>
      <w:tr w:rsidR="007116C7" w:rsidRPr="00712B66">
        <w:trPr>
          <w:jc w:val="center"/>
        </w:trPr>
        <w:tc>
          <w:tcPr>
            <w:tcW w:w="10188" w:type="dxa"/>
            <w:tcBorders>
              <w:bottom w:val="single" w:sz="6" w:space="0" w:color="000000"/>
            </w:tcBorders>
          </w:tcPr>
          <w:p w:rsidR="007116C7" w:rsidRPr="00712B66" w:rsidRDefault="00346001" w:rsidP="00BD085B">
            <w:pPr>
              <w:jc w:val="center"/>
            </w:pPr>
            <w:r>
              <w:rPr>
                <w:b/>
                <w:bCs/>
              </w:rPr>
              <w:t>Min</w:t>
            </w:r>
            <w:r w:rsidRPr="00C90D02">
              <w:rPr>
                <w:b/>
                <w:bCs/>
              </w:rPr>
              <w:t>istru kabineta noteikumu projekt</w:t>
            </w:r>
            <w:r>
              <w:rPr>
                <w:b/>
                <w:bCs/>
              </w:rPr>
              <w:t>s</w:t>
            </w:r>
            <w:r w:rsidRPr="00C90D02">
              <w:rPr>
                <w:b/>
                <w:bCs/>
              </w:rPr>
              <w:t xml:space="preserve"> </w:t>
            </w:r>
            <w:r w:rsidR="00BD085B" w:rsidRPr="00C90D02">
              <w:rPr>
                <w:b/>
                <w:bCs/>
              </w:rPr>
              <w:t>“</w:t>
            </w:r>
            <w:r w:rsidR="00BD085B" w:rsidRPr="00561634">
              <w:rPr>
                <w:b/>
                <w:bCs/>
              </w:rPr>
              <w:t>Grozījumi Ministru kabineta 2015.</w:t>
            </w:r>
            <w:r w:rsidR="00BD085B">
              <w:rPr>
                <w:b/>
                <w:bCs/>
              </w:rPr>
              <w:t> </w:t>
            </w:r>
            <w:r w:rsidR="00BD085B" w:rsidRPr="00561634">
              <w:rPr>
                <w:b/>
                <w:bCs/>
              </w:rPr>
              <w:t xml:space="preserve">gada </w:t>
            </w:r>
            <w:r w:rsidR="00BD085B">
              <w:rPr>
                <w:b/>
                <w:bCs/>
              </w:rPr>
              <w:t>30</w:t>
            </w:r>
            <w:r w:rsidR="00BD085B" w:rsidRPr="00561634">
              <w:rPr>
                <w:b/>
                <w:bCs/>
              </w:rPr>
              <w:t>.</w:t>
            </w:r>
            <w:r w:rsidR="00BD085B">
              <w:rPr>
                <w:b/>
                <w:bCs/>
              </w:rPr>
              <w:t> </w:t>
            </w:r>
            <w:r w:rsidR="00BD085B" w:rsidRPr="00561634">
              <w:rPr>
                <w:b/>
                <w:bCs/>
              </w:rPr>
              <w:t>jūnija noteikumos Nr.</w:t>
            </w:r>
            <w:r w:rsidR="00BD085B">
              <w:rPr>
                <w:b/>
                <w:bCs/>
              </w:rPr>
              <w:t> </w:t>
            </w:r>
            <w:r w:rsidR="00BD085B" w:rsidRPr="00561634">
              <w:rPr>
                <w:b/>
                <w:bCs/>
              </w:rPr>
              <w:t>3</w:t>
            </w:r>
            <w:r w:rsidR="00BD085B">
              <w:rPr>
                <w:b/>
                <w:bCs/>
              </w:rPr>
              <w:t>40</w:t>
            </w:r>
            <w:r w:rsidR="00BD085B" w:rsidRPr="00561634">
              <w:rPr>
                <w:b/>
                <w:bCs/>
              </w:rPr>
              <w:t xml:space="preserve"> </w:t>
            </w:r>
            <w:r w:rsidR="00BD085B">
              <w:rPr>
                <w:b/>
                <w:bCs/>
              </w:rPr>
              <w:t>“</w:t>
            </w:r>
            <w:r w:rsidR="00BD085B" w:rsidRPr="00D16F4C">
              <w:rPr>
                <w:b/>
                <w:bCs/>
              </w:rPr>
              <w:t>Noteikumi par Latvijas būvnormatīvu LBN</w:t>
            </w:r>
            <w:r w:rsidR="00BD085B">
              <w:rPr>
                <w:b/>
                <w:bCs/>
              </w:rPr>
              <w:t> </w:t>
            </w:r>
            <w:r w:rsidR="00BD085B" w:rsidRPr="00D16F4C">
              <w:rPr>
                <w:b/>
                <w:bCs/>
              </w:rPr>
              <w:t>2</w:t>
            </w:r>
            <w:r w:rsidR="00BD085B">
              <w:rPr>
                <w:b/>
                <w:bCs/>
              </w:rPr>
              <w:t>11</w:t>
            </w:r>
            <w:r w:rsidR="00BD085B" w:rsidRPr="00D16F4C">
              <w:rPr>
                <w:b/>
                <w:bCs/>
              </w:rPr>
              <w:t xml:space="preserve">-15 </w:t>
            </w:r>
            <w:r w:rsidR="00BD085B" w:rsidRPr="00A974F3">
              <w:rPr>
                <w:b/>
                <w:bCs/>
              </w:rPr>
              <w:t>“</w:t>
            </w:r>
            <w:r w:rsidR="00BD085B">
              <w:rPr>
                <w:b/>
                <w:bCs/>
              </w:rPr>
              <w:t>Dzīvojamās ēkas</w:t>
            </w:r>
            <w:r w:rsidR="00BD085B" w:rsidRPr="00A974F3">
              <w:rPr>
                <w:b/>
                <w:bCs/>
              </w:rPr>
              <w:t>”</w:t>
            </w:r>
            <w:r w:rsidR="00BD085B">
              <w:rPr>
                <w:b/>
                <w:bCs/>
              </w:rPr>
              <w:t>”</w:t>
            </w:r>
            <w:r w:rsidR="00BD085B" w:rsidRPr="00C90D02">
              <w:rPr>
                <w:b/>
                <w:bCs/>
              </w:rPr>
              <w:t>”</w:t>
            </w:r>
            <w:r w:rsidR="004F2C0E">
              <w:rPr>
                <w:b/>
              </w:rPr>
              <w:t xml:space="preserve"> (VSS-</w:t>
            </w:r>
            <w:r w:rsidR="00BF630B">
              <w:rPr>
                <w:b/>
              </w:rPr>
              <w:t>15</w:t>
            </w:r>
            <w:r w:rsidR="00BD085B">
              <w:rPr>
                <w:b/>
              </w:rPr>
              <w:t>3</w:t>
            </w:r>
            <w:r w:rsidR="004F2C0E">
              <w:rPr>
                <w:b/>
              </w:rPr>
              <w:t>)</w:t>
            </w:r>
          </w:p>
        </w:tc>
      </w:tr>
    </w:tbl>
    <w:p w:rsidR="007116C7" w:rsidRPr="00712B66" w:rsidRDefault="007116C7" w:rsidP="00F22BD8">
      <w:pPr>
        <w:pStyle w:val="naisc"/>
        <w:spacing w:before="0" w:after="0"/>
      </w:pPr>
      <w:r w:rsidRPr="00712B66">
        <w:t>(dokumenta veids un nosaukums)</w:t>
      </w:r>
    </w:p>
    <w:p w:rsidR="007B4C0F" w:rsidRPr="00712B66" w:rsidRDefault="007B4C0F" w:rsidP="00F22BD8">
      <w:pPr>
        <w:pStyle w:val="naisf"/>
        <w:spacing w:before="0" w:after="0"/>
        <w:ind w:firstLine="0"/>
      </w:pPr>
    </w:p>
    <w:p w:rsidR="007B4C0F" w:rsidRPr="00712B66" w:rsidRDefault="007B4C0F" w:rsidP="00F22BD8">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377"/>
        <w:gridCol w:w="3827"/>
        <w:gridCol w:w="2977"/>
        <w:gridCol w:w="2126"/>
        <w:gridCol w:w="2410"/>
      </w:tblGrid>
      <w:tr w:rsidR="005F4BFD" w:rsidRPr="00712B66" w:rsidTr="000372EB">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F0B43">
            <w:pPr>
              <w:pStyle w:val="naisc"/>
              <w:spacing w:before="0" w:after="0"/>
            </w:pPr>
            <w:r w:rsidRPr="00712B66">
              <w:t>Nr. p.</w:t>
            </w:r>
            <w:r w:rsidR="00D64FB0">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4786D">
            <w:pPr>
              <w:pStyle w:val="naisc"/>
              <w:spacing w:before="0" w:after="0"/>
              <w:ind w:firstLine="21"/>
            </w:pPr>
            <w:r w:rsidRPr="00712B66">
              <w:t>Atbildīgās ministrijas pamatojums</w:t>
            </w:r>
            <w:r w:rsidR="009307F2" w:rsidRPr="00712B66">
              <w:t xml:space="preserve">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0372EB">
        <w:tc>
          <w:tcPr>
            <w:tcW w:w="708" w:type="dxa"/>
            <w:tcBorders>
              <w:top w:val="single" w:sz="6" w:space="0" w:color="000000"/>
              <w:left w:val="single" w:sz="6" w:space="0" w:color="000000"/>
              <w:bottom w:val="single" w:sz="4" w:space="0" w:color="auto"/>
              <w:right w:val="single" w:sz="6" w:space="0" w:color="000000"/>
            </w:tcBorders>
          </w:tcPr>
          <w:p w:rsidR="005F4BFD" w:rsidRPr="008A36C9" w:rsidRDefault="008A36C9" w:rsidP="005F0B43">
            <w:pPr>
              <w:pStyle w:val="naisc"/>
              <w:spacing w:before="0" w:after="0"/>
              <w:rPr>
                <w:sz w:val="20"/>
                <w:szCs w:val="20"/>
              </w:rPr>
            </w:pPr>
            <w:r w:rsidRPr="008A36C9">
              <w:rPr>
                <w:sz w:val="20"/>
                <w:szCs w:val="20"/>
              </w:rPr>
              <w:t>1</w:t>
            </w:r>
          </w:p>
        </w:tc>
        <w:tc>
          <w:tcPr>
            <w:tcW w:w="2377" w:type="dxa"/>
            <w:tcBorders>
              <w:top w:val="single" w:sz="6" w:space="0" w:color="000000"/>
              <w:left w:val="single" w:sz="6" w:space="0" w:color="000000"/>
              <w:bottom w:val="single" w:sz="4" w:space="0" w:color="auto"/>
              <w:right w:val="single" w:sz="6" w:space="0" w:color="000000"/>
            </w:tcBorders>
          </w:tcPr>
          <w:p w:rsidR="005F4BFD" w:rsidRPr="008A36C9" w:rsidRDefault="008A36C9" w:rsidP="004F2C0E">
            <w:pPr>
              <w:pStyle w:val="naisc"/>
              <w:spacing w:before="0" w:after="0"/>
              <w:rPr>
                <w:sz w:val="20"/>
                <w:szCs w:val="20"/>
              </w:rPr>
            </w:pPr>
            <w:r w:rsidRPr="008A36C9">
              <w:rPr>
                <w:sz w:val="20"/>
                <w:szCs w:val="20"/>
              </w:rPr>
              <w:t>2</w:t>
            </w:r>
          </w:p>
        </w:tc>
        <w:tc>
          <w:tcPr>
            <w:tcW w:w="3827" w:type="dxa"/>
            <w:tcBorders>
              <w:top w:val="single" w:sz="6" w:space="0" w:color="000000"/>
              <w:left w:val="single" w:sz="6" w:space="0" w:color="000000"/>
              <w:bottom w:val="single" w:sz="4" w:space="0" w:color="auto"/>
              <w:right w:val="single" w:sz="6" w:space="0" w:color="000000"/>
            </w:tcBorders>
          </w:tcPr>
          <w:p w:rsidR="005F4BFD" w:rsidRPr="008A36C9" w:rsidRDefault="008A36C9" w:rsidP="004F2C0E">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4" w:space="0" w:color="auto"/>
              <w:right w:val="single" w:sz="6" w:space="0" w:color="000000"/>
            </w:tcBorders>
          </w:tcPr>
          <w:p w:rsidR="005F4BFD" w:rsidRPr="008A36C9" w:rsidRDefault="008A36C9" w:rsidP="0034786D">
            <w:pPr>
              <w:pStyle w:val="naisc"/>
              <w:spacing w:before="0" w:after="0"/>
              <w:rPr>
                <w:sz w:val="20"/>
                <w:szCs w:val="20"/>
              </w:rPr>
            </w:pPr>
            <w:r w:rsidRPr="008A36C9">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41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677D33" w:rsidRPr="006E497C" w:rsidTr="000372EB">
        <w:tc>
          <w:tcPr>
            <w:tcW w:w="708" w:type="dxa"/>
            <w:tcBorders>
              <w:top w:val="single" w:sz="4" w:space="0" w:color="auto"/>
              <w:left w:val="single" w:sz="4" w:space="0" w:color="auto"/>
              <w:bottom w:val="single" w:sz="4" w:space="0" w:color="auto"/>
              <w:right w:val="single" w:sz="4" w:space="0" w:color="auto"/>
            </w:tcBorders>
          </w:tcPr>
          <w:p w:rsidR="00677D33" w:rsidRDefault="000D00D3" w:rsidP="00EA444A">
            <w:pPr>
              <w:pStyle w:val="naisc"/>
              <w:spacing w:before="0" w:after="0"/>
            </w:pPr>
            <w:r>
              <w:t>1.</w:t>
            </w:r>
          </w:p>
        </w:tc>
        <w:tc>
          <w:tcPr>
            <w:tcW w:w="2377" w:type="dxa"/>
            <w:tcBorders>
              <w:top w:val="single" w:sz="4" w:space="0" w:color="auto"/>
              <w:left w:val="single" w:sz="4" w:space="0" w:color="auto"/>
              <w:bottom w:val="single" w:sz="4" w:space="0" w:color="auto"/>
              <w:right w:val="single" w:sz="4" w:space="0" w:color="auto"/>
            </w:tcBorders>
          </w:tcPr>
          <w:p w:rsidR="00677D33" w:rsidRDefault="00677D33" w:rsidP="00126245">
            <w:pPr>
              <w:pStyle w:val="naisc"/>
              <w:spacing w:before="0" w:after="0"/>
              <w:jc w:val="both"/>
            </w:pPr>
          </w:p>
        </w:tc>
        <w:tc>
          <w:tcPr>
            <w:tcW w:w="3827" w:type="dxa"/>
            <w:tcBorders>
              <w:top w:val="single" w:sz="4" w:space="0" w:color="auto"/>
              <w:left w:val="single" w:sz="4" w:space="0" w:color="auto"/>
              <w:bottom w:val="single" w:sz="4" w:space="0" w:color="auto"/>
              <w:right w:val="single" w:sz="4" w:space="0" w:color="auto"/>
            </w:tcBorders>
          </w:tcPr>
          <w:p w:rsidR="00677D33" w:rsidRDefault="00677D33" w:rsidP="00126245">
            <w:pPr>
              <w:pStyle w:val="naisc"/>
              <w:spacing w:before="0" w:after="0"/>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677D33" w:rsidRPr="008B7C3C" w:rsidRDefault="00677D33" w:rsidP="00E6648F">
            <w:pPr>
              <w:pStyle w:val="naisc"/>
              <w:spacing w:before="0" w:after="0"/>
              <w:jc w:val="both"/>
            </w:pPr>
          </w:p>
        </w:tc>
        <w:tc>
          <w:tcPr>
            <w:tcW w:w="2126" w:type="dxa"/>
            <w:tcBorders>
              <w:top w:val="single" w:sz="4" w:space="0" w:color="auto"/>
              <w:left w:val="single" w:sz="4" w:space="0" w:color="auto"/>
              <w:bottom w:val="single" w:sz="4" w:space="0" w:color="auto"/>
              <w:right w:val="single" w:sz="4" w:space="0" w:color="auto"/>
            </w:tcBorders>
          </w:tcPr>
          <w:p w:rsidR="00677D33" w:rsidRPr="006E497C" w:rsidRDefault="00677D33" w:rsidP="00EA444A"/>
        </w:tc>
        <w:tc>
          <w:tcPr>
            <w:tcW w:w="2410" w:type="dxa"/>
            <w:tcBorders>
              <w:top w:val="single" w:sz="4" w:space="0" w:color="auto"/>
              <w:left w:val="single" w:sz="4" w:space="0" w:color="auto"/>
              <w:bottom w:val="single" w:sz="4" w:space="0" w:color="auto"/>
            </w:tcBorders>
          </w:tcPr>
          <w:p w:rsidR="00677D33" w:rsidRPr="00EA444A" w:rsidRDefault="00677D33" w:rsidP="000D00D3">
            <w:pPr>
              <w:pStyle w:val="naisc"/>
              <w:spacing w:before="0" w:after="0"/>
              <w:jc w:val="both"/>
            </w:pPr>
          </w:p>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229"/>
      </w:tblGrid>
      <w:tr w:rsidR="007B4C0F" w:rsidRPr="00712B66" w:rsidTr="00F10DF3">
        <w:tc>
          <w:tcPr>
            <w:tcW w:w="7196" w:type="dxa"/>
            <w:tcBorders>
              <w:top w:val="nil"/>
              <w:left w:val="nil"/>
              <w:bottom w:val="nil"/>
              <w:right w:val="nil"/>
            </w:tcBorders>
          </w:tcPr>
          <w:p w:rsidR="007B4C0F" w:rsidRPr="00712B66" w:rsidRDefault="005D67F7" w:rsidP="00F10DF3">
            <w:pPr>
              <w:pStyle w:val="naisf"/>
              <w:spacing w:before="0" w:after="0"/>
              <w:ind w:right="454" w:firstLine="0"/>
            </w:pPr>
            <w:r w:rsidRPr="00712B66">
              <w:t>D</w:t>
            </w:r>
            <w:r w:rsidR="007B4C0F" w:rsidRPr="00712B66">
              <w:t>atums</w:t>
            </w:r>
          </w:p>
        </w:tc>
        <w:tc>
          <w:tcPr>
            <w:tcW w:w="7229" w:type="dxa"/>
            <w:tcBorders>
              <w:top w:val="nil"/>
              <w:left w:val="nil"/>
              <w:right w:val="nil"/>
            </w:tcBorders>
          </w:tcPr>
          <w:p w:rsidR="007B4C0F" w:rsidRPr="00E356E6" w:rsidRDefault="00F55FD8" w:rsidP="00E356E6">
            <w:pPr>
              <w:pStyle w:val="NormalWeb"/>
              <w:spacing w:before="0" w:beforeAutospacing="0" w:after="0" w:afterAutospacing="0"/>
              <w:ind w:left="171"/>
            </w:pPr>
            <w:r w:rsidRPr="00E356E6">
              <w:t xml:space="preserve">2020. gada </w:t>
            </w:r>
            <w:r w:rsidR="00E356E6" w:rsidRPr="00E356E6">
              <w:t>16.-22</w:t>
            </w:r>
            <w:r w:rsidRPr="00E356E6">
              <w:t>. </w:t>
            </w:r>
            <w:r w:rsidR="000D00D3" w:rsidRPr="00E356E6">
              <w:t>aprīli</w:t>
            </w:r>
            <w:r w:rsidRPr="00E356E6">
              <w:t>s</w:t>
            </w:r>
          </w:p>
        </w:tc>
      </w:tr>
      <w:tr w:rsidR="003C27A2" w:rsidRPr="00712B66" w:rsidTr="00F10DF3">
        <w:tc>
          <w:tcPr>
            <w:tcW w:w="7196" w:type="dxa"/>
            <w:tcBorders>
              <w:top w:val="nil"/>
              <w:left w:val="nil"/>
              <w:bottom w:val="nil"/>
              <w:right w:val="nil"/>
            </w:tcBorders>
          </w:tcPr>
          <w:p w:rsidR="003C27A2" w:rsidRPr="00712B66" w:rsidRDefault="003C27A2" w:rsidP="00F10DF3">
            <w:pPr>
              <w:pStyle w:val="naisf"/>
              <w:spacing w:before="0" w:after="0"/>
              <w:ind w:right="454" w:firstLine="0"/>
            </w:pPr>
          </w:p>
        </w:tc>
        <w:tc>
          <w:tcPr>
            <w:tcW w:w="7229" w:type="dxa"/>
            <w:tcBorders>
              <w:left w:val="nil"/>
              <w:bottom w:val="nil"/>
              <w:right w:val="nil"/>
            </w:tcBorders>
          </w:tcPr>
          <w:p w:rsidR="003C27A2" w:rsidRPr="00712B66" w:rsidRDefault="003C27A2" w:rsidP="00F10DF3">
            <w:pPr>
              <w:pStyle w:val="NormalWeb"/>
              <w:spacing w:before="0" w:beforeAutospacing="0" w:after="0" w:afterAutospacing="0"/>
              <w:ind w:left="171"/>
            </w:pPr>
          </w:p>
        </w:tc>
      </w:tr>
      <w:tr w:rsidR="00396ED6" w:rsidRPr="00712B66" w:rsidTr="00F10DF3">
        <w:tc>
          <w:tcPr>
            <w:tcW w:w="7196" w:type="dxa"/>
            <w:tcBorders>
              <w:top w:val="nil"/>
              <w:left w:val="nil"/>
              <w:bottom w:val="nil"/>
              <w:right w:val="nil"/>
            </w:tcBorders>
          </w:tcPr>
          <w:p w:rsidR="00396ED6" w:rsidRPr="00712B66" w:rsidRDefault="00396ED6" w:rsidP="00F10DF3">
            <w:pPr>
              <w:pStyle w:val="naiskr"/>
              <w:spacing w:before="0" w:after="0"/>
              <w:ind w:right="454"/>
            </w:pPr>
            <w:r>
              <w:t>Saskaņošanas d</w:t>
            </w:r>
            <w:r w:rsidRPr="00712B66">
              <w:t>alībnieki</w:t>
            </w:r>
          </w:p>
        </w:tc>
        <w:tc>
          <w:tcPr>
            <w:tcW w:w="7229" w:type="dxa"/>
            <w:tcBorders>
              <w:top w:val="nil"/>
              <w:left w:val="nil"/>
              <w:right w:val="nil"/>
            </w:tcBorders>
          </w:tcPr>
          <w:p w:rsidR="00396ED6" w:rsidRPr="00712B66" w:rsidRDefault="00396ED6" w:rsidP="00F32DF3">
            <w:pPr>
              <w:pStyle w:val="NormalWeb"/>
              <w:spacing w:before="0" w:beforeAutospacing="0" w:after="0" w:afterAutospacing="0"/>
              <w:ind w:left="171"/>
            </w:pPr>
            <w:r>
              <w:t xml:space="preserve">Aizsardzības ministrija, </w:t>
            </w:r>
            <w:r w:rsidRPr="00C3501B">
              <w:t>Finanšu ministrija</w:t>
            </w:r>
            <w:r>
              <w:t>, Satiksmes ministrija,</w:t>
            </w:r>
          </w:p>
        </w:tc>
      </w:tr>
      <w:tr w:rsidR="00396ED6" w:rsidRPr="00712B66" w:rsidTr="00F10DF3">
        <w:tc>
          <w:tcPr>
            <w:tcW w:w="7196" w:type="dxa"/>
            <w:tcBorders>
              <w:top w:val="nil"/>
              <w:left w:val="nil"/>
              <w:bottom w:val="nil"/>
              <w:right w:val="nil"/>
            </w:tcBorders>
          </w:tcPr>
          <w:p w:rsidR="00396ED6" w:rsidRDefault="00396ED6" w:rsidP="00F10DF3">
            <w:pPr>
              <w:pStyle w:val="naiskr"/>
              <w:spacing w:before="0" w:after="0"/>
              <w:ind w:right="454"/>
            </w:pPr>
          </w:p>
        </w:tc>
        <w:tc>
          <w:tcPr>
            <w:tcW w:w="7229" w:type="dxa"/>
            <w:tcBorders>
              <w:top w:val="nil"/>
              <w:left w:val="nil"/>
              <w:right w:val="nil"/>
            </w:tcBorders>
          </w:tcPr>
          <w:p w:rsidR="00396ED6" w:rsidRPr="00712B66" w:rsidRDefault="00396ED6" w:rsidP="00F32DF3">
            <w:pPr>
              <w:pStyle w:val="NormalWeb"/>
              <w:spacing w:before="0" w:beforeAutospacing="0" w:after="0" w:afterAutospacing="0"/>
              <w:ind w:left="171"/>
            </w:pPr>
            <w:r>
              <w:t>Tieslietu ministrija, Vides aizsardzības un reģionālās attīstības</w:t>
            </w:r>
          </w:p>
        </w:tc>
      </w:tr>
      <w:tr w:rsidR="00396ED6" w:rsidRPr="00712B66" w:rsidTr="00F10DF3">
        <w:tc>
          <w:tcPr>
            <w:tcW w:w="7196" w:type="dxa"/>
            <w:tcBorders>
              <w:top w:val="nil"/>
              <w:left w:val="nil"/>
              <w:bottom w:val="nil"/>
              <w:right w:val="nil"/>
            </w:tcBorders>
          </w:tcPr>
          <w:p w:rsidR="00396ED6" w:rsidRDefault="00396ED6" w:rsidP="00F10DF3">
            <w:pPr>
              <w:pStyle w:val="naiskr"/>
              <w:spacing w:before="0" w:after="0"/>
              <w:ind w:right="454"/>
            </w:pPr>
          </w:p>
        </w:tc>
        <w:tc>
          <w:tcPr>
            <w:tcW w:w="7229" w:type="dxa"/>
            <w:tcBorders>
              <w:top w:val="nil"/>
              <w:left w:val="nil"/>
              <w:right w:val="nil"/>
            </w:tcBorders>
          </w:tcPr>
          <w:p w:rsidR="00396ED6" w:rsidRPr="00EE2B0B" w:rsidRDefault="00396ED6" w:rsidP="00F32DF3">
            <w:pPr>
              <w:pStyle w:val="NormalWeb"/>
              <w:spacing w:before="0" w:beforeAutospacing="0" w:after="0" w:afterAutospacing="0"/>
              <w:ind w:left="171"/>
            </w:pPr>
            <w:r w:rsidRPr="00EE2B0B">
              <w:t xml:space="preserve">ministrija, Valsts kanceleja, </w:t>
            </w:r>
            <w:r w:rsidRPr="00EE2B0B">
              <w:rPr>
                <w:bCs/>
                <w:noProof/>
              </w:rPr>
              <w:t>Latvijas Pašvaldību savienība,</w:t>
            </w:r>
          </w:p>
        </w:tc>
      </w:tr>
      <w:tr w:rsidR="00396ED6" w:rsidRPr="00712B66" w:rsidTr="00F10DF3">
        <w:tc>
          <w:tcPr>
            <w:tcW w:w="7196" w:type="dxa"/>
            <w:tcBorders>
              <w:top w:val="nil"/>
              <w:left w:val="nil"/>
              <w:bottom w:val="nil"/>
              <w:right w:val="nil"/>
            </w:tcBorders>
          </w:tcPr>
          <w:p w:rsidR="00396ED6" w:rsidRDefault="00396ED6" w:rsidP="00F10DF3">
            <w:pPr>
              <w:pStyle w:val="naiskr"/>
              <w:spacing w:before="0" w:after="0"/>
              <w:ind w:right="454"/>
            </w:pPr>
          </w:p>
        </w:tc>
        <w:tc>
          <w:tcPr>
            <w:tcW w:w="7229" w:type="dxa"/>
            <w:tcBorders>
              <w:top w:val="nil"/>
              <w:left w:val="nil"/>
              <w:right w:val="nil"/>
            </w:tcBorders>
          </w:tcPr>
          <w:p w:rsidR="00396ED6" w:rsidRPr="00EE2B0B" w:rsidRDefault="00396ED6" w:rsidP="00F32DF3">
            <w:pPr>
              <w:pStyle w:val="NormalWeb"/>
              <w:spacing w:before="0" w:beforeAutospacing="0" w:after="0" w:afterAutospacing="0"/>
              <w:ind w:left="171"/>
            </w:pPr>
            <w:r w:rsidRPr="00EE2B0B">
              <w:rPr>
                <w:bCs/>
                <w:noProof/>
              </w:rPr>
              <w:t xml:space="preserve">Latvijas Lielo pilsētu asociācija, Latvijas Brīvo arodbiedrību </w:t>
            </w:r>
          </w:p>
        </w:tc>
      </w:tr>
      <w:tr w:rsidR="00396ED6" w:rsidRPr="00712B66" w:rsidTr="00F10DF3">
        <w:tc>
          <w:tcPr>
            <w:tcW w:w="7196" w:type="dxa"/>
            <w:tcBorders>
              <w:top w:val="nil"/>
              <w:left w:val="nil"/>
              <w:bottom w:val="nil"/>
              <w:right w:val="nil"/>
            </w:tcBorders>
          </w:tcPr>
          <w:p w:rsidR="00396ED6" w:rsidRDefault="00396ED6" w:rsidP="00F10DF3">
            <w:pPr>
              <w:pStyle w:val="naiskr"/>
              <w:spacing w:before="0" w:after="0"/>
              <w:ind w:right="454"/>
            </w:pPr>
          </w:p>
        </w:tc>
        <w:tc>
          <w:tcPr>
            <w:tcW w:w="7229" w:type="dxa"/>
            <w:tcBorders>
              <w:top w:val="nil"/>
              <w:left w:val="nil"/>
              <w:right w:val="nil"/>
            </w:tcBorders>
          </w:tcPr>
          <w:p w:rsidR="00396ED6" w:rsidRPr="00EE2B0B" w:rsidRDefault="00396ED6" w:rsidP="00F32DF3">
            <w:pPr>
              <w:pStyle w:val="NormalWeb"/>
              <w:spacing w:before="0" w:beforeAutospacing="0" w:after="0" w:afterAutospacing="0"/>
              <w:ind w:left="171"/>
              <w:rPr>
                <w:bCs/>
                <w:noProof/>
              </w:rPr>
            </w:pPr>
            <w:r w:rsidRPr="00EE2B0B">
              <w:rPr>
                <w:bCs/>
                <w:noProof/>
              </w:rPr>
              <w:t>savienība</w:t>
            </w:r>
          </w:p>
        </w:tc>
      </w:tr>
      <w:tr w:rsidR="00396ED6" w:rsidRPr="00712B66" w:rsidTr="00F10DF3">
        <w:tc>
          <w:tcPr>
            <w:tcW w:w="7196" w:type="dxa"/>
            <w:tcBorders>
              <w:top w:val="nil"/>
              <w:left w:val="nil"/>
              <w:bottom w:val="nil"/>
              <w:right w:val="nil"/>
            </w:tcBorders>
          </w:tcPr>
          <w:p w:rsidR="00396ED6" w:rsidRPr="00712B66" w:rsidRDefault="00396ED6" w:rsidP="00F10DF3">
            <w:pPr>
              <w:pStyle w:val="naiskr"/>
              <w:spacing w:before="0" w:after="0"/>
              <w:ind w:right="454" w:firstLine="720"/>
            </w:pPr>
            <w:r w:rsidRPr="00712B66">
              <w:t>  </w:t>
            </w:r>
          </w:p>
        </w:tc>
        <w:tc>
          <w:tcPr>
            <w:tcW w:w="7229" w:type="dxa"/>
            <w:tcBorders>
              <w:left w:val="nil"/>
              <w:bottom w:val="nil"/>
              <w:right w:val="nil"/>
            </w:tcBorders>
          </w:tcPr>
          <w:p w:rsidR="00396ED6" w:rsidRPr="00EE2B0B" w:rsidRDefault="00396ED6" w:rsidP="00F32DF3">
            <w:pPr>
              <w:pStyle w:val="NormalWeb"/>
              <w:spacing w:before="0" w:beforeAutospacing="0" w:after="0" w:afterAutospacing="0"/>
              <w:ind w:left="171"/>
              <w:rPr>
                <w:bCs/>
                <w:noProof/>
              </w:rPr>
            </w:pPr>
          </w:p>
        </w:tc>
      </w:tr>
      <w:tr w:rsidR="00396ED6" w:rsidRPr="00712B66" w:rsidTr="00F10DF3">
        <w:trPr>
          <w:trHeight w:val="278"/>
        </w:trPr>
        <w:tc>
          <w:tcPr>
            <w:tcW w:w="7196" w:type="dxa"/>
            <w:vMerge w:val="restart"/>
            <w:tcBorders>
              <w:top w:val="nil"/>
              <w:left w:val="nil"/>
              <w:bottom w:val="nil"/>
              <w:right w:val="nil"/>
            </w:tcBorders>
          </w:tcPr>
          <w:p w:rsidR="00396ED6" w:rsidRPr="00712B66" w:rsidRDefault="00396ED6" w:rsidP="00F10DF3">
            <w:pPr>
              <w:pStyle w:val="naiskr"/>
              <w:spacing w:before="0" w:after="0"/>
              <w:ind w:right="454"/>
            </w:pPr>
            <w:r>
              <w:t>Saskaņošanas d</w:t>
            </w:r>
            <w:r w:rsidRPr="00712B66">
              <w:t xml:space="preserve">alībnieki izskatīja šādu ministriju </w:t>
            </w:r>
            <w:r>
              <w:t>(c</w:t>
            </w:r>
            <w:r w:rsidRPr="00712B66">
              <w:t>itu institūciju</w:t>
            </w:r>
            <w:r>
              <w:t>)</w:t>
            </w:r>
            <w:r w:rsidRPr="00712B66">
              <w:t xml:space="preserve"> iebildumus</w:t>
            </w:r>
          </w:p>
        </w:tc>
        <w:tc>
          <w:tcPr>
            <w:tcW w:w="7229" w:type="dxa"/>
            <w:tcBorders>
              <w:top w:val="nil"/>
              <w:left w:val="nil"/>
              <w:right w:val="nil"/>
            </w:tcBorders>
          </w:tcPr>
          <w:p w:rsidR="00396ED6" w:rsidRPr="00C3501B" w:rsidRDefault="00396ED6" w:rsidP="00023A79">
            <w:pPr>
              <w:pStyle w:val="naiskr"/>
              <w:spacing w:before="0" w:after="0"/>
              <w:ind w:left="171"/>
            </w:pPr>
            <w:r w:rsidRPr="00C3501B">
              <w:t>Finanšu ministrijas</w:t>
            </w:r>
            <w:r>
              <w:t>, Tieslietu ministrijas</w:t>
            </w:r>
          </w:p>
        </w:tc>
      </w:tr>
      <w:tr w:rsidR="00396ED6" w:rsidRPr="00712B66" w:rsidTr="00F10DF3">
        <w:trPr>
          <w:trHeight w:val="277"/>
        </w:trPr>
        <w:tc>
          <w:tcPr>
            <w:tcW w:w="7196" w:type="dxa"/>
            <w:vMerge/>
            <w:tcBorders>
              <w:top w:val="nil"/>
              <w:left w:val="nil"/>
              <w:bottom w:val="nil"/>
              <w:right w:val="nil"/>
            </w:tcBorders>
          </w:tcPr>
          <w:p w:rsidR="00396ED6" w:rsidRDefault="00396ED6" w:rsidP="00F10DF3">
            <w:pPr>
              <w:pStyle w:val="naiskr"/>
              <w:spacing w:before="0" w:after="0"/>
              <w:ind w:right="454"/>
            </w:pPr>
          </w:p>
        </w:tc>
        <w:tc>
          <w:tcPr>
            <w:tcW w:w="7229" w:type="dxa"/>
            <w:tcBorders>
              <w:left w:val="nil"/>
              <w:right w:val="nil"/>
            </w:tcBorders>
          </w:tcPr>
          <w:p w:rsidR="00396ED6" w:rsidRPr="00C3501B" w:rsidRDefault="00396ED6" w:rsidP="00F10DF3">
            <w:pPr>
              <w:pStyle w:val="naiskr"/>
              <w:spacing w:before="0" w:after="0"/>
              <w:ind w:left="171"/>
            </w:pPr>
          </w:p>
        </w:tc>
      </w:tr>
      <w:tr w:rsidR="00396ED6" w:rsidRPr="00712B66" w:rsidTr="00F10DF3">
        <w:tc>
          <w:tcPr>
            <w:tcW w:w="7196" w:type="dxa"/>
            <w:tcBorders>
              <w:top w:val="nil"/>
              <w:left w:val="nil"/>
              <w:bottom w:val="nil"/>
              <w:right w:val="nil"/>
            </w:tcBorders>
          </w:tcPr>
          <w:p w:rsidR="00396ED6" w:rsidRDefault="00396ED6" w:rsidP="00F10DF3">
            <w:pPr>
              <w:pStyle w:val="naiskr"/>
              <w:spacing w:before="0" w:after="0"/>
              <w:ind w:right="454"/>
            </w:pPr>
          </w:p>
        </w:tc>
        <w:tc>
          <w:tcPr>
            <w:tcW w:w="7229" w:type="dxa"/>
            <w:tcBorders>
              <w:left w:val="nil"/>
              <w:bottom w:val="nil"/>
              <w:right w:val="nil"/>
            </w:tcBorders>
          </w:tcPr>
          <w:p w:rsidR="00396ED6" w:rsidRPr="00712B66" w:rsidRDefault="00396ED6" w:rsidP="00F10DF3">
            <w:pPr>
              <w:pStyle w:val="naiskr"/>
              <w:spacing w:before="0" w:after="0"/>
              <w:ind w:left="171"/>
            </w:pPr>
          </w:p>
        </w:tc>
      </w:tr>
      <w:tr w:rsidR="00396ED6" w:rsidRPr="00712B66" w:rsidTr="00F10DF3">
        <w:trPr>
          <w:trHeight w:val="275"/>
        </w:trPr>
        <w:tc>
          <w:tcPr>
            <w:tcW w:w="7196" w:type="dxa"/>
            <w:vMerge w:val="restart"/>
            <w:tcBorders>
              <w:top w:val="nil"/>
              <w:left w:val="nil"/>
              <w:bottom w:val="nil"/>
              <w:right w:val="nil"/>
            </w:tcBorders>
          </w:tcPr>
          <w:p w:rsidR="00396ED6" w:rsidRDefault="00396ED6" w:rsidP="00F10DF3">
            <w:pPr>
              <w:pStyle w:val="naiskr"/>
              <w:spacing w:before="0" w:after="0"/>
              <w:ind w:right="454"/>
            </w:pPr>
            <w:r w:rsidRPr="00712B66">
              <w:t xml:space="preserve">Ministrijas (citas institūcijas), kuras nav ieradušās uz sanāksmi vai </w:t>
            </w:r>
            <w:r w:rsidRPr="00712B66">
              <w:lastRenderedPageBreak/>
              <w:t>kuras nav atbildējušas uz uzaicinājumu piedalīties elektroniskajā saskaņošanā</w:t>
            </w:r>
          </w:p>
        </w:tc>
        <w:tc>
          <w:tcPr>
            <w:tcW w:w="7229" w:type="dxa"/>
            <w:tcBorders>
              <w:top w:val="nil"/>
              <w:left w:val="nil"/>
              <w:right w:val="nil"/>
            </w:tcBorders>
          </w:tcPr>
          <w:p w:rsidR="00396ED6" w:rsidRPr="00712B66" w:rsidRDefault="00396ED6" w:rsidP="00F10DF3">
            <w:pPr>
              <w:pStyle w:val="naiskr"/>
              <w:spacing w:before="0" w:after="0"/>
              <w:ind w:left="171"/>
            </w:pPr>
          </w:p>
        </w:tc>
      </w:tr>
      <w:tr w:rsidR="00396ED6" w:rsidRPr="00712B66" w:rsidTr="00F10DF3">
        <w:trPr>
          <w:trHeight w:val="275"/>
        </w:trPr>
        <w:tc>
          <w:tcPr>
            <w:tcW w:w="7196" w:type="dxa"/>
            <w:vMerge/>
            <w:tcBorders>
              <w:top w:val="nil"/>
              <w:left w:val="nil"/>
              <w:bottom w:val="nil"/>
              <w:right w:val="nil"/>
            </w:tcBorders>
          </w:tcPr>
          <w:p w:rsidR="00396ED6" w:rsidRPr="00712B66" w:rsidRDefault="00396ED6" w:rsidP="00F10DF3">
            <w:pPr>
              <w:pStyle w:val="naiskr"/>
              <w:spacing w:before="0" w:after="0"/>
            </w:pPr>
          </w:p>
        </w:tc>
        <w:tc>
          <w:tcPr>
            <w:tcW w:w="7229" w:type="dxa"/>
            <w:tcBorders>
              <w:left w:val="nil"/>
              <w:bottom w:val="single" w:sz="4" w:space="0" w:color="auto"/>
              <w:right w:val="nil"/>
            </w:tcBorders>
          </w:tcPr>
          <w:p w:rsidR="00396ED6" w:rsidRPr="00712B66" w:rsidRDefault="00396ED6" w:rsidP="00F10DF3">
            <w:pPr>
              <w:pStyle w:val="naiskr"/>
              <w:spacing w:before="0" w:after="0"/>
              <w:ind w:left="171"/>
            </w:pPr>
          </w:p>
        </w:tc>
      </w:tr>
      <w:tr w:rsidR="00396ED6" w:rsidRPr="00712B66" w:rsidTr="00F10DF3">
        <w:trPr>
          <w:trHeight w:val="275"/>
        </w:trPr>
        <w:tc>
          <w:tcPr>
            <w:tcW w:w="7196" w:type="dxa"/>
            <w:vMerge/>
            <w:tcBorders>
              <w:top w:val="nil"/>
              <w:left w:val="nil"/>
              <w:bottom w:val="nil"/>
              <w:right w:val="nil"/>
            </w:tcBorders>
          </w:tcPr>
          <w:p w:rsidR="00396ED6" w:rsidRPr="00712B66" w:rsidRDefault="00396ED6" w:rsidP="00F10DF3">
            <w:pPr>
              <w:pStyle w:val="naiskr"/>
              <w:spacing w:before="0" w:after="0"/>
            </w:pPr>
          </w:p>
        </w:tc>
        <w:tc>
          <w:tcPr>
            <w:tcW w:w="7229" w:type="dxa"/>
            <w:tcBorders>
              <w:left w:val="nil"/>
              <w:bottom w:val="nil"/>
              <w:right w:val="nil"/>
            </w:tcBorders>
          </w:tcPr>
          <w:p w:rsidR="00396ED6" w:rsidRPr="00712B66" w:rsidRDefault="00396ED6" w:rsidP="00F10DF3">
            <w:pPr>
              <w:pStyle w:val="naiskr"/>
              <w:spacing w:before="0" w:after="0"/>
              <w:ind w:left="609"/>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400"/>
        <w:gridCol w:w="686"/>
        <w:gridCol w:w="4394"/>
        <w:gridCol w:w="1099"/>
        <w:gridCol w:w="2020"/>
        <w:gridCol w:w="3118"/>
      </w:tblGrid>
      <w:tr w:rsidR="00134188" w:rsidRPr="00712B66" w:rsidTr="00F10DF3">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5F0B43" w:rsidRDefault="00134188" w:rsidP="00CB4E1D">
            <w:pPr>
              <w:jc w:val="center"/>
            </w:pPr>
            <w:r w:rsidRPr="005F0B43">
              <w:t>Projekta attiecīgā punkta (panta) galīgā redakcija</w:t>
            </w:r>
          </w:p>
        </w:tc>
      </w:tr>
      <w:tr w:rsidR="00134188" w:rsidRPr="003B71E0" w:rsidTr="00F10DF3">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CB4E1D">
            <w:pPr>
              <w:pStyle w:val="naisc"/>
              <w:spacing w:before="0" w:after="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CB4E1D">
            <w:pPr>
              <w:pStyle w:val="naisc"/>
              <w:spacing w:before="0" w:after="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rsidR="00134188" w:rsidRPr="005F0B43" w:rsidRDefault="003B71E0" w:rsidP="00CB4E1D">
            <w:pPr>
              <w:jc w:val="center"/>
            </w:pPr>
            <w:r w:rsidRPr="005F0B43">
              <w:t>5</w:t>
            </w:r>
          </w:p>
        </w:tc>
      </w:tr>
      <w:tr w:rsidR="000D00D3" w:rsidRPr="00712B66" w:rsidTr="00F10DF3">
        <w:tc>
          <w:tcPr>
            <w:tcW w:w="708" w:type="dxa"/>
            <w:tcBorders>
              <w:left w:val="single" w:sz="6" w:space="0" w:color="000000"/>
              <w:bottom w:val="single" w:sz="4" w:space="0" w:color="auto"/>
              <w:right w:val="single" w:sz="6" w:space="0" w:color="000000"/>
            </w:tcBorders>
          </w:tcPr>
          <w:p w:rsidR="000D00D3" w:rsidRDefault="000D00D3" w:rsidP="00927F4B">
            <w:pPr>
              <w:pStyle w:val="naisc"/>
              <w:spacing w:before="0" w:after="0"/>
            </w:pPr>
            <w:r>
              <w:t>1.</w:t>
            </w:r>
          </w:p>
        </w:tc>
        <w:tc>
          <w:tcPr>
            <w:tcW w:w="3086" w:type="dxa"/>
            <w:gridSpan w:val="2"/>
            <w:tcBorders>
              <w:left w:val="single" w:sz="6" w:space="0" w:color="000000"/>
              <w:bottom w:val="single" w:sz="4" w:space="0" w:color="auto"/>
              <w:right w:val="single" w:sz="6" w:space="0" w:color="000000"/>
            </w:tcBorders>
          </w:tcPr>
          <w:p w:rsidR="000D00D3" w:rsidRDefault="00FC2777" w:rsidP="00FD50F1">
            <w:pPr>
              <w:pStyle w:val="naisc"/>
              <w:spacing w:before="0" w:after="0"/>
              <w:jc w:val="both"/>
            </w:pPr>
            <w:r>
              <w:t>Noteikumu projekts</w:t>
            </w:r>
          </w:p>
        </w:tc>
        <w:tc>
          <w:tcPr>
            <w:tcW w:w="4394" w:type="dxa"/>
            <w:tcBorders>
              <w:left w:val="single" w:sz="6" w:space="0" w:color="000000"/>
              <w:bottom w:val="single" w:sz="4" w:space="0" w:color="auto"/>
              <w:right w:val="single" w:sz="6" w:space="0" w:color="000000"/>
            </w:tcBorders>
          </w:tcPr>
          <w:p w:rsidR="000D00D3" w:rsidRDefault="00FC2777" w:rsidP="006461AC">
            <w:pPr>
              <w:pStyle w:val="naisc"/>
              <w:spacing w:before="0" w:after="0"/>
              <w:jc w:val="both"/>
              <w:rPr>
                <w:b/>
                <w:bCs/>
              </w:rPr>
            </w:pPr>
            <w:r>
              <w:rPr>
                <w:b/>
                <w:bCs/>
              </w:rPr>
              <w:t>Aizsardzības ministrija</w:t>
            </w:r>
            <w:r w:rsidR="00F04D99">
              <w:rPr>
                <w:b/>
                <w:bCs/>
              </w:rPr>
              <w:t xml:space="preserve"> (priekšlikums)</w:t>
            </w:r>
          </w:p>
          <w:p w:rsidR="00FC2777" w:rsidRDefault="00F04D99" w:rsidP="006461AC">
            <w:pPr>
              <w:pStyle w:val="naisc"/>
              <w:spacing w:before="0" w:after="0"/>
              <w:jc w:val="both"/>
              <w:rPr>
                <w:b/>
                <w:bCs/>
              </w:rPr>
            </w:pPr>
            <w:r>
              <w:t>Lūdzam normatīvā paredzēt, ka ir jārezervē arī uzlādes stacijas novietošanas vieta (teritorijā), jo tikai kanālu ieguldīšana nākotnes projektiem var būt nelietderīgi tērēts finansējums.</w:t>
            </w:r>
          </w:p>
        </w:tc>
        <w:tc>
          <w:tcPr>
            <w:tcW w:w="3119" w:type="dxa"/>
            <w:gridSpan w:val="2"/>
            <w:tcBorders>
              <w:left w:val="single" w:sz="6" w:space="0" w:color="000000"/>
              <w:bottom w:val="single" w:sz="4" w:space="0" w:color="auto"/>
              <w:right w:val="single" w:sz="6" w:space="0" w:color="000000"/>
            </w:tcBorders>
          </w:tcPr>
          <w:p w:rsidR="000D00D3" w:rsidRPr="003861E8" w:rsidRDefault="009D085C" w:rsidP="00FC2777">
            <w:pPr>
              <w:pStyle w:val="naisc"/>
              <w:spacing w:before="0" w:after="0"/>
              <w:rPr>
                <w:b/>
              </w:rPr>
            </w:pPr>
            <w:r w:rsidRPr="003861E8">
              <w:rPr>
                <w:b/>
              </w:rPr>
              <w:t>Daļēji ņ</w:t>
            </w:r>
            <w:r w:rsidR="00FC2777" w:rsidRPr="003861E8">
              <w:rPr>
                <w:b/>
              </w:rPr>
              <w:t>emts vērā.</w:t>
            </w:r>
          </w:p>
          <w:p w:rsidR="003D5688" w:rsidRPr="00FC2777" w:rsidRDefault="003861E8" w:rsidP="003861E8">
            <w:pPr>
              <w:pStyle w:val="naisc"/>
              <w:spacing w:before="0" w:after="0"/>
              <w:jc w:val="both"/>
              <w:rPr>
                <w:b/>
                <w:highlight w:val="yellow"/>
              </w:rPr>
            </w:pPr>
            <w:r w:rsidRPr="003861E8">
              <w:t>Noteikumu projekta redakcija ir saskaņota ar</w:t>
            </w:r>
            <w:r w:rsidRPr="003861E8">
              <w:rPr>
                <w:b/>
              </w:rPr>
              <w:t xml:space="preserve"> </w:t>
            </w:r>
            <w:r w:rsidRPr="003861E8">
              <w:rPr>
                <w:rFonts w:eastAsia="Calibri"/>
                <w:bCs/>
              </w:rPr>
              <w:t>Direktīvas</w:t>
            </w:r>
            <w:r w:rsidRPr="00FD6A23">
              <w:rPr>
                <w:rFonts w:eastAsia="Calibri"/>
                <w:bCs/>
              </w:rPr>
              <w:t xml:space="preserve"> </w:t>
            </w:r>
            <w:r w:rsidRPr="00CB48FB">
              <w:rPr>
                <w:rFonts w:eastAsia="Calibri"/>
                <w:bCs/>
              </w:rPr>
              <w:t>2010/31/ES 8. panta 5. </w:t>
            </w:r>
            <w:r>
              <w:rPr>
                <w:rFonts w:eastAsia="Calibri"/>
                <w:bCs/>
              </w:rPr>
              <w:t>p</w:t>
            </w:r>
            <w:r w:rsidRPr="00CB48FB">
              <w:rPr>
                <w:rFonts w:eastAsia="Calibri"/>
                <w:bCs/>
              </w:rPr>
              <w:t>unktu</w:t>
            </w:r>
            <w:r>
              <w:rPr>
                <w:rFonts w:eastAsia="Calibri"/>
                <w:bCs/>
              </w:rPr>
              <w:t>.</w:t>
            </w:r>
          </w:p>
        </w:tc>
        <w:tc>
          <w:tcPr>
            <w:tcW w:w="3118" w:type="dxa"/>
            <w:tcBorders>
              <w:top w:val="single" w:sz="4" w:space="0" w:color="auto"/>
              <w:left w:val="single" w:sz="4" w:space="0" w:color="auto"/>
              <w:bottom w:val="single" w:sz="4" w:space="0" w:color="auto"/>
            </w:tcBorders>
          </w:tcPr>
          <w:p w:rsidR="000D00D3" w:rsidRPr="00EA444A" w:rsidRDefault="003861E8" w:rsidP="00126245">
            <w:pPr>
              <w:pStyle w:val="naisc"/>
              <w:spacing w:before="0" w:after="0"/>
              <w:jc w:val="both"/>
            </w:pPr>
            <w:r>
              <w:t>Precizēts anotācijas II sadaļas 4. punkts.</w:t>
            </w:r>
          </w:p>
        </w:tc>
      </w:tr>
      <w:tr w:rsidR="00F05129" w:rsidRPr="00712B66" w:rsidTr="00F10DF3">
        <w:tc>
          <w:tcPr>
            <w:tcW w:w="708" w:type="dxa"/>
            <w:tcBorders>
              <w:left w:val="single" w:sz="6" w:space="0" w:color="000000"/>
              <w:bottom w:val="single" w:sz="4" w:space="0" w:color="auto"/>
              <w:right w:val="single" w:sz="6" w:space="0" w:color="000000"/>
            </w:tcBorders>
          </w:tcPr>
          <w:p w:rsidR="00F05129" w:rsidRDefault="00F05129" w:rsidP="00927F4B">
            <w:pPr>
              <w:pStyle w:val="naisc"/>
              <w:spacing w:before="0" w:after="0"/>
            </w:pPr>
            <w:r>
              <w:t>2.</w:t>
            </w:r>
          </w:p>
        </w:tc>
        <w:tc>
          <w:tcPr>
            <w:tcW w:w="3086" w:type="dxa"/>
            <w:gridSpan w:val="2"/>
            <w:tcBorders>
              <w:left w:val="single" w:sz="6" w:space="0" w:color="000000"/>
              <w:bottom w:val="single" w:sz="4" w:space="0" w:color="auto"/>
              <w:right w:val="single" w:sz="6" w:space="0" w:color="000000"/>
            </w:tcBorders>
          </w:tcPr>
          <w:p w:rsidR="00F05129" w:rsidRDefault="00F05129" w:rsidP="00FD50F1">
            <w:pPr>
              <w:pStyle w:val="naisc"/>
              <w:spacing w:before="0" w:after="0"/>
              <w:jc w:val="both"/>
            </w:pPr>
            <w:r>
              <w:t>1. punkts:</w:t>
            </w:r>
          </w:p>
          <w:p w:rsidR="00F05129" w:rsidRPr="001D2FBC" w:rsidRDefault="00F05129" w:rsidP="00F05129">
            <w:pPr>
              <w:contextualSpacing/>
            </w:pPr>
            <w:r>
              <w:t>”1. P</w:t>
            </w:r>
            <w:r w:rsidRPr="001D2FBC">
              <w:t xml:space="preserve">apildināt noteikumus ar </w:t>
            </w:r>
            <w:r>
              <w:t>3</w:t>
            </w:r>
            <w:r w:rsidRPr="001D2FBC">
              <w:t>.</w:t>
            </w:r>
            <w:r>
              <w:t> </w:t>
            </w:r>
            <w:r w:rsidRPr="001D2FBC">
              <w:t>punktu šādā redakcijā</w:t>
            </w:r>
            <w:r>
              <w:t>:</w:t>
            </w:r>
          </w:p>
          <w:p w:rsidR="00F05129" w:rsidRDefault="00F05129" w:rsidP="00F05129">
            <w:pPr>
              <w:pStyle w:val="naisc"/>
              <w:spacing w:before="0" w:after="0"/>
              <w:jc w:val="both"/>
            </w:pPr>
            <w:r w:rsidRPr="0091024C">
              <w:t xml:space="preserve">“3. Būvniecības ieceres dokumentāciju, kas noteiktā kārtībā saskaņota (akceptēta) vai iesniegta saskaņošanai institūcijā, kas pilda būvvaldes funkcijas, līdz 2021. gada 10. martam, var nepārstrādāt atbilstoši </w:t>
            </w:r>
            <w:r w:rsidRPr="0091024C">
              <w:rPr>
                <w:shd w:val="clear" w:color="auto" w:fill="FFFFFF"/>
              </w:rPr>
              <w:t xml:space="preserve">Latvijas būvnormatīva LBN 211-15 </w:t>
            </w:r>
            <w:r w:rsidRPr="0091024C">
              <w:t>“Dzīvojamās ēkas”</w:t>
            </w:r>
            <w:r w:rsidRPr="0091024C">
              <w:rPr>
                <w:shd w:val="clear" w:color="auto" w:fill="FFFFFF"/>
              </w:rPr>
              <w:t xml:space="preserve"> 58.5. apakšpunkta u</w:t>
            </w:r>
            <w:r w:rsidRPr="0091024C">
              <w:t>n 58.</w:t>
            </w:r>
            <w:r w:rsidRPr="0091024C">
              <w:rPr>
                <w:vertAlign w:val="superscript"/>
              </w:rPr>
              <w:t>1</w:t>
            </w:r>
            <w:r w:rsidRPr="0091024C">
              <w:t> punkta prasībām.</w:t>
            </w:r>
            <w:r>
              <w:t>”</w:t>
            </w:r>
          </w:p>
        </w:tc>
        <w:tc>
          <w:tcPr>
            <w:tcW w:w="4394" w:type="dxa"/>
            <w:tcBorders>
              <w:left w:val="single" w:sz="6" w:space="0" w:color="000000"/>
              <w:bottom w:val="single" w:sz="4" w:space="0" w:color="auto"/>
              <w:right w:val="single" w:sz="6" w:space="0" w:color="000000"/>
            </w:tcBorders>
          </w:tcPr>
          <w:p w:rsidR="00F05129" w:rsidRDefault="00F05129" w:rsidP="006461AC">
            <w:pPr>
              <w:pStyle w:val="naisc"/>
              <w:spacing w:before="0" w:after="0"/>
              <w:jc w:val="both"/>
              <w:rPr>
                <w:b/>
                <w:bCs/>
              </w:rPr>
            </w:pPr>
            <w:r>
              <w:rPr>
                <w:b/>
                <w:bCs/>
              </w:rPr>
              <w:t>Tieslietu ministrija (papildus)</w:t>
            </w:r>
          </w:p>
          <w:p w:rsidR="00F05129" w:rsidRDefault="00F05129" w:rsidP="006461AC">
            <w:pPr>
              <w:pStyle w:val="naisc"/>
              <w:spacing w:before="0" w:after="0"/>
              <w:jc w:val="both"/>
              <w:rPr>
                <w:b/>
                <w:bCs/>
              </w:rPr>
            </w:pPr>
            <w:r>
              <w:rPr>
                <w:bCs/>
                <w:iCs/>
                <w:bdr w:val="none" w:sz="0" w:space="0" w:color="auto" w:frame="1"/>
              </w:rPr>
              <w:t>N</w:t>
            </w:r>
            <w:r w:rsidRPr="00CD2F78">
              <w:rPr>
                <w:bCs/>
                <w:iCs/>
                <w:bdr w:val="none" w:sz="0" w:space="0" w:color="auto" w:frame="1"/>
              </w:rPr>
              <w:t>oteikumu projekta 1. punktā</w:t>
            </w:r>
            <w:r w:rsidRPr="00CD2F78">
              <w:rPr>
                <w:rStyle w:val="apple-converted-space"/>
                <w:bCs/>
                <w:iCs/>
                <w:bdr w:val="none" w:sz="0" w:space="0" w:color="auto" w:frame="1"/>
              </w:rPr>
              <w:t> </w:t>
            </w:r>
            <w:r w:rsidRPr="00CD2F78">
              <w:rPr>
                <w:bCs/>
                <w:iCs/>
                <w:bdr w:val="none" w:sz="0" w:space="0" w:color="auto" w:frame="1"/>
              </w:rPr>
              <w:t>(vārdu - "noteiktā kārtībā" - vietā)</w:t>
            </w:r>
            <w:r w:rsidRPr="00CD2F78">
              <w:rPr>
                <w:rStyle w:val="apple-converted-space"/>
                <w:bCs/>
                <w:iCs/>
                <w:bdr w:val="none" w:sz="0" w:space="0" w:color="auto" w:frame="1"/>
              </w:rPr>
              <w:t> </w:t>
            </w:r>
            <w:r w:rsidRPr="00CD2F78">
              <w:rPr>
                <w:bCs/>
                <w:iCs/>
                <w:bdr w:val="none" w:sz="0" w:space="0" w:color="auto" w:frame="1"/>
              </w:rPr>
              <w:t>tiek ietverta korekta atsauce uz normatīvajiem aktiem noteiktā jomā, ievērojot Ministru kabineta 2009. gada 3. februāra noteikumu Nr. 108 "Normatīvo aktu projektu sagatavošanas noteikumi" 137. punktu.</w:t>
            </w:r>
          </w:p>
        </w:tc>
        <w:tc>
          <w:tcPr>
            <w:tcW w:w="3119" w:type="dxa"/>
            <w:gridSpan w:val="2"/>
            <w:tcBorders>
              <w:left w:val="single" w:sz="6" w:space="0" w:color="000000"/>
              <w:bottom w:val="single" w:sz="4" w:space="0" w:color="auto"/>
              <w:right w:val="single" w:sz="6" w:space="0" w:color="000000"/>
            </w:tcBorders>
          </w:tcPr>
          <w:p w:rsidR="00F05129" w:rsidRPr="003861E8" w:rsidRDefault="00F05129" w:rsidP="00FC2777">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rsidR="00F05129" w:rsidRDefault="00F05129" w:rsidP="00126245">
            <w:pPr>
              <w:pStyle w:val="naisc"/>
              <w:spacing w:before="0" w:after="0"/>
              <w:jc w:val="both"/>
            </w:pPr>
            <w:r>
              <w:t>1. punkts:</w:t>
            </w:r>
          </w:p>
          <w:p w:rsidR="00F05129" w:rsidRPr="00E472F8" w:rsidRDefault="00F05129" w:rsidP="00F05129">
            <w:pPr>
              <w:contextualSpacing/>
            </w:pPr>
            <w:r>
              <w:t>”1. P</w:t>
            </w:r>
            <w:r w:rsidRPr="001D2FBC">
              <w:t xml:space="preserve">apildināt noteikumus ar </w:t>
            </w:r>
            <w:r>
              <w:t>3</w:t>
            </w:r>
            <w:r w:rsidRPr="001D2FBC">
              <w:t>.</w:t>
            </w:r>
            <w:r>
              <w:t> </w:t>
            </w:r>
            <w:r w:rsidRPr="001D2FBC">
              <w:t>punktu šādā redakcijā</w:t>
            </w:r>
            <w:r>
              <w:t>:</w:t>
            </w:r>
          </w:p>
          <w:p w:rsidR="00F05129" w:rsidRDefault="00F05129" w:rsidP="00F05129">
            <w:pPr>
              <w:pStyle w:val="naisc"/>
              <w:spacing w:before="0" w:after="0"/>
              <w:jc w:val="both"/>
            </w:pPr>
            <w:r w:rsidRPr="0091024C">
              <w:t xml:space="preserve">“3. Būvniecības ieceres dokumentāciju, kas </w:t>
            </w:r>
            <w:r>
              <w:t xml:space="preserve">normatīvajos aktos būvniecības jomā </w:t>
            </w:r>
            <w:r w:rsidRPr="003C631B">
              <w:t>noteikt</w:t>
            </w:r>
            <w:r>
              <w:t>aj</w:t>
            </w:r>
            <w:r w:rsidRPr="003C631B">
              <w:t>ā</w:t>
            </w:r>
            <w:r w:rsidRPr="0091024C">
              <w:t xml:space="preserve"> kārtībā saskaņota (akceptēta) vai iesniegta saskaņošanai institūcijā, kas pilda būvvaldes funkcijas, līdz 2021. gada 10. martam, var nepārstrādāt atbilstoši </w:t>
            </w:r>
            <w:r w:rsidRPr="0091024C">
              <w:rPr>
                <w:shd w:val="clear" w:color="auto" w:fill="FFFFFF"/>
              </w:rPr>
              <w:t xml:space="preserve">Latvijas būvnormatīva LBN 211-15 </w:t>
            </w:r>
            <w:r w:rsidRPr="0091024C">
              <w:t>“Dzīvojamās ēkas”</w:t>
            </w:r>
            <w:r w:rsidRPr="0091024C">
              <w:rPr>
                <w:shd w:val="clear" w:color="auto" w:fill="FFFFFF"/>
              </w:rPr>
              <w:t xml:space="preserve"> 58.5. apakšpunkta u</w:t>
            </w:r>
            <w:r w:rsidRPr="0091024C">
              <w:t xml:space="preserve">n </w:t>
            </w:r>
            <w:r w:rsidRPr="0091024C">
              <w:lastRenderedPageBreak/>
              <w:t>58.</w:t>
            </w:r>
            <w:r w:rsidRPr="0091024C">
              <w:rPr>
                <w:vertAlign w:val="superscript"/>
              </w:rPr>
              <w:t>1</w:t>
            </w:r>
            <w:r w:rsidRPr="0091024C">
              <w:t> punkta prasībām.”</w:t>
            </w:r>
            <w:r>
              <w:t>”</w:t>
            </w:r>
          </w:p>
        </w:tc>
      </w:tr>
      <w:tr w:rsidR="00D018A1" w:rsidRPr="00712B66" w:rsidTr="00F10DF3">
        <w:tc>
          <w:tcPr>
            <w:tcW w:w="708" w:type="dxa"/>
            <w:tcBorders>
              <w:left w:val="single" w:sz="6" w:space="0" w:color="000000"/>
              <w:bottom w:val="single" w:sz="4" w:space="0" w:color="auto"/>
              <w:right w:val="single" w:sz="6" w:space="0" w:color="000000"/>
            </w:tcBorders>
          </w:tcPr>
          <w:p w:rsidR="00D018A1" w:rsidRDefault="005D2488" w:rsidP="00927F4B">
            <w:pPr>
              <w:pStyle w:val="naisc"/>
              <w:spacing w:before="0" w:after="0"/>
            </w:pPr>
            <w:r>
              <w:lastRenderedPageBreak/>
              <w:t>3</w:t>
            </w:r>
            <w:r w:rsidR="009821FE">
              <w:t>.</w:t>
            </w:r>
          </w:p>
        </w:tc>
        <w:tc>
          <w:tcPr>
            <w:tcW w:w="3086" w:type="dxa"/>
            <w:gridSpan w:val="2"/>
            <w:tcBorders>
              <w:left w:val="single" w:sz="6" w:space="0" w:color="000000"/>
              <w:bottom w:val="single" w:sz="4" w:space="0" w:color="auto"/>
              <w:right w:val="single" w:sz="6" w:space="0" w:color="000000"/>
            </w:tcBorders>
          </w:tcPr>
          <w:p w:rsidR="00D018A1" w:rsidRDefault="00D018A1" w:rsidP="008336B0">
            <w:pPr>
              <w:pStyle w:val="naisc"/>
              <w:spacing w:before="0" w:after="0"/>
              <w:jc w:val="both"/>
            </w:pPr>
            <w:r>
              <w:t>2.punkts:</w:t>
            </w:r>
          </w:p>
          <w:p w:rsidR="00D018A1" w:rsidRPr="001D2FBC" w:rsidRDefault="00D018A1" w:rsidP="00576E8F">
            <w:pPr>
              <w:contextualSpacing/>
            </w:pPr>
            <w:r>
              <w:t>”2. </w:t>
            </w:r>
            <w:r w:rsidRPr="001D2FBC">
              <w:t>Papildināt būvnormatīv</w:t>
            </w:r>
            <w:r>
              <w:t>a 58. punktu ar 58.5. apakšpunktu</w:t>
            </w:r>
            <w:r w:rsidRPr="001D2FBC">
              <w:t xml:space="preserve"> šādā redakcijā:</w:t>
            </w:r>
          </w:p>
          <w:p w:rsidR="00D018A1" w:rsidRPr="006E497C" w:rsidRDefault="00D018A1" w:rsidP="00576E8F">
            <w:pPr>
              <w:pStyle w:val="naisc"/>
              <w:spacing w:before="0" w:after="0"/>
              <w:jc w:val="both"/>
            </w:pPr>
            <w:r>
              <w:t>“58.5</w:t>
            </w:r>
            <w:r w:rsidRPr="00D72DBA">
              <w:t xml:space="preserve">. </w:t>
            </w:r>
            <w:r>
              <w:t>dzīvojam</w:t>
            </w:r>
            <w:r w:rsidRPr="00D72DBA">
              <w:t xml:space="preserve">ās </w:t>
            </w:r>
            <w:r>
              <w:t>ēkā</w:t>
            </w:r>
            <w:r w:rsidRPr="00D72DBA">
              <w:t xml:space="preserve">s ar vairāk kā </w:t>
            </w:r>
            <w:r>
              <w:t>10</w:t>
            </w:r>
            <w:r w:rsidRPr="00D72DBA">
              <w:t xml:space="preserve"> autostāvvietām </w:t>
            </w:r>
            <w:r>
              <w:t>k</w:t>
            </w:r>
            <w:r w:rsidRPr="00D72DBA">
              <w:t xml:space="preserve">atrai automašīnu stāvvietai paredz kanālus elektrības kabeļiem, lai nepieciešamības gadījumā varētu ierīkot </w:t>
            </w:r>
            <w:proofErr w:type="spellStart"/>
            <w:r w:rsidRPr="00D72DBA">
              <w:t>elektrotransportlīdzekļu</w:t>
            </w:r>
            <w:proofErr w:type="spellEnd"/>
            <w:r w:rsidRPr="00D72DBA">
              <w:t xml:space="preserve"> uzlādes punktus. Šīs prasības piemēro arī ar </w:t>
            </w:r>
            <w:r>
              <w:t>dzīvojamo</w:t>
            </w:r>
            <w:r w:rsidRPr="00D72DBA">
              <w:t xml:space="preserve"> </w:t>
            </w:r>
            <w:r>
              <w:t>ēku</w:t>
            </w:r>
            <w:r w:rsidRPr="00D72DBA">
              <w:t xml:space="preserve"> funkcionāli saistītu, bet ārpus šīs </w:t>
            </w:r>
            <w:r>
              <w:t>ēka</w:t>
            </w:r>
            <w:r w:rsidRPr="00D72DBA">
              <w:t>s esošu stāvvietu projektēšanai.</w:t>
            </w:r>
            <w:r>
              <w:t>””</w:t>
            </w:r>
          </w:p>
        </w:tc>
        <w:tc>
          <w:tcPr>
            <w:tcW w:w="4394" w:type="dxa"/>
            <w:tcBorders>
              <w:left w:val="single" w:sz="6" w:space="0" w:color="000000"/>
              <w:bottom w:val="single" w:sz="4" w:space="0" w:color="auto"/>
              <w:right w:val="single" w:sz="6" w:space="0" w:color="000000"/>
            </w:tcBorders>
          </w:tcPr>
          <w:p w:rsidR="00D018A1" w:rsidRPr="003E4D55" w:rsidRDefault="00D018A1" w:rsidP="00584D89">
            <w:pPr>
              <w:pStyle w:val="naisc"/>
              <w:spacing w:before="0" w:after="0"/>
              <w:jc w:val="left"/>
              <w:rPr>
                <w:b/>
                <w:bCs/>
              </w:rPr>
            </w:pPr>
            <w:r w:rsidRPr="003E4D55">
              <w:rPr>
                <w:b/>
                <w:bCs/>
              </w:rPr>
              <w:t>Tieslietu ministrija</w:t>
            </w:r>
          </w:p>
          <w:p w:rsidR="00D018A1" w:rsidRPr="003E4D55" w:rsidRDefault="00D018A1" w:rsidP="00576EE7">
            <w:pPr>
              <w:pStyle w:val="naisc"/>
              <w:spacing w:before="0" w:after="0"/>
              <w:jc w:val="both"/>
              <w:rPr>
                <w:b/>
                <w:bCs/>
              </w:rPr>
            </w:pPr>
            <w:r w:rsidRPr="003E4D55">
              <w:t>Ņemot vērā, ka jēdzieni "</w:t>
            </w:r>
            <w:proofErr w:type="spellStart"/>
            <w:r w:rsidRPr="003E4D55">
              <w:t>elektrotransportlīdzeklis</w:t>
            </w:r>
            <w:proofErr w:type="spellEnd"/>
            <w:r w:rsidRPr="003E4D55">
              <w:t xml:space="preserve">" un "uzlādes punkts" ir skaidroti Ministru kabineta 2018. gada 6. februāra noteikumos "Prasības </w:t>
            </w:r>
            <w:proofErr w:type="spellStart"/>
            <w:r w:rsidRPr="003E4D55">
              <w:t>elektrotransportlīdzekļu</w:t>
            </w:r>
            <w:proofErr w:type="spellEnd"/>
            <w:r w:rsidRPr="003E4D55">
              <w:t xml:space="preserve"> uzlādes, dabasgāzes uzpildes, ūdeņraža uzpildes un krasta </w:t>
            </w:r>
            <w:proofErr w:type="spellStart"/>
            <w:r w:rsidRPr="003E4D55">
              <w:t>elektropadeves</w:t>
            </w:r>
            <w:proofErr w:type="spellEnd"/>
            <w:r w:rsidRPr="003E4D55">
              <w:t xml:space="preserve"> iekārtām" attiecīgi 2.2. un 2.3. apakšpunktā, kas pieņemti, pārņemot Eiropas Parlamenta un Padomes 2014. gada 22. oktobra Direktīvas 2014/94/ES par alternatīvo degvielu infrastruktūras ieviešanu prasības, lūdzam izvērtēt un precizēt noteikumu projekta 2. punktu, papildus norādot uz nacionālo tiesību aktu, konkrētajā gadījumā – minēto Ministru kabineta noteikumu normām, ar kurām ir pārņemtas iepriekš minētās direktīvas attiecīgās prasības, šo atsauci noformējot atbilstoši Ministru kabineta noteikumu Nr. 108 3.7. apakšnodaļai.</w:t>
            </w:r>
          </w:p>
        </w:tc>
        <w:tc>
          <w:tcPr>
            <w:tcW w:w="3119" w:type="dxa"/>
            <w:gridSpan w:val="2"/>
            <w:tcBorders>
              <w:left w:val="single" w:sz="6" w:space="0" w:color="000000"/>
              <w:bottom w:val="single" w:sz="4" w:space="0" w:color="auto"/>
              <w:right w:val="single" w:sz="6" w:space="0" w:color="000000"/>
            </w:tcBorders>
          </w:tcPr>
          <w:p w:rsidR="00D018A1" w:rsidRPr="00D018A1" w:rsidRDefault="00D018A1" w:rsidP="00A746A6">
            <w:pPr>
              <w:pStyle w:val="naisc"/>
              <w:spacing w:before="0" w:after="0"/>
              <w:rPr>
                <w:b/>
              </w:rPr>
            </w:pPr>
            <w:r>
              <w:rPr>
                <w:b/>
              </w:rPr>
              <w:t>Daļēji ņ</w:t>
            </w:r>
            <w:r w:rsidRPr="00D018A1">
              <w:rPr>
                <w:b/>
              </w:rPr>
              <w:t>emts vērā.</w:t>
            </w:r>
          </w:p>
          <w:p w:rsidR="00D018A1" w:rsidRPr="00584D89" w:rsidRDefault="00D018A1" w:rsidP="00D018A1">
            <w:pPr>
              <w:pStyle w:val="naisc"/>
              <w:spacing w:before="0" w:after="0"/>
              <w:jc w:val="both"/>
              <w:rPr>
                <w:b/>
                <w:highlight w:val="yellow"/>
              </w:rPr>
            </w:pPr>
            <w:r w:rsidRPr="002503C1">
              <w:t>Noteikumu projektā netiek iekļauta atsauce uz konkrētu normatīvo aktu</w:t>
            </w:r>
            <w:r w:rsidR="00C31AD0">
              <w:t xml:space="preserve"> vai nosauktas konkrētas tehniskās prasības</w:t>
            </w:r>
            <w:r w:rsidR="00C31AD0" w:rsidRPr="002503C1">
              <w:t xml:space="preserve">, lai izvairītos no tehnisku grozījumu veikšanas </w:t>
            </w:r>
            <w:r w:rsidR="00C31AD0">
              <w:t xml:space="preserve">speciālā </w:t>
            </w:r>
            <w:r w:rsidR="00C31AD0" w:rsidRPr="002503C1">
              <w:t>tiesiskā regulējuma</w:t>
            </w:r>
            <w:r w:rsidR="00C31AD0">
              <w:t xml:space="preserve"> (prasības </w:t>
            </w:r>
            <w:proofErr w:type="spellStart"/>
            <w:r w:rsidR="00C31AD0">
              <w:t>elektrotransportlīdzekļu</w:t>
            </w:r>
            <w:proofErr w:type="spellEnd"/>
            <w:r w:rsidR="00C31AD0">
              <w:t xml:space="preserve"> uzlādes punktiem)</w:t>
            </w:r>
            <w:r w:rsidR="00C31AD0" w:rsidRPr="002503C1">
              <w:t xml:space="preserve"> izmaiņu gadījumā.</w:t>
            </w:r>
          </w:p>
        </w:tc>
        <w:tc>
          <w:tcPr>
            <w:tcW w:w="3118" w:type="dxa"/>
            <w:tcBorders>
              <w:top w:val="single" w:sz="4" w:space="0" w:color="auto"/>
              <w:left w:val="single" w:sz="4" w:space="0" w:color="auto"/>
              <w:bottom w:val="single" w:sz="4" w:space="0" w:color="auto"/>
            </w:tcBorders>
          </w:tcPr>
          <w:p w:rsidR="00D018A1" w:rsidRPr="002A7CA2" w:rsidRDefault="00D018A1" w:rsidP="004C67A0">
            <w:pPr>
              <w:pStyle w:val="naisc"/>
              <w:spacing w:before="0" w:after="0"/>
              <w:jc w:val="left"/>
            </w:pPr>
            <w:r w:rsidRPr="002A7CA2">
              <w:t>Precizēts anotācijas I sadaļas 2. punkts.</w:t>
            </w:r>
          </w:p>
          <w:p w:rsidR="00D018A1" w:rsidRPr="002A7CA2" w:rsidRDefault="00D018A1" w:rsidP="00D018A1">
            <w:pPr>
              <w:pStyle w:val="naisc"/>
              <w:spacing w:before="0" w:after="0"/>
              <w:jc w:val="left"/>
              <w:rPr>
                <w:highlight w:val="yellow"/>
              </w:rPr>
            </w:pPr>
          </w:p>
          <w:p w:rsidR="00D018A1" w:rsidRPr="002A7CA2" w:rsidRDefault="00D018A1" w:rsidP="00D018A1">
            <w:pPr>
              <w:pStyle w:val="naisc"/>
              <w:spacing w:before="0" w:after="0"/>
              <w:jc w:val="left"/>
            </w:pPr>
            <w:r w:rsidRPr="002A7CA2">
              <w:t>2. punkts:</w:t>
            </w:r>
          </w:p>
          <w:p w:rsidR="00740F03" w:rsidRPr="002A7CA2" w:rsidRDefault="00D018A1" w:rsidP="00740F03">
            <w:pPr>
              <w:contextualSpacing/>
            </w:pPr>
            <w:r w:rsidRPr="002A7CA2">
              <w:t>”</w:t>
            </w:r>
            <w:r w:rsidR="00740F03" w:rsidRPr="002A7CA2">
              <w:t>2. Papildināt būvnormatīva 58. punktu ar 58.5. apakšpunktu šādā redakcijā:</w:t>
            </w:r>
          </w:p>
          <w:p w:rsidR="00D018A1" w:rsidRPr="002A7CA2" w:rsidRDefault="00740F03" w:rsidP="002A7CA2">
            <w:pPr>
              <w:pStyle w:val="naisc"/>
              <w:spacing w:before="0" w:after="0"/>
              <w:jc w:val="both"/>
            </w:pPr>
            <w:r w:rsidRPr="002A7CA2">
              <w:t xml:space="preserve">“58.5. dzīvojamās ēkās ar vairāk kā 10 autostāvvietām katrai autostāvvietai paredz kanālus elektrības kabeļiem, lai nepieciešamības gadījumā varētu ierīkot </w:t>
            </w:r>
            <w:proofErr w:type="spellStart"/>
            <w:r w:rsidRPr="002A7CA2">
              <w:t>elektrotransportlīdzekļu</w:t>
            </w:r>
            <w:proofErr w:type="spellEnd"/>
            <w:r w:rsidRPr="002A7CA2">
              <w:t xml:space="preserve"> uzlādes punktus. Šīs prasības piemēro arī ar dzīvojamo ēku funkcionāli saistītu, bet ārpus šīs ēkas esošu autostāvvietu projektēšanai.”</w:t>
            </w:r>
            <w:r w:rsidR="00D018A1" w:rsidRPr="002A7CA2">
              <w:t>”</w:t>
            </w:r>
          </w:p>
        </w:tc>
      </w:tr>
      <w:tr w:rsidR="00D018A1" w:rsidRPr="00712B66" w:rsidTr="00F10DF3">
        <w:tc>
          <w:tcPr>
            <w:tcW w:w="708" w:type="dxa"/>
            <w:tcBorders>
              <w:left w:val="single" w:sz="6" w:space="0" w:color="000000"/>
              <w:bottom w:val="single" w:sz="4" w:space="0" w:color="auto"/>
              <w:right w:val="single" w:sz="6" w:space="0" w:color="000000"/>
            </w:tcBorders>
          </w:tcPr>
          <w:p w:rsidR="00D018A1" w:rsidRDefault="005D2488" w:rsidP="00927F4B">
            <w:pPr>
              <w:pStyle w:val="naisc"/>
              <w:spacing w:before="0" w:after="0"/>
            </w:pPr>
            <w:r>
              <w:t>4</w:t>
            </w:r>
            <w:r w:rsidR="009821FE">
              <w:t>.</w:t>
            </w:r>
          </w:p>
        </w:tc>
        <w:tc>
          <w:tcPr>
            <w:tcW w:w="3086" w:type="dxa"/>
            <w:gridSpan w:val="2"/>
            <w:tcBorders>
              <w:left w:val="single" w:sz="6" w:space="0" w:color="000000"/>
              <w:bottom w:val="single" w:sz="4" w:space="0" w:color="auto"/>
              <w:right w:val="single" w:sz="6" w:space="0" w:color="000000"/>
            </w:tcBorders>
          </w:tcPr>
          <w:p w:rsidR="00D018A1" w:rsidRDefault="00D018A1" w:rsidP="00D018A1">
            <w:pPr>
              <w:pStyle w:val="naisc"/>
              <w:spacing w:before="0" w:after="0"/>
              <w:jc w:val="both"/>
            </w:pPr>
            <w:r>
              <w:t>2.</w:t>
            </w:r>
            <w:r w:rsidR="00C9257E">
              <w:t xml:space="preserve"> un 3.</w:t>
            </w:r>
            <w:r>
              <w:t> punkts:</w:t>
            </w:r>
          </w:p>
          <w:p w:rsidR="00D018A1" w:rsidRPr="00E472F8" w:rsidRDefault="00D018A1" w:rsidP="00D018A1">
            <w:pPr>
              <w:contextualSpacing/>
            </w:pPr>
            <w:r>
              <w:t>”2. </w:t>
            </w:r>
            <w:r w:rsidRPr="001D2FBC">
              <w:t>Papildināt būvnormatīv</w:t>
            </w:r>
            <w:r>
              <w:t>a 58. punktu ar 58.5. apakšpunktu</w:t>
            </w:r>
            <w:r w:rsidRPr="001D2FBC">
              <w:t xml:space="preserve"> šādā redakcijā:</w:t>
            </w:r>
          </w:p>
          <w:p w:rsidR="00D018A1" w:rsidRDefault="00D018A1" w:rsidP="00D018A1">
            <w:pPr>
              <w:pStyle w:val="naisc"/>
              <w:spacing w:before="0" w:after="0"/>
              <w:jc w:val="both"/>
            </w:pPr>
            <w:r>
              <w:t>“58.5</w:t>
            </w:r>
            <w:r w:rsidRPr="00D72DBA">
              <w:t xml:space="preserve">. </w:t>
            </w:r>
            <w:r>
              <w:t>dzīvojam</w:t>
            </w:r>
            <w:r w:rsidRPr="00D72DBA">
              <w:t xml:space="preserve">ās </w:t>
            </w:r>
            <w:r>
              <w:t>ēkā</w:t>
            </w:r>
            <w:r w:rsidRPr="00D72DBA">
              <w:t xml:space="preserve">s ar vairāk kā </w:t>
            </w:r>
            <w:r>
              <w:t>10</w:t>
            </w:r>
            <w:r w:rsidRPr="00D72DBA">
              <w:t xml:space="preserve"> autostāvvietām </w:t>
            </w:r>
            <w:r>
              <w:t>k</w:t>
            </w:r>
            <w:r w:rsidRPr="00D72DBA">
              <w:t xml:space="preserve">atrai automašīnu stāvvietai paredz kanālus elektrības kabeļiem, lai nepieciešamības gadījumā </w:t>
            </w:r>
            <w:r w:rsidRPr="00D72DBA">
              <w:lastRenderedPageBreak/>
              <w:t xml:space="preserve">varētu ierīkot </w:t>
            </w:r>
            <w:proofErr w:type="spellStart"/>
            <w:r w:rsidRPr="00D72DBA">
              <w:t>elektrotransportlīdzekļu</w:t>
            </w:r>
            <w:proofErr w:type="spellEnd"/>
            <w:r w:rsidRPr="00D72DBA">
              <w:t xml:space="preserve"> uzlādes punktus. Šīs prasības piemēro arī ar </w:t>
            </w:r>
            <w:r>
              <w:t>dzīvojamo</w:t>
            </w:r>
            <w:r w:rsidRPr="00D72DBA">
              <w:t xml:space="preserve"> </w:t>
            </w:r>
            <w:r>
              <w:t>ēku</w:t>
            </w:r>
            <w:r w:rsidRPr="00D72DBA">
              <w:t xml:space="preserve"> funkcionāli saistītu, bet ārpus šīs </w:t>
            </w:r>
            <w:r>
              <w:t>ēka</w:t>
            </w:r>
            <w:r w:rsidRPr="00D72DBA">
              <w:t>s esošu stāvvietu projektēšanai.</w:t>
            </w:r>
            <w:r>
              <w:t>”</w:t>
            </w:r>
          </w:p>
          <w:p w:rsidR="00D018A1" w:rsidRDefault="00D018A1" w:rsidP="00C9257E">
            <w:pPr>
              <w:pStyle w:val="naisc"/>
              <w:spacing w:before="0" w:after="0"/>
              <w:jc w:val="both"/>
            </w:pPr>
            <w:r>
              <w:t>3. </w:t>
            </w:r>
            <w:r w:rsidRPr="001D2FBC">
              <w:t>Papildināt būvnormatīv</w:t>
            </w:r>
            <w:r>
              <w:t>u ar 58.</w:t>
            </w:r>
            <w:r w:rsidRPr="003D3E7B">
              <w:rPr>
                <w:vertAlign w:val="superscript"/>
              </w:rPr>
              <w:t>1</w:t>
            </w:r>
            <w:r>
              <w:t> punktu</w:t>
            </w:r>
            <w:r w:rsidRPr="001D2FBC">
              <w:t xml:space="preserve"> šādā redakcijā:</w:t>
            </w:r>
          </w:p>
          <w:p w:rsidR="00D018A1" w:rsidRDefault="00D018A1" w:rsidP="00D018A1">
            <w:pPr>
              <w:pStyle w:val="naisc"/>
              <w:spacing w:before="0" w:after="0"/>
              <w:jc w:val="both"/>
            </w:pPr>
            <w:r>
              <w:t>“58</w:t>
            </w:r>
            <w:r w:rsidRPr="00D72DBA">
              <w:t>.</w:t>
            </w:r>
            <w:r>
              <w:rPr>
                <w:vertAlign w:val="superscript"/>
              </w:rPr>
              <w:t>1</w:t>
            </w:r>
            <w:r w:rsidRPr="00D72DBA">
              <w:t xml:space="preserve"> </w:t>
            </w:r>
            <w:r>
              <w:t xml:space="preserve">Pārbūves gadījumā </w:t>
            </w:r>
            <w:r w:rsidRPr="00D72DBA">
              <w:t xml:space="preserve">šī būvnormatīva </w:t>
            </w:r>
            <w:r>
              <w:t>58.5. apakš</w:t>
            </w:r>
            <w:r w:rsidRPr="00D72DBA">
              <w:t>punkta prasības piemēro</w:t>
            </w:r>
            <w:r>
              <w:t xml:space="preserve"> attiecībā uz pārbūvējamo daļu, ja šī daļa ir paredzēta automašīnu stāvvietām.</w:t>
            </w:r>
            <w:r w:rsidRPr="00D72DBA">
              <w:rPr>
                <w:rStyle w:val="normaltextrun"/>
              </w:rPr>
              <w:t>”</w:t>
            </w:r>
            <w:r>
              <w:t>”</w:t>
            </w:r>
          </w:p>
        </w:tc>
        <w:tc>
          <w:tcPr>
            <w:tcW w:w="4394" w:type="dxa"/>
            <w:tcBorders>
              <w:left w:val="single" w:sz="6" w:space="0" w:color="000000"/>
              <w:bottom w:val="single" w:sz="4" w:space="0" w:color="auto"/>
              <w:right w:val="single" w:sz="6" w:space="0" w:color="000000"/>
            </w:tcBorders>
          </w:tcPr>
          <w:p w:rsidR="00D018A1" w:rsidRPr="003E4D55" w:rsidRDefault="00D018A1" w:rsidP="006461AC">
            <w:pPr>
              <w:pStyle w:val="naisc"/>
              <w:spacing w:before="0" w:after="0"/>
              <w:jc w:val="both"/>
              <w:rPr>
                <w:b/>
                <w:bCs/>
              </w:rPr>
            </w:pPr>
            <w:r w:rsidRPr="003E4D55">
              <w:rPr>
                <w:b/>
                <w:bCs/>
              </w:rPr>
              <w:lastRenderedPageBreak/>
              <w:t>Tieslietu ministrija</w:t>
            </w:r>
          </w:p>
          <w:p w:rsidR="00D018A1" w:rsidRPr="003E4D55" w:rsidRDefault="00D018A1" w:rsidP="006461AC">
            <w:pPr>
              <w:pStyle w:val="naisc"/>
              <w:spacing w:before="0" w:after="0"/>
              <w:jc w:val="both"/>
              <w:rPr>
                <w:b/>
                <w:bCs/>
              </w:rPr>
            </w:pPr>
            <w:r w:rsidRPr="003E4D55">
              <w:t xml:space="preserve">Lūdzam izvērtēt un sniegt skaidrojumu, vai ar noteikumu projektu ir korekti pārņemtas Eiropas Parlamenta un Padomes 2018. gada 30. maija Direktīvas (ES) 2018/844, ar ko groza Direktīvu 2010/31/ES par ēku energoefektivitāti un Direktīvu 2012/27/ES par energoefektivitāti (turpmāk – direktīva Nr. 2018/844) prasības. Proti, vēršam uzmanību, ka direktīvas Nr. 2018/844 </w:t>
            </w:r>
            <w:r w:rsidRPr="003E4D55">
              <w:lastRenderedPageBreak/>
              <w:t>1. panta 5. punktā izteiktajā Eiropas Parlamenta un Padomes 2010. gada 19. maija Direktīvas 2010/31/ES par ēku energoefektivitāti 8. panta 5. punktā lietoti jēdzieni "stāvvieta" ("</w:t>
            </w:r>
            <w:proofErr w:type="spellStart"/>
            <w:r w:rsidRPr="003E4D55">
              <w:t>parking</w:t>
            </w:r>
            <w:proofErr w:type="spellEnd"/>
            <w:r w:rsidRPr="003E4D55">
              <w:t xml:space="preserve"> </w:t>
            </w:r>
            <w:proofErr w:type="spellStart"/>
            <w:r w:rsidRPr="003E4D55">
              <w:t>space</w:t>
            </w:r>
            <w:proofErr w:type="spellEnd"/>
            <w:r w:rsidRPr="003E4D55">
              <w:t>") un "automašīnu stāvvieta" ("</w:t>
            </w:r>
            <w:proofErr w:type="spellStart"/>
            <w:r w:rsidRPr="003E4D55">
              <w:t>car</w:t>
            </w:r>
            <w:proofErr w:type="spellEnd"/>
            <w:r w:rsidRPr="003E4D55">
              <w:t xml:space="preserve"> </w:t>
            </w:r>
            <w:proofErr w:type="spellStart"/>
            <w:r w:rsidRPr="003E4D55">
              <w:t>park</w:t>
            </w:r>
            <w:proofErr w:type="spellEnd"/>
            <w:r w:rsidRPr="003E4D55">
              <w:t>"), kamēr noteikumu projektā lietoti jēdzieni "autostāvvieta", "automašīnu stāvvieta" un "stāvvieta" (noteikumu projekta 2. punktā izteiktais Latvijas būvnormatīva LBN 211-15 "Dzīvojamās ēkas" 58.5. apakšpunkts (turpmāk – būvnormatīvs), "automašīnu stāvvieta" – 58.</w:t>
            </w:r>
            <w:r w:rsidRPr="003E4D55">
              <w:rPr>
                <w:vertAlign w:val="superscript"/>
              </w:rPr>
              <w:t>1</w:t>
            </w:r>
            <w:r w:rsidRPr="003E4D55">
              <w:t> punkts), turklāt, piemēram, būvnormatīva 58.5. apakšpunkta pirmajos divos teikumos paredzēts lietot jēdzienus "autostāvvieta" un "automašīnu stāvvieta", kaut gan direktīvā Nr. 2018/844 iepretim minētajam attiecīgos nosacījumos lietots vienots apzīmējums – "stāvvieta". Nepieciešamības gadījumā lūdzam precizēt noteikumu projektu. Norādām, ka viena jēdziena izteikšanai normatīvos aktos jāizmanto vieni un tie paši termini. Iekšējā terminoloģiskā konsekvence nodrošina normatīvā akta skaidrību, novēršot pretrunīgus viedokļus vai šaubas par dažādu terminu saturu.</w:t>
            </w:r>
          </w:p>
        </w:tc>
        <w:tc>
          <w:tcPr>
            <w:tcW w:w="3119" w:type="dxa"/>
            <w:gridSpan w:val="2"/>
            <w:tcBorders>
              <w:left w:val="single" w:sz="6" w:space="0" w:color="000000"/>
              <w:bottom w:val="single" w:sz="4" w:space="0" w:color="auto"/>
              <w:right w:val="single" w:sz="6" w:space="0" w:color="000000"/>
            </w:tcBorders>
          </w:tcPr>
          <w:p w:rsidR="00D018A1" w:rsidRPr="00D018A1" w:rsidRDefault="00D018A1" w:rsidP="00A746A6">
            <w:pPr>
              <w:pStyle w:val="naisc"/>
              <w:spacing w:before="0" w:after="0"/>
              <w:rPr>
                <w:b/>
              </w:rPr>
            </w:pPr>
            <w:r w:rsidRPr="00D018A1">
              <w:rPr>
                <w:b/>
              </w:rPr>
              <w:lastRenderedPageBreak/>
              <w:t>Ņemts vērā.</w:t>
            </w:r>
          </w:p>
          <w:p w:rsidR="00D018A1" w:rsidRPr="000958C6" w:rsidRDefault="00D018A1"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D018A1" w:rsidRPr="002A7CA2" w:rsidRDefault="00D018A1" w:rsidP="004C67A0">
            <w:pPr>
              <w:pStyle w:val="naisc"/>
              <w:spacing w:before="0" w:after="0"/>
              <w:jc w:val="left"/>
            </w:pPr>
            <w:r w:rsidRPr="002A7CA2">
              <w:t>2.</w:t>
            </w:r>
            <w:r w:rsidR="00C9257E" w:rsidRPr="002A7CA2">
              <w:t xml:space="preserve"> un 3.</w:t>
            </w:r>
            <w:r w:rsidRPr="002A7CA2">
              <w:t> punkts:</w:t>
            </w:r>
          </w:p>
          <w:p w:rsidR="00C9257E" w:rsidRPr="002A7CA2" w:rsidRDefault="00D018A1" w:rsidP="00C9257E">
            <w:pPr>
              <w:contextualSpacing/>
            </w:pPr>
            <w:r w:rsidRPr="002A7CA2">
              <w:t>”</w:t>
            </w:r>
            <w:r w:rsidR="00C9257E" w:rsidRPr="002A7CA2">
              <w:t>2. Papildināt būvnormatīva 58. punktu ar 58.5. apakšpunktu šādā redakcijā:</w:t>
            </w:r>
          </w:p>
          <w:p w:rsidR="00D018A1" w:rsidRPr="002A7CA2" w:rsidRDefault="00C9257E" w:rsidP="00C31AD0">
            <w:pPr>
              <w:pStyle w:val="naisc"/>
              <w:spacing w:before="0" w:after="0"/>
              <w:jc w:val="both"/>
            </w:pPr>
            <w:r w:rsidRPr="002A7CA2">
              <w:t xml:space="preserve">“58.5. dzīvojamās ēkās ar vairāk kā 10 autostāvvietām katrai autostāvvietai paredz kanālus elektrības kabeļiem, lai nepieciešamības gadījumā varētu ierīkot </w:t>
            </w:r>
            <w:proofErr w:type="spellStart"/>
            <w:r w:rsidRPr="002A7CA2">
              <w:lastRenderedPageBreak/>
              <w:t>elektrotransportlīdzekļu</w:t>
            </w:r>
            <w:proofErr w:type="spellEnd"/>
            <w:r w:rsidRPr="002A7CA2">
              <w:t xml:space="preserve"> uzlādes punktus. Šīs prasības piemēro arī ar dzīvojamo ēku funkcionāli saistītu, bet ārpus šīs ēkas esošu autostāvvietu projektēšanai.”</w:t>
            </w:r>
          </w:p>
          <w:p w:rsidR="00C9257E" w:rsidRPr="002A7CA2" w:rsidRDefault="00C9257E" w:rsidP="00C31AD0">
            <w:pPr>
              <w:contextualSpacing/>
            </w:pPr>
            <w:r w:rsidRPr="002A7CA2">
              <w:t>3. Papildināt būvnormatīvu ar 58.</w:t>
            </w:r>
            <w:r w:rsidRPr="002A7CA2">
              <w:rPr>
                <w:vertAlign w:val="superscript"/>
              </w:rPr>
              <w:t>1</w:t>
            </w:r>
            <w:r w:rsidRPr="002A7CA2">
              <w:t> punktu šādā redakcijā:</w:t>
            </w:r>
          </w:p>
          <w:p w:rsidR="00D018A1" w:rsidRPr="002A7CA2" w:rsidRDefault="00C9257E" w:rsidP="002A7CA2">
            <w:pPr>
              <w:pStyle w:val="naisc"/>
              <w:spacing w:before="0" w:after="0"/>
              <w:jc w:val="both"/>
            </w:pPr>
            <w:r w:rsidRPr="002A7CA2">
              <w:t>“58.</w:t>
            </w:r>
            <w:r w:rsidRPr="002A7CA2">
              <w:rPr>
                <w:vertAlign w:val="superscript"/>
              </w:rPr>
              <w:t>1</w:t>
            </w:r>
            <w:r w:rsidRPr="002A7CA2">
              <w:t xml:space="preserve"> Pārbūves gadījumā šī būvnormatīva 58.5. apakšpunkta prasības piemēro attiecībā uz pārbūvējamo daļu, ja šī daļa ir paredzēta autostāvvietām.</w:t>
            </w:r>
            <w:r w:rsidRPr="002A7CA2">
              <w:rPr>
                <w:rStyle w:val="normaltextrun"/>
              </w:rPr>
              <w:t>”</w:t>
            </w:r>
            <w:r w:rsidR="00D018A1" w:rsidRPr="002A7CA2">
              <w:t>”</w:t>
            </w:r>
          </w:p>
        </w:tc>
      </w:tr>
      <w:tr w:rsidR="00FB1192" w:rsidRPr="00712B66" w:rsidTr="00F10DF3">
        <w:tc>
          <w:tcPr>
            <w:tcW w:w="708" w:type="dxa"/>
            <w:tcBorders>
              <w:left w:val="single" w:sz="6" w:space="0" w:color="000000"/>
              <w:bottom w:val="single" w:sz="4" w:space="0" w:color="auto"/>
              <w:right w:val="single" w:sz="6" w:space="0" w:color="000000"/>
            </w:tcBorders>
          </w:tcPr>
          <w:p w:rsidR="00FB1192" w:rsidRDefault="005D2488" w:rsidP="00927F4B">
            <w:pPr>
              <w:pStyle w:val="naisc"/>
              <w:spacing w:before="0" w:after="0"/>
            </w:pPr>
            <w:r>
              <w:lastRenderedPageBreak/>
              <w:t>5</w:t>
            </w:r>
            <w:r w:rsidR="00FB1192">
              <w:t>.</w:t>
            </w:r>
          </w:p>
        </w:tc>
        <w:tc>
          <w:tcPr>
            <w:tcW w:w="3086" w:type="dxa"/>
            <w:gridSpan w:val="2"/>
            <w:tcBorders>
              <w:left w:val="single" w:sz="6" w:space="0" w:color="000000"/>
              <w:bottom w:val="single" w:sz="4" w:space="0" w:color="auto"/>
              <w:right w:val="single" w:sz="6" w:space="0" w:color="000000"/>
            </w:tcBorders>
          </w:tcPr>
          <w:p w:rsidR="00FB1192" w:rsidRDefault="00FB1192" w:rsidP="004C67A0">
            <w:pPr>
              <w:pStyle w:val="naisc"/>
              <w:spacing w:before="0" w:after="0"/>
              <w:jc w:val="left"/>
            </w:pPr>
            <w:r>
              <w:t>Anotācijas II sadaļas 4. punkts</w:t>
            </w:r>
          </w:p>
        </w:tc>
        <w:tc>
          <w:tcPr>
            <w:tcW w:w="4394" w:type="dxa"/>
            <w:tcBorders>
              <w:left w:val="single" w:sz="6" w:space="0" w:color="000000"/>
              <w:bottom w:val="single" w:sz="4" w:space="0" w:color="auto"/>
              <w:right w:val="single" w:sz="6" w:space="0" w:color="000000"/>
            </w:tcBorders>
          </w:tcPr>
          <w:p w:rsidR="00FB1192" w:rsidRPr="002628C5" w:rsidRDefault="00FB1192" w:rsidP="004C67A0">
            <w:pPr>
              <w:pStyle w:val="naisc"/>
              <w:spacing w:before="0" w:after="0"/>
              <w:jc w:val="both"/>
              <w:rPr>
                <w:b/>
                <w:bCs/>
              </w:rPr>
            </w:pPr>
            <w:r w:rsidRPr="002628C5">
              <w:rPr>
                <w:b/>
                <w:bCs/>
              </w:rPr>
              <w:t>Valsts kanceleja (priekšlikums)</w:t>
            </w:r>
          </w:p>
          <w:p w:rsidR="00FB1192" w:rsidRPr="002628C5" w:rsidRDefault="00FB1192" w:rsidP="004C67A0">
            <w:pPr>
              <w:pStyle w:val="naisc"/>
              <w:spacing w:before="0" w:after="0"/>
              <w:jc w:val="both"/>
              <w:rPr>
                <w:b/>
                <w:bCs/>
              </w:rPr>
            </w:pPr>
            <w:r w:rsidRPr="002628C5">
              <w:rPr>
                <w:bdr w:val="none" w:sz="0" w:space="0" w:color="auto" w:frame="1"/>
              </w:rPr>
              <w:t>Papildināt anotācijas 2.sadaļas 4.punktu ar to atbilstības prasību izmaksu aprēķinu, ko esošajā stadijā ir iespējams novērtēt (uz vienu vienību), piemēram:</w:t>
            </w:r>
            <w:r w:rsidRPr="002628C5">
              <w:rPr>
                <w:bdr w:val="none" w:sz="0" w:space="0" w:color="auto" w:frame="1"/>
              </w:rPr>
              <w:br/>
            </w:r>
            <w:r w:rsidRPr="002628C5">
              <w:rPr>
                <w:bdr w:val="none" w:sz="0" w:space="0" w:color="auto" w:frame="1"/>
              </w:rPr>
              <w:lastRenderedPageBreak/>
              <w:t xml:space="preserve">*   viena </w:t>
            </w:r>
            <w:proofErr w:type="spellStart"/>
            <w:r w:rsidRPr="002628C5">
              <w:rPr>
                <w:bdr w:val="none" w:sz="0" w:space="0" w:color="auto" w:frame="1"/>
              </w:rPr>
              <w:t>elektrotransportlīdzekļu</w:t>
            </w:r>
            <w:proofErr w:type="spellEnd"/>
            <w:r w:rsidRPr="002628C5">
              <w:rPr>
                <w:bdr w:val="none" w:sz="0" w:space="0" w:color="auto" w:frame="1"/>
              </w:rPr>
              <w:t xml:space="preserve"> uzlādes punkta ierīkošanas (un uzturēšanas) izmaksas,</w:t>
            </w:r>
            <w:r w:rsidRPr="002628C5">
              <w:rPr>
                <w:bdr w:val="none" w:sz="0" w:space="0" w:color="auto" w:frame="1"/>
              </w:rPr>
              <w:br/>
              <w:t>*   vienas automašīnas stāvvietas ierīkošanas (un uzturēšanas) izmaksas,</w:t>
            </w:r>
            <w:r w:rsidRPr="002628C5">
              <w:rPr>
                <w:bdr w:val="none" w:sz="0" w:space="0" w:color="auto" w:frame="1"/>
              </w:rPr>
              <w:br/>
            </w:r>
            <w:r>
              <w:rPr>
                <w:bdr w:val="none" w:sz="0" w:space="0" w:color="auto" w:frame="1"/>
              </w:rPr>
              <w:t>.</w:t>
            </w:r>
            <w:r w:rsidRPr="002628C5">
              <w:rPr>
                <w:bdr w:val="none" w:sz="0" w:space="0" w:color="auto" w:frame="1"/>
              </w:rPr>
              <w:t>.</w:t>
            </w:r>
          </w:p>
        </w:tc>
        <w:tc>
          <w:tcPr>
            <w:tcW w:w="3119" w:type="dxa"/>
            <w:gridSpan w:val="2"/>
            <w:tcBorders>
              <w:left w:val="single" w:sz="6" w:space="0" w:color="000000"/>
              <w:bottom w:val="single" w:sz="4" w:space="0" w:color="auto"/>
              <w:right w:val="single" w:sz="6" w:space="0" w:color="000000"/>
            </w:tcBorders>
          </w:tcPr>
          <w:p w:rsidR="00FB1192" w:rsidRDefault="009821FE" w:rsidP="004C67A0">
            <w:pPr>
              <w:pStyle w:val="naisc"/>
              <w:spacing w:before="0" w:after="0"/>
              <w:rPr>
                <w:b/>
              </w:rPr>
            </w:pPr>
            <w:r>
              <w:rPr>
                <w:b/>
              </w:rPr>
              <w:lastRenderedPageBreak/>
              <w:t>Daļēji ņ</w:t>
            </w:r>
            <w:r w:rsidR="00FB1192">
              <w:rPr>
                <w:b/>
              </w:rPr>
              <w:t>emts vērā.</w:t>
            </w:r>
          </w:p>
          <w:p w:rsidR="00FB1192" w:rsidRPr="002628C5" w:rsidRDefault="00FB1192" w:rsidP="004C67A0">
            <w:pPr>
              <w:pStyle w:val="naisc"/>
              <w:spacing w:before="0" w:after="0"/>
              <w:jc w:val="both"/>
            </w:pPr>
            <w:r w:rsidRPr="002628C5">
              <w:t>Noteikumu projekts neparedz prasību ierīkot jaunas automašīnu stāvvietas.</w:t>
            </w:r>
          </w:p>
        </w:tc>
        <w:tc>
          <w:tcPr>
            <w:tcW w:w="3118" w:type="dxa"/>
            <w:tcBorders>
              <w:top w:val="single" w:sz="4" w:space="0" w:color="auto"/>
              <w:left w:val="single" w:sz="4" w:space="0" w:color="auto"/>
              <w:bottom w:val="single" w:sz="4" w:space="0" w:color="auto"/>
            </w:tcBorders>
          </w:tcPr>
          <w:p w:rsidR="00FB1192" w:rsidRPr="005806EF" w:rsidRDefault="00FB1192" w:rsidP="004C67A0">
            <w:pPr>
              <w:pStyle w:val="naisc"/>
              <w:spacing w:before="0" w:after="0"/>
              <w:jc w:val="left"/>
              <w:rPr>
                <w:highlight w:val="yellow"/>
              </w:rPr>
            </w:pPr>
            <w:r>
              <w:t>Precizēts a</w:t>
            </w:r>
            <w:r w:rsidRPr="00F921F2">
              <w:t>notācijas II sadaļas 4. punkts.</w:t>
            </w:r>
          </w:p>
        </w:tc>
      </w:tr>
      <w:tr w:rsidR="00FB1192" w:rsidRPr="00712B66" w:rsidTr="00F10DF3">
        <w:tc>
          <w:tcPr>
            <w:tcW w:w="708" w:type="dxa"/>
            <w:tcBorders>
              <w:left w:val="single" w:sz="6" w:space="0" w:color="000000"/>
              <w:bottom w:val="single" w:sz="4" w:space="0" w:color="auto"/>
              <w:right w:val="single" w:sz="6" w:space="0" w:color="000000"/>
            </w:tcBorders>
          </w:tcPr>
          <w:p w:rsidR="00FB1192" w:rsidRDefault="005D2488" w:rsidP="00927F4B">
            <w:pPr>
              <w:pStyle w:val="naisc"/>
              <w:spacing w:before="0" w:after="0"/>
            </w:pPr>
            <w:r>
              <w:lastRenderedPageBreak/>
              <w:t>6</w:t>
            </w:r>
            <w:r w:rsidR="00FB1192">
              <w:t>.</w:t>
            </w:r>
          </w:p>
        </w:tc>
        <w:tc>
          <w:tcPr>
            <w:tcW w:w="3086" w:type="dxa"/>
            <w:gridSpan w:val="2"/>
            <w:tcBorders>
              <w:left w:val="single" w:sz="6" w:space="0" w:color="000000"/>
              <w:bottom w:val="single" w:sz="4" w:space="0" w:color="auto"/>
              <w:right w:val="single" w:sz="6" w:space="0" w:color="000000"/>
            </w:tcBorders>
          </w:tcPr>
          <w:p w:rsidR="00FB1192" w:rsidRPr="006E497C" w:rsidRDefault="00FB1192" w:rsidP="00A746A6">
            <w:pPr>
              <w:pStyle w:val="naisc"/>
              <w:spacing w:before="0" w:after="0"/>
              <w:jc w:val="both"/>
            </w:pPr>
            <w:r>
              <w:t>A</w:t>
            </w:r>
            <w:r w:rsidRPr="00C5362A">
              <w:t>notācijas III sadaļa</w:t>
            </w:r>
          </w:p>
        </w:tc>
        <w:tc>
          <w:tcPr>
            <w:tcW w:w="4394" w:type="dxa"/>
            <w:tcBorders>
              <w:left w:val="single" w:sz="6" w:space="0" w:color="000000"/>
              <w:bottom w:val="single" w:sz="4" w:space="0" w:color="auto"/>
              <w:right w:val="single" w:sz="6" w:space="0" w:color="000000"/>
            </w:tcBorders>
          </w:tcPr>
          <w:p w:rsidR="00FB1192" w:rsidRPr="009A64DB" w:rsidRDefault="00FB1192" w:rsidP="00A746A6">
            <w:pPr>
              <w:pStyle w:val="naisc"/>
              <w:spacing w:before="0" w:after="0"/>
              <w:jc w:val="both"/>
              <w:rPr>
                <w:b/>
                <w:bCs/>
              </w:rPr>
            </w:pPr>
            <w:r w:rsidRPr="009A64DB">
              <w:rPr>
                <w:b/>
                <w:bCs/>
              </w:rPr>
              <w:t>Finanšu ministrija</w:t>
            </w:r>
          </w:p>
          <w:p w:rsidR="00FB1192" w:rsidRPr="006E497C" w:rsidRDefault="00FB1192" w:rsidP="00A746A6">
            <w:pPr>
              <w:pStyle w:val="naisc"/>
              <w:spacing w:before="0" w:after="0"/>
              <w:jc w:val="both"/>
            </w:pPr>
            <w:r w:rsidRPr="00946530">
              <w:rPr>
                <w:color w:val="212121"/>
              </w:rPr>
              <w:t>Ņemot vērā 8.punktā sniegto informāciju, ka noteikumu projektā paredzēto prasību izpilde var radīt izmaksu palielinājumu, lūdzam "Nav precīzi aprēķināms" norādīt tikai ailēs pie izmaiņām.</w:t>
            </w:r>
          </w:p>
        </w:tc>
        <w:tc>
          <w:tcPr>
            <w:tcW w:w="3119" w:type="dxa"/>
            <w:gridSpan w:val="2"/>
            <w:tcBorders>
              <w:left w:val="single" w:sz="6" w:space="0" w:color="000000"/>
              <w:bottom w:val="single" w:sz="4" w:space="0" w:color="auto"/>
              <w:right w:val="single" w:sz="6" w:space="0" w:color="000000"/>
            </w:tcBorders>
          </w:tcPr>
          <w:p w:rsidR="00FB1192" w:rsidRPr="00F67328" w:rsidRDefault="00FB1192" w:rsidP="00A746A6">
            <w:pPr>
              <w:pStyle w:val="naisc"/>
              <w:spacing w:before="0" w:after="0"/>
              <w:rPr>
                <w:b/>
              </w:rPr>
            </w:pPr>
            <w:r w:rsidRPr="00F67328">
              <w:rPr>
                <w:b/>
              </w:rPr>
              <w:t>Ņemts vērā.</w:t>
            </w:r>
          </w:p>
          <w:p w:rsidR="00FB1192" w:rsidRPr="00F67328" w:rsidRDefault="00FB1192" w:rsidP="00A746A6">
            <w:pPr>
              <w:pStyle w:val="naisc"/>
              <w:spacing w:before="0" w:after="0"/>
              <w:rPr>
                <w:b/>
              </w:rPr>
            </w:pPr>
          </w:p>
        </w:tc>
        <w:tc>
          <w:tcPr>
            <w:tcW w:w="3118" w:type="dxa"/>
            <w:tcBorders>
              <w:top w:val="single" w:sz="4" w:space="0" w:color="auto"/>
              <w:left w:val="single" w:sz="4" w:space="0" w:color="auto"/>
              <w:bottom w:val="single" w:sz="4" w:space="0" w:color="auto"/>
            </w:tcBorders>
          </w:tcPr>
          <w:p w:rsidR="00FB1192" w:rsidRPr="006E497C" w:rsidRDefault="00F67328" w:rsidP="00F67328">
            <w:pPr>
              <w:pStyle w:val="naisc"/>
              <w:spacing w:before="0" w:after="0"/>
              <w:jc w:val="left"/>
            </w:pPr>
            <w:r>
              <w:t>Precizēta a</w:t>
            </w:r>
            <w:r w:rsidR="00FB1192" w:rsidRPr="00C5362A">
              <w:t>notācijas III sadaļa</w:t>
            </w:r>
            <w:r w:rsidR="00FB1192">
              <w:t>.</w:t>
            </w:r>
          </w:p>
        </w:tc>
      </w:tr>
      <w:tr w:rsidR="00FB1192" w:rsidRPr="00712B66" w:rsidTr="00F10DF3">
        <w:tc>
          <w:tcPr>
            <w:tcW w:w="708" w:type="dxa"/>
            <w:tcBorders>
              <w:left w:val="single" w:sz="6" w:space="0" w:color="000000"/>
              <w:bottom w:val="single" w:sz="4" w:space="0" w:color="auto"/>
              <w:right w:val="single" w:sz="6" w:space="0" w:color="000000"/>
            </w:tcBorders>
          </w:tcPr>
          <w:p w:rsidR="00FB1192" w:rsidRDefault="005D2488" w:rsidP="00927F4B">
            <w:pPr>
              <w:pStyle w:val="naisc"/>
              <w:spacing w:before="0" w:after="0"/>
            </w:pPr>
            <w:r>
              <w:t>7</w:t>
            </w:r>
            <w:r w:rsidR="00FB1192">
              <w:t>.</w:t>
            </w:r>
          </w:p>
        </w:tc>
        <w:tc>
          <w:tcPr>
            <w:tcW w:w="3086" w:type="dxa"/>
            <w:gridSpan w:val="2"/>
            <w:tcBorders>
              <w:left w:val="single" w:sz="6" w:space="0" w:color="000000"/>
              <w:bottom w:val="single" w:sz="4" w:space="0" w:color="auto"/>
              <w:right w:val="single" w:sz="6" w:space="0" w:color="000000"/>
            </w:tcBorders>
          </w:tcPr>
          <w:p w:rsidR="00FB1192" w:rsidRPr="009A64DB" w:rsidRDefault="00FB1192" w:rsidP="00A746A6">
            <w:pPr>
              <w:pStyle w:val="naisc"/>
              <w:spacing w:before="0" w:after="0"/>
              <w:jc w:val="left"/>
            </w:pPr>
            <w:r w:rsidRPr="009A64DB">
              <w:t>Anotācijas III sadaļas 8. punkts</w:t>
            </w:r>
          </w:p>
        </w:tc>
        <w:tc>
          <w:tcPr>
            <w:tcW w:w="4394" w:type="dxa"/>
            <w:tcBorders>
              <w:left w:val="single" w:sz="6" w:space="0" w:color="000000"/>
              <w:bottom w:val="single" w:sz="4" w:space="0" w:color="auto"/>
              <w:right w:val="single" w:sz="6" w:space="0" w:color="000000"/>
            </w:tcBorders>
          </w:tcPr>
          <w:p w:rsidR="00FB1192" w:rsidRPr="009A64DB" w:rsidRDefault="00FB1192" w:rsidP="00A746A6">
            <w:pPr>
              <w:pStyle w:val="naisc"/>
              <w:spacing w:before="0" w:after="0"/>
              <w:jc w:val="both"/>
              <w:rPr>
                <w:b/>
                <w:bCs/>
              </w:rPr>
            </w:pPr>
            <w:r w:rsidRPr="009A64DB">
              <w:rPr>
                <w:b/>
                <w:bCs/>
              </w:rPr>
              <w:t>Finanšu ministrija</w:t>
            </w:r>
          </w:p>
          <w:p w:rsidR="00FB1192" w:rsidRPr="009A64DB" w:rsidRDefault="00FB1192" w:rsidP="00A746A6">
            <w:pPr>
              <w:pStyle w:val="naisc"/>
              <w:spacing w:before="0" w:after="0"/>
              <w:jc w:val="both"/>
            </w:pPr>
            <w:r w:rsidRPr="00946530">
              <w:rPr>
                <w:color w:val="212121"/>
              </w:rPr>
              <w:t>Lūdzam skaidrot, kādas valsts tiešās pārvaldes institūcijas ir domātas 8.punktā, kuru izmaksu palielinājums radītu ietekmi uz valsts pamatbudžetu.</w:t>
            </w:r>
          </w:p>
        </w:tc>
        <w:tc>
          <w:tcPr>
            <w:tcW w:w="3119" w:type="dxa"/>
            <w:gridSpan w:val="2"/>
            <w:tcBorders>
              <w:left w:val="single" w:sz="6" w:space="0" w:color="000000"/>
              <w:bottom w:val="single" w:sz="4" w:space="0" w:color="auto"/>
              <w:right w:val="single" w:sz="6" w:space="0" w:color="000000"/>
            </w:tcBorders>
          </w:tcPr>
          <w:p w:rsidR="00FB1192" w:rsidRPr="00F67328" w:rsidRDefault="00FB1192" w:rsidP="00A746A6">
            <w:pPr>
              <w:pStyle w:val="naisc"/>
              <w:spacing w:before="0" w:after="0"/>
              <w:rPr>
                <w:b/>
              </w:rPr>
            </w:pPr>
            <w:r w:rsidRPr="00F67328">
              <w:rPr>
                <w:b/>
              </w:rPr>
              <w:t>Ņemts vērā.</w:t>
            </w:r>
          </w:p>
          <w:p w:rsidR="00FB1192" w:rsidRPr="00F67328" w:rsidRDefault="00FB1192" w:rsidP="00A746A6">
            <w:pPr>
              <w:pStyle w:val="naisc"/>
              <w:spacing w:before="0" w:after="0"/>
              <w:rPr>
                <w:b/>
              </w:rPr>
            </w:pPr>
          </w:p>
        </w:tc>
        <w:tc>
          <w:tcPr>
            <w:tcW w:w="3118" w:type="dxa"/>
            <w:tcBorders>
              <w:top w:val="single" w:sz="4" w:space="0" w:color="auto"/>
              <w:left w:val="single" w:sz="4" w:space="0" w:color="auto"/>
              <w:bottom w:val="single" w:sz="4" w:space="0" w:color="auto"/>
            </w:tcBorders>
          </w:tcPr>
          <w:p w:rsidR="00FB1192" w:rsidRPr="006E497C" w:rsidRDefault="00F67328" w:rsidP="00F67328">
            <w:pPr>
              <w:pStyle w:val="naisc"/>
              <w:spacing w:before="0" w:after="0"/>
              <w:jc w:val="left"/>
            </w:pPr>
            <w:r>
              <w:t>Precizēts a</w:t>
            </w:r>
            <w:r w:rsidR="00FB1192" w:rsidRPr="00C5362A">
              <w:t>notācijas III sadaļa</w:t>
            </w:r>
            <w:r w:rsidR="00FB1192">
              <w:t>s 8. punkts.</w:t>
            </w:r>
          </w:p>
        </w:tc>
      </w:tr>
      <w:tr w:rsidR="00FB1192" w:rsidRPr="00712B66" w:rsidTr="00F10DF3">
        <w:tc>
          <w:tcPr>
            <w:tcW w:w="708" w:type="dxa"/>
            <w:tcBorders>
              <w:left w:val="single" w:sz="6" w:space="0" w:color="000000"/>
              <w:bottom w:val="single" w:sz="4" w:space="0" w:color="auto"/>
              <w:right w:val="single" w:sz="6" w:space="0" w:color="000000"/>
            </w:tcBorders>
          </w:tcPr>
          <w:p w:rsidR="00FB1192" w:rsidRDefault="005D2488" w:rsidP="00927F4B">
            <w:pPr>
              <w:pStyle w:val="naisc"/>
              <w:spacing w:before="0" w:after="0"/>
            </w:pPr>
            <w:r>
              <w:t>8</w:t>
            </w:r>
            <w:r w:rsidR="009821FE">
              <w:t>.</w:t>
            </w:r>
          </w:p>
        </w:tc>
        <w:tc>
          <w:tcPr>
            <w:tcW w:w="3086" w:type="dxa"/>
            <w:gridSpan w:val="2"/>
            <w:tcBorders>
              <w:left w:val="single" w:sz="6" w:space="0" w:color="000000"/>
              <w:bottom w:val="single" w:sz="4" w:space="0" w:color="auto"/>
              <w:right w:val="single" w:sz="6" w:space="0" w:color="000000"/>
            </w:tcBorders>
          </w:tcPr>
          <w:p w:rsidR="00FB1192" w:rsidRPr="009A64DB" w:rsidRDefault="00FB1192" w:rsidP="00A746A6">
            <w:pPr>
              <w:pStyle w:val="naisc"/>
              <w:spacing w:before="0" w:after="0"/>
              <w:jc w:val="left"/>
            </w:pPr>
            <w:r>
              <w:t>Anotācijas IV sadaļas 1. punkts</w:t>
            </w:r>
          </w:p>
        </w:tc>
        <w:tc>
          <w:tcPr>
            <w:tcW w:w="4394" w:type="dxa"/>
            <w:tcBorders>
              <w:left w:val="single" w:sz="6" w:space="0" w:color="000000"/>
              <w:bottom w:val="single" w:sz="4" w:space="0" w:color="auto"/>
              <w:right w:val="single" w:sz="6" w:space="0" w:color="000000"/>
            </w:tcBorders>
          </w:tcPr>
          <w:p w:rsidR="00FB1192" w:rsidRPr="003E4D55" w:rsidRDefault="00FB1192" w:rsidP="00A746A6">
            <w:pPr>
              <w:pStyle w:val="naisc"/>
              <w:spacing w:before="0" w:after="0"/>
              <w:jc w:val="both"/>
              <w:rPr>
                <w:b/>
                <w:bCs/>
              </w:rPr>
            </w:pPr>
            <w:r w:rsidRPr="003E4D55">
              <w:rPr>
                <w:b/>
                <w:bCs/>
              </w:rPr>
              <w:t>Tieslietu ministrija</w:t>
            </w:r>
          </w:p>
          <w:p w:rsidR="00FB1192" w:rsidRPr="003E4D55" w:rsidRDefault="00FB1192" w:rsidP="00A746A6">
            <w:pPr>
              <w:pStyle w:val="naisc"/>
              <w:spacing w:before="0" w:after="0"/>
              <w:jc w:val="both"/>
              <w:rPr>
                <w:b/>
                <w:bCs/>
              </w:rPr>
            </w:pPr>
            <w:r w:rsidRPr="003E4D55">
              <w:t xml:space="preserve">Saskaņā ar </w:t>
            </w:r>
            <w:bookmarkStart w:id="0" w:name="_Hlk34298457"/>
            <w:r w:rsidRPr="003E4D55">
              <w:t>Ministru kabineta 2009. gada 15. decembra instrukcijas Nr. 19 "Tiesību akta projekta sākotnējās ietekmes izvērtēšanas kārtība"</w:t>
            </w:r>
            <w:bookmarkEnd w:id="0"/>
            <w:r w:rsidRPr="003E4D55">
              <w:t xml:space="preserve"> (turpmāk – instrukcija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Attiecīgi lūdzam precizēt noteikumu projekta anotācijas IV sadaļas 1. punktu, ietverot šajā punktā konkrētu </w:t>
            </w:r>
            <w:r w:rsidRPr="003E4D55">
              <w:lastRenderedPageBreak/>
              <w:t>skaidrojumu par tajā ietverto tiesību aktu projektu nepieciešamību un mērķi.</w:t>
            </w:r>
          </w:p>
        </w:tc>
        <w:tc>
          <w:tcPr>
            <w:tcW w:w="3119" w:type="dxa"/>
            <w:gridSpan w:val="2"/>
            <w:tcBorders>
              <w:left w:val="single" w:sz="6" w:space="0" w:color="000000"/>
              <w:bottom w:val="single" w:sz="4" w:space="0" w:color="auto"/>
              <w:right w:val="single" w:sz="6" w:space="0" w:color="000000"/>
            </w:tcBorders>
          </w:tcPr>
          <w:p w:rsidR="00FB1192" w:rsidRPr="00F67328" w:rsidRDefault="00FB1192" w:rsidP="00A746A6">
            <w:pPr>
              <w:pStyle w:val="naisc"/>
              <w:spacing w:before="0" w:after="0"/>
              <w:rPr>
                <w:b/>
              </w:rPr>
            </w:pPr>
            <w:r w:rsidRPr="00F67328">
              <w:rPr>
                <w:b/>
              </w:rPr>
              <w:lastRenderedPageBreak/>
              <w:t>Ņemts vērā.</w:t>
            </w:r>
          </w:p>
          <w:p w:rsidR="00FB1192" w:rsidRPr="00FC2777" w:rsidRDefault="00FB1192"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FB1192" w:rsidRDefault="00F67328" w:rsidP="00A746A6">
            <w:pPr>
              <w:pStyle w:val="naisc"/>
              <w:spacing w:before="0" w:after="0"/>
              <w:jc w:val="left"/>
            </w:pPr>
            <w:r>
              <w:t>Precizēta anotācijas IV sadaļa.</w:t>
            </w:r>
          </w:p>
        </w:tc>
      </w:tr>
      <w:tr w:rsidR="00FB1192" w:rsidRPr="00712B66" w:rsidTr="00F10DF3">
        <w:tc>
          <w:tcPr>
            <w:tcW w:w="708" w:type="dxa"/>
            <w:tcBorders>
              <w:left w:val="single" w:sz="6" w:space="0" w:color="000000"/>
              <w:bottom w:val="single" w:sz="4" w:space="0" w:color="auto"/>
              <w:right w:val="single" w:sz="6" w:space="0" w:color="000000"/>
            </w:tcBorders>
          </w:tcPr>
          <w:p w:rsidR="00FB1192" w:rsidRDefault="005D2488" w:rsidP="00927F4B">
            <w:pPr>
              <w:pStyle w:val="naisc"/>
              <w:spacing w:before="0" w:after="0"/>
            </w:pPr>
            <w:r>
              <w:lastRenderedPageBreak/>
              <w:t>9</w:t>
            </w:r>
            <w:r w:rsidR="009821FE">
              <w:t>.</w:t>
            </w:r>
          </w:p>
        </w:tc>
        <w:tc>
          <w:tcPr>
            <w:tcW w:w="3086" w:type="dxa"/>
            <w:gridSpan w:val="2"/>
            <w:tcBorders>
              <w:left w:val="single" w:sz="6" w:space="0" w:color="000000"/>
              <w:bottom w:val="single" w:sz="4" w:space="0" w:color="auto"/>
              <w:right w:val="single" w:sz="6" w:space="0" w:color="000000"/>
            </w:tcBorders>
          </w:tcPr>
          <w:p w:rsidR="00FB1192" w:rsidRDefault="00FB1192" w:rsidP="00A746A6">
            <w:pPr>
              <w:pStyle w:val="naisc"/>
              <w:spacing w:before="0" w:after="0"/>
              <w:jc w:val="left"/>
            </w:pPr>
            <w:r>
              <w:t>Anotācijas V sadaļa</w:t>
            </w:r>
          </w:p>
        </w:tc>
        <w:tc>
          <w:tcPr>
            <w:tcW w:w="4394" w:type="dxa"/>
            <w:tcBorders>
              <w:left w:val="single" w:sz="6" w:space="0" w:color="000000"/>
              <w:bottom w:val="single" w:sz="4" w:space="0" w:color="auto"/>
              <w:right w:val="single" w:sz="6" w:space="0" w:color="000000"/>
            </w:tcBorders>
          </w:tcPr>
          <w:p w:rsidR="00FB1192" w:rsidRPr="003E4D55" w:rsidRDefault="00FB1192" w:rsidP="00A746A6">
            <w:pPr>
              <w:pStyle w:val="naisc"/>
              <w:spacing w:before="0" w:after="0"/>
              <w:jc w:val="both"/>
              <w:rPr>
                <w:b/>
                <w:bCs/>
              </w:rPr>
            </w:pPr>
            <w:r w:rsidRPr="003E4D55">
              <w:rPr>
                <w:b/>
                <w:bCs/>
              </w:rPr>
              <w:t>Tieslietu ministrija</w:t>
            </w:r>
          </w:p>
          <w:p w:rsidR="00FB1192" w:rsidRPr="003E4D55" w:rsidRDefault="00FB1192" w:rsidP="003E4D55">
            <w:pPr>
              <w:ind w:right="12"/>
            </w:pPr>
            <w:r w:rsidRPr="003E4D55">
              <w:t>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ir korekti un pilnīgi pārņemtas (tai skaitā kādā pakāpē pārņemtas) direktīvas Nr. 2018/844 prasības bez pienācīgā detalizācijas pakāpē veiktas noteikumu projekta anotācijas V sadaļas 1. tabulas aizpildīšanas, ievērojot instrukcijas Nr. 19 55. un 56. punktu. Proti, vēršam uzmanību, ka šobrīd noteikumu projekta anotācijas V sadaļas tabulā Nr. 1:</w:t>
            </w:r>
          </w:p>
          <w:p w:rsidR="00FB1192" w:rsidRPr="003E4D55" w:rsidRDefault="00FB1192" w:rsidP="003E4D55">
            <w:pPr>
              <w:ind w:right="12"/>
            </w:pPr>
            <w:r w:rsidRPr="003E4D55">
              <w:t xml:space="preserve">pirmkārt, vienā rindā (B ailē) ietvertas noteikumu projekta vienības, kas paredz atšķirīgu tiesisko regulējumu. Saistībā ar minēto norādām, ka katram direktīvas pantam vai panta daļai un apakšpunktam anotācijas V sadaļas 1. tabulā būtu jākorespondē attiecīgam noteikumu </w:t>
            </w:r>
            <w:r w:rsidRPr="003E4D55">
              <w:lastRenderedPageBreak/>
              <w:t>projekta pantam, panta daļai vai punktam, kas konkrētajā gadījumā neizpildās;</w:t>
            </w:r>
          </w:p>
          <w:p w:rsidR="00FB1192" w:rsidRPr="003E4D55" w:rsidRDefault="00FB1192" w:rsidP="003E4D55">
            <w:pPr>
              <w:ind w:right="12"/>
            </w:pPr>
            <w:r w:rsidRPr="003E4D55">
              <w:t>otrkārt, direktīvas Nr. 2018/844 prasības pārņemtas daļēji, nesniedzot šajā sakarā pietiekami detalizētu skaidrojumu. Norādām, ja direktīvu prasības ar noteikumu projektu tiek pārņemtas daļēji, anotācijas V sadaļas 1. tabulā (C ailē) būtu jāsniedz attiecīgs skaidrojums, kāda konkrēti prasība netiek pārņemta un precīzi jānorāda, cita starpā kādā veidā un termiņā attiecīgās direktīvu vienības tiks pārņemtas pilnībā. Termiņam konkrētajā gadījumā pievēršama pastiprināta vērība, ņemot vērā, ka atbilstoši noteikumu projekta anotācijā norādītajam direktīvas Nr. 2018/844 prasības jāpārņem līdz 2020. gada 10. martam (t.i., līdz šim datumam dalībvalstīs stājas spēkā normatīvie un administratīvie akti, kas vajadzīgi, lai izpildītu šīs direktīvas prasības), savukārt 1. tabulā minēts, ka atsevišķas prasības paredzēts pilnībā ieviest līdz 2020. gada 30. jūnijam.</w:t>
            </w:r>
          </w:p>
          <w:p w:rsidR="00FB1192" w:rsidRPr="003E4D55" w:rsidRDefault="00FB1192" w:rsidP="003E4D55">
            <w:pPr>
              <w:pStyle w:val="naisc"/>
              <w:spacing w:before="0" w:after="0"/>
              <w:jc w:val="both"/>
              <w:rPr>
                <w:b/>
                <w:bCs/>
              </w:rPr>
            </w:pPr>
            <w:r w:rsidRPr="003E4D55">
              <w:t>Ievērojot minēto, lūdzam pārstrādāt noteikumu projekta anotācijas V sadaļas 1. tabulu, aizpildot to pienācīgā detalizācijas pakāpē, un tādējādi nodrošināt to, ka kāda no direktīvas prasībām nejaušības pēc nepaliek nepārņemta vai veids vai termiņš, kādā to plāno pārņemt, nav neatbilstošs.</w:t>
            </w:r>
          </w:p>
        </w:tc>
        <w:tc>
          <w:tcPr>
            <w:tcW w:w="3119" w:type="dxa"/>
            <w:gridSpan w:val="2"/>
            <w:tcBorders>
              <w:left w:val="single" w:sz="6" w:space="0" w:color="000000"/>
              <w:bottom w:val="single" w:sz="4" w:space="0" w:color="auto"/>
              <w:right w:val="single" w:sz="6" w:space="0" w:color="000000"/>
            </w:tcBorders>
          </w:tcPr>
          <w:p w:rsidR="00FB1192" w:rsidRPr="009435F1" w:rsidRDefault="00FB1192" w:rsidP="00A746A6">
            <w:pPr>
              <w:pStyle w:val="naisc"/>
              <w:spacing w:before="0" w:after="0"/>
              <w:rPr>
                <w:b/>
              </w:rPr>
            </w:pPr>
            <w:r w:rsidRPr="009435F1">
              <w:rPr>
                <w:b/>
              </w:rPr>
              <w:lastRenderedPageBreak/>
              <w:t>Ņemts vērā.</w:t>
            </w:r>
          </w:p>
          <w:p w:rsidR="00FB1192" w:rsidRDefault="00FB1192"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FB1192" w:rsidRDefault="009435F1" w:rsidP="00A746A6">
            <w:pPr>
              <w:pStyle w:val="naisc"/>
              <w:spacing w:before="0" w:after="0"/>
              <w:jc w:val="left"/>
            </w:pPr>
            <w:r>
              <w:t>Precizēta anotācijas V sadaļa.</w:t>
            </w:r>
          </w:p>
        </w:tc>
      </w:tr>
      <w:tr w:rsidR="00FB1192" w:rsidRPr="00712B66" w:rsidTr="00F10DF3">
        <w:tc>
          <w:tcPr>
            <w:tcW w:w="708" w:type="dxa"/>
            <w:tcBorders>
              <w:left w:val="single" w:sz="6" w:space="0" w:color="000000"/>
              <w:bottom w:val="single" w:sz="4" w:space="0" w:color="auto"/>
              <w:right w:val="single" w:sz="6" w:space="0" w:color="000000"/>
            </w:tcBorders>
          </w:tcPr>
          <w:p w:rsidR="00FB1192" w:rsidRDefault="005D2488" w:rsidP="00927F4B">
            <w:pPr>
              <w:pStyle w:val="naisc"/>
              <w:spacing w:before="0" w:after="0"/>
            </w:pPr>
            <w:r>
              <w:lastRenderedPageBreak/>
              <w:t>10</w:t>
            </w:r>
            <w:r w:rsidR="009821FE">
              <w:t>.</w:t>
            </w:r>
          </w:p>
        </w:tc>
        <w:tc>
          <w:tcPr>
            <w:tcW w:w="3086" w:type="dxa"/>
            <w:gridSpan w:val="2"/>
            <w:tcBorders>
              <w:left w:val="single" w:sz="6" w:space="0" w:color="000000"/>
              <w:bottom w:val="single" w:sz="4" w:space="0" w:color="auto"/>
              <w:right w:val="single" w:sz="6" w:space="0" w:color="000000"/>
            </w:tcBorders>
          </w:tcPr>
          <w:p w:rsidR="00FB1192" w:rsidRDefault="00FB1192" w:rsidP="00A746A6">
            <w:pPr>
              <w:pStyle w:val="naisc"/>
              <w:spacing w:before="0" w:after="0"/>
              <w:jc w:val="left"/>
            </w:pPr>
            <w:r>
              <w:t>Anotācijas V sadaļa</w:t>
            </w:r>
            <w:r w:rsidR="00C31AD0">
              <w:t xml:space="preserve">s </w:t>
            </w:r>
            <w:r w:rsidR="00C31AD0">
              <w:lastRenderedPageBreak/>
              <w:t>1. tabula.</w:t>
            </w:r>
          </w:p>
          <w:p w:rsidR="00C31AD0" w:rsidRDefault="00C31AD0" w:rsidP="00A746A6">
            <w:pPr>
              <w:pStyle w:val="naisc"/>
              <w:spacing w:before="0" w:after="0"/>
              <w:jc w:val="left"/>
            </w:pPr>
          </w:p>
          <w:p w:rsidR="00C31AD0" w:rsidRDefault="00C31AD0" w:rsidP="00A746A6">
            <w:pPr>
              <w:pStyle w:val="naisc"/>
              <w:spacing w:before="0" w:after="0"/>
              <w:jc w:val="left"/>
            </w:pPr>
            <w:r>
              <w:t>1. punkts:</w:t>
            </w:r>
          </w:p>
          <w:p w:rsidR="00C31AD0" w:rsidRPr="001D2FBC" w:rsidRDefault="00C31AD0" w:rsidP="00C31AD0">
            <w:pPr>
              <w:contextualSpacing/>
            </w:pPr>
            <w:r>
              <w:t>”1. P</w:t>
            </w:r>
            <w:r w:rsidRPr="001D2FBC">
              <w:t xml:space="preserve">apildināt noteikumus ar </w:t>
            </w:r>
            <w:r>
              <w:t>3</w:t>
            </w:r>
            <w:r w:rsidRPr="001D2FBC">
              <w:t>.</w:t>
            </w:r>
            <w:r>
              <w:t> </w:t>
            </w:r>
            <w:r w:rsidRPr="001D2FBC">
              <w:t>punktu šādā redakcijā</w:t>
            </w:r>
            <w:r>
              <w:t>:</w:t>
            </w:r>
          </w:p>
          <w:p w:rsidR="00C31AD0" w:rsidRPr="009A64DB" w:rsidRDefault="00C31AD0" w:rsidP="00C31AD0">
            <w:pPr>
              <w:pStyle w:val="naisc"/>
              <w:spacing w:before="0" w:after="0"/>
              <w:jc w:val="both"/>
            </w:pPr>
            <w:r w:rsidRPr="00A974F3">
              <w:t>“</w:t>
            </w:r>
            <w:r>
              <w:t>3</w:t>
            </w:r>
            <w:r w:rsidRPr="00A974F3">
              <w:t>.</w:t>
            </w:r>
            <w:r>
              <w:t> </w:t>
            </w:r>
            <w:r w:rsidRPr="005B5E86">
              <w:t>Būv</w:t>
            </w:r>
            <w:r>
              <w:t>projektus</w:t>
            </w:r>
            <w:r w:rsidRPr="005B5E86">
              <w:t>, kur</w:t>
            </w:r>
            <w:r>
              <w:t>i</w:t>
            </w:r>
            <w:r w:rsidRPr="005B5E86">
              <w:t xml:space="preserve"> </w:t>
            </w:r>
            <w:r>
              <w:t>izstrādāti, pamatojoties uz būvatļaujām</w:t>
            </w:r>
            <w:r w:rsidRPr="005B5E86">
              <w:t xml:space="preserve">, kas </w:t>
            </w:r>
            <w:r>
              <w:t>izdotas</w:t>
            </w:r>
            <w:r w:rsidRPr="005B5E86">
              <w:t xml:space="preserve"> </w:t>
            </w:r>
            <w:r>
              <w:t>līdz</w:t>
            </w:r>
            <w:r w:rsidRPr="005B5E86">
              <w:t xml:space="preserve"> 202</w:t>
            </w:r>
            <w:r>
              <w:t>1</w:t>
            </w:r>
            <w:r w:rsidRPr="005B5E86">
              <w:t>.</w:t>
            </w:r>
            <w:r>
              <w:t> </w:t>
            </w:r>
            <w:r w:rsidRPr="005B5E86">
              <w:t xml:space="preserve">gada </w:t>
            </w:r>
            <w:r>
              <w:t>10</w:t>
            </w:r>
            <w:r w:rsidRPr="005B5E86">
              <w:t>.</w:t>
            </w:r>
            <w:r>
              <w:t> martam</w:t>
            </w:r>
            <w:r w:rsidRPr="005B5E86">
              <w:t>, v</w:t>
            </w:r>
            <w:r>
              <w:t>ar</w:t>
            </w:r>
            <w:r w:rsidRPr="005B5E86">
              <w:t xml:space="preserve"> </w:t>
            </w:r>
            <w:r>
              <w:t>ne</w:t>
            </w:r>
            <w:r w:rsidRPr="00077E60">
              <w:t>pārstrādā</w:t>
            </w:r>
            <w:r>
              <w:t>t</w:t>
            </w:r>
            <w:r w:rsidRPr="00077E60">
              <w:t xml:space="preserve"> atbilstoši </w:t>
            </w:r>
            <w:r w:rsidRPr="00077E60">
              <w:rPr>
                <w:shd w:val="clear" w:color="auto" w:fill="FFFFFF"/>
              </w:rPr>
              <w:t>Latvijas būvnormatīva LBN 2</w:t>
            </w:r>
            <w:r>
              <w:rPr>
                <w:shd w:val="clear" w:color="auto" w:fill="FFFFFF"/>
              </w:rPr>
              <w:t>11</w:t>
            </w:r>
            <w:r w:rsidRPr="00077E60">
              <w:rPr>
                <w:shd w:val="clear" w:color="auto" w:fill="FFFFFF"/>
              </w:rPr>
              <w:t>-15</w:t>
            </w:r>
            <w:r>
              <w:rPr>
                <w:shd w:val="clear" w:color="auto" w:fill="FFFFFF"/>
              </w:rPr>
              <w:t xml:space="preserve"> </w:t>
            </w:r>
            <w:r w:rsidRPr="00A974F3">
              <w:t>“</w:t>
            </w:r>
            <w:r>
              <w:t>Dzīvojamās ēkas</w:t>
            </w:r>
            <w:r w:rsidRPr="00A974F3">
              <w:t>”</w:t>
            </w:r>
            <w:r w:rsidRPr="00077E60">
              <w:rPr>
                <w:shd w:val="clear" w:color="auto" w:fill="FFFFFF"/>
              </w:rPr>
              <w:t xml:space="preserve"> </w:t>
            </w:r>
            <w:r>
              <w:rPr>
                <w:shd w:val="clear" w:color="auto" w:fill="FFFFFF"/>
              </w:rPr>
              <w:t>58.5. apakšpunkta u</w:t>
            </w:r>
            <w:r>
              <w:t>n 58</w:t>
            </w:r>
            <w:r w:rsidRPr="00077E60">
              <w:t>.</w:t>
            </w:r>
            <w:r>
              <w:rPr>
                <w:vertAlign w:val="superscript"/>
              </w:rPr>
              <w:t>1</w:t>
            </w:r>
            <w:r>
              <w:t> p</w:t>
            </w:r>
            <w:r w:rsidRPr="00077E60">
              <w:t>unkta prasībām.</w:t>
            </w:r>
            <w:r w:rsidRPr="005B5E86">
              <w:t>”</w:t>
            </w:r>
            <w:r>
              <w:t>”</w:t>
            </w:r>
          </w:p>
        </w:tc>
        <w:tc>
          <w:tcPr>
            <w:tcW w:w="4394" w:type="dxa"/>
            <w:tcBorders>
              <w:left w:val="single" w:sz="6" w:space="0" w:color="000000"/>
              <w:bottom w:val="single" w:sz="4" w:space="0" w:color="auto"/>
              <w:right w:val="single" w:sz="6" w:space="0" w:color="000000"/>
            </w:tcBorders>
          </w:tcPr>
          <w:p w:rsidR="00FB1192" w:rsidRPr="009C38C7" w:rsidRDefault="00FB1192" w:rsidP="000958C6">
            <w:pPr>
              <w:pStyle w:val="naisc"/>
              <w:spacing w:before="0" w:after="0"/>
              <w:jc w:val="left"/>
              <w:rPr>
                <w:b/>
                <w:bCs/>
              </w:rPr>
            </w:pPr>
            <w:r w:rsidRPr="009C38C7">
              <w:rPr>
                <w:b/>
                <w:bCs/>
              </w:rPr>
              <w:lastRenderedPageBreak/>
              <w:t>Tieslietu ministrija</w:t>
            </w:r>
          </w:p>
          <w:p w:rsidR="00FB1192" w:rsidRPr="009C38C7" w:rsidRDefault="00FB1192" w:rsidP="000958C6">
            <w:pPr>
              <w:pStyle w:val="naisc"/>
              <w:spacing w:before="0" w:after="0"/>
              <w:jc w:val="both"/>
              <w:rPr>
                <w:b/>
                <w:bCs/>
              </w:rPr>
            </w:pPr>
            <w:r w:rsidRPr="009C38C7">
              <w:lastRenderedPageBreak/>
              <w:t>Vēršam uzmanību, ka direktīvā Nr. 2018/844 ir paredzēta rīcības brīvība (sk. direktīvas Nr. 2018/844 1. panta 5. punktā izteikto Eiropas Parlamenta un Padomes 2010. gada 19. maija Direktīvas 2010/31/ES par ēku energoefektivitāti 8. panta 6. punktu). Attiecīgi lūdzam detalizēti skaidrot rīcības brīvības izmantošanu atbilstoši instrukcijas Nr. 19 56.5. apakšpunktam, norādot konkrēto direktīvas Nr. 2018/844 normu, kas paredz rīcības brīvību, kādā veidā minētā rīcības brīvība ir izmantota noteikumu projektā (tai skaitā izvērsti skaidrojot 8. panta 6. punkta "a" apakšpunktā paredzētās rīcības brīvības izmantošanas veidu un pamatotību, ņemot vērā šajā apakšpunktā norādīto, ka tai skaitā var nepiemērot 8. panta 5. punktu konkrētām ēku kategorijām, ja ir iesniegti līdz 2021. gada 10. martam</w:t>
            </w:r>
            <w:r w:rsidRPr="009C38C7">
              <w:rPr>
                <w:u w:val="single"/>
              </w:rPr>
              <w:t xml:space="preserve"> būvatļaujas pieteikumi vai līdzvērtīgi pieteikumi</w:t>
            </w:r>
            <w:r w:rsidRPr="009C38C7">
              <w:t>, bet nevis izdotas būvatļaujas, ko paredz noteikumu projekta 1. punkts), un to, kādēļ ir vai nav izmantota direktīvā Nr. 2018/844 paredzētā rīcības brīvība.</w:t>
            </w:r>
          </w:p>
          <w:p w:rsidR="00FB1192" w:rsidRPr="009C38C7" w:rsidRDefault="00FB1192" w:rsidP="00A746A6">
            <w:pPr>
              <w:pStyle w:val="naisc"/>
              <w:spacing w:before="0" w:after="0"/>
              <w:jc w:val="both"/>
              <w:rPr>
                <w:b/>
                <w:bCs/>
              </w:rPr>
            </w:pPr>
            <w:r w:rsidRPr="009C38C7">
              <w:rPr>
                <w:b/>
                <w:bCs/>
              </w:rPr>
              <w:t>Finanšu ministrija (priekšlikums)</w:t>
            </w:r>
          </w:p>
          <w:p w:rsidR="00FB1192" w:rsidRPr="009C38C7" w:rsidRDefault="00FB1192" w:rsidP="00576EE7">
            <w:r w:rsidRPr="009C38C7">
              <w:t xml:space="preserve">Saskaņā ar anotācijā sniegto informāciju noteikumu projekts izstrādāts, lai pārņemtu Eiropas Parlamenta un Padomes 2010. gada 19. maija Direktīvas 2010/31/ES par ēku energoefektivitāti (turpmāk – Direktīva 2010/31/ES) prasības (redakcijā </w:t>
            </w:r>
            <w:r w:rsidRPr="009C38C7">
              <w:lastRenderedPageBreak/>
              <w:t xml:space="preserve">ar Eiropas Parlamenta un Padomes 2018. gada 30. maija Direktīvas (ES) 2018/844, ar ko groza Direktīvu 2010/31/ES par ēku energoefektivitāti un Direktīvu 2012/27/ES par energoefektivitāti (turpmāk – Direktīva 2018/844), grozījumiem). </w:t>
            </w:r>
            <w:r w:rsidRPr="009C38C7">
              <w:tab/>
              <w:t xml:space="preserve">Direktīvas 2018/844 8.panta 5.punkts nosaka, ka attiecībā uz jaunām dzīvojamām ēkām un dzīvojamām ēkām, kurās veic nozīmīgu atjaunošanu, ar vairāk nekā desmit stāvvietām, dalībvalstis nodrošina, ka katrai stāvvietai tiek ierīkota kabeļkanālu infrastruktūra, t.i., elektrības kabeļiem paredzēti kanāli, lai vēlākā stadijā būtu iespējams ierīkot </w:t>
            </w:r>
            <w:proofErr w:type="spellStart"/>
            <w:r w:rsidRPr="009C38C7">
              <w:t>elektrotransportlīdzekļu</w:t>
            </w:r>
            <w:proofErr w:type="spellEnd"/>
            <w:r w:rsidRPr="009C38C7">
              <w:t xml:space="preserve"> uzlādes punktus, ja:</w:t>
            </w:r>
          </w:p>
          <w:p w:rsidR="00FB1192" w:rsidRPr="009C38C7" w:rsidRDefault="00FB1192" w:rsidP="00576EE7">
            <w:r w:rsidRPr="009C38C7">
              <w:t xml:space="preserve">a) automašīnu stāvvietas atrodas ēkas iekšienē un – nozīmīgas atjaunošanas gadījumā – atjaunošanas pasākumi ietver automašīnu stāvvietas vai ēkas </w:t>
            </w:r>
            <w:proofErr w:type="spellStart"/>
            <w:r w:rsidRPr="009C38C7">
              <w:t>elektroinfrastruktūru</w:t>
            </w:r>
            <w:proofErr w:type="spellEnd"/>
            <w:r w:rsidRPr="009C38C7">
              <w:t>; vai</w:t>
            </w:r>
          </w:p>
          <w:p w:rsidR="00FB1192" w:rsidRPr="009C38C7" w:rsidRDefault="00FB1192" w:rsidP="00576EE7">
            <w:r w:rsidRPr="009C38C7">
              <w:t xml:space="preserve">b) automašīnu stāvvietas atrodas fiziski blakus ēkai un – nozīmīgas atjaunošanas gadījumā – atjaunošanas pasākumi ietver automašīnu stāvvietas vai automašīnu stāvvietu </w:t>
            </w:r>
            <w:proofErr w:type="spellStart"/>
            <w:r w:rsidRPr="009C38C7">
              <w:t>elektroinfrastruktūru</w:t>
            </w:r>
            <w:proofErr w:type="spellEnd"/>
            <w:r w:rsidRPr="009C38C7">
              <w:t>.</w:t>
            </w:r>
          </w:p>
          <w:p w:rsidR="00FB1192" w:rsidRPr="009C38C7" w:rsidRDefault="00FB1192" w:rsidP="00576EE7">
            <w:r w:rsidRPr="009C38C7">
              <w:t>Direktīvas 2018/844 8.panta 6.punktā noteikti gadījumi, kad dalībvalstis var nepiemērot 8.panta 2., 3. un 5. punktu konkrētām ēku kategorijām, t.i., ja:</w:t>
            </w:r>
          </w:p>
          <w:p w:rsidR="00FB1192" w:rsidRPr="009C38C7" w:rsidRDefault="00FB1192" w:rsidP="00576EE7">
            <w:r w:rsidRPr="009C38C7">
              <w:t xml:space="preserve">a) attiecībā uz 2. un 5. punktu – būvatļaujas pieteikumi vai līdzvērtīgi pieteikumi ir iesniegti līdz 2021. gada 10. </w:t>
            </w:r>
            <w:r w:rsidRPr="009C38C7">
              <w:lastRenderedPageBreak/>
              <w:t>martam;</w:t>
            </w:r>
          </w:p>
          <w:p w:rsidR="00FB1192" w:rsidRPr="009C38C7" w:rsidRDefault="00FB1192" w:rsidP="00576EE7">
            <w:r w:rsidRPr="009C38C7">
              <w:t xml:space="preserve">b) vajadzīgā kabeļkanālu infrastruktūra </w:t>
            </w:r>
            <w:r w:rsidRPr="009C38C7">
              <w:rPr>
                <w:u w:val="single"/>
              </w:rPr>
              <w:t>būtu atkarīga no izolētām mikrosistēmām</w:t>
            </w:r>
            <w:r w:rsidRPr="009C38C7">
              <w:t xml:space="preserve"> vai ēkas atrodas tālākajos reģionos Līguma par Eiropas Savienības darbību 349. panta nozīmē, ja tā rezultātā rastos būtiskas problēmas vietējās energosistēmas darbībai un tiktu apdraudēta vietējā tīkla stabilitāte;</w:t>
            </w:r>
          </w:p>
          <w:p w:rsidR="00FB1192" w:rsidRPr="009C38C7" w:rsidRDefault="00FB1192" w:rsidP="00576EE7">
            <w:r w:rsidRPr="009C38C7">
              <w:t>c) uzlādes punktu un kabeļkanālu ierīkošanas izmaksas pārsniedz 7 % no ēkas nozīmīgās atjaunošanas kopējām izmaksām;</w:t>
            </w:r>
          </w:p>
          <w:p w:rsidR="00FB1192" w:rsidRPr="009C38C7" w:rsidRDefault="00FB1192" w:rsidP="00576EE7">
            <w:r w:rsidRPr="009C38C7">
              <w:t>d) uz publisku ēku jau attiecas līdzīgas prasības saskaņā ar Direktīvas 2014/94/ES transponēšanu.</w:t>
            </w:r>
          </w:p>
          <w:p w:rsidR="00FB1192" w:rsidRPr="009C38C7" w:rsidRDefault="00FB1192" w:rsidP="00576EE7">
            <w:r w:rsidRPr="009C38C7">
              <w:t>Ievērojot minēto, lūdzam skaidrot, kādēļ noteikumu projekts paredz piemērot Direktīvas  2018/844  8.panta 5.punktu jebkurā gadījumā, neparedzot iespējamos izņēmuma gadījumus, kas noteikti Direktīvas  2018/844  8.panta 6.punkta b, c apakšpunktos. Turklāt vēršam uzmanību, ka saskaņā ar Direktīvas 2018/844  8.panta 7.punktu dalībvalstis paredz pasākumus nolūkā vienkāršot uzlādes punktu ierīkošanu jaunās un esošās dzīvojamās un nedzīvojamās ēkās un novērst iespējamus regulatīvos šķēršļus, ieskaitot atļauju izdošanas un apstiprināšanas procedūras, neskarot dalībvalstu tiesību aktus īpašuma un īres jomā.</w:t>
            </w:r>
          </w:p>
          <w:p w:rsidR="00FB1192" w:rsidRPr="009C38C7" w:rsidRDefault="00FB1192" w:rsidP="00576EE7">
            <w:pPr>
              <w:pStyle w:val="naisc"/>
              <w:spacing w:before="0" w:after="0"/>
              <w:jc w:val="both"/>
              <w:rPr>
                <w:b/>
                <w:bCs/>
              </w:rPr>
            </w:pPr>
            <w:r w:rsidRPr="00BF70AC">
              <w:t xml:space="preserve">Tādējādi lūdzam papildināt anotāciju ar detalizētāku pamatojumu noteikumu </w:t>
            </w:r>
            <w:r w:rsidRPr="00BF70AC">
              <w:lastRenderedPageBreak/>
              <w:t>projektā ietvertajam regulējumam, analizējot arī citus risinājuma variantus mērķa sasniegšanai, tostarp attiecīgas infrastruktūras izbūvi uz publiskas personas zemes daudzdzīvokļu dzīvojamo māju rajonos.</w:t>
            </w:r>
          </w:p>
        </w:tc>
        <w:tc>
          <w:tcPr>
            <w:tcW w:w="3119" w:type="dxa"/>
            <w:gridSpan w:val="2"/>
            <w:tcBorders>
              <w:left w:val="single" w:sz="6" w:space="0" w:color="000000"/>
              <w:bottom w:val="single" w:sz="4" w:space="0" w:color="auto"/>
              <w:right w:val="single" w:sz="6" w:space="0" w:color="000000"/>
            </w:tcBorders>
          </w:tcPr>
          <w:p w:rsidR="00FB1192" w:rsidRPr="00C31AD0" w:rsidRDefault="009435F1" w:rsidP="00A746A6">
            <w:pPr>
              <w:pStyle w:val="naisc"/>
              <w:spacing w:before="0" w:after="0"/>
              <w:rPr>
                <w:b/>
              </w:rPr>
            </w:pPr>
            <w:r w:rsidRPr="00C31AD0">
              <w:rPr>
                <w:b/>
              </w:rPr>
              <w:lastRenderedPageBreak/>
              <w:t>Ņemts vērā.</w:t>
            </w:r>
          </w:p>
          <w:p w:rsidR="00FB1192" w:rsidRPr="00FC2777" w:rsidRDefault="00FB1192" w:rsidP="00A746A6">
            <w:pPr>
              <w:pStyle w:val="naisc"/>
              <w:spacing w:before="0" w:after="0"/>
              <w:rPr>
                <w:b/>
                <w:highlight w:val="yellow"/>
              </w:rPr>
            </w:pPr>
          </w:p>
        </w:tc>
        <w:tc>
          <w:tcPr>
            <w:tcW w:w="3118" w:type="dxa"/>
            <w:tcBorders>
              <w:top w:val="single" w:sz="4" w:space="0" w:color="auto"/>
              <w:left w:val="single" w:sz="4" w:space="0" w:color="auto"/>
              <w:bottom w:val="single" w:sz="4" w:space="0" w:color="auto"/>
            </w:tcBorders>
          </w:tcPr>
          <w:p w:rsidR="00FB1192" w:rsidRPr="002A7CA2" w:rsidRDefault="009435F1" w:rsidP="00A746A6">
            <w:pPr>
              <w:pStyle w:val="naisc"/>
              <w:spacing w:before="0" w:after="0"/>
              <w:jc w:val="left"/>
            </w:pPr>
            <w:r w:rsidRPr="002A7CA2">
              <w:lastRenderedPageBreak/>
              <w:t>Precizēta anotācijas V sadaļa</w:t>
            </w:r>
            <w:r w:rsidR="00C31AD0" w:rsidRPr="002A7CA2">
              <w:t xml:space="preserve">s </w:t>
            </w:r>
            <w:r w:rsidR="00C31AD0" w:rsidRPr="002A7CA2">
              <w:lastRenderedPageBreak/>
              <w:t>1. tabula</w:t>
            </w:r>
            <w:r w:rsidRPr="002A7CA2">
              <w:t>.</w:t>
            </w:r>
          </w:p>
          <w:p w:rsidR="00C31AD0" w:rsidRPr="002A7CA2" w:rsidRDefault="00C31AD0" w:rsidP="00A746A6">
            <w:pPr>
              <w:pStyle w:val="naisc"/>
              <w:spacing w:before="0" w:after="0"/>
              <w:jc w:val="left"/>
            </w:pPr>
          </w:p>
          <w:p w:rsidR="00C31AD0" w:rsidRPr="002A7CA2" w:rsidRDefault="00C31AD0" w:rsidP="00C31AD0">
            <w:pPr>
              <w:pStyle w:val="naisc"/>
              <w:spacing w:before="0" w:after="0"/>
              <w:jc w:val="left"/>
            </w:pPr>
            <w:r w:rsidRPr="002A7CA2">
              <w:t>1. punkts:</w:t>
            </w:r>
          </w:p>
          <w:p w:rsidR="00F05129" w:rsidRPr="00E472F8" w:rsidRDefault="00C31AD0" w:rsidP="00F05129">
            <w:pPr>
              <w:contextualSpacing/>
            </w:pPr>
            <w:r w:rsidRPr="002A7CA2">
              <w:t>”</w:t>
            </w:r>
            <w:r w:rsidR="00F05129">
              <w:t xml:space="preserve"> 1. P</w:t>
            </w:r>
            <w:r w:rsidR="00F05129" w:rsidRPr="001D2FBC">
              <w:t xml:space="preserve">apildināt noteikumus ar </w:t>
            </w:r>
            <w:r w:rsidR="00F05129">
              <w:t>3</w:t>
            </w:r>
            <w:r w:rsidR="00F05129" w:rsidRPr="001D2FBC">
              <w:t>.</w:t>
            </w:r>
            <w:r w:rsidR="00F05129">
              <w:t> </w:t>
            </w:r>
            <w:r w:rsidR="00F05129" w:rsidRPr="001D2FBC">
              <w:t>punktu šādā redakcijā</w:t>
            </w:r>
            <w:r w:rsidR="00F05129">
              <w:t>:</w:t>
            </w:r>
          </w:p>
          <w:p w:rsidR="00C31AD0" w:rsidRPr="002A7CA2" w:rsidRDefault="00F05129" w:rsidP="00F05129">
            <w:pPr>
              <w:pStyle w:val="naisc"/>
              <w:spacing w:before="0" w:after="0"/>
              <w:jc w:val="both"/>
            </w:pPr>
            <w:r w:rsidRPr="0091024C">
              <w:t xml:space="preserve">“3. Būvniecības ieceres dokumentāciju, kas </w:t>
            </w:r>
            <w:r>
              <w:t xml:space="preserve">normatīvajos aktos būvniecības jomā </w:t>
            </w:r>
            <w:r w:rsidRPr="003C631B">
              <w:t>noteikt</w:t>
            </w:r>
            <w:r>
              <w:t>aj</w:t>
            </w:r>
            <w:r w:rsidRPr="003C631B">
              <w:t>ā</w:t>
            </w:r>
            <w:r w:rsidRPr="0091024C">
              <w:t xml:space="preserve"> kārtībā saskaņota (akceptēta) vai iesniegta saskaņošanai institūcijā, kas pilda būvvaldes funkcijas, līdz 2021. gada 10. martam, var nepārstrādāt atbilstoši </w:t>
            </w:r>
            <w:r w:rsidRPr="0091024C">
              <w:rPr>
                <w:shd w:val="clear" w:color="auto" w:fill="FFFFFF"/>
              </w:rPr>
              <w:t xml:space="preserve">Latvijas būvnormatīva LBN 211-15 </w:t>
            </w:r>
            <w:r w:rsidRPr="0091024C">
              <w:t>“Dzīvojamās ēkas”</w:t>
            </w:r>
            <w:r w:rsidRPr="0091024C">
              <w:rPr>
                <w:shd w:val="clear" w:color="auto" w:fill="FFFFFF"/>
              </w:rPr>
              <w:t xml:space="preserve"> 58.5. apakšpunkta u</w:t>
            </w:r>
            <w:r w:rsidRPr="0091024C">
              <w:t>n 58.</w:t>
            </w:r>
            <w:r w:rsidRPr="0091024C">
              <w:rPr>
                <w:vertAlign w:val="superscript"/>
              </w:rPr>
              <w:t>1</w:t>
            </w:r>
            <w:r w:rsidRPr="0091024C">
              <w:t> punkta prasībām.”</w:t>
            </w:r>
            <w:r w:rsidR="00C31AD0" w:rsidRPr="002A7CA2">
              <w:t>”</w:t>
            </w:r>
          </w:p>
        </w:tc>
      </w:tr>
      <w:tr w:rsidR="00F05129" w:rsidRPr="00712B66" w:rsidTr="00F10DF3">
        <w:tc>
          <w:tcPr>
            <w:tcW w:w="708" w:type="dxa"/>
            <w:tcBorders>
              <w:left w:val="single" w:sz="6" w:space="0" w:color="000000"/>
              <w:bottom w:val="single" w:sz="4" w:space="0" w:color="auto"/>
              <w:right w:val="single" w:sz="6" w:space="0" w:color="000000"/>
            </w:tcBorders>
          </w:tcPr>
          <w:p w:rsidR="00F05129" w:rsidRDefault="005D2488" w:rsidP="00927F4B">
            <w:pPr>
              <w:pStyle w:val="naisc"/>
              <w:spacing w:before="0" w:after="0"/>
            </w:pPr>
            <w:r>
              <w:lastRenderedPageBreak/>
              <w:t>11.</w:t>
            </w:r>
          </w:p>
        </w:tc>
        <w:tc>
          <w:tcPr>
            <w:tcW w:w="3086" w:type="dxa"/>
            <w:gridSpan w:val="2"/>
            <w:tcBorders>
              <w:left w:val="single" w:sz="6" w:space="0" w:color="000000"/>
              <w:bottom w:val="single" w:sz="4" w:space="0" w:color="auto"/>
              <w:right w:val="single" w:sz="6" w:space="0" w:color="000000"/>
            </w:tcBorders>
          </w:tcPr>
          <w:p w:rsidR="00F05129" w:rsidRDefault="00F62E0C" w:rsidP="00A746A6">
            <w:pPr>
              <w:pStyle w:val="naisc"/>
              <w:spacing w:before="0" w:after="0"/>
              <w:jc w:val="left"/>
            </w:pPr>
            <w:r>
              <w:t>Anotācijas V sadaļas 1. tabula.</w:t>
            </w:r>
          </w:p>
        </w:tc>
        <w:tc>
          <w:tcPr>
            <w:tcW w:w="4394" w:type="dxa"/>
            <w:tcBorders>
              <w:left w:val="single" w:sz="6" w:space="0" w:color="000000"/>
              <w:bottom w:val="single" w:sz="4" w:space="0" w:color="auto"/>
              <w:right w:val="single" w:sz="6" w:space="0" w:color="000000"/>
            </w:tcBorders>
          </w:tcPr>
          <w:p w:rsidR="00F05129" w:rsidRDefault="00F62E0C" w:rsidP="000958C6">
            <w:pPr>
              <w:pStyle w:val="naisc"/>
              <w:spacing w:before="0" w:after="0"/>
              <w:jc w:val="left"/>
              <w:rPr>
                <w:b/>
                <w:bCs/>
              </w:rPr>
            </w:pPr>
            <w:r>
              <w:rPr>
                <w:b/>
                <w:bCs/>
              </w:rPr>
              <w:t>Tieslietu ministrija (papildus priekšlikums)</w:t>
            </w:r>
          </w:p>
          <w:p w:rsidR="00F62E0C" w:rsidRPr="009C38C7" w:rsidRDefault="00F62E0C" w:rsidP="00F62E0C">
            <w:pPr>
              <w:pStyle w:val="naisc"/>
              <w:spacing w:before="0" w:after="0"/>
              <w:jc w:val="both"/>
              <w:rPr>
                <w:b/>
                <w:bCs/>
              </w:rPr>
            </w:pPr>
            <w:r>
              <w:rPr>
                <w:bCs/>
                <w:iCs/>
                <w:bdr w:val="none" w:sz="0" w:space="0" w:color="auto" w:frame="1"/>
              </w:rPr>
              <w:t>I</w:t>
            </w:r>
            <w:r w:rsidRPr="00CD2F78">
              <w:rPr>
                <w:bCs/>
                <w:iCs/>
                <w:bdr w:val="none" w:sz="0" w:space="0" w:color="auto" w:frame="1"/>
              </w:rPr>
              <w:t>zsakām priekšlikumu noteikumu projekta anotācijā V sadaļas 1. tabulu papildināt ar skaidrojumu, kādēļ ir izmantota</w:t>
            </w:r>
            <w:r w:rsidRPr="00CD2F78">
              <w:rPr>
                <w:rStyle w:val="apple-converted-space"/>
                <w:bCs/>
                <w:iCs/>
                <w:bdr w:val="none" w:sz="0" w:space="0" w:color="auto" w:frame="1"/>
              </w:rPr>
              <w:t> </w:t>
            </w:r>
            <w:r w:rsidRPr="00CD2F78">
              <w:rPr>
                <w:bCs/>
                <w:iCs/>
                <w:bdr w:val="none" w:sz="0" w:space="0" w:color="auto" w:frame="1"/>
              </w:rPr>
              <w:t>Direktīvas 2010/31/ES 8. panta 6. punkta a apakšpunktā paredzētā rīcības brīvība, ievērojot Ministru kabineta 2009. gada 15. decembra instrukcijas Nr. 19 "Tiesību akta projekta sākotnējās ietekmes izvērtēšanas kārtība" 56.5. apakšpunktu.</w:t>
            </w:r>
          </w:p>
        </w:tc>
        <w:tc>
          <w:tcPr>
            <w:tcW w:w="3119" w:type="dxa"/>
            <w:gridSpan w:val="2"/>
            <w:tcBorders>
              <w:left w:val="single" w:sz="6" w:space="0" w:color="000000"/>
              <w:bottom w:val="single" w:sz="4" w:space="0" w:color="auto"/>
              <w:right w:val="single" w:sz="6" w:space="0" w:color="000000"/>
            </w:tcBorders>
          </w:tcPr>
          <w:p w:rsidR="00F05129" w:rsidRPr="00C31AD0" w:rsidRDefault="00F62E0C" w:rsidP="00A746A6">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rsidR="00F05129" w:rsidRPr="002A7CA2" w:rsidRDefault="00F62E0C" w:rsidP="00A746A6">
            <w:pPr>
              <w:pStyle w:val="naisc"/>
              <w:spacing w:before="0" w:after="0"/>
              <w:jc w:val="left"/>
            </w:pPr>
            <w:r w:rsidRPr="002A7CA2">
              <w:t>Precizēta anotācijas V sadaļas 1. tabula.</w:t>
            </w:r>
          </w:p>
        </w:tc>
      </w:tr>
      <w:tr w:rsidR="00FB1192"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FB1192" w:rsidRPr="00712B66" w:rsidRDefault="00FB1192" w:rsidP="003A191F">
            <w:pPr>
              <w:pStyle w:val="naiskr"/>
              <w:spacing w:before="0" w:after="0"/>
              <w:jc w:val="center"/>
            </w:pPr>
          </w:p>
          <w:p w:rsidR="00FB1192" w:rsidRPr="00712B66" w:rsidRDefault="00FB1192" w:rsidP="003A191F">
            <w:pPr>
              <w:pStyle w:val="naiskr"/>
              <w:spacing w:before="0" w:after="0"/>
              <w:jc w:val="center"/>
            </w:pPr>
            <w:r w:rsidRPr="00712B66">
              <w:t>Atbildīgā amatpersona</w:t>
            </w:r>
          </w:p>
        </w:tc>
        <w:tc>
          <w:tcPr>
            <w:tcW w:w="6179" w:type="dxa"/>
            <w:gridSpan w:val="3"/>
          </w:tcPr>
          <w:p w:rsidR="00FB1192" w:rsidRPr="00712B66" w:rsidRDefault="00FB1192" w:rsidP="003A191F">
            <w:pPr>
              <w:pStyle w:val="naiskr"/>
              <w:spacing w:before="0" w:after="0"/>
              <w:jc w:val="center"/>
            </w:pPr>
          </w:p>
        </w:tc>
      </w:tr>
      <w:tr w:rsidR="00FB1192"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FB1192" w:rsidRPr="00712B66" w:rsidRDefault="00FB1192" w:rsidP="003A191F">
            <w:pPr>
              <w:pStyle w:val="naiskr"/>
              <w:spacing w:before="0" w:after="0"/>
              <w:jc w:val="center"/>
            </w:pPr>
          </w:p>
        </w:tc>
        <w:tc>
          <w:tcPr>
            <w:tcW w:w="6179" w:type="dxa"/>
            <w:gridSpan w:val="3"/>
            <w:tcBorders>
              <w:top w:val="single" w:sz="6" w:space="0" w:color="000000"/>
            </w:tcBorders>
          </w:tcPr>
          <w:p w:rsidR="00FB1192" w:rsidRPr="002A7CA2" w:rsidRDefault="00FB1192" w:rsidP="003A191F">
            <w:pPr>
              <w:pStyle w:val="naisc"/>
              <w:spacing w:before="0" w:after="0"/>
              <w:rPr>
                <w:sz w:val="20"/>
                <w:szCs w:val="20"/>
              </w:rPr>
            </w:pPr>
            <w:r w:rsidRPr="002A7CA2">
              <w:rPr>
                <w:sz w:val="20"/>
                <w:szCs w:val="20"/>
              </w:rPr>
              <w:t>(paraksts*)</w:t>
            </w:r>
          </w:p>
        </w:tc>
      </w:tr>
    </w:tbl>
    <w:p w:rsidR="00317DC7" w:rsidRPr="002A7CA2" w:rsidRDefault="00184479" w:rsidP="00DB7395">
      <w:pPr>
        <w:pStyle w:val="naisf"/>
        <w:spacing w:before="0" w:after="0"/>
        <w:ind w:firstLine="720"/>
      </w:pPr>
      <w:r w:rsidRPr="002A7CA2">
        <w:t>Piezīme.</w:t>
      </w:r>
      <w:r w:rsidR="00767BF3" w:rsidRPr="002A7CA2">
        <w:t> </w:t>
      </w:r>
      <w:r w:rsidR="00FB6C91" w:rsidRPr="002A7CA2">
        <w:t>*</w:t>
      </w:r>
      <w:r w:rsidR="00767BF3" w:rsidRPr="002A7CA2">
        <w:t> </w:t>
      </w:r>
      <w:r w:rsidR="00317DC7" w:rsidRPr="002A7CA2">
        <w:t xml:space="preserve">Dokumenta rekvizītu </w:t>
      </w:r>
      <w:r w:rsidR="00364BB6" w:rsidRPr="002A7CA2">
        <w:t>"</w:t>
      </w:r>
      <w:r w:rsidR="0018210A" w:rsidRPr="002A7CA2">
        <w:t>p</w:t>
      </w:r>
      <w:r w:rsidR="00317DC7" w:rsidRPr="002A7CA2">
        <w:t>araksts</w:t>
      </w:r>
      <w:r w:rsidR="00364BB6" w:rsidRPr="002A7CA2">
        <w:t>"</w:t>
      </w:r>
      <w:r w:rsidR="00317DC7" w:rsidRPr="002A7CA2">
        <w:t xml:space="preserve"> neaizpilda, ja elektroniskais dokuments ir </w:t>
      </w:r>
      <w:r w:rsidRPr="002A7CA2">
        <w:t>sagatavots</w:t>
      </w:r>
      <w:r w:rsidR="00317DC7" w:rsidRPr="002A7CA2">
        <w:t xml:space="preserve"> atbilstoši </w:t>
      </w:r>
      <w:r w:rsidRPr="002A7CA2">
        <w:t xml:space="preserve">normatīvajiem aktiem par </w:t>
      </w:r>
      <w:r w:rsidR="00317DC7" w:rsidRPr="002A7CA2">
        <w:t>elektronisko dokumentu noformēšan</w:t>
      </w:r>
      <w:r w:rsidRPr="002A7CA2">
        <w:t>u.</w:t>
      </w:r>
    </w:p>
    <w:p w:rsidR="002A7CA2" w:rsidRPr="002A7CA2" w:rsidRDefault="002A7CA2" w:rsidP="00DB7395">
      <w:pPr>
        <w:pStyle w:val="naisf"/>
        <w:spacing w:before="0" w:after="0"/>
        <w:ind w:firstLine="720"/>
        <w:rPr>
          <w:sz w:val="20"/>
          <w:szCs w:val="20"/>
        </w:rPr>
      </w:pPr>
    </w:p>
    <w:tbl>
      <w:tblPr>
        <w:tblpPr w:leftFromText="180" w:rightFromText="180" w:vertAnchor="text" w:tblpY="1"/>
        <w:tblOverlap w:val="never"/>
        <w:tblW w:w="0" w:type="auto"/>
        <w:tblLook w:val="00A0"/>
      </w:tblPr>
      <w:tblGrid>
        <w:gridCol w:w="8268"/>
      </w:tblGrid>
      <w:tr w:rsidR="008B1E63" w:rsidRPr="00712B66" w:rsidTr="002A7CA2">
        <w:trPr>
          <w:trHeight w:val="284"/>
        </w:trPr>
        <w:tc>
          <w:tcPr>
            <w:tcW w:w="8268" w:type="dxa"/>
            <w:tcBorders>
              <w:bottom w:val="single" w:sz="4" w:space="0" w:color="000000"/>
            </w:tcBorders>
          </w:tcPr>
          <w:p w:rsidR="008B1E63" w:rsidRDefault="008B1E63" w:rsidP="002A7CA2">
            <w:pPr>
              <w:jc w:val="center"/>
            </w:pPr>
            <w:r>
              <w:t>Marta Bergmane</w:t>
            </w:r>
          </w:p>
        </w:tc>
      </w:tr>
      <w:tr w:rsidR="008B1E63" w:rsidRPr="00712B66" w:rsidTr="002A7CA2">
        <w:trPr>
          <w:trHeight w:val="284"/>
        </w:trPr>
        <w:tc>
          <w:tcPr>
            <w:tcW w:w="8268" w:type="dxa"/>
            <w:tcBorders>
              <w:top w:val="single" w:sz="4" w:space="0" w:color="000000"/>
            </w:tcBorders>
          </w:tcPr>
          <w:p w:rsidR="008B1E63" w:rsidRPr="00A270F9" w:rsidRDefault="008B1E63" w:rsidP="002A7CA2">
            <w:pPr>
              <w:jc w:val="center"/>
              <w:rPr>
                <w:sz w:val="20"/>
                <w:szCs w:val="20"/>
              </w:rPr>
            </w:pPr>
            <w:r w:rsidRPr="00A270F9">
              <w:rPr>
                <w:sz w:val="20"/>
                <w:szCs w:val="20"/>
              </w:rPr>
              <w:t>(par projektu atbildīgās amatpersonas vārds un uzvārds)</w:t>
            </w:r>
          </w:p>
        </w:tc>
      </w:tr>
      <w:tr w:rsidR="008B1E63" w:rsidRPr="00712B66" w:rsidTr="002A7CA2">
        <w:trPr>
          <w:trHeight w:val="284"/>
        </w:trPr>
        <w:tc>
          <w:tcPr>
            <w:tcW w:w="8268" w:type="dxa"/>
            <w:tcBorders>
              <w:bottom w:val="single" w:sz="4" w:space="0" w:color="000000"/>
            </w:tcBorders>
          </w:tcPr>
          <w:p w:rsidR="008B1E63" w:rsidRPr="00712B66" w:rsidRDefault="008B1E63" w:rsidP="002A7CA2">
            <w:pPr>
              <w:jc w:val="center"/>
            </w:pPr>
            <w:r>
              <w:t>Mājokļu politikas departamenta vecākā referente</w:t>
            </w:r>
          </w:p>
        </w:tc>
      </w:tr>
      <w:tr w:rsidR="008B1E63" w:rsidRPr="00712B66" w:rsidTr="002A7CA2">
        <w:trPr>
          <w:trHeight w:val="284"/>
        </w:trPr>
        <w:tc>
          <w:tcPr>
            <w:tcW w:w="8268" w:type="dxa"/>
            <w:tcBorders>
              <w:top w:val="single" w:sz="4" w:space="0" w:color="000000"/>
            </w:tcBorders>
          </w:tcPr>
          <w:p w:rsidR="008B1E63" w:rsidRPr="00A270F9" w:rsidRDefault="008B1E63" w:rsidP="002A7CA2">
            <w:pPr>
              <w:jc w:val="center"/>
              <w:rPr>
                <w:sz w:val="20"/>
                <w:szCs w:val="20"/>
              </w:rPr>
            </w:pPr>
            <w:r w:rsidRPr="00A270F9">
              <w:rPr>
                <w:sz w:val="20"/>
                <w:szCs w:val="20"/>
              </w:rPr>
              <w:t>(amats)</w:t>
            </w:r>
          </w:p>
        </w:tc>
      </w:tr>
      <w:tr w:rsidR="008B1E63" w:rsidRPr="00712B66" w:rsidTr="002A7CA2">
        <w:trPr>
          <w:trHeight w:val="284"/>
        </w:trPr>
        <w:tc>
          <w:tcPr>
            <w:tcW w:w="8268" w:type="dxa"/>
            <w:tcBorders>
              <w:bottom w:val="single" w:sz="4" w:space="0" w:color="000000"/>
            </w:tcBorders>
          </w:tcPr>
          <w:p w:rsidR="008B1E63" w:rsidRPr="00712B66" w:rsidRDefault="008B1E63" w:rsidP="002A7CA2">
            <w:pPr>
              <w:jc w:val="center"/>
            </w:pPr>
            <w:r>
              <w:t>Tālr. 67013041, Fakss 67280882</w:t>
            </w:r>
          </w:p>
        </w:tc>
      </w:tr>
      <w:tr w:rsidR="008B1E63" w:rsidRPr="00712B66" w:rsidTr="002A7CA2">
        <w:trPr>
          <w:trHeight w:val="284"/>
        </w:trPr>
        <w:tc>
          <w:tcPr>
            <w:tcW w:w="8268" w:type="dxa"/>
            <w:tcBorders>
              <w:top w:val="single" w:sz="4" w:space="0" w:color="000000"/>
            </w:tcBorders>
          </w:tcPr>
          <w:p w:rsidR="008B1E63" w:rsidRPr="00A270F9" w:rsidRDefault="008B1E63" w:rsidP="002A7CA2">
            <w:pPr>
              <w:jc w:val="center"/>
              <w:rPr>
                <w:sz w:val="20"/>
                <w:szCs w:val="20"/>
              </w:rPr>
            </w:pPr>
            <w:r w:rsidRPr="00A270F9">
              <w:rPr>
                <w:sz w:val="20"/>
                <w:szCs w:val="20"/>
              </w:rPr>
              <w:t>(tālruņa un faksa numurs)</w:t>
            </w:r>
          </w:p>
        </w:tc>
      </w:tr>
      <w:tr w:rsidR="008B1E63" w:rsidRPr="00712B66" w:rsidTr="002A7CA2">
        <w:trPr>
          <w:trHeight w:val="284"/>
        </w:trPr>
        <w:tc>
          <w:tcPr>
            <w:tcW w:w="8268" w:type="dxa"/>
            <w:tcBorders>
              <w:bottom w:val="single" w:sz="4" w:space="0" w:color="000000"/>
            </w:tcBorders>
          </w:tcPr>
          <w:p w:rsidR="008B1E63" w:rsidRPr="00712B66" w:rsidRDefault="008B1E63" w:rsidP="002A7CA2">
            <w:pPr>
              <w:jc w:val="center"/>
            </w:pPr>
            <w:r>
              <w:t>Marta.Bergmane@em.gov.lv</w:t>
            </w:r>
          </w:p>
        </w:tc>
      </w:tr>
      <w:tr w:rsidR="008B1E63" w:rsidRPr="00712B66" w:rsidTr="002A7CA2">
        <w:trPr>
          <w:trHeight w:val="284"/>
        </w:trPr>
        <w:tc>
          <w:tcPr>
            <w:tcW w:w="8268" w:type="dxa"/>
            <w:tcBorders>
              <w:top w:val="single" w:sz="4" w:space="0" w:color="000000"/>
            </w:tcBorders>
          </w:tcPr>
          <w:p w:rsidR="008B1E63" w:rsidRPr="00A270F9" w:rsidRDefault="008B1E63" w:rsidP="002A7CA2">
            <w:pPr>
              <w:jc w:val="center"/>
              <w:rPr>
                <w:sz w:val="20"/>
                <w:szCs w:val="20"/>
              </w:rPr>
            </w:pPr>
            <w:r w:rsidRPr="00A270F9">
              <w:rPr>
                <w:sz w:val="20"/>
                <w:szCs w:val="20"/>
              </w:rPr>
              <w:t>(e-pasta adrese)</w:t>
            </w:r>
          </w:p>
        </w:tc>
      </w:tr>
    </w:tbl>
    <w:p w:rsidR="002A7CA2" w:rsidRPr="00507795" w:rsidRDefault="002A7CA2" w:rsidP="002A7CA2">
      <w:pPr>
        <w:pStyle w:val="naisf"/>
        <w:spacing w:before="0" w:after="0"/>
        <w:ind w:firstLine="0"/>
      </w:pPr>
    </w:p>
    <w:sectPr w:rsidR="002A7CA2" w:rsidRPr="00507795"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0B" w:rsidRDefault="00F0720B">
      <w:r>
        <w:separator/>
      </w:r>
    </w:p>
  </w:endnote>
  <w:endnote w:type="continuationSeparator" w:id="0">
    <w:p w:rsidR="00F0720B" w:rsidRDefault="00F07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Pr="005D1A52" w:rsidRDefault="00123658" w:rsidP="005D1A52">
    <w:pPr>
      <w:pStyle w:val="Footer"/>
      <w:rPr>
        <w:sz w:val="20"/>
        <w:szCs w:val="20"/>
      </w:rPr>
    </w:pPr>
    <w:r>
      <w:rPr>
        <w:sz w:val="20"/>
        <w:szCs w:val="20"/>
      </w:rPr>
      <w:t>EMI</w:t>
    </w:r>
    <w:r w:rsidRPr="00015C84">
      <w:rPr>
        <w:sz w:val="20"/>
        <w:szCs w:val="20"/>
      </w:rPr>
      <w:t>zz_</w:t>
    </w:r>
    <w:r w:rsidR="00396ED6">
      <w:rPr>
        <w:sz w:val="20"/>
        <w:szCs w:val="20"/>
      </w:rPr>
      <w:t>29</w:t>
    </w:r>
    <w:r w:rsidRPr="00015C84">
      <w:rPr>
        <w:sz w:val="20"/>
        <w:szCs w:val="20"/>
      </w:rPr>
      <w:t>0</w:t>
    </w:r>
    <w:r w:rsidR="003D5688">
      <w:rPr>
        <w:sz w:val="20"/>
        <w:szCs w:val="20"/>
      </w:rPr>
      <w:t>4</w:t>
    </w:r>
    <w:r>
      <w:rPr>
        <w:sz w:val="20"/>
        <w:szCs w:val="20"/>
      </w:rPr>
      <w:t>2</w:t>
    </w:r>
    <w:r w:rsidRPr="00015C84">
      <w:rPr>
        <w:sz w:val="20"/>
        <w:szCs w:val="20"/>
      </w:rPr>
      <w:t>0</w:t>
    </w:r>
    <w:r>
      <w:rPr>
        <w:sz w:val="20"/>
        <w:szCs w:val="20"/>
      </w:rPr>
      <w:t>_</w:t>
    </w:r>
    <w:r w:rsidR="003D5688">
      <w:rPr>
        <w:sz w:val="20"/>
        <w:szCs w:val="20"/>
      </w:rPr>
      <w:t>LBN2</w:t>
    </w:r>
    <w:r w:rsidR="00576E8F">
      <w:rPr>
        <w:sz w:val="20"/>
        <w:szCs w:val="20"/>
      </w:rP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Pr="00015C84" w:rsidRDefault="00123658" w:rsidP="00364BB6">
    <w:pPr>
      <w:pStyle w:val="Footer"/>
      <w:rPr>
        <w:sz w:val="20"/>
        <w:szCs w:val="20"/>
      </w:rPr>
    </w:pPr>
    <w:r>
      <w:rPr>
        <w:sz w:val="20"/>
        <w:szCs w:val="20"/>
      </w:rPr>
      <w:t>EMI</w:t>
    </w:r>
    <w:r w:rsidRPr="00015C84">
      <w:rPr>
        <w:sz w:val="20"/>
        <w:szCs w:val="20"/>
      </w:rPr>
      <w:t>zz_</w:t>
    </w:r>
    <w:r w:rsidR="00396ED6">
      <w:rPr>
        <w:sz w:val="20"/>
        <w:szCs w:val="20"/>
      </w:rPr>
      <w:t>29</w:t>
    </w:r>
    <w:r w:rsidRPr="00015C84">
      <w:rPr>
        <w:sz w:val="20"/>
        <w:szCs w:val="20"/>
      </w:rPr>
      <w:t>0</w:t>
    </w:r>
    <w:r w:rsidR="003D5688">
      <w:rPr>
        <w:sz w:val="20"/>
        <w:szCs w:val="20"/>
      </w:rPr>
      <w:t>4</w:t>
    </w:r>
    <w:r>
      <w:rPr>
        <w:sz w:val="20"/>
        <w:szCs w:val="20"/>
      </w:rPr>
      <w:t>2</w:t>
    </w:r>
    <w:r w:rsidRPr="00015C84">
      <w:rPr>
        <w:sz w:val="20"/>
        <w:szCs w:val="20"/>
      </w:rPr>
      <w:t>0_</w:t>
    </w:r>
    <w:r w:rsidR="00941656">
      <w:rPr>
        <w:sz w:val="20"/>
        <w:szCs w:val="20"/>
      </w:rPr>
      <w:t>LBN2</w:t>
    </w:r>
    <w:r w:rsidR="00576E8F">
      <w:rPr>
        <w:sz w:val="20"/>
        <w:szCs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0B" w:rsidRDefault="00F0720B">
      <w:r>
        <w:separator/>
      </w:r>
    </w:p>
  </w:footnote>
  <w:footnote w:type="continuationSeparator" w:id="0">
    <w:p w:rsidR="00F0720B" w:rsidRDefault="00F07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Default="00CD3977" w:rsidP="00364BB6">
    <w:pPr>
      <w:pStyle w:val="Header"/>
      <w:framePr w:wrap="around" w:vAnchor="text" w:hAnchor="margin" w:xAlign="center" w:y="1"/>
      <w:rPr>
        <w:rStyle w:val="PageNumber"/>
      </w:rPr>
    </w:pPr>
    <w:r>
      <w:rPr>
        <w:rStyle w:val="PageNumber"/>
      </w:rPr>
      <w:fldChar w:fldCharType="begin"/>
    </w:r>
    <w:r w:rsidR="00123658">
      <w:rPr>
        <w:rStyle w:val="PageNumber"/>
      </w:rPr>
      <w:instrText xml:space="preserve">PAGE  </w:instrText>
    </w:r>
    <w:r>
      <w:rPr>
        <w:rStyle w:val="PageNumber"/>
      </w:rPr>
      <w:fldChar w:fldCharType="end"/>
    </w:r>
  </w:p>
  <w:p w:rsidR="00123658" w:rsidRDefault="00123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Default="00CD3977" w:rsidP="00364BB6">
    <w:pPr>
      <w:pStyle w:val="Header"/>
      <w:framePr w:wrap="around" w:vAnchor="text" w:hAnchor="margin" w:xAlign="center" w:y="1"/>
      <w:rPr>
        <w:rStyle w:val="PageNumber"/>
      </w:rPr>
    </w:pPr>
    <w:r>
      <w:rPr>
        <w:rStyle w:val="PageNumber"/>
      </w:rPr>
      <w:fldChar w:fldCharType="begin"/>
    </w:r>
    <w:r w:rsidR="00123658">
      <w:rPr>
        <w:rStyle w:val="PageNumber"/>
      </w:rPr>
      <w:instrText xml:space="preserve">PAGE  </w:instrText>
    </w:r>
    <w:r>
      <w:rPr>
        <w:rStyle w:val="PageNumber"/>
      </w:rPr>
      <w:fldChar w:fldCharType="separate"/>
    </w:r>
    <w:r w:rsidR="005D2488">
      <w:rPr>
        <w:rStyle w:val="PageNumber"/>
        <w:noProof/>
      </w:rPr>
      <w:t>11</w:t>
    </w:r>
    <w:r>
      <w:rPr>
        <w:rStyle w:val="PageNumber"/>
      </w:rPr>
      <w:fldChar w:fldCharType="end"/>
    </w:r>
  </w:p>
  <w:p w:rsidR="00123658" w:rsidRDefault="00123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8F9"/>
    <w:multiLevelType w:val="hybridMultilevel"/>
    <w:tmpl w:val="7534AC40"/>
    <w:lvl w:ilvl="0" w:tplc="6A0A62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291E3146"/>
    <w:multiLevelType w:val="hybridMultilevel"/>
    <w:tmpl w:val="EAEE5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6">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E4"/>
    <w:rsid w:val="00001F89"/>
    <w:rsid w:val="00003C53"/>
    <w:rsid w:val="000040A1"/>
    <w:rsid w:val="0000456E"/>
    <w:rsid w:val="000054CA"/>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865"/>
    <w:rsid w:val="000172E2"/>
    <w:rsid w:val="00017449"/>
    <w:rsid w:val="00020249"/>
    <w:rsid w:val="00022338"/>
    <w:rsid w:val="0002296A"/>
    <w:rsid w:val="00022B0F"/>
    <w:rsid w:val="00022B9A"/>
    <w:rsid w:val="00023A79"/>
    <w:rsid w:val="00023FD6"/>
    <w:rsid w:val="0002416A"/>
    <w:rsid w:val="00024CCD"/>
    <w:rsid w:val="00024D20"/>
    <w:rsid w:val="000253DB"/>
    <w:rsid w:val="000278E7"/>
    <w:rsid w:val="00027A63"/>
    <w:rsid w:val="00027F9D"/>
    <w:rsid w:val="000307B5"/>
    <w:rsid w:val="00032457"/>
    <w:rsid w:val="000334D0"/>
    <w:rsid w:val="0003413A"/>
    <w:rsid w:val="000349CA"/>
    <w:rsid w:val="0003557A"/>
    <w:rsid w:val="00035C06"/>
    <w:rsid w:val="000366DF"/>
    <w:rsid w:val="000372EB"/>
    <w:rsid w:val="000376CD"/>
    <w:rsid w:val="00040A5C"/>
    <w:rsid w:val="000422B5"/>
    <w:rsid w:val="000427F7"/>
    <w:rsid w:val="00043005"/>
    <w:rsid w:val="0004345F"/>
    <w:rsid w:val="00044026"/>
    <w:rsid w:val="00044CDC"/>
    <w:rsid w:val="00046075"/>
    <w:rsid w:val="00046961"/>
    <w:rsid w:val="00046CAD"/>
    <w:rsid w:val="00046F5C"/>
    <w:rsid w:val="00047385"/>
    <w:rsid w:val="00050554"/>
    <w:rsid w:val="000506F2"/>
    <w:rsid w:val="00052E07"/>
    <w:rsid w:val="00053706"/>
    <w:rsid w:val="00053E04"/>
    <w:rsid w:val="000553D6"/>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4360"/>
    <w:rsid w:val="0007577A"/>
    <w:rsid w:val="0007709D"/>
    <w:rsid w:val="000775D0"/>
    <w:rsid w:val="00081B0F"/>
    <w:rsid w:val="0008283D"/>
    <w:rsid w:val="00083090"/>
    <w:rsid w:val="00083214"/>
    <w:rsid w:val="00083B8F"/>
    <w:rsid w:val="00083C33"/>
    <w:rsid w:val="000845DC"/>
    <w:rsid w:val="00084B11"/>
    <w:rsid w:val="00085322"/>
    <w:rsid w:val="0008656F"/>
    <w:rsid w:val="00086AB9"/>
    <w:rsid w:val="00086BCE"/>
    <w:rsid w:val="00086F36"/>
    <w:rsid w:val="00087886"/>
    <w:rsid w:val="00090168"/>
    <w:rsid w:val="00090C76"/>
    <w:rsid w:val="00091033"/>
    <w:rsid w:val="00091F10"/>
    <w:rsid w:val="0009302B"/>
    <w:rsid w:val="00093EC2"/>
    <w:rsid w:val="000958A2"/>
    <w:rsid w:val="000958C6"/>
    <w:rsid w:val="000965E7"/>
    <w:rsid w:val="0009704D"/>
    <w:rsid w:val="00097A10"/>
    <w:rsid w:val="000A0041"/>
    <w:rsid w:val="000A06FC"/>
    <w:rsid w:val="000A1A02"/>
    <w:rsid w:val="000A4035"/>
    <w:rsid w:val="000A483A"/>
    <w:rsid w:val="000A55D2"/>
    <w:rsid w:val="000A64D3"/>
    <w:rsid w:val="000A77B9"/>
    <w:rsid w:val="000A7EA7"/>
    <w:rsid w:val="000B0403"/>
    <w:rsid w:val="000B057B"/>
    <w:rsid w:val="000B06E7"/>
    <w:rsid w:val="000B0C94"/>
    <w:rsid w:val="000B15A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0D3"/>
    <w:rsid w:val="000D0AED"/>
    <w:rsid w:val="000D3602"/>
    <w:rsid w:val="000D4D89"/>
    <w:rsid w:val="000D6BBD"/>
    <w:rsid w:val="000D7751"/>
    <w:rsid w:val="000D7C23"/>
    <w:rsid w:val="000E0A16"/>
    <w:rsid w:val="000E1745"/>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658"/>
    <w:rsid w:val="001255E6"/>
    <w:rsid w:val="001259F8"/>
    <w:rsid w:val="0013053A"/>
    <w:rsid w:val="0013066A"/>
    <w:rsid w:val="001315EF"/>
    <w:rsid w:val="001317E9"/>
    <w:rsid w:val="00131F39"/>
    <w:rsid w:val="00132375"/>
    <w:rsid w:val="00132E73"/>
    <w:rsid w:val="00133505"/>
    <w:rsid w:val="00134188"/>
    <w:rsid w:val="00137403"/>
    <w:rsid w:val="00137ADE"/>
    <w:rsid w:val="00140706"/>
    <w:rsid w:val="0014122A"/>
    <w:rsid w:val="00141E85"/>
    <w:rsid w:val="0014319C"/>
    <w:rsid w:val="001436B3"/>
    <w:rsid w:val="00143976"/>
    <w:rsid w:val="00143C25"/>
    <w:rsid w:val="00143DAC"/>
    <w:rsid w:val="00144622"/>
    <w:rsid w:val="00144781"/>
    <w:rsid w:val="00144917"/>
    <w:rsid w:val="0014702D"/>
    <w:rsid w:val="00147596"/>
    <w:rsid w:val="0014790C"/>
    <w:rsid w:val="00152718"/>
    <w:rsid w:val="00152932"/>
    <w:rsid w:val="001530CF"/>
    <w:rsid w:val="00153F12"/>
    <w:rsid w:val="001543DB"/>
    <w:rsid w:val="001547F2"/>
    <w:rsid w:val="00155473"/>
    <w:rsid w:val="00155DC2"/>
    <w:rsid w:val="00156D90"/>
    <w:rsid w:val="00156E9F"/>
    <w:rsid w:val="00157A57"/>
    <w:rsid w:val="00157DB6"/>
    <w:rsid w:val="00157EC2"/>
    <w:rsid w:val="00162A68"/>
    <w:rsid w:val="00162E08"/>
    <w:rsid w:val="00163061"/>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2EC2"/>
    <w:rsid w:val="0018386C"/>
    <w:rsid w:val="00184479"/>
    <w:rsid w:val="0018472C"/>
    <w:rsid w:val="00184838"/>
    <w:rsid w:val="00185755"/>
    <w:rsid w:val="00187398"/>
    <w:rsid w:val="00187F73"/>
    <w:rsid w:val="00187FB0"/>
    <w:rsid w:val="001902E9"/>
    <w:rsid w:val="00190327"/>
    <w:rsid w:val="00190A0A"/>
    <w:rsid w:val="001926F2"/>
    <w:rsid w:val="001929A6"/>
    <w:rsid w:val="00193BCE"/>
    <w:rsid w:val="00194B87"/>
    <w:rsid w:val="0019569A"/>
    <w:rsid w:val="00195962"/>
    <w:rsid w:val="00197533"/>
    <w:rsid w:val="001977E7"/>
    <w:rsid w:val="00197CCA"/>
    <w:rsid w:val="001A0A40"/>
    <w:rsid w:val="001A0D8A"/>
    <w:rsid w:val="001A192D"/>
    <w:rsid w:val="001A47B3"/>
    <w:rsid w:val="001A795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A1B"/>
    <w:rsid w:val="001C0B83"/>
    <w:rsid w:val="001C1510"/>
    <w:rsid w:val="001C1989"/>
    <w:rsid w:val="001C256B"/>
    <w:rsid w:val="001C28FD"/>
    <w:rsid w:val="001C3349"/>
    <w:rsid w:val="001C3F6C"/>
    <w:rsid w:val="001C4ABA"/>
    <w:rsid w:val="001C546B"/>
    <w:rsid w:val="001C5EA2"/>
    <w:rsid w:val="001C6608"/>
    <w:rsid w:val="001C6C7D"/>
    <w:rsid w:val="001C7010"/>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A05"/>
    <w:rsid w:val="002261CB"/>
    <w:rsid w:val="002268BF"/>
    <w:rsid w:val="00227BDE"/>
    <w:rsid w:val="00230045"/>
    <w:rsid w:val="0023014E"/>
    <w:rsid w:val="002308FA"/>
    <w:rsid w:val="00230E51"/>
    <w:rsid w:val="0023132F"/>
    <w:rsid w:val="00231AA5"/>
    <w:rsid w:val="00232F90"/>
    <w:rsid w:val="0023339B"/>
    <w:rsid w:val="0023469C"/>
    <w:rsid w:val="00234C71"/>
    <w:rsid w:val="00235511"/>
    <w:rsid w:val="002366E0"/>
    <w:rsid w:val="002367DF"/>
    <w:rsid w:val="00236DE1"/>
    <w:rsid w:val="002372EE"/>
    <w:rsid w:val="002372FD"/>
    <w:rsid w:val="0023764D"/>
    <w:rsid w:val="002415BC"/>
    <w:rsid w:val="00241B9B"/>
    <w:rsid w:val="002434B2"/>
    <w:rsid w:val="002442F4"/>
    <w:rsid w:val="002445EA"/>
    <w:rsid w:val="00244ECE"/>
    <w:rsid w:val="00244FC5"/>
    <w:rsid w:val="00245D1D"/>
    <w:rsid w:val="00250EDA"/>
    <w:rsid w:val="00251284"/>
    <w:rsid w:val="00251502"/>
    <w:rsid w:val="002518E8"/>
    <w:rsid w:val="00251C10"/>
    <w:rsid w:val="00252E1E"/>
    <w:rsid w:val="002538BA"/>
    <w:rsid w:val="0025469D"/>
    <w:rsid w:val="00254945"/>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22D"/>
    <w:rsid w:val="0027380D"/>
    <w:rsid w:val="0027468E"/>
    <w:rsid w:val="00274826"/>
    <w:rsid w:val="00275005"/>
    <w:rsid w:val="002752AB"/>
    <w:rsid w:val="002756D6"/>
    <w:rsid w:val="0027573C"/>
    <w:rsid w:val="002815D0"/>
    <w:rsid w:val="002820A7"/>
    <w:rsid w:val="00282164"/>
    <w:rsid w:val="00283B82"/>
    <w:rsid w:val="00283E13"/>
    <w:rsid w:val="00284146"/>
    <w:rsid w:val="00286478"/>
    <w:rsid w:val="00287EDD"/>
    <w:rsid w:val="002910B5"/>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A7CA2"/>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0C"/>
    <w:rsid w:val="002D1CA4"/>
    <w:rsid w:val="002D2C09"/>
    <w:rsid w:val="002D2C45"/>
    <w:rsid w:val="002D4969"/>
    <w:rsid w:val="002D4EE1"/>
    <w:rsid w:val="002D4F49"/>
    <w:rsid w:val="002D73E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CC8"/>
    <w:rsid w:val="002F797A"/>
    <w:rsid w:val="00300483"/>
    <w:rsid w:val="00301172"/>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459"/>
    <w:rsid w:val="00325D91"/>
    <w:rsid w:val="003267B4"/>
    <w:rsid w:val="00326CC1"/>
    <w:rsid w:val="00331193"/>
    <w:rsid w:val="003333D4"/>
    <w:rsid w:val="00334951"/>
    <w:rsid w:val="00336411"/>
    <w:rsid w:val="0033678D"/>
    <w:rsid w:val="0033720D"/>
    <w:rsid w:val="00337334"/>
    <w:rsid w:val="003373E8"/>
    <w:rsid w:val="003443DD"/>
    <w:rsid w:val="00344D5A"/>
    <w:rsid w:val="00346001"/>
    <w:rsid w:val="00346EB6"/>
    <w:rsid w:val="0034786D"/>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94E"/>
    <w:rsid w:val="00372221"/>
    <w:rsid w:val="00372CF2"/>
    <w:rsid w:val="0037495E"/>
    <w:rsid w:val="00374C7E"/>
    <w:rsid w:val="0037675F"/>
    <w:rsid w:val="00377353"/>
    <w:rsid w:val="0037736B"/>
    <w:rsid w:val="00381F57"/>
    <w:rsid w:val="0038216E"/>
    <w:rsid w:val="003822E5"/>
    <w:rsid w:val="003830B8"/>
    <w:rsid w:val="00383262"/>
    <w:rsid w:val="003861E8"/>
    <w:rsid w:val="00387904"/>
    <w:rsid w:val="00396ED6"/>
    <w:rsid w:val="003A157A"/>
    <w:rsid w:val="003A191F"/>
    <w:rsid w:val="003A283F"/>
    <w:rsid w:val="003A2A16"/>
    <w:rsid w:val="003A2FDD"/>
    <w:rsid w:val="003A3C43"/>
    <w:rsid w:val="003A5CCC"/>
    <w:rsid w:val="003A5D3B"/>
    <w:rsid w:val="003A70FF"/>
    <w:rsid w:val="003A74D2"/>
    <w:rsid w:val="003A756B"/>
    <w:rsid w:val="003A7902"/>
    <w:rsid w:val="003B234A"/>
    <w:rsid w:val="003B23D7"/>
    <w:rsid w:val="003B3414"/>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6E9"/>
    <w:rsid w:val="003C59B8"/>
    <w:rsid w:val="003C6809"/>
    <w:rsid w:val="003C7897"/>
    <w:rsid w:val="003D0937"/>
    <w:rsid w:val="003D17E6"/>
    <w:rsid w:val="003D1A20"/>
    <w:rsid w:val="003D1AC9"/>
    <w:rsid w:val="003D2AC9"/>
    <w:rsid w:val="003D2CD8"/>
    <w:rsid w:val="003D3724"/>
    <w:rsid w:val="003D46A7"/>
    <w:rsid w:val="003D5688"/>
    <w:rsid w:val="003D5F5F"/>
    <w:rsid w:val="003D6376"/>
    <w:rsid w:val="003E1235"/>
    <w:rsid w:val="003E2A35"/>
    <w:rsid w:val="003E2B56"/>
    <w:rsid w:val="003E2CE1"/>
    <w:rsid w:val="003E2DCB"/>
    <w:rsid w:val="003E4C3F"/>
    <w:rsid w:val="003E4D55"/>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5BB"/>
    <w:rsid w:val="00413A67"/>
    <w:rsid w:val="00416277"/>
    <w:rsid w:val="00416E24"/>
    <w:rsid w:val="0042063D"/>
    <w:rsid w:val="00422B23"/>
    <w:rsid w:val="00423A60"/>
    <w:rsid w:val="0042651C"/>
    <w:rsid w:val="00426E9B"/>
    <w:rsid w:val="00427D55"/>
    <w:rsid w:val="0043233C"/>
    <w:rsid w:val="004336E9"/>
    <w:rsid w:val="004345A6"/>
    <w:rsid w:val="00435B2F"/>
    <w:rsid w:val="00435E03"/>
    <w:rsid w:val="004373E1"/>
    <w:rsid w:val="004374A3"/>
    <w:rsid w:val="00437A7E"/>
    <w:rsid w:val="00437B6C"/>
    <w:rsid w:val="00440144"/>
    <w:rsid w:val="0044064E"/>
    <w:rsid w:val="00440805"/>
    <w:rsid w:val="004412E1"/>
    <w:rsid w:val="00441554"/>
    <w:rsid w:val="00442E48"/>
    <w:rsid w:val="0044351C"/>
    <w:rsid w:val="00443DCD"/>
    <w:rsid w:val="00443E7E"/>
    <w:rsid w:val="00444C06"/>
    <w:rsid w:val="004454DF"/>
    <w:rsid w:val="0044646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288"/>
    <w:rsid w:val="004603D0"/>
    <w:rsid w:val="00460B26"/>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B7D"/>
    <w:rsid w:val="00481247"/>
    <w:rsid w:val="004828DC"/>
    <w:rsid w:val="00482FF7"/>
    <w:rsid w:val="00483098"/>
    <w:rsid w:val="00483AFB"/>
    <w:rsid w:val="0048402B"/>
    <w:rsid w:val="0048414A"/>
    <w:rsid w:val="00485C56"/>
    <w:rsid w:val="00486B79"/>
    <w:rsid w:val="00486CA2"/>
    <w:rsid w:val="00490B25"/>
    <w:rsid w:val="00490FD6"/>
    <w:rsid w:val="004911C4"/>
    <w:rsid w:val="0049256E"/>
    <w:rsid w:val="00494CC8"/>
    <w:rsid w:val="004955E7"/>
    <w:rsid w:val="0049589C"/>
    <w:rsid w:val="00495EF1"/>
    <w:rsid w:val="00496ED4"/>
    <w:rsid w:val="00497D4A"/>
    <w:rsid w:val="004A0441"/>
    <w:rsid w:val="004A084C"/>
    <w:rsid w:val="004A15B3"/>
    <w:rsid w:val="004A1D01"/>
    <w:rsid w:val="004A2A54"/>
    <w:rsid w:val="004A2EF3"/>
    <w:rsid w:val="004A309B"/>
    <w:rsid w:val="004A37FC"/>
    <w:rsid w:val="004A3B0D"/>
    <w:rsid w:val="004A52F5"/>
    <w:rsid w:val="004A5843"/>
    <w:rsid w:val="004A5ADF"/>
    <w:rsid w:val="004A5D3A"/>
    <w:rsid w:val="004A6897"/>
    <w:rsid w:val="004A692B"/>
    <w:rsid w:val="004A6EB6"/>
    <w:rsid w:val="004A794C"/>
    <w:rsid w:val="004B3EC7"/>
    <w:rsid w:val="004B5664"/>
    <w:rsid w:val="004B59A8"/>
    <w:rsid w:val="004B796A"/>
    <w:rsid w:val="004C1743"/>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9C5"/>
    <w:rsid w:val="004E35E8"/>
    <w:rsid w:val="004E50F0"/>
    <w:rsid w:val="004E6A03"/>
    <w:rsid w:val="004F0070"/>
    <w:rsid w:val="004F0468"/>
    <w:rsid w:val="004F0C51"/>
    <w:rsid w:val="004F263C"/>
    <w:rsid w:val="004F2BB1"/>
    <w:rsid w:val="004F2C0E"/>
    <w:rsid w:val="004F2EC7"/>
    <w:rsid w:val="004F3CE8"/>
    <w:rsid w:val="004F6BFB"/>
    <w:rsid w:val="004F7E4A"/>
    <w:rsid w:val="0050147C"/>
    <w:rsid w:val="0050182B"/>
    <w:rsid w:val="00502579"/>
    <w:rsid w:val="005029F7"/>
    <w:rsid w:val="00503AA5"/>
    <w:rsid w:val="00503D4C"/>
    <w:rsid w:val="00504C0C"/>
    <w:rsid w:val="00504E48"/>
    <w:rsid w:val="005070FF"/>
    <w:rsid w:val="00507795"/>
    <w:rsid w:val="00507A05"/>
    <w:rsid w:val="00512BBC"/>
    <w:rsid w:val="005134FB"/>
    <w:rsid w:val="005135FD"/>
    <w:rsid w:val="0051366C"/>
    <w:rsid w:val="0051684F"/>
    <w:rsid w:val="00516A92"/>
    <w:rsid w:val="00516B9F"/>
    <w:rsid w:val="00517693"/>
    <w:rsid w:val="005205AB"/>
    <w:rsid w:val="00523378"/>
    <w:rsid w:val="00523D26"/>
    <w:rsid w:val="0052550F"/>
    <w:rsid w:val="00526C0F"/>
    <w:rsid w:val="0052702A"/>
    <w:rsid w:val="00530397"/>
    <w:rsid w:val="00530F73"/>
    <w:rsid w:val="00532107"/>
    <w:rsid w:val="00533B8E"/>
    <w:rsid w:val="00535417"/>
    <w:rsid w:val="00535833"/>
    <w:rsid w:val="00536D28"/>
    <w:rsid w:val="0053716F"/>
    <w:rsid w:val="005372C5"/>
    <w:rsid w:val="00537A26"/>
    <w:rsid w:val="00540E47"/>
    <w:rsid w:val="00542E2C"/>
    <w:rsid w:val="00543283"/>
    <w:rsid w:val="0054364C"/>
    <w:rsid w:val="00546747"/>
    <w:rsid w:val="00547510"/>
    <w:rsid w:val="00547ECC"/>
    <w:rsid w:val="00551D5A"/>
    <w:rsid w:val="00551EC3"/>
    <w:rsid w:val="00554A44"/>
    <w:rsid w:val="00554C53"/>
    <w:rsid w:val="00554F18"/>
    <w:rsid w:val="00555220"/>
    <w:rsid w:val="005555F0"/>
    <w:rsid w:val="00555739"/>
    <w:rsid w:val="00555ACB"/>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3F61"/>
    <w:rsid w:val="005746D2"/>
    <w:rsid w:val="00574BAC"/>
    <w:rsid w:val="00574E8A"/>
    <w:rsid w:val="00576E8F"/>
    <w:rsid w:val="00576EE7"/>
    <w:rsid w:val="0057729C"/>
    <w:rsid w:val="00577775"/>
    <w:rsid w:val="0058121A"/>
    <w:rsid w:val="00581863"/>
    <w:rsid w:val="00581EA3"/>
    <w:rsid w:val="0058205A"/>
    <w:rsid w:val="0058260B"/>
    <w:rsid w:val="00584D1E"/>
    <w:rsid w:val="00584D89"/>
    <w:rsid w:val="00586795"/>
    <w:rsid w:val="00586B82"/>
    <w:rsid w:val="00587E13"/>
    <w:rsid w:val="005933AA"/>
    <w:rsid w:val="005940AA"/>
    <w:rsid w:val="00594614"/>
    <w:rsid w:val="00594E10"/>
    <w:rsid w:val="00596306"/>
    <w:rsid w:val="00596487"/>
    <w:rsid w:val="005A0809"/>
    <w:rsid w:val="005A0875"/>
    <w:rsid w:val="005A0B91"/>
    <w:rsid w:val="005A1494"/>
    <w:rsid w:val="005A3139"/>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53"/>
    <w:rsid w:val="005C04A7"/>
    <w:rsid w:val="005C17A4"/>
    <w:rsid w:val="005C27CC"/>
    <w:rsid w:val="005C370D"/>
    <w:rsid w:val="005C504E"/>
    <w:rsid w:val="005C6153"/>
    <w:rsid w:val="005C78B0"/>
    <w:rsid w:val="005C7B95"/>
    <w:rsid w:val="005D01EB"/>
    <w:rsid w:val="005D0DFB"/>
    <w:rsid w:val="005D1112"/>
    <w:rsid w:val="005D1A52"/>
    <w:rsid w:val="005D237C"/>
    <w:rsid w:val="005D2488"/>
    <w:rsid w:val="005D25E2"/>
    <w:rsid w:val="005D25FF"/>
    <w:rsid w:val="005D2632"/>
    <w:rsid w:val="005D38E0"/>
    <w:rsid w:val="005D3F32"/>
    <w:rsid w:val="005D4E3E"/>
    <w:rsid w:val="005D67F7"/>
    <w:rsid w:val="005D7D7E"/>
    <w:rsid w:val="005E0B59"/>
    <w:rsid w:val="005E1105"/>
    <w:rsid w:val="005E162F"/>
    <w:rsid w:val="005E2C60"/>
    <w:rsid w:val="005E31B4"/>
    <w:rsid w:val="005E31F6"/>
    <w:rsid w:val="005E3622"/>
    <w:rsid w:val="005E60B3"/>
    <w:rsid w:val="005E676C"/>
    <w:rsid w:val="005E6CB9"/>
    <w:rsid w:val="005E7F14"/>
    <w:rsid w:val="005F0154"/>
    <w:rsid w:val="005F0176"/>
    <w:rsid w:val="005F021D"/>
    <w:rsid w:val="005F0B43"/>
    <w:rsid w:val="005F1EAC"/>
    <w:rsid w:val="005F308F"/>
    <w:rsid w:val="005F4572"/>
    <w:rsid w:val="005F4869"/>
    <w:rsid w:val="005F4BFD"/>
    <w:rsid w:val="005F5748"/>
    <w:rsid w:val="005F5834"/>
    <w:rsid w:val="005F5E11"/>
    <w:rsid w:val="005F73D3"/>
    <w:rsid w:val="006003E5"/>
    <w:rsid w:val="00600E63"/>
    <w:rsid w:val="00601561"/>
    <w:rsid w:val="00601E55"/>
    <w:rsid w:val="00602037"/>
    <w:rsid w:val="006029DD"/>
    <w:rsid w:val="00602C6A"/>
    <w:rsid w:val="00603AF5"/>
    <w:rsid w:val="006067A8"/>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27E60"/>
    <w:rsid w:val="00630069"/>
    <w:rsid w:val="00630583"/>
    <w:rsid w:val="00630D2E"/>
    <w:rsid w:val="00630D39"/>
    <w:rsid w:val="00631E19"/>
    <w:rsid w:val="0063340F"/>
    <w:rsid w:val="00633E76"/>
    <w:rsid w:val="00633EC9"/>
    <w:rsid w:val="006340F5"/>
    <w:rsid w:val="00634542"/>
    <w:rsid w:val="00635E4D"/>
    <w:rsid w:val="00635EA3"/>
    <w:rsid w:val="0063620C"/>
    <w:rsid w:val="00637E18"/>
    <w:rsid w:val="0064032E"/>
    <w:rsid w:val="0064038D"/>
    <w:rsid w:val="0064082F"/>
    <w:rsid w:val="00641A0B"/>
    <w:rsid w:val="00641D5A"/>
    <w:rsid w:val="00641E06"/>
    <w:rsid w:val="00643007"/>
    <w:rsid w:val="006431D0"/>
    <w:rsid w:val="006432C5"/>
    <w:rsid w:val="006436FA"/>
    <w:rsid w:val="00643852"/>
    <w:rsid w:val="00643C27"/>
    <w:rsid w:val="006455E7"/>
    <w:rsid w:val="00645758"/>
    <w:rsid w:val="006461A1"/>
    <w:rsid w:val="006461AC"/>
    <w:rsid w:val="00647422"/>
    <w:rsid w:val="00647E6B"/>
    <w:rsid w:val="00650E84"/>
    <w:rsid w:val="0065198B"/>
    <w:rsid w:val="006525AF"/>
    <w:rsid w:val="0065266A"/>
    <w:rsid w:val="00652BCB"/>
    <w:rsid w:val="00653F9C"/>
    <w:rsid w:val="00655470"/>
    <w:rsid w:val="00655E6C"/>
    <w:rsid w:val="00656FEE"/>
    <w:rsid w:val="0065758F"/>
    <w:rsid w:val="00660897"/>
    <w:rsid w:val="00660DBC"/>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D33"/>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54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C7935"/>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497C"/>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B66"/>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0F03"/>
    <w:rsid w:val="007419A7"/>
    <w:rsid w:val="00741B21"/>
    <w:rsid w:val="00741DD8"/>
    <w:rsid w:val="00741E49"/>
    <w:rsid w:val="0074250D"/>
    <w:rsid w:val="007443B8"/>
    <w:rsid w:val="007445E2"/>
    <w:rsid w:val="00745496"/>
    <w:rsid w:val="007460DA"/>
    <w:rsid w:val="0074705B"/>
    <w:rsid w:val="007470EC"/>
    <w:rsid w:val="0075020B"/>
    <w:rsid w:val="00751017"/>
    <w:rsid w:val="00751960"/>
    <w:rsid w:val="00752FE9"/>
    <w:rsid w:val="007535C7"/>
    <w:rsid w:val="00756551"/>
    <w:rsid w:val="00757769"/>
    <w:rsid w:val="0076067E"/>
    <w:rsid w:val="00761A81"/>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74A"/>
    <w:rsid w:val="00777CE9"/>
    <w:rsid w:val="00780D05"/>
    <w:rsid w:val="00783212"/>
    <w:rsid w:val="00783C7B"/>
    <w:rsid w:val="0078556C"/>
    <w:rsid w:val="007855C5"/>
    <w:rsid w:val="007856D3"/>
    <w:rsid w:val="007859FD"/>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201"/>
    <w:rsid w:val="007D1A95"/>
    <w:rsid w:val="007D245E"/>
    <w:rsid w:val="007D3764"/>
    <w:rsid w:val="007D485A"/>
    <w:rsid w:val="007D54FF"/>
    <w:rsid w:val="007D57D4"/>
    <w:rsid w:val="007D5DFE"/>
    <w:rsid w:val="007D6315"/>
    <w:rsid w:val="007D724A"/>
    <w:rsid w:val="007D75A3"/>
    <w:rsid w:val="007E16E2"/>
    <w:rsid w:val="007E19FE"/>
    <w:rsid w:val="007E1AAC"/>
    <w:rsid w:val="007E3B9C"/>
    <w:rsid w:val="007E4A2F"/>
    <w:rsid w:val="007E5C4A"/>
    <w:rsid w:val="007E62A1"/>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B08"/>
    <w:rsid w:val="00806A62"/>
    <w:rsid w:val="00806E55"/>
    <w:rsid w:val="008075CE"/>
    <w:rsid w:val="00812179"/>
    <w:rsid w:val="00812380"/>
    <w:rsid w:val="008124E2"/>
    <w:rsid w:val="008125CA"/>
    <w:rsid w:val="00813928"/>
    <w:rsid w:val="00815321"/>
    <w:rsid w:val="008166DB"/>
    <w:rsid w:val="008173E0"/>
    <w:rsid w:val="008175C1"/>
    <w:rsid w:val="008200D4"/>
    <w:rsid w:val="00820370"/>
    <w:rsid w:val="00820CC6"/>
    <w:rsid w:val="00822805"/>
    <w:rsid w:val="00822C41"/>
    <w:rsid w:val="00825043"/>
    <w:rsid w:val="00825267"/>
    <w:rsid w:val="008264EC"/>
    <w:rsid w:val="00827AA4"/>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3A5"/>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0FF1"/>
    <w:rsid w:val="00881692"/>
    <w:rsid w:val="00883143"/>
    <w:rsid w:val="008846B5"/>
    <w:rsid w:val="00884EC8"/>
    <w:rsid w:val="00884FAE"/>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49E"/>
    <w:rsid w:val="008A15B6"/>
    <w:rsid w:val="008A1A6E"/>
    <w:rsid w:val="008A202A"/>
    <w:rsid w:val="008A36C9"/>
    <w:rsid w:val="008A5AF9"/>
    <w:rsid w:val="008B16DE"/>
    <w:rsid w:val="008B1E63"/>
    <w:rsid w:val="008B251F"/>
    <w:rsid w:val="008B2602"/>
    <w:rsid w:val="008B2727"/>
    <w:rsid w:val="008B316B"/>
    <w:rsid w:val="008B5059"/>
    <w:rsid w:val="008B5BF2"/>
    <w:rsid w:val="008B6934"/>
    <w:rsid w:val="008B6CF8"/>
    <w:rsid w:val="008B72F6"/>
    <w:rsid w:val="008B7C3C"/>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05F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280"/>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714"/>
    <w:rsid w:val="00927F4B"/>
    <w:rsid w:val="009302D4"/>
    <w:rsid w:val="009307F2"/>
    <w:rsid w:val="00930CEC"/>
    <w:rsid w:val="00930F4A"/>
    <w:rsid w:val="0093375E"/>
    <w:rsid w:val="00933BEF"/>
    <w:rsid w:val="0093787E"/>
    <w:rsid w:val="009412CC"/>
    <w:rsid w:val="00941656"/>
    <w:rsid w:val="009435F1"/>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AD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21FE"/>
    <w:rsid w:val="00983066"/>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4DB"/>
    <w:rsid w:val="009A6FB7"/>
    <w:rsid w:val="009B01DF"/>
    <w:rsid w:val="009B020D"/>
    <w:rsid w:val="009B072F"/>
    <w:rsid w:val="009B07A1"/>
    <w:rsid w:val="009B09CC"/>
    <w:rsid w:val="009B173B"/>
    <w:rsid w:val="009B1A1A"/>
    <w:rsid w:val="009B2608"/>
    <w:rsid w:val="009B2A71"/>
    <w:rsid w:val="009B4027"/>
    <w:rsid w:val="009B4975"/>
    <w:rsid w:val="009B561F"/>
    <w:rsid w:val="009B5773"/>
    <w:rsid w:val="009B57FF"/>
    <w:rsid w:val="009B5D2D"/>
    <w:rsid w:val="009C058F"/>
    <w:rsid w:val="009C2B3E"/>
    <w:rsid w:val="009C2EA2"/>
    <w:rsid w:val="009C3721"/>
    <w:rsid w:val="009C38C7"/>
    <w:rsid w:val="009C4141"/>
    <w:rsid w:val="009C43BB"/>
    <w:rsid w:val="009C4B55"/>
    <w:rsid w:val="009C5FCC"/>
    <w:rsid w:val="009C61A2"/>
    <w:rsid w:val="009C6DF6"/>
    <w:rsid w:val="009C6E92"/>
    <w:rsid w:val="009C7573"/>
    <w:rsid w:val="009D04F7"/>
    <w:rsid w:val="009D085C"/>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8DF"/>
    <w:rsid w:val="009F1521"/>
    <w:rsid w:val="009F3F1E"/>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3241"/>
    <w:rsid w:val="00A1496E"/>
    <w:rsid w:val="00A14F84"/>
    <w:rsid w:val="00A16104"/>
    <w:rsid w:val="00A16D6D"/>
    <w:rsid w:val="00A17C75"/>
    <w:rsid w:val="00A211C8"/>
    <w:rsid w:val="00A2121E"/>
    <w:rsid w:val="00A21EAC"/>
    <w:rsid w:val="00A221DE"/>
    <w:rsid w:val="00A22CB2"/>
    <w:rsid w:val="00A22E69"/>
    <w:rsid w:val="00A23138"/>
    <w:rsid w:val="00A23940"/>
    <w:rsid w:val="00A23ECC"/>
    <w:rsid w:val="00A24CD3"/>
    <w:rsid w:val="00A25461"/>
    <w:rsid w:val="00A26367"/>
    <w:rsid w:val="00A2678A"/>
    <w:rsid w:val="00A269E1"/>
    <w:rsid w:val="00A270F9"/>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5D8"/>
    <w:rsid w:val="00A566A8"/>
    <w:rsid w:val="00A56D0B"/>
    <w:rsid w:val="00A56F60"/>
    <w:rsid w:val="00A5775C"/>
    <w:rsid w:val="00A60E72"/>
    <w:rsid w:val="00A61F0C"/>
    <w:rsid w:val="00A61FF0"/>
    <w:rsid w:val="00A62580"/>
    <w:rsid w:val="00A639A2"/>
    <w:rsid w:val="00A63AC9"/>
    <w:rsid w:val="00A64502"/>
    <w:rsid w:val="00A64B5F"/>
    <w:rsid w:val="00A65EA0"/>
    <w:rsid w:val="00A66517"/>
    <w:rsid w:val="00A67B0E"/>
    <w:rsid w:val="00A718EF"/>
    <w:rsid w:val="00A72134"/>
    <w:rsid w:val="00A726A8"/>
    <w:rsid w:val="00A72951"/>
    <w:rsid w:val="00A73505"/>
    <w:rsid w:val="00A73AB1"/>
    <w:rsid w:val="00A75E02"/>
    <w:rsid w:val="00A76E79"/>
    <w:rsid w:val="00A7771B"/>
    <w:rsid w:val="00A77B53"/>
    <w:rsid w:val="00A811F1"/>
    <w:rsid w:val="00A81627"/>
    <w:rsid w:val="00A82887"/>
    <w:rsid w:val="00A83010"/>
    <w:rsid w:val="00A83BF5"/>
    <w:rsid w:val="00A84CD1"/>
    <w:rsid w:val="00A85E2E"/>
    <w:rsid w:val="00A861F3"/>
    <w:rsid w:val="00A8728F"/>
    <w:rsid w:val="00A8756A"/>
    <w:rsid w:val="00A876C0"/>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E6F"/>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02A8"/>
    <w:rsid w:val="00B11520"/>
    <w:rsid w:val="00B11D2D"/>
    <w:rsid w:val="00B123F0"/>
    <w:rsid w:val="00B12891"/>
    <w:rsid w:val="00B137D3"/>
    <w:rsid w:val="00B146C1"/>
    <w:rsid w:val="00B146E7"/>
    <w:rsid w:val="00B156DF"/>
    <w:rsid w:val="00B15AA2"/>
    <w:rsid w:val="00B15ABB"/>
    <w:rsid w:val="00B16973"/>
    <w:rsid w:val="00B2036A"/>
    <w:rsid w:val="00B20404"/>
    <w:rsid w:val="00B21057"/>
    <w:rsid w:val="00B2202B"/>
    <w:rsid w:val="00B23422"/>
    <w:rsid w:val="00B24948"/>
    <w:rsid w:val="00B24CBD"/>
    <w:rsid w:val="00B24E63"/>
    <w:rsid w:val="00B25CA3"/>
    <w:rsid w:val="00B30028"/>
    <w:rsid w:val="00B31DC4"/>
    <w:rsid w:val="00B31E8D"/>
    <w:rsid w:val="00B32E87"/>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0D65"/>
    <w:rsid w:val="00B716BB"/>
    <w:rsid w:val="00B716FD"/>
    <w:rsid w:val="00B71B56"/>
    <w:rsid w:val="00B734C2"/>
    <w:rsid w:val="00B73BDA"/>
    <w:rsid w:val="00B74053"/>
    <w:rsid w:val="00B765A0"/>
    <w:rsid w:val="00B76C02"/>
    <w:rsid w:val="00B77BD2"/>
    <w:rsid w:val="00B814CB"/>
    <w:rsid w:val="00B81B6A"/>
    <w:rsid w:val="00B820F4"/>
    <w:rsid w:val="00B835E0"/>
    <w:rsid w:val="00B8396D"/>
    <w:rsid w:val="00B850DB"/>
    <w:rsid w:val="00B857A7"/>
    <w:rsid w:val="00B90331"/>
    <w:rsid w:val="00B903ED"/>
    <w:rsid w:val="00B90B2D"/>
    <w:rsid w:val="00B935A1"/>
    <w:rsid w:val="00B95BDD"/>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085B"/>
    <w:rsid w:val="00BD1039"/>
    <w:rsid w:val="00BD13B5"/>
    <w:rsid w:val="00BD2EFC"/>
    <w:rsid w:val="00BD340E"/>
    <w:rsid w:val="00BD60AD"/>
    <w:rsid w:val="00BD673F"/>
    <w:rsid w:val="00BD6C02"/>
    <w:rsid w:val="00BE1244"/>
    <w:rsid w:val="00BE165D"/>
    <w:rsid w:val="00BE2394"/>
    <w:rsid w:val="00BE2702"/>
    <w:rsid w:val="00BE37FB"/>
    <w:rsid w:val="00BE4326"/>
    <w:rsid w:val="00BE481B"/>
    <w:rsid w:val="00BE5F4F"/>
    <w:rsid w:val="00BE60DB"/>
    <w:rsid w:val="00BE716D"/>
    <w:rsid w:val="00BF0191"/>
    <w:rsid w:val="00BF13EC"/>
    <w:rsid w:val="00BF1C07"/>
    <w:rsid w:val="00BF3DEE"/>
    <w:rsid w:val="00BF54AC"/>
    <w:rsid w:val="00BF54BD"/>
    <w:rsid w:val="00BF630B"/>
    <w:rsid w:val="00BF6B8E"/>
    <w:rsid w:val="00BF70AC"/>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7F"/>
    <w:rsid w:val="00C146D3"/>
    <w:rsid w:val="00C16B5A"/>
    <w:rsid w:val="00C16BE0"/>
    <w:rsid w:val="00C21C39"/>
    <w:rsid w:val="00C22A75"/>
    <w:rsid w:val="00C2325C"/>
    <w:rsid w:val="00C239ED"/>
    <w:rsid w:val="00C23ECE"/>
    <w:rsid w:val="00C24D9D"/>
    <w:rsid w:val="00C25CF3"/>
    <w:rsid w:val="00C263E9"/>
    <w:rsid w:val="00C2775A"/>
    <w:rsid w:val="00C3063A"/>
    <w:rsid w:val="00C30BAD"/>
    <w:rsid w:val="00C31AD0"/>
    <w:rsid w:val="00C31E8F"/>
    <w:rsid w:val="00C335DA"/>
    <w:rsid w:val="00C33D3E"/>
    <w:rsid w:val="00C3501B"/>
    <w:rsid w:val="00C362E0"/>
    <w:rsid w:val="00C36ED4"/>
    <w:rsid w:val="00C376CC"/>
    <w:rsid w:val="00C400F7"/>
    <w:rsid w:val="00C40EC6"/>
    <w:rsid w:val="00C40EFA"/>
    <w:rsid w:val="00C419AD"/>
    <w:rsid w:val="00C41B5F"/>
    <w:rsid w:val="00C437BA"/>
    <w:rsid w:val="00C44395"/>
    <w:rsid w:val="00C443B3"/>
    <w:rsid w:val="00C45CE8"/>
    <w:rsid w:val="00C46F06"/>
    <w:rsid w:val="00C474DD"/>
    <w:rsid w:val="00C47DA6"/>
    <w:rsid w:val="00C5054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0DE"/>
    <w:rsid w:val="00C61F3A"/>
    <w:rsid w:val="00C629CB"/>
    <w:rsid w:val="00C62B75"/>
    <w:rsid w:val="00C64F62"/>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334"/>
    <w:rsid w:val="00C916B2"/>
    <w:rsid w:val="00C91C88"/>
    <w:rsid w:val="00C9257E"/>
    <w:rsid w:val="00C939C3"/>
    <w:rsid w:val="00C94228"/>
    <w:rsid w:val="00C96D56"/>
    <w:rsid w:val="00C977E6"/>
    <w:rsid w:val="00CA0020"/>
    <w:rsid w:val="00CA0B2E"/>
    <w:rsid w:val="00CA18CA"/>
    <w:rsid w:val="00CA2557"/>
    <w:rsid w:val="00CA4C99"/>
    <w:rsid w:val="00CA5413"/>
    <w:rsid w:val="00CA5674"/>
    <w:rsid w:val="00CA5BDA"/>
    <w:rsid w:val="00CA5C1A"/>
    <w:rsid w:val="00CA633F"/>
    <w:rsid w:val="00CA641E"/>
    <w:rsid w:val="00CA7558"/>
    <w:rsid w:val="00CA785F"/>
    <w:rsid w:val="00CA792A"/>
    <w:rsid w:val="00CA7949"/>
    <w:rsid w:val="00CB0400"/>
    <w:rsid w:val="00CB0C6E"/>
    <w:rsid w:val="00CB0C89"/>
    <w:rsid w:val="00CB1E56"/>
    <w:rsid w:val="00CB226B"/>
    <w:rsid w:val="00CB229B"/>
    <w:rsid w:val="00CB33B4"/>
    <w:rsid w:val="00CB3D93"/>
    <w:rsid w:val="00CB4441"/>
    <w:rsid w:val="00CB4B1A"/>
    <w:rsid w:val="00CB4E1D"/>
    <w:rsid w:val="00CB4E1F"/>
    <w:rsid w:val="00CB5980"/>
    <w:rsid w:val="00CC152E"/>
    <w:rsid w:val="00CC2493"/>
    <w:rsid w:val="00CC3222"/>
    <w:rsid w:val="00CC35F1"/>
    <w:rsid w:val="00CC35FF"/>
    <w:rsid w:val="00CD0E6E"/>
    <w:rsid w:val="00CD23AE"/>
    <w:rsid w:val="00CD27DF"/>
    <w:rsid w:val="00CD2D8A"/>
    <w:rsid w:val="00CD3977"/>
    <w:rsid w:val="00CD3BAC"/>
    <w:rsid w:val="00CD3FF2"/>
    <w:rsid w:val="00CD455F"/>
    <w:rsid w:val="00CD4A65"/>
    <w:rsid w:val="00CD531F"/>
    <w:rsid w:val="00CD6FA3"/>
    <w:rsid w:val="00CD779A"/>
    <w:rsid w:val="00CD7D66"/>
    <w:rsid w:val="00CE2184"/>
    <w:rsid w:val="00CE2E13"/>
    <w:rsid w:val="00CE3B7F"/>
    <w:rsid w:val="00CE3FA2"/>
    <w:rsid w:val="00CE41A0"/>
    <w:rsid w:val="00CE4958"/>
    <w:rsid w:val="00CE68E2"/>
    <w:rsid w:val="00CE706E"/>
    <w:rsid w:val="00CE70B1"/>
    <w:rsid w:val="00CE70BC"/>
    <w:rsid w:val="00CE7AE4"/>
    <w:rsid w:val="00CF0A4C"/>
    <w:rsid w:val="00CF150A"/>
    <w:rsid w:val="00CF2225"/>
    <w:rsid w:val="00CF25E7"/>
    <w:rsid w:val="00CF2B36"/>
    <w:rsid w:val="00CF3C77"/>
    <w:rsid w:val="00CF45A2"/>
    <w:rsid w:val="00CF52E7"/>
    <w:rsid w:val="00CF5ED9"/>
    <w:rsid w:val="00CF64B5"/>
    <w:rsid w:val="00CF74DB"/>
    <w:rsid w:val="00CF7853"/>
    <w:rsid w:val="00CF7EE2"/>
    <w:rsid w:val="00D004ED"/>
    <w:rsid w:val="00D018A1"/>
    <w:rsid w:val="00D0260F"/>
    <w:rsid w:val="00D03708"/>
    <w:rsid w:val="00D06776"/>
    <w:rsid w:val="00D06E46"/>
    <w:rsid w:val="00D06F95"/>
    <w:rsid w:val="00D1158C"/>
    <w:rsid w:val="00D11600"/>
    <w:rsid w:val="00D119A2"/>
    <w:rsid w:val="00D12E31"/>
    <w:rsid w:val="00D137F9"/>
    <w:rsid w:val="00D1458C"/>
    <w:rsid w:val="00D146FA"/>
    <w:rsid w:val="00D1620E"/>
    <w:rsid w:val="00D16867"/>
    <w:rsid w:val="00D16EEC"/>
    <w:rsid w:val="00D1711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EAB"/>
    <w:rsid w:val="00D350E5"/>
    <w:rsid w:val="00D36887"/>
    <w:rsid w:val="00D37563"/>
    <w:rsid w:val="00D3780A"/>
    <w:rsid w:val="00D379EB"/>
    <w:rsid w:val="00D400B8"/>
    <w:rsid w:val="00D4022C"/>
    <w:rsid w:val="00D41023"/>
    <w:rsid w:val="00D41C6C"/>
    <w:rsid w:val="00D42465"/>
    <w:rsid w:val="00D42E5B"/>
    <w:rsid w:val="00D439D1"/>
    <w:rsid w:val="00D43C68"/>
    <w:rsid w:val="00D444B2"/>
    <w:rsid w:val="00D45358"/>
    <w:rsid w:val="00D453E4"/>
    <w:rsid w:val="00D47226"/>
    <w:rsid w:val="00D50B21"/>
    <w:rsid w:val="00D51349"/>
    <w:rsid w:val="00D527AF"/>
    <w:rsid w:val="00D529E1"/>
    <w:rsid w:val="00D534C2"/>
    <w:rsid w:val="00D5410F"/>
    <w:rsid w:val="00D564DF"/>
    <w:rsid w:val="00D576DD"/>
    <w:rsid w:val="00D57CB4"/>
    <w:rsid w:val="00D61477"/>
    <w:rsid w:val="00D619E2"/>
    <w:rsid w:val="00D61A4A"/>
    <w:rsid w:val="00D62036"/>
    <w:rsid w:val="00D620CC"/>
    <w:rsid w:val="00D634B8"/>
    <w:rsid w:val="00D63EF3"/>
    <w:rsid w:val="00D64441"/>
    <w:rsid w:val="00D64FB0"/>
    <w:rsid w:val="00D65497"/>
    <w:rsid w:val="00D654DA"/>
    <w:rsid w:val="00D6609E"/>
    <w:rsid w:val="00D66C6C"/>
    <w:rsid w:val="00D67A9F"/>
    <w:rsid w:val="00D67C20"/>
    <w:rsid w:val="00D70C1B"/>
    <w:rsid w:val="00D70E5C"/>
    <w:rsid w:val="00D7146C"/>
    <w:rsid w:val="00D718CD"/>
    <w:rsid w:val="00D7416F"/>
    <w:rsid w:val="00D7442C"/>
    <w:rsid w:val="00D755F2"/>
    <w:rsid w:val="00D75B2D"/>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359F"/>
    <w:rsid w:val="00D94213"/>
    <w:rsid w:val="00D94BEB"/>
    <w:rsid w:val="00D94EA5"/>
    <w:rsid w:val="00D95F32"/>
    <w:rsid w:val="00D979FC"/>
    <w:rsid w:val="00DA024A"/>
    <w:rsid w:val="00DA07EE"/>
    <w:rsid w:val="00DA0A58"/>
    <w:rsid w:val="00DA16B6"/>
    <w:rsid w:val="00DA1C85"/>
    <w:rsid w:val="00DA1CC9"/>
    <w:rsid w:val="00DA2563"/>
    <w:rsid w:val="00DA2871"/>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490"/>
    <w:rsid w:val="00DD686C"/>
    <w:rsid w:val="00DD6E86"/>
    <w:rsid w:val="00DD7FB9"/>
    <w:rsid w:val="00DE0E5D"/>
    <w:rsid w:val="00DE447F"/>
    <w:rsid w:val="00DE48F0"/>
    <w:rsid w:val="00DE4A77"/>
    <w:rsid w:val="00DE68EE"/>
    <w:rsid w:val="00DE6D24"/>
    <w:rsid w:val="00DE7285"/>
    <w:rsid w:val="00DE7C40"/>
    <w:rsid w:val="00DF0EA5"/>
    <w:rsid w:val="00DF1F1D"/>
    <w:rsid w:val="00DF23A5"/>
    <w:rsid w:val="00DF4C6E"/>
    <w:rsid w:val="00DF51A3"/>
    <w:rsid w:val="00DF6666"/>
    <w:rsid w:val="00DF745E"/>
    <w:rsid w:val="00DF762E"/>
    <w:rsid w:val="00E0044E"/>
    <w:rsid w:val="00E00816"/>
    <w:rsid w:val="00E0239F"/>
    <w:rsid w:val="00E0267B"/>
    <w:rsid w:val="00E02B5C"/>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2F24"/>
    <w:rsid w:val="00E24287"/>
    <w:rsid w:val="00E31367"/>
    <w:rsid w:val="00E3181C"/>
    <w:rsid w:val="00E32EF3"/>
    <w:rsid w:val="00E33E21"/>
    <w:rsid w:val="00E34BC4"/>
    <w:rsid w:val="00E3540C"/>
    <w:rsid w:val="00E356E6"/>
    <w:rsid w:val="00E35F7E"/>
    <w:rsid w:val="00E36187"/>
    <w:rsid w:val="00E36220"/>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48F"/>
    <w:rsid w:val="00E66857"/>
    <w:rsid w:val="00E67556"/>
    <w:rsid w:val="00E711E5"/>
    <w:rsid w:val="00E7252F"/>
    <w:rsid w:val="00E73FC2"/>
    <w:rsid w:val="00E74481"/>
    <w:rsid w:val="00E74517"/>
    <w:rsid w:val="00E755D7"/>
    <w:rsid w:val="00E7566D"/>
    <w:rsid w:val="00E767FE"/>
    <w:rsid w:val="00E76E91"/>
    <w:rsid w:val="00E774B4"/>
    <w:rsid w:val="00E778F5"/>
    <w:rsid w:val="00E80E7C"/>
    <w:rsid w:val="00E81779"/>
    <w:rsid w:val="00E8205B"/>
    <w:rsid w:val="00E82444"/>
    <w:rsid w:val="00E8341C"/>
    <w:rsid w:val="00E8602B"/>
    <w:rsid w:val="00E868A9"/>
    <w:rsid w:val="00E86B5F"/>
    <w:rsid w:val="00E87D05"/>
    <w:rsid w:val="00E91A52"/>
    <w:rsid w:val="00E91EF3"/>
    <w:rsid w:val="00E91F96"/>
    <w:rsid w:val="00E92E99"/>
    <w:rsid w:val="00E9488A"/>
    <w:rsid w:val="00E968FD"/>
    <w:rsid w:val="00E96D55"/>
    <w:rsid w:val="00E97993"/>
    <w:rsid w:val="00EA0D5D"/>
    <w:rsid w:val="00EA1192"/>
    <w:rsid w:val="00EA153F"/>
    <w:rsid w:val="00EA2784"/>
    <w:rsid w:val="00EA2788"/>
    <w:rsid w:val="00EA2C6E"/>
    <w:rsid w:val="00EA444A"/>
    <w:rsid w:val="00EA4964"/>
    <w:rsid w:val="00EA4F1A"/>
    <w:rsid w:val="00EB02DE"/>
    <w:rsid w:val="00EB0A07"/>
    <w:rsid w:val="00EB11C4"/>
    <w:rsid w:val="00EB1B69"/>
    <w:rsid w:val="00EB1C78"/>
    <w:rsid w:val="00EB3B46"/>
    <w:rsid w:val="00EB4F08"/>
    <w:rsid w:val="00EB50FF"/>
    <w:rsid w:val="00EC2E07"/>
    <w:rsid w:val="00EC43C7"/>
    <w:rsid w:val="00EC465D"/>
    <w:rsid w:val="00EC5C89"/>
    <w:rsid w:val="00EC66D2"/>
    <w:rsid w:val="00EC67E7"/>
    <w:rsid w:val="00ED0A1B"/>
    <w:rsid w:val="00ED21BC"/>
    <w:rsid w:val="00ED25B6"/>
    <w:rsid w:val="00ED2FEC"/>
    <w:rsid w:val="00ED3F11"/>
    <w:rsid w:val="00ED3F67"/>
    <w:rsid w:val="00ED440A"/>
    <w:rsid w:val="00ED5B84"/>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A2D"/>
    <w:rsid w:val="00F01F8C"/>
    <w:rsid w:val="00F035A6"/>
    <w:rsid w:val="00F04AD0"/>
    <w:rsid w:val="00F04B9C"/>
    <w:rsid w:val="00F04D99"/>
    <w:rsid w:val="00F05129"/>
    <w:rsid w:val="00F0720B"/>
    <w:rsid w:val="00F10033"/>
    <w:rsid w:val="00F10848"/>
    <w:rsid w:val="00F10B68"/>
    <w:rsid w:val="00F10DF3"/>
    <w:rsid w:val="00F11F55"/>
    <w:rsid w:val="00F12DEC"/>
    <w:rsid w:val="00F13151"/>
    <w:rsid w:val="00F15523"/>
    <w:rsid w:val="00F16391"/>
    <w:rsid w:val="00F2062B"/>
    <w:rsid w:val="00F21A18"/>
    <w:rsid w:val="00F21E61"/>
    <w:rsid w:val="00F220EA"/>
    <w:rsid w:val="00F222CD"/>
    <w:rsid w:val="00F22BD8"/>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48A"/>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5FD8"/>
    <w:rsid w:val="00F5603C"/>
    <w:rsid w:val="00F5605C"/>
    <w:rsid w:val="00F564B9"/>
    <w:rsid w:val="00F57909"/>
    <w:rsid w:val="00F600A2"/>
    <w:rsid w:val="00F612D6"/>
    <w:rsid w:val="00F62E0C"/>
    <w:rsid w:val="00F63400"/>
    <w:rsid w:val="00F636C6"/>
    <w:rsid w:val="00F6433D"/>
    <w:rsid w:val="00F6573E"/>
    <w:rsid w:val="00F662EB"/>
    <w:rsid w:val="00F67328"/>
    <w:rsid w:val="00F67606"/>
    <w:rsid w:val="00F70327"/>
    <w:rsid w:val="00F7084F"/>
    <w:rsid w:val="00F70FEF"/>
    <w:rsid w:val="00F7241F"/>
    <w:rsid w:val="00F72FA8"/>
    <w:rsid w:val="00F7404A"/>
    <w:rsid w:val="00F75415"/>
    <w:rsid w:val="00F75645"/>
    <w:rsid w:val="00F773F9"/>
    <w:rsid w:val="00F8101C"/>
    <w:rsid w:val="00F817B9"/>
    <w:rsid w:val="00F81CB7"/>
    <w:rsid w:val="00F82280"/>
    <w:rsid w:val="00F8235F"/>
    <w:rsid w:val="00F825DA"/>
    <w:rsid w:val="00F83A22"/>
    <w:rsid w:val="00F83A97"/>
    <w:rsid w:val="00F844F0"/>
    <w:rsid w:val="00F84895"/>
    <w:rsid w:val="00F84E9D"/>
    <w:rsid w:val="00F8659E"/>
    <w:rsid w:val="00F86CE4"/>
    <w:rsid w:val="00F86F42"/>
    <w:rsid w:val="00F8782B"/>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192"/>
    <w:rsid w:val="00FB1D9D"/>
    <w:rsid w:val="00FB27A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777"/>
    <w:rsid w:val="00FC393B"/>
    <w:rsid w:val="00FC4052"/>
    <w:rsid w:val="00FC5252"/>
    <w:rsid w:val="00FC6356"/>
    <w:rsid w:val="00FC7D01"/>
    <w:rsid w:val="00FD0130"/>
    <w:rsid w:val="00FD0373"/>
    <w:rsid w:val="00FD0582"/>
    <w:rsid w:val="00FD0C93"/>
    <w:rsid w:val="00FD1062"/>
    <w:rsid w:val="00FD2589"/>
    <w:rsid w:val="00FD4876"/>
    <w:rsid w:val="00FD50F1"/>
    <w:rsid w:val="00FD52A3"/>
    <w:rsid w:val="00FD61C4"/>
    <w:rsid w:val="00FD68D4"/>
    <w:rsid w:val="00FE00D9"/>
    <w:rsid w:val="00FE1186"/>
    <w:rsid w:val="00FE177A"/>
    <w:rsid w:val="00FE240A"/>
    <w:rsid w:val="00FE3C7E"/>
    <w:rsid w:val="00FE3E3C"/>
    <w:rsid w:val="00FE43E7"/>
    <w:rsid w:val="00FE4B66"/>
    <w:rsid w:val="00FE4F6E"/>
    <w:rsid w:val="00FE583F"/>
    <w:rsid w:val="00FE597F"/>
    <w:rsid w:val="00FE5CC4"/>
    <w:rsid w:val="00FE6B13"/>
    <w:rsid w:val="00FE7575"/>
    <w:rsid w:val="00FF1070"/>
    <w:rsid w:val="00FF13E2"/>
    <w:rsid w:val="00FF2237"/>
    <w:rsid w:val="00FF46F0"/>
    <w:rsid w:val="00FF4953"/>
    <w:rsid w:val="00FF4D54"/>
    <w:rsid w:val="00FF5FA3"/>
    <w:rsid w:val="00FF5FCE"/>
    <w:rsid w:val="00FF6177"/>
    <w:rsid w:val="00FF6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jc w:val="both"/>
    </w:pPr>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pPr>
    <w:rPr>
      <w:sz w:val="28"/>
      <w:szCs w:val="28"/>
      <w:lang/>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locked/>
    <w:rsid w:val="00555ACB"/>
    <w:rPr>
      <w:rFonts w:ascii="Calibri" w:hAnsi="Calibri"/>
      <w:sz w:val="22"/>
      <w:szCs w:val="22"/>
      <w:lang w:eastAsia="en-US"/>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097A10"/>
    <w:pPr>
      <w:jc w:val="left"/>
    </w:pPr>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097A10"/>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uiPriority w:val="99"/>
    <w:rsid w:val="00097A10"/>
    <w:rPr>
      <w:vertAlign w:val="superscript"/>
    </w:rPr>
  </w:style>
  <w:style w:type="character" w:customStyle="1" w:styleId="normaltextrun">
    <w:name w:val="normaltextrun"/>
    <w:rsid w:val="00346001"/>
  </w:style>
  <w:style w:type="paragraph" w:styleId="NoSpacing">
    <w:name w:val="No Spacing"/>
    <w:uiPriority w:val="1"/>
    <w:qFormat/>
    <w:rsid w:val="006E497C"/>
    <w:rPr>
      <w:rFonts w:ascii="Calibri" w:eastAsia="Calibri" w:hAnsi="Calibri"/>
      <w:sz w:val="22"/>
      <w:szCs w:val="22"/>
      <w:lang w:val="lv-LV"/>
    </w:rPr>
  </w:style>
  <w:style w:type="paragraph" w:customStyle="1" w:styleId="paragraph">
    <w:name w:val="paragraph"/>
    <w:basedOn w:val="Normal"/>
    <w:rsid w:val="006067A8"/>
    <w:pPr>
      <w:spacing w:before="100" w:beforeAutospacing="1" w:after="100" w:afterAutospacing="1"/>
      <w:jc w:val="left"/>
    </w:pPr>
  </w:style>
  <w:style w:type="character" w:customStyle="1" w:styleId="eop">
    <w:name w:val="eop"/>
    <w:rsid w:val="006067A8"/>
  </w:style>
  <w:style w:type="character" w:customStyle="1" w:styleId="spellingerror">
    <w:name w:val="spellingerror"/>
    <w:rsid w:val="00EA444A"/>
  </w:style>
  <w:style w:type="paragraph" w:customStyle="1" w:styleId="norm">
    <w:name w:val="norm"/>
    <w:basedOn w:val="Normal"/>
    <w:rsid w:val="00282164"/>
    <w:pPr>
      <w:spacing w:before="100" w:beforeAutospacing="1" w:after="100" w:afterAutospacing="1"/>
      <w:jc w:val="left"/>
    </w:pPr>
  </w:style>
  <w:style w:type="character" w:customStyle="1" w:styleId="apple-converted-space">
    <w:name w:val="apple-converted-space"/>
    <w:basedOn w:val="DefaultParagraphFont"/>
    <w:rsid w:val="008F05F6"/>
  </w:style>
</w:styles>
</file>

<file path=word/webSettings.xml><?xml version="1.0" encoding="utf-8"?>
<w:webSettings xmlns:r="http://schemas.openxmlformats.org/officeDocument/2006/relationships" xmlns:w="http://schemas.openxmlformats.org/wordprocessingml/2006/main">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158593">
      <w:bodyDiv w:val="1"/>
      <w:marLeft w:val="0"/>
      <w:marRight w:val="0"/>
      <w:marTop w:val="0"/>
      <w:marBottom w:val="0"/>
      <w:divBdr>
        <w:top w:val="none" w:sz="0" w:space="0" w:color="auto"/>
        <w:left w:val="none" w:sz="0" w:space="0" w:color="auto"/>
        <w:bottom w:val="none" w:sz="0" w:space="0" w:color="auto"/>
        <w:right w:val="none" w:sz="0" w:space="0" w:color="auto"/>
      </w:divBdr>
      <w:divsChild>
        <w:div w:id="1714579117">
          <w:marLeft w:val="840"/>
          <w:marRight w:val="0"/>
          <w:marTop w:val="0"/>
          <w:marBottom w:val="0"/>
          <w:divBdr>
            <w:top w:val="none" w:sz="0" w:space="0" w:color="auto"/>
            <w:left w:val="none" w:sz="0" w:space="0" w:color="auto"/>
            <w:bottom w:val="none" w:sz="0" w:space="0" w:color="auto"/>
            <w:right w:val="none" w:sz="0" w:space="0" w:color="auto"/>
          </w:divBdr>
        </w:div>
        <w:div w:id="852690653">
          <w:marLeft w:val="480"/>
          <w:marRight w:val="0"/>
          <w:marTop w:val="0"/>
          <w:marBottom w:val="0"/>
          <w:divBdr>
            <w:top w:val="none" w:sz="0" w:space="0" w:color="auto"/>
            <w:left w:val="none" w:sz="0" w:space="0" w:color="auto"/>
            <w:bottom w:val="none" w:sz="0" w:space="0" w:color="auto"/>
            <w:right w:val="none" w:sz="0" w:space="0" w:color="auto"/>
          </w:divBdr>
        </w:div>
        <w:div w:id="1273975462">
          <w:marLeft w:val="480"/>
          <w:marRight w:val="0"/>
          <w:marTop w:val="0"/>
          <w:marBottom w:val="0"/>
          <w:divBdr>
            <w:top w:val="none" w:sz="0" w:space="0" w:color="auto"/>
            <w:left w:val="none" w:sz="0" w:space="0" w:color="auto"/>
            <w:bottom w:val="none" w:sz="0" w:space="0" w:color="auto"/>
            <w:right w:val="none" w:sz="0" w:space="0" w:color="auto"/>
          </w:divBdr>
        </w:div>
        <w:div w:id="958025864">
          <w:marLeft w:val="48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3BCF-A3E7-4140-AE77-57083EDD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18107</CharactersWithSpaces>
  <SharedDoc>false</SharedDoc>
  <HLinks>
    <vt:vector size="12" baseType="variant">
      <vt:variant>
        <vt:i4>4522006</vt:i4>
      </vt:variant>
      <vt:variant>
        <vt:i4>3</vt:i4>
      </vt:variant>
      <vt:variant>
        <vt:i4>0</vt:i4>
      </vt:variant>
      <vt:variant>
        <vt:i4>5</vt:i4>
      </vt:variant>
      <vt:variant>
        <vt:lpwstr>https://em.gov.lv/lv/Ministrija/sabiedribas_lidzdaliba/diskusiju_dokumenti/</vt:lpwstr>
      </vt:variant>
      <vt:variant>
        <vt:lpwstr/>
      </vt:variant>
      <vt:variant>
        <vt:i4>3473509</vt:i4>
      </vt:variant>
      <vt:variant>
        <vt:i4>0</vt:i4>
      </vt:variant>
      <vt:variant>
        <vt:i4>0</vt:i4>
      </vt:variant>
      <vt:variant>
        <vt:i4>5</vt:i4>
      </vt:variant>
      <vt:variant>
        <vt:lpwstr>http://tap.mk.gov.lv/doc/2005/EMAnot_080411_parvreg.1016.doc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Marta</cp:lastModifiedBy>
  <cp:revision>5</cp:revision>
  <cp:lastPrinted>2009-04-08T08:39:00Z</cp:lastPrinted>
  <dcterms:created xsi:type="dcterms:W3CDTF">2020-04-29T14:07:00Z</dcterms:created>
  <dcterms:modified xsi:type="dcterms:W3CDTF">2020-04-29T14:12:00Z</dcterms:modified>
</cp:coreProperties>
</file>