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2AF5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  <w:r w:rsidRPr="003D06D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  <w:t>MINISTRU KABINETA SĒDES PROTOKOLLĒMUMS</w:t>
      </w:r>
    </w:p>
    <w:p w14:paraId="6F02D5BA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</w:p>
    <w:p w14:paraId="5ACE251F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3D06D0" w:rsidRPr="003D06D0" w14:paraId="43490B98" w14:textId="77777777" w:rsidTr="00BA6031">
        <w:trPr>
          <w:cantSplit/>
          <w:jc w:val="center"/>
        </w:trPr>
        <w:tc>
          <w:tcPr>
            <w:tcW w:w="3786" w:type="dxa"/>
          </w:tcPr>
          <w:p w14:paraId="31730D79" w14:textId="77777777" w:rsidR="003D06D0" w:rsidRPr="003D06D0" w:rsidRDefault="003D06D0" w:rsidP="003D06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Rīgā</w:t>
            </w:r>
          </w:p>
        </w:tc>
        <w:tc>
          <w:tcPr>
            <w:tcW w:w="1067" w:type="dxa"/>
          </w:tcPr>
          <w:p w14:paraId="25D8B46C" w14:textId="77777777" w:rsidR="003D06D0" w:rsidRPr="003D06D0" w:rsidRDefault="003D06D0" w:rsidP="003D06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Nr.</w:t>
            </w:r>
          </w:p>
        </w:tc>
        <w:tc>
          <w:tcPr>
            <w:tcW w:w="4137" w:type="dxa"/>
          </w:tcPr>
          <w:p w14:paraId="058E686F" w14:textId="6696C51B" w:rsidR="003D06D0" w:rsidRPr="003D06D0" w:rsidRDefault="003D06D0" w:rsidP="003D06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20</w:t>
            </w:r>
            <w:r w:rsidR="00531C9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20</w:t>
            </w: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. gada _. _________</w:t>
            </w:r>
          </w:p>
        </w:tc>
      </w:tr>
    </w:tbl>
    <w:p w14:paraId="644E9292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</w:pPr>
    </w:p>
    <w:p w14:paraId="3559C867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</w:pPr>
      <w:r w:rsidRPr="003D06D0"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  <w:t>.§</w:t>
      </w:r>
    </w:p>
    <w:p w14:paraId="5069D755" w14:textId="77777777" w:rsidR="003D06D0" w:rsidRPr="003D06D0" w:rsidRDefault="003D06D0" w:rsidP="003D06D0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</w:pPr>
    </w:p>
    <w:p w14:paraId="115BD767" w14:textId="74D78855" w:rsidR="005235D1" w:rsidRPr="005235D1" w:rsidRDefault="005235D1" w:rsidP="005235D1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sz w:val="28"/>
          <w:szCs w:val="28"/>
        </w:rPr>
      </w:pPr>
      <w:r w:rsidRPr="005235D1">
        <w:rPr>
          <w:rFonts w:ascii="Times New Roman" w:hAnsi="Times New Roman"/>
          <w:b/>
          <w:bCs/>
          <w:iCs/>
          <w:noProof/>
          <w:sz w:val="28"/>
          <w:szCs w:val="28"/>
        </w:rPr>
        <w:t>Par Ekonomiskās sadarbības un attīstības organizācijas (OECD)</w:t>
      </w:r>
    </w:p>
    <w:p w14:paraId="0B635713" w14:textId="0B96119A" w:rsidR="005235D1" w:rsidRPr="005235D1" w:rsidRDefault="005235D1" w:rsidP="005235D1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sz w:val="28"/>
          <w:szCs w:val="28"/>
        </w:rPr>
      </w:pPr>
      <w:r w:rsidRPr="005235D1">
        <w:rPr>
          <w:rFonts w:ascii="Times New Roman" w:hAnsi="Times New Roman"/>
          <w:b/>
          <w:bCs/>
          <w:iCs/>
          <w:noProof/>
          <w:sz w:val="28"/>
          <w:szCs w:val="28"/>
        </w:rPr>
        <w:t>sagatavotajā gala ziņojumā “Tiesiskums komercdarbībai un</w:t>
      </w:r>
    </w:p>
    <w:p w14:paraId="7D102068" w14:textId="172E0A01" w:rsidR="005235D1" w:rsidRPr="005235D1" w:rsidRDefault="005235D1" w:rsidP="005235D1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sz w:val="28"/>
          <w:szCs w:val="28"/>
        </w:rPr>
      </w:pPr>
      <w:r w:rsidRPr="005235D1">
        <w:rPr>
          <w:rFonts w:ascii="Times New Roman" w:hAnsi="Times New Roman"/>
          <w:b/>
          <w:bCs/>
          <w:iCs/>
          <w:noProof/>
          <w:sz w:val="28"/>
          <w:szCs w:val="28"/>
        </w:rPr>
        <w:t>iekļaujošai izaugsmei Latvijā” ietverto rekomendāciju iekļaušanu</w:t>
      </w:r>
    </w:p>
    <w:p w14:paraId="6EB831EF" w14:textId="77777777" w:rsidR="005235D1" w:rsidRPr="005235D1" w:rsidRDefault="005235D1" w:rsidP="005235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235D1">
        <w:rPr>
          <w:rFonts w:ascii="Times New Roman" w:hAnsi="Times New Roman"/>
          <w:b/>
          <w:bCs/>
          <w:iCs/>
          <w:sz w:val="28"/>
          <w:szCs w:val="28"/>
        </w:rPr>
        <w:t>“Uzņēmējdarbības vides pilnveidošanas pasākumu plāns 2019. – 2022.gadam”</w:t>
      </w:r>
    </w:p>
    <w:p w14:paraId="28FC1BBC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C0BE0E" w14:textId="60F2A51D" w:rsidR="003D06D0" w:rsidRPr="00E863E1" w:rsidRDefault="003D06D0" w:rsidP="00B13DF2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D06D0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Pieņemt iesniegto </w:t>
      </w:r>
      <w:r w:rsidR="004851D2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informāciju par </w:t>
      </w:r>
      <w:r w:rsidR="004851D2" w:rsidRPr="004851D2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Ekonomiskās sadarbības un attīstības organizācijas (OECD) sagatavotajā gala ziņojumā “Tiesiskums komercdarbībai un iekļaujošai izaugsmei Latvijā” ietvert</w:t>
      </w:r>
      <w:r w:rsidR="004851D2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o</w:t>
      </w:r>
      <w:r w:rsidR="004851D2" w:rsidRPr="004851D2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rekomendāci</w:t>
      </w:r>
      <w:r w:rsidR="004851D2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ju ieviešanu un to iekļaušanu Uzņēmējdarbības vides pilnveidošanas pasākumu plānā 2019.-2022.gadam</w:t>
      </w:r>
      <w:r w:rsidR="00E863E1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:</w:t>
      </w:r>
    </w:p>
    <w:p w14:paraId="0758EFF8" w14:textId="5A6D48F1" w:rsidR="0008274B" w:rsidRPr="00012721" w:rsidRDefault="0008274B" w:rsidP="0008274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1272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E</w:t>
      </w:r>
      <w:r w:rsidR="0059665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konomikas ministrija</w:t>
      </w:r>
      <w:r w:rsidRPr="0001272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izvērtē un sagatavo uzņēmējiem svarīgāko  normatīvo aktu sarakstu, kuriem būtu nepieciešams tulkojums angļu valodā. </w:t>
      </w:r>
      <w:r w:rsidR="0059665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Gadījumā, j</w:t>
      </w:r>
      <w:r w:rsidRPr="0001272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a tulkojums nav pieejams, E</w:t>
      </w:r>
      <w:r w:rsidR="0059665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konomikas ministrija</w:t>
      </w:r>
      <w:r w:rsidRPr="0001272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sagatavo </w:t>
      </w:r>
      <w:r w:rsidR="0059665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tulkojuma </w:t>
      </w:r>
      <w:r w:rsidR="00596655" w:rsidRPr="0001272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pieprasījumu </w:t>
      </w:r>
      <w:r w:rsidRPr="0001272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Valsts valodas centram. </w:t>
      </w:r>
    </w:p>
    <w:p w14:paraId="442B649F" w14:textId="02ECFEFF" w:rsidR="00C22281" w:rsidRPr="008852DD" w:rsidRDefault="00596655" w:rsidP="0008274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Ievērojot</w:t>
      </w:r>
      <w:r w:rsidR="0008274B" w:rsidRPr="0001272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identificēto, uzņēmējiem</w:t>
      </w:r>
      <w:r w:rsidR="0008274B" w:rsidRPr="0008274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svarīgāko normatīvo aktu sarakstu, turpmāk pie izmaiņām normatīvajos aktos </w:t>
      </w:r>
      <w:r w:rsidR="0008274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atbildīgās </w:t>
      </w:r>
      <w:r w:rsidR="0008274B" w:rsidRPr="0008274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iestādes patstāvīgi nodrošina tulkojumu p</w:t>
      </w:r>
      <w:r w:rsidR="0008274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ie</w:t>
      </w:r>
      <w:r w:rsidR="0008274B" w:rsidRPr="0008274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prasījumu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V</w:t>
      </w:r>
      <w:r w:rsidR="0008274B" w:rsidRPr="0008274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alsts valodas centram</w:t>
      </w:r>
      <w:r w:rsidR="00761DD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761DDD" w:rsidRPr="0088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iztulkoto </w:t>
      </w:r>
      <w:r w:rsidR="0008274B" w:rsidRPr="0088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DDD" w:rsidRPr="008852DD">
        <w:rPr>
          <w:rFonts w:ascii="Times New Roman" w:hAnsi="Times New Roman" w:cs="Times New Roman"/>
          <w:sz w:val="28"/>
          <w:szCs w:val="28"/>
          <w:shd w:val="clear" w:color="auto" w:fill="FFFFFF"/>
        </w:rPr>
        <w:t>materiālu nodod Kultūras informācijas sistēm</w:t>
      </w:r>
      <w:r w:rsidR="00E756D0" w:rsidRPr="008852DD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761DDD" w:rsidRPr="0088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centram mašīntulkošanas atmiņas attīstīšanai. </w:t>
      </w:r>
      <w:r w:rsidR="0008274B" w:rsidRPr="0088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F481937" w14:textId="04F37883" w:rsidR="003D06D0" w:rsidRPr="00012721" w:rsidRDefault="00012721" w:rsidP="0001272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1272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Tieslietu ministrija izvērtē un sagatavo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01272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ieteikumus turpmāk plānotajai rīcībai  rekomendācijas ieviešanai par Uzņēmumu reģistra un citu Tieslietu ministrijas pārziņā esošo valsts pārvaldes pakalpojumu plašāka pieejamību tiešsaistē.</w:t>
      </w:r>
    </w:p>
    <w:p w14:paraId="6817E578" w14:textId="0F8A0418" w:rsidR="00DF616F" w:rsidRPr="00875566" w:rsidRDefault="00DF616F" w:rsidP="00B13DF2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Ekonomikas ministrijai līdz </w:t>
      </w:r>
      <w:r w:rsidR="00012721" w:rsidRPr="0001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2020.gada 31.decembrim </w:t>
      </w:r>
      <w:r w:rsidRPr="00012721">
        <w:rPr>
          <w:rFonts w:ascii="Times New Roman" w:hAnsi="Times New Roman" w:cs="Times New Roman"/>
          <w:sz w:val="28"/>
          <w:szCs w:val="28"/>
          <w:shd w:val="clear" w:color="auto" w:fill="FFFFFF"/>
        </w:rPr>
        <w:t>veikt grozījumus</w:t>
      </w:r>
      <w:r w:rsidR="0059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Ministru kabineta 2019.gada 22.maija rīkojumā Nr.247</w:t>
      </w:r>
      <w:r w:rsidR="00531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2721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596655" w:rsidRPr="0059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</w:t>
      </w:r>
      <w:r w:rsidR="00596655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>Uzņēmējdarbības vides pilnveidošanas pasākumu plānu 2019.-2022. gadam</w:t>
      </w:r>
      <w:r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C22281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3E1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iekļaujot </w:t>
      </w:r>
      <w:bookmarkStart w:id="0" w:name="_Hlk33777662"/>
      <w:r w:rsidR="00012721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>1.1., 1.2., un 1.</w:t>
      </w:r>
      <w:r w:rsidR="00041184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12721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63E1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apakšpunktā minētos pasākumus</w:t>
      </w:r>
      <w:bookmarkEnd w:id="0"/>
      <w:r w:rsidR="00E863E1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FE42577" w14:textId="06BD3D69" w:rsidR="003A5945" w:rsidRPr="00875566" w:rsidRDefault="004D3A76" w:rsidP="00531C91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</w:t>
      </w:r>
      <w:r w:rsidR="001E7454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1.1., 1.2., un 1.3. apakšpunktā minēto pasākumu progresu uzraudzību nodrošināt Ekonomikas ministrijai, savukārt par kopējo </w:t>
      </w:r>
      <w:r w:rsidR="00531C91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Ekonomiskās sadarbības un attīstības organizācijas (OECD) sagatavotajā gala ziņojumā “Tiesiskums komercdarbībai un iekļaujošai </w:t>
      </w:r>
      <w:r w:rsidR="00531C91"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izaugsmei Latvijā” ietverto rekomendāciju </w:t>
      </w:r>
      <w:r w:rsidRPr="0087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izpildes progresu uzraudzību nodrošināt Pārresoru koordinācijas centram. </w:t>
      </w:r>
    </w:p>
    <w:p w14:paraId="626EE51D" w14:textId="77777777" w:rsidR="003D06D0" w:rsidRPr="003D06D0" w:rsidRDefault="003D06D0" w:rsidP="0057089B">
      <w:pPr>
        <w:spacing w:after="0" w:line="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</w:p>
    <w:p w14:paraId="5358694B" w14:textId="77777777" w:rsidR="003D06D0" w:rsidRDefault="00DB5895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Ministru prezidents</w:t>
      </w: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A.K.Kariņš</w:t>
      </w:r>
    </w:p>
    <w:p w14:paraId="01CC4156" w14:textId="77777777" w:rsidR="00DB5895" w:rsidRPr="003D06D0" w:rsidRDefault="00DB5895" w:rsidP="003D06D0">
      <w:pPr>
        <w:spacing w:after="120" w:line="25" w:lineRule="atLeast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</w:p>
    <w:p w14:paraId="13F3209D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>Valsts kancelejas direktors</w:t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="00DB5895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>J. Citskovskis</w:t>
      </w:r>
    </w:p>
    <w:p w14:paraId="7136EC7E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631B9D3A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Iesniedzējs:</w:t>
      </w:r>
    </w:p>
    <w:p w14:paraId="356B92DC" w14:textId="107AE990" w:rsidR="00630DF7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Ekonomikas ministr</w:t>
      </w:r>
      <w:r w:rsidR="00994DBD">
        <w:rPr>
          <w:rFonts w:ascii="Times New Roman" w:eastAsia="Calibri" w:hAnsi="Times New Roman" w:cs="Times New Roman"/>
          <w:sz w:val="28"/>
          <w:szCs w:val="28"/>
          <w:lang w:bidi="lo-LA"/>
        </w:rPr>
        <w:t>s</w:t>
      </w:r>
      <w:r w:rsidR="00DD1396">
        <w:rPr>
          <w:rFonts w:ascii="Times New Roman" w:eastAsia="Calibri" w:hAnsi="Times New Roman" w:cs="Times New Roman"/>
          <w:sz w:val="28"/>
          <w:szCs w:val="28"/>
          <w:lang w:bidi="lo-LA"/>
        </w:rPr>
        <w:t xml:space="preserve"> </w:t>
      </w:r>
      <w:r w:rsidR="00994DBD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994DBD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994DBD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994DBD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994DBD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994DBD">
        <w:rPr>
          <w:rFonts w:ascii="Times New Roman" w:eastAsia="Calibri" w:hAnsi="Times New Roman" w:cs="Times New Roman"/>
          <w:sz w:val="28"/>
          <w:szCs w:val="28"/>
          <w:lang w:bidi="lo-LA"/>
        </w:rPr>
        <w:tab/>
        <w:t xml:space="preserve">J.Vitenbergs </w:t>
      </w:r>
      <w:r w:rsidR="00DD1396">
        <w:rPr>
          <w:rFonts w:ascii="Times New Roman" w:eastAsia="Calibri" w:hAnsi="Times New Roman" w:cs="Times New Roman"/>
          <w:sz w:val="28"/>
          <w:szCs w:val="28"/>
          <w:lang w:bidi="lo-LA"/>
        </w:rPr>
        <w:t xml:space="preserve"> </w:t>
      </w:r>
    </w:p>
    <w:p w14:paraId="7AEDE520" w14:textId="77777777" w:rsidR="00630DF7" w:rsidRPr="00630DF7" w:rsidRDefault="00630DF7" w:rsidP="00630DF7">
      <w:pPr>
        <w:pStyle w:val="ListParagraph"/>
        <w:spacing w:after="120" w:line="25" w:lineRule="atLeast"/>
        <w:ind w:left="3960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137BE959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Vīza:</w:t>
      </w:r>
    </w:p>
    <w:p w14:paraId="333D2AB5" w14:textId="77777777" w:rsidR="007247AD" w:rsidRDefault="003D06D0" w:rsidP="007247AD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Valsts sekretār</w:t>
      </w:r>
      <w:r w:rsidR="007247AD">
        <w:rPr>
          <w:rFonts w:ascii="Times New Roman" w:eastAsia="Calibri" w:hAnsi="Times New Roman" w:cs="Times New Roman"/>
          <w:sz w:val="28"/>
          <w:szCs w:val="28"/>
          <w:lang w:bidi="lo-LA"/>
        </w:rPr>
        <w:t>a p.i.,</w:t>
      </w:r>
    </w:p>
    <w:p w14:paraId="13B3C464" w14:textId="6F60B458" w:rsidR="003D06D0" w:rsidRPr="003D06D0" w:rsidRDefault="007247AD" w:rsidP="007247AD">
      <w:pPr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>
        <w:rPr>
          <w:rFonts w:ascii="Times New Roman" w:eastAsia="Calibri" w:hAnsi="Times New Roman" w:cs="Times New Roman"/>
          <w:sz w:val="28"/>
          <w:szCs w:val="28"/>
          <w:lang w:bidi="lo-LA"/>
        </w:rPr>
        <w:t xml:space="preserve">Valsts sekretāra vietnieks </w:t>
      </w:r>
      <w:r w:rsidR="003D06D0"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 xml:space="preserve"> </w:t>
      </w:r>
      <w:r w:rsidR="003D06D0"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  <w:t xml:space="preserve">E.Valantis </w:t>
      </w:r>
      <w:r w:rsidR="003D06D0"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3D06D0"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3D06D0"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3D06D0"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3D06D0"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</w:p>
    <w:p w14:paraId="44DD310A" w14:textId="77777777" w:rsidR="003D06D0" w:rsidRDefault="003D06D0">
      <w:bookmarkStart w:id="1" w:name="_GoBack"/>
      <w:bookmarkEnd w:id="1"/>
    </w:p>
    <w:sectPr w:rsidR="003D06D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310F" w14:textId="77777777" w:rsidR="006D69A9" w:rsidRDefault="006D69A9" w:rsidP="00B13DF2">
      <w:pPr>
        <w:spacing w:after="0" w:line="240" w:lineRule="auto"/>
      </w:pPr>
      <w:r>
        <w:separator/>
      </w:r>
    </w:p>
  </w:endnote>
  <w:endnote w:type="continuationSeparator" w:id="0">
    <w:p w14:paraId="56C00FF5" w14:textId="77777777" w:rsidR="006D69A9" w:rsidRDefault="006D69A9" w:rsidP="00B1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75D5" w14:textId="17543238" w:rsidR="00B13DF2" w:rsidRPr="00B13DF2" w:rsidRDefault="00B13DF2">
    <w:pPr>
      <w:pStyle w:val="Footer"/>
      <w:rPr>
        <w:rFonts w:ascii="Times New Roman" w:hAnsi="Times New Roman" w:cs="Times New Roman"/>
        <w:sz w:val="20"/>
        <w:szCs w:val="20"/>
      </w:rPr>
    </w:pPr>
    <w:r w:rsidRPr="00B13DF2">
      <w:rPr>
        <w:rFonts w:ascii="Times New Roman" w:hAnsi="Times New Roman" w:cs="Times New Roman"/>
        <w:sz w:val="20"/>
        <w:szCs w:val="20"/>
      </w:rPr>
      <w:t>EMProt_</w:t>
    </w:r>
    <w:r w:rsidR="0091039B">
      <w:rPr>
        <w:rFonts w:ascii="Times New Roman" w:hAnsi="Times New Roman" w:cs="Times New Roman"/>
        <w:sz w:val="20"/>
        <w:szCs w:val="20"/>
      </w:rPr>
      <w:t>300320</w:t>
    </w:r>
    <w:r w:rsidRPr="00B13DF2">
      <w:rPr>
        <w:rFonts w:ascii="Times New Roman" w:hAnsi="Times New Roman" w:cs="Times New Roman"/>
        <w:sz w:val="20"/>
        <w:szCs w:val="20"/>
      </w:rPr>
      <w:t>_</w:t>
    </w:r>
    <w:r w:rsidR="00C22281">
      <w:rPr>
        <w:rFonts w:ascii="Times New Roman" w:hAnsi="Times New Roman" w:cs="Times New Roman"/>
        <w:sz w:val="20"/>
        <w:szCs w:val="20"/>
      </w:rPr>
      <w:t>OECDrek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F708" w14:textId="77777777" w:rsidR="006D69A9" w:rsidRDefault="006D69A9" w:rsidP="00B13DF2">
      <w:pPr>
        <w:spacing w:after="0" w:line="240" w:lineRule="auto"/>
      </w:pPr>
      <w:r>
        <w:separator/>
      </w:r>
    </w:p>
  </w:footnote>
  <w:footnote w:type="continuationSeparator" w:id="0">
    <w:p w14:paraId="106DC35C" w14:textId="77777777" w:rsidR="006D69A9" w:rsidRDefault="006D69A9" w:rsidP="00B1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41"/>
    <w:multiLevelType w:val="multilevel"/>
    <w:tmpl w:val="F7EA6554"/>
    <w:lvl w:ilvl="0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22" w:hanging="2160"/>
      </w:pPr>
      <w:rPr>
        <w:rFonts w:eastAsia="Times New Roman" w:hint="default"/>
        <w:color w:val="auto"/>
      </w:rPr>
    </w:lvl>
  </w:abstractNum>
  <w:abstractNum w:abstractNumId="1" w15:restartNumberingAfterBreak="0">
    <w:nsid w:val="0DDC6F15"/>
    <w:multiLevelType w:val="hybridMultilevel"/>
    <w:tmpl w:val="E9B2D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58DA"/>
    <w:multiLevelType w:val="hybridMultilevel"/>
    <w:tmpl w:val="BCB05786"/>
    <w:lvl w:ilvl="0" w:tplc="9BF0DA5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D0"/>
    <w:rsid w:val="00012721"/>
    <w:rsid w:val="00041184"/>
    <w:rsid w:val="0008274B"/>
    <w:rsid w:val="000A440D"/>
    <w:rsid w:val="000A76C3"/>
    <w:rsid w:val="0016197B"/>
    <w:rsid w:val="001E7454"/>
    <w:rsid w:val="0027318E"/>
    <w:rsid w:val="003728D7"/>
    <w:rsid w:val="003A5945"/>
    <w:rsid w:val="003A7AFF"/>
    <w:rsid w:val="003C4C42"/>
    <w:rsid w:val="003D06D0"/>
    <w:rsid w:val="00433749"/>
    <w:rsid w:val="0048143C"/>
    <w:rsid w:val="004851D2"/>
    <w:rsid w:val="004A03D9"/>
    <w:rsid w:val="004D3A76"/>
    <w:rsid w:val="004E5A2B"/>
    <w:rsid w:val="005235D1"/>
    <w:rsid w:val="00531C91"/>
    <w:rsid w:val="0057089B"/>
    <w:rsid w:val="00596655"/>
    <w:rsid w:val="00626BC3"/>
    <w:rsid w:val="00630DF7"/>
    <w:rsid w:val="00692BCF"/>
    <w:rsid w:val="006D69A9"/>
    <w:rsid w:val="007247AD"/>
    <w:rsid w:val="00761DDD"/>
    <w:rsid w:val="00790610"/>
    <w:rsid w:val="00796465"/>
    <w:rsid w:val="00857413"/>
    <w:rsid w:val="00875566"/>
    <w:rsid w:val="008852DD"/>
    <w:rsid w:val="0091039B"/>
    <w:rsid w:val="009361E2"/>
    <w:rsid w:val="00994DBD"/>
    <w:rsid w:val="009C4B75"/>
    <w:rsid w:val="009E71A0"/>
    <w:rsid w:val="00A16CF8"/>
    <w:rsid w:val="00A7156E"/>
    <w:rsid w:val="00A91578"/>
    <w:rsid w:val="00AE34BF"/>
    <w:rsid w:val="00B13DF2"/>
    <w:rsid w:val="00B90BFC"/>
    <w:rsid w:val="00BA43E2"/>
    <w:rsid w:val="00C22281"/>
    <w:rsid w:val="00C27F68"/>
    <w:rsid w:val="00C606C7"/>
    <w:rsid w:val="00D74636"/>
    <w:rsid w:val="00D9495E"/>
    <w:rsid w:val="00DB1AE1"/>
    <w:rsid w:val="00DB5895"/>
    <w:rsid w:val="00DD1396"/>
    <w:rsid w:val="00DF44C3"/>
    <w:rsid w:val="00DF616F"/>
    <w:rsid w:val="00E756D0"/>
    <w:rsid w:val="00E863E1"/>
    <w:rsid w:val="00ED7F0F"/>
    <w:rsid w:val="00E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AFF0F"/>
  <w15:chartTrackingRefBased/>
  <w15:docId w15:val="{C87BC449-3658-4C29-B329-E123309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F2"/>
  </w:style>
  <w:style w:type="paragraph" w:styleId="Footer">
    <w:name w:val="footer"/>
    <w:basedOn w:val="Normal"/>
    <w:link w:val="FooterChar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F2"/>
  </w:style>
  <w:style w:type="character" w:styleId="CommentReference">
    <w:name w:val="annotation reference"/>
    <w:basedOn w:val="DefaultParagraphFont"/>
    <w:uiPriority w:val="99"/>
    <w:semiHidden/>
    <w:unhideWhenUsed/>
    <w:rsid w:val="00372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4" ma:contentTypeDescription="Izveidot jaunu dokumentu." ma:contentTypeScope="" ma:versionID="28b4e8511d7fb75e57556e4a224f2430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904f61bc2fd6a73cdfdb66ac289d3855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3FC4F-289A-4E75-89A0-E09AAD09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995B3-3ABA-42F5-BA07-887D8F8FFCB9}">
  <ds:schemaRefs>
    <ds:schemaRef ds:uri="http://schemas.microsoft.com/office/2006/metadata/properties"/>
    <ds:schemaRef ds:uri="http://schemas.microsoft.com/office/infopath/2007/PartnerControls"/>
    <ds:schemaRef ds:uri="625d95d3-8e48-4580-80b6-232a158d6bc7"/>
  </ds:schemaRefs>
</ds:datastoreItem>
</file>

<file path=customXml/itemProps3.xml><?xml version="1.0" encoding="utf-8"?>
<ds:datastoreItem xmlns:ds="http://schemas.openxmlformats.org/officeDocument/2006/customXml" ds:itemID="{62BB8590-CE0A-4F74-A1A2-6966BB5C6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Baltābola</dc:creator>
  <cp:keywords/>
  <dc:description/>
  <cp:lastModifiedBy>Haralds Skarbnieks</cp:lastModifiedBy>
  <cp:revision>11</cp:revision>
  <cp:lastPrinted>2019-11-29T13:46:00Z</cp:lastPrinted>
  <dcterms:created xsi:type="dcterms:W3CDTF">2019-11-29T13:59:00Z</dcterms:created>
  <dcterms:modified xsi:type="dcterms:W3CDTF">2020-04-06T07:13:00Z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