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9C9F9" w14:textId="77777777" w:rsidR="00A46357" w:rsidRPr="00A46357" w:rsidRDefault="00A46357">
      <w:pPr>
        <w:rPr>
          <w:i/>
          <w:sz w:val="32"/>
          <w:szCs w:val="32"/>
        </w:rPr>
      </w:pPr>
    </w:p>
    <w:p w14:paraId="38141980" w14:textId="77777777" w:rsidR="00A46357" w:rsidRPr="00A46357" w:rsidRDefault="00A46357">
      <w:pPr>
        <w:rPr>
          <w:i/>
          <w:sz w:val="32"/>
          <w:szCs w:val="32"/>
        </w:rPr>
      </w:pPr>
    </w:p>
    <w:p w14:paraId="38FEC8BF" w14:textId="77777777" w:rsidR="00A46357" w:rsidRPr="00A46357" w:rsidRDefault="00A46357">
      <w:pPr>
        <w:rPr>
          <w:i/>
          <w:sz w:val="32"/>
          <w:szCs w:val="32"/>
        </w:rPr>
      </w:pPr>
      <w:bookmarkStart w:id="0" w:name="_Hlk30971357"/>
    </w:p>
    <w:p w14:paraId="346D6D1F" w14:textId="77777777" w:rsidR="00A46357" w:rsidRPr="00A46357" w:rsidRDefault="00A46357">
      <w:pPr>
        <w:rPr>
          <w:i/>
          <w:sz w:val="32"/>
          <w:szCs w:val="32"/>
        </w:rPr>
      </w:pPr>
    </w:p>
    <w:p w14:paraId="16A38C59" w14:textId="31FF0B40" w:rsidR="005F086D" w:rsidRDefault="005F086D" w:rsidP="00E04B0D">
      <w:pPr>
        <w:pStyle w:val="ListParagraph"/>
        <w:spacing w:after="120"/>
        <w:ind w:left="0"/>
        <w:jc w:val="center"/>
        <w:rPr>
          <w:b/>
          <w:sz w:val="32"/>
          <w:szCs w:val="32"/>
        </w:rPr>
      </w:pPr>
      <w:bookmarkStart w:id="1" w:name="_Hlk33699785"/>
      <w:bookmarkStart w:id="2" w:name="_Hlk33698799"/>
      <w:r w:rsidRPr="005F086D">
        <w:rPr>
          <w:b/>
          <w:sz w:val="32"/>
          <w:szCs w:val="32"/>
        </w:rPr>
        <w:t xml:space="preserve">Informatīvais ziņojums </w:t>
      </w:r>
    </w:p>
    <w:p w14:paraId="7C8AB3A9" w14:textId="77777777" w:rsidR="00E04B0D" w:rsidRDefault="005F086D" w:rsidP="00E04B0D">
      <w:pPr>
        <w:pStyle w:val="ListParagraph"/>
        <w:ind w:left="0"/>
        <w:jc w:val="center"/>
        <w:rPr>
          <w:b/>
          <w:sz w:val="32"/>
          <w:szCs w:val="32"/>
        </w:rPr>
      </w:pPr>
      <w:r>
        <w:rPr>
          <w:b/>
          <w:sz w:val="32"/>
          <w:szCs w:val="32"/>
        </w:rPr>
        <w:t>P</w:t>
      </w:r>
      <w:r w:rsidRPr="005F086D">
        <w:rPr>
          <w:b/>
          <w:sz w:val="32"/>
          <w:szCs w:val="32"/>
        </w:rPr>
        <w:t>ar 4.2.1.1.</w:t>
      </w:r>
      <w:bookmarkStart w:id="3" w:name="_Hlk34901925"/>
      <w:r w:rsidRPr="005F086D">
        <w:rPr>
          <w:b/>
          <w:sz w:val="32"/>
          <w:szCs w:val="32"/>
        </w:rPr>
        <w:t xml:space="preserve">pasākuma </w:t>
      </w:r>
    </w:p>
    <w:p w14:paraId="617A1E2F" w14:textId="0EA3950D" w:rsidR="00E04B0D" w:rsidRDefault="00E04B0D" w:rsidP="00E04B0D">
      <w:pPr>
        <w:pStyle w:val="ListParagraph"/>
        <w:ind w:left="0"/>
        <w:jc w:val="center"/>
        <w:rPr>
          <w:b/>
          <w:sz w:val="32"/>
          <w:szCs w:val="32"/>
        </w:rPr>
      </w:pPr>
      <w:r w:rsidRPr="00E04B0D">
        <w:rPr>
          <w:b/>
          <w:sz w:val="32"/>
          <w:szCs w:val="32"/>
        </w:rPr>
        <w:t>"Veicināt energoefektivitātes</w:t>
      </w:r>
      <w:r>
        <w:rPr>
          <w:b/>
          <w:sz w:val="32"/>
          <w:szCs w:val="32"/>
        </w:rPr>
        <w:t xml:space="preserve"> </w:t>
      </w:r>
      <w:r w:rsidRPr="00E04B0D">
        <w:rPr>
          <w:b/>
          <w:sz w:val="32"/>
          <w:szCs w:val="32"/>
        </w:rPr>
        <w:t>paaugstināšanu dzīvojamās ēkās"</w:t>
      </w:r>
      <w:r>
        <w:rPr>
          <w:b/>
          <w:sz w:val="32"/>
          <w:szCs w:val="32"/>
        </w:rPr>
        <w:t xml:space="preserve"> </w:t>
      </w:r>
    </w:p>
    <w:bookmarkEnd w:id="3"/>
    <w:p w14:paraId="6B8F90B4" w14:textId="3499DD87" w:rsidR="00E04B0D" w:rsidRDefault="005F086D" w:rsidP="00E04B0D">
      <w:pPr>
        <w:pStyle w:val="ListParagraph"/>
        <w:ind w:left="0"/>
        <w:jc w:val="center"/>
        <w:rPr>
          <w:b/>
          <w:sz w:val="32"/>
          <w:szCs w:val="32"/>
        </w:rPr>
      </w:pPr>
      <w:r w:rsidRPr="005F086D">
        <w:rPr>
          <w:b/>
          <w:sz w:val="32"/>
          <w:szCs w:val="32"/>
        </w:rPr>
        <w:t>ieviešanai</w:t>
      </w:r>
      <w:r w:rsidR="00E04B0D">
        <w:rPr>
          <w:b/>
          <w:sz w:val="32"/>
          <w:szCs w:val="32"/>
        </w:rPr>
        <w:t xml:space="preserve"> </w:t>
      </w:r>
      <w:r w:rsidRPr="005F086D">
        <w:rPr>
          <w:b/>
          <w:sz w:val="32"/>
          <w:szCs w:val="32"/>
        </w:rPr>
        <w:t xml:space="preserve">turpmāk nepieciešamo finansējumu </w:t>
      </w:r>
    </w:p>
    <w:p w14:paraId="45122725" w14:textId="5F20F6A9" w:rsidR="00E04B0D" w:rsidRDefault="00E04B0D" w:rsidP="00E04B0D">
      <w:pPr>
        <w:pStyle w:val="ListParagraph"/>
        <w:ind w:left="0"/>
        <w:jc w:val="center"/>
        <w:rPr>
          <w:b/>
          <w:sz w:val="32"/>
          <w:szCs w:val="32"/>
        </w:rPr>
      </w:pPr>
      <w:r w:rsidRPr="00E04B0D">
        <w:rPr>
          <w:b/>
          <w:sz w:val="32"/>
          <w:szCs w:val="32"/>
        </w:rPr>
        <w:t xml:space="preserve">akciju sabiedrības "Attīstības finanšu institūcija </w:t>
      </w:r>
      <w:proofErr w:type="spellStart"/>
      <w:r w:rsidRPr="00E04B0D">
        <w:rPr>
          <w:b/>
          <w:sz w:val="32"/>
          <w:szCs w:val="32"/>
        </w:rPr>
        <w:t>Altum</w:t>
      </w:r>
      <w:proofErr w:type="spellEnd"/>
      <w:r w:rsidRPr="00E04B0D">
        <w:rPr>
          <w:b/>
          <w:sz w:val="32"/>
          <w:szCs w:val="32"/>
        </w:rPr>
        <w:t>"</w:t>
      </w:r>
      <w:r>
        <w:rPr>
          <w:b/>
          <w:sz w:val="32"/>
          <w:szCs w:val="32"/>
        </w:rPr>
        <w:t xml:space="preserve"> </w:t>
      </w:r>
    </w:p>
    <w:p w14:paraId="02DE4C48" w14:textId="6604BF04" w:rsidR="005F086D" w:rsidRDefault="005F086D" w:rsidP="00E04B0D">
      <w:pPr>
        <w:pStyle w:val="ListParagraph"/>
        <w:ind w:left="0"/>
        <w:jc w:val="center"/>
        <w:rPr>
          <w:b/>
          <w:sz w:val="32"/>
          <w:szCs w:val="32"/>
        </w:rPr>
      </w:pPr>
      <w:r w:rsidRPr="005F086D">
        <w:rPr>
          <w:b/>
          <w:sz w:val="32"/>
          <w:szCs w:val="32"/>
        </w:rPr>
        <w:t>vadības izmaksu un maksas par izmantoto kapitālu segšanai</w:t>
      </w:r>
      <w:r w:rsidR="00E04B0D">
        <w:rPr>
          <w:b/>
          <w:sz w:val="32"/>
          <w:szCs w:val="32"/>
        </w:rPr>
        <w:t xml:space="preserve"> </w:t>
      </w:r>
    </w:p>
    <w:bookmarkEnd w:id="1"/>
    <w:p w14:paraId="0D4409C7" w14:textId="77777777" w:rsidR="005F086D" w:rsidRDefault="005F086D" w:rsidP="00A46357">
      <w:pPr>
        <w:pStyle w:val="ListParagraph"/>
        <w:ind w:left="0"/>
        <w:jc w:val="center"/>
        <w:rPr>
          <w:b/>
          <w:sz w:val="32"/>
          <w:szCs w:val="32"/>
        </w:rPr>
      </w:pPr>
    </w:p>
    <w:bookmarkEnd w:id="2"/>
    <w:p w14:paraId="483AF8BE" w14:textId="19657129" w:rsidR="00F64956" w:rsidRDefault="00F64956" w:rsidP="00A46357">
      <w:pPr>
        <w:pStyle w:val="ListParagraph"/>
        <w:ind w:left="0"/>
        <w:jc w:val="center"/>
        <w:rPr>
          <w:b/>
          <w:sz w:val="32"/>
          <w:szCs w:val="32"/>
        </w:rPr>
      </w:pPr>
    </w:p>
    <w:p w14:paraId="4CE64EEE" w14:textId="77777777" w:rsidR="00A46357" w:rsidRDefault="00A46357">
      <w:pPr>
        <w:rPr>
          <w:i/>
        </w:rPr>
      </w:pPr>
    </w:p>
    <w:bookmarkEnd w:id="0"/>
    <w:p w14:paraId="4B968D5B" w14:textId="25350A83" w:rsidR="00A46357" w:rsidRDefault="00A46357">
      <w:pPr>
        <w:rPr>
          <w:rFonts w:eastAsia="Calibri"/>
          <w:i/>
        </w:rPr>
      </w:pPr>
      <w:r>
        <w:rPr>
          <w:i/>
        </w:rPr>
        <w:br w:type="page"/>
      </w:r>
    </w:p>
    <w:p w14:paraId="19892561" w14:textId="03F18105" w:rsidR="005C36A5" w:rsidRPr="00686815" w:rsidRDefault="00E04B0D" w:rsidP="000F44D3">
      <w:pPr>
        <w:spacing w:after="120"/>
        <w:ind w:firstLine="284"/>
        <w:jc w:val="both"/>
      </w:pPr>
      <w:bookmarkStart w:id="4" w:name="_Hlk33700009"/>
      <w:r>
        <w:lastRenderedPageBreak/>
        <w:t xml:space="preserve">Informatīvais ziņojums “Par 4.2.1.1.pasākuma "Veicināt energoefektivitātes paaugstināšanu dzīvojamās ēkās" ieviešanai turpmāk nepieciešamo finansējumu akciju sabiedrības "Attīstības finanšu institūcija </w:t>
      </w:r>
      <w:proofErr w:type="spellStart"/>
      <w:r>
        <w:t>Altum</w:t>
      </w:r>
      <w:proofErr w:type="spellEnd"/>
      <w:r>
        <w:t xml:space="preserve">" vadības izmaksu un maksas par izmantoto kapitālu segšanai” </w:t>
      </w:r>
      <w:bookmarkEnd w:id="4"/>
      <w:r w:rsidR="005C36A5">
        <w:t xml:space="preserve">sagatavots saskaņā </w:t>
      </w:r>
      <w:bookmarkStart w:id="5" w:name="_Hlk23926541"/>
      <w:r w:rsidR="005C36A5">
        <w:t>ar 2019. gada 5. februāra Ministru kabineta sēdes protokola Nr.5 34.§ 5.</w:t>
      </w:r>
      <w:r w:rsidR="005C36A5" w:rsidRPr="00686815">
        <w:t>punktu</w:t>
      </w:r>
      <w:bookmarkEnd w:id="5"/>
      <w:r w:rsidR="005C36A5" w:rsidRPr="00686815">
        <w:rPr>
          <w:vertAlign w:val="superscript"/>
        </w:rPr>
        <w:footnoteReference w:id="1"/>
      </w:r>
      <w:r w:rsidR="009228C4" w:rsidRPr="00686815">
        <w:t>.</w:t>
      </w:r>
      <w:r w:rsidR="005C36A5" w:rsidRPr="00686815">
        <w:t xml:space="preserve"> </w:t>
      </w:r>
    </w:p>
    <w:p w14:paraId="36A353CE" w14:textId="30D0530F" w:rsidR="00915A4E" w:rsidRPr="00686815" w:rsidRDefault="00686815" w:rsidP="00420E82">
      <w:pPr>
        <w:pStyle w:val="ListParagraph"/>
        <w:numPr>
          <w:ilvl w:val="0"/>
          <w:numId w:val="20"/>
        </w:numPr>
        <w:spacing w:after="120"/>
        <w:ind w:left="641" w:hanging="357"/>
        <w:rPr>
          <w:b/>
          <w:bCs/>
        </w:rPr>
      </w:pPr>
      <w:r w:rsidRPr="00686815">
        <w:rPr>
          <w:b/>
          <w:bCs/>
          <w:u w:val="single"/>
        </w:rPr>
        <w:t xml:space="preserve">Par maksas par </w:t>
      </w:r>
      <w:r w:rsidR="00BC0761">
        <w:rPr>
          <w:b/>
          <w:bCs/>
          <w:u w:val="single"/>
        </w:rPr>
        <w:t>programmas īstenošanai izmantoto</w:t>
      </w:r>
      <w:r w:rsidR="000F44D3">
        <w:rPr>
          <w:b/>
          <w:bCs/>
          <w:u w:val="single"/>
        </w:rPr>
        <w:t xml:space="preserve"> pašu</w:t>
      </w:r>
      <w:r w:rsidR="00BC0761">
        <w:rPr>
          <w:b/>
          <w:bCs/>
          <w:u w:val="single"/>
        </w:rPr>
        <w:t xml:space="preserve"> </w:t>
      </w:r>
      <w:r w:rsidRPr="00686815">
        <w:rPr>
          <w:b/>
          <w:bCs/>
          <w:u w:val="single"/>
        </w:rPr>
        <w:t>kapitāl</w:t>
      </w:r>
      <w:r w:rsidR="00BC0761">
        <w:rPr>
          <w:b/>
          <w:bCs/>
          <w:u w:val="single"/>
        </w:rPr>
        <w:t>u</w:t>
      </w:r>
      <w:r w:rsidRPr="00686815">
        <w:rPr>
          <w:b/>
          <w:bCs/>
          <w:u w:val="single"/>
        </w:rPr>
        <w:t xml:space="preserve"> </w:t>
      </w:r>
      <w:r w:rsidR="00BC0761">
        <w:rPr>
          <w:b/>
          <w:bCs/>
          <w:u w:val="single"/>
        </w:rPr>
        <w:t>segšanu</w:t>
      </w:r>
      <w:r w:rsidR="00D57912" w:rsidRPr="00686815">
        <w:rPr>
          <w:b/>
          <w:bCs/>
          <w:u w:val="single"/>
        </w:rPr>
        <w:t xml:space="preserve"> </w:t>
      </w:r>
    </w:p>
    <w:p w14:paraId="177BF5DA" w14:textId="64208164" w:rsidR="00E901E4" w:rsidRDefault="00420E82" w:rsidP="00686815">
      <w:pPr>
        <w:jc w:val="both"/>
      </w:pPr>
      <w:bookmarkStart w:id="7" w:name="_Hlk34907909"/>
      <w:r>
        <w:t>Apstiprinātajā a</w:t>
      </w:r>
      <w:r w:rsidRPr="00420E82">
        <w:t xml:space="preserve">kciju sabiedrības "Attīstības finanšu institūcija </w:t>
      </w:r>
      <w:proofErr w:type="spellStart"/>
      <w:r w:rsidRPr="00420E82">
        <w:t>Altum</w:t>
      </w:r>
      <w:proofErr w:type="spellEnd"/>
      <w:r w:rsidRPr="00420E82">
        <w:t>"</w:t>
      </w:r>
      <w:r w:rsidR="00A3390A">
        <w:t xml:space="preserve"> stratēģijā</w:t>
      </w:r>
      <w:r w:rsidRPr="00420E82">
        <w:t xml:space="preserve"> </w:t>
      </w:r>
      <w:r>
        <w:t>(</w:t>
      </w:r>
      <w:r w:rsidR="00426CF0" w:rsidRPr="00686815">
        <w:t>“Vidēja termiņa darbības stratēģij</w:t>
      </w:r>
      <w:r>
        <w:t>a</w:t>
      </w:r>
      <w:r w:rsidR="00686815" w:rsidRPr="00686815">
        <w:t xml:space="preserve"> </w:t>
      </w:r>
      <w:r w:rsidR="00426CF0" w:rsidRPr="00686815">
        <w:t>2019.</w:t>
      </w:r>
      <w:r>
        <w:t xml:space="preserve"> – </w:t>
      </w:r>
      <w:r w:rsidR="00426CF0" w:rsidRPr="00686815">
        <w:t>2021</w:t>
      </w:r>
      <w:r>
        <w:t>.</w:t>
      </w:r>
      <w:r w:rsidR="00426CF0" w:rsidRPr="00686815">
        <w:t>”</w:t>
      </w:r>
      <w:r>
        <w:t>)</w:t>
      </w:r>
      <w:r w:rsidR="00686815" w:rsidRPr="00686815">
        <w:t xml:space="preserve"> </w:t>
      </w:r>
      <w:proofErr w:type="spellStart"/>
      <w:r w:rsidR="00E901E4" w:rsidRPr="00686815">
        <w:t>A</w:t>
      </w:r>
      <w:r w:rsidR="00A3390A">
        <w:t>ltum</w:t>
      </w:r>
      <w:proofErr w:type="spellEnd"/>
      <w:r w:rsidR="00E901E4" w:rsidRPr="00E901E4">
        <w:t xml:space="preserve"> prognozētā</w:t>
      </w:r>
      <w:r>
        <w:t xml:space="preserve"> </w:t>
      </w:r>
      <w:r w:rsidR="00E901E4" w:rsidRPr="00E901E4">
        <w:t>peļņa</w:t>
      </w:r>
      <w:r>
        <w:t xml:space="preserve"> un kapitāla </w:t>
      </w:r>
      <w:proofErr w:type="spellStart"/>
      <w:r>
        <w:t>atdeve</w:t>
      </w:r>
      <w:proofErr w:type="spellEnd"/>
      <w:r w:rsidR="00E901E4" w:rsidRPr="00E901E4">
        <w:t xml:space="preserve"> </w:t>
      </w:r>
      <w:r>
        <w:t>ir noteikta</w:t>
      </w:r>
      <w:r w:rsidR="00E901E4" w:rsidRPr="00E901E4">
        <w:t>, ņemot vērā apstiprinātos valsts atbalsta programmu nosacījumus, tostarp plānotos programmu finanšu rezultātus.</w:t>
      </w:r>
      <w:r w:rsidR="00E901E4">
        <w:t xml:space="preserve"> </w:t>
      </w:r>
    </w:p>
    <w:bookmarkEnd w:id="7"/>
    <w:p w14:paraId="27C1120A" w14:textId="60EB36C5" w:rsidR="008B31DF" w:rsidRDefault="00BC3E52" w:rsidP="00022EFD">
      <w:pPr>
        <w:jc w:val="both"/>
      </w:pPr>
      <w:r>
        <w:t xml:space="preserve">Lai pirms </w:t>
      </w:r>
      <w:r w:rsidR="00D2691B">
        <w:t xml:space="preserve">pasākuma "Veicināt energoefektivitātes paaugstināšanu dzīvojamās ēkās" </w:t>
      </w:r>
      <w:r>
        <w:t>ieviešanas novērtētu programmas ietekmi, riskus un sagaidāmos zaudējumus, finansiālos rezultātus un programmas īstenošanas izmaksas, kā arī, lai plānotu programmas risku un programm</w:t>
      </w:r>
      <w:r w:rsidR="00F832FB">
        <w:t>as</w:t>
      </w:r>
      <w:r>
        <w:t xml:space="preserve"> īstenošanas izdevumu segšanas risinājumus, a</w:t>
      </w:r>
      <w:r w:rsidR="00A3390A">
        <w:t xml:space="preserve">pstiprinot </w:t>
      </w:r>
      <w:r w:rsidR="00D24277">
        <w:t>pasākuma īstenošanu</w:t>
      </w:r>
      <w:r w:rsidR="004F7202">
        <w:t xml:space="preserve"> Ministru kabinetā</w:t>
      </w:r>
      <w:r w:rsidR="00CC3BB8">
        <w:t>,</w:t>
      </w:r>
      <w:r w:rsidR="00D24277">
        <w:t xml:space="preserve"> tika izskatīts saskaņā ar</w:t>
      </w:r>
      <w:r w:rsidR="00686815">
        <w:t xml:space="preserve"> “Attīstības finanšu institūcijas likuma” 12. panta 3. daļu</w:t>
      </w:r>
      <w:r>
        <w:t xml:space="preserve"> sagatavotais programmas riska novērtējums. </w:t>
      </w:r>
      <w:bookmarkStart w:id="8" w:name="_Hlk34906215"/>
    </w:p>
    <w:p w14:paraId="23A8B04A" w14:textId="6AFEBD42" w:rsidR="00B80984" w:rsidRDefault="00F832FB" w:rsidP="00B80984">
      <w:pPr>
        <w:jc w:val="both"/>
      </w:pPr>
      <w:r>
        <w:t>Atbilstoši novērtējumam</w:t>
      </w:r>
      <w:bookmarkEnd w:id="8"/>
      <w:r w:rsidR="00D2691B">
        <w:t xml:space="preserve">, pamatojoties uz </w:t>
      </w:r>
      <w:r w:rsidR="00686815">
        <w:t>riskiem</w:t>
      </w:r>
      <w:r w:rsidR="00022EFD">
        <w:t>,</w:t>
      </w:r>
      <w:r w:rsidR="00686815">
        <w:t xml:space="preserve"> </w:t>
      </w:r>
      <w:r w:rsidR="00666D65">
        <w:t>ko</w:t>
      </w:r>
      <w:r w:rsidR="00022EFD">
        <w:t>,</w:t>
      </w:r>
      <w:r w:rsidR="00BC0761">
        <w:t xml:space="preserve"> īstenojot p</w:t>
      </w:r>
      <w:r w:rsidR="00FC424A">
        <w:t>r</w:t>
      </w:r>
      <w:r w:rsidR="00BC0761">
        <w:t>ogrammu</w:t>
      </w:r>
      <w:r w:rsidR="00022EFD">
        <w:t>,</w:t>
      </w:r>
      <w:r w:rsidR="00666D65">
        <w:t xml:space="preserve"> sedz </w:t>
      </w:r>
      <w:proofErr w:type="spellStart"/>
      <w:r w:rsidR="00666D65">
        <w:t>Altum</w:t>
      </w:r>
      <w:proofErr w:type="spellEnd"/>
      <w:r w:rsidR="008B31DF">
        <w:t xml:space="preserve">, </w:t>
      </w:r>
      <w:r w:rsidRPr="00666D65">
        <w:t xml:space="preserve">attiecināmo </w:t>
      </w:r>
      <w:r w:rsidR="00D2691B" w:rsidRPr="00666D65">
        <w:t>pašu kapitāl</w:t>
      </w:r>
      <w:r w:rsidR="008B31DF" w:rsidRPr="00666D65">
        <w:t xml:space="preserve">u </w:t>
      </w:r>
      <w:r w:rsidR="00D2691B" w:rsidRPr="00666D65">
        <w:t>apmēr</w:t>
      </w:r>
      <w:r w:rsidRPr="00666D65">
        <w:t>u nosaka šādas ri</w:t>
      </w:r>
      <w:r w:rsidR="004F7202" w:rsidRPr="00666D65">
        <w:t>ska izdevumu</w:t>
      </w:r>
      <w:r w:rsidRPr="00666D65">
        <w:t xml:space="preserve"> pozīcijas</w:t>
      </w:r>
      <w:r w:rsidR="00B80984" w:rsidRPr="00666D65">
        <w:t>:</w:t>
      </w:r>
      <w:r w:rsidR="00B80984">
        <w:t xml:space="preserve"> </w:t>
      </w:r>
    </w:p>
    <w:p w14:paraId="197FCB25" w14:textId="53C2ED91" w:rsidR="00B80984" w:rsidRDefault="00B80984" w:rsidP="00977342">
      <w:pPr>
        <w:ind w:left="284"/>
        <w:jc w:val="both"/>
      </w:pPr>
      <w:r>
        <w:t>1.1.</w:t>
      </w:r>
      <w:r>
        <w:tab/>
        <w:t xml:space="preserve">Sagaidāmo paredzamo zaudējumu </w:t>
      </w:r>
      <w:r w:rsidR="00B71C29">
        <w:t>risk</w:t>
      </w:r>
      <w:r w:rsidR="00666D65">
        <w:t>s</w:t>
      </w:r>
      <w:r>
        <w:t xml:space="preserve">: </w:t>
      </w:r>
    </w:p>
    <w:p w14:paraId="61EA939E" w14:textId="7B362ECC" w:rsidR="00B80984" w:rsidRDefault="00977342" w:rsidP="00977342">
      <w:pPr>
        <w:ind w:left="284"/>
        <w:jc w:val="both"/>
      </w:pPr>
      <w:r w:rsidRPr="00977342">
        <w:t>•</w:t>
      </w:r>
      <w:r w:rsidR="00B80984">
        <w:tab/>
        <w:t>Operacionāl</w:t>
      </w:r>
      <w:r w:rsidR="001D2417">
        <w:t>ais</w:t>
      </w:r>
      <w:r w:rsidR="00B80984">
        <w:t xml:space="preserve"> risk</w:t>
      </w:r>
      <w:r w:rsidR="001D2417">
        <w:t>s</w:t>
      </w:r>
      <w:r w:rsidR="00B80984">
        <w:t xml:space="preserve"> </w:t>
      </w:r>
      <w:r w:rsidR="001D2417">
        <w:t>(</w:t>
      </w:r>
      <w:r w:rsidR="00B80984">
        <w:t>izdevum</w:t>
      </w:r>
      <w:r w:rsidR="00666D65">
        <w:t>i</w:t>
      </w:r>
      <w:r w:rsidR="001D2417">
        <w:t>)</w:t>
      </w:r>
      <w:r w:rsidR="00B80984">
        <w:t>, un cit</w:t>
      </w:r>
      <w:r w:rsidR="00666D65">
        <w:t>i</w:t>
      </w:r>
      <w:r w:rsidR="00B80984">
        <w:t xml:space="preserve"> risk</w:t>
      </w:r>
      <w:r w:rsidR="001D2417">
        <w:t>i</w:t>
      </w:r>
      <w:r w:rsidR="00666D65">
        <w:t xml:space="preserve"> </w:t>
      </w:r>
      <w:r w:rsidR="00666D65" w:rsidRPr="00666D65">
        <w:t>(tirgus riski u.c.)</w:t>
      </w:r>
      <w:r w:rsidR="00666D65">
        <w:t xml:space="preserve">; </w:t>
      </w:r>
    </w:p>
    <w:p w14:paraId="0FE032EE" w14:textId="5BD89409" w:rsidR="00B80984" w:rsidRDefault="00B80984" w:rsidP="00977342">
      <w:pPr>
        <w:ind w:left="284"/>
        <w:jc w:val="both"/>
      </w:pPr>
      <w:r>
        <w:t>1.2.</w:t>
      </w:r>
      <w:r>
        <w:tab/>
        <w:t>Sagaidāmo neparedzamo zaudējumu risk</w:t>
      </w:r>
      <w:r w:rsidR="00666D65">
        <w:t>s</w:t>
      </w:r>
      <w:r>
        <w:t xml:space="preserve">: </w:t>
      </w:r>
    </w:p>
    <w:p w14:paraId="76C64E39" w14:textId="699A5E29" w:rsidR="00B80984" w:rsidRDefault="00977342" w:rsidP="00977342">
      <w:pPr>
        <w:ind w:left="284"/>
        <w:jc w:val="both"/>
      </w:pPr>
      <w:r w:rsidRPr="00977342">
        <w:t>•</w:t>
      </w:r>
      <w:r w:rsidR="00B80984">
        <w:t>.</w:t>
      </w:r>
      <w:r w:rsidR="00B80984">
        <w:tab/>
      </w:r>
      <w:r w:rsidR="00666D65">
        <w:t>N</w:t>
      </w:r>
      <w:r w:rsidR="00B80984">
        <w:t>eparedzamo kredītriska zaudējumu risk</w:t>
      </w:r>
      <w:r w:rsidR="008B31DF">
        <w:t>s</w:t>
      </w:r>
      <w:r w:rsidR="00B80984">
        <w:t xml:space="preserve">; </w:t>
      </w:r>
    </w:p>
    <w:p w14:paraId="53021C1E" w14:textId="68AE338E" w:rsidR="00B80984" w:rsidRDefault="00666D65" w:rsidP="00977342">
      <w:pPr>
        <w:ind w:left="284"/>
        <w:jc w:val="both"/>
      </w:pPr>
      <w:r w:rsidRPr="00666D65">
        <w:t>•</w:t>
      </w:r>
      <w:r w:rsidR="00B80984">
        <w:tab/>
        <w:t xml:space="preserve">Citu </w:t>
      </w:r>
      <w:r w:rsidR="00B80984" w:rsidRPr="00B80984">
        <w:t xml:space="preserve">neparedzamo zaudējumu </w:t>
      </w:r>
      <w:r w:rsidR="00B80984">
        <w:t>risk</w:t>
      </w:r>
      <w:r w:rsidR="008B31DF">
        <w:t>s</w:t>
      </w:r>
      <w:r w:rsidR="00B80984">
        <w:t xml:space="preserve">. </w:t>
      </w:r>
    </w:p>
    <w:p w14:paraId="29CE43B1" w14:textId="72893622" w:rsidR="00977342" w:rsidRDefault="00FC424A" w:rsidP="006537AC">
      <w:pPr>
        <w:spacing w:after="120"/>
        <w:jc w:val="both"/>
      </w:pPr>
      <w:r>
        <w:t>Pasākuma "Veicināt energoefektivitātes paaugstināšanu dzīvojamās ēkās"</w:t>
      </w:r>
      <w:r w:rsidR="00BC0761">
        <w:t xml:space="preserve"> īstenošanai</w:t>
      </w:r>
      <w:r w:rsidR="00977342">
        <w:t xml:space="preserve"> attiecin</w:t>
      </w:r>
      <w:r w:rsidR="00BC0761">
        <w:t>ā</w:t>
      </w:r>
      <w:r>
        <w:t>mā</w:t>
      </w:r>
      <w:r w:rsidR="006537AC">
        <w:t>s</w:t>
      </w:r>
      <w:r w:rsidR="0032061F">
        <w:t xml:space="preserve"> </w:t>
      </w:r>
      <w:proofErr w:type="spellStart"/>
      <w:r w:rsidR="0032061F">
        <w:t>Altum</w:t>
      </w:r>
      <w:proofErr w:type="spellEnd"/>
      <w:r w:rsidR="00977342">
        <w:t xml:space="preserve"> pašu kapitāla</w:t>
      </w:r>
      <w:r w:rsidR="006537AC">
        <w:t xml:space="preserve"> daļas</w:t>
      </w:r>
      <w:r w:rsidR="00BC0761">
        <w:t xml:space="preserve"> </w:t>
      </w:r>
      <w:proofErr w:type="spellStart"/>
      <w:r>
        <w:t>atdeve</w:t>
      </w:r>
      <w:proofErr w:type="spellEnd"/>
      <w:r>
        <w:t xml:space="preserve"> </w:t>
      </w:r>
      <w:r w:rsidR="00BC0761">
        <w:t>plānota 10%</w:t>
      </w:r>
      <w:r w:rsidR="00977342">
        <w:t xml:space="preserve"> </w:t>
      </w:r>
      <w:r>
        <w:t xml:space="preserve">apmērā. </w:t>
      </w:r>
      <w:r w:rsidR="0032061F">
        <w:t xml:space="preserve">Plānotā </w:t>
      </w:r>
      <w:r w:rsidR="006537AC">
        <w:t>p</w:t>
      </w:r>
      <w:r w:rsidR="0032061F">
        <w:t xml:space="preserve">rogrammas kapitāla </w:t>
      </w:r>
      <w:proofErr w:type="spellStart"/>
      <w:r w:rsidR="0032061F">
        <w:t>atdeve</w:t>
      </w:r>
      <w:proofErr w:type="spellEnd"/>
      <w:r w:rsidR="0032061F">
        <w:t xml:space="preserve"> </w:t>
      </w:r>
      <w:r w:rsidR="008D18B2">
        <w:t>atbalsta</w:t>
      </w:r>
      <w:r>
        <w:t xml:space="preserve"> </w:t>
      </w:r>
      <w:proofErr w:type="spellStart"/>
      <w:r>
        <w:t>Altum</w:t>
      </w:r>
      <w:proofErr w:type="spellEnd"/>
      <w:r>
        <w:t xml:space="preserve"> </w:t>
      </w:r>
      <w:r w:rsidRPr="00BC0761">
        <w:t xml:space="preserve">Vidēja termiņa darbības </w:t>
      </w:r>
      <w:r>
        <w:t>stratēģijā noteikt</w:t>
      </w:r>
      <w:r w:rsidR="0032061F">
        <w:t>o</w:t>
      </w:r>
      <w:r>
        <w:t xml:space="preserve"> </w:t>
      </w:r>
      <w:r w:rsidR="0032061F">
        <w:t>sabiedrības</w:t>
      </w:r>
      <w:r>
        <w:t xml:space="preserve"> </w:t>
      </w:r>
      <w:r w:rsidR="006537AC">
        <w:t xml:space="preserve">kopējo </w:t>
      </w:r>
      <w:r>
        <w:t xml:space="preserve">kapitāla </w:t>
      </w:r>
      <w:proofErr w:type="spellStart"/>
      <w:r>
        <w:t>atdeves</w:t>
      </w:r>
      <w:proofErr w:type="spellEnd"/>
      <w:r>
        <w:t xml:space="preserve"> mērķu</w:t>
      </w:r>
      <w:r w:rsidR="006537AC">
        <w:t xml:space="preserve"> (1,3%-1,4%)</w:t>
      </w:r>
      <w:r>
        <w:t xml:space="preserve"> sasniegšanu. </w:t>
      </w:r>
    </w:p>
    <w:p w14:paraId="12CC090C" w14:textId="77777777" w:rsidR="00977342" w:rsidRDefault="00977342" w:rsidP="00977342">
      <w:pPr>
        <w:jc w:val="both"/>
      </w:pPr>
      <w:r>
        <w:t xml:space="preserve">Ņemot vērā Eiropas Komisijas 2015.gada 9.jūnija lēmumu Nr. SA.36904 (2014/N) "LHZB attīstības (programmu) daļa un Latvijas vienotās attīstības finanšu institūcijas izveide" un jautājumus, kas tika apspriesti Finanšu ministrijas pārstāvju 2016.gada 29.jūnija sanāksmē ar Eiropas Komisijas Konkurences ģenerāldirektorātu, Konkurences ģenerāldirektorātam izskatīšanai tika nosūtīts dokuments "Par atbalsta programmu īstenošanai izmantotā </w:t>
      </w:r>
      <w:proofErr w:type="spellStart"/>
      <w:r>
        <w:t>Altum</w:t>
      </w:r>
      <w:proofErr w:type="spellEnd"/>
      <w:r>
        <w:t xml:space="preserve"> pašu kapitāla atdevi" ar lūgumu sniegt apstiprinājumu, ka akciju sabiedrība "Attīstības finanšu institūcija </w:t>
      </w:r>
      <w:proofErr w:type="spellStart"/>
      <w:r>
        <w:t>Altum</w:t>
      </w:r>
      <w:proofErr w:type="spellEnd"/>
      <w:r>
        <w:t xml:space="preserve">" (turpmāk – </w:t>
      </w:r>
      <w:proofErr w:type="spellStart"/>
      <w:r>
        <w:t>Altum</w:t>
      </w:r>
      <w:proofErr w:type="spellEnd"/>
      <w:r>
        <w:t xml:space="preserve">) netiek pārkompensēta, saņemot ienākumus par programmu īstenošanai izmantoto pašu kapitāla daļu, kas atbilst </w:t>
      </w:r>
      <w:proofErr w:type="spellStart"/>
      <w:r>
        <w:t>Altum</w:t>
      </w:r>
      <w:proofErr w:type="spellEnd"/>
      <w:r>
        <w:t xml:space="preserve"> uzņemtajiem programmu īstenošanas riskiem un kas var veidot pozitīvu kapitāla atdevi, izpildot šādus nosacījumus:</w:t>
      </w:r>
    </w:p>
    <w:p w14:paraId="3883C0DD" w14:textId="74E05E12" w:rsidR="00977342" w:rsidRDefault="00396C40" w:rsidP="00AA0F2B">
      <w:pPr>
        <w:ind w:left="284"/>
        <w:jc w:val="both"/>
      </w:pPr>
      <w:r w:rsidRPr="00666D65">
        <w:t>•</w:t>
      </w:r>
      <w:r w:rsidR="00977342">
        <w:tab/>
      </w:r>
      <w:proofErr w:type="spellStart"/>
      <w:r w:rsidR="00977342">
        <w:t>Altum</w:t>
      </w:r>
      <w:proofErr w:type="spellEnd"/>
      <w:r w:rsidR="00977342">
        <w:t xml:space="preserve"> darbojas atbilstoši Eiropas Komisijas 2015.gada 9.jūnija lēmumam No SA.36904 (2014/N) "LHZB attīstības (programmu) daļa un Latvijas vienotās attīstības finanšu institūcijas izveide"; </w:t>
      </w:r>
    </w:p>
    <w:p w14:paraId="318ABE45" w14:textId="4ED32E77" w:rsidR="00977342" w:rsidRDefault="00396C40" w:rsidP="00AA0F2B">
      <w:pPr>
        <w:ind w:left="284"/>
        <w:jc w:val="both"/>
      </w:pPr>
      <w:r w:rsidRPr="00666D65">
        <w:t>•</w:t>
      </w:r>
      <w:r w:rsidR="00977342">
        <w:tab/>
      </w:r>
      <w:proofErr w:type="spellStart"/>
      <w:r w:rsidR="00977342">
        <w:t>Altum</w:t>
      </w:r>
      <w:proofErr w:type="spellEnd"/>
      <w:r w:rsidR="00977342">
        <w:t xml:space="preserve"> īsteno pasākumus, kas nodrošina, ka maksa par pašu kapitālu, kas tiek izmantota programmu īstenošanai, kopā ar ieņēmumiem no programmas veido pašu kapitāla atdevi, kas atbilst kapitāla </w:t>
      </w:r>
      <w:proofErr w:type="spellStart"/>
      <w:r w:rsidR="00977342">
        <w:t>atdevei</w:t>
      </w:r>
      <w:proofErr w:type="spellEnd"/>
      <w:r w:rsidR="00977342">
        <w:t xml:space="preserve"> Eiropas Savienības dalībvalstu attīstības finanšu institūcijās, kas ir līdzīgas </w:t>
      </w:r>
      <w:proofErr w:type="spellStart"/>
      <w:r w:rsidR="00977342">
        <w:t>Altum</w:t>
      </w:r>
      <w:proofErr w:type="spellEnd"/>
      <w:r w:rsidR="00977342">
        <w:t xml:space="preserve"> (</w:t>
      </w:r>
      <w:proofErr w:type="spellStart"/>
      <w:r w:rsidR="00977342">
        <w:t>Bulgarian</w:t>
      </w:r>
      <w:proofErr w:type="spellEnd"/>
      <w:r w:rsidR="00977342">
        <w:t xml:space="preserve"> </w:t>
      </w:r>
      <w:proofErr w:type="spellStart"/>
      <w:r w:rsidR="00977342">
        <w:t>Development</w:t>
      </w:r>
      <w:proofErr w:type="spellEnd"/>
      <w:r w:rsidR="00977342">
        <w:t xml:space="preserve"> </w:t>
      </w:r>
      <w:proofErr w:type="spellStart"/>
      <w:r w:rsidR="00977342">
        <w:t>Bank</w:t>
      </w:r>
      <w:proofErr w:type="spellEnd"/>
      <w:r w:rsidR="00977342">
        <w:t xml:space="preserve">, </w:t>
      </w:r>
      <w:proofErr w:type="spellStart"/>
      <w:r w:rsidR="00977342">
        <w:t>Croatian</w:t>
      </w:r>
      <w:proofErr w:type="spellEnd"/>
      <w:r w:rsidR="00977342">
        <w:t xml:space="preserve"> </w:t>
      </w:r>
      <w:proofErr w:type="spellStart"/>
      <w:r w:rsidR="00977342">
        <w:t>Bank</w:t>
      </w:r>
      <w:proofErr w:type="spellEnd"/>
      <w:r w:rsidR="00977342">
        <w:t xml:space="preserve"> </w:t>
      </w:r>
      <w:proofErr w:type="spellStart"/>
      <w:r w:rsidR="00977342">
        <w:t>for</w:t>
      </w:r>
      <w:proofErr w:type="spellEnd"/>
      <w:r w:rsidR="00977342">
        <w:t xml:space="preserve"> </w:t>
      </w:r>
      <w:proofErr w:type="spellStart"/>
      <w:r w:rsidR="00977342">
        <w:t>Reconstruction</w:t>
      </w:r>
      <w:proofErr w:type="spellEnd"/>
      <w:r w:rsidR="00977342">
        <w:t xml:space="preserve"> </w:t>
      </w:r>
      <w:proofErr w:type="spellStart"/>
      <w:r w:rsidR="00977342">
        <w:t>and</w:t>
      </w:r>
      <w:proofErr w:type="spellEnd"/>
      <w:r w:rsidR="00977342">
        <w:t xml:space="preserve"> </w:t>
      </w:r>
      <w:proofErr w:type="spellStart"/>
      <w:r w:rsidR="00977342">
        <w:t>Development</w:t>
      </w:r>
      <w:proofErr w:type="spellEnd"/>
      <w:r w:rsidR="00977342">
        <w:t xml:space="preserve">, </w:t>
      </w:r>
      <w:proofErr w:type="spellStart"/>
      <w:r w:rsidR="00977342">
        <w:t>Czech-Moravian</w:t>
      </w:r>
      <w:proofErr w:type="spellEnd"/>
      <w:r w:rsidR="00977342">
        <w:t xml:space="preserve"> </w:t>
      </w:r>
      <w:proofErr w:type="spellStart"/>
      <w:r w:rsidR="00977342">
        <w:t>Guarantee</w:t>
      </w:r>
      <w:proofErr w:type="spellEnd"/>
      <w:r w:rsidR="00977342">
        <w:t xml:space="preserve"> </w:t>
      </w:r>
      <w:proofErr w:type="spellStart"/>
      <w:r w:rsidR="00977342">
        <w:t>and</w:t>
      </w:r>
      <w:proofErr w:type="spellEnd"/>
      <w:r w:rsidR="00977342">
        <w:t xml:space="preserve"> </w:t>
      </w:r>
      <w:proofErr w:type="spellStart"/>
      <w:r w:rsidR="00977342">
        <w:t>Development</w:t>
      </w:r>
      <w:proofErr w:type="spellEnd"/>
      <w:r w:rsidR="00977342">
        <w:t xml:space="preserve"> </w:t>
      </w:r>
      <w:proofErr w:type="spellStart"/>
      <w:r w:rsidR="00977342">
        <w:t>Bank</w:t>
      </w:r>
      <w:proofErr w:type="spellEnd"/>
      <w:r w:rsidR="00977342">
        <w:t xml:space="preserve">, </w:t>
      </w:r>
      <w:proofErr w:type="spellStart"/>
      <w:r w:rsidR="00977342">
        <w:t>Fund</w:t>
      </w:r>
      <w:proofErr w:type="spellEnd"/>
      <w:r w:rsidR="00977342">
        <w:t xml:space="preserve"> </w:t>
      </w:r>
      <w:proofErr w:type="spellStart"/>
      <w:r w:rsidR="00977342">
        <w:t>KredEx</w:t>
      </w:r>
      <w:proofErr w:type="spellEnd"/>
      <w:r w:rsidR="00977342">
        <w:t xml:space="preserve">, </w:t>
      </w:r>
      <w:proofErr w:type="spellStart"/>
      <w:r w:rsidR="00977342">
        <w:t>Finnvera</w:t>
      </w:r>
      <w:proofErr w:type="spellEnd"/>
      <w:r w:rsidR="00977342">
        <w:t xml:space="preserve">, </w:t>
      </w:r>
      <w:proofErr w:type="spellStart"/>
      <w:r w:rsidR="00977342">
        <w:t>Slovak</w:t>
      </w:r>
      <w:proofErr w:type="spellEnd"/>
      <w:r w:rsidR="00977342">
        <w:t xml:space="preserve"> </w:t>
      </w:r>
      <w:proofErr w:type="spellStart"/>
      <w:r w:rsidR="00977342">
        <w:t>Guarantee</w:t>
      </w:r>
      <w:proofErr w:type="spellEnd"/>
      <w:r w:rsidR="00977342">
        <w:t xml:space="preserve"> </w:t>
      </w:r>
      <w:proofErr w:type="spellStart"/>
      <w:r w:rsidR="00977342">
        <w:t>and</w:t>
      </w:r>
      <w:proofErr w:type="spellEnd"/>
      <w:r w:rsidR="00977342">
        <w:t xml:space="preserve"> </w:t>
      </w:r>
      <w:proofErr w:type="spellStart"/>
      <w:r w:rsidR="00977342">
        <w:t>Development</w:t>
      </w:r>
      <w:proofErr w:type="spellEnd"/>
      <w:r w:rsidR="00977342">
        <w:t xml:space="preserve"> </w:t>
      </w:r>
      <w:proofErr w:type="spellStart"/>
      <w:r w:rsidR="00977342">
        <w:t>Bank</w:t>
      </w:r>
      <w:proofErr w:type="spellEnd"/>
      <w:r w:rsidR="00977342">
        <w:t xml:space="preserve">, SID </w:t>
      </w:r>
      <w:proofErr w:type="spellStart"/>
      <w:r w:rsidR="00977342">
        <w:t>Bank</w:t>
      </w:r>
      <w:proofErr w:type="spellEnd"/>
      <w:r w:rsidR="00977342">
        <w:t xml:space="preserve">)." </w:t>
      </w:r>
    </w:p>
    <w:p w14:paraId="32B22AB1" w14:textId="77777777" w:rsidR="00977342" w:rsidRDefault="00977342" w:rsidP="00977342">
      <w:pPr>
        <w:jc w:val="both"/>
      </w:pPr>
      <w:r>
        <w:lastRenderedPageBreak/>
        <w:t xml:space="preserve">2017.gada 30.jūnijā Eiropas Komisijas Konkurences ģenerāldirektorāts elektroniskā pasta vēstulē sniedza pozitīvu viedokli par </w:t>
      </w:r>
      <w:proofErr w:type="spellStart"/>
      <w:r>
        <w:t>Altum</w:t>
      </w:r>
      <w:proofErr w:type="spellEnd"/>
      <w:r>
        <w:t xml:space="preserve"> sagatavoto dokumentu "Par atbalsta programmu īstenošanai izmantotā </w:t>
      </w:r>
      <w:proofErr w:type="spellStart"/>
      <w:r>
        <w:t>Altum</w:t>
      </w:r>
      <w:proofErr w:type="spellEnd"/>
      <w:r>
        <w:t xml:space="preserve"> pašu kapitāla atdevi". Eiropas Komisija vēstulē norādīja: </w:t>
      </w:r>
    </w:p>
    <w:p w14:paraId="20230CB0" w14:textId="781CA908" w:rsidR="00977342" w:rsidRDefault="00977342" w:rsidP="000F44D3">
      <w:pPr>
        <w:spacing w:after="120"/>
        <w:jc w:val="both"/>
      </w:pPr>
      <w:r>
        <w:t xml:space="preserve">"Mēs saprotam, ka Jūsu mērķis ir saņemt maksu par programmu īstenošanai izmantoto </w:t>
      </w:r>
      <w:proofErr w:type="spellStart"/>
      <w:r>
        <w:t>Altum</w:t>
      </w:r>
      <w:proofErr w:type="spellEnd"/>
      <w:r>
        <w:t xml:space="preserve"> pašu kapitālu, kas atbilst </w:t>
      </w:r>
      <w:proofErr w:type="spellStart"/>
      <w:r>
        <w:t>Altum</w:t>
      </w:r>
      <w:proofErr w:type="spellEnd"/>
      <w:r>
        <w:t xml:space="preserve"> uzņemtajiem programmu īstenošanas riskiem (piemēram, kapitāls izmantots aktivitātēm, par kurām </w:t>
      </w:r>
      <w:proofErr w:type="spellStart"/>
      <w:r>
        <w:t>Altum</w:t>
      </w:r>
      <w:proofErr w:type="spellEnd"/>
      <w:r>
        <w:t xml:space="preserve"> uzņemas risku pats). Atbilstoši mūsu veiktajai Jūsu dokumentu analīzei un mūsu izpratnei, ka </w:t>
      </w:r>
      <w:proofErr w:type="spellStart"/>
      <w:r>
        <w:t>Altum</w:t>
      </w:r>
      <w:proofErr w:type="spellEnd"/>
      <w:r>
        <w:t xml:space="preserve"> vēlas piemērot tirgum vairāk atbilstošu maksu par kapitālu, ko </w:t>
      </w:r>
      <w:proofErr w:type="spellStart"/>
      <w:r>
        <w:t>Altum</w:t>
      </w:r>
      <w:proofErr w:type="spellEnd"/>
      <w:r>
        <w:t xml:space="preserve"> izmanto savām programmām, mēs nesaskatām, ka šis priekšlikums pārkāpj valsts atbalsta noteikumus vai, precīzāk, Komisijas 2015.gada 9.jūnija lēmumu un, tādēļ, citu komentāru nav."</w:t>
      </w:r>
    </w:p>
    <w:p w14:paraId="1C13374D" w14:textId="20A6ABC0" w:rsidR="00084CDE" w:rsidRPr="00A46357" w:rsidRDefault="0086794F" w:rsidP="00D57912">
      <w:pPr>
        <w:pStyle w:val="ListParagraph"/>
        <w:numPr>
          <w:ilvl w:val="0"/>
          <w:numId w:val="20"/>
        </w:numPr>
        <w:spacing w:after="120"/>
        <w:ind w:left="284" w:firstLine="0"/>
        <w:rPr>
          <w:b/>
          <w:bCs/>
          <w:u w:val="single"/>
        </w:rPr>
      </w:pPr>
      <w:r w:rsidRPr="00A46357">
        <w:rPr>
          <w:b/>
          <w:bCs/>
          <w:u w:val="single"/>
        </w:rPr>
        <w:t xml:space="preserve">Normatīvajos aktos noteiktais </w:t>
      </w:r>
      <w:proofErr w:type="spellStart"/>
      <w:r w:rsidR="00150C4A" w:rsidRPr="00A46357">
        <w:rPr>
          <w:b/>
          <w:bCs/>
          <w:u w:val="single"/>
        </w:rPr>
        <w:t>Altum</w:t>
      </w:r>
      <w:proofErr w:type="spellEnd"/>
      <w:r w:rsidR="00150C4A" w:rsidRPr="00A46357">
        <w:rPr>
          <w:b/>
          <w:bCs/>
          <w:u w:val="single"/>
        </w:rPr>
        <w:t xml:space="preserve"> peļ</w:t>
      </w:r>
      <w:r w:rsidR="00FF4509" w:rsidRPr="00A46357">
        <w:rPr>
          <w:b/>
          <w:bCs/>
          <w:u w:val="single"/>
        </w:rPr>
        <w:t>ņas izlietojums</w:t>
      </w:r>
      <w:r w:rsidR="00125C0F">
        <w:rPr>
          <w:b/>
          <w:bCs/>
          <w:u w:val="single"/>
        </w:rPr>
        <w:t xml:space="preserve"> </w:t>
      </w:r>
    </w:p>
    <w:p w14:paraId="283D3FF1" w14:textId="382344AF" w:rsidR="005454B4" w:rsidRDefault="0086794F" w:rsidP="000F44D3">
      <w:pPr>
        <w:pStyle w:val="ListParagraph"/>
        <w:spacing w:after="120"/>
        <w:ind w:left="0" w:firstLine="425"/>
        <w:jc w:val="both"/>
      </w:pPr>
      <w:r w:rsidRPr="00E04BE9">
        <w:t xml:space="preserve">Saskaņā ar Attīstības finanšu institūcijas likumu </w:t>
      </w:r>
      <w:r w:rsidR="005F70BF">
        <w:t>(</w:t>
      </w:r>
      <w:r w:rsidR="00894905" w:rsidRPr="00E04BE9">
        <w:t>15.panta otr</w:t>
      </w:r>
      <w:r w:rsidR="005F70BF">
        <w:t>ā</w:t>
      </w:r>
      <w:r w:rsidRPr="00E04BE9">
        <w:t xml:space="preserve"> daļ</w:t>
      </w:r>
      <w:r w:rsidR="005F70BF">
        <w:t>a)</w:t>
      </w:r>
      <w:r w:rsidR="00411393">
        <w:t xml:space="preserve"> </w:t>
      </w:r>
      <w:proofErr w:type="spellStart"/>
      <w:r w:rsidRPr="00E04BE9">
        <w:t>Altum</w:t>
      </w:r>
      <w:proofErr w:type="spellEnd"/>
      <w:r w:rsidRPr="00E04BE9">
        <w:t xml:space="preserve"> peļņa ir jānovirza rezerves kapitāla veidošanai, kas paredzēts</w:t>
      </w:r>
      <w:r w:rsidR="00894905" w:rsidRPr="00E04BE9">
        <w:t xml:space="preserve"> </w:t>
      </w:r>
      <w:r w:rsidR="00234B7A" w:rsidRPr="00E04BE9">
        <w:t xml:space="preserve">finanšu </w:t>
      </w:r>
      <w:r w:rsidRPr="00E04BE9">
        <w:t>stabilitātes un ilgtspējīgas darbības nodrošināšanai, kā arī apstiprināto progr</w:t>
      </w:r>
      <w:r w:rsidR="00234B7A" w:rsidRPr="00E04BE9">
        <w:t>ammu risku ietekmes mazināšanai</w:t>
      </w:r>
      <w:r w:rsidRPr="00E04BE9">
        <w:t xml:space="preserve">. </w:t>
      </w:r>
    </w:p>
    <w:p w14:paraId="10E1233C" w14:textId="77491E81" w:rsidR="007D60D8" w:rsidRPr="00A46357" w:rsidRDefault="0086794F" w:rsidP="002F6E79">
      <w:pPr>
        <w:pStyle w:val="ListParagraph"/>
        <w:numPr>
          <w:ilvl w:val="0"/>
          <w:numId w:val="20"/>
        </w:numPr>
        <w:spacing w:after="120"/>
        <w:ind w:left="284" w:firstLine="0"/>
        <w:rPr>
          <w:b/>
          <w:bCs/>
          <w:u w:val="single"/>
        </w:rPr>
      </w:pPr>
      <w:proofErr w:type="spellStart"/>
      <w:r w:rsidRPr="00A46357">
        <w:rPr>
          <w:b/>
          <w:bCs/>
          <w:u w:val="single"/>
        </w:rPr>
        <w:t>Altum</w:t>
      </w:r>
      <w:proofErr w:type="spellEnd"/>
      <w:r w:rsidRPr="00A46357">
        <w:rPr>
          <w:b/>
          <w:bCs/>
          <w:u w:val="single"/>
        </w:rPr>
        <w:t xml:space="preserve"> kapitāla </w:t>
      </w:r>
      <w:proofErr w:type="spellStart"/>
      <w:r w:rsidRPr="00A46357">
        <w:rPr>
          <w:b/>
          <w:bCs/>
          <w:u w:val="single"/>
        </w:rPr>
        <w:t>atdeves</w:t>
      </w:r>
      <w:proofErr w:type="spellEnd"/>
      <w:r w:rsidRPr="00A46357">
        <w:rPr>
          <w:b/>
          <w:bCs/>
          <w:u w:val="single"/>
        </w:rPr>
        <w:t xml:space="preserve"> </w:t>
      </w:r>
      <w:r w:rsidR="00F35907" w:rsidRPr="00A46357">
        <w:rPr>
          <w:b/>
          <w:bCs/>
          <w:u w:val="single"/>
        </w:rPr>
        <w:t>finansēšanas</w:t>
      </w:r>
      <w:r w:rsidR="007B07F3" w:rsidRPr="00A46357">
        <w:rPr>
          <w:b/>
          <w:bCs/>
          <w:u w:val="single"/>
        </w:rPr>
        <w:t xml:space="preserve"> kārtība</w:t>
      </w:r>
      <w:r w:rsidR="00D57912">
        <w:rPr>
          <w:b/>
          <w:bCs/>
          <w:u w:val="single"/>
        </w:rPr>
        <w:t xml:space="preserve"> </w:t>
      </w:r>
    </w:p>
    <w:p w14:paraId="4721EA71" w14:textId="1295CBB6" w:rsidR="005C36A5" w:rsidRDefault="009C1829" w:rsidP="009C1829">
      <w:pPr>
        <w:ind w:firstLine="720"/>
        <w:jc w:val="both"/>
      </w:pPr>
      <w:proofErr w:type="spellStart"/>
      <w:r>
        <w:t>Altum</w:t>
      </w:r>
      <w:proofErr w:type="spellEnd"/>
      <w:r>
        <w:t xml:space="preserve"> kapitāla </w:t>
      </w:r>
      <w:proofErr w:type="spellStart"/>
      <w:r>
        <w:t>atdeves</w:t>
      </w:r>
      <w:proofErr w:type="spellEnd"/>
      <w:r>
        <w:t xml:space="preserve"> finansēšanas kārtību nosaka</w:t>
      </w:r>
      <w:r w:rsidR="005C36A5">
        <w:t xml:space="preserve"> </w:t>
      </w:r>
      <w:bookmarkStart w:id="9" w:name="_Hlk23937131"/>
      <w:r w:rsidR="005C36A5">
        <w:t>Ministru kabineta noteikumu Nr. 160</w:t>
      </w:r>
      <w:bookmarkEnd w:id="9"/>
      <w:r w:rsidR="005C36A5">
        <w:rPr>
          <w:rStyle w:val="FootnoteReference"/>
        </w:rPr>
        <w:footnoteReference w:id="2"/>
      </w:r>
      <w:r>
        <w:t xml:space="preserve"> 27. un </w:t>
      </w:r>
      <w:r w:rsidR="00E0372C" w:rsidRPr="00EC2A34">
        <w:rPr>
          <w:color w:val="414142"/>
          <w:shd w:val="clear" w:color="auto" w:fill="FFFFFF"/>
        </w:rPr>
        <w:t>30.</w:t>
      </w:r>
      <w:r w:rsidR="00E0372C" w:rsidRPr="00EC2A34">
        <w:rPr>
          <w:color w:val="414142"/>
          <w:shd w:val="clear" w:color="auto" w:fill="FFFFFF"/>
          <w:vertAlign w:val="superscript"/>
        </w:rPr>
        <w:t>1</w:t>
      </w:r>
      <w:r w:rsidR="00E0372C">
        <w:t xml:space="preserve"> </w:t>
      </w:r>
      <w:r>
        <w:t>punkts:</w:t>
      </w:r>
      <w:r w:rsidR="005C36A5">
        <w:t xml:space="preserve"> </w:t>
      </w:r>
    </w:p>
    <w:p w14:paraId="7B2BC292" w14:textId="17B4B54D" w:rsidR="005C36A5" w:rsidRDefault="009C1829" w:rsidP="009C1829">
      <w:pPr>
        <w:ind w:firstLine="720"/>
        <w:jc w:val="both"/>
      </w:pPr>
      <w:r>
        <w:t>“</w:t>
      </w:r>
      <w:r w:rsidR="005C36A5">
        <w:t>27.</w:t>
      </w:r>
      <w:r>
        <w:t xml:space="preserve">punkts. </w:t>
      </w:r>
      <w:r w:rsidR="005C36A5">
        <w:t xml:space="preserve">Aizdevumu un garantiju pārvaldības izmaksas sedz no šo noteikumu </w:t>
      </w:r>
      <w:r>
        <w:t>9</w:t>
      </w:r>
      <w:r w:rsidR="005C36A5">
        <w:t>.2. apakšpunktā minētā finansējuma” (</w:t>
      </w:r>
      <w:r w:rsidR="00E0372C" w:rsidRPr="00E0372C">
        <w:rPr>
          <w:i/>
          <w:iCs/>
        </w:rPr>
        <w:t>22 011 823</w:t>
      </w:r>
      <w:r w:rsidR="005C36A5" w:rsidRPr="009C1829">
        <w:rPr>
          <w:i/>
          <w:iCs/>
        </w:rPr>
        <w:t xml:space="preserve"> EUR</w:t>
      </w:r>
      <w:r w:rsidR="005C36A5">
        <w:rPr>
          <w:rStyle w:val="FootnoteReference"/>
        </w:rPr>
        <w:footnoteReference w:id="3"/>
      </w:r>
      <w:r w:rsidR="005C36A5">
        <w:t xml:space="preserve">), </w:t>
      </w:r>
      <w:r>
        <w:t>“</w:t>
      </w:r>
      <w:r w:rsidR="005C36A5">
        <w:t xml:space="preserve">kā arī no atmaksātā šo noteikumu </w:t>
      </w:r>
      <w:r>
        <w:t>9</w:t>
      </w:r>
      <w:r w:rsidR="005C36A5">
        <w:t xml:space="preserve">.2. apakšpunktā minētā finansējuma līdz 4 % no kopējās izsniegto finanšu instrumentu summas un finanšu instrumentos atmaksātā finansējuma summas”; </w:t>
      </w:r>
    </w:p>
    <w:p w14:paraId="58D44CDB" w14:textId="054A3FAB" w:rsidR="005C36A5" w:rsidRDefault="009C1829" w:rsidP="009C1829">
      <w:pPr>
        <w:ind w:firstLine="720"/>
        <w:jc w:val="both"/>
      </w:pPr>
      <w:r>
        <w:t>“</w:t>
      </w:r>
      <w:bookmarkStart w:id="12" w:name="_Hlk32236904"/>
      <w:r w:rsidR="00E0372C" w:rsidRPr="00B14429">
        <w:rPr>
          <w:color w:val="414142"/>
          <w:shd w:val="clear" w:color="auto" w:fill="FFFFFF"/>
        </w:rPr>
        <w:t>30.</w:t>
      </w:r>
      <w:r w:rsidR="00E0372C" w:rsidRPr="00B14429">
        <w:rPr>
          <w:color w:val="414142"/>
          <w:shd w:val="clear" w:color="auto" w:fill="FFFFFF"/>
          <w:vertAlign w:val="superscript"/>
        </w:rPr>
        <w:t>1</w:t>
      </w:r>
      <w:bookmarkEnd w:id="12"/>
      <w:r w:rsidR="005C36A5">
        <w:t xml:space="preserve"> </w:t>
      </w:r>
      <w:r>
        <w:t xml:space="preserve">punkts. </w:t>
      </w:r>
      <w:r w:rsidR="005C36A5">
        <w:t>Sabiedrības "</w:t>
      </w:r>
      <w:proofErr w:type="spellStart"/>
      <w:r w:rsidR="005C36A5">
        <w:t>Altum</w:t>
      </w:r>
      <w:proofErr w:type="spellEnd"/>
      <w:r w:rsidR="005C36A5">
        <w:t xml:space="preserve">" kapitāla </w:t>
      </w:r>
      <w:proofErr w:type="spellStart"/>
      <w:r w:rsidR="005C36A5">
        <w:t>atdeves</w:t>
      </w:r>
      <w:proofErr w:type="spellEnd"/>
      <w:r w:rsidR="005C36A5">
        <w:t xml:space="preserve"> segšanai izmanto atmaksāto šo noteikumu </w:t>
      </w:r>
      <w:r>
        <w:t>9</w:t>
      </w:r>
      <w:r w:rsidR="005C36A5">
        <w:t>.2. apakšpunktā minēto finansējumu 10 % apmērā gadā no sabiedrības "</w:t>
      </w:r>
      <w:proofErr w:type="spellStart"/>
      <w:r w:rsidR="005C36A5">
        <w:t>Altum</w:t>
      </w:r>
      <w:proofErr w:type="spellEnd"/>
      <w:r w:rsidR="005C36A5">
        <w:t xml:space="preserve">" kapitāla, kas paredzēts šajos noteikumos minēto finanšu instrumentu kredītrisku, operacionālo risku un citu risku segšanai.” </w:t>
      </w:r>
    </w:p>
    <w:p w14:paraId="63954419" w14:textId="7E223100" w:rsidR="005C36A5" w:rsidRDefault="005C36A5" w:rsidP="007C1FD6">
      <w:pPr>
        <w:spacing w:after="120"/>
        <w:ind w:firstLine="720"/>
        <w:jc w:val="both"/>
      </w:pPr>
      <w:r>
        <w:t xml:space="preserve">Daudzdzīvokļu māju energoefektivitātes valsts atbalsta programmas īstenošanas termiņš ir </w:t>
      </w:r>
      <w:bookmarkStart w:id="13" w:name="_Hlk25571250"/>
      <w:r>
        <w:t xml:space="preserve">no 2016. gada līdz </w:t>
      </w:r>
      <w:bookmarkEnd w:id="13"/>
      <w:r>
        <w:t xml:space="preserve">2043. gadam. Programmā plānots izsniegt aizdevumu garantijas kopējā summā </w:t>
      </w:r>
      <w:bookmarkStart w:id="14" w:name="_Hlk23932039"/>
      <w:r>
        <w:t xml:space="preserve">75 milj. EUR </w:t>
      </w:r>
      <w:bookmarkEnd w:id="14"/>
      <w:r>
        <w:t xml:space="preserve">un izsniegt aizdevumus summā 17,670 milj. EUR. Līdz 31.10.2019 programmā ir izsniegtas aizdevumu garantijas summā 21,686 milj. EUR un izsniegti aizdevumi summā 1,774 milj. EUR. </w:t>
      </w:r>
    </w:p>
    <w:p w14:paraId="42B9CA7C" w14:textId="685CAB01" w:rsidR="006D707A" w:rsidRDefault="0086794F" w:rsidP="003E1973">
      <w:pPr>
        <w:spacing w:after="120"/>
        <w:ind w:firstLine="284"/>
        <w:rPr>
          <w:b/>
          <w:i/>
        </w:rPr>
      </w:pPr>
      <w:bookmarkStart w:id="15" w:name="_Hlk30971705"/>
      <w:r w:rsidRPr="002F6E79">
        <w:rPr>
          <w:b/>
          <w:i/>
        </w:rPr>
        <w:t>Tabula Nr.1. "Programm</w:t>
      </w:r>
      <w:r w:rsidR="00125C0F" w:rsidRPr="002F6E79">
        <w:rPr>
          <w:b/>
          <w:i/>
        </w:rPr>
        <w:t>as</w:t>
      </w:r>
      <w:r w:rsidRPr="002F6E79">
        <w:rPr>
          <w:b/>
          <w:i/>
        </w:rPr>
        <w:t xml:space="preserve"> īstenošan</w:t>
      </w:r>
      <w:r w:rsidR="00C945E0" w:rsidRPr="002F6E79">
        <w:rPr>
          <w:b/>
          <w:i/>
        </w:rPr>
        <w:t>ai</w:t>
      </w:r>
      <w:r w:rsidRPr="002F6E79">
        <w:rPr>
          <w:b/>
          <w:i/>
        </w:rPr>
        <w:t xml:space="preserve"> </w:t>
      </w:r>
      <w:r w:rsidR="007F7627" w:rsidRPr="002F6E79">
        <w:rPr>
          <w:b/>
          <w:i/>
        </w:rPr>
        <w:t xml:space="preserve">izmantotā </w:t>
      </w:r>
      <w:proofErr w:type="spellStart"/>
      <w:r w:rsidR="00C945E0" w:rsidRPr="002F6E79">
        <w:rPr>
          <w:b/>
          <w:i/>
        </w:rPr>
        <w:t>Altum</w:t>
      </w:r>
      <w:proofErr w:type="spellEnd"/>
      <w:r w:rsidR="00C945E0" w:rsidRPr="002F6E79">
        <w:rPr>
          <w:b/>
          <w:i/>
        </w:rPr>
        <w:t xml:space="preserve"> </w:t>
      </w:r>
      <w:r w:rsidRPr="002F6E79">
        <w:rPr>
          <w:b/>
          <w:i/>
        </w:rPr>
        <w:t>pašu kapitāla apmēr</w:t>
      </w:r>
      <w:r w:rsidR="00C945E0" w:rsidRPr="002F6E79">
        <w:rPr>
          <w:b/>
          <w:i/>
        </w:rPr>
        <w:t>s</w:t>
      </w:r>
      <w:r w:rsidRPr="002F6E79">
        <w:rPr>
          <w:b/>
          <w:i/>
        </w:rPr>
        <w:t>"</w:t>
      </w:r>
      <w:r w:rsidR="00A80DF2" w:rsidRPr="002F6E79">
        <w:rPr>
          <w:b/>
          <w:i/>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1985"/>
        <w:gridCol w:w="1843"/>
        <w:gridCol w:w="1701"/>
        <w:gridCol w:w="1842"/>
      </w:tblGrid>
      <w:tr w:rsidR="00956F9D" w:rsidRPr="00BD6B02" w14:paraId="4E4C16EC" w14:textId="77777777" w:rsidTr="007C1FD6">
        <w:trPr>
          <w:trHeight w:val="176"/>
        </w:trPr>
        <w:tc>
          <w:tcPr>
            <w:tcW w:w="1559" w:type="dxa"/>
            <w:shd w:val="clear" w:color="auto" w:fill="auto"/>
          </w:tcPr>
          <w:p w14:paraId="2EE7D5C7" w14:textId="77777777" w:rsidR="00956F9D" w:rsidRPr="00EF188B" w:rsidRDefault="00956F9D" w:rsidP="006A09AD">
            <w:pPr>
              <w:pStyle w:val="ListParagraph"/>
              <w:ind w:left="0"/>
              <w:jc w:val="center"/>
              <w:rPr>
                <w:b/>
              </w:rPr>
            </w:pPr>
            <w:bookmarkStart w:id="16" w:name="_Hlk30971792"/>
            <w:bookmarkEnd w:id="15"/>
            <w:r w:rsidRPr="00EF188B">
              <w:rPr>
                <w:b/>
              </w:rPr>
              <w:t>Finanšu instruments</w:t>
            </w:r>
          </w:p>
        </w:tc>
        <w:tc>
          <w:tcPr>
            <w:tcW w:w="1985" w:type="dxa"/>
          </w:tcPr>
          <w:p w14:paraId="0F010C03" w14:textId="1E9198F7" w:rsidR="00956F9D" w:rsidRPr="00EF188B" w:rsidRDefault="00956F9D" w:rsidP="006A09AD">
            <w:pPr>
              <w:pStyle w:val="ListParagraph"/>
              <w:ind w:left="0"/>
              <w:jc w:val="center"/>
              <w:rPr>
                <w:b/>
                <w:sz w:val="22"/>
                <w:szCs w:val="22"/>
              </w:rPr>
            </w:pPr>
            <w:r w:rsidRPr="00EF188B">
              <w:rPr>
                <w:b/>
                <w:sz w:val="22"/>
                <w:szCs w:val="22"/>
              </w:rPr>
              <w:t>Finanšu instrumenta kopējais apjoms</w:t>
            </w:r>
          </w:p>
        </w:tc>
        <w:tc>
          <w:tcPr>
            <w:tcW w:w="1843" w:type="dxa"/>
            <w:shd w:val="clear" w:color="auto" w:fill="auto"/>
          </w:tcPr>
          <w:p w14:paraId="363684F7" w14:textId="055E5C0A" w:rsidR="00956F9D" w:rsidRPr="00EF188B" w:rsidRDefault="00956F9D" w:rsidP="006A09AD">
            <w:pPr>
              <w:pStyle w:val="ListParagraph"/>
              <w:ind w:left="0"/>
              <w:jc w:val="center"/>
              <w:rPr>
                <w:b/>
                <w:sz w:val="22"/>
                <w:szCs w:val="22"/>
              </w:rPr>
            </w:pPr>
            <w:r w:rsidRPr="00EF188B">
              <w:rPr>
                <w:b/>
                <w:sz w:val="22"/>
                <w:szCs w:val="22"/>
              </w:rPr>
              <w:t>Izmantotā pašu kapitāla apmērs*</w:t>
            </w:r>
          </w:p>
        </w:tc>
        <w:tc>
          <w:tcPr>
            <w:tcW w:w="1701" w:type="dxa"/>
          </w:tcPr>
          <w:p w14:paraId="6497C235" w14:textId="232DFC2E" w:rsidR="00956F9D" w:rsidRPr="00EF188B" w:rsidRDefault="00956F9D" w:rsidP="006A09AD">
            <w:pPr>
              <w:pStyle w:val="ListParagraph"/>
              <w:ind w:left="0"/>
              <w:jc w:val="center"/>
              <w:rPr>
                <w:b/>
                <w:sz w:val="22"/>
                <w:szCs w:val="22"/>
              </w:rPr>
            </w:pPr>
            <w:proofErr w:type="spellStart"/>
            <w:r w:rsidRPr="00EF188B">
              <w:rPr>
                <w:b/>
                <w:bCs/>
                <w:sz w:val="22"/>
                <w:szCs w:val="22"/>
              </w:rPr>
              <w:t>Tsk</w:t>
            </w:r>
            <w:proofErr w:type="spellEnd"/>
            <w:r w:rsidRPr="00EF188B">
              <w:rPr>
                <w:b/>
                <w:bCs/>
                <w:sz w:val="22"/>
                <w:szCs w:val="22"/>
              </w:rPr>
              <w:t>. (nesegtiem) sagaidāmajiem paredzamajiem zaudējumiem</w:t>
            </w:r>
          </w:p>
        </w:tc>
        <w:tc>
          <w:tcPr>
            <w:tcW w:w="1842" w:type="dxa"/>
          </w:tcPr>
          <w:p w14:paraId="2D025A39" w14:textId="77180B94" w:rsidR="00956F9D" w:rsidRPr="00EF188B" w:rsidRDefault="00956F9D" w:rsidP="006A09AD">
            <w:pPr>
              <w:pStyle w:val="ListParagraph"/>
              <w:ind w:left="0"/>
              <w:jc w:val="center"/>
              <w:rPr>
                <w:b/>
                <w:sz w:val="22"/>
                <w:szCs w:val="22"/>
              </w:rPr>
            </w:pPr>
            <w:proofErr w:type="spellStart"/>
            <w:r w:rsidRPr="00EF188B">
              <w:rPr>
                <w:b/>
                <w:bCs/>
                <w:sz w:val="22"/>
                <w:szCs w:val="22"/>
              </w:rPr>
              <w:t>Tsk</w:t>
            </w:r>
            <w:proofErr w:type="spellEnd"/>
            <w:r w:rsidRPr="00EF188B">
              <w:rPr>
                <w:b/>
                <w:bCs/>
                <w:sz w:val="22"/>
                <w:szCs w:val="22"/>
              </w:rPr>
              <w:t>. (nesegtiem) sagaidāmajiem neparedzamajiem zaudējumiem**</w:t>
            </w:r>
          </w:p>
        </w:tc>
      </w:tr>
      <w:tr w:rsidR="00956F9D" w:rsidRPr="00BD6B02" w14:paraId="6A71B27F" w14:textId="77777777" w:rsidTr="007C1FD6">
        <w:trPr>
          <w:trHeight w:val="215"/>
        </w:trPr>
        <w:tc>
          <w:tcPr>
            <w:tcW w:w="1559" w:type="dxa"/>
            <w:shd w:val="clear" w:color="auto" w:fill="auto"/>
          </w:tcPr>
          <w:p w14:paraId="581829E2" w14:textId="77777777" w:rsidR="00956F9D" w:rsidRPr="00BD6B02" w:rsidRDefault="00956F9D" w:rsidP="006A09AD">
            <w:pPr>
              <w:pStyle w:val="ListParagraph"/>
              <w:ind w:left="0"/>
              <w:jc w:val="center"/>
              <w:rPr>
                <w:b/>
              </w:rPr>
            </w:pPr>
            <w:r w:rsidRPr="00BD6B02">
              <w:rPr>
                <w:b/>
              </w:rPr>
              <w:t xml:space="preserve">Aizdevumi </w:t>
            </w:r>
          </w:p>
          <w:p w14:paraId="320BAE40" w14:textId="2E8917D1" w:rsidR="00956F9D" w:rsidRPr="00BD6B02" w:rsidRDefault="00956F9D" w:rsidP="006A09AD">
            <w:pPr>
              <w:pStyle w:val="ListParagraph"/>
              <w:ind w:left="0"/>
              <w:jc w:val="center"/>
            </w:pPr>
            <w:r w:rsidRPr="00BD6B02">
              <w:t>2018.-204</w:t>
            </w:r>
            <w:r w:rsidR="00D812C4">
              <w:t>3</w:t>
            </w:r>
            <w:r w:rsidRPr="00BD6B02">
              <w:t>. g.</w:t>
            </w:r>
          </w:p>
        </w:tc>
        <w:tc>
          <w:tcPr>
            <w:tcW w:w="1985" w:type="dxa"/>
            <w:tcMar>
              <w:left w:w="113" w:type="dxa"/>
              <w:right w:w="113" w:type="dxa"/>
            </w:tcMar>
          </w:tcPr>
          <w:p w14:paraId="05289D5A" w14:textId="389FD8D1" w:rsidR="00956F9D" w:rsidRPr="00BD6B02" w:rsidRDefault="00956F9D" w:rsidP="006A09AD">
            <w:pPr>
              <w:pStyle w:val="ListParagraph"/>
              <w:ind w:left="0"/>
              <w:jc w:val="center"/>
            </w:pPr>
            <w:r w:rsidRPr="00BD6B02">
              <w:t>17</w:t>
            </w:r>
            <w:r w:rsidR="00EC2B60">
              <w:t xml:space="preserve"> </w:t>
            </w:r>
            <w:r w:rsidRPr="00BD6B02">
              <w:t>669</w:t>
            </w:r>
            <w:r w:rsidR="00EC2B60">
              <w:t xml:space="preserve"> </w:t>
            </w:r>
            <w:r w:rsidRPr="00BD6B02">
              <w:t>767</w:t>
            </w:r>
            <w:r w:rsidR="00A57530">
              <w:t xml:space="preserve"> EUR</w:t>
            </w:r>
          </w:p>
        </w:tc>
        <w:tc>
          <w:tcPr>
            <w:tcW w:w="1843" w:type="dxa"/>
            <w:shd w:val="clear" w:color="auto" w:fill="auto"/>
            <w:tcMar>
              <w:left w:w="113" w:type="dxa"/>
              <w:right w:w="113" w:type="dxa"/>
            </w:tcMar>
          </w:tcPr>
          <w:p w14:paraId="02293FD8" w14:textId="56E4E9DF" w:rsidR="00956F9D" w:rsidRPr="00BD6B02" w:rsidRDefault="00956F9D" w:rsidP="006A09AD">
            <w:pPr>
              <w:pStyle w:val="ListParagraph"/>
              <w:ind w:left="0"/>
              <w:jc w:val="right"/>
            </w:pPr>
            <w:r w:rsidRPr="00BD6B02">
              <w:t>339</w:t>
            </w:r>
            <w:r w:rsidR="00EC2B60">
              <w:t xml:space="preserve"> </w:t>
            </w:r>
            <w:r w:rsidRPr="00BD6B02">
              <w:t>64</w:t>
            </w:r>
            <w:r w:rsidR="00274171">
              <w:t>5</w:t>
            </w:r>
            <w:r w:rsidR="00A57530">
              <w:t xml:space="preserve"> EUR</w:t>
            </w:r>
            <w:r w:rsidRPr="00BD6B02">
              <w:t xml:space="preserve"> </w:t>
            </w:r>
          </w:p>
        </w:tc>
        <w:tc>
          <w:tcPr>
            <w:tcW w:w="1701" w:type="dxa"/>
            <w:tcMar>
              <w:left w:w="113" w:type="dxa"/>
              <w:right w:w="113" w:type="dxa"/>
            </w:tcMar>
          </w:tcPr>
          <w:p w14:paraId="0382F326" w14:textId="27B5F413" w:rsidR="00956F9D" w:rsidRPr="00BD6B02" w:rsidRDefault="00274171" w:rsidP="006A09AD">
            <w:pPr>
              <w:jc w:val="right"/>
              <w:rPr>
                <w:bCs/>
                <w:color w:val="000000"/>
              </w:rPr>
            </w:pPr>
            <w:r>
              <w:rPr>
                <w:bCs/>
                <w:color w:val="000000"/>
              </w:rPr>
              <w:t>181</w:t>
            </w:r>
            <w:r w:rsidR="00956F9D" w:rsidRPr="00BD6B02">
              <w:rPr>
                <w:bCs/>
                <w:color w:val="000000"/>
              </w:rPr>
              <w:t xml:space="preserve"> </w:t>
            </w:r>
            <w:r>
              <w:rPr>
                <w:bCs/>
                <w:color w:val="000000"/>
              </w:rPr>
              <w:t>613</w:t>
            </w:r>
            <w:r w:rsidR="00956F9D" w:rsidRPr="00BD6B02">
              <w:rPr>
                <w:bCs/>
                <w:color w:val="000000"/>
              </w:rPr>
              <w:t xml:space="preserve"> </w:t>
            </w:r>
            <w:r w:rsidR="00A57530">
              <w:rPr>
                <w:bCs/>
                <w:color w:val="000000"/>
              </w:rPr>
              <w:t>EUR</w:t>
            </w:r>
          </w:p>
        </w:tc>
        <w:tc>
          <w:tcPr>
            <w:tcW w:w="1842" w:type="dxa"/>
            <w:tcMar>
              <w:left w:w="113" w:type="dxa"/>
              <w:right w:w="113" w:type="dxa"/>
            </w:tcMar>
          </w:tcPr>
          <w:p w14:paraId="51B6BCB1" w14:textId="2C4B37C3" w:rsidR="00956F9D" w:rsidRPr="00BD6B02" w:rsidRDefault="00274171" w:rsidP="006A09AD">
            <w:pPr>
              <w:pStyle w:val="ListParagraph"/>
              <w:ind w:left="0"/>
              <w:jc w:val="right"/>
            </w:pPr>
            <w:r>
              <w:t>158</w:t>
            </w:r>
            <w:r w:rsidR="00EC2B60">
              <w:t xml:space="preserve"> </w:t>
            </w:r>
            <w:r w:rsidR="00956F9D" w:rsidRPr="00BD6B02">
              <w:t>0</w:t>
            </w:r>
            <w:r>
              <w:t>3</w:t>
            </w:r>
            <w:r w:rsidR="00842FB2">
              <w:t>2</w:t>
            </w:r>
            <w:r w:rsidR="00A57530">
              <w:t xml:space="preserve"> EUR</w:t>
            </w:r>
            <w:r w:rsidR="00956F9D" w:rsidRPr="00BD6B02">
              <w:t xml:space="preserve"> </w:t>
            </w:r>
          </w:p>
        </w:tc>
      </w:tr>
      <w:tr w:rsidR="00956F9D" w:rsidRPr="00BD6B02" w14:paraId="040D1527" w14:textId="77777777" w:rsidTr="007C1FD6">
        <w:trPr>
          <w:trHeight w:val="215"/>
        </w:trPr>
        <w:tc>
          <w:tcPr>
            <w:tcW w:w="1559" w:type="dxa"/>
            <w:shd w:val="clear" w:color="auto" w:fill="auto"/>
          </w:tcPr>
          <w:p w14:paraId="26D9ABBF" w14:textId="77777777" w:rsidR="00956F9D" w:rsidRPr="00BD6B02" w:rsidRDefault="00956F9D" w:rsidP="006A09AD">
            <w:pPr>
              <w:pStyle w:val="ListParagraph"/>
              <w:ind w:left="0"/>
              <w:jc w:val="center"/>
              <w:rPr>
                <w:b/>
              </w:rPr>
            </w:pPr>
            <w:r w:rsidRPr="00BD6B02">
              <w:rPr>
                <w:b/>
              </w:rPr>
              <w:t xml:space="preserve">Garantijas </w:t>
            </w:r>
          </w:p>
          <w:p w14:paraId="079E90A9" w14:textId="77777777" w:rsidR="00956F9D" w:rsidRPr="00BD6B02" w:rsidRDefault="00956F9D" w:rsidP="006A09AD">
            <w:pPr>
              <w:pStyle w:val="ListParagraph"/>
              <w:ind w:left="0"/>
              <w:jc w:val="center"/>
              <w:rPr>
                <w:b/>
              </w:rPr>
            </w:pPr>
            <w:r w:rsidRPr="00BD6B02">
              <w:t>2016.-2037. g.</w:t>
            </w:r>
          </w:p>
        </w:tc>
        <w:tc>
          <w:tcPr>
            <w:tcW w:w="1985" w:type="dxa"/>
            <w:tcMar>
              <w:left w:w="113" w:type="dxa"/>
              <w:right w:w="113" w:type="dxa"/>
            </w:tcMar>
          </w:tcPr>
          <w:p w14:paraId="692067CD" w14:textId="6E438228" w:rsidR="00956F9D" w:rsidRPr="00BD6B02" w:rsidRDefault="00956F9D" w:rsidP="006A09AD">
            <w:pPr>
              <w:pStyle w:val="ListParagraph"/>
              <w:ind w:left="0"/>
              <w:jc w:val="center"/>
            </w:pPr>
            <w:r w:rsidRPr="00BD6B02">
              <w:t>75</w:t>
            </w:r>
            <w:r w:rsidR="00EC2B60">
              <w:t xml:space="preserve"> </w:t>
            </w:r>
            <w:r w:rsidRPr="00BD6B02">
              <w:t>000</w:t>
            </w:r>
            <w:r w:rsidR="00EC2B60">
              <w:t xml:space="preserve"> </w:t>
            </w:r>
            <w:r w:rsidRPr="00BD6B02">
              <w:t>000</w:t>
            </w:r>
            <w:r w:rsidR="00A57530">
              <w:t xml:space="preserve"> EUR</w:t>
            </w:r>
          </w:p>
        </w:tc>
        <w:tc>
          <w:tcPr>
            <w:tcW w:w="1843" w:type="dxa"/>
            <w:shd w:val="clear" w:color="auto" w:fill="auto"/>
            <w:tcMar>
              <w:left w:w="113" w:type="dxa"/>
              <w:right w:w="113" w:type="dxa"/>
            </w:tcMar>
          </w:tcPr>
          <w:p w14:paraId="1B3B1D75" w14:textId="1E402647" w:rsidR="00956F9D" w:rsidRPr="00BD6B02" w:rsidRDefault="00956F9D" w:rsidP="006A09AD">
            <w:pPr>
              <w:pStyle w:val="ListParagraph"/>
              <w:ind w:left="0"/>
              <w:jc w:val="right"/>
            </w:pPr>
            <w:r w:rsidRPr="00BD6B02">
              <w:t>2</w:t>
            </w:r>
            <w:r w:rsidR="00EC2B60">
              <w:t xml:space="preserve"> </w:t>
            </w:r>
            <w:r w:rsidRPr="00BD6B02">
              <w:t>212</w:t>
            </w:r>
            <w:r w:rsidR="00EC2B60">
              <w:t xml:space="preserve"> </w:t>
            </w:r>
            <w:r w:rsidRPr="00BD6B02">
              <w:t>189</w:t>
            </w:r>
            <w:r w:rsidR="00A57530">
              <w:t xml:space="preserve"> EUR</w:t>
            </w:r>
            <w:r w:rsidR="009D2760">
              <w:t xml:space="preserve"> </w:t>
            </w:r>
          </w:p>
        </w:tc>
        <w:tc>
          <w:tcPr>
            <w:tcW w:w="1701" w:type="dxa"/>
            <w:tcMar>
              <w:left w:w="113" w:type="dxa"/>
              <w:right w:w="113" w:type="dxa"/>
            </w:tcMar>
          </w:tcPr>
          <w:p w14:paraId="45E5E041" w14:textId="26ADC4DD" w:rsidR="00956F9D" w:rsidRPr="00BD6B02" w:rsidRDefault="009D2760" w:rsidP="006A09AD">
            <w:pPr>
              <w:pStyle w:val="ListParagraph"/>
              <w:ind w:left="0"/>
              <w:jc w:val="right"/>
            </w:pPr>
            <w:r>
              <w:t>829</w:t>
            </w:r>
            <w:r w:rsidR="00EC2B60">
              <w:t xml:space="preserve"> </w:t>
            </w:r>
            <w:r>
              <w:t>571</w:t>
            </w:r>
            <w:r w:rsidR="00A57530">
              <w:t xml:space="preserve"> EUR</w:t>
            </w:r>
            <w:r w:rsidR="00956F9D" w:rsidRPr="00BD6B02">
              <w:t xml:space="preserve"> </w:t>
            </w:r>
          </w:p>
        </w:tc>
        <w:tc>
          <w:tcPr>
            <w:tcW w:w="1842" w:type="dxa"/>
            <w:tcMar>
              <w:left w:w="113" w:type="dxa"/>
              <w:right w:w="113" w:type="dxa"/>
            </w:tcMar>
          </w:tcPr>
          <w:p w14:paraId="1ED8F3C8" w14:textId="1CC28B67" w:rsidR="00956F9D" w:rsidRPr="00BD6B02" w:rsidRDefault="00956F9D" w:rsidP="006A09AD">
            <w:pPr>
              <w:pStyle w:val="ListParagraph"/>
              <w:ind w:left="0"/>
              <w:jc w:val="right"/>
            </w:pPr>
            <w:r w:rsidRPr="00BD6B02">
              <w:t>1</w:t>
            </w:r>
            <w:r w:rsidR="009D2760">
              <w:t xml:space="preserve"> 382 618 </w:t>
            </w:r>
            <w:r w:rsidR="00A57530">
              <w:t>EUR</w:t>
            </w:r>
          </w:p>
        </w:tc>
      </w:tr>
    </w:tbl>
    <w:p w14:paraId="04F13650" w14:textId="186F7A52" w:rsidR="00956F9D" w:rsidRPr="003E1973" w:rsidRDefault="00956F9D" w:rsidP="004E4375">
      <w:pPr>
        <w:pStyle w:val="ListParagraph"/>
        <w:ind w:left="0" w:firstLine="357"/>
        <w:jc w:val="both"/>
        <w:rPr>
          <w:sz w:val="20"/>
          <w:szCs w:val="20"/>
        </w:rPr>
      </w:pPr>
      <w:r w:rsidRPr="003E1973">
        <w:rPr>
          <w:sz w:val="20"/>
          <w:szCs w:val="20"/>
        </w:rPr>
        <w:t xml:space="preserve">* </w:t>
      </w:r>
      <w:r w:rsidR="00187E86" w:rsidRPr="003E1973">
        <w:rPr>
          <w:sz w:val="20"/>
          <w:szCs w:val="20"/>
        </w:rPr>
        <w:t>M</w:t>
      </w:r>
      <w:r w:rsidRPr="003E1973">
        <w:rPr>
          <w:sz w:val="20"/>
          <w:szCs w:val="20"/>
        </w:rPr>
        <w:t>aksimālā summa (2023. gadā)</w:t>
      </w:r>
      <w:r w:rsidR="00187E86" w:rsidRPr="003E1973">
        <w:rPr>
          <w:sz w:val="20"/>
          <w:szCs w:val="20"/>
        </w:rPr>
        <w:t>.</w:t>
      </w:r>
      <w:r w:rsidRPr="003E1973">
        <w:rPr>
          <w:sz w:val="20"/>
          <w:szCs w:val="20"/>
        </w:rPr>
        <w:t xml:space="preserve"> </w:t>
      </w:r>
    </w:p>
    <w:p w14:paraId="34BD56EE" w14:textId="77777777" w:rsidR="00956F9D" w:rsidRPr="003E1973" w:rsidRDefault="00956F9D" w:rsidP="00956F9D">
      <w:pPr>
        <w:pStyle w:val="ListParagraph"/>
        <w:spacing w:after="120"/>
        <w:ind w:left="0" w:firstLine="357"/>
        <w:jc w:val="both"/>
        <w:rPr>
          <w:sz w:val="20"/>
          <w:szCs w:val="20"/>
        </w:rPr>
      </w:pPr>
      <w:r w:rsidRPr="003E1973">
        <w:rPr>
          <w:sz w:val="20"/>
          <w:szCs w:val="20"/>
        </w:rPr>
        <w:lastRenderedPageBreak/>
        <w:t xml:space="preserve">** </w:t>
      </w:r>
      <w:proofErr w:type="spellStart"/>
      <w:r w:rsidRPr="003E1973">
        <w:rPr>
          <w:sz w:val="20"/>
          <w:szCs w:val="20"/>
        </w:rPr>
        <w:t>Altum</w:t>
      </w:r>
      <w:proofErr w:type="spellEnd"/>
      <w:r w:rsidRPr="003E1973">
        <w:rPr>
          <w:sz w:val="20"/>
          <w:szCs w:val="20"/>
        </w:rPr>
        <w:t xml:space="preserve"> riska apjoms un uz programmu attiecināmā kapitāla apjoms samazinās, ja no publiskiem resursiem (atmaksātiem līdzekļiem) programmas īstenošanas beigu posmā tiek izveidots papildus riska segums. </w:t>
      </w:r>
    </w:p>
    <w:p w14:paraId="339B83B0" w14:textId="1DB4FABC" w:rsidR="0003664B" w:rsidRPr="00C945E0" w:rsidRDefault="0040094E" w:rsidP="00C945E0">
      <w:pPr>
        <w:pStyle w:val="ListParagraph"/>
        <w:spacing w:before="120" w:after="120"/>
        <w:ind w:left="0" w:firstLine="360"/>
        <w:jc w:val="both"/>
      </w:pPr>
      <w:proofErr w:type="spellStart"/>
      <w:r w:rsidRPr="00C945E0">
        <w:t>Altum</w:t>
      </w:r>
      <w:proofErr w:type="spellEnd"/>
      <w:r w:rsidR="0086794F" w:rsidRPr="00C945E0">
        <w:t xml:space="preserve"> </w:t>
      </w:r>
      <w:r w:rsidR="005A0602">
        <w:t>p</w:t>
      </w:r>
      <w:r w:rsidR="005A0602" w:rsidRPr="00C945E0">
        <w:t xml:space="preserve">lānotā </w:t>
      </w:r>
      <w:r w:rsidR="0086794F" w:rsidRPr="00C945E0">
        <w:t xml:space="preserve">pašu kapitāla </w:t>
      </w:r>
      <w:proofErr w:type="spellStart"/>
      <w:r w:rsidR="0086794F" w:rsidRPr="00C945E0">
        <w:t>atdeves</w:t>
      </w:r>
      <w:proofErr w:type="spellEnd"/>
      <w:r w:rsidR="0086794F" w:rsidRPr="00C945E0">
        <w:t xml:space="preserve"> likme un apjoms parādīti Tabulā Nr.</w:t>
      </w:r>
      <w:r w:rsidRPr="00C945E0">
        <w:t>2</w:t>
      </w:r>
      <w:r w:rsidR="0086794F" w:rsidRPr="00C945E0">
        <w:t xml:space="preserve"> </w:t>
      </w:r>
      <w:r w:rsidR="004E4375" w:rsidRPr="004E4375">
        <w:t>"</w:t>
      </w:r>
      <w:r w:rsidR="00A57046" w:rsidRPr="00A57046">
        <w:t xml:space="preserve">Pašu kapitāla plānotā </w:t>
      </w:r>
      <w:proofErr w:type="spellStart"/>
      <w:r w:rsidR="00A57046" w:rsidRPr="00A57046">
        <w:t>atdeves</w:t>
      </w:r>
      <w:proofErr w:type="spellEnd"/>
      <w:r w:rsidR="00A57046" w:rsidRPr="00A57046">
        <w:t xml:space="preserve"> likme un apmērs un finansējums vadības izmaksu segšanai </w:t>
      </w:r>
      <w:r w:rsidR="004E4375" w:rsidRPr="004E4375">
        <w:t>"</w:t>
      </w:r>
      <w:r w:rsidR="002A3A95" w:rsidRPr="00C945E0">
        <w:t>.</w:t>
      </w:r>
      <w:r w:rsidR="005B686B">
        <w:t xml:space="preserve"> </w:t>
      </w:r>
    </w:p>
    <w:p w14:paraId="3E437953" w14:textId="51630BEA" w:rsidR="007A3DA3" w:rsidRPr="002F6E79" w:rsidRDefault="0086794F" w:rsidP="003E1973">
      <w:pPr>
        <w:spacing w:after="120"/>
        <w:ind w:firstLine="284"/>
        <w:rPr>
          <w:b/>
          <w:i/>
        </w:rPr>
      </w:pPr>
      <w:bookmarkStart w:id="17" w:name="_Hlk33535183"/>
      <w:r w:rsidRPr="002F6E79">
        <w:rPr>
          <w:b/>
          <w:i/>
        </w:rPr>
        <w:t>Tabula Nr.</w:t>
      </w:r>
      <w:r w:rsidR="0040094E" w:rsidRPr="002F6E79">
        <w:rPr>
          <w:b/>
          <w:i/>
        </w:rPr>
        <w:t>2</w:t>
      </w:r>
      <w:r w:rsidR="006A2A37">
        <w:rPr>
          <w:b/>
          <w:i/>
        </w:rPr>
        <w:t>.</w:t>
      </w:r>
      <w:r w:rsidRPr="002F6E79">
        <w:rPr>
          <w:b/>
          <w:i/>
        </w:rPr>
        <w:t xml:space="preserve"> </w:t>
      </w:r>
      <w:bookmarkStart w:id="18" w:name="_Hlk33616309"/>
      <w:r w:rsidR="00676E3D" w:rsidRPr="002F6E79">
        <w:rPr>
          <w:b/>
          <w:i/>
        </w:rPr>
        <w:t>"</w:t>
      </w:r>
      <w:r w:rsidRPr="002F6E79">
        <w:rPr>
          <w:b/>
          <w:i/>
        </w:rPr>
        <w:t xml:space="preserve"> </w:t>
      </w:r>
      <w:r w:rsidR="00A57046">
        <w:rPr>
          <w:b/>
          <w:i/>
        </w:rPr>
        <w:t>P</w:t>
      </w:r>
      <w:r w:rsidRPr="002F6E79">
        <w:rPr>
          <w:b/>
          <w:i/>
        </w:rPr>
        <w:t xml:space="preserve">ašu kapitāla </w:t>
      </w:r>
      <w:r w:rsidR="00A57046">
        <w:rPr>
          <w:b/>
          <w:i/>
        </w:rPr>
        <w:t>p</w:t>
      </w:r>
      <w:r w:rsidR="00A57046" w:rsidRPr="002F6E79">
        <w:rPr>
          <w:b/>
          <w:i/>
        </w:rPr>
        <w:t xml:space="preserve">lānotā </w:t>
      </w:r>
      <w:proofErr w:type="spellStart"/>
      <w:r w:rsidRPr="002F6E79">
        <w:rPr>
          <w:b/>
          <w:i/>
        </w:rPr>
        <w:t>atdeves</w:t>
      </w:r>
      <w:proofErr w:type="spellEnd"/>
      <w:r w:rsidRPr="002F6E79">
        <w:rPr>
          <w:b/>
          <w:i/>
        </w:rPr>
        <w:t xml:space="preserve"> likme un apmērs</w:t>
      </w:r>
      <w:r w:rsidR="004E4375">
        <w:rPr>
          <w:b/>
          <w:i/>
        </w:rPr>
        <w:t xml:space="preserve"> un finansējums vadības izmaksu segšanai</w:t>
      </w:r>
      <w:r w:rsidR="00676E3D" w:rsidRPr="002F6E79">
        <w:rPr>
          <w:b/>
          <w:i/>
        </w:rPr>
        <w:t>"</w:t>
      </w:r>
      <w:r w:rsidR="005A0602" w:rsidRPr="002F6E79">
        <w:rPr>
          <w:b/>
          <w:i/>
        </w:rPr>
        <w:t xml:space="preserve"> </w:t>
      </w:r>
      <w:bookmarkEnd w:id="18"/>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316"/>
        <w:gridCol w:w="2489"/>
      </w:tblGrid>
      <w:tr w:rsidR="00287FED" w14:paraId="10C76DD8" w14:textId="77777777" w:rsidTr="007B07F3">
        <w:trPr>
          <w:trHeight w:val="228"/>
          <w:jc w:val="center"/>
        </w:trPr>
        <w:tc>
          <w:tcPr>
            <w:tcW w:w="4081" w:type="dxa"/>
            <w:shd w:val="clear" w:color="auto" w:fill="auto"/>
          </w:tcPr>
          <w:p w14:paraId="3D923BC5" w14:textId="77777777" w:rsidR="007B07F3" w:rsidRPr="0003664B" w:rsidRDefault="007B07F3" w:rsidP="008300A1">
            <w:pPr>
              <w:pStyle w:val="ListParagraph"/>
              <w:ind w:left="0"/>
              <w:jc w:val="both"/>
            </w:pPr>
          </w:p>
        </w:tc>
        <w:tc>
          <w:tcPr>
            <w:tcW w:w="2316" w:type="dxa"/>
            <w:shd w:val="clear" w:color="auto" w:fill="auto"/>
          </w:tcPr>
          <w:p w14:paraId="1171C6AA" w14:textId="77777777" w:rsidR="00004991" w:rsidRPr="00E31B40" w:rsidRDefault="0086794F" w:rsidP="005E1CD6">
            <w:pPr>
              <w:pStyle w:val="ListParagraph"/>
              <w:ind w:left="0"/>
              <w:jc w:val="center"/>
              <w:rPr>
                <w:b/>
                <w:sz w:val="22"/>
                <w:szCs w:val="22"/>
              </w:rPr>
            </w:pPr>
            <w:r w:rsidRPr="00E31B40">
              <w:rPr>
                <w:b/>
                <w:sz w:val="22"/>
                <w:szCs w:val="22"/>
              </w:rPr>
              <w:t xml:space="preserve">Aizdevumi </w:t>
            </w:r>
          </w:p>
          <w:p w14:paraId="2E0BCD82" w14:textId="54DF11F1" w:rsidR="007B07F3" w:rsidRPr="00E31B40" w:rsidRDefault="00004991" w:rsidP="005E1CD6">
            <w:pPr>
              <w:pStyle w:val="ListParagraph"/>
              <w:ind w:left="0"/>
              <w:jc w:val="center"/>
              <w:rPr>
                <w:rFonts w:ascii="Calibri" w:hAnsi="Calibri"/>
                <w:b/>
                <w:color w:val="FFFFFF"/>
                <w:kern w:val="24"/>
                <w:sz w:val="22"/>
                <w:szCs w:val="22"/>
              </w:rPr>
            </w:pPr>
            <w:r w:rsidRPr="00E31B40">
              <w:rPr>
                <w:b/>
                <w:sz w:val="22"/>
                <w:szCs w:val="22"/>
              </w:rPr>
              <w:t>2018.-2042. g.</w:t>
            </w:r>
          </w:p>
        </w:tc>
        <w:tc>
          <w:tcPr>
            <w:tcW w:w="2489" w:type="dxa"/>
            <w:shd w:val="clear" w:color="auto" w:fill="auto"/>
          </w:tcPr>
          <w:p w14:paraId="1FC630D8" w14:textId="114C99DA" w:rsidR="00004991" w:rsidRPr="00E31B40" w:rsidRDefault="0086794F" w:rsidP="005E1CD6">
            <w:pPr>
              <w:pStyle w:val="ListParagraph"/>
              <w:ind w:left="0"/>
              <w:jc w:val="center"/>
              <w:rPr>
                <w:b/>
                <w:sz w:val="22"/>
                <w:szCs w:val="22"/>
              </w:rPr>
            </w:pPr>
            <w:r w:rsidRPr="00E31B40">
              <w:rPr>
                <w:b/>
                <w:sz w:val="22"/>
                <w:szCs w:val="22"/>
              </w:rPr>
              <w:t>Garantijas</w:t>
            </w:r>
            <w:r w:rsidR="00004991" w:rsidRPr="00E31B40">
              <w:rPr>
                <w:b/>
                <w:sz w:val="22"/>
                <w:szCs w:val="22"/>
              </w:rPr>
              <w:t xml:space="preserve"> </w:t>
            </w:r>
          </w:p>
          <w:p w14:paraId="15D7BF02" w14:textId="469A128B" w:rsidR="007B07F3" w:rsidRPr="00E31B40" w:rsidRDefault="00004991" w:rsidP="005E1CD6">
            <w:pPr>
              <w:pStyle w:val="ListParagraph"/>
              <w:ind w:left="0"/>
              <w:jc w:val="center"/>
              <w:rPr>
                <w:rFonts w:ascii="Calibri" w:hAnsi="Calibri"/>
                <w:b/>
                <w:color w:val="FFFFFF"/>
                <w:kern w:val="24"/>
                <w:sz w:val="22"/>
                <w:szCs w:val="22"/>
              </w:rPr>
            </w:pPr>
            <w:r w:rsidRPr="00E31B40">
              <w:rPr>
                <w:b/>
                <w:sz w:val="22"/>
                <w:szCs w:val="22"/>
              </w:rPr>
              <w:t>2016.-2037. g.</w:t>
            </w:r>
          </w:p>
        </w:tc>
      </w:tr>
      <w:tr w:rsidR="00287FED" w14:paraId="070BCFA0" w14:textId="77777777" w:rsidTr="006400F2">
        <w:trPr>
          <w:trHeight w:val="452"/>
          <w:jc w:val="center"/>
        </w:trPr>
        <w:tc>
          <w:tcPr>
            <w:tcW w:w="4081" w:type="dxa"/>
            <w:shd w:val="clear" w:color="auto" w:fill="auto"/>
          </w:tcPr>
          <w:p w14:paraId="1CDE18F0" w14:textId="6D77F2F1" w:rsidR="007B07F3" w:rsidRPr="0003664B" w:rsidRDefault="00104E83" w:rsidP="008300A1">
            <w:pPr>
              <w:pStyle w:val="ListParagraph"/>
              <w:ind w:left="0"/>
              <w:jc w:val="both"/>
            </w:pPr>
            <w:r>
              <w:rPr>
                <w:color w:val="000000"/>
                <w:kern w:val="24"/>
              </w:rPr>
              <w:t>P</w:t>
            </w:r>
            <w:r w:rsidRPr="008300A1">
              <w:rPr>
                <w:color w:val="000000"/>
                <w:kern w:val="24"/>
              </w:rPr>
              <w:t xml:space="preserve">lānotā </w:t>
            </w:r>
            <w:r>
              <w:rPr>
                <w:color w:val="000000"/>
                <w:kern w:val="24"/>
              </w:rPr>
              <w:t>i</w:t>
            </w:r>
            <w:r w:rsidR="0086794F" w:rsidRPr="008300A1">
              <w:rPr>
                <w:color w:val="000000"/>
                <w:kern w:val="24"/>
              </w:rPr>
              <w:t xml:space="preserve">zmantotā pašu kapitāla </w:t>
            </w:r>
            <w:proofErr w:type="spellStart"/>
            <w:r w:rsidR="0086794F" w:rsidRPr="008300A1">
              <w:rPr>
                <w:color w:val="000000"/>
                <w:kern w:val="24"/>
              </w:rPr>
              <w:t>atdeves</w:t>
            </w:r>
            <w:proofErr w:type="spellEnd"/>
            <w:r w:rsidR="0086794F" w:rsidRPr="008300A1">
              <w:rPr>
                <w:color w:val="000000"/>
                <w:kern w:val="24"/>
              </w:rPr>
              <w:t xml:space="preserve"> likme, % no </w:t>
            </w:r>
            <w:r>
              <w:rPr>
                <w:color w:val="000000"/>
                <w:kern w:val="24"/>
              </w:rPr>
              <w:t>izmantotā</w:t>
            </w:r>
            <w:r w:rsidR="0086794F" w:rsidRPr="008300A1">
              <w:rPr>
                <w:color w:val="000000"/>
                <w:kern w:val="24"/>
              </w:rPr>
              <w:t xml:space="preserve"> kapitāla</w:t>
            </w:r>
            <w:r>
              <w:rPr>
                <w:color w:val="000000"/>
                <w:kern w:val="24"/>
              </w:rPr>
              <w:t xml:space="preserve"> </w:t>
            </w:r>
          </w:p>
        </w:tc>
        <w:tc>
          <w:tcPr>
            <w:tcW w:w="2316" w:type="dxa"/>
            <w:shd w:val="clear" w:color="auto" w:fill="auto"/>
          </w:tcPr>
          <w:p w14:paraId="0F6F6E21" w14:textId="77777777" w:rsidR="007B07F3" w:rsidRPr="008300A1" w:rsidRDefault="0086794F" w:rsidP="005E1CD6">
            <w:pPr>
              <w:pStyle w:val="ListParagraph"/>
              <w:ind w:left="0"/>
              <w:jc w:val="center"/>
              <w:rPr>
                <w:rFonts w:ascii="Calibri" w:hAnsi="Calibri"/>
                <w:color w:val="000000"/>
                <w:kern w:val="24"/>
                <w:sz w:val="22"/>
                <w:szCs w:val="22"/>
              </w:rPr>
            </w:pPr>
            <w:r w:rsidRPr="008300A1">
              <w:rPr>
                <w:color w:val="000000"/>
                <w:kern w:val="24"/>
              </w:rPr>
              <w:t>10%</w:t>
            </w:r>
          </w:p>
        </w:tc>
        <w:tc>
          <w:tcPr>
            <w:tcW w:w="2489" w:type="dxa"/>
            <w:shd w:val="clear" w:color="auto" w:fill="auto"/>
          </w:tcPr>
          <w:p w14:paraId="40E0B1A5" w14:textId="77777777" w:rsidR="007B07F3" w:rsidRPr="008300A1" w:rsidRDefault="0086794F" w:rsidP="005E1CD6">
            <w:pPr>
              <w:pStyle w:val="ListParagraph"/>
              <w:ind w:left="0"/>
              <w:jc w:val="center"/>
              <w:rPr>
                <w:rFonts w:ascii="Calibri" w:hAnsi="Calibri"/>
                <w:color w:val="000000"/>
                <w:kern w:val="24"/>
                <w:sz w:val="22"/>
                <w:szCs w:val="22"/>
              </w:rPr>
            </w:pPr>
            <w:r w:rsidRPr="008300A1">
              <w:rPr>
                <w:color w:val="000000"/>
                <w:kern w:val="24"/>
              </w:rPr>
              <w:t>10%</w:t>
            </w:r>
          </w:p>
        </w:tc>
      </w:tr>
      <w:tr w:rsidR="00287FED" w14:paraId="7796A27A" w14:textId="77777777" w:rsidTr="00A96525">
        <w:trPr>
          <w:trHeight w:val="626"/>
          <w:jc w:val="center"/>
        </w:trPr>
        <w:tc>
          <w:tcPr>
            <w:tcW w:w="4081" w:type="dxa"/>
            <w:shd w:val="clear" w:color="auto" w:fill="auto"/>
          </w:tcPr>
          <w:p w14:paraId="6B28E7F1" w14:textId="6235BB7D" w:rsidR="007B07F3" w:rsidRPr="0003664B" w:rsidRDefault="005E1CD6" w:rsidP="005E1CD6">
            <w:pPr>
              <w:pStyle w:val="ListParagraph"/>
              <w:ind w:left="0"/>
            </w:pPr>
            <w:r>
              <w:rPr>
                <w:color w:val="000000"/>
                <w:kern w:val="24"/>
              </w:rPr>
              <w:t xml:space="preserve">Plānotais finansējums </w:t>
            </w:r>
            <w:r w:rsidRPr="005E1CD6">
              <w:rPr>
                <w:color w:val="000000"/>
                <w:kern w:val="24"/>
              </w:rPr>
              <w:t>maksas par izmantoto kapitālu segšanai</w:t>
            </w:r>
            <w:r w:rsidR="0086794F" w:rsidRPr="008300A1">
              <w:rPr>
                <w:color w:val="000000"/>
                <w:kern w:val="24"/>
              </w:rPr>
              <w:t xml:space="preserve"> </w:t>
            </w:r>
          </w:p>
        </w:tc>
        <w:tc>
          <w:tcPr>
            <w:tcW w:w="2316" w:type="dxa"/>
            <w:shd w:val="clear" w:color="auto" w:fill="auto"/>
          </w:tcPr>
          <w:p w14:paraId="1B56F8F2" w14:textId="26A3EEB5" w:rsidR="007B07F3" w:rsidRPr="00A96525" w:rsidRDefault="0086794F" w:rsidP="005E1CD6">
            <w:pPr>
              <w:pStyle w:val="NormalWeb"/>
              <w:spacing w:before="0" w:beforeAutospacing="0" w:after="0" w:afterAutospacing="0"/>
              <w:rPr>
                <w:rFonts w:ascii="Times New Roman" w:hAnsi="Times New Roman" w:cs="Times New Roman"/>
                <w:color w:val="000000"/>
                <w:kern w:val="24"/>
                <w:lang w:val="lv-LV"/>
              </w:rPr>
            </w:pPr>
            <w:r w:rsidRPr="008300A1">
              <w:rPr>
                <w:rFonts w:ascii="Times New Roman" w:hAnsi="Times New Roman" w:cs="Times New Roman"/>
                <w:color w:val="000000"/>
                <w:kern w:val="24"/>
                <w:lang w:val="lv-LV"/>
              </w:rPr>
              <w:t>3</w:t>
            </w:r>
            <w:r w:rsidR="006400F2">
              <w:rPr>
                <w:rFonts w:ascii="Times New Roman" w:hAnsi="Times New Roman" w:cs="Times New Roman"/>
                <w:color w:val="000000"/>
                <w:kern w:val="24"/>
                <w:lang w:val="lv-LV"/>
              </w:rPr>
              <w:t>53</w:t>
            </w:r>
            <w:r w:rsidRPr="008300A1">
              <w:rPr>
                <w:rFonts w:ascii="Times New Roman" w:hAnsi="Times New Roman" w:cs="Times New Roman"/>
                <w:color w:val="000000"/>
                <w:kern w:val="24"/>
                <w:lang w:val="lv-LV"/>
              </w:rPr>
              <w:t xml:space="preserve"> </w:t>
            </w:r>
            <w:r w:rsidR="00787181">
              <w:rPr>
                <w:rFonts w:ascii="Times New Roman" w:hAnsi="Times New Roman" w:cs="Times New Roman"/>
                <w:color w:val="000000"/>
                <w:kern w:val="24"/>
                <w:lang w:val="lv-LV"/>
              </w:rPr>
              <w:t>tūkst</w:t>
            </w:r>
            <w:r w:rsidRPr="008300A1">
              <w:rPr>
                <w:rFonts w:ascii="Times New Roman" w:hAnsi="Times New Roman" w:cs="Times New Roman"/>
                <w:color w:val="000000"/>
                <w:kern w:val="24"/>
                <w:lang w:val="lv-LV"/>
              </w:rPr>
              <w:t>. EUR</w:t>
            </w:r>
          </w:p>
        </w:tc>
        <w:tc>
          <w:tcPr>
            <w:tcW w:w="2489" w:type="dxa"/>
            <w:shd w:val="clear" w:color="auto" w:fill="auto"/>
          </w:tcPr>
          <w:p w14:paraId="72992112" w14:textId="4CAFA6DF" w:rsidR="007B07F3" w:rsidRPr="008300A1" w:rsidRDefault="006400F2" w:rsidP="00A96525">
            <w:pPr>
              <w:pStyle w:val="NormalWeb"/>
              <w:spacing w:before="0" w:beforeAutospacing="0" w:after="0" w:afterAutospacing="0"/>
              <w:rPr>
                <w:rFonts w:ascii="Times New Roman" w:hAnsi="Times New Roman" w:cs="Times New Roman"/>
                <w:color w:val="000000"/>
                <w:kern w:val="24"/>
                <w:sz w:val="22"/>
                <w:szCs w:val="22"/>
                <w:lang w:val="lv-LV"/>
              </w:rPr>
            </w:pPr>
            <w:r>
              <w:rPr>
                <w:rFonts w:ascii="Times New Roman" w:hAnsi="Times New Roman" w:cs="Times New Roman"/>
                <w:color w:val="000000"/>
                <w:kern w:val="24"/>
                <w:lang w:val="lv-LV"/>
              </w:rPr>
              <w:t>2</w:t>
            </w:r>
            <w:r w:rsidR="00787181">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592</w:t>
            </w:r>
            <w:r w:rsidRPr="008300A1">
              <w:rPr>
                <w:rFonts w:ascii="Times New Roman" w:hAnsi="Times New Roman" w:cs="Times New Roman"/>
                <w:color w:val="000000"/>
                <w:kern w:val="24"/>
                <w:lang w:val="lv-LV"/>
              </w:rPr>
              <w:t xml:space="preserve"> </w:t>
            </w:r>
            <w:r w:rsidR="00787181">
              <w:rPr>
                <w:rFonts w:ascii="Times New Roman" w:hAnsi="Times New Roman" w:cs="Times New Roman"/>
                <w:color w:val="000000"/>
                <w:kern w:val="24"/>
                <w:lang w:val="lv-LV"/>
              </w:rPr>
              <w:t>tūkst</w:t>
            </w:r>
            <w:r w:rsidRPr="008300A1">
              <w:rPr>
                <w:rFonts w:ascii="Times New Roman" w:hAnsi="Times New Roman" w:cs="Times New Roman"/>
                <w:color w:val="000000"/>
                <w:kern w:val="24"/>
                <w:lang w:val="lv-LV"/>
              </w:rPr>
              <w:t xml:space="preserve">. EUR </w:t>
            </w:r>
          </w:p>
        </w:tc>
      </w:tr>
      <w:tr w:rsidR="005E1CD6" w14:paraId="47FD420D" w14:textId="77777777" w:rsidTr="007C1FD6">
        <w:trPr>
          <w:trHeight w:val="525"/>
          <w:jc w:val="center"/>
        </w:trPr>
        <w:tc>
          <w:tcPr>
            <w:tcW w:w="4081" w:type="dxa"/>
            <w:shd w:val="clear" w:color="auto" w:fill="auto"/>
          </w:tcPr>
          <w:p w14:paraId="550AD157" w14:textId="467F0CF6" w:rsidR="005E1CD6" w:rsidRPr="005E1CD6" w:rsidRDefault="005E1CD6" w:rsidP="005E1CD6">
            <w:pPr>
              <w:pStyle w:val="ListParagraph"/>
              <w:ind w:left="0"/>
              <w:rPr>
                <w:color w:val="000000"/>
                <w:kern w:val="24"/>
              </w:rPr>
            </w:pPr>
            <w:r>
              <w:t xml:space="preserve">Plānotais finansējums </w:t>
            </w:r>
            <w:r w:rsidRPr="005E1CD6">
              <w:t>vadības izmaksu segšanai</w:t>
            </w:r>
          </w:p>
        </w:tc>
        <w:tc>
          <w:tcPr>
            <w:tcW w:w="2316" w:type="dxa"/>
            <w:shd w:val="clear" w:color="auto" w:fill="auto"/>
          </w:tcPr>
          <w:p w14:paraId="1B0DE7F9" w14:textId="7A094B40" w:rsidR="005E1CD6" w:rsidRPr="005E1CD6" w:rsidRDefault="00A96525" w:rsidP="00A96525">
            <w:pPr>
              <w:pStyle w:val="NormalWeb"/>
              <w:spacing w:before="0" w:beforeAutospacing="0" w:after="0" w:afterAutospacing="0"/>
              <w:rPr>
                <w:rFonts w:ascii="Times New Roman" w:hAnsi="Times New Roman" w:cs="Times New Roman"/>
                <w:color w:val="000000"/>
                <w:kern w:val="24"/>
                <w:lang w:val="lv-LV"/>
              </w:rPr>
            </w:pPr>
            <w:r>
              <w:rPr>
                <w:rFonts w:ascii="Times New Roman" w:hAnsi="Times New Roman" w:cs="Times New Roman"/>
                <w:color w:val="000000"/>
                <w:kern w:val="24"/>
                <w:lang w:val="lv-LV"/>
              </w:rPr>
              <w:t>476</w:t>
            </w:r>
            <w:r w:rsidR="006400F2" w:rsidRPr="008300A1">
              <w:rPr>
                <w:rFonts w:ascii="Times New Roman" w:hAnsi="Times New Roman" w:cs="Times New Roman"/>
                <w:color w:val="000000"/>
                <w:kern w:val="24"/>
                <w:lang w:val="lv-LV"/>
              </w:rPr>
              <w:t xml:space="preserve"> </w:t>
            </w:r>
            <w:r w:rsidR="00787181">
              <w:rPr>
                <w:rFonts w:ascii="Times New Roman" w:hAnsi="Times New Roman" w:cs="Times New Roman"/>
                <w:color w:val="000000"/>
                <w:kern w:val="24"/>
                <w:lang w:val="lv-LV"/>
              </w:rPr>
              <w:t>tūkst</w:t>
            </w:r>
            <w:r w:rsidR="006400F2" w:rsidRPr="008300A1">
              <w:rPr>
                <w:rFonts w:ascii="Times New Roman" w:hAnsi="Times New Roman" w:cs="Times New Roman"/>
                <w:color w:val="000000"/>
                <w:kern w:val="24"/>
                <w:lang w:val="lv-LV"/>
              </w:rPr>
              <w:t xml:space="preserve">. EUR </w:t>
            </w:r>
          </w:p>
        </w:tc>
        <w:tc>
          <w:tcPr>
            <w:tcW w:w="2489" w:type="dxa"/>
            <w:shd w:val="clear" w:color="auto" w:fill="auto"/>
          </w:tcPr>
          <w:p w14:paraId="7F890E79" w14:textId="45C06860" w:rsidR="005E1CD6" w:rsidRPr="005E1CD6" w:rsidRDefault="00787181" w:rsidP="00A96525">
            <w:pPr>
              <w:pStyle w:val="NormalWeb"/>
              <w:spacing w:before="0" w:beforeAutospacing="0" w:after="0" w:afterAutospacing="0"/>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w:t>
            </w:r>
            <w:r w:rsidR="006400F2">
              <w:rPr>
                <w:rFonts w:ascii="Times New Roman" w:hAnsi="Times New Roman" w:cs="Times New Roman"/>
                <w:color w:val="000000"/>
                <w:kern w:val="24"/>
                <w:lang w:val="lv-LV"/>
              </w:rPr>
              <w:t>920</w:t>
            </w:r>
            <w:r w:rsidR="006400F2" w:rsidRPr="008300A1">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tūkst</w:t>
            </w:r>
            <w:r w:rsidR="006400F2" w:rsidRPr="008300A1">
              <w:rPr>
                <w:rFonts w:ascii="Times New Roman" w:hAnsi="Times New Roman" w:cs="Times New Roman"/>
                <w:color w:val="000000"/>
                <w:kern w:val="24"/>
                <w:lang w:val="lv-LV"/>
              </w:rPr>
              <w:t>. EUR</w:t>
            </w:r>
            <w:r w:rsidR="006400F2">
              <w:rPr>
                <w:rFonts w:ascii="Times New Roman" w:hAnsi="Times New Roman" w:cs="Times New Roman"/>
                <w:color w:val="000000"/>
                <w:kern w:val="24"/>
                <w:lang w:val="lv-LV"/>
              </w:rPr>
              <w:t xml:space="preserve"> </w:t>
            </w:r>
          </w:p>
        </w:tc>
      </w:tr>
      <w:bookmarkEnd w:id="17"/>
    </w:tbl>
    <w:p w14:paraId="0EFFF037" w14:textId="6E3B41F9" w:rsidR="007C1FD6" w:rsidRDefault="007C1FD6">
      <w:pPr>
        <w:rPr>
          <w:rFonts w:eastAsia="Calibri"/>
        </w:rPr>
      </w:pPr>
    </w:p>
    <w:p w14:paraId="08227D29" w14:textId="77777777" w:rsidR="007C1FD6" w:rsidRPr="00C945E0" w:rsidRDefault="007C1FD6" w:rsidP="007C1FD6">
      <w:pPr>
        <w:spacing w:after="120"/>
        <w:ind w:firstLine="720"/>
        <w:jc w:val="both"/>
      </w:pPr>
      <w:r>
        <w:t>Ministru kabinets 2019. gada 5. februārī nolēma (</w:t>
      </w:r>
      <w:bookmarkStart w:id="19" w:name="_Hlk23928270"/>
      <w:r>
        <w:t>protokola Nr.5 34.§ 3.p</w:t>
      </w:r>
      <w:bookmarkEnd w:id="19"/>
      <w:r>
        <w:t>.): “Atļaut sabiedrībai "</w:t>
      </w:r>
      <w:proofErr w:type="spellStart"/>
      <w:r>
        <w:t>Altum</w:t>
      </w:r>
      <w:proofErr w:type="spellEnd"/>
      <w:r>
        <w:t xml:space="preserve">" izmantot finansējumu vadības izmaksu un maksas par izmantoto kapitālu </w:t>
      </w:r>
      <w:r w:rsidRPr="00C945E0">
        <w:t xml:space="preserve">segšanai 2019. gadam līdz 136 300 EUR apmērā”. </w:t>
      </w:r>
    </w:p>
    <w:p w14:paraId="648DBD99" w14:textId="6B008A14" w:rsidR="008A2DBB" w:rsidRPr="002F6E79" w:rsidRDefault="008A2DBB" w:rsidP="003E1973">
      <w:pPr>
        <w:spacing w:after="120"/>
        <w:ind w:firstLine="284"/>
        <w:rPr>
          <w:b/>
          <w:i/>
        </w:rPr>
      </w:pPr>
      <w:r w:rsidRPr="002F6E79">
        <w:rPr>
          <w:b/>
          <w:i/>
        </w:rPr>
        <w:t>Tabula Nr.</w:t>
      </w:r>
      <w:r>
        <w:rPr>
          <w:b/>
          <w:i/>
        </w:rPr>
        <w:t>3</w:t>
      </w:r>
      <w:r w:rsidR="006A2A37">
        <w:rPr>
          <w:b/>
          <w:i/>
        </w:rPr>
        <w:t>.</w:t>
      </w:r>
      <w:r w:rsidRPr="002F6E79">
        <w:rPr>
          <w:b/>
          <w:i/>
        </w:rPr>
        <w:t xml:space="preserve"> </w:t>
      </w:r>
      <w:r w:rsidRPr="00E175F8">
        <w:rPr>
          <w:b/>
          <w:i/>
        </w:rPr>
        <w:t>"</w:t>
      </w:r>
      <w:r w:rsidR="0039299B" w:rsidRPr="0039299B">
        <w:t xml:space="preserve"> </w:t>
      </w:r>
      <w:r w:rsidR="0039299B" w:rsidRPr="0039299B">
        <w:rPr>
          <w:b/>
          <w:i/>
        </w:rPr>
        <w:t xml:space="preserve">Plānotais finansējums maksas par izmantoto kapitālu segšanai </w:t>
      </w:r>
      <w:r w:rsidR="001431DD" w:rsidRPr="00E175F8">
        <w:rPr>
          <w:b/>
          <w:i/>
        </w:rPr>
        <w:t>2019</w:t>
      </w:r>
      <w:r w:rsidR="001431DD">
        <w:rPr>
          <w:b/>
          <w:i/>
        </w:rPr>
        <w:t>. -</w:t>
      </w:r>
      <w:r w:rsidR="00E175F8">
        <w:rPr>
          <w:b/>
          <w:i/>
        </w:rPr>
        <w:t xml:space="preserve"> </w:t>
      </w:r>
      <w:r w:rsidR="001431DD">
        <w:rPr>
          <w:b/>
          <w:i/>
        </w:rPr>
        <w:t>2022.</w:t>
      </w:r>
      <w:r w:rsidR="00E175F8">
        <w:rPr>
          <w:b/>
          <w:i/>
        </w:rPr>
        <w:t xml:space="preserve"> </w:t>
      </w:r>
      <w:r w:rsidR="001431DD">
        <w:rPr>
          <w:b/>
          <w:i/>
        </w:rPr>
        <w:t>gadā</w:t>
      </w:r>
      <w:r w:rsidRPr="002F6E79">
        <w:rPr>
          <w:b/>
          <w:i/>
        </w:rPr>
        <w:t xml:space="preserve">" </w:t>
      </w:r>
      <w:bookmarkStart w:id="20" w:name="_Hlk3361988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701"/>
        <w:gridCol w:w="1701"/>
        <w:gridCol w:w="1701"/>
        <w:gridCol w:w="1706"/>
      </w:tblGrid>
      <w:tr w:rsidR="007440CE" w14:paraId="46254D70" w14:textId="77777777" w:rsidTr="00D812C4">
        <w:trPr>
          <w:trHeight w:val="228"/>
          <w:jc w:val="center"/>
        </w:trPr>
        <w:tc>
          <w:tcPr>
            <w:tcW w:w="2263" w:type="dxa"/>
            <w:shd w:val="clear" w:color="auto" w:fill="auto"/>
            <w:vAlign w:val="center"/>
          </w:tcPr>
          <w:p w14:paraId="2CAF701F" w14:textId="586E8EDE" w:rsidR="001431DD" w:rsidRPr="0039299B" w:rsidRDefault="0039299B" w:rsidP="001431DD">
            <w:pPr>
              <w:pStyle w:val="ListParagraph"/>
              <w:ind w:left="0"/>
              <w:jc w:val="both"/>
              <w:rPr>
                <w:b/>
                <w:bCs/>
              </w:rPr>
            </w:pPr>
            <w:r w:rsidRPr="0039299B">
              <w:rPr>
                <w:b/>
                <w:bCs/>
              </w:rPr>
              <w:t>Finanšu instruments</w:t>
            </w:r>
          </w:p>
        </w:tc>
        <w:tc>
          <w:tcPr>
            <w:tcW w:w="1701" w:type="dxa"/>
            <w:tcMar>
              <w:left w:w="57" w:type="dxa"/>
              <w:right w:w="57" w:type="dxa"/>
            </w:tcMar>
            <w:vAlign w:val="center"/>
          </w:tcPr>
          <w:p w14:paraId="23BEC948" w14:textId="57975540" w:rsidR="001431DD" w:rsidRPr="00EF188B" w:rsidRDefault="001431DD" w:rsidP="001431DD">
            <w:pPr>
              <w:pStyle w:val="ListParagraph"/>
              <w:ind w:left="0"/>
              <w:jc w:val="center"/>
              <w:rPr>
                <w:b/>
              </w:rPr>
            </w:pPr>
            <w:r w:rsidRPr="00EF188B">
              <w:rPr>
                <w:b/>
              </w:rPr>
              <w:t>2019.</w:t>
            </w:r>
            <w:r w:rsidR="003C37B1" w:rsidRPr="00EF188B">
              <w:rPr>
                <w:b/>
              </w:rPr>
              <w:t xml:space="preserve"> </w:t>
            </w:r>
            <w:r w:rsidRPr="00EF188B">
              <w:rPr>
                <w:b/>
              </w:rPr>
              <w:t>g.</w:t>
            </w:r>
            <w:r w:rsidR="003C37B1" w:rsidRPr="00EF188B">
              <w:rPr>
                <w:b/>
              </w:rPr>
              <w:t xml:space="preserve"> </w:t>
            </w:r>
            <w:r w:rsidR="00C633EC">
              <w:rPr>
                <w:b/>
              </w:rPr>
              <w:t>(fakts)</w:t>
            </w:r>
          </w:p>
        </w:tc>
        <w:tc>
          <w:tcPr>
            <w:tcW w:w="1701" w:type="dxa"/>
            <w:tcMar>
              <w:left w:w="57" w:type="dxa"/>
              <w:right w:w="57" w:type="dxa"/>
            </w:tcMar>
            <w:vAlign w:val="center"/>
          </w:tcPr>
          <w:p w14:paraId="4305A66D" w14:textId="1344F6A3" w:rsidR="001431DD" w:rsidRPr="00EF188B" w:rsidRDefault="001431DD" w:rsidP="001431DD">
            <w:pPr>
              <w:pStyle w:val="ListParagraph"/>
              <w:ind w:left="0"/>
              <w:jc w:val="center"/>
              <w:rPr>
                <w:b/>
              </w:rPr>
            </w:pPr>
            <w:r w:rsidRPr="00EF188B">
              <w:rPr>
                <w:b/>
              </w:rPr>
              <w:t>2020. g.</w:t>
            </w:r>
            <w:r w:rsidR="003C37B1" w:rsidRPr="00EF188B">
              <w:rPr>
                <w:b/>
              </w:rPr>
              <w:t xml:space="preserve"> </w:t>
            </w:r>
          </w:p>
        </w:tc>
        <w:tc>
          <w:tcPr>
            <w:tcW w:w="1701" w:type="dxa"/>
            <w:shd w:val="clear" w:color="auto" w:fill="auto"/>
            <w:tcMar>
              <w:left w:w="57" w:type="dxa"/>
              <w:right w:w="57" w:type="dxa"/>
            </w:tcMar>
            <w:vAlign w:val="center"/>
          </w:tcPr>
          <w:p w14:paraId="350DE61C" w14:textId="0407566D" w:rsidR="001431DD" w:rsidRPr="00EF188B" w:rsidRDefault="001431DD" w:rsidP="001431DD">
            <w:pPr>
              <w:pStyle w:val="ListParagraph"/>
              <w:ind w:left="0"/>
              <w:jc w:val="center"/>
              <w:rPr>
                <w:rFonts w:ascii="Calibri" w:hAnsi="Calibri"/>
                <w:b/>
                <w:color w:val="FFFFFF"/>
                <w:kern w:val="24"/>
              </w:rPr>
            </w:pPr>
            <w:r w:rsidRPr="00EF188B">
              <w:rPr>
                <w:b/>
              </w:rPr>
              <w:t>20</w:t>
            </w:r>
            <w:r w:rsidR="003C37B1" w:rsidRPr="00EF188B">
              <w:rPr>
                <w:b/>
              </w:rPr>
              <w:t>21</w:t>
            </w:r>
            <w:r w:rsidRPr="00EF188B">
              <w:rPr>
                <w:b/>
              </w:rPr>
              <w:t>. g.</w:t>
            </w:r>
          </w:p>
        </w:tc>
        <w:tc>
          <w:tcPr>
            <w:tcW w:w="1706" w:type="dxa"/>
            <w:shd w:val="clear" w:color="auto" w:fill="auto"/>
            <w:tcMar>
              <w:left w:w="57" w:type="dxa"/>
              <w:right w:w="57" w:type="dxa"/>
            </w:tcMar>
            <w:vAlign w:val="center"/>
          </w:tcPr>
          <w:p w14:paraId="7AC72D64" w14:textId="2FFB2B77" w:rsidR="001431DD" w:rsidRPr="00EF188B" w:rsidRDefault="003C37B1" w:rsidP="003C37B1">
            <w:pPr>
              <w:pStyle w:val="ListParagraph"/>
              <w:ind w:left="0"/>
              <w:jc w:val="center"/>
              <w:rPr>
                <w:rFonts w:ascii="Calibri" w:hAnsi="Calibri"/>
                <w:b/>
                <w:color w:val="FFFFFF"/>
                <w:kern w:val="24"/>
              </w:rPr>
            </w:pPr>
            <w:r w:rsidRPr="00EF188B">
              <w:rPr>
                <w:b/>
              </w:rPr>
              <w:t>202</w:t>
            </w:r>
            <w:r w:rsidR="00DD5EDE">
              <w:rPr>
                <w:b/>
              </w:rPr>
              <w:t>2</w:t>
            </w:r>
            <w:r w:rsidRPr="00EF188B">
              <w:rPr>
                <w:b/>
              </w:rPr>
              <w:t>. g.</w:t>
            </w:r>
          </w:p>
        </w:tc>
      </w:tr>
      <w:tr w:rsidR="00874948" w14:paraId="4A77E13B" w14:textId="77777777" w:rsidTr="00FF219C">
        <w:trPr>
          <w:trHeight w:val="351"/>
          <w:jc w:val="center"/>
        </w:trPr>
        <w:tc>
          <w:tcPr>
            <w:tcW w:w="2263" w:type="dxa"/>
            <w:shd w:val="clear" w:color="auto" w:fill="auto"/>
          </w:tcPr>
          <w:p w14:paraId="5EAB8141" w14:textId="26A241DD" w:rsidR="00874948" w:rsidRPr="0003664B" w:rsidRDefault="0039299B" w:rsidP="0039299B">
            <w:pPr>
              <w:pStyle w:val="ListParagraph"/>
              <w:ind w:left="0"/>
              <w:jc w:val="center"/>
            </w:pPr>
            <w:r w:rsidRPr="00EF188B">
              <w:rPr>
                <w:b/>
              </w:rPr>
              <w:t>Aizdevumi</w:t>
            </w:r>
          </w:p>
        </w:tc>
        <w:tc>
          <w:tcPr>
            <w:tcW w:w="1701" w:type="dxa"/>
            <w:noWrap/>
            <w:tcMar>
              <w:left w:w="57" w:type="dxa"/>
              <w:right w:w="57" w:type="dxa"/>
            </w:tcMar>
            <w:vAlign w:val="center"/>
          </w:tcPr>
          <w:p w14:paraId="239F5A80" w14:textId="202286F5" w:rsidR="00874948" w:rsidRPr="00A423D4" w:rsidRDefault="00A54443" w:rsidP="0039299B">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1</w:t>
            </w:r>
            <w:r w:rsidR="00A423D4" w:rsidRPr="00A423D4">
              <w:rPr>
                <w:rFonts w:ascii="Times New Roman" w:hAnsi="Times New Roman" w:cs="Times New Roman"/>
                <w:color w:val="000000"/>
                <w:kern w:val="24"/>
                <w:lang w:val="lv-LV"/>
              </w:rPr>
              <w:t>0</w:t>
            </w:r>
            <w:r w:rsidR="00874948" w:rsidRPr="00A423D4">
              <w:rPr>
                <w:rFonts w:ascii="Times New Roman" w:hAnsi="Times New Roman" w:cs="Times New Roman"/>
                <w:color w:val="000000"/>
                <w:kern w:val="24"/>
                <w:lang w:val="lv-LV"/>
              </w:rPr>
              <w:t xml:space="preserve"> tūkst. EUR</w:t>
            </w:r>
            <w:r w:rsidR="0039299B">
              <w:rPr>
                <w:rFonts w:ascii="Times New Roman" w:hAnsi="Times New Roman" w:cs="Times New Roman"/>
                <w:color w:val="000000"/>
                <w:kern w:val="24"/>
                <w:lang w:val="lv-LV"/>
              </w:rPr>
              <w:t xml:space="preserve"> </w:t>
            </w:r>
          </w:p>
        </w:tc>
        <w:tc>
          <w:tcPr>
            <w:tcW w:w="1701" w:type="dxa"/>
            <w:tcMar>
              <w:left w:w="57" w:type="dxa"/>
              <w:right w:w="57" w:type="dxa"/>
            </w:tcMar>
            <w:vAlign w:val="center"/>
          </w:tcPr>
          <w:p w14:paraId="57CFEFB6" w14:textId="6D0F16B9" w:rsidR="00874948" w:rsidRPr="008300A1" w:rsidRDefault="00874948" w:rsidP="0039299B">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15 tūkst</w:t>
            </w:r>
            <w:r w:rsidRPr="008300A1">
              <w:rPr>
                <w:rFonts w:ascii="Times New Roman" w:hAnsi="Times New Roman" w:cs="Times New Roman"/>
                <w:color w:val="000000"/>
                <w:kern w:val="24"/>
                <w:lang w:val="lv-LV"/>
              </w:rPr>
              <w:t>. EUR</w:t>
            </w:r>
          </w:p>
        </w:tc>
        <w:tc>
          <w:tcPr>
            <w:tcW w:w="1701" w:type="dxa"/>
            <w:shd w:val="clear" w:color="auto" w:fill="auto"/>
            <w:tcMar>
              <w:left w:w="57" w:type="dxa"/>
              <w:right w:w="57" w:type="dxa"/>
            </w:tcMar>
            <w:vAlign w:val="center"/>
          </w:tcPr>
          <w:p w14:paraId="748A7EA4" w14:textId="0F02AB1E" w:rsidR="00874948" w:rsidRPr="00A96525" w:rsidRDefault="00874948" w:rsidP="007B3640">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23 tūkst</w:t>
            </w:r>
            <w:r w:rsidRPr="008300A1">
              <w:rPr>
                <w:rFonts w:ascii="Times New Roman" w:hAnsi="Times New Roman" w:cs="Times New Roman"/>
                <w:color w:val="000000"/>
                <w:kern w:val="24"/>
                <w:lang w:val="lv-LV"/>
              </w:rPr>
              <w:t>. EUR</w:t>
            </w:r>
          </w:p>
        </w:tc>
        <w:tc>
          <w:tcPr>
            <w:tcW w:w="1706" w:type="dxa"/>
            <w:shd w:val="clear" w:color="auto" w:fill="auto"/>
            <w:tcMar>
              <w:left w:w="57" w:type="dxa"/>
              <w:right w:w="57" w:type="dxa"/>
            </w:tcMar>
            <w:vAlign w:val="center"/>
          </w:tcPr>
          <w:p w14:paraId="0029463A" w14:textId="09B94DD1" w:rsidR="00874948" w:rsidRPr="0039299B" w:rsidRDefault="00874948" w:rsidP="007B3640">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28 tūkst</w:t>
            </w:r>
            <w:r w:rsidRPr="008300A1">
              <w:rPr>
                <w:rFonts w:ascii="Times New Roman" w:hAnsi="Times New Roman" w:cs="Times New Roman"/>
                <w:color w:val="000000"/>
                <w:kern w:val="24"/>
                <w:lang w:val="lv-LV"/>
              </w:rPr>
              <w:t>. EUR</w:t>
            </w:r>
          </w:p>
        </w:tc>
      </w:tr>
      <w:tr w:rsidR="00874948" w14:paraId="2154B633" w14:textId="77777777" w:rsidTr="00FF219C">
        <w:trPr>
          <w:trHeight w:val="371"/>
          <w:jc w:val="center"/>
        </w:trPr>
        <w:tc>
          <w:tcPr>
            <w:tcW w:w="2263" w:type="dxa"/>
            <w:shd w:val="clear" w:color="auto" w:fill="auto"/>
          </w:tcPr>
          <w:p w14:paraId="74087D2F" w14:textId="7EC45BE5" w:rsidR="00874948" w:rsidRPr="005E1CD6" w:rsidRDefault="0039299B" w:rsidP="0039299B">
            <w:pPr>
              <w:pStyle w:val="ListParagraph"/>
              <w:ind w:left="0"/>
              <w:jc w:val="center"/>
              <w:rPr>
                <w:color w:val="000000"/>
                <w:kern w:val="24"/>
              </w:rPr>
            </w:pPr>
            <w:r>
              <w:rPr>
                <w:b/>
              </w:rPr>
              <w:t>G</w:t>
            </w:r>
            <w:r w:rsidRPr="00EF188B">
              <w:rPr>
                <w:b/>
              </w:rPr>
              <w:t>arantijas</w:t>
            </w:r>
          </w:p>
        </w:tc>
        <w:tc>
          <w:tcPr>
            <w:tcW w:w="1701" w:type="dxa"/>
            <w:tcMar>
              <w:left w:w="57" w:type="dxa"/>
              <w:right w:w="57" w:type="dxa"/>
            </w:tcMar>
            <w:vAlign w:val="center"/>
          </w:tcPr>
          <w:p w14:paraId="76F5D5E2" w14:textId="71B958CC" w:rsidR="00874948" w:rsidRPr="00A423D4" w:rsidRDefault="00874948" w:rsidP="0039299B">
            <w:pPr>
              <w:pStyle w:val="NormalWeb"/>
              <w:spacing w:before="0" w:beforeAutospacing="0" w:after="120" w:afterAutospacing="0"/>
              <w:jc w:val="both"/>
              <w:rPr>
                <w:rFonts w:ascii="Times New Roman" w:hAnsi="Times New Roman" w:cs="Times New Roman"/>
                <w:color w:val="000000"/>
                <w:kern w:val="24"/>
                <w:lang w:val="lv-LV"/>
              </w:rPr>
            </w:pPr>
            <w:r w:rsidRPr="00A423D4">
              <w:rPr>
                <w:rFonts w:ascii="Times New Roman" w:hAnsi="Times New Roman" w:cs="Times New Roman"/>
                <w:color w:val="000000"/>
                <w:kern w:val="24"/>
                <w:lang w:val="lv-LV"/>
              </w:rPr>
              <w:t xml:space="preserve"> </w:t>
            </w:r>
            <w:r w:rsidR="003F3283">
              <w:rPr>
                <w:rFonts w:ascii="Times New Roman" w:hAnsi="Times New Roman" w:cs="Times New Roman"/>
                <w:color w:val="000000"/>
                <w:kern w:val="24"/>
                <w:lang w:val="lv-LV"/>
              </w:rPr>
              <w:t xml:space="preserve"> </w:t>
            </w:r>
            <w:r w:rsidR="0039299B" w:rsidRPr="0039299B">
              <w:rPr>
                <w:rFonts w:ascii="Times New Roman" w:hAnsi="Times New Roman" w:cs="Times New Roman"/>
                <w:color w:val="000000"/>
                <w:kern w:val="24"/>
                <w:lang w:val="lv-LV"/>
              </w:rPr>
              <w:t>93 tūkst. EUR</w:t>
            </w:r>
          </w:p>
        </w:tc>
        <w:tc>
          <w:tcPr>
            <w:tcW w:w="1701" w:type="dxa"/>
            <w:tcMar>
              <w:left w:w="57" w:type="dxa"/>
              <w:right w:w="57" w:type="dxa"/>
            </w:tcMar>
            <w:vAlign w:val="center"/>
          </w:tcPr>
          <w:p w14:paraId="33C1166D" w14:textId="6FE144A4" w:rsidR="00874948" w:rsidRPr="008300A1" w:rsidRDefault="0039299B" w:rsidP="0039299B">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139</w:t>
            </w:r>
            <w:r w:rsidRPr="00E175F8">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tūkst</w:t>
            </w:r>
            <w:r w:rsidRPr="00E175F8">
              <w:rPr>
                <w:rFonts w:ascii="Times New Roman" w:hAnsi="Times New Roman" w:cs="Times New Roman"/>
                <w:color w:val="000000"/>
                <w:kern w:val="24"/>
                <w:lang w:val="lv-LV"/>
              </w:rPr>
              <w:t>. EUR</w:t>
            </w:r>
          </w:p>
        </w:tc>
        <w:tc>
          <w:tcPr>
            <w:tcW w:w="1701" w:type="dxa"/>
            <w:shd w:val="clear" w:color="auto" w:fill="auto"/>
            <w:tcMar>
              <w:left w:w="57" w:type="dxa"/>
              <w:right w:w="57" w:type="dxa"/>
            </w:tcMar>
            <w:vAlign w:val="center"/>
          </w:tcPr>
          <w:p w14:paraId="04B759C2" w14:textId="5C514FB1" w:rsidR="00874948" w:rsidRPr="005E1CD6" w:rsidRDefault="0039299B" w:rsidP="007B3640">
            <w:pPr>
              <w:pStyle w:val="NormalWeb"/>
              <w:spacing w:before="0" w:beforeAutospacing="0" w:after="120" w:afterAutospacing="0"/>
              <w:rPr>
                <w:rFonts w:ascii="Times New Roman" w:hAnsi="Times New Roman" w:cs="Times New Roman"/>
                <w:color w:val="000000"/>
                <w:kern w:val="24"/>
                <w:lang w:val="lv-LV"/>
              </w:rPr>
            </w:pPr>
            <w:r w:rsidRPr="0039299B">
              <w:rPr>
                <w:rFonts w:ascii="Times New Roman" w:hAnsi="Times New Roman" w:cs="Times New Roman"/>
                <w:color w:val="000000"/>
                <w:kern w:val="24"/>
                <w:lang w:val="lv-LV"/>
              </w:rPr>
              <w:t>182 tūkst. EUR</w:t>
            </w:r>
          </w:p>
        </w:tc>
        <w:tc>
          <w:tcPr>
            <w:tcW w:w="1706" w:type="dxa"/>
            <w:shd w:val="clear" w:color="auto" w:fill="auto"/>
            <w:tcMar>
              <w:left w:w="57" w:type="dxa"/>
              <w:right w:w="57" w:type="dxa"/>
            </w:tcMar>
            <w:vAlign w:val="center"/>
          </w:tcPr>
          <w:p w14:paraId="08FB0753" w14:textId="175AEB1C" w:rsidR="00874948" w:rsidRPr="005E1CD6" w:rsidRDefault="0039299B" w:rsidP="007B3640">
            <w:pPr>
              <w:pStyle w:val="NormalWeb"/>
              <w:spacing w:before="0" w:beforeAutospacing="0" w:after="120" w:afterAutospacing="0"/>
              <w:rPr>
                <w:rFonts w:ascii="Times New Roman" w:hAnsi="Times New Roman" w:cs="Times New Roman"/>
                <w:color w:val="000000"/>
                <w:kern w:val="24"/>
                <w:lang w:val="lv-LV"/>
              </w:rPr>
            </w:pPr>
            <w:r w:rsidRPr="0039299B">
              <w:rPr>
                <w:rFonts w:ascii="Times New Roman" w:hAnsi="Times New Roman" w:cs="Times New Roman"/>
                <w:color w:val="000000"/>
                <w:kern w:val="24"/>
                <w:lang w:val="lv-LV"/>
              </w:rPr>
              <w:t>221 tūkst. EUR</w:t>
            </w:r>
          </w:p>
        </w:tc>
      </w:tr>
      <w:bookmarkEnd w:id="20"/>
    </w:tbl>
    <w:p w14:paraId="6D5D625B" w14:textId="77777777" w:rsidR="007C1FD6" w:rsidRDefault="007C1FD6" w:rsidP="000F44D3">
      <w:pPr>
        <w:spacing w:before="120"/>
        <w:jc w:val="both"/>
      </w:pPr>
    </w:p>
    <w:p w14:paraId="7E4AEA02" w14:textId="55AC39C1" w:rsidR="003D6357" w:rsidRDefault="003D6357" w:rsidP="003D6357">
      <w:pPr>
        <w:spacing w:after="120"/>
        <w:ind w:firstLine="284"/>
        <w:rPr>
          <w:b/>
          <w:i/>
        </w:rPr>
      </w:pPr>
      <w:r w:rsidRPr="002F6E79">
        <w:rPr>
          <w:b/>
          <w:i/>
        </w:rPr>
        <w:t>Tabula Nr.</w:t>
      </w:r>
      <w:r>
        <w:rPr>
          <w:b/>
          <w:i/>
        </w:rPr>
        <w:t>4.</w:t>
      </w:r>
      <w:r w:rsidRPr="002F6E79">
        <w:rPr>
          <w:b/>
          <w:i/>
        </w:rPr>
        <w:t xml:space="preserve"> </w:t>
      </w:r>
      <w:r w:rsidRPr="00E175F8">
        <w:rPr>
          <w:b/>
          <w:i/>
        </w:rPr>
        <w:t xml:space="preserve">"Plānotais </w:t>
      </w:r>
      <w:r>
        <w:rPr>
          <w:b/>
          <w:i/>
        </w:rPr>
        <w:t>finansējums vadības izmaksu segš</w:t>
      </w:r>
      <w:r w:rsidR="00AA4FD2">
        <w:rPr>
          <w:b/>
          <w:i/>
        </w:rPr>
        <w:t>a</w:t>
      </w:r>
      <w:r>
        <w:rPr>
          <w:b/>
          <w:i/>
        </w:rPr>
        <w:t>nai</w:t>
      </w:r>
      <w:r w:rsidRPr="00E175F8">
        <w:rPr>
          <w:b/>
          <w:i/>
        </w:rPr>
        <w:t xml:space="preserve"> 2019</w:t>
      </w:r>
      <w:r>
        <w:rPr>
          <w:b/>
          <w:i/>
        </w:rPr>
        <w:t>. - 2022. gadā</w:t>
      </w:r>
      <w:r w:rsidRPr="002F6E79">
        <w:rPr>
          <w:b/>
          <w:i/>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701"/>
        <w:gridCol w:w="1701"/>
        <w:gridCol w:w="1701"/>
        <w:gridCol w:w="1706"/>
      </w:tblGrid>
      <w:tr w:rsidR="00AA4FD2" w14:paraId="57F1F0FA" w14:textId="77777777" w:rsidTr="00D7654E">
        <w:trPr>
          <w:trHeight w:val="228"/>
          <w:jc w:val="center"/>
        </w:trPr>
        <w:tc>
          <w:tcPr>
            <w:tcW w:w="2263" w:type="dxa"/>
            <w:shd w:val="clear" w:color="auto" w:fill="auto"/>
          </w:tcPr>
          <w:p w14:paraId="1CF42B55" w14:textId="77777777" w:rsidR="00AA4FD2" w:rsidRPr="0039299B" w:rsidRDefault="00AA4FD2" w:rsidP="00D7654E">
            <w:pPr>
              <w:pStyle w:val="ListParagraph"/>
              <w:ind w:left="0"/>
              <w:jc w:val="both"/>
              <w:rPr>
                <w:b/>
                <w:bCs/>
              </w:rPr>
            </w:pPr>
            <w:r w:rsidRPr="0039299B">
              <w:rPr>
                <w:b/>
                <w:bCs/>
              </w:rPr>
              <w:t>Finanšu instruments</w:t>
            </w:r>
          </w:p>
        </w:tc>
        <w:tc>
          <w:tcPr>
            <w:tcW w:w="1701" w:type="dxa"/>
            <w:tcMar>
              <w:left w:w="57" w:type="dxa"/>
              <w:right w:w="57" w:type="dxa"/>
            </w:tcMar>
            <w:vAlign w:val="center"/>
          </w:tcPr>
          <w:p w14:paraId="5E2F0E0B" w14:textId="68213CC9" w:rsidR="00AA4FD2" w:rsidRPr="00EF188B" w:rsidRDefault="00AA4FD2" w:rsidP="00D7654E">
            <w:pPr>
              <w:pStyle w:val="ListParagraph"/>
              <w:ind w:left="0"/>
              <w:jc w:val="center"/>
              <w:rPr>
                <w:b/>
              </w:rPr>
            </w:pPr>
            <w:r w:rsidRPr="00EF188B">
              <w:rPr>
                <w:b/>
              </w:rPr>
              <w:t>2019. g.</w:t>
            </w:r>
            <w:r w:rsidR="00C633EC">
              <w:rPr>
                <w:b/>
              </w:rPr>
              <w:t xml:space="preserve"> (fakts)</w:t>
            </w:r>
          </w:p>
        </w:tc>
        <w:tc>
          <w:tcPr>
            <w:tcW w:w="1701" w:type="dxa"/>
            <w:tcMar>
              <w:left w:w="57" w:type="dxa"/>
              <w:right w:w="57" w:type="dxa"/>
            </w:tcMar>
            <w:vAlign w:val="center"/>
          </w:tcPr>
          <w:p w14:paraId="4E3A99FE" w14:textId="77777777" w:rsidR="00AA4FD2" w:rsidRPr="00EF188B" w:rsidRDefault="00AA4FD2" w:rsidP="00D7654E">
            <w:pPr>
              <w:pStyle w:val="ListParagraph"/>
              <w:ind w:left="0"/>
              <w:jc w:val="center"/>
              <w:rPr>
                <w:b/>
              </w:rPr>
            </w:pPr>
            <w:r w:rsidRPr="00EF188B">
              <w:rPr>
                <w:b/>
              </w:rPr>
              <w:t xml:space="preserve">2020. g. </w:t>
            </w:r>
          </w:p>
        </w:tc>
        <w:tc>
          <w:tcPr>
            <w:tcW w:w="1701" w:type="dxa"/>
            <w:shd w:val="clear" w:color="auto" w:fill="auto"/>
            <w:tcMar>
              <w:left w:w="57" w:type="dxa"/>
              <w:right w:w="57" w:type="dxa"/>
            </w:tcMar>
            <w:vAlign w:val="center"/>
          </w:tcPr>
          <w:p w14:paraId="39328D46" w14:textId="77777777" w:rsidR="00AA4FD2" w:rsidRPr="00EF188B" w:rsidRDefault="00AA4FD2" w:rsidP="00D7654E">
            <w:pPr>
              <w:pStyle w:val="ListParagraph"/>
              <w:ind w:left="0"/>
              <w:jc w:val="center"/>
              <w:rPr>
                <w:rFonts w:ascii="Calibri" w:hAnsi="Calibri"/>
                <w:b/>
                <w:color w:val="FFFFFF"/>
                <w:kern w:val="24"/>
              </w:rPr>
            </w:pPr>
            <w:r w:rsidRPr="00EF188B">
              <w:rPr>
                <w:b/>
              </w:rPr>
              <w:t>2021. g.</w:t>
            </w:r>
          </w:p>
        </w:tc>
        <w:tc>
          <w:tcPr>
            <w:tcW w:w="1706" w:type="dxa"/>
            <w:shd w:val="clear" w:color="auto" w:fill="auto"/>
            <w:tcMar>
              <w:left w:w="57" w:type="dxa"/>
              <w:right w:w="57" w:type="dxa"/>
            </w:tcMar>
            <w:vAlign w:val="center"/>
          </w:tcPr>
          <w:p w14:paraId="636294C3" w14:textId="77777777" w:rsidR="00AA4FD2" w:rsidRPr="00EF188B" w:rsidRDefault="00AA4FD2" w:rsidP="00D7654E">
            <w:pPr>
              <w:pStyle w:val="ListParagraph"/>
              <w:ind w:left="0"/>
              <w:jc w:val="center"/>
              <w:rPr>
                <w:rFonts w:ascii="Calibri" w:hAnsi="Calibri"/>
                <w:b/>
                <w:color w:val="FFFFFF"/>
                <w:kern w:val="24"/>
              </w:rPr>
            </w:pPr>
            <w:r w:rsidRPr="00EF188B">
              <w:rPr>
                <w:b/>
              </w:rPr>
              <w:t>202</w:t>
            </w:r>
            <w:r>
              <w:rPr>
                <w:b/>
              </w:rPr>
              <w:t>2</w:t>
            </w:r>
            <w:r w:rsidRPr="00EF188B">
              <w:rPr>
                <w:b/>
              </w:rPr>
              <w:t>. g.</w:t>
            </w:r>
          </w:p>
        </w:tc>
      </w:tr>
      <w:tr w:rsidR="00AA4FD2" w14:paraId="32B7D574" w14:textId="77777777" w:rsidTr="00FF219C">
        <w:trPr>
          <w:trHeight w:val="351"/>
          <w:jc w:val="center"/>
        </w:trPr>
        <w:tc>
          <w:tcPr>
            <w:tcW w:w="2263" w:type="dxa"/>
            <w:shd w:val="clear" w:color="auto" w:fill="auto"/>
          </w:tcPr>
          <w:p w14:paraId="77B6957C" w14:textId="77777777" w:rsidR="00AA4FD2" w:rsidRPr="0003664B" w:rsidRDefault="00AA4FD2" w:rsidP="00D7654E">
            <w:pPr>
              <w:pStyle w:val="ListParagraph"/>
              <w:ind w:left="0"/>
              <w:jc w:val="center"/>
            </w:pPr>
            <w:r w:rsidRPr="00EF188B">
              <w:rPr>
                <w:b/>
              </w:rPr>
              <w:t>Aizdevumi</w:t>
            </w:r>
          </w:p>
        </w:tc>
        <w:tc>
          <w:tcPr>
            <w:tcW w:w="1701" w:type="dxa"/>
            <w:noWrap/>
            <w:tcMar>
              <w:left w:w="57" w:type="dxa"/>
              <w:right w:w="57" w:type="dxa"/>
            </w:tcMar>
            <w:vAlign w:val="center"/>
          </w:tcPr>
          <w:p w14:paraId="3291C11D" w14:textId="2DBD8741" w:rsidR="00AA4FD2" w:rsidRPr="00A423D4" w:rsidRDefault="00AA4FD2" w:rsidP="00D7654E">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7</w:t>
            </w:r>
            <w:r w:rsidRPr="00A423D4">
              <w:rPr>
                <w:rFonts w:ascii="Times New Roman" w:hAnsi="Times New Roman" w:cs="Times New Roman"/>
                <w:color w:val="000000"/>
                <w:kern w:val="24"/>
                <w:lang w:val="lv-LV"/>
              </w:rPr>
              <w:t xml:space="preserve"> tūkst. EUR</w:t>
            </w:r>
            <w:r>
              <w:rPr>
                <w:rFonts w:ascii="Times New Roman" w:hAnsi="Times New Roman" w:cs="Times New Roman"/>
                <w:color w:val="000000"/>
                <w:kern w:val="24"/>
                <w:lang w:val="lv-LV"/>
              </w:rPr>
              <w:t xml:space="preserve"> </w:t>
            </w:r>
          </w:p>
        </w:tc>
        <w:tc>
          <w:tcPr>
            <w:tcW w:w="1701" w:type="dxa"/>
            <w:tcMar>
              <w:left w:w="57" w:type="dxa"/>
              <w:right w:w="57" w:type="dxa"/>
            </w:tcMar>
            <w:vAlign w:val="center"/>
          </w:tcPr>
          <w:p w14:paraId="1CAA542C" w14:textId="0459045B" w:rsidR="00AA4FD2" w:rsidRPr="008300A1" w:rsidRDefault="00AA4FD2" w:rsidP="00D7654E">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14 tūkst</w:t>
            </w:r>
            <w:r w:rsidRPr="008300A1">
              <w:rPr>
                <w:rFonts w:ascii="Times New Roman" w:hAnsi="Times New Roman" w:cs="Times New Roman"/>
                <w:color w:val="000000"/>
                <w:kern w:val="24"/>
                <w:lang w:val="lv-LV"/>
              </w:rPr>
              <w:t>. EUR</w:t>
            </w:r>
          </w:p>
        </w:tc>
        <w:tc>
          <w:tcPr>
            <w:tcW w:w="1701" w:type="dxa"/>
            <w:shd w:val="clear" w:color="auto" w:fill="auto"/>
            <w:tcMar>
              <w:left w:w="57" w:type="dxa"/>
              <w:right w:w="57" w:type="dxa"/>
            </w:tcMar>
            <w:vAlign w:val="center"/>
          </w:tcPr>
          <w:p w14:paraId="4D6BDF45" w14:textId="790CC9EC" w:rsidR="00AA4FD2" w:rsidRPr="00A96525" w:rsidRDefault="00AA4FD2" w:rsidP="00D7654E">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20 tūkst</w:t>
            </w:r>
            <w:r w:rsidRPr="008300A1">
              <w:rPr>
                <w:rFonts w:ascii="Times New Roman" w:hAnsi="Times New Roman" w:cs="Times New Roman"/>
                <w:color w:val="000000"/>
                <w:kern w:val="24"/>
                <w:lang w:val="lv-LV"/>
              </w:rPr>
              <w:t>. EUR</w:t>
            </w:r>
          </w:p>
        </w:tc>
        <w:tc>
          <w:tcPr>
            <w:tcW w:w="1706" w:type="dxa"/>
            <w:shd w:val="clear" w:color="auto" w:fill="auto"/>
            <w:tcMar>
              <w:left w:w="57" w:type="dxa"/>
              <w:right w:w="57" w:type="dxa"/>
            </w:tcMar>
            <w:vAlign w:val="center"/>
          </w:tcPr>
          <w:p w14:paraId="3E613840" w14:textId="1C1C21A5" w:rsidR="00AA4FD2" w:rsidRPr="0039299B" w:rsidRDefault="00AA4FD2" w:rsidP="00D7654E">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20 tūkst</w:t>
            </w:r>
            <w:r w:rsidRPr="008300A1">
              <w:rPr>
                <w:rFonts w:ascii="Times New Roman" w:hAnsi="Times New Roman" w:cs="Times New Roman"/>
                <w:color w:val="000000"/>
                <w:kern w:val="24"/>
                <w:lang w:val="lv-LV"/>
              </w:rPr>
              <w:t>. EUR</w:t>
            </w:r>
          </w:p>
        </w:tc>
      </w:tr>
      <w:tr w:rsidR="00AA4FD2" w14:paraId="147B34FB" w14:textId="77777777" w:rsidTr="00FF219C">
        <w:trPr>
          <w:trHeight w:val="371"/>
          <w:jc w:val="center"/>
        </w:trPr>
        <w:tc>
          <w:tcPr>
            <w:tcW w:w="2263" w:type="dxa"/>
            <w:shd w:val="clear" w:color="auto" w:fill="auto"/>
          </w:tcPr>
          <w:p w14:paraId="518493B0" w14:textId="77777777" w:rsidR="00AA4FD2" w:rsidRPr="005E1CD6" w:rsidRDefault="00AA4FD2" w:rsidP="00AA4FD2">
            <w:pPr>
              <w:pStyle w:val="ListParagraph"/>
              <w:ind w:left="0"/>
              <w:jc w:val="center"/>
              <w:rPr>
                <w:color w:val="000000"/>
                <w:kern w:val="24"/>
              </w:rPr>
            </w:pPr>
            <w:r>
              <w:rPr>
                <w:b/>
              </w:rPr>
              <w:t>G</w:t>
            </w:r>
            <w:r w:rsidRPr="00EF188B">
              <w:rPr>
                <w:b/>
              </w:rPr>
              <w:t>arantijas</w:t>
            </w:r>
          </w:p>
        </w:tc>
        <w:tc>
          <w:tcPr>
            <w:tcW w:w="1701" w:type="dxa"/>
            <w:tcMar>
              <w:left w:w="57" w:type="dxa"/>
              <w:right w:w="57" w:type="dxa"/>
            </w:tcMar>
            <w:vAlign w:val="center"/>
          </w:tcPr>
          <w:p w14:paraId="6622AAE4" w14:textId="2BDDB386" w:rsidR="00AA4FD2" w:rsidRPr="00A423D4" w:rsidRDefault="00AA4FD2" w:rsidP="00AA4FD2">
            <w:pPr>
              <w:pStyle w:val="NormalWeb"/>
              <w:spacing w:before="0" w:beforeAutospacing="0" w:after="120" w:afterAutospacing="0"/>
              <w:jc w:val="both"/>
              <w:rPr>
                <w:rFonts w:ascii="Times New Roman" w:hAnsi="Times New Roman" w:cs="Times New Roman"/>
                <w:color w:val="000000"/>
                <w:kern w:val="24"/>
                <w:lang w:val="lv-LV"/>
              </w:rPr>
            </w:pPr>
            <w:r w:rsidRPr="00A423D4">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 xml:space="preserve"> 0</w:t>
            </w:r>
            <w:r w:rsidRPr="0039299B">
              <w:rPr>
                <w:rFonts w:ascii="Times New Roman" w:hAnsi="Times New Roman" w:cs="Times New Roman"/>
                <w:color w:val="000000"/>
                <w:kern w:val="24"/>
                <w:lang w:val="lv-LV"/>
              </w:rPr>
              <w:t xml:space="preserve"> tūkst. EUR</w:t>
            </w:r>
          </w:p>
        </w:tc>
        <w:tc>
          <w:tcPr>
            <w:tcW w:w="1701" w:type="dxa"/>
            <w:tcMar>
              <w:left w:w="57" w:type="dxa"/>
              <w:right w:w="57" w:type="dxa"/>
            </w:tcMar>
            <w:vAlign w:val="center"/>
          </w:tcPr>
          <w:p w14:paraId="5B02D281" w14:textId="0B7F8AB6" w:rsidR="00AA4FD2" w:rsidRPr="008300A1" w:rsidRDefault="00AA4FD2" w:rsidP="00AA4FD2">
            <w:pPr>
              <w:pStyle w:val="NormalWeb"/>
              <w:spacing w:before="0" w:beforeAutospacing="0" w:after="120" w:afterAutospacing="0"/>
              <w:jc w:val="both"/>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7</w:t>
            </w:r>
            <w:r w:rsidRPr="00E175F8">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tūkst</w:t>
            </w:r>
            <w:r w:rsidRPr="00E175F8">
              <w:rPr>
                <w:rFonts w:ascii="Times New Roman" w:hAnsi="Times New Roman" w:cs="Times New Roman"/>
                <w:color w:val="000000"/>
                <w:kern w:val="24"/>
                <w:lang w:val="lv-LV"/>
              </w:rPr>
              <w:t>. EUR</w:t>
            </w:r>
          </w:p>
        </w:tc>
        <w:tc>
          <w:tcPr>
            <w:tcW w:w="1701" w:type="dxa"/>
            <w:shd w:val="clear" w:color="auto" w:fill="auto"/>
            <w:tcMar>
              <w:left w:w="57" w:type="dxa"/>
              <w:right w:w="57" w:type="dxa"/>
            </w:tcMar>
            <w:vAlign w:val="center"/>
          </w:tcPr>
          <w:p w14:paraId="16528B5D" w14:textId="65FC6122" w:rsidR="00AA4FD2" w:rsidRPr="005E1CD6" w:rsidRDefault="00AA4FD2" w:rsidP="00AA4FD2">
            <w:pPr>
              <w:pStyle w:val="NormalWeb"/>
              <w:spacing w:before="0" w:beforeAutospacing="0" w:after="120" w:afterAutospacing="0"/>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7</w:t>
            </w:r>
            <w:r w:rsidRPr="00E175F8">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tūkst</w:t>
            </w:r>
            <w:r w:rsidRPr="00E175F8">
              <w:rPr>
                <w:rFonts w:ascii="Times New Roman" w:hAnsi="Times New Roman" w:cs="Times New Roman"/>
                <w:color w:val="000000"/>
                <w:kern w:val="24"/>
                <w:lang w:val="lv-LV"/>
              </w:rPr>
              <w:t>. EUR</w:t>
            </w:r>
          </w:p>
        </w:tc>
        <w:tc>
          <w:tcPr>
            <w:tcW w:w="1706" w:type="dxa"/>
            <w:shd w:val="clear" w:color="auto" w:fill="auto"/>
            <w:tcMar>
              <w:left w:w="57" w:type="dxa"/>
              <w:right w:w="57" w:type="dxa"/>
            </w:tcMar>
            <w:vAlign w:val="center"/>
          </w:tcPr>
          <w:p w14:paraId="77B922DB" w14:textId="5E8EECD1" w:rsidR="00AA4FD2" w:rsidRPr="005E1CD6" w:rsidRDefault="00AA4FD2" w:rsidP="00AA4FD2">
            <w:pPr>
              <w:pStyle w:val="NormalWeb"/>
              <w:spacing w:before="0" w:beforeAutospacing="0" w:after="120" w:afterAutospacing="0"/>
              <w:rPr>
                <w:rFonts w:ascii="Times New Roman" w:hAnsi="Times New Roman" w:cs="Times New Roman"/>
                <w:color w:val="000000"/>
                <w:kern w:val="24"/>
                <w:lang w:val="lv-LV"/>
              </w:rPr>
            </w:pPr>
            <w:r>
              <w:rPr>
                <w:rFonts w:ascii="Times New Roman" w:hAnsi="Times New Roman" w:cs="Times New Roman"/>
                <w:color w:val="000000"/>
                <w:kern w:val="24"/>
                <w:lang w:val="lv-LV"/>
              </w:rPr>
              <w:t xml:space="preserve">    7</w:t>
            </w:r>
            <w:r w:rsidRPr="00E175F8">
              <w:rPr>
                <w:rFonts w:ascii="Times New Roman" w:hAnsi="Times New Roman" w:cs="Times New Roman"/>
                <w:color w:val="000000"/>
                <w:kern w:val="24"/>
                <w:lang w:val="lv-LV"/>
              </w:rPr>
              <w:t xml:space="preserve"> </w:t>
            </w:r>
            <w:r>
              <w:rPr>
                <w:rFonts w:ascii="Times New Roman" w:hAnsi="Times New Roman" w:cs="Times New Roman"/>
                <w:color w:val="000000"/>
                <w:kern w:val="24"/>
                <w:lang w:val="lv-LV"/>
              </w:rPr>
              <w:t>tūkst</w:t>
            </w:r>
            <w:r w:rsidRPr="00E175F8">
              <w:rPr>
                <w:rFonts w:ascii="Times New Roman" w:hAnsi="Times New Roman" w:cs="Times New Roman"/>
                <w:color w:val="000000"/>
                <w:kern w:val="24"/>
                <w:lang w:val="lv-LV"/>
              </w:rPr>
              <w:t>. EUR</w:t>
            </w:r>
          </w:p>
        </w:tc>
      </w:tr>
    </w:tbl>
    <w:p w14:paraId="51A7EA27" w14:textId="1A821DB3" w:rsidR="00A96525" w:rsidRPr="00C945E0" w:rsidRDefault="00A96525" w:rsidP="000F44D3">
      <w:pPr>
        <w:spacing w:before="120" w:after="120"/>
        <w:ind w:firstLine="720"/>
        <w:jc w:val="both"/>
      </w:pPr>
      <w:r w:rsidRPr="00C945E0">
        <w:t>Visā programmas darbības laikā - līdz 2043. gadam, 4.2.1.1.pasākuma "Veicināt energoefektivitātes paaugstināšanu dzīvojamās ēkās" īstenošanas sabiedrības "</w:t>
      </w:r>
      <w:proofErr w:type="spellStart"/>
      <w:r w:rsidRPr="00C945E0">
        <w:t>Altum</w:t>
      </w:r>
      <w:proofErr w:type="spellEnd"/>
      <w:r w:rsidRPr="00C945E0">
        <w:t xml:space="preserve">" vadības izmaksu un maksas par izmantoto kapitālu segšanai nepieciešamais kopējais finansējums ir plānots 4 341 000 EUR. </w:t>
      </w:r>
    </w:p>
    <w:p w14:paraId="3BA8B890" w14:textId="07346E20" w:rsidR="00DD0223" w:rsidRPr="00DD0223" w:rsidRDefault="00DD0223" w:rsidP="00CE52B2">
      <w:pPr>
        <w:pStyle w:val="ListParagraph"/>
        <w:numPr>
          <w:ilvl w:val="0"/>
          <w:numId w:val="20"/>
        </w:numPr>
        <w:spacing w:after="120"/>
        <w:ind w:left="0" w:firstLine="284"/>
        <w:rPr>
          <w:b/>
          <w:bCs/>
        </w:rPr>
      </w:pPr>
      <w:r w:rsidRPr="00DD0223">
        <w:rPr>
          <w:b/>
          <w:bCs/>
          <w:u w:val="single"/>
        </w:rPr>
        <w:t>Plānotās darbības programmas īstenošanā.</w:t>
      </w:r>
      <w:r w:rsidR="00CE52B2">
        <w:rPr>
          <w:b/>
          <w:bCs/>
          <w:u w:val="single"/>
        </w:rPr>
        <w:t xml:space="preserve"> </w:t>
      </w:r>
    </w:p>
    <w:p w14:paraId="52BD3478" w14:textId="528DFF39" w:rsidR="00DD0223" w:rsidRDefault="00DD0223" w:rsidP="00DD0223">
      <w:pPr>
        <w:ind w:firstLine="425"/>
        <w:jc w:val="both"/>
      </w:pPr>
      <w:r>
        <w:t xml:space="preserve">Vadības izmaksas var tikt koriģētas atbilstoši sabiedrības </w:t>
      </w:r>
      <w:proofErr w:type="spellStart"/>
      <w:r>
        <w:t>Altum</w:t>
      </w:r>
      <w:proofErr w:type="spellEnd"/>
      <w:r>
        <w:t xml:space="preserve"> kārtēja gada budžetam vai aktualizētajam programmas ieviešanas plānam. </w:t>
      </w:r>
      <w:r w:rsidR="005228DC">
        <w:t>I</w:t>
      </w:r>
      <w:r w:rsidR="00100E77" w:rsidRPr="00100E77">
        <w:t>nformācij</w:t>
      </w:r>
      <w:r w:rsidR="00100E77">
        <w:t>as</w:t>
      </w:r>
      <w:r w:rsidR="00100E77" w:rsidRPr="00100E77">
        <w:t xml:space="preserve"> par 4.2.1.1.pasākuma “Veicināt energoefektivitātes paaugstināšanu dzīvojamās ēkas” ieviešanai turpmāk nepieciešamo finansējumu akciju sabiedrības "Attīstības finanšu institūcija </w:t>
      </w:r>
      <w:proofErr w:type="spellStart"/>
      <w:r w:rsidR="00100E77" w:rsidRPr="00100E77">
        <w:t>Altum</w:t>
      </w:r>
      <w:proofErr w:type="spellEnd"/>
      <w:r w:rsidR="00100E77" w:rsidRPr="00100E77">
        <w:t>" vadības izmaksu un maks</w:t>
      </w:r>
      <w:r w:rsidR="00100E77">
        <w:t>as</w:t>
      </w:r>
      <w:r w:rsidR="00100E77" w:rsidRPr="00100E77">
        <w:t xml:space="preserve"> par izmantoto kapitāla segšanai</w:t>
      </w:r>
      <w:r>
        <w:t xml:space="preserve">" sniegšana plānota 2022. gadā. </w:t>
      </w:r>
    </w:p>
    <w:p w14:paraId="13EFCF85" w14:textId="43F869C0" w:rsidR="00DD0223" w:rsidRDefault="00DD0223" w:rsidP="00DD0223">
      <w:pPr>
        <w:ind w:firstLine="425"/>
        <w:jc w:val="both"/>
      </w:pPr>
    </w:p>
    <w:p w14:paraId="1D2FEA57" w14:textId="77777777" w:rsidR="00432197" w:rsidRDefault="00432197" w:rsidP="00022EFD">
      <w:pPr>
        <w:jc w:val="both"/>
      </w:pPr>
    </w:p>
    <w:p w14:paraId="10773181" w14:textId="77777777" w:rsidR="00CE52B2" w:rsidRDefault="00CE52B2" w:rsidP="00DD0223">
      <w:pPr>
        <w:ind w:firstLine="425"/>
        <w:jc w:val="both"/>
      </w:pPr>
    </w:p>
    <w:bookmarkEnd w:id="16"/>
    <w:p w14:paraId="5604BC50" w14:textId="26281A96" w:rsidR="007A56E2" w:rsidRDefault="00DD0223" w:rsidP="00022EFD">
      <w:pPr>
        <w:tabs>
          <w:tab w:val="center" w:pos="4465"/>
        </w:tabs>
        <w:ind w:right="-283"/>
        <w:jc w:val="both"/>
        <w:rPr>
          <w:b/>
        </w:rPr>
      </w:pPr>
      <w:r>
        <w:rPr>
          <w:b/>
        </w:rPr>
        <w:t>E</w:t>
      </w:r>
      <w:r w:rsidR="0086794F">
        <w:rPr>
          <w:b/>
        </w:rPr>
        <w:t>konomikas ministr</w:t>
      </w:r>
      <w:r w:rsidR="00BC6BEE">
        <w:rPr>
          <w:b/>
        </w:rPr>
        <w:t>s</w:t>
      </w:r>
      <w:r w:rsidR="00BC6BEE">
        <w:rPr>
          <w:b/>
        </w:rPr>
        <w:tab/>
      </w:r>
      <w:r w:rsidR="00BC6BEE">
        <w:rPr>
          <w:b/>
        </w:rPr>
        <w:tab/>
      </w:r>
      <w:bookmarkStart w:id="21" w:name="_GoBack"/>
      <w:bookmarkEnd w:id="21"/>
      <w:r w:rsidR="00BC6BEE">
        <w:rPr>
          <w:b/>
        </w:rPr>
        <w:tab/>
      </w:r>
      <w:r w:rsidR="00BC6BEE">
        <w:rPr>
          <w:b/>
        </w:rPr>
        <w:tab/>
      </w:r>
      <w:r w:rsidR="00BC6BEE">
        <w:rPr>
          <w:b/>
        </w:rPr>
        <w:tab/>
        <w:t xml:space="preserve">Jānis </w:t>
      </w:r>
      <w:proofErr w:type="spellStart"/>
      <w:r w:rsidR="00BC6BEE">
        <w:rPr>
          <w:b/>
        </w:rPr>
        <w:t>Vitenbergs</w:t>
      </w:r>
      <w:proofErr w:type="spellEnd"/>
    </w:p>
    <w:sectPr w:rsidR="007A56E2" w:rsidSect="00B92DE7">
      <w:headerReference w:type="even"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D173" w14:textId="77777777" w:rsidR="00346195" w:rsidRDefault="00346195">
      <w:r>
        <w:separator/>
      </w:r>
    </w:p>
  </w:endnote>
  <w:endnote w:type="continuationSeparator" w:id="0">
    <w:p w14:paraId="406032DD" w14:textId="77777777" w:rsidR="00346195" w:rsidRDefault="0034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34EA" w14:textId="77777777" w:rsidR="002033E5" w:rsidRDefault="0086794F">
    <w:pPr>
      <w:pStyle w:val="Footer"/>
      <w:jc w:val="center"/>
    </w:pPr>
    <w:r>
      <w:fldChar w:fldCharType="begin"/>
    </w:r>
    <w:r>
      <w:instrText xml:space="preserve"> PAGE   \* MERGEFORMAT </w:instrText>
    </w:r>
    <w:r>
      <w:fldChar w:fldCharType="separate"/>
    </w:r>
    <w:r w:rsidR="00541F7E">
      <w:rPr>
        <w:noProof/>
      </w:rPr>
      <w:t>3</w:t>
    </w:r>
    <w:r>
      <w:rPr>
        <w:noProof/>
      </w:rPr>
      <w:fldChar w:fldCharType="end"/>
    </w:r>
  </w:p>
  <w:p w14:paraId="4BEFCCD3" w14:textId="77777777" w:rsidR="002033E5" w:rsidRDefault="0020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FF34" w14:textId="77777777" w:rsidR="002033E5" w:rsidRDefault="0086794F">
    <w:pPr>
      <w:pStyle w:val="Footer"/>
      <w:jc w:val="center"/>
    </w:pPr>
    <w:r>
      <w:fldChar w:fldCharType="begin"/>
    </w:r>
    <w:r>
      <w:instrText xml:space="preserve"> PAGE   \* MERGEFORMAT </w:instrText>
    </w:r>
    <w:r>
      <w:fldChar w:fldCharType="separate"/>
    </w:r>
    <w:r w:rsidR="00541F7E">
      <w:rPr>
        <w:noProof/>
      </w:rPr>
      <w:t>1</w:t>
    </w:r>
    <w:r>
      <w:rPr>
        <w:noProof/>
      </w:rPr>
      <w:fldChar w:fldCharType="end"/>
    </w:r>
  </w:p>
  <w:p w14:paraId="7B44585C" w14:textId="77777777" w:rsidR="002033E5" w:rsidRPr="002B15BE" w:rsidRDefault="002033E5" w:rsidP="002B15BE">
    <w:pPr>
      <w:pStyle w:val="Heading1"/>
      <w:jc w:val="both"/>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26A7" w14:textId="77777777" w:rsidR="00346195" w:rsidRDefault="00346195">
      <w:r>
        <w:separator/>
      </w:r>
    </w:p>
  </w:footnote>
  <w:footnote w:type="continuationSeparator" w:id="0">
    <w:p w14:paraId="761A9BD7" w14:textId="77777777" w:rsidR="00346195" w:rsidRDefault="00346195">
      <w:r>
        <w:continuationSeparator/>
      </w:r>
    </w:p>
  </w:footnote>
  <w:footnote w:id="1">
    <w:p w14:paraId="3D6BBCED" w14:textId="77777777" w:rsidR="005C36A5" w:rsidRDefault="005C36A5" w:rsidP="005C36A5">
      <w:pPr>
        <w:pStyle w:val="FootnoteText"/>
        <w:spacing w:after="120"/>
        <w:jc w:val="both"/>
      </w:pPr>
      <w:r>
        <w:rPr>
          <w:rStyle w:val="FootnoteReference"/>
        </w:rPr>
        <w:footnoteRef/>
      </w:r>
      <w:r>
        <w:t xml:space="preserve"> Ministru kabineta sēdes </w:t>
      </w:r>
      <w:r>
        <w:rPr>
          <w:lang w:val="lv-LV"/>
        </w:rPr>
        <w:t>protokola</w:t>
      </w:r>
      <w:r>
        <w:t xml:space="preserve"> Nr.5 34.§ 5.punkt</w:t>
      </w:r>
      <w:r>
        <w:rPr>
          <w:lang w:val="lv-LV"/>
        </w:rPr>
        <w:t>s:</w:t>
      </w:r>
      <w:r>
        <w:t xml:space="preserve"> "Ekonomikas ministrijai sagatavot un līdz 2019.gada 1.decembrim iesniegt izskatīšanai Ministru kabinetā informāciju par 4.2.1.1.pasākuma ieviešanai turpmāk nepieciešamo finansējumu </w:t>
      </w:r>
      <w:bookmarkStart w:id="6" w:name="_Hlk23936412"/>
      <w:r>
        <w:t>sabiedrības "Altum" vadības izmaksu un maksas par izmantoto kapitālu segšanai</w:t>
      </w:r>
      <w:bookmarkEnd w:id="6"/>
      <w:r>
        <w:t>."</w:t>
      </w:r>
      <w:r>
        <w:rPr>
          <w:lang w:val="lv-LV"/>
        </w:rPr>
        <w:t xml:space="preserve"> </w:t>
      </w:r>
    </w:p>
  </w:footnote>
  <w:footnote w:id="2">
    <w:p w14:paraId="77D387BE" w14:textId="77777777" w:rsidR="005C36A5" w:rsidRDefault="005C36A5" w:rsidP="005C36A5">
      <w:pPr>
        <w:pStyle w:val="FootnoteText"/>
        <w:spacing w:after="120"/>
        <w:jc w:val="both"/>
        <w:rPr>
          <w:lang w:val="lv-LV"/>
        </w:rPr>
      </w:pPr>
      <w:r>
        <w:rPr>
          <w:rStyle w:val="FootnoteReference"/>
        </w:rPr>
        <w:footnoteRef/>
      </w:r>
      <w:r>
        <w:t xml:space="preserve"> </w:t>
      </w:r>
      <w:r>
        <w:rPr>
          <w:lang w:val="lv-LV"/>
        </w:rPr>
        <w:t xml:space="preserve">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w:t>
      </w:r>
    </w:p>
  </w:footnote>
  <w:footnote w:id="3">
    <w:p w14:paraId="090B7E9C" w14:textId="44200564" w:rsidR="005C36A5" w:rsidRDefault="005C36A5" w:rsidP="005C36A5">
      <w:pPr>
        <w:pStyle w:val="FootnoteText"/>
        <w:spacing w:after="120"/>
        <w:jc w:val="both"/>
        <w:rPr>
          <w:lang w:val="lv-LV"/>
        </w:rPr>
      </w:pPr>
      <w:r>
        <w:rPr>
          <w:rStyle w:val="FootnoteReference"/>
        </w:rPr>
        <w:footnoteRef/>
      </w:r>
      <w:r>
        <w:t xml:space="preserve"> </w:t>
      </w:r>
      <w:bookmarkStart w:id="10" w:name="_Hlk25573781"/>
      <w:r>
        <w:t>Ministru kabineta noteikum</w:t>
      </w:r>
      <w:r>
        <w:rPr>
          <w:lang w:val="lv-LV"/>
        </w:rPr>
        <w:t>u</w:t>
      </w:r>
      <w:r>
        <w:t xml:space="preserve"> Nr. 160</w:t>
      </w:r>
      <w:bookmarkEnd w:id="10"/>
      <w:r>
        <w:rPr>
          <w:lang w:val="lv-LV"/>
        </w:rPr>
        <w:t xml:space="preserve"> </w:t>
      </w:r>
      <w:r w:rsidR="00D05FED">
        <w:rPr>
          <w:lang w:val="lv-LV"/>
        </w:rPr>
        <w:t>9</w:t>
      </w:r>
      <w:r>
        <w:rPr>
          <w:lang w:val="lv-LV"/>
        </w:rPr>
        <w:t>.2. apakšpunkts: “</w:t>
      </w:r>
      <w:bookmarkStart w:id="11" w:name="_Hlk23938955"/>
      <w:r>
        <w:rPr>
          <w:lang w:val="lv-LV"/>
        </w:rPr>
        <w:t xml:space="preserve">finanšu instrumentam, tai skaitā aizdevumu, garantiju un finanšu instrumentu pārvaldības izmaksām pieejamais kopējais attiecināmais finansējums ir </w:t>
      </w:r>
      <w:r w:rsidR="00D05FED">
        <w:rPr>
          <w:lang w:val="lv-LV"/>
        </w:rPr>
        <w:t>22 011 823</w:t>
      </w:r>
      <w:r>
        <w:rPr>
          <w:lang w:val="lv-LV"/>
        </w:rPr>
        <w:t xml:space="preserve"> euro, </w:t>
      </w:r>
      <w:bookmarkEnd w:id="11"/>
      <w:r>
        <w:rPr>
          <w:lang w:val="lv-LV"/>
        </w:rPr>
        <w:t xml:space="preserve">ieskaitot Eiropas Reģionālās attīstības fonda finansējumu – </w:t>
      </w:r>
      <w:r w:rsidR="00D5740D">
        <w:rPr>
          <w:lang w:val="lv-LV"/>
        </w:rPr>
        <w:t>18 710 050</w:t>
      </w:r>
      <w:r>
        <w:rPr>
          <w:lang w:val="lv-LV"/>
        </w:rPr>
        <w:t xml:space="preserve"> euro – un valsts budžeta finansējumu – 3 </w:t>
      </w:r>
      <w:r w:rsidR="00D5740D">
        <w:rPr>
          <w:lang w:val="lv-LV"/>
        </w:rPr>
        <w:t xml:space="preserve">011 773 </w:t>
      </w:r>
      <w:r>
        <w:rPr>
          <w:lang w:val="lv-LV"/>
        </w:rPr>
        <w:t xml:space="preserve">euro.”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9373" w14:textId="77777777" w:rsidR="002033E5" w:rsidRDefault="0086794F" w:rsidP="00A81C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75FD9" w14:textId="77777777" w:rsidR="002033E5" w:rsidRDefault="0020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654E" w14:textId="77777777" w:rsidR="00074C4C" w:rsidRPr="007D2D45" w:rsidRDefault="00074C4C" w:rsidP="00074C4C">
    <w:pPr>
      <w:pStyle w:val="ListParagraph"/>
      <w:ind w:left="0" w:firstLine="426"/>
      <w:jc w:val="right"/>
      <w:rPr>
        <w:i/>
      </w:rPr>
    </w:pPr>
    <w:r w:rsidRPr="007D2D45">
      <w:rPr>
        <w:i/>
      </w:rPr>
      <w:t xml:space="preserve">Projekts </w:t>
    </w:r>
  </w:p>
  <w:p w14:paraId="3CDC4DB8" w14:textId="77777777" w:rsidR="00074C4C" w:rsidRDefault="0007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1C2CA8"/>
    <w:multiLevelType w:val="hybridMultilevel"/>
    <w:tmpl w:val="F1A4A634"/>
    <w:lvl w:ilvl="0" w:tplc="F272C43E">
      <w:start w:val="1"/>
      <w:numFmt w:val="decimal"/>
      <w:lvlText w:val="(%1.)"/>
      <w:lvlJc w:val="left"/>
      <w:pPr>
        <w:ind w:left="360" w:hanging="360"/>
      </w:pPr>
      <w:rPr>
        <w:rFonts w:hint="default"/>
        <w:color w:val="auto"/>
      </w:rPr>
    </w:lvl>
    <w:lvl w:ilvl="1" w:tplc="EF90035C" w:tentative="1">
      <w:start w:val="1"/>
      <w:numFmt w:val="lowerLetter"/>
      <w:lvlText w:val="%2."/>
      <w:lvlJc w:val="left"/>
      <w:pPr>
        <w:ind w:left="1080" w:hanging="360"/>
      </w:pPr>
    </w:lvl>
    <w:lvl w:ilvl="2" w:tplc="22DEE3E0" w:tentative="1">
      <w:start w:val="1"/>
      <w:numFmt w:val="lowerRoman"/>
      <w:lvlText w:val="%3."/>
      <w:lvlJc w:val="right"/>
      <w:pPr>
        <w:ind w:left="1800" w:hanging="180"/>
      </w:pPr>
    </w:lvl>
    <w:lvl w:ilvl="3" w:tplc="C0E23D16" w:tentative="1">
      <w:start w:val="1"/>
      <w:numFmt w:val="decimal"/>
      <w:lvlText w:val="%4."/>
      <w:lvlJc w:val="left"/>
      <w:pPr>
        <w:ind w:left="2520" w:hanging="360"/>
      </w:pPr>
    </w:lvl>
    <w:lvl w:ilvl="4" w:tplc="E9948CD2" w:tentative="1">
      <w:start w:val="1"/>
      <w:numFmt w:val="lowerLetter"/>
      <w:lvlText w:val="%5."/>
      <w:lvlJc w:val="left"/>
      <w:pPr>
        <w:ind w:left="3240" w:hanging="360"/>
      </w:pPr>
    </w:lvl>
    <w:lvl w:ilvl="5" w:tplc="C49C16EA" w:tentative="1">
      <w:start w:val="1"/>
      <w:numFmt w:val="lowerRoman"/>
      <w:lvlText w:val="%6."/>
      <w:lvlJc w:val="right"/>
      <w:pPr>
        <w:ind w:left="3960" w:hanging="180"/>
      </w:pPr>
    </w:lvl>
    <w:lvl w:ilvl="6" w:tplc="945882AE" w:tentative="1">
      <w:start w:val="1"/>
      <w:numFmt w:val="decimal"/>
      <w:lvlText w:val="%7."/>
      <w:lvlJc w:val="left"/>
      <w:pPr>
        <w:ind w:left="4680" w:hanging="360"/>
      </w:pPr>
    </w:lvl>
    <w:lvl w:ilvl="7" w:tplc="AF6C4590" w:tentative="1">
      <w:start w:val="1"/>
      <w:numFmt w:val="lowerLetter"/>
      <w:lvlText w:val="%8."/>
      <w:lvlJc w:val="left"/>
      <w:pPr>
        <w:ind w:left="5400" w:hanging="360"/>
      </w:pPr>
    </w:lvl>
    <w:lvl w:ilvl="8" w:tplc="0DBE8632" w:tentative="1">
      <w:start w:val="1"/>
      <w:numFmt w:val="lowerRoman"/>
      <w:lvlText w:val="%9."/>
      <w:lvlJc w:val="right"/>
      <w:pPr>
        <w:ind w:left="6120" w:hanging="180"/>
      </w:pPr>
    </w:lvl>
  </w:abstractNum>
  <w:abstractNum w:abstractNumId="1" w15:restartNumberingAfterBreak="1">
    <w:nsid w:val="055C48AF"/>
    <w:multiLevelType w:val="hybridMultilevel"/>
    <w:tmpl w:val="7CB6C888"/>
    <w:lvl w:ilvl="0" w:tplc="4B0A1DBC">
      <w:start w:val="1"/>
      <w:numFmt w:val="decimal"/>
      <w:lvlText w:val="%1)"/>
      <w:lvlJc w:val="left"/>
      <w:pPr>
        <w:ind w:left="785" w:hanging="360"/>
      </w:pPr>
      <w:rPr>
        <w:rFonts w:hint="default"/>
      </w:rPr>
    </w:lvl>
    <w:lvl w:ilvl="1" w:tplc="04E2B962">
      <w:start w:val="1"/>
      <w:numFmt w:val="lowerLetter"/>
      <w:lvlText w:val="%2."/>
      <w:lvlJc w:val="left"/>
      <w:pPr>
        <w:ind w:left="1505" w:hanging="360"/>
      </w:pPr>
    </w:lvl>
    <w:lvl w:ilvl="2" w:tplc="6C00C03A" w:tentative="1">
      <w:start w:val="1"/>
      <w:numFmt w:val="lowerRoman"/>
      <w:lvlText w:val="%3."/>
      <w:lvlJc w:val="right"/>
      <w:pPr>
        <w:ind w:left="2225" w:hanging="180"/>
      </w:pPr>
    </w:lvl>
    <w:lvl w:ilvl="3" w:tplc="2C808014" w:tentative="1">
      <w:start w:val="1"/>
      <w:numFmt w:val="decimal"/>
      <w:lvlText w:val="%4."/>
      <w:lvlJc w:val="left"/>
      <w:pPr>
        <w:ind w:left="2945" w:hanging="360"/>
      </w:pPr>
    </w:lvl>
    <w:lvl w:ilvl="4" w:tplc="241EF5FA" w:tentative="1">
      <w:start w:val="1"/>
      <w:numFmt w:val="lowerLetter"/>
      <w:lvlText w:val="%5."/>
      <w:lvlJc w:val="left"/>
      <w:pPr>
        <w:ind w:left="3665" w:hanging="360"/>
      </w:pPr>
    </w:lvl>
    <w:lvl w:ilvl="5" w:tplc="FBE40722" w:tentative="1">
      <w:start w:val="1"/>
      <w:numFmt w:val="lowerRoman"/>
      <w:lvlText w:val="%6."/>
      <w:lvlJc w:val="right"/>
      <w:pPr>
        <w:ind w:left="4385" w:hanging="180"/>
      </w:pPr>
    </w:lvl>
    <w:lvl w:ilvl="6" w:tplc="F6107EDC" w:tentative="1">
      <w:start w:val="1"/>
      <w:numFmt w:val="decimal"/>
      <w:lvlText w:val="%7."/>
      <w:lvlJc w:val="left"/>
      <w:pPr>
        <w:ind w:left="5105" w:hanging="360"/>
      </w:pPr>
    </w:lvl>
    <w:lvl w:ilvl="7" w:tplc="1C7AD5D8" w:tentative="1">
      <w:start w:val="1"/>
      <w:numFmt w:val="lowerLetter"/>
      <w:lvlText w:val="%8."/>
      <w:lvlJc w:val="left"/>
      <w:pPr>
        <w:ind w:left="5825" w:hanging="360"/>
      </w:pPr>
    </w:lvl>
    <w:lvl w:ilvl="8" w:tplc="63727700" w:tentative="1">
      <w:start w:val="1"/>
      <w:numFmt w:val="lowerRoman"/>
      <w:lvlText w:val="%9."/>
      <w:lvlJc w:val="right"/>
      <w:pPr>
        <w:ind w:left="6545" w:hanging="180"/>
      </w:pPr>
    </w:lvl>
  </w:abstractNum>
  <w:abstractNum w:abstractNumId="2" w15:restartNumberingAfterBreak="1">
    <w:nsid w:val="0E864CC5"/>
    <w:multiLevelType w:val="hybridMultilevel"/>
    <w:tmpl w:val="292E51B6"/>
    <w:lvl w:ilvl="0" w:tplc="3406365C">
      <w:start w:val="1"/>
      <w:numFmt w:val="decimal"/>
      <w:lvlText w:val="%1."/>
      <w:lvlJc w:val="left"/>
      <w:pPr>
        <w:ind w:left="1444" w:hanging="360"/>
      </w:pPr>
      <w:rPr>
        <w:rFonts w:hint="default"/>
      </w:rPr>
    </w:lvl>
    <w:lvl w:ilvl="1" w:tplc="CB88A252" w:tentative="1">
      <w:start w:val="1"/>
      <w:numFmt w:val="lowerLetter"/>
      <w:lvlText w:val="%2."/>
      <w:lvlJc w:val="left"/>
      <w:pPr>
        <w:ind w:left="2164" w:hanging="360"/>
      </w:pPr>
    </w:lvl>
    <w:lvl w:ilvl="2" w:tplc="9E9EBD32" w:tentative="1">
      <w:start w:val="1"/>
      <w:numFmt w:val="lowerRoman"/>
      <w:lvlText w:val="%3."/>
      <w:lvlJc w:val="right"/>
      <w:pPr>
        <w:ind w:left="2884" w:hanging="180"/>
      </w:pPr>
    </w:lvl>
    <w:lvl w:ilvl="3" w:tplc="D482FB94" w:tentative="1">
      <w:start w:val="1"/>
      <w:numFmt w:val="decimal"/>
      <w:lvlText w:val="%4."/>
      <w:lvlJc w:val="left"/>
      <w:pPr>
        <w:ind w:left="3604" w:hanging="360"/>
      </w:pPr>
    </w:lvl>
    <w:lvl w:ilvl="4" w:tplc="E2B862CC" w:tentative="1">
      <w:start w:val="1"/>
      <w:numFmt w:val="lowerLetter"/>
      <w:lvlText w:val="%5."/>
      <w:lvlJc w:val="left"/>
      <w:pPr>
        <w:ind w:left="4324" w:hanging="360"/>
      </w:pPr>
    </w:lvl>
    <w:lvl w:ilvl="5" w:tplc="AC2CBFEA" w:tentative="1">
      <w:start w:val="1"/>
      <w:numFmt w:val="lowerRoman"/>
      <w:lvlText w:val="%6."/>
      <w:lvlJc w:val="right"/>
      <w:pPr>
        <w:ind w:left="5044" w:hanging="180"/>
      </w:pPr>
    </w:lvl>
    <w:lvl w:ilvl="6" w:tplc="F41A14DA" w:tentative="1">
      <w:start w:val="1"/>
      <w:numFmt w:val="decimal"/>
      <w:lvlText w:val="%7."/>
      <w:lvlJc w:val="left"/>
      <w:pPr>
        <w:ind w:left="5764" w:hanging="360"/>
      </w:pPr>
    </w:lvl>
    <w:lvl w:ilvl="7" w:tplc="4EE4FCAE" w:tentative="1">
      <w:start w:val="1"/>
      <w:numFmt w:val="lowerLetter"/>
      <w:lvlText w:val="%8."/>
      <w:lvlJc w:val="left"/>
      <w:pPr>
        <w:ind w:left="6484" w:hanging="360"/>
      </w:pPr>
    </w:lvl>
    <w:lvl w:ilvl="8" w:tplc="3C7835C8" w:tentative="1">
      <w:start w:val="1"/>
      <w:numFmt w:val="lowerRoman"/>
      <w:lvlText w:val="%9."/>
      <w:lvlJc w:val="right"/>
      <w:pPr>
        <w:ind w:left="7204" w:hanging="180"/>
      </w:pPr>
    </w:lvl>
  </w:abstractNum>
  <w:abstractNum w:abstractNumId="3" w15:restartNumberingAfterBreak="0">
    <w:nsid w:val="1F1A62FF"/>
    <w:multiLevelType w:val="hybridMultilevel"/>
    <w:tmpl w:val="4090633E"/>
    <w:lvl w:ilvl="0" w:tplc="9EEA0B8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230F2CEB"/>
    <w:multiLevelType w:val="hybridMultilevel"/>
    <w:tmpl w:val="E530F9D0"/>
    <w:lvl w:ilvl="0" w:tplc="6C4072F4">
      <w:start w:val="1"/>
      <w:numFmt w:val="decimal"/>
      <w:lvlText w:val="%1."/>
      <w:lvlJc w:val="left"/>
      <w:pPr>
        <w:ind w:left="1429" w:hanging="360"/>
      </w:pPr>
    </w:lvl>
    <w:lvl w:ilvl="1" w:tplc="9716BF6C" w:tentative="1">
      <w:start w:val="1"/>
      <w:numFmt w:val="lowerLetter"/>
      <w:lvlText w:val="%2."/>
      <w:lvlJc w:val="left"/>
      <w:pPr>
        <w:ind w:left="2149" w:hanging="360"/>
      </w:pPr>
    </w:lvl>
    <w:lvl w:ilvl="2" w:tplc="4D9AA202" w:tentative="1">
      <w:start w:val="1"/>
      <w:numFmt w:val="lowerRoman"/>
      <w:lvlText w:val="%3."/>
      <w:lvlJc w:val="right"/>
      <w:pPr>
        <w:ind w:left="2869" w:hanging="180"/>
      </w:pPr>
    </w:lvl>
    <w:lvl w:ilvl="3" w:tplc="AF2EFD60" w:tentative="1">
      <w:start w:val="1"/>
      <w:numFmt w:val="decimal"/>
      <w:lvlText w:val="%4."/>
      <w:lvlJc w:val="left"/>
      <w:pPr>
        <w:ind w:left="3589" w:hanging="360"/>
      </w:pPr>
    </w:lvl>
    <w:lvl w:ilvl="4" w:tplc="F39E78C2" w:tentative="1">
      <w:start w:val="1"/>
      <w:numFmt w:val="lowerLetter"/>
      <w:lvlText w:val="%5."/>
      <w:lvlJc w:val="left"/>
      <w:pPr>
        <w:ind w:left="4309" w:hanging="360"/>
      </w:pPr>
    </w:lvl>
    <w:lvl w:ilvl="5" w:tplc="12743148" w:tentative="1">
      <w:start w:val="1"/>
      <w:numFmt w:val="lowerRoman"/>
      <w:lvlText w:val="%6."/>
      <w:lvlJc w:val="right"/>
      <w:pPr>
        <w:ind w:left="5029" w:hanging="180"/>
      </w:pPr>
    </w:lvl>
    <w:lvl w:ilvl="6" w:tplc="1B8AD4AA" w:tentative="1">
      <w:start w:val="1"/>
      <w:numFmt w:val="decimal"/>
      <w:lvlText w:val="%7."/>
      <w:lvlJc w:val="left"/>
      <w:pPr>
        <w:ind w:left="5749" w:hanging="360"/>
      </w:pPr>
    </w:lvl>
    <w:lvl w:ilvl="7" w:tplc="317E3B62" w:tentative="1">
      <w:start w:val="1"/>
      <w:numFmt w:val="lowerLetter"/>
      <w:lvlText w:val="%8."/>
      <w:lvlJc w:val="left"/>
      <w:pPr>
        <w:ind w:left="6469" w:hanging="360"/>
      </w:pPr>
    </w:lvl>
    <w:lvl w:ilvl="8" w:tplc="9C84DDEC" w:tentative="1">
      <w:start w:val="1"/>
      <w:numFmt w:val="lowerRoman"/>
      <w:lvlText w:val="%9."/>
      <w:lvlJc w:val="right"/>
      <w:pPr>
        <w:ind w:left="7189" w:hanging="180"/>
      </w:pPr>
    </w:lvl>
  </w:abstractNum>
  <w:abstractNum w:abstractNumId="5" w15:restartNumberingAfterBreak="1">
    <w:nsid w:val="34665DD3"/>
    <w:multiLevelType w:val="hybridMultilevel"/>
    <w:tmpl w:val="02F84DA6"/>
    <w:lvl w:ilvl="0" w:tplc="EFA42B2E">
      <w:start w:val="1"/>
      <w:numFmt w:val="bullet"/>
      <w:lvlText w:val="-"/>
      <w:lvlJc w:val="left"/>
      <w:pPr>
        <w:ind w:left="720" w:hanging="360"/>
      </w:pPr>
      <w:rPr>
        <w:rFonts w:ascii="Times New Roman" w:eastAsia="Calibri" w:hAnsi="Times New Roman" w:cs="Times New Roman" w:hint="default"/>
      </w:rPr>
    </w:lvl>
    <w:lvl w:ilvl="1" w:tplc="F482E62C" w:tentative="1">
      <w:start w:val="1"/>
      <w:numFmt w:val="bullet"/>
      <w:lvlText w:val="o"/>
      <w:lvlJc w:val="left"/>
      <w:pPr>
        <w:ind w:left="1440" w:hanging="360"/>
      </w:pPr>
      <w:rPr>
        <w:rFonts w:ascii="Courier New" w:hAnsi="Courier New" w:cs="Courier New" w:hint="default"/>
      </w:rPr>
    </w:lvl>
    <w:lvl w:ilvl="2" w:tplc="B844AEE2" w:tentative="1">
      <w:start w:val="1"/>
      <w:numFmt w:val="bullet"/>
      <w:lvlText w:val=""/>
      <w:lvlJc w:val="left"/>
      <w:pPr>
        <w:ind w:left="2160" w:hanging="360"/>
      </w:pPr>
      <w:rPr>
        <w:rFonts w:ascii="Wingdings" w:hAnsi="Wingdings" w:hint="default"/>
      </w:rPr>
    </w:lvl>
    <w:lvl w:ilvl="3" w:tplc="9C864DA2" w:tentative="1">
      <w:start w:val="1"/>
      <w:numFmt w:val="bullet"/>
      <w:lvlText w:val=""/>
      <w:lvlJc w:val="left"/>
      <w:pPr>
        <w:ind w:left="2880" w:hanging="360"/>
      </w:pPr>
      <w:rPr>
        <w:rFonts w:ascii="Symbol" w:hAnsi="Symbol" w:hint="default"/>
      </w:rPr>
    </w:lvl>
    <w:lvl w:ilvl="4" w:tplc="C078552A" w:tentative="1">
      <w:start w:val="1"/>
      <w:numFmt w:val="bullet"/>
      <w:lvlText w:val="o"/>
      <w:lvlJc w:val="left"/>
      <w:pPr>
        <w:ind w:left="3600" w:hanging="360"/>
      </w:pPr>
      <w:rPr>
        <w:rFonts w:ascii="Courier New" w:hAnsi="Courier New" w:cs="Courier New" w:hint="default"/>
      </w:rPr>
    </w:lvl>
    <w:lvl w:ilvl="5" w:tplc="989636E4" w:tentative="1">
      <w:start w:val="1"/>
      <w:numFmt w:val="bullet"/>
      <w:lvlText w:val=""/>
      <w:lvlJc w:val="left"/>
      <w:pPr>
        <w:ind w:left="4320" w:hanging="360"/>
      </w:pPr>
      <w:rPr>
        <w:rFonts w:ascii="Wingdings" w:hAnsi="Wingdings" w:hint="default"/>
      </w:rPr>
    </w:lvl>
    <w:lvl w:ilvl="6" w:tplc="193ED682" w:tentative="1">
      <w:start w:val="1"/>
      <w:numFmt w:val="bullet"/>
      <w:lvlText w:val=""/>
      <w:lvlJc w:val="left"/>
      <w:pPr>
        <w:ind w:left="5040" w:hanging="360"/>
      </w:pPr>
      <w:rPr>
        <w:rFonts w:ascii="Symbol" w:hAnsi="Symbol" w:hint="default"/>
      </w:rPr>
    </w:lvl>
    <w:lvl w:ilvl="7" w:tplc="D8E2F38C" w:tentative="1">
      <w:start w:val="1"/>
      <w:numFmt w:val="bullet"/>
      <w:lvlText w:val="o"/>
      <w:lvlJc w:val="left"/>
      <w:pPr>
        <w:ind w:left="5760" w:hanging="360"/>
      </w:pPr>
      <w:rPr>
        <w:rFonts w:ascii="Courier New" w:hAnsi="Courier New" w:cs="Courier New" w:hint="default"/>
      </w:rPr>
    </w:lvl>
    <w:lvl w:ilvl="8" w:tplc="EA544764" w:tentative="1">
      <w:start w:val="1"/>
      <w:numFmt w:val="bullet"/>
      <w:lvlText w:val=""/>
      <w:lvlJc w:val="left"/>
      <w:pPr>
        <w:ind w:left="6480" w:hanging="360"/>
      </w:pPr>
      <w:rPr>
        <w:rFonts w:ascii="Wingdings" w:hAnsi="Wingdings" w:hint="default"/>
      </w:rPr>
    </w:lvl>
  </w:abstractNum>
  <w:abstractNum w:abstractNumId="6" w15:restartNumberingAfterBreak="1">
    <w:nsid w:val="3C2C2283"/>
    <w:multiLevelType w:val="multilevel"/>
    <w:tmpl w:val="330EF7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1">
    <w:nsid w:val="4C6A3531"/>
    <w:multiLevelType w:val="hybridMultilevel"/>
    <w:tmpl w:val="A67A25B0"/>
    <w:lvl w:ilvl="0" w:tplc="FDFC49B0">
      <w:numFmt w:val="bullet"/>
      <w:lvlText w:val="-"/>
      <w:lvlJc w:val="left"/>
      <w:pPr>
        <w:ind w:left="720" w:hanging="360"/>
      </w:pPr>
      <w:rPr>
        <w:rFonts w:ascii="Times New Roman" w:eastAsia="Times New Roman" w:hAnsi="Times New Roman" w:cs="Times New Roman" w:hint="default"/>
      </w:rPr>
    </w:lvl>
    <w:lvl w:ilvl="1" w:tplc="7D243E06" w:tentative="1">
      <w:start w:val="1"/>
      <w:numFmt w:val="bullet"/>
      <w:lvlText w:val="o"/>
      <w:lvlJc w:val="left"/>
      <w:pPr>
        <w:ind w:left="1440" w:hanging="360"/>
      </w:pPr>
      <w:rPr>
        <w:rFonts w:ascii="Courier New" w:hAnsi="Courier New" w:cs="Courier New" w:hint="default"/>
      </w:rPr>
    </w:lvl>
    <w:lvl w:ilvl="2" w:tplc="EE1AF26C" w:tentative="1">
      <w:start w:val="1"/>
      <w:numFmt w:val="bullet"/>
      <w:lvlText w:val=""/>
      <w:lvlJc w:val="left"/>
      <w:pPr>
        <w:ind w:left="2160" w:hanging="360"/>
      </w:pPr>
      <w:rPr>
        <w:rFonts w:ascii="Wingdings" w:hAnsi="Wingdings" w:hint="default"/>
      </w:rPr>
    </w:lvl>
    <w:lvl w:ilvl="3" w:tplc="BAA8539E" w:tentative="1">
      <w:start w:val="1"/>
      <w:numFmt w:val="bullet"/>
      <w:lvlText w:val=""/>
      <w:lvlJc w:val="left"/>
      <w:pPr>
        <w:ind w:left="2880" w:hanging="360"/>
      </w:pPr>
      <w:rPr>
        <w:rFonts w:ascii="Symbol" w:hAnsi="Symbol" w:hint="default"/>
      </w:rPr>
    </w:lvl>
    <w:lvl w:ilvl="4" w:tplc="5672C084" w:tentative="1">
      <w:start w:val="1"/>
      <w:numFmt w:val="bullet"/>
      <w:lvlText w:val="o"/>
      <w:lvlJc w:val="left"/>
      <w:pPr>
        <w:ind w:left="3600" w:hanging="360"/>
      </w:pPr>
      <w:rPr>
        <w:rFonts w:ascii="Courier New" w:hAnsi="Courier New" w:cs="Courier New" w:hint="default"/>
      </w:rPr>
    </w:lvl>
    <w:lvl w:ilvl="5" w:tplc="38CE9A8A" w:tentative="1">
      <w:start w:val="1"/>
      <w:numFmt w:val="bullet"/>
      <w:lvlText w:val=""/>
      <w:lvlJc w:val="left"/>
      <w:pPr>
        <w:ind w:left="4320" w:hanging="360"/>
      </w:pPr>
      <w:rPr>
        <w:rFonts w:ascii="Wingdings" w:hAnsi="Wingdings" w:hint="default"/>
      </w:rPr>
    </w:lvl>
    <w:lvl w:ilvl="6" w:tplc="2C6ED76C" w:tentative="1">
      <w:start w:val="1"/>
      <w:numFmt w:val="bullet"/>
      <w:lvlText w:val=""/>
      <w:lvlJc w:val="left"/>
      <w:pPr>
        <w:ind w:left="5040" w:hanging="360"/>
      </w:pPr>
      <w:rPr>
        <w:rFonts w:ascii="Symbol" w:hAnsi="Symbol" w:hint="default"/>
      </w:rPr>
    </w:lvl>
    <w:lvl w:ilvl="7" w:tplc="C576BA22" w:tentative="1">
      <w:start w:val="1"/>
      <w:numFmt w:val="bullet"/>
      <w:lvlText w:val="o"/>
      <w:lvlJc w:val="left"/>
      <w:pPr>
        <w:ind w:left="5760" w:hanging="360"/>
      </w:pPr>
      <w:rPr>
        <w:rFonts w:ascii="Courier New" w:hAnsi="Courier New" w:cs="Courier New" w:hint="default"/>
      </w:rPr>
    </w:lvl>
    <w:lvl w:ilvl="8" w:tplc="47DAF74C" w:tentative="1">
      <w:start w:val="1"/>
      <w:numFmt w:val="bullet"/>
      <w:lvlText w:val=""/>
      <w:lvlJc w:val="left"/>
      <w:pPr>
        <w:ind w:left="6480" w:hanging="360"/>
      </w:pPr>
      <w:rPr>
        <w:rFonts w:ascii="Wingdings" w:hAnsi="Wingdings" w:hint="default"/>
      </w:rPr>
    </w:lvl>
  </w:abstractNum>
  <w:abstractNum w:abstractNumId="8" w15:restartNumberingAfterBreak="1">
    <w:nsid w:val="51852415"/>
    <w:multiLevelType w:val="hybridMultilevel"/>
    <w:tmpl w:val="CDAE29B0"/>
    <w:lvl w:ilvl="0" w:tplc="39F61FFE">
      <w:start w:val="1"/>
      <w:numFmt w:val="decimal"/>
      <w:lvlText w:val="%1."/>
      <w:lvlJc w:val="left"/>
      <w:pPr>
        <w:ind w:left="1145" w:hanging="360"/>
      </w:pPr>
    </w:lvl>
    <w:lvl w:ilvl="1" w:tplc="C5AA8848" w:tentative="1">
      <w:start w:val="1"/>
      <w:numFmt w:val="lowerLetter"/>
      <w:lvlText w:val="%2."/>
      <w:lvlJc w:val="left"/>
      <w:pPr>
        <w:ind w:left="1865" w:hanging="360"/>
      </w:pPr>
    </w:lvl>
    <w:lvl w:ilvl="2" w:tplc="BE94D31A" w:tentative="1">
      <w:start w:val="1"/>
      <w:numFmt w:val="lowerRoman"/>
      <w:lvlText w:val="%3."/>
      <w:lvlJc w:val="right"/>
      <w:pPr>
        <w:ind w:left="2585" w:hanging="180"/>
      </w:pPr>
    </w:lvl>
    <w:lvl w:ilvl="3" w:tplc="16CC1794" w:tentative="1">
      <w:start w:val="1"/>
      <w:numFmt w:val="decimal"/>
      <w:lvlText w:val="%4."/>
      <w:lvlJc w:val="left"/>
      <w:pPr>
        <w:ind w:left="3305" w:hanging="360"/>
      </w:pPr>
    </w:lvl>
    <w:lvl w:ilvl="4" w:tplc="FA3C6890" w:tentative="1">
      <w:start w:val="1"/>
      <w:numFmt w:val="lowerLetter"/>
      <w:lvlText w:val="%5."/>
      <w:lvlJc w:val="left"/>
      <w:pPr>
        <w:ind w:left="4025" w:hanging="360"/>
      </w:pPr>
    </w:lvl>
    <w:lvl w:ilvl="5" w:tplc="B3649B58" w:tentative="1">
      <w:start w:val="1"/>
      <w:numFmt w:val="lowerRoman"/>
      <w:lvlText w:val="%6."/>
      <w:lvlJc w:val="right"/>
      <w:pPr>
        <w:ind w:left="4745" w:hanging="180"/>
      </w:pPr>
    </w:lvl>
    <w:lvl w:ilvl="6" w:tplc="26EA2A68" w:tentative="1">
      <w:start w:val="1"/>
      <w:numFmt w:val="decimal"/>
      <w:lvlText w:val="%7."/>
      <w:lvlJc w:val="left"/>
      <w:pPr>
        <w:ind w:left="5465" w:hanging="360"/>
      </w:pPr>
    </w:lvl>
    <w:lvl w:ilvl="7" w:tplc="1BB2BA80" w:tentative="1">
      <w:start w:val="1"/>
      <w:numFmt w:val="lowerLetter"/>
      <w:lvlText w:val="%8."/>
      <w:lvlJc w:val="left"/>
      <w:pPr>
        <w:ind w:left="6185" w:hanging="360"/>
      </w:pPr>
    </w:lvl>
    <w:lvl w:ilvl="8" w:tplc="3850DF4E" w:tentative="1">
      <w:start w:val="1"/>
      <w:numFmt w:val="lowerRoman"/>
      <w:lvlText w:val="%9."/>
      <w:lvlJc w:val="right"/>
      <w:pPr>
        <w:ind w:left="6905" w:hanging="180"/>
      </w:pPr>
    </w:lvl>
  </w:abstractNum>
  <w:abstractNum w:abstractNumId="9" w15:restartNumberingAfterBreak="1">
    <w:nsid w:val="51DA583D"/>
    <w:multiLevelType w:val="hybridMultilevel"/>
    <w:tmpl w:val="EE247938"/>
    <w:lvl w:ilvl="0" w:tplc="D1EE1778">
      <w:start w:val="1"/>
      <w:numFmt w:val="decimal"/>
      <w:lvlText w:val="%1)"/>
      <w:lvlJc w:val="left"/>
      <w:pPr>
        <w:ind w:left="720" w:hanging="360"/>
      </w:pPr>
      <w:rPr>
        <w:rFonts w:hint="default"/>
      </w:rPr>
    </w:lvl>
    <w:lvl w:ilvl="1" w:tplc="A9603B80" w:tentative="1">
      <w:start w:val="1"/>
      <w:numFmt w:val="lowerLetter"/>
      <w:lvlText w:val="%2."/>
      <w:lvlJc w:val="left"/>
      <w:pPr>
        <w:ind w:left="1440" w:hanging="360"/>
      </w:pPr>
    </w:lvl>
    <w:lvl w:ilvl="2" w:tplc="F80A2096" w:tentative="1">
      <w:start w:val="1"/>
      <w:numFmt w:val="lowerRoman"/>
      <w:lvlText w:val="%3."/>
      <w:lvlJc w:val="right"/>
      <w:pPr>
        <w:ind w:left="2160" w:hanging="180"/>
      </w:pPr>
    </w:lvl>
    <w:lvl w:ilvl="3" w:tplc="90687B90" w:tentative="1">
      <w:start w:val="1"/>
      <w:numFmt w:val="decimal"/>
      <w:lvlText w:val="%4."/>
      <w:lvlJc w:val="left"/>
      <w:pPr>
        <w:ind w:left="2880" w:hanging="360"/>
      </w:pPr>
    </w:lvl>
    <w:lvl w:ilvl="4" w:tplc="DBA86636" w:tentative="1">
      <w:start w:val="1"/>
      <w:numFmt w:val="lowerLetter"/>
      <w:lvlText w:val="%5."/>
      <w:lvlJc w:val="left"/>
      <w:pPr>
        <w:ind w:left="3600" w:hanging="360"/>
      </w:pPr>
    </w:lvl>
    <w:lvl w:ilvl="5" w:tplc="B0E835D8" w:tentative="1">
      <w:start w:val="1"/>
      <w:numFmt w:val="lowerRoman"/>
      <w:lvlText w:val="%6."/>
      <w:lvlJc w:val="right"/>
      <w:pPr>
        <w:ind w:left="4320" w:hanging="180"/>
      </w:pPr>
    </w:lvl>
    <w:lvl w:ilvl="6" w:tplc="086203DE" w:tentative="1">
      <w:start w:val="1"/>
      <w:numFmt w:val="decimal"/>
      <w:lvlText w:val="%7."/>
      <w:lvlJc w:val="left"/>
      <w:pPr>
        <w:ind w:left="5040" w:hanging="360"/>
      </w:pPr>
    </w:lvl>
    <w:lvl w:ilvl="7" w:tplc="A686F472" w:tentative="1">
      <w:start w:val="1"/>
      <w:numFmt w:val="lowerLetter"/>
      <w:lvlText w:val="%8."/>
      <w:lvlJc w:val="left"/>
      <w:pPr>
        <w:ind w:left="5760" w:hanging="360"/>
      </w:pPr>
    </w:lvl>
    <w:lvl w:ilvl="8" w:tplc="6C80E6A4" w:tentative="1">
      <w:start w:val="1"/>
      <w:numFmt w:val="lowerRoman"/>
      <w:lvlText w:val="%9."/>
      <w:lvlJc w:val="right"/>
      <w:pPr>
        <w:ind w:left="6480" w:hanging="180"/>
      </w:pPr>
    </w:lvl>
  </w:abstractNum>
  <w:abstractNum w:abstractNumId="10" w15:restartNumberingAfterBreak="1">
    <w:nsid w:val="52636E8B"/>
    <w:multiLevelType w:val="hybridMultilevel"/>
    <w:tmpl w:val="5502962A"/>
    <w:lvl w:ilvl="0" w:tplc="19567EAC">
      <w:start w:val="1"/>
      <w:numFmt w:val="decimal"/>
      <w:lvlText w:val="%1)"/>
      <w:lvlJc w:val="left"/>
      <w:pPr>
        <w:ind w:left="1440" w:hanging="360"/>
      </w:pPr>
    </w:lvl>
    <w:lvl w:ilvl="1" w:tplc="2B68A9DC" w:tentative="1">
      <w:start w:val="1"/>
      <w:numFmt w:val="lowerLetter"/>
      <w:lvlText w:val="%2."/>
      <w:lvlJc w:val="left"/>
      <w:pPr>
        <w:ind w:left="2160" w:hanging="360"/>
      </w:pPr>
    </w:lvl>
    <w:lvl w:ilvl="2" w:tplc="FDCC47C6" w:tentative="1">
      <w:start w:val="1"/>
      <w:numFmt w:val="lowerRoman"/>
      <w:lvlText w:val="%3."/>
      <w:lvlJc w:val="right"/>
      <w:pPr>
        <w:ind w:left="2880" w:hanging="180"/>
      </w:pPr>
    </w:lvl>
    <w:lvl w:ilvl="3" w:tplc="E0A4B554" w:tentative="1">
      <w:start w:val="1"/>
      <w:numFmt w:val="decimal"/>
      <w:lvlText w:val="%4."/>
      <w:lvlJc w:val="left"/>
      <w:pPr>
        <w:ind w:left="3600" w:hanging="360"/>
      </w:pPr>
    </w:lvl>
    <w:lvl w:ilvl="4" w:tplc="CAB4DA2A" w:tentative="1">
      <w:start w:val="1"/>
      <w:numFmt w:val="lowerLetter"/>
      <w:lvlText w:val="%5."/>
      <w:lvlJc w:val="left"/>
      <w:pPr>
        <w:ind w:left="4320" w:hanging="360"/>
      </w:pPr>
    </w:lvl>
    <w:lvl w:ilvl="5" w:tplc="20583264" w:tentative="1">
      <w:start w:val="1"/>
      <w:numFmt w:val="lowerRoman"/>
      <w:lvlText w:val="%6."/>
      <w:lvlJc w:val="right"/>
      <w:pPr>
        <w:ind w:left="5040" w:hanging="180"/>
      </w:pPr>
    </w:lvl>
    <w:lvl w:ilvl="6" w:tplc="948AF72E" w:tentative="1">
      <w:start w:val="1"/>
      <w:numFmt w:val="decimal"/>
      <w:lvlText w:val="%7."/>
      <w:lvlJc w:val="left"/>
      <w:pPr>
        <w:ind w:left="5760" w:hanging="360"/>
      </w:pPr>
    </w:lvl>
    <w:lvl w:ilvl="7" w:tplc="51989BD8" w:tentative="1">
      <w:start w:val="1"/>
      <w:numFmt w:val="lowerLetter"/>
      <w:lvlText w:val="%8."/>
      <w:lvlJc w:val="left"/>
      <w:pPr>
        <w:ind w:left="6480" w:hanging="360"/>
      </w:pPr>
    </w:lvl>
    <w:lvl w:ilvl="8" w:tplc="53288364" w:tentative="1">
      <w:start w:val="1"/>
      <w:numFmt w:val="lowerRoman"/>
      <w:lvlText w:val="%9."/>
      <w:lvlJc w:val="right"/>
      <w:pPr>
        <w:ind w:left="7200" w:hanging="180"/>
      </w:pPr>
    </w:lvl>
  </w:abstractNum>
  <w:abstractNum w:abstractNumId="11" w15:restartNumberingAfterBreak="1">
    <w:nsid w:val="56C17F7C"/>
    <w:multiLevelType w:val="multilevel"/>
    <w:tmpl w:val="C0FAC672"/>
    <w:lvl w:ilvl="0">
      <w:start w:val="1"/>
      <w:numFmt w:val="decimal"/>
      <w:lvlText w:val="%1."/>
      <w:lvlJc w:val="left"/>
      <w:pPr>
        <w:ind w:left="928" w:hanging="360"/>
      </w:pPr>
      <w:rPr>
        <w:rFonts w:hint="default"/>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1">
    <w:nsid w:val="5947402A"/>
    <w:multiLevelType w:val="multilevel"/>
    <w:tmpl w:val="BE8486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BAF7FDE"/>
    <w:multiLevelType w:val="hybridMultilevel"/>
    <w:tmpl w:val="772AF844"/>
    <w:lvl w:ilvl="0" w:tplc="72FE0E1A">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1">
    <w:nsid w:val="604E66C3"/>
    <w:multiLevelType w:val="hybridMultilevel"/>
    <w:tmpl w:val="11346D4E"/>
    <w:lvl w:ilvl="0" w:tplc="4CE6A8EE">
      <w:start w:val="1"/>
      <w:numFmt w:val="bullet"/>
      <w:lvlText w:val=""/>
      <w:lvlJc w:val="left"/>
      <w:pPr>
        <w:ind w:left="2662" w:hanging="360"/>
      </w:pPr>
      <w:rPr>
        <w:rFonts w:ascii="Symbol" w:hAnsi="Symbol" w:hint="default"/>
      </w:rPr>
    </w:lvl>
    <w:lvl w:ilvl="1" w:tplc="2B04B026" w:tentative="1">
      <w:start w:val="1"/>
      <w:numFmt w:val="bullet"/>
      <w:lvlText w:val="o"/>
      <w:lvlJc w:val="left"/>
      <w:pPr>
        <w:ind w:left="3382" w:hanging="360"/>
      </w:pPr>
      <w:rPr>
        <w:rFonts w:ascii="Courier New" w:hAnsi="Courier New" w:cs="Courier New" w:hint="default"/>
      </w:rPr>
    </w:lvl>
    <w:lvl w:ilvl="2" w:tplc="0D4EE8B0" w:tentative="1">
      <w:start w:val="1"/>
      <w:numFmt w:val="bullet"/>
      <w:lvlText w:val=""/>
      <w:lvlJc w:val="left"/>
      <w:pPr>
        <w:ind w:left="4102" w:hanging="360"/>
      </w:pPr>
      <w:rPr>
        <w:rFonts w:ascii="Wingdings" w:hAnsi="Wingdings" w:hint="default"/>
      </w:rPr>
    </w:lvl>
    <w:lvl w:ilvl="3" w:tplc="4A5C2DC8" w:tentative="1">
      <w:start w:val="1"/>
      <w:numFmt w:val="bullet"/>
      <w:lvlText w:val=""/>
      <w:lvlJc w:val="left"/>
      <w:pPr>
        <w:ind w:left="4822" w:hanging="360"/>
      </w:pPr>
      <w:rPr>
        <w:rFonts w:ascii="Symbol" w:hAnsi="Symbol" w:hint="default"/>
      </w:rPr>
    </w:lvl>
    <w:lvl w:ilvl="4" w:tplc="A266AB7C" w:tentative="1">
      <w:start w:val="1"/>
      <w:numFmt w:val="bullet"/>
      <w:lvlText w:val="o"/>
      <w:lvlJc w:val="left"/>
      <w:pPr>
        <w:ind w:left="5542" w:hanging="360"/>
      </w:pPr>
      <w:rPr>
        <w:rFonts w:ascii="Courier New" w:hAnsi="Courier New" w:cs="Courier New" w:hint="default"/>
      </w:rPr>
    </w:lvl>
    <w:lvl w:ilvl="5" w:tplc="4968AB80" w:tentative="1">
      <w:start w:val="1"/>
      <w:numFmt w:val="bullet"/>
      <w:lvlText w:val=""/>
      <w:lvlJc w:val="left"/>
      <w:pPr>
        <w:ind w:left="6262" w:hanging="360"/>
      </w:pPr>
      <w:rPr>
        <w:rFonts w:ascii="Wingdings" w:hAnsi="Wingdings" w:hint="default"/>
      </w:rPr>
    </w:lvl>
    <w:lvl w:ilvl="6" w:tplc="EE1C4976" w:tentative="1">
      <w:start w:val="1"/>
      <w:numFmt w:val="bullet"/>
      <w:lvlText w:val=""/>
      <w:lvlJc w:val="left"/>
      <w:pPr>
        <w:ind w:left="6982" w:hanging="360"/>
      </w:pPr>
      <w:rPr>
        <w:rFonts w:ascii="Symbol" w:hAnsi="Symbol" w:hint="default"/>
      </w:rPr>
    </w:lvl>
    <w:lvl w:ilvl="7" w:tplc="83781FAC" w:tentative="1">
      <w:start w:val="1"/>
      <w:numFmt w:val="bullet"/>
      <w:lvlText w:val="o"/>
      <w:lvlJc w:val="left"/>
      <w:pPr>
        <w:ind w:left="7702" w:hanging="360"/>
      </w:pPr>
      <w:rPr>
        <w:rFonts w:ascii="Courier New" w:hAnsi="Courier New" w:cs="Courier New" w:hint="default"/>
      </w:rPr>
    </w:lvl>
    <w:lvl w:ilvl="8" w:tplc="5358B64C" w:tentative="1">
      <w:start w:val="1"/>
      <w:numFmt w:val="bullet"/>
      <w:lvlText w:val=""/>
      <w:lvlJc w:val="left"/>
      <w:pPr>
        <w:ind w:left="8422" w:hanging="360"/>
      </w:pPr>
      <w:rPr>
        <w:rFonts w:ascii="Wingdings" w:hAnsi="Wingdings" w:hint="default"/>
      </w:rPr>
    </w:lvl>
  </w:abstractNum>
  <w:abstractNum w:abstractNumId="15" w15:restartNumberingAfterBreak="1">
    <w:nsid w:val="615009F9"/>
    <w:multiLevelType w:val="hybridMultilevel"/>
    <w:tmpl w:val="97369048"/>
    <w:lvl w:ilvl="0" w:tplc="F3E66B18">
      <w:start w:val="1"/>
      <w:numFmt w:val="bullet"/>
      <w:lvlText w:val=""/>
      <w:lvlJc w:val="left"/>
      <w:pPr>
        <w:ind w:left="720" w:hanging="360"/>
      </w:pPr>
      <w:rPr>
        <w:rFonts w:ascii="Symbol" w:hAnsi="Symbol" w:hint="default"/>
      </w:rPr>
    </w:lvl>
    <w:lvl w:ilvl="1" w:tplc="050C082E" w:tentative="1">
      <w:start w:val="1"/>
      <w:numFmt w:val="bullet"/>
      <w:lvlText w:val="o"/>
      <w:lvlJc w:val="left"/>
      <w:pPr>
        <w:ind w:left="1440" w:hanging="360"/>
      </w:pPr>
      <w:rPr>
        <w:rFonts w:ascii="Courier New" w:hAnsi="Courier New" w:cs="Courier New" w:hint="default"/>
      </w:rPr>
    </w:lvl>
    <w:lvl w:ilvl="2" w:tplc="37AE937E" w:tentative="1">
      <w:start w:val="1"/>
      <w:numFmt w:val="bullet"/>
      <w:lvlText w:val=""/>
      <w:lvlJc w:val="left"/>
      <w:pPr>
        <w:ind w:left="2160" w:hanging="360"/>
      </w:pPr>
      <w:rPr>
        <w:rFonts w:ascii="Wingdings" w:hAnsi="Wingdings" w:hint="default"/>
      </w:rPr>
    </w:lvl>
    <w:lvl w:ilvl="3" w:tplc="C0F02B08" w:tentative="1">
      <w:start w:val="1"/>
      <w:numFmt w:val="bullet"/>
      <w:lvlText w:val=""/>
      <w:lvlJc w:val="left"/>
      <w:pPr>
        <w:ind w:left="2880" w:hanging="360"/>
      </w:pPr>
      <w:rPr>
        <w:rFonts w:ascii="Symbol" w:hAnsi="Symbol" w:hint="default"/>
      </w:rPr>
    </w:lvl>
    <w:lvl w:ilvl="4" w:tplc="43162EDA" w:tentative="1">
      <w:start w:val="1"/>
      <w:numFmt w:val="bullet"/>
      <w:lvlText w:val="o"/>
      <w:lvlJc w:val="left"/>
      <w:pPr>
        <w:ind w:left="3600" w:hanging="360"/>
      </w:pPr>
      <w:rPr>
        <w:rFonts w:ascii="Courier New" w:hAnsi="Courier New" w:cs="Courier New" w:hint="default"/>
      </w:rPr>
    </w:lvl>
    <w:lvl w:ilvl="5" w:tplc="A72E1C7E" w:tentative="1">
      <w:start w:val="1"/>
      <w:numFmt w:val="bullet"/>
      <w:lvlText w:val=""/>
      <w:lvlJc w:val="left"/>
      <w:pPr>
        <w:ind w:left="4320" w:hanging="360"/>
      </w:pPr>
      <w:rPr>
        <w:rFonts w:ascii="Wingdings" w:hAnsi="Wingdings" w:hint="default"/>
      </w:rPr>
    </w:lvl>
    <w:lvl w:ilvl="6" w:tplc="8DDCAC7C" w:tentative="1">
      <w:start w:val="1"/>
      <w:numFmt w:val="bullet"/>
      <w:lvlText w:val=""/>
      <w:lvlJc w:val="left"/>
      <w:pPr>
        <w:ind w:left="5040" w:hanging="360"/>
      </w:pPr>
      <w:rPr>
        <w:rFonts w:ascii="Symbol" w:hAnsi="Symbol" w:hint="default"/>
      </w:rPr>
    </w:lvl>
    <w:lvl w:ilvl="7" w:tplc="8A3EE7FC" w:tentative="1">
      <w:start w:val="1"/>
      <w:numFmt w:val="bullet"/>
      <w:lvlText w:val="o"/>
      <w:lvlJc w:val="left"/>
      <w:pPr>
        <w:ind w:left="5760" w:hanging="360"/>
      </w:pPr>
      <w:rPr>
        <w:rFonts w:ascii="Courier New" w:hAnsi="Courier New" w:cs="Courier New" w:hint="default"/>
      </w:rPr>
    </w:lvl>
    <w:lvl w:ilvl="8" w:tplc="2DE4031A" w:tentative="1">
      <w:start w:val="1"/>
      <w:numFmt w:val="bullet"/>
      <w:lvlText w:val=""/>
      <w:lvlJc w:val="left"/>
      <w:pPr>
        <w:ind w:left="6480" w:hanging="360"/>
      </w:pPr>
      <w:rPr>
        <w:rFonts w:ascii="Wingdings" w:hAnsi="Wingdings" w:hint="default"/>
      </w:rPr>
    </w:lvl>
  </w:abstractNum>
  <w:abstractNum w:abstractNumId="16" w15:restartNumberingAfterBreak="1">
    <w:nsid w:val="61AE13A4"/>
    <w:multiLevelType w:val="multilevel"/>
    <w:tmpl w:val="49301D4E"/>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1">
    <w:nsid w:val="6319791F"/>
    <w:multiLevelType w:val="hybridMultilevel"/>
    <w:tmpl w:val="EE1C3D1A"/>
    <w:lvl w:ilvl="0" w:tplc="915ABBDE">
      <w:start w:val="1"/>
      <w:numFmt w:val="bullet"/>
      <w:lvlText w:val=""/>
      <w:lvlJc w:val="left"/>
      <w:pPr>
        <w:ind w:left="1440" w:hanging="360"/>
      </w:pPr>
      <w:rPr>
        <w:rFonts w:ascii="Wingdings" w:hAnsi="Wingdings" w:hint="default"/>
      </w:rPr>
    </w:lvl>
    <w:lvl w:ilvl="1" w:tplc="DF78B9C8" w:tentative="1">
      <w:start w:val="1"/>
      <w:numFmt w:val="bullet"/>
      <w:lvlText w:val="o"/>
      <w:lvlJc w:val="left"/>
      <w:pPr>
        <w:ind w:left="2160" w:hanging="360"/>
      </w:pPr>
      <w:rPr>
        <w:rFonts w:ascii="Courier New" w:hAnsi="Courier New" w:cs="Courier New" w:hint="default"/>
      </w:rPr>
    </w:lvl>
    <w:lvl w:ilvl="2" w:tplc="B5F6127C" w:tentative="1">
      <w:start w:val="1"/>
      <w:numFmt w:val="bullet"/>
      <w:lvlText w:val=""/>
      <w:lvlJc w:val="left"/>
      <w:pPr>
        <w:ind w:left="2880" w:hanging="360"/>
      </w:pPr>
      <w:rPr>
        <w:rFonts w:ascii="Wingdings" w:hAnsi="Wingdings" w:hint="default"/>
      </w:rPr>
    </w:lvl>
    <w:lvl w:ilvl="3" w:tplc="9222C502" w:tentative="1">
      <w:start w:val="1"/>
      <w:numFmt w:val="bullet"/>
      <w:lvlText w:val=""/>
      <w:lvlJc w:val="left"/>
      <w:pPr>
        <w:ind w:left="3600" w:hanging="360"/>
      </w:pPr>
      <w:rPr>
        <w:rFonts w:ascii="Symbol" w:hAnsi="Symbol" w:hint="default"/>
      </w:rPr>
    </w:lvl>
    <w:lvl w:ilvl="4" w:tplc="77AA1410" w:tentative="1">
      <w:start w:val="1"/>
      <w:numFmt w:val="bullet"/>
      <w:lvlText w:val="o"/>
      <w:lvlJc w:val="left"/>
      <w:pPr>
        <w:ind w:left="4320" w:hanging="360"/>
      </w:pPr>
      <w:rPr>
        <w:rFonts w:ascii="Courier New" w:hAnsi="Courier New" w:cs="Courier New" w:hint="default"/>
      </w:rPr>
    </w:lvl>
    <w:lvl w:ilvl="5" w:tplc="EEA0F384" w:tentative="1">
      <w:start w:val="1"/>
      <w:numFmt w:val="bullet"/>
      <w:lvlText w:val=""/>
      <w:lvlJc w:val="left"/>
      <w:pPr>
        <w:ind w:left="5040" w:hanging="360"/>
      </w:pPr>
      <w:rPr>
        <w:rFonts w:ascii="Wingdings" w:hAnsi="Wingdings" w:hint="default"/>
      </w:rPr>
    </w:lvl>
    <w:lvl w:ilvl="6" w:tplc="BDE0BD0E" w:tentative="1">
      <w:start w:val="1"/>
      <w:numFmt w:val="bullet"/>
      <w:lvlText w:val=""/>
      <w:lvlJc w:val="left"/>
      <w:pPr>
        <w:ind w:left="5760" w:hanging="360"/>
      </w:pPr>
      <w:rPr>
        <w:rFonts w:ascii="Symbol" w:hAnsi="Symbol" w:hint="default"/>
      </w:rPr>
    </w:lvl>
    <w:lvl w:ilvl="7" w:tplc="3B269BFA" w:tentative="1">
      <w:start w:val="1"/>
      <w:numFmt w:val="bullet"/>
      <w:lvlText w:val="o"/>
      <w:lvlJc w:val="left"/>
      <w:pPr>
        <w:ind w:left="6480" w:hanging="360"/>
      </w:pPr>
      <w:rPr>
        <w:rFonts w:ascii="Courier New" w:hAnsi="Courier New" w:cs="Courier New" w:hint="default"/>
      </w:rPr>
    </w:lvl>
    <w:lvl w:ilvl="8" w:tplc="564E6232" w:tentative="1">
      <w:start w:val="1"/>
      <w:numFmt w:val="bullet"/>
      <w:lvlText w:val=""/>
      <w:lvlJc w:val="left"/>
      <w:pPr>
        <w:ind w:left="7200" w:hanging="360"/>
      </w:pPr>
      <w:rPr>
        <w:rFonts w:ascii="Wingdings" w:hAnsi="Wingdings" w:hint="default"/>
      </w:rPr>
    </w:lvl>
  </w:abstractNum>
  <w:abstractNum w:abstractNumId="18" w15:restartNumberingAfterBreak="1">
    <w:nsid w:val="690F225D"/>
    <w:multiLevelType w:val="hybridMultilevel"/>
    <w:tmpl w:val="F4DAD422"/>
    <w:lvl w:ilvl="0" w:tplc="E048DF6E">
      <w:start w:val="1"/>
      <w:numFmt w:val="decimal"/>
      <w:lvlText w:val="%1."/>
      <w:lvlJc w:val="left"/>
      <w:pPr>
        <w:ind w:left="785" w:hanging="360"/>
      </w:pPr>
      <w:rPr>
        <w:rFonts w:hint="default"/>
      </w:rPr>
    </w:lvl>
    <w:lvl w:ilvl="1" w:tplc="063A17E6" w:tentative="1">
      <w:start w:val="1"/>
      <w:numFmt w:val="lowerLetter"/>
      <w:lvlText w:val="%2."/>
      <w:lvlJc w:val="left"/>
      <w:pPr>
        <w:ind w:left="1505" w:hanging="360"/>
      </w:pPr>
    </w:lvl>
    <w:lvl w:ilvl="2" w:tplc="3D50AD2A" w:tentative="1">
      <w:start w:val="1"/>
      <w:numFmt w:val="lowerRoman"/>
      <w:lvlText w:val="%3."/>
      <w:lvlJc w:val="right"/>
      <w:pPr>
        <w:ind w:left="2225" w:hanging="180"/>
      </w:pPr>
    </w:lvl>
    <w:lvl w:ilvl="3" w:tplc="BDDC3882" w:tentative="1">
      <w:start w:val="1"/>
      <w:numFmt w:val="decimal"/>
      <w:lvlText w:val="%4."/>
      <w:lvlJc w:val="left"/>
      <w:pPr>
        <w:ind w:left="2945" w:hanging="360"/>
      </w:pPr>
    </w:lvl>
    <w:lvl w:ilvl="4" w:tplc="35E4C97E" w:tentative="1">
      <w:start w:val="1"/>
      <w:numFmt w:val="lowerLetter"/>
      <w:lvlText w:val="%5."/>
      <w:lvlJc w:val="left"/>
      <w:pPr>
        <w:ind w:left="3665" w:hanging="360"/>
      </w:pPr>
    </w:lvl>
    <w:lvl w:ilvl="5" w:tplc="9B1C00C2" w:tentative="1">
      <w:start w:val="1"/>
      <w:numFmt w:val="lowerRoman"/>
      <w:lvlText w:val="%6."/>
      <w:lvlJc w:val="right"/>
      <w:pPr>
        <w:ind w:left="4385" w:hanging="180"/>
      </w:pPr>
    </w:lvl>
    <w:lvl w:ilvl="6" w:tplc="4E84ABAE" w:tentative="1">
      <w:start w:val="1"/>
      <w:numFmt w:val="decimal"/>
      <w:lvlText w:val="%7."/>
      <w:lvlJc w:val="left"/>
      <w:pPr>
        <w:ind w:left="5105" w:hanging="360"/>
      </w:pPr>
    </w:lvl>
    <w:lvl w:ilvl="7" w:tplc="D292DEF6" w:tentative="1">
      <w:start w:val="1"/>
      <w:numFmt w:val="lowerLetter"/>
      <w:lvlText w:val="%8."/>
      <w:lvlJc w:val="left"/>
      <w:pPr>
        <w:ind w:left="5825" w:hanging="360"/>
      </w:pPr>
    </w:lvl>
    <w:lvl w:ilvl="8" w:tplc="4144192A" w:tentative="1">
      <w:start w:val="1"/>
      <w:numFmt w:val="lowerRoman"/>
      <w:lvlText w:val="%9."/>
      <w:lvlJc w:val="right"/>
      <w:pPr>
        <w:ind w:left="6545" w:hanging="180"/>
      </w:pPr>
    </w:lvl>
  </w:abstractNum>
  <w:abstractNum w:abstractNumId="19" w15:restartNumberingAfterBreak="1">
    <w:nsid w:val="6B8762AA"/>
    <w:multiLevelType w:val="hybridMultilevel"/>
    <w:tmpl w:val="E362BF9A"/>
    <w:lvl w:ilvl="0" w:tplc="0158EFCE">
      <w:start w:val="1"/>
      <w:numFmt w:val="decimal"/>
      <w:lvlText w:val="%1."/>
      <w:lvlJc w:val="left"/>
      <w:pPr>
        <w:ind w:left="360" w:hanging="360"/>
      </w:pPr>
    </w:lvl>
    <w:lvl w:ilvl="1" w:tplc="478E851C" w:tentative="1">
      <w:start w:val="1"/>
      <w:numFmt w:val="lowerLetter"/>
      <w:lvlText w:val="%2."/>
      <w:lvlJc w:val="left"/>
      <w:pPr>
        <w:ind w:left="1080" w:hanging="360"/>
      </w:pPr>
    </w:lvl>
    <w:lvl w:ilvl="2" w:tplc="20407C94" w:tentative="1">
      <w:start w:val="1"/>
      <w:numFmt w:val="lowerRoman"/>
      <w:lvlText w:val="%3."/>
      <w:lvlJc w:val="right"/>
      <w:pPr>
        <w:ind w:left="1800" w:hanging="180"/>
      </w:pPr>
    </w:lvl>
    <w:lvl w:ilvl="3" w:tplc="D3ACE8D6" w:tentative="1">
      <w:start w:val="1"/>
      <w:numFmt w:val="decimal"/>
      <w:lvlText w:val="%4."/>
      <w:lvlJc w:val="left"/>
      <w:pPr>
        <w:ind w:left="2520" w:hanging="360"/>
      </w:pPr>
    </w:lvl>
    <w:lvl w:ilvl="4" w:tplc="09CE9EBA" w:tentative="1">
      <w:start w:val="1"/>
      <w:numFmt w:val="lowerLetter"/>
      <w:lvlText w:val="%5."/>
      <w:lvlJc w:val="left"/>
      <w:pPr>
        <w:ind w:left="3240" w:hanging="360"/>
      </w:pPr>
    </w:lvl>
    <w:lvl w:ilvl="5" w:tplc="E92CFA28" w:tentative="1">
      <w:start w:val="1"/>
      <w:numFmt w:val="lowerRoman"/>
      <w:lvlText w:val="%6."/>
      <w:lvlJc w:val="right"/>
      <w:pPr>
        <w:ind w:left="3960" w:hanging="180"/>
      </w:pPr>
    </w:lvl>
    <w:lvl w:ilvl="6" w:tplc="8522DBA0" w:tentative="1">
      <w:start w:val="1"/>
      <w:numFmt w:val="decimal"/>
      <w:lvlText w:val="%7."/>
      <w:lvlJc w:val="left"/>
      <w:pPr>
        <w:ind w:left="4680" w:hanging="360"/>
      </w:pPr>
    </w:lvl>
    <w:lvl w:ilvl="7" w:tplc="1AC688C6" w:tentative="1">
      <w:start w:val="1"/>
      <w:numFmt w:val="lowerLetter"/>
      <w:lvlText w:val="%8."/>
      <w:lvlJc w:val="left"/>
      <w:pPr>
        <w:ind w:left="5400" w:hanging="360"/>
      </w:pPr>
    </w:lvl>
    <w:lvl w:ilvl="8" w:tplc="7728B4EE" w:tentative="1">
      <w:start w:val="1"/>
      <w:numFmt w:val="lowerRoman"/>
      <w:lvlText w:val="%9."/>
      <w:lvlJc w:val="right"/>
      <w:pPr>
        <w:ind w:left="6120" w:hanging="180"/>
      </w:pPr>
    </w:lvl>
  </w:abstractNum>
  <w:abstractNum w:abstractNumId="20" w15:restartNumberingAfterBreak="1">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1" w15:restartNumberingAfterBreak="1">
    <w:nsid w:val="71CB4816"/>
    <w:multiLevelType w:val="hybridMultilevel"/>
    <w:tmpl w:val="69D0B02C"/>
    <w:lvl w:ilvl="0" w:tplc="97BC85A2">
      <w:start w:val="1"/>
      <w:numFmt w:val="bullet"/>
      <w:lvlText w:val="-"/>
      <w:lvlJc w:val="left"/>
      <w:pPr>
        <w:ind w:left="720" w:hanging="360"/>
      </w:pPr>
      <w:rPr>
        <w:rFonts w:ascii="Times New Roman" w:eastAsia="Calibri" w:hAnsi="Times New Roman" w:cs="Times New Roman" w:hint="default"/>
      </w:rPr>
    </w:lvl>
    <w:lvl w:ilvl="1" w:tplc="1C0C7F44" w:tentative="1">
      <w:start w:val="1"/>
      <w:numFmt w:val="bullet"/>
      <w:lvlText w:val="o"/>
      <w:lvlJc w:val="left"/>
      <w:pPr>
        <w:ind w:left="1440" w:hanging="360"/>
      </w:pPr>
      <w:rPr>
        <w:rFonts w:ascii="Courier New" w:hAnsi="Courier New" w:cs="Courier New" w:hint="default"/>
      </w:rPr>
    </w:lvl>
    <w:lvl w:ilvl="2" w:tplc="DFCADB3A" w:tentative="1">
      <w:start w:val="1"/>
      <w:numFmt w:val="bullet"/>
      <w:lvlText w:val=""/>
      <w:lvlJc w:val="left"/>
      <w:pPr>
        <w:ind w:left="2160" w:hanging="360"/>
      </w:pPr>
      <w:rPr>
        <w:rFonts w:ascii="Wingdings" w:hAnsi="Wingdings" w:hint="default"/>
      </w:rPr>
    </w:lvl>
    <w:lvl w:ilvl="3" w:tplc="DD825A14" w:tentative="1">
      <w:start w:val="1"/>
      <w:numFmt w:val="bullet"/>
      <w:lvlText w:val=""/>
      <w:lvlJc w:val="left"/>
      <w:pPr>
        <w:ind w:left="2880" w:hanging="360"/>
      </w:pPr>
      <w:rPr>
        <w:rFonts w:ascii="Symbol" w:hAnsi="Symbol" w:hint="default"/>
      </w:rPr>
    </w:lvl>
    <w:lvl w:ilvl="4" w:tplc="0B5C1214" w:tentative="1">
      <w:start w:val="1"/>
      <w:numFmt w:val="bullet"/>
      <w:lvlText w:val="o"/>
      <w:lvlJc w:val="left"/>
      <w:pPr>
        <w:ind w:left="3600" w:hanging="360"/>
      </w:pPr>
      <w:rPr>
        <w:rFonts w:ascii="Courier New" w:hAnsi="Courier New" w:cs="Courier New" w:hint="default"/>
      </w:rPr>
    </w:lvl>
    <w:lvl w:ilvl="5" w:tplc="D3807498" w:tentative="1">
      <w:start w:val="1"/>
      <w:numFmt w:val="bullet"/>
      <w:lvlText w:val=""/>
      <w:lvlJc w:val="left"/>
      <w:pPr>
        <w:ind w:left="4320" w:hanging="360"/>
      </w:pPr>
      <w:rPr>
        <w:rFonts w:ascii="Wingdings" w:hAnsi="Wingdings" w:hint="default"/>
      </w:rPr>
    </w:lvl>
    <w:lvl w:ilvl="6" w:tplc="6360BE10" w:tentative="1">
      <w:start w:val="1"/>
      <w:numFmt w:val="bullet"/>
      <w:lvlText w:val=""/>
      <w:lvlJc w:val="left"/>
      <w:pPr>
        <w:ind w:left="5040" w:hanging="360"/>
      </w:pPr>
      <w:rPr>
        <w:rFonts w:ascii="Symbol" w:hAnsi="Symbol" w:hint="default"/>
      </w:rPr>
    </w:lvl>
    <w:lvl w:ilvl="7" w:tplc="17BA7F56" w:tentative="1">
      <w:start w:val="1"/>
      <w:numFmt w:val="bullet"/>
      <w:lvlText w:val="o"/>
      <w:lvlJc w:val="left"/>
      <w:pPr>
        <w:ind w:left="5760" w:hanging="360"/>
      </w:pPr>
      <w:rPr>
        <w:rFonts w:ascii="Courier New" w:hAnsi="Courier New" w:cs="Courier New" w:hint="default"/>
      </w:rPr>
    </w:lvl>
    <w:lvl w:ilvl="8" w:tplc="9E0A830E" w:tentative="1">
      <w:start w:val="1"/>
      <w:numFmt w:val="bullet"/>
      <w:lvlText w:val=""/>
      <w:lvlJc w:val="left"/>
      <w:pPr>
        <w:ind w:left="6480" w:hanging="360"/>
      </w:pPr>
      <w:rPr>
        <w:rFonts w:ascii="Wingdings" w:hAnsi="Wingdings" w:hint="default"/>
      </w:rPr>
    </w:lvl>
  </w:abstractNum>
  <w:abstractNum w:abstractNumId="22" w15:restartNumberingAfterBreak="1">
    <w:nsid w:val="723939B8"/>
    <w:multiLevelType w:val="multilevel"/>
    <w:tmpl w:val="494A1D80"/>
    <w:lvl w:ilvl="0">
      <w:start w:val="1"/>
      <w:numFmt w:val="decimal"/>
      <w:lvlText w:val="%1."/>
      <w:lvlJc w:val="left"/>
      <w:pPr>
        <w:ind w:left="1211"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3203" w:hanging="108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4411" w:hanging="1440"/>
      </w:pPr>
      <w:rPr>
        <w:rFonts w:hint="default"/>
      </w:rPr>
    </w:lvl>
    <w:lvl w:ilvl="6">
      <w:start w:val="1"/>
      <w:numFmt w:val="decimal"/>
      <w:isLgl/>
      <w:lvlText w:val="%1.%2.%3.%4.%5.%6.%7."/>
      <w:lvlJc w:val="left"/>
      <w:pPr>
        <w:ind w:left="5195" w:hanging="1800"/>
      </w:pPr>
      <w:rPr>
        <w:rFonts w:hint="default"/>
      </w:rPr>
    </w:lvl>
    <w:lvl w:ilvl="7">
      <w:start w:val="1"/>
      <w:numFmt w:val="decimal"/>
      <w:isLgl/>
      <w:lvlText w:val="%1.%2.%3.%4.%5.%6.%7.%8."/>
      <w:lvlJc w:val="left"/>
      <w:pPr>
        <w:ind w:left="5619" w:hanging="1800"/>
      </w:pPr>
      <w:rPr>
        <w:rFonts w:hint="default"/>
      </w:rPr>
    </w:lvl>
    <w:lvl w:ilvl="8">
      <w:start w:val="1"/>
      <w:numFmt w:val="decimal"/>
      <w:isLgl/>
      <w:lvlText w:val="%1.%2.%3.%4.%5.%6.%7.%8.%9."/>
      <w:lvlJc w:val="left"/>
      <w:pPr>
        <w:ind w:left="6403" w:hanging="2160"/>
      </w:pPr>
      <w:rPr>
        <w:rFonts w:hint="default"/>
      </w:rPr>
    </w:lvl>
  </w:abstractNum>
  <w:abstractNum w:abstractNumId="23" w15:restartNumberingAfterBreak="1">
    <w:nsid w:val="75951F65"/>
    <w:multiLevelType w:val="hybridMultilevel"/>
    <w:tmpl w:val="C7929F48"/>
    <w:lvl w:ilvl="0" w:tplc="99AAA476">
      <w:start w:val="1"/>
      <w:numFmt w:val="bullet"/>
      <w:lvlText w:val=""/>
      <w:lvlJc w:val="left"/>
      <w:pPr>
        <w:ind w:left="720" w:hanging="360"/>
      </w:pPr>
      <w:rPr>
        <w:rFonts w:ascii="Symbol" w:hAnsi="Symbol" w:hint="default"/>
      </w:rPr>
    </w:lvl>
    <w:lvl w:ilvl="1" w:tplc="EB5007FE" w:tentative="1">
      <w:start w:val="1"/>
      <w:numFmt w:val="bullet"/>
      <w:lvlText w:val="o"/>
      <w:lvlJc w:val="left"/>
      <w:pPr>
        <w:ind w:left="1440" w:hanging="360"/>
      </w:pPr>
      <w:rPr>
        <w:rFonts w:ascii="Courier New" w:hAnsi="Courier New" w:cs="Courier New" w:hint="default"/>
      </w:rPr>
    </w:lvl>
    <w:lvl w:ilvl="2" w:tplc="F19224D4" w:tentative="1">
      <w:start w:val="1"/>
      <w:numFmt w:val="bullet"/>
      <w:lvlText w:val=""/>
      <w:lvlJc w:val="left"/>
      <w:pPr>
        <w:ind w:left="2160" w:hanging="360"/>
      </w:pPr>
      <w:rPr>
        <w:rFonts w:ascii="Wingdings" w:hAnsi="Wingdings" w:hint="default"/>
      </w:rPr>
    </w:lvl>
    <w:lvl w:ilvl="3" w:tplc="40508920" w:tentative="1">
      <w:start w:val="1"/>
      <w:numFmt w:val="bullet"/>
      <w:lvlText w:val=""/>
      <w:lvlJc w:val="left"/>
      <w:pPr>
        <w:ind w:left="2880" w:hanging="360"/>
      </w:pPr>
      <w:rPr>
        <w:rFonts w:ascii="Symbol" w:hAnsi="Symbol" w:hint="default"/>
      </w:rPr>
    </w:lvl>
    <w:lvl w:ilvl="4" w:tplc="157694D6" w:tentative="1">
      <w:start w:val="1"/>
      <w:numFmt w:val="bullet"/>
      <w:lvlText w:val="o"/>
      <w:lvlJc w:val="left"/>
      <w:pPr>
        <w:ind w:left="3600" w:hanging="360"/>
      </w:pPr>
      <w:rPr>
        <w:rFonts w:ascii="Courier New" w:hAnsi="Courier New" w:cs="Courier New" w:hint="default"/>
      </w:rPr>
    </w:lvl>
    <w:lvl w:ilvl="5" w:tplc="54887DFA" w:tentative="1">
      <w:start w:val="1"/>
      <w:numFmt w:val="bullet"/>
      <w:lvlText w:val=""/>
      <w:lvlJc w:val="left"/>
      <w:pPr>
        <w:ind w:left="4320" w:hanging="360"/>
      </w:pPr>
      <w:rPr>
        <w:rFonts w:ascii="Wingdings" w:hAnsi="Wingdings" w:hint="default"/>
      </w:rPr>
    </w:lvl>
    <w:lvl w:ilvl="6" w:tplc="4E7C4912" w:tentative="1">
      <w:start w:val="1"/>
      <w:numFmt w:val="bullet"/>
      <w:lvlText w:val=""/>
      <w:lvlJc w:val="left"/>
      <w:pPr>
        <w:ind w:left="5040" w:hanging="360"/>
      </w:pPr>
      <w:rPr>
        <w:rFonts w:ascii="Symbol" w:hAnsi="Symbol" w:hint="default"/>
      </w:rPr>
    </w:lvl>
    <w:lvl w:ilvl="7" w:tplc="CE32D56C" w:tentative="1">
      <w:start w:val="1"/>
      <w:numFmt w:val="bullet"/>
      <w:lvlText w:val="o"/>
      <w:lvlJc w:val="left"/>
      <w:pPr>
        <w:ind w:left="5760" w:hanging="360"/>
      </w:pPr>
      <w:rPr>
        <w:rFonts w:ascii="Courier New" w:hAnsi="Courier New" w:cs="Courier New" w:hint="default"/>
      </w:rPr>
    </w:lvl>
    <w:lvl w:ilvl="8" w:tplc="073E1B2E" w:tentative="1">
      <w:start w:val="1"/>
      <w:numFmt w:val="bullet"/>
      <w:lvlText w:val=""/>
      <w:lvlJc w:val="left"/>
      <w:pPr>
        <w:ind w:left="6480" w:hanging="360"/>
      </w:pPr>
      <w:rPr>
        <w:rFonts w:ascii="Wingdings" w:hAnsi="Wingdings" w:hint="default"/>
      </w:rPr>
    </w:lvl>
  </w:abstractNum>
  <w:abstractNum w:abstractNumId="24" w15:restartNumberingAfterBreak="1">
    <w:nsid w:val="7B460DBD"/>
    <w:multiLevelType w:val="hybridMultilevel"/>
    <w:tmpl w:val="292E51B6"/>
    <w:lvl w:ilvl="0" w:tplc="C8609940">
      <w:start w:val="1"/>
      <w:numFmt w:val="decimal"/>
      <w:lvlText w:val="%1."/>
      <w:lvlJc w:val="left"/>
      <w:pPr>
        <w:ind w:left="1444" w:hanging="360"/>
      </w:pPr>
      <w:rPr>
        <w:rFonts w:hint="default"/>
      </w:rPr>
    </w:lvl>
    <w:lvl w:ilvl="1" w:tplc="AB7E92A8" w:tentative="1">
      <w:start w:val="1"/>
      <w:numFmt w:val="lowerLetter"/>
      <w:lvlText w:val="%2."/>
      <w:lvlJc w:val="left"/>
      <w:pPr>
        <w:ind w:left="2164" w:hanging="360"/>
      </w:pPr>
    </w:lvl>
    <w:lvl w:ilvl="2" w:tplc="9F60CE3E" w:tentative="1">
      <w:start w:val="1"/>
      <w:numFmt w:val="lowerRoman"/>
      <w:lvlText w:val="%3."/>
      <w:lvlJc w:val="right"/>
      <w:pPr>
        <w:ind w:left="2884" w:hanging="180"/>
      </w:pPr>
    </w:lvl>
    <w:lvl w:ilvl="3" w:tplc="E00CF172" w:tentative="1">
      <w:start w:val="1"/>
      <w:numFmt w:val="decimal"/>
      <w:lvlText w:val="%4."/>
      <w:lvlJc w:val="left"/>
      <w:pPr>
        <w:ind w:left="3604" w:hanging="360"/>
      </w:pPr>
    </w:lvl>
    <w:lvl w:ilvl="4" w:tplc="4CA47F58" w:tentative="1">
      <w:start w:val="1"/>
      <w:numFmt w:val="lowerLetter"/>
      <w:lvlText w:val="%5."/>
      <w:lvlJc w:val="left"/>
      <w:pPr>
        <w:ind w:left="4324" w:hanging="360"/>
      </w:pPr>
    </w:lvl>
    <w:lvl w:ilvl="5" w:tplc="C99C2348" w:tentative="1">
      <w:start w:val="1"/>
      <w:numFmt w:val="lowerRoman"/>
      <w:lvlText w:val="%6."/>
      <w:lvlJc w:val="right"/>
      <w:pPr>
        <w:ind w:left="5044" w:hanging="180"/>
      </w:pPr>
    </w:lvl>
    <w:lvl w:ilvl="6" w:tplc="C9D69DDC" w:tentative="1">
      <w:start w:val="1"/>
      <w:numFmt w:val="decimal"/>
      <w:lvlText w:val="%7."/>
      <w:lvlJc w:val="left"/>
      <w:pPr>
        <w:ind w:left="5764" w:hanging="360"/>
      </w:pPr>
    </w:lvl>
    <w:lvl w:ilvl="7" w:tplc="96CC8A40" w:tentative="1">
      <w:start w:val="1"/>
      <w:numFmt w:val="lowerLetter"/>
      <w:lvlText w:val="%8."/>
      <w:lvlJc w:val="left"/>
      <w:pPr>
        <w:ind w:left="6484" w:hanging="360"/>
      </w:pPr>
    </w:lvl>
    <w:lvl w:ilvl="8" w:tplc="2768163C" w:tentative="1">
      <w:start w:val="1"/>
      <w:numFmt w:val="lowerRoman"/>
      <w:lvlText w:val="%9."/>
      <w:lvlJc w:val="right"/>
      <w:pPr>
        <w:ind w:left="7204" w:hanging="180"/>
      </w:pPr>
    </w:lvl>
  </w:abstractNum>
  <w:num w:numId="1">
    <w:abstractNumId w:val="23"/>
  </w:num>
  <w:num w:numId="2">
    <w:abstractNumId w:val="17"/>
  </w:num>
  <w:num w:numId="3">
    <w:abstractNumId w:val="24"/>
  </w:num>
  <w:num w:numId="4">
    <w:abstractNumId w:val="2"/>
  </w:num>
  <w:num w:numId="5">
    <w:abstractNumId w:val="4"/>
  </w:num>
  <w:num w:numId="6">
    <w:abstractNumId w:val="22"/>
  </w:num>
  <w:num w:numId="7">
    <w:abstractNumId w:val="12"/>
  </w:num>
  <w:num w:numId="8">
    <w:abstractNumId w:val="6"/>
  </w:num>
  <w:num w:numId="9">
    <w:abstractNumId w:val="16"/>
  </w:num>
  <w:num w:numId="10">
    <w:abstractNumId w:val="0"/>
  </w:num>
  <w:num w:numId="11">
    <w:abstractNumId w:val="19"/>
  </w:num>
  <w:num w:numId="12">
    <w:abstractNumId w:val="11"/>
  </w:num>
  <w:num w:numId="13">
    <w:abstractNumId w:val="14"/>
  </w:num>
  <w:num w:numId="14">
    <w:abstractNumId w:val="15"/>
  </w:num>
  <w:num w:numId="15">
    <w:abstractNumId w:val="5"/>
  </w:num>
  <w:num w:numId="16">
    <w:abstractNumId w:val="21"/>
  </w:num>
  <w:num w:numId="17">
    <w:abstractNumId w:val="1"/>
  </w:num>
  <w:num w:numId="18">
    <w:abstractNumId w:val="10"/>
  </w:num>
  <w:num w:numId="19">
    <w:abstractNumId w:val="8"/>
  </w:num>
  <w:num w:numId="20">
    <w:abstractNumId w:val="18"/>
  </w:num>
  <w:num w:numId="21">
    <w:abstractNumId w:val="7"/>
  </w:num>
  <w:num w:numId="22">
    <w:abstractNumId w:val="9"/>
  </w:num>
  <w:num w:numId="23">
    <w:abstractNumId w:val="2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C"/>
    <w:rsid w:val="0000018C"/>
    <w:rsid w:val="000014C2"/>
    <w:rsid w:val="00004991"/>
    <w:rsid w:val="00004CD2"/>
    <w:rsid w:val="00005E77"/>
    <w:rsid w:val="0000689B"/>
    <w:rsid w:val="000105D8"/>
    <w:rsid w:val="00011478"/>
    <w:rsid w:val="0001184A"/>
    <w:rsid w:val="00011AC2"/>
    <w:rsid w:val="00017E68"/>
    <w:rsid w:val="00020C46"/>
    <w:rsid w:val="00021C1B"/>
    <w:rsid w:val="00022EFD"/>
    <w:rsid w:val="00025D4B"/>
    <w:rsid w:val="00025EF4"/>
    <w:rsid w:val="0003664B"/>
    <w:rsid w:val="000370CF"/>
    <w:rsid w:val="00040457"/>
    <w:rsid w:val="0004106C"/>
    <w:rsid w:val="00042583"/>
    <w:rsid w:val="00042657"/>
    <w:rsid w:val="00043027"/>
    <w:rsid w:val="000506A9"/>
    <w:rsid w:val="0005091F"/>
    <w:rsid w:val="00051C6E"/>
    <w:rsid w:val="000525DD"/>
    <w:rsid w:val="00053CDD"/>
    <w:rsid w:val="00056D02"/>
    <w:rsid w:val="000571CA"/>
    <w:rsid w:val="00060647"/>
    <w:rsid w:val="00062F12"/>
    <w:rsid w:val="00065684"/>
    <w:rsid w:val="00066D2B"/>
    <w:rsid w:val="00072CC3"/>
    <w:rsid w:val="00074C4C"/>
    <w:rsid w:val="00074EEB"/>
    <w:rsid w:val="00077342"/>
    <w:rsid w:val="00077A84"/>
    <w:rsid w:val="00077C29"/>
    <w:rsid w:val="00080D0D"/>
    <w:rsid w:val="0008224F"/>
    <w:rsid w:val="00084725"/>
    <w:rsid w:val="00084CDE"/>
    <w:rsid w:val="000857FE"/>
    <w:rsid w:val="00085A46"/>
    <w:rsid w:val="00085E7C"/>
    <w:rsid w:val="00086B70"/>
    <w:rsid w:val="00086DD6"/>
    <w:rsid w:val="000910AE"/>
    <w:rsid w:val="00094D51"/>
    <w:rsid w:val="0009554E"/>
    <w:rsid w:val="000968D7"/>
    <w:rsid w:val="000A02DE"/>
    <w:rsid w:val="000A09DA"/>
    <w:rsid w:val="000A113D"/>
    <w:rsid w:val="000A12DB"/>
    <w:rsid w:val="000A1877"/>
    <w:rsid w:val="000A291F"/>
    <w:rsid w:val="000A2DE8"/>
    <w:rsid w:val="000A791D"/>
    <w:rsid w:val="000A7959"/>
    <w:rsid w:val="000B1532"/>
    <w:rsid w:val="000B495F"/>
    <w:rsid w:val="000B635F"/>
    <w:rsid w:val="000B6FAB"/>
    <w:rsid w:val="000B7DA3"/>
    <w:rsid w:val="000C0C2A"/>
    <w:rsid w:val="000C1AA5"/>
    <w:rsid w:val="000C46E1"/>
    <w:rsid w:val="000D1620"/>
    <w:rsid w:val="000D1E97"/>
    <w:rsid w:val="000D39BA"/>
    <w:rsid w:val="000D4733"/>
    <w:rsid w:val="000E0100"/>
    <w:rsid w:val="000E2BBD"/>
    <w:rsid w:val="000E39EA"/>
    <w:rsid w:val="000E4BF7"/>
    <w:rsid w:val="000F3AC1"/>
    <w:rsid w:val="000F44D3"/>
    <w:rsid w:val="000F51B1"/>
    <w:rsid w:val="000F5458"/>
    <w:rsid w:val="000F56C0"/>
    <w:rsid w:val="000F6552"/>
    <w:rsid w:val="000F6A43"/>
    <w:rsid w:val="000F74E2"/>
    <w:rsid w:val="00100726"/>
    <w:rsid w:val="00100E77"/>
    <w:rsid w:val="00100F08"/>
    <w:rsid w:val="001045C8"/>
    <w:rsid w:val="00104E83"/>
    <w:rsid w:val="00105E3B"/>
    <w:rsid w:val="0010607B"/>
    <w:rsid w:val="00110234"/>
    <w:rsid w:val="0011091B"/>
    <w:rsid w:val="00111276"/>
    <w:rsid w:val="00113230"/>
    <w:rsid w:val="001148CB"/>
    <w:rsid w:val="0011611A"/>
    <w:rsid w:val="0011612F"/>
    <w:rsid w:val="001168FA"/>
    <w:rsid w:val="00116924"/>
    <w:rsid w:val="0012024A"/>
    <w:rsid w:val="00120B10"/>
    <w:rsid w:val="0012207B"/>
    <w:rsid w:val="001244E1"/>
    <w:rsid w:val="00125C0F"/>
    <w:rsid w:val="001277FD"/>
    <w:rsid w:val="00127CCF"/>
    <w:rsid w:val="001319DA"/>
    <w:rsid w:val="001327E4"/>
    <w:rsid w:val="00133344"/>
    <w:rsid w:val="00140A60"/>
    <w:rsid w:val="001431DD"/>
    <w:rsid w:val="0014324C"/>
    <w:rsid w:val="0014506D"/>
    <w:rsid w:val="0014640C"/>
    <w:rsid w:val="00150A7D"/>
    <w:rsid w:val="00150C4A"/>
    <w:rsid w:val="00151008"/>
    <w:rsid w:val="00157F1F"/>
    <w:rsid w:val="001651EA"/>
    <w:rsid w:val="00165A09"/>
    <w:rsid w:val="001711FA"/>
    <w:rsid w:val="00181026"/>
    <w:rsid w:val="0018165E"/>
    <w:rsid w:val="0018613B"/>
    <w:rsid w:val="00186246"/>
    <w:rsid w:val="0018746B"/>
    <w:rsid w:val="00187A01"/>
    <w:rsid w:val="00187A84"/>
    <w:rsid w:val="00187E86"/>
    <w:rsid w:val="001915A1"/>
    <w:rsid w:val="001918A6"/>
    <w:rsid w:val="0019286B"/>
    <w:rsid w:val="00192FF5"/>
    <w:rsid w:val="001A0690"/>
    <w:rsid w:val="001A3A75"/>
    <w:rsid w:val="001A3BE0"/>
    <w:rsid w:val="001A5DEA"/>
    <w:rsid w:val="001B057B"/>
    <w:rsid w:val="001B24B8"/>
    <w:rsid w:val="001B6598"/>
    <w:rsid w:val="001B6A1A"/>
    <w:rsid w:val="001B73AD"/>
    <w:rsid w:val="001C019E"/>
    <w:rsid w:val="001C441B"/>
    <w:rsid w:val="001C4EB1"/>
    <w:rsid w:val="001C6FBB"/>
    <w:rsid w:val="001C753B"/>
    <w:rsid w:val="001D084F"/>
    <w:rsid w:val="001D2417"/>
    <w:rsid w:val="001D7287"/>
    <w:rsid w:val="001D75B7"/>
    <w:rsid w:val="001E0C47"/>
    <w:rsid w:val="001E3ADA"/>
    <w:rsid w:val="001E42F4"/>
    <w:rsid w:val="001E77BB"/>
    <w:rsid w:val="00201829"/>
    <w:rsid w:val="002019EC"/>
    <w:rsid w:val="0020249D"/>
    <w:rsid w:val="002033E5"/>
    <w:rsid w:val="00205B0E"/>
    <w:rsid w:val="00205B9A"/>
    <w:rsid w:val="0020715A"/>
    <w:rsid w:val="00211F62"/>
    <w:rsid w:val="002145B1"/>
    <w:rsid w:val="00215547"/>
    <w:rsid w:val="00215C0E"/>
    <w:rsid w:val="00216F0F"/>
    <w:rsid w:val="002171FA"/>
    <w:rsid w:val="00226AB1"/>
    <w:rsid w:val="00226E2C"/>
    <w:rsid w:val="002273A4"/>
    <w:rsid w:val="00230386"/>
    <w:rsid w:val="00231505"/>
    <w:rsid w:val="00234B7A"/>
    <w:rsid w:val="00234D72"/>
    <w:rsid w:val="002355E8"/>
    <w:rsid w:val="002409CE"/>
    <w:rsid w:val="00240B94"/>
    <w:rsid w:val="00246E30"/>
    <w:rsid w:val="00250B01"/>
    <w:rsid w:val="00250D71"/>
    <w:rsid w:val="002541A6"/>
    <w:rsid w:val="0025438C"/>
    <w:rsid w:val="00255B66"/>
    <w:rsid w:val="00256D1F"/>
    <w:rsid w:val="00260AC5"/>
    <w:rsid w:val="0026274B"/>
    <w:rsid w:val="002633F8"/>
    <w:rsid w:val="00263642"/>
    <w:rsid w:val="00274171"/>
    <w:rsid w:val="00274604"/>
    <w:rsid w:val="00275A41"/>
    <w:rsid w:val="00275D2E"/>
    <w:rsid w:val="00275D31"/>
    <w:rsid w:val="002767C3"/>
    <w:rsid w:val="00276DCA"/>
    <w:rsid w:val="00280F69"/>
    <w:rsid w:val="00283665"/>
    <w:rsid w:val="00283AA9"/>
    <w:rsid w:val="00286834"/>
    <w:rsid w:val="00286C17"/>
    <w:rsid w:val="00287FED"/>
    <w:rsid w:val="00290248"/>
    <w:rsid w:val="00291A0F"/>
    <w:rsid w:val="0029679E"/>
    <w:rsid w:val="00296CF0"/>
    <w:rsid w:val="00297EF9"/>
    <w:rsid w:val="002A1C6E"/>
    <w:rsid w:val="002A215A"/>
    <w:rsid w:val="002A21D7"/>
    <w:rsid w:val="002A3875"/>
    <w:rsid w:val="002A3A95"/>
    <w:rsid w:val="002A3CAF"/>
    <w:rsid w:val="002A46A3"/>
    <w:rsid w:val="002A546A"/>
    <w:rsid w:val="002A71EF"/>
    <w:rsid w:val="002B0297"/>
    <w:rsid w:val="002B0941"/>
    <w:rsid w:val="002B0E94"/>
    <w:rsid w:val="002B15BE"/>
    <w:rsid w:val="002B1AEF"/>
    <w:rsid w:val="002B3DFC"/>
    <w:rsid w:val="002B5DA0"/>
    <w:rsid w:val="002B6BD0"/>
    <w:rsid w:val="002C00B0"/>
    <w:rsid w:val="002C2984"/>
    <w:rsid w:val="002C31AD"/>
    <w:rsid w:val="002C3AD2"/>
    <w:rsid w:val="002C53C5"/>
    <w:rsid w:val="002C6666"/>
    <w:rsid w:val="002C6A68"/>
    <w:rsid w:val="002D1FA3"/>
    <w:rsid w:val="002D51AA"/>
    <w:rsid w:val="002D51DA"/>
    <w:rsid w:val="002E1C5F"/>
    <w:rsid w:val="002E351A"/>
    <w:rsid w:val="002E36B9"/>
    <w:rsid w:val="002E5C26"/>
    <w:rsid w:val="002E61FA"/>
    <w:rsid w:val="002E6AF7"/>
    <w:rsid w:val="002F14AF"/>
    <w:rsid w:val="002F1CCB"/>
    <w:rsid w:val="002F34F0"/>
    <w:rsid w:val="002F4FC8"/>
    <w:rsid w:val="002F6E79"/>
    <w:rsid w:val="002F7788"/>
    <w:rsid w:val="00302267"/>
    <w:rsid w:val="00303691"/>
    <w:rsid w:val="00304B0A"/>
    <w:rsid w:val="0031546D"/>
    <w:rsid w:val="00315974"/>
    <w:rsid w:val="003163DB"/>
    <w:rsid w:val="003171F5"/>
    <w:rsid w:val="0032061F"/>
    <w:rsid w:val="00322662"/>
    <w:rsid w:val="003235CD"/>
    <w:rsid w:val="0032508B"/>
    <w:rsid w:val="003259FE"/>
    <w:rsid w:val="003262A7"/>
    <w:rsid w:val="00326E5F"/>
    <w:rsid w:val="003277E8"/>
    <w:rsid w:val="00330BE0"/>
    <w:rsid w:val="00331D24"/>
    <w:rsid w:val="00336E49"/>
    <w:rsid w:val="00337075"/>
    <w:rsid w:val="00337426"/>
    <w:rsid w:val="003374B8"/>
    <w:rsid w:val="00337C5D"/>
    <w:rsid w:val="00340584"/>
    <w:rsid w:val="00345B2F"/>
    <w:rsid w:val="00346195"/>
    <w:rsid w:val="003558AF"/>
    <w:rsid w:val="0035596B"/>
    <w:rsid w:val="00355AF6"/>
    <w:rsid w:val="0035752D"/>
    <w:rsid w:val="00361B5B"/>
    <w:rsid w:val="00363A10"/>
    <w:rsid w:val="00364122"/>
    <w:rsid w:val="00366F21"/>
    <w:rsid w:val="00367EDA"/>
    <w:rsid w:val="0037167B"/>
    <w:rsid w:val="0037198C"/>
    <w:rsid w:val="0037437B"/>
    <w:rsid w:val="00381BC6"/>
    <w:rsid w:val="003840E8"/>
    <w:rsid w:val="0038623E"/>
    <w:rsid w:val="0039299B"/>
    <w:rsid w:val="00396C40"/>
    <w:rsid w:val="00397487"/>
    <w:rsid w:val="003A3796"/>
    <w:rsid w:val="003A6060"/>
    <w:rsid w:val="003B18BE"/>
    <w:rsid w:val="003B2988"/>
    <w:rsid w:val="003B3CC0"/>
    <w:rsid w:val="003B5ACD"/>
    <w:rsid w:val="003B6144"/>
    <w:rsid w:val="003C0D7A"/>
    <w:rsid w:val="003C1B35"/>
    <w:rsid w:val="003C37B1"/>
    <w:rsid w:val="003C5E27"/>
    <w:rsid w:val="003C5FDF"/>
    <w:rsid w:val="003C699C"/>
    <w:rsid w:val="003D0638"/>
    <w:rsid w:val="003D2430"/>
    <w:rsid w:val="003D2441"/>
    <w:rsid w:val="003D2CDA"/>
    <w:rsid w:val="003D4979"/>
    <w:rsid w:val="003D6023"/>
    <w:rsid w:val="003D6357"/>
    <w:rsid w:val="003D6506"/>
    <w:rsid w:val="003E0C53"/>
    <w:rsid w:val="003E1973"/>
    <w:rsid w:val="003E1B4F"/>
    <w:rsid w:val="003E2E40"/>
    <w:rsid w:val="003E3FF4"/>
    <w:rsid w:val="003E468B"/>
    <w:rsid w:val="003E5F66"/>
    <w:rsid w:val="003E6CD9"/>
    <w:rsid w:val="003E75FD"/>
    <w:rsid w:val="003F066C"/>
    <w:rsid w:val="003F3283"/>
    <w:rsid w:val="003F41FF"/>
    <w:rsid w:val="003F52E2"/>
    <w:rsid w:val="003F5ADA"/>
    <w:rsid w:val="0040094E"/>
    <w:rsid w:val="004024BD"/>
    <w:rsid w:val="004031BC"/>
    <w:rsid w:val="0040682E"/>
    <w:rsid w:val="00406E49"/>
    <w:rsid w:val="00407A29"/>
    <w:rsid w:val="00411393"/>
    <w:rsid w:val="00412765"/>
    <w:rsid w:val="0041361F"/>
    <w:rsid w:val="00415051"/>
    <w:rsid w:val="00415FC5"/>
    <w:rsid w:val="00420E82"/>
    <w:rsid w:val="00423ABA"/>
    <w:rsid w:val="00423F58"/>
    <w:rsid w:val="00426008"/>
    <w:rsid w:val="00426CF0"/>
    <w:rsid w:val="0043010F"/>
    <w:rsid w:val="00432197"/>
    <w:rsid w:val="00433B49"/>
    <w:rsid w:val="004351C1"/>
    <w:rsid w:val="00435C58"/>
    <w:rsid w:val="00436A7D"/>
    <w:rsid w:val="00443ED2"/>
    <w:rsid w:val="0044454D"/>
    <w:rsid w:val="0044660D"/>
    <w:rsid w:val="004508FB"/>
    <w:rsid w:val="004515E4"/>
    <w:rsid w:val="004532E7"/>
    <w:rsid w:val="004534B9"/>
    <w:rsid w:val="004548B3"/>
    <w:rsid w:val="004553B4"/>
    <w:rsid w:val="00455759"/>
    <w:rsid w:val="004561C6"/>
    <w:rsid w:val="00461E82"/>
    <w:rsid w:val="0046274C"/>
    <w:rsid w:val="004640DD"/>
    <w:rsid w:val="0046683C"/>
    <w:rsid w:val="004719C0"/>
    <w:rsid w:val="00471B8D"/>
    <w:rsid w:val="00474562"/>
    <w:rsid w:val="00475B1A"/>
    <w:rsid w:val="00480667"/>
    <w:rsid w:val="004833CB"/>
    <w:rsid w:val="00487172"/>
    <w:rsid w:val="00487D2D"/>
    <w:rsid w:val="0049055C"/>
    <w:rsid w:val="004910AB"/>
    <w:rsid w:val="00492732"/>
    <w:rsid w:val="00496E7B"/>
    <w:rsid w:val="004A4F6B"/>
    <w:rsid w:val="004A4F89"/>
    <w:rsid w:val="004B53EB"/>
    <w:rsid w:val="004B5D0D"/>
    <w:rsid w:val="004B6C55"/>
    <w:rsid w:val="004B7211"/>
    <w:rsid w:val="004C021D"/>
    <w:rsid w:val="004C142C"/>
    <w:rsid w:val="004C2918"/>
    <w:rsid w:val="004C5BA6"/>
    <w:rsid w:val="004D0746"/>
    <w:rsid w:val="004D08C5"/>
    <w:rsid w:val="004D3E54"/>
    <w:rsid w:val="004D6DD9"/>
    <w:rsid w:val="004E021E"/>
    <w:rsid w:val="004E2643"/>
    <w:rsid w:val="004E4375"/>
    <w:rsid w:val="004E4CAD"/>
    <w:rsid w:val="004E6978"/>
    <w:rsid w:val="004E6E2E"/>
    <w:rsid w:val="004F41CF"/>
    <w:rsid w:val="004F490E"/>
    <w:rsid w:val="004F56BC"/>
    <w:rsid w:val="004F7202"/>
    <w:rsid w:val="00504CD7"/>
    <w:rsid w:val="00505D07"/>
    <w:rsid w:val="00506E09"/>
    <w:rsid w:val="00507BC6"/>
    <w:rsid w:val="00507F48"/>
    <w:rsid w:val="00511A45"/>
    <w:rsid w:val="00511EFE"/>
    <w:rsid w:val="00512665"/>
    <w:rsid w:val="00515799"/>
    <w:rsid w:val="00517B2E"/>
    <w:rsid w:val="0052025B"/>
    <w:rsid w:val="005205C1"/>
    <w:rsid w:val="0052190D"/>
    <w:rsid w:val="005224E4"/>
    <w:rsid w:val="005228DC"/>
    <w:rsid w:val="005231E3"/>
    <w:rsid w:val="00523668"/>
    <w:rsid w:val="005304B4"/>
    <w:rsid w:val="00533814"/>
    <w:rsid w:val="005358CD"/>
    <w:rsid w:val="00540C09"/>
    <w:rsid w:val="00541F7E"/>
    <w:rsid w:val="005443A3"/>
    <w:rsid w:val="005454B4"/>
    <w:rsid w:val="0054690A"/>
    <w:rsid w:val="0054754A"/>
    <w:rsid w:val="00547930"/>
    <w:rsid w:val="005518BA"/>
    <w:rsid w:val="00551F19"/>
    <w:rsid w:val="00554CB8"/>
    <w:rsid w:val="0055706E"/>
    <w:rsid w:val="005577B7"/>
    <w:rsid w:val="00560267"/>
    <w:rsid w:val="00560BB0"/>
    <w:rsid w:val="00563177"/>
    <w:rsid w:val="005632EB"/>
    <w:rsid w:val="00564AEF"/>
    <w:rsid w:val="00566342"/>
    <w:rsid w:val="005672C7"/>
    <w:rsid w:val="00570350"/>
    <w:rsid w:val="005711F0"/>
    <w:rsid w:val="0057122F"/>
    <w:rsid w:val="00573698"/>
    <w:rsid w:val="00575203"/>
    <w:rsid w:val="00575A72"/>
    <w:rsid w:val="00580FA7"/>
    <w:rsid w:val="0058329E"/>
    <w:rsid w:val="00583541"/>
    <w:rsid w:val="00585C6C"/>
    <w:rsid w:val="00593840"/>
    <w:rsid w:val="005942A3"/>
    <w:rsid w:val="005969FC"/>
    <w:rsid w:val="005A0054"/>
    <w:rsid w:val="005A0602"/>
    <w:rsid w:val="005B0ADF"/>
    <w:rsid w:val="005B2FD5"/>
    <w:rsid w:val="005B686B"/>
    <w:rsid w:val="005B7E54"/>
    <w:rsid w:val="005C1A27"/>
    <w:rsid w:val="005C28C3"/>
    <w:rsid w:val="005C36A5"/>
    <w:rsid w:val="005C3E94"/>
    <w:rsid w:val="005C58F8"/>
    <w:rsid w:val="005C5FC6"/>
    <w:rsid w:val="005D216F"/>
    <w:rsid w:val="005D292E"/>
    <w:rsid w:val="005D2A3C"/>
    <w:rsid w:val="005D56C4"/>
    <w:rsid w:val="005D5845"/>
    <w:rsid w:val="005D76F9"/>
    <w:rsid w:val="005D7917"/>
    <w:rsid w:val="005D7EFA"/>
    <w:rsid w:val="005E0399"/>
    <w:rsid w:val="005E1CD6"/>
    <w:rsid w:val="005E4E2A"/>
    <w:rsid w:val="005E638D"/>
    <w:rsid w:val="005F086D"/>
    <w:rsid w:val="005F49AB"/>
    <w:rsid w:val="005F5D82"/>
    <w:rsid w:val="005F70BF"/>
    <w:rsid w:val="005F7309"/>
    <w:rsid w:val="00600E2A"/>
    <w:rsid w:val="00601884"/>
    <w:rsid w:val="00603359"/>
    <w:rsid w:val="006049D5"/>
    <w:rsid w:val="0060530F"/>
    <w:rsid w:val="00607F87"/>
    <w:rsid w:val="0061067C"/>
    <w:rsid w:val="006113C1"/>
    <w:rsid w:val="006119EC"/>
    <w:rsid w:val="0061271B"/>
    <w:rsid w:val="00614123"/>
    <w:rsid w:val="0061530B"/>
    <w:rsid w:val="0061648B"/>
    <w:rsid w:val="00617F08"/>
    <w:rsid w:val="0062079E"/>
    <w:rsid w:val="00621DAE"/>
    <w:rsid w:val="00623200"/>
    <w:rsid w:val="0062473A"/>
    <w:rsid w:val="0062604B"/>
    <w:rsid w:val="00630C57"/>
    <w:rsid w:val="006328EB"/>
    <w:rsid w:val="00632B85"/>
    <w:rsid w:val="00634332"/>
    <w:rsid w:val="006346B2"/>
    <w:rsid w:val="00635255"/>
    <w:rsid w:val="00635D51"/>
    <w:rsid w:val="00636CF9"/>
    <w:rsid w:val="006400F2"/>
    <w:rsid w:val="00642674"/>
    <w:rsid w:val="00643F18"/>
    <w:rsid w:val="00645E25"/>
    <w:rsid w:val="00645E67"/>
    <w:rsid w:val="00647BF2"/>
    <w:rsid w:val="00650CE6"/>
    <w:rsid w:val="006537AC"/>
    <w:rsid w:val="0065414C"/>
    <w:rsid w:val="006546D5"/>
    <w:rsid w:val="00660249"/>
    <w:rsid w:val="006602F3"/>
    <w:rsid w:val="00663512"/>
    <w:rsid w:val="00664316"/>
    <w:rsid w:val="00666D65"/>
    <w:rsid w:val="00670A8A"/>
    <w:rsid w:val="0067143E"/>
    <w:rsid w:val="006716DF"/>
    <w:rsid w:val="0067486A"/>
    <w:rsid w:val="00674A18"/>
    <w:rsid w:val="006764FC"/>
    <w:rsid w:val="00676877"/>
    <w:rsid w:val="006768AB"/>
    <w:rsid w:val="00676E3D"/>
    <w:rsid w:val="00677C73"/>
    <w:rsid w:val="00682214"/>
    <w:rsid w:val="00682548"/>
    <w:rsid w:val="006832AA"/>
    <w:rsid w:val="006844D8"/>
    <w:rsid w:val="00685C43"/>
    <w:rsid w:val="006864A2"/>
    <w:rsid w:val="00686815"/>
    <w:rsid w:val="0069575B"/>
    <w:rsid w:val="00695888"/>
    <w:rsid w:val="006963D1"/>
    <w:rsid w:val="006A2A37"/>
    <w:rsid w:val="006A2ABC"/>
    <w:rsid w:val="006A444E"/>
    <w:rsid w:val="006A540A"/>
    <w:rsid w:val="006A58AE"/>
    <w:rsid w:val="006A6F36"/>
    <w:rsid w:val="006A745D"/>
    <w:rsid w:val="006B0EB6"/>
    <w:rsid w:val="006B506D"/>
    <w:rsid w:val="006B6394"/>
    <w:rsid w:val="006B6787"/>
    <w:rsid w:val="006B6F05"/>
    <w:rsid w:val="006B7C88"/>
    <w:rsid w:val="006C285E"/>
    <w:rsid w:val="006C3861"/>
    <w:rsid w:val="006C753A"/>
    <w:rsid w:val="006D12BC"/>
    <w:rsid w:val="006D573B"/>
    <w:rsid w:val="006D64A8"/>
    <w:rsid w:val="006D707A"/>
    <w:rsid w:val="006E040D"/>
    <w:rsid w:val="006E3AAC"/>
    <w:rsid w:val="006F0AC0"/>
    <w:rsid w:val="006F0E36"/>
    <w:rsid w:val="006F2F14"/>
    <w:rsid w:val="006F32BB"/>
    <w:rsid w:val="006F3304"/>
    <w:rsid w:val="007048FB"/>
    <w:rsid w:val="00706685"/>
    <w:rsid w:val="007075E4"/>
    <w:rsid w:val="007118C3"/>
    <w:rsid w:val="0071551D"/>
    <w:rsid w:val="00716366"/>
    <w:rsid w:val="007213C4"/>
    <w:rsid w:val="00721A7E"/>
    <w:rsid w:val="007222BE"/>
    <w:rsid w:val="007230DB"/>
    <w:rsid w:val="00724A59"/>
    <w:rsid w:val="007252DF"/>
    <w:rsid w:val="007314A5"/>
    <w:rsid w:val="007336E8"/>
    <w:rsid w:val="00734E41"/>
    <w:rsid w:val="00737D49"/>
    <w:rsid w:val="00741C6A"/>
    <w:rsid w:val="00742C73"/>
    <w:rsid w:val="007440CE"/>
    <w:rsid w:val="00746AA7"/>
    <w:rsid w:val="00750F76"/>
    <w:rsid w:val="00751D89"/>
    <w:rsid w:val="00752050"/>
    <w:rsid w:val="00755D7A"/>
    <w:rsid w:val="007606E2"/>
    <w:rsid w:val="00762EAE"/>
    <w:rsid w:val="00765C54"/>
    <w:rsid w:val="00765D27"/>
    <w:rsid w:val="0077084E"/>
    <w:rsid w:val="00772B42"/>
    <w:rsid w:val="00772BCA"/>
    <w:rsid w:val="007735E3"/>
    <w:rsid w:val="007744C9"/>
    <w:rsid w:val="00775316"/>
    <w:rsid w:val="007807A5"/>
    <w:rsid w:val="007840FC"/>
    <w:rsid w:val="0078631B"/>
    <w:rsid w:val="00786E52"/>
    <w:rsid w:val="00787181"/>
    <w:rsid w:val="00787D7F"/>
    <w:rsid w:val="007916E4"/>
    <w:rsid w:val="00791FDF"/>
    <w:rsid w:val="00792451"/>
    <w:rsid w:val="0079267B"/>
    <w:rsid w:val="007929E1"/>
    <w:rsid w:val="00794FE9"/>
    <w:rsid w:val="00795EC1"/>
    <w:rsid w:val="00796799"/>
    <w:rsid w:val="007A28A8"/>
    <w:rsid w:val="007A3DA3"/>
    <w:rsid w:val="007A461B"/>
    <w:rsid w:val="007A56E2"/>
    <w:rsid w:val="007A59E1"/>
    <w:rsid w:val="007B07F3"/>
    <w:rsid w:val="007B2EC1"/>
    <w:rsid w:val="007B3022"/>
    <w:rsid w:val="007B3640"/>
    <w:rsid w:val="007B4959"/>
    <w:rsid w:val="007B5B4A"/>
    <w:rsid w:val="007B604D"/>
    <w:rsid w:val="007B6BD0"/>
    <w:rsid w:val="007C1D8C"/>
    <w:rsid w:val="007C1FD6"/>
    <w:rsid w:val="007C32B3"/>
    <w:rsid w:val="007C338C"/>
    <w:rsid w:val="007C487E"/>
    <w:rsid w:val="007C5D2C"/>
    <w:rsid w:val="007C6B5B"/>
    <w:rsid w:val="007D29BC"/>
    <w:rsid w:val="007D2D45"/>
    <w:rsid w:val="007D4323"/>
    <w:rsid w:val="007D60D8"/>
    <w:rsid w:val="007D756F"/>
    <w:rsid w:val="007D7A0D"/>
    <w:rsid w:val="007E0174"/>
    <w:rsid w:val="007E0ADA"/>
    <w:rsid w:val="007E1418"/>
    <w:rsid w:val="007E2EE9"/>
    <w:rsid w:val="007E69B6"/>
    <w:rsid w:val="007F2585"/>
    <w:rsid w:val="007F2765"/>
    <w:rsid w:val="007F2FA9"/>
    <w:rsid w:val="007F4878"/>
    <w:rsid w:val="007F5DF9"/>
    <w:rsid w:val="007F7627"/>
    <w:rsid w:val="008001B1"/>
    <w:rsid w:val="00803777"/>
    <w:rsid w:val="00803DB7"/>
    <w:rsid w:val="008055E3"/>
    <w:rsid w:val="00807F74"/>
    <w:rsid w:val="008105B7"/>
    <w:rsid w:val="00813008"/>
    <w:rsid w:val="00816413"/>
    <w:rsid w:val="00820D77"/>
    <w:rsid w:val="0082173F"/>
    <w:rsid w:val="00825F68"/>
    <w:rsid w:val="008300A1"/>
    <w:rsid w:val="0083183C"/>
    <w:rsid w:val="008329D7"/>
    <w:rsid w:val="00835A90"/>
    <w:rsid w:val="0083673C"/>
    <w:rsid w:val="00836CC5"/>
    <w:rsid w:val="00842FB2"/>
    <w:rsid w:val="008456EC"/>
    <w:rsid w:val="008638DB"/>
    <w:rsid w:val="00864A92"/>
    <w:rsid w:val="00864F55"/>
    <w:rsid w:val="008653BE"/>
    <w:rsid w:val="008656F4"/>
    <w:rsid w:val="008662A6"/>
    <w:rsid w:val="0086794F"/>
    <w:rsid w:val="00873E76"/>
    <w:rsid w:val="00874948"/>
    <w:rsid w:val="00875861"/>
    <w:rsid w:val="0087789B"/>
    <w:rsid w:val="0088045C"/>
    <w:rsid w:val="00880862"/>
    <w:rsid w:val="008821C6"/>
    <w:rsid w:val="00882C05"/>
    <w:rsid w:val="008864C6"/>
    <w:rsid w:val="00890D37"/>
    <w:rsid w:val="008938B4"/>
    <w:rsid w:val="00894905"/>
    <w:rsid w:val="008955C9"/>
    <w:rsid w:val="0089563D"/>
    <w:rsid w:val="00897C99"/>
    <w:rsid w:val="008A2DBB"/>
    <w:rsid w:val="008A3712"/>
    <w:rsid w:val="008A4479"/>
    <w:rsid w:val="008A624E"/>
    <w:rsid w:val="008A6B5F"/>
    <w:rsid w:val="008A7FC3"/>
    <w:rsid w:val="008B17A7"/>
    <w:rsid w:val="008B31DF"/>
    <w:rsid w:val="008B3F06"/>
    <w:rsid w:val="008B52B2"/>
    <w:rsid w:val="008C0864"/>
    <w:rsid w:val="008C14E3"/>
    <w:rsid w:val="008C29AE"/>
    <w:rsid w:val="008C7AA8"/>
    <w:rsid w:val="008D0769"/>
    <w:rsid w:val="008D18B2"/>
    <w:rsid w:val="008D6B25"/>
    <w:rsid w:val="008E18D6"/>
    <w:rsid w:val="008E1B83"/>
    <w:rsid w:val="008E5794"/>
    <w:rsid w:val="008F0E31"/>
    <w:rsid w:val="008F3889"/>
    <w:rsid w:val="009004E3"/>
    <w:rsid w:val="00900FD4"/>
    <w:rsid w:val="00902390"/>
    <w:rsid w:val="00903965"/>
    <w:rsid w:val="00904F8D"/>
    <w:rsid w:val="0090523D"/>
    <w:rsid w:val="00905866"/>
    <w:rsid w:val="00906A68"/>
    <w:rsid w:val="0091022D"/>
    <w:rsid w:val="00915749"/>
    <w:rsid w:val="00915A4E"/>
    <w:rsid w:val="00917891"/>
    <w:rsid w:val="00920DC3"/>
    <w:rsid w:val="009223E5"/>
    <w:rsid w:val="009228C4"/>
    <w:rsid w:val="009253FC"/>
    <w:rsid w:val="00925CC5"/>
    <w:rsid w:val="00933A55"/>
    <w:rsid w:val="00934080"/>
    <w:rsid w:val="009344E9"/>
    <w:rsid w:val="00935399"/>
    <w:rsid w:val="00935E34"/>
    <w:rsid w:val="009379D9"/>
    <w:rsid w:val="00943E78"/>
    <w:rsid w:val="00944558"/>
    <w:rsid w:val="00946022"/>
    <w:rsid w:val="0094777B"/>
    <w:rsid w:val="00952F04"/>
    <w:rsid w:val="00956F9D"/>
    <w:rsid w:val="00957589"/>
    <w:rsid w:val="00962A1C"/>
    <w:rsid w:val="00965BC1"/>
    <w:rsid w:val="00966218"/>
    <w:rsid w:val="00967778"/>
    <w:rsid w:val="0097100F"/>
    <w:rsid w:val="00972051"/>
    <w:rsid w:val="0097320A"/>
    <w:rsid w:val="00975BE3"/>
    <w:rsid w:val="00976037"/>
    <w:rsid w:val="00977342"/>
    <w:rsid w:val="00980030"/>
    <w:rsid w:val="009826FC"/>
    <w:rsid w:val="00984455"/>
    <w:rsid w:val="00985B11"/>
    <w:rsid w:val="00985D9A"/>
    <w:rsid w:val="009875B6"/>
    <w:rsid w:val="0098769F"/>
    <w:rsid w:val="00991E97"/>
    <w:rsid w:val="009923B2"/>
    <w:rsid w:val="00992411"/>
    <w:rsid w:val="00994AF1"/>
    <w:rsid w:val="00995EB5"/>
    <w:rsid w:val="009962E8"/>
    <w:rsid w:val="009A09AD"/>
    <w:rsid w:val="009A20B5"/>
    <w:rsid w:val="009A2F0D"/>
    <w:rsid w:val="009A5137"/>
    <w:rsid w:val="009A6ABE"/>
    <w:rsid w:val="009A772D"/>
    <w:rsid w:val="009B00F6"/>
    <w:rsid w:val="009B1837"/>
    <w:rsid w:val="009B43E7"/>
    <w:rsid w:val="009B6AEF"/>
    <w:rsid w:val="009C14DF"/>
    <w:rsid w:val="009C1829"/>
    <w:rsid w:val="009C6953"/>
    <w:rsid w:val="009C6C21"/>
    <w:rsid w:val="009C6E77"/>
    <w:rsid w:val="009D2760"/>
    <w:rsid w:val="009D305C"/>
    <w:rsid w:val="009D6E50"/>
    <w:rsid w:val="009E3452"/>
    <w:rsid w:val="009E448F"/>
    <w:rsid w:val="009E5AAB"/>
    <w:rsid w:val="009F1A6D"/>
    <w:rsid w:val="009F1B3C"/>
    <w:rsid w:val="009F4824"/>
    <w:rsid w:val="00A004FA"/>
    <w:rsid w:val="00A0068B"/>
    <w:rsid w:val="00A012F7"/>
    <w:rsid w:val="00A01493"/>
    <w:rsid w:val="00A02F44"/>
    <w:rsid w:val="00A06B24"/>
    <w:rsid w:val="00A1205F"/>
    <w:rsid w:val="00A15627"/>
    <w:rsid w:val="00A164C1"/>
    <w:rsid w:val="00A225A9"/>
    <w:rsid w:val="00A258C8"/>
    <w:rsid w:val="00A266FD"/>
    <w:rsid w:val="00A26C06"/>
    <w:rsid w:val="00A303A6"/>
    <w:rsid w:val="00A3390A"/>
    <w:rsid w:val="00A35794"/>
    <w:rsid w:val="00A3582E"/>
    <w:rsid w:val="00A35ACB"/>
    <w:rsid w:val="00A35D81"/>
    <w:rsid w:val="00A41238"/>
    <w:rsid w:val="00A4200F"/>
    <w:rsid w:val="00A422D6"/>
    <w:rsid w:val="00A423D4"/>
    <w:rsid w:val="00A458F7"/>
    <w:rsid w:val="00A459F4"/>
    <w:rsid w:val="00A45E5C"/>
    <w:rsid w:val="00A46357"/>
    <w:rsid w:val="00A4650C"/>
    <w:rsid w:val="00A53DA2"/>
    <w:rsid w:val="00A54443"/>
    <w:rsid w:val="00A545F4"/>
    <w:rsid w:val="00A55019"/>
    <w:rsid w:val="00A561B7"/>
    <w:rsid w:val="00A5628E"/>
    <w:rsid w:val="00A57046"/>
    <w:rsid w:val="00A57530"/>
    <w:rsid w:val="00A6139B"/>
    <w:rsid w:val="00A61FD7"/>
    <w:rsid w:val="00A63054"/>
    <w:rsid w:val="00A64888"/>
    <w:rsid w:val="00A67AC7"/>
    <w:rsid w:val="00A67CBE"/>
    <w:rsid w:val="00A67ED6"/>
    <w:rsid w:val="00A7489B"/>
    <w:rsid w:val="00A77934"/>
    <w:rsid w:val="00A80DF2"/>
    <w:rsid w:val="00A81C8F"/>
    <w:rsid w:val="00A81D08"/>
    <w:rsid w:val="00A845C3"/>
    <w:rsid w:val="00A9174F"/>
    <w:rsid w:val="00A96172"/>
    <w:rsid w:val="00A96525"/>
    <w:rsid w:val="00A97A5D"/>
    <w:rsid w:val="00A97D9C"/>
    <w:rsid w:val="00AA05C6"/>
    <w:rsid w:val="00AA0F2B"/>
    <w:rsid w:val="00AA460B"/>
    <w:rsid w:val="00AA4EFB"/>
    <w:rsid w:val="00AA4FD2"/>
    <w:rsid w:val="00AA5227"/>
    <w:rsid w:val="00AA52C9"/>
    <w:rsid w:val="00AA69D1"/>
    <w:rsid w:val="00AA6ECD"/>
    <w:rsid w:val="00AA71FE"/>
    <w:rsid w:val="00AB15CE"/>
    <w:rsid w:val="00AB3F83"/>
    <w:rsid w:val="00AB5925"/>
    <w:rsid w:val="00AB6B00"/>
    <w:rsid w:val="00AC03A4"/>
    <w:rsid w:val="00AC0AAA"/>
    <w:rsid w:val="00AD0A2C"/>
    <w:rsid w:val="00AD1AFF"/>
    <w:rsid w:val="00AD367C"/>
    <w:rsid w:val="00AD491A"/>
    <w:rsid w:val="00AD6005"/>
    <w:rsid w:val="00AD7335"/>
    <w:rsid w:val="00AE126B"/>
    <w:rsid w:val="00AE1906"/>
    <w:rsid w:val="00AE3869"/>
    <w:rsid w:val="00AE44AD"/>
    <w:rsid w:val="00AE45C3"/>
    <w:rsid w:val="00AE5F3D"/>
    <w:rsid w:val="00AE726C"/>
    <w:rsid w:val="00AF1911"/>
    <w:rsid w:val="00AF2B4D"/>
    <w:rsid w:val="00AF4A75"/>
    <w:rsid w:val="00B02A4A"/>
    <w:rsid w:val="00B046F8"/>
    <w:rsid w:val="00B10BAF"/>
    <w:rsid w:val="00B11DBA"/>
    <w:rsid w:val="00B14429"/>
    <w:rsid w:val="00B158A8"/>
    <w:rsid w:val="00B160F0"/>
    <w:rsid w:val="00B167B6"/>
    <w:rsid w:val="00B17BA1"/>
    <w:rsid w:val="00B20774"/>
    <w:rsid w:val="00B21A6C"/>
    <w:rsid w:val="00B24429"/>
    <w:rsid w:val="00B24662"/>
    <w:rsid w:val="00B25F2D"/>
    <w:rsid w:val="00B2697E"/>
    <w:rsid w:val="00B30DD6"/>
    <w:rsid w:val="00B31946"/>
    <w:rsid w:val="00B33ADF"/>
    <w:rsid w:val="00B340CF"/>
    <w:rsid w:val="00B419E1"/>
    <w:rsid w:val="00B41EAA"/>
    <w:rsid w:val="00B42E90"/>
    <w:rsid w:val="00B46A77"/>
    <w:rsid w:val="00B5156C"/>
    <w:rsid w:val="00B516D7"/>
    <w:rsid w:val="00B5189D"/>
    <w:rsid w:val="00B52991"/>
    <w:rsid w:val="00B537DE"/>
    <w:rsid w:val="00B5402B"/>
    <w:rsid w:val="00B60B3B"/>
    <w:rsid w:val="00B635A0"/>
    <w:rsid w:val="00B64F45"/>
    <w:rsid w:val="00B66046"/>
    <w:rsid w:val="00B6673D"/>
    <w:rsid w:val="00B71C29"/>
    <w:rsid w:val="00B753F3"/>
    <w:rsid w:val="00B75E3B"/>
    <w:rsid w:val="00B77620"/>
    <w:rsid w:val="00B80984"/>
    <w:rsid w:val="00B80F6F"/>
    <w:rsid w:val="00B810FD"/>
    <w:rsid w:val="00B81507"/>
    <w:rsid w:val="00B8156F"/>
    <w:rsid w:val="00B83AC1"/>
    <w:rsid w:val="00B84C9B"/>
    <w:rsid w:val="00B84D9E"/>
    <w:rsid w:val="00B90011"/>
    <w:rsid w:val="00B9032E"/>
    <w:rsid w:val="00B92B05"/>
    <w:rsid w:val="00B92DE7"/>
    <w:rsid w:val="00B948F4"/>
    <w:rsid w:val="00B95CEC"/>
    <w:rsid w:val="00BB2B33"/>
    <w:rsid w:val="00BB3F93"/>
    <w:rsid w:val="00BB58BF"/>
    <w:rsid w:val="00BC0761"/>
    <w:rsid w:val="00BC1003"/>
    <w:rsid w:val="00BC1E5D"/>
    <w:rsid w:val="00BC1F2F"/>
    <w:rsid w:val="00BC29ED"/>
    <w:rsid w:val="00BC3E52"/>
    <w:rsid w:val="00BC6BEE"/>
    <w:rsid w:val="00BC6E6F"/>
    <w:rsid w:val="00BD3858"/>
    <w:rsid w:val="00BD46CF"/>
    <w:rsid w:val="00BD59AA"/>
    <w:rsid w:val="00BD6B02"/>
    <w:rsid w:val="00BE17A4"/>
    <w:rsid w:val="00BE315E"/>
    <w:rsid w:val="00BE6CC7"/>
    <w:rsid w:val="00BE7F9C"/>
    <w:rsid w:val="00BF03B5"/>
    <w:rsid w:val="00BF1310"/>
    <w:rsid w:val="00BF2518"/>
    <w:rsid w:val="00BF2BB7"/>
    <w:rsid w:val="00BF566F"/>
    <w:rsid w:val="00BF7357"/>
    <w:rsid w:val="00C00E53"/>
    <w:rsid w:val="00C043A3"/>
    <w:rsid w:val="00C05DB0"/>
    <w:rsid w:val="00C06E18"/>
    <w:rsid w:val="00C112AF"/>
    <w:rsid w:val="00C12188"/>
    <w:rsid w:val="00C12F7C"/>
    <w:rsid w:val="00C15BBC"/>
    <w:rsid w:val="00C161AC"/>
    <w:rsid w:val="00C20468"/>
    <w:rsid w:val="00C22F9D"/>
    <w:rsid w:val="00C25845"/>
    <w:rsid w:val="00C3222E"/>
    <w:rsid w:val="00C34568"/>
    <w:rsid w:val="00C34E79"/>
    <w:rsid w:val="00C35338"/>
    <w:rsid w:val="00C35366"/>
    <w:rsid w:val="00C35455"/>
    <w:rsid w:val="00C361C0"/>
    <w:rsid w:val="00C3731D"/>
    <w:rsid w:val="00C37A91"/>
    <w:rsid w:val="00C420FD"/>
    <w:rsid w:val="00C44C54"/>
    <w:rsid w:val="00C509D2"/>
    <w:rsid w:val="00C51111"/>
    <w:rsid w:val="00C524CA"/>
    <w:rsid w:val="00C53BBE"/>
    <w:rsid w:val="00C633EC"/>
    <w:rsid w:val="00C63764"/>
    <w:rsid w:val="00C6596B"/>
    <w:rsid w:val="00C65D81"/>
    <w:rsid w:val="00C65DD8"/>
    <w:rsid w:val="00C66F77"/>
    <w:rsid w:val="00C70427"/>
    <w:rsid w:val="00C72D9E"/>
    <w:rsid w:val="00C75FC4"/>
    <w:rsid w:val="00C76D10"/>
    <w:rsid w:val="00C779E1"/>
    <w:rsid w:val="00C8362A"/>
    <w:rsid w:val="00C8406B"/>
    <w:rsid w:val="00C84D6C"/>
    <w:rsid w:val="00C862C1"/>
    <w:rsid w:val="00C916AE"/>
    <w:rsid w:val="00C91784"/>
    <w:rsid w:val="00C93BFD"/>
    <w:rsid w:val="00C945E0"/>
    <w:rsid w:val="00C96149"/>
    <w:rsid w:val="00C97E84"/>
    <w:rsid w:val="00CA1772"/>
    <w:rsid w:val="00CA7528"/>
    <w:rsid w:val="00CA7B01"/>
    <w:rsid w:val="00CB120B"/>
    <w:rsid w:val="00CB140B"/>
    <w:rsid w:val="00CB234E"/>
    <w:rsid w:val="00CB2D24"/>
    <w:rsid w:val="00CB4FB8"/>
    <w:rsid w:val="00CB5197"/>
    <w:rsid w:val="00CB5D5A"/>
    <w:rsid w:val="00CC28FF"/>
    <w:rsid w:val="00CC3BB8"/>
    <w:rsid w:val="00CC429D"/>
    <w:rsid w:val="00CC5DCB"/>
    <w:rsid w:val="00CD1E6D"/>
    <w:rsid w:val="00CD24EB"/>
    <w:rsid w:val="00CE2C5D"/>
    <w:rsid w:val="00CE43FC"/>
    <w:rsid w:val="00CE52B2"/>
    <w:rsid w:val="00CE554C"/>
    <w:rsid w:val="00CF1270"/>
    <w:rsid w:val="00CF17B5"/>
    <w:rsid w:val="00CF285F"/>
    <w:rsid w:val="00CF6AFC"/>
    <w:rsid w:val="00CF72C1"/>
    <w:rsid w:val="00D0081F"/>
    <w:rsid w:val="00D03A75"/>
    <w:rsid w:val="00D04CDB"/>
    <w:rsid w:val="00D04D68"/>
    <w:rsid w:val="00D05FED"/>
    <w:rsid w:val="00D121FD"/>
    <w:rsid w:val="00D17B1E"/>
    <w:rsid w:val="00D20179"/>
    <w:rsid w:val="00D207DB"/>
    <w:rsid w:val="00D21A24"/>
    <w:rsid w:val="00D24277"/>
    <w:rsid w:val="00D2691B"/>
    <w:rsid w:val="00D27A11"/>
    <w:rsid w:val="00D339F9"/>
    <w:rsid w:val="00D33D9B"/>
    <w:rsid w:val="00D459A8"/>
    <w:rsid w:val="00D47EBB"/>
    <w:rsid w:val="00D50584"/>
    <w:rsid w:val="00D51EE1"/>
    <w:rsid w:val="00D540D3"/>
    <w:rsid w:val="00D5467C"/>
    <w:rsid w:val="00D55993"/>
    <w:rsid w:val="00D5740D"/>
    <w:rsid w:val="00D57912"/>
    <w:rsid w:val="00D57AC3"/>
    <w:rsid w:val="00D60911"/>
    <w:rsid w:val="00D623AD"/>
    <w:rsid w:val="00D62C8D"/>
    <w:rsid w:val="00D63475"/>
    <w:rsid w:val="00D64DEA"/>
    <w:rsid w:val="00D6595D"/>
    <w:rsid w:val="00D65E21"/>
    <w:rsid w:val="00D70A28"/>
    <w:rsid w:val="00D73FB7"/>
    <w:rsid w:val="00D75311"/>
    <w:rsid w:val="00D75F64"/>
    <w:rsid w:val="00D80265"/>
    <w:rsid w:val="00D80EB2"/>
    <w:rsid w:val="00D812C4"/>
    <w:rsid w:val="00D923B8"/>
    <w:rsid w:val="00D93BF9"/>
    <w:rsid w:val="00D94967"/>
    <w:rsid w:val="00D94ED4"/>
    <w:rsid w:val="00DA061B"/>
    <w:rsid w:val="00DA14B8"/>
    <w:rsid w:val="00DA7E68"/>
    <w:rsid w:val="00DB077D"/>
    <w:rsid w:val="00DB1003"/>
    <w:rsid w:val="00DB2501"/>
    <w:rsid w:val="00DC30D9"/>
    <w:rsid w:val="00DC710E"/>
    <w:rsid w:val="00DD0223"/>
    <w:rsid w:val="00DD47FC"/>
    <w:rsid w:val="00DD5B41"/>
    <w:rsid w:val="00DD5EDE"/>
    <w:rsid w:val="00DD75DB"/>
    <w:rsid w:val="00DD77EC"/>
    <w:rsid w:val="00DD7D4A"/>
    <w:rsid w:val="00DE59CE"/>
    <w:rsid w:val="00DE64A7"/>
    <w:rsid w:val="00DE7E62"/>
    <w:rsid w:val="00DF2249"/>
    <w:rsid w:val="00DF2D8E"/>
    <w:rsid w:val="00DF5D52"/>
    <w:rsid w:val="00DF61C6"/>
    <w:rsid w:val="00DF6FD2"/>
    <w:rsid w:val="00DF747C"/>
    <w:rsid w:val="00DF7559"/>
    <w:rsid w:val="00DF79B7"/>
    <w:rsid w:val="00E00679"/>
    <w:rsid w:val="00E01525"/>
    <w:rsid w:val="00E01B5D"/>
    <w:rsid w:val="00E02DA6"/>
    <w:rsid w:val="00E02F19"/>
    <w:rsid w:val="00E0372C"/>
    <w:rsid w:val="00E04B0D"/>
    <w:rsid w:val="00E04BE9"/>
    <w:rsid w:val="00E05B80"/>
    <w:rsid w:val="00E07A43"/>
    <w:rsid w:val="00E13B92"/>
    <w:rsid w:val="00E1504E"/>
    <w:rsid w:val="00E1668E"/>
    <w:rsid w:val="00E175F8"/>
    <w:rsid w:val="00E21B26"/>
    <w:rsid w:val="00E235B1"/>
    <w:rsid w:val="00E2379C"/>
    <w:rsid w:val="00E24CAF"/>
    <w:rsid w:val="00E25CE0"/>
    <w:rsid w:val="00E261D7"/>
    <w:rsid w:val="00E26EC4"/>
    <w:rsid w:val="00E27D68"/>
    <w:rsid w:val="00E308A0"/>
    <w:rsid w:val="00E31B40"/>
    <w:rsid w:val="00E32EC5"/>
    <w:rsid w:val="00E3435D"/>
    <w:rsid w:val="00E366E1"/>
    <w:rsid w:val="00E4322B"/>
    <w:rsid w:val="00E43D76"/>
    <w:rsid w:val="00E44074"/>
    <w:rsid w:val="00E44BDC"/>
    <w:rsid w:val="00E452FB"/>
    <w:rsid w:val="00E47145"/>
    <w:rsid w:val="00E4741F"/>
    <w:rsid w:val="00E508A5"/>
    <w:rsid w:val="00E5180A"/>
    <w:rsid w:val="00E552A2"/>
    <w:rsid w:val="00E55916"/>
    <w:rsid w:val="00E567F5"/>
    <w:rsid w:val="00E60D4C"/>
    <w:rsid w:val="00E62DD1"/>
    <w:rsid w:val="00E66560"/>
    <w:rsid w:val="00E67BB8"/>
    <w:rsid w:val="00E75E8A"/>
    <w:rsid w:val="00E774B1"/>
    <w:rsid w:val="00E81067"/>
    <w:rsid w:val="00E8365D"/>
    <w:rsid w:val="00E83989"/>
    <w:rsid w:val="00E83C03"/>
    <w:rsid w:val="00E83F67"/>
    <w:rsid w:val="00E86097"/>
    <w:rsid w:val="00E8652E"/>
    <w:rsid w:val="00E901E4"/>
    <w:rsid w:val="00E93A94"/>
    <w:rsid w:val="00E93DFA"/>
    <w:rsid w:val="00E95417"/>
    <w:rsid w:val="00E97418"/>
    <w:rsid w:val="00EA0461"/>
    <w:rsid w:val="00EA128D"/>
    <w:rsid w:val="00EA32CA"/>
    <w:rsid w:val="00EA3AC1"/>
    <w:rsid w:val="00EA3E61"/>
    <w:rsid w:val="00EA542A"/>
    <w:rsid w:val="00EA5EC9"/>
    <w:rsid w:val="00EB1900"/>
    <w:rsid w:val="00EB2269"/>
    <w:rsid w:val="00EB769A"/>
    <w:rsid w:val="00EC2B60"/>
    <w:rsid w:val="00EC3B34"/>
    <w:rsid w:val="00EC46B2"/>
    <w:rsid w:val="00EC63C4"/>
    <w:rsid w:val="00ED04F2"/>
    <w:rsid w:val="00ED37F8"/>
    <w:rsid w:val="00ED7FF2"/>
    <w:rsid w:val="00EE43CC"/>
    <w:rsid w:val="00EE49A7"/>
    <w:rsid w:val="00EE5DA8"/>
    <w:rsid w:val="00EF0131"/>
    <w:rsid w:val="00EF188B"/>
    <w:rsid w:val="00EF1C11"/>
    <w:rsid w:val="00EF4ED6"/>
    <w:rsid w:val="00EF5E46"/>
    <w:rsid w:val="00EF63B6"/>
    <w:rsid w:val="00F005D1"/>
    <w:rsid w:val="00F013DD"/>
    <w:rsid w:val="00F04AF7"/>
    <w:rsid w:val="00F07506"/>
    <w:rsid w:val="00F0766F"/>
    <w:rsid w:val="00F07C4D"/>
    <w:rsid w:val="00F1246E"/>
    <w:rsid w:val="00F16AB0"/>
    <w:rsid w:val="00F23F4D"/>
    <w:rsid w:val="00F24627"/>
    <w:rsid w:val="00F27BE3"/>
    <w:rsid w:val="00F33636"/>
    <w:rsid w:val="00F35907"/>
    <w:rsid w:val="00F359DC"/>
    <w:rsid w:val="00F364FE"/>
    <w:rsid w:val="00F4260E"/>
    <w:rsid w:val="00F44773"/>
    <w:rsid w:val="00F453CF"/>
    <w:rsid w:val="00F45B15"/>
    <w:rsid w:val="00F477B7"/>
    <w:rsid w:val="00F50245"/>
    <w:rsid w:val="00F51BAB"/>
    <w:rsid w:val="00F53714"/>
    <w:rsid w:val="00F53C71"/>
    <w:rsid w:val="00F55262"/>
    <w:rsid w:val="00F5781A"/>
    <w:rsid w:val="00F60E91"/>
    <w:rsid w:val="00F62C7D"/>
    <w:rsid w:val="00F6395E"/>
    <w:rsid w:val="00F63AF4"/>
    <w:rsid w:val="00F64956"/>
    <w:rsid w:val="00F66735"/>
    <w:rsid w:val="00F669DE"/>
    <w:rsid w:val="00F674A2"/>
    <w:rsid w:val="00F77392"/>
    <w:rsid w:val="00F77D5C"/>
    <w:rsid w:val="00F8200F"/>
    <w:rsid w:val="00F832FB"/>
    <w:rsid w:val="00F845E9"/>
    <w:rsid w:val="00F8584C"/>
    <w:rsid w:val="00F8655B"/>
    <w:rsid w:val="00F868E3"/>
    <w:rsid w:val="00F915AF"/>
    <w:rsid w:val="00F91DAF"/>
    <w:rsid w:val="00F92133"/>
    <w:rsid w:val="00F927D0"/>
    <w:rsid w:val="00F93696"/>
    <w:rsid w:val="00F942FC"/>
    <w:rsid w:val="00F9700B"/>
    <w:rsid w:val="00F97778"/>
    <w:rsid w:val="00FA16C8"/>
    <w:rsid w:val="00FA6843"/>
    <w:rsid w:val="00FA6AEF"/>
    <w:rsid w:val="00FA7945"/>
    <w:rsid w:val="00FA7C9A"/>
    <w:rsid w:val="00FB117A"/>
    <w:rsid w:val="00FB236D"/>
    <w:rsid w:val="00FB293A"/>
    <w:rsid w:val="00FB546A"/>
    <w:rsid w:val="00FC1F2B"/>
    <w:rsid w:val="00FC37E0"/>
    <w:rsid w:val="00FC424A"/>
    <w:rsid w:val="00FC7F12"/>
    <w:rsid w:val="00FD440E"/>
    <w:rsid w:val="00FE1F50"/>
    <w:rsid w:val="00FE3608"/>
    <w:rsid w:val="00FE3726"/>
    <w:rsid w:val="00FE3CC5"/>
    <w:rsid w:val="00FE5C82"/>
    <w:rsid w:val="00FF0AD4"/>
    <w:rsid w:val="00FF1939"/>
    <w:rsid w:val="00FF219C"/>
    <w:rsid w:val="00FF339F"/>
    <w:rsid w:val="00FF4509"/>
    <w:rsid w:val="00FF7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85D3B"/>
  <w15:chartTrackingRefBased/>
  <w15:docId w15:val="{1D911E30-8465-4F78-BF1E-03EBA30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A2DBB"/>
    <w:rPr>
      <w:sz w:val="24"/>
      <w:szCs w:val="24"/>
    </w:rPr>
  </w:style>
  <w:style w:type="paragraph" w:styleId="Heading1">
    <w:name w:val="heading 1"/>
    <w:basedOn w:val="Normal"/>
    <w:next w:val="Normal"/>
    <w:link w:val="Heading1Char"/>
    <w:uiPriority w:val="99"/>
    <w:qFormat/>
    <w:rsid w:val="005224E4"/>
    <w:pPr>
      <w:keepNext/>
      <w:jc w:val="right"/>
      <w:outlineLvl w:val="0"/>
    </w:pPr>
    <w:rPr>
      <w:sz w:val="28"/>
      <w:lang w:val="x-none" w:eastAsia="en-US"/>
    </w:rPr>
  </w:style>
  <w:style w:type="paragraph" w:styleId="Heading2">
    <w:name w:val="heading 2"/>
    <w:basedOn w:val="Normal"/>
    <w:next w:val="Normal"/>
    <w:link w:val="Heading2Char"/>
    <w:semiHidden/>
    <w:unhideWhenUsed/>
    <w:qFormat/>
    <w:rsid w:val="00621DA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Header">
    <w:name w:val="header"/>
    <w:basedOn w:val="Normal"/>
    <w:rsid w:val="001327E4"/>
    <w:pPr>
      <w:tabs>
        <w:tab w:val="center" w:pos="4153"/>
        <w:tab w:val="right" w:pos="8306"/>
      </w:tabs>
    </w:pPr>
  </w:style>
  <w:style w:type="paragraph" w:styleId="Footer">
    <w:name w:val="footer"/>
    <w:basedOn w:val="Normal"/>
    <w:link w:val="FooterChar"/>
    <w:uiPriority w:val="99"/>
    <w:rsid w:val="001327E4"/>
    <w:pPr>
      <w:tabs>
        <w:tab w:val="center" w:pos="4153"/>
        <w:tab w:val="right" w:pos="8306"/>
      </w:tabs>
    </w:pPr>
    <w:rPr>
      <w:lang w:val="x-none" w:eastAsia="x-none"/>
    </w:rPr>
  </w:style>
  <w:style w:type="character" w:styleId="PageNumber">
    <w:name w:val="page number"/>
    <w:basedOn w:val="DefaultParagraphFont"/>
    <w:rsid w:val="001327E4"/>
  </w:style>
  <w:style w:type="paragraph" w:styleId="BalloonText">
    <w:name w:val="Balloon Text"/>
    <w:basedOn w:val="Normal"/>
    <w:semiHidden/>
    <w:rsid w:val="0082173F"/>
    <w:rPr>
      <w:rFonts w:ascii="Tahoma" w:hAnsi="Tahoma" w:cs="Tahoma"/>
      <w:sz w:val="16"/>
      <w:szCs w:val="16"/>
    </w:rPr>
  </w:style>
  <w:style w:type="paragraph" w:customStyle="1" w:styleId="naisc">
    <w:name w:val="naisc"/>
    <w:basedOn w:val="Normal"/>
    <w:rsid w:val="003840E8"/>
    <w:pPr>
      <w:spacing w:before="63" w:after="63"/>
      <w:jc w:val="center"/>
    </w:pPr>
  </w:style>
  <w:style w:type="character" w:styleId="CommentReference">
    <w:name w:val="annotation reference"/>
    <w:uiPriority w:val="99"/>
    <w:semiHidden/>
    <w:rsid w:val="00F92133"/>
    <w:rPr>
      <w:sz w:val="16"/>
      <w:szCs w:val="16"/>
    </w:rPr>
  </w:style>
  <w:style w:type="paragraph" w:styleId="CommentText">
    <w:name w:val="annotation text"/>
    <w:basedOn w:val="Normal"/>
    <w:link w:val="CommentTextChar"/>
    <w:uiPriority w:val="99"/>
    <w:rsid w:val="00F92133"/>
    <w:rPr>
      <w:sz w:val="20"/>
      <w:szCs w:val="20"/>
    </w:rPr>
  </w:style>
  <w:style w:type="paragraph" w:styleId="CommentSubject">
    <w:name w:val="annotation subject"/>
    <w:basedOn w:val="CommentText"/>
    <w:next w:val="CommentText"/>
    <w:semiHidden/>
    <w:rsid w:val="00F92133"/>
    <w:rPr>
      <w:b/>
      <w:bCs/>
    </w:rPr>
  </w:style>
  <w:style w:type="character" w:styleId="Hyperlink">
    <w:name w:val="Hyperlink"/>
    <w:rsid w:val="00F92133"/>
    <w:rPr>
      <w:color w:val="0000FF"/>
      <w:u w:val="single"/>
    </w:rPr>
  </w:style>
  <w:style w:type="paragraph" w:customStyle="1" w:styleId="Parastais1">
    <w:name w:val="Parastais1"/>
    <w:qFormat/>
    <w:rsid w:val="00972051"/>
    <w:rPr>
      <w:sz w:val="24"/>
      <w:szCs w:val="24"/>
    </w:rPr>
  </w:style>
  <w:style w:type="table" w:styleId="TableGrid">
    <w:name w:val="Table Grid"/>
    <w:basedOn w:val="TableNormal"/>
    <w:uiPriority w:val="59"/>
    <w:rsid w:val="005D7E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7789B"/>
    <w:pPr>
      <w:spacing w:before="75" w:after="75"/>
      <w:jc w:val="right"/>
    </w:pPr>
  </w:style>
  <w:style w:type="paragraph" w:styleId="Subtitle">
    <w:name w:val="Subtitle"/>
    <w:basedOn w:val="Normal"/>
    <w:next w:val="Normal"/>
    <w:link w:val="SubtitleChar"/>
    <w:qFormat/>
    <w:rsid w:val="00BB2B33"/>
    <w:pPr>
      <w:spacing w:after="60"/>
      <w:jc w:val="center"/>
      <w:outlineLvl w:val="1"/>
    </w:pPr>
    <w:rPr>
      <w:rFonts w:ascii="Cambria" w:hAnsi="Cambria"/>
      <w:lang w:val="x-none" w:eastAsia="x-none"/>
    </w:rPr>
  </w:style>
  <w:style w:type="character" w:customStyle="1" w:styleId="SubtitleChar">
    <w:name w:val="Subtitle Char"/>
    <w:link w:val="Subtitle"/>
    <w:rsid w:val="00BB2B33"/>
    <w:rPr>
      <w:rFonts w:ascii="Cambria" w:eastAsia="Times New Roman" w:hAnsi="Cambria" w:cs="Times New Roman"/>
      <w:sz w:val="24"/>
      <w:szCs w:val="24"/>
    </w:rPr>
  </w:style>
  <w:style w:type="character" w:customStyle="1" w:styleId="CommentTextChar">
    <w:name w:val="Comment Text Char"/>
    <w:link w:val="CommentText"/>
    <w:uiPriority w:val="99"/>
    <w:rsid w:val="00297EF9"/>
  </w:style>
  <w:style w:type="paragraph" w:styleId="NoSpacing">
    <w:name w:val="No Spacing"/>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Normal"/>
    <w:rsid w:val="00D80265"/>
    <w:pPr>
      <w:spacing w:before="100" w:beforeAutospacing="1" w:after="100" w:afterAutospacing="1"/>
    </w:pPr>
  </w:style>
  <w:style w:type="character" w:customStyle="1" w:styleId="tvhtml1">
    <w:name w:val="tv_html1"/>
    <w:rsid w:val="00D80265"/>
  </w:style>
  <w:style w:type="paragraph" w:styleId="FootnoteText">
    <w:name w:val="footnote text"/>
    <w:basedOn w:val="Normal"/>
    <w:link w:val="FootnoteTextChar"/>
    <w:uiPriority w:val="99"/>
    <w:rsid w:val="00D80265"/>
    <w:rPr>
      <w:sz w:val="20"/>
      <w:szCs w:val="20"/>
      <w:lang w:val="x-none" w:eastAsia="en-US"/>
    </w:rPr>
  </w:style>
  <w:style w:type="character" w:customStyle="1" w:styleId="FootnoteTextChar">
    <w:name w:val="Footnote Text Char"/>
    <w:link w:val="FootnoteText"/>
    <w:uiPriority w:val="99"/>
    <w:rsid w:val="00D80265"/>
    <w:rPr>
      <w:lang w:eastAsia="en-US"/>
    </w:rPr>
  </w:style>
  <w:style w:type="character" w:customStyle="1" w:styleId="FooterChar">
    <w:name w:val="Footer Char"/>
    <w:link w:val="Footer"/>
    <w:uiPriority w:val="99"/>
    <w:rsid w:val="00F53C71"/>
    <w:rPr>
      <w:sz w:val="24"/>
      <w:szCs w:val="24"/>
    </w:rPr>
  </w:style>
  <w:style w:type="character" w:customStyle="1" w:styleId="Heading1Char">
    <w:name w:val="Heading 1 Char"/>
    <w:link w:val="Heading1"/>
    <w:uiPriority w:val="99"/>
    <w:rsid w:val="005224E4"/>
    <w:rPr>
      <w:sz w:val="28"/>
      <w:szCs w:val="24"/>
      <w:lang w:eastAsia="en-US"/>
    </w:rPr>
  </w:style>
  <w:style w:type="paragraph" w:customStyle="1" w:styleId="tv9008792">
    <w:name w:val="tv900_87_92"/>
    <w:basedOn w:val="Normal"/>
    <w:rsid w:val="005224E4"/>
    <w:pPr>
      <w:spacing w:before="100" w:beforeAutospacing="1" w:after="100" w:afterAutospacing="1"/>
    </w:pPr>
  </w:style>
  <w:style w:type="paragraph" w:styleId="NormalWeb">
    <w:name w:val="Normal (Web)"/>
    <w:basedOn w:val="Normal"/>
    <w:uiPriority w:val="99"/>
    <w:rsid w:val="005224E4"/>
    <w:pPr>
      <w:spacing w:before="100" w:beforeAutospacing="1" w:after="100" w:afterAutospacing="1"/>
    </w:pPr>
    <w:rPr>
      <w:rFonts w:ascii="Arial Unicode MS" w:eastAsia="Calibri" w:hAnsi="Arial Unicode MS" w:cs="Arial Unicode MS"/>
      <w:lang w:val="en-GB" w:eastAsia="en-US"/>
    </w:rPr>
  </w:style>
  <w:style w:type="paragraph" w:customStyle="1" w:styleId="tv213">
    <w:name w:val="tv213"/>
    <w:basedOn w:val="Normal"/>
    <w:rsid w:val="005224E4"/>
    <w:pPr>
      <w:spacing w:before="100" w:beforeAutospacing="1" w:after="100" w:afterAutospacing="1"/>
    </w:pPr>
  </w:style>
  <w:style w:type="paragraph" w:styleId="ListParagraph">
    <w:name w:val="List Paragraph"/>
    <w:basedOn w:val="Normal"/>
    <w:uiPriority w:val="34"/>
    <w:qFormat/>
    <w:rsid w:val="007B3022"/>
    <w:pPr>
      <w:ind w:left="720"/>
    </w:pPr>
    <w:rPr>
      <w:rFonts w:eastAsia="Calibri"/>
    </w:rPr>
  </w:style>
  <w:style w:type="paragraph" w:customStyle="1" w:styleId="nais1">
    <w:name w:val="nais1"/>
    <w:basedOn w:val="Normal"/>
    <w:rsid w:val="00967778"/>
    <w:pPr>
      <w:spacing w:before="100" w:beforeAutospacing="1" w:after="100" w:afterAutospacing="1"/>
    </w:pPr>
  </w:style>
  <w:style w:type="paragraph" w:customStyle="1" w:styleId="tv20687921">
    <w:name w:val="tv206_87_921"/>
    <w:basedOn w:val="Normal"/>
    <w:uiPriority w:val="99"/>
    <w:rsid w:val="002767C3"/>
    <w:pPr>
      <w:spacing w:before="480" w:after="240" w:line="360" w:lineRule="auto"/>
      <w:ind w:firstLine="300"/>
      <w:jc w:val="right"/>
    </w:pPr>
    <w:rPr>
      <w:rFonts w:ascii="Verdana" w:eastAsia="Calibri" w:hAnsi="Verdana"/>
      <w:sz w:val="18"/>
      <w:szCs w:val="18"/>
    </w:rPr>
  </w:style>
  <w:style w:type="character" w:styleId="FootnoteReference">
    <w:name w:val="footnote reference"/>
    <w:uiPriority w:val="99"/>
    <w:unhideWhenUsed/>
    <w:rsid w:val="000B7DA3"/>
    <w:rPr>
      <w:vertAlign w:val="superscript"/>
    </w:rPr>
  </w:style>
  <w:style w:type="character" w:customStyle="1" w:styleId="Heading2Char">
    <w:name w:val="Heading 2 Char"/>
    <w:link w:val="Heading2"/>
    <w:semiHidden/>
    <w:rsid w:val="00621DA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3955">
      <w:bodyDiv w:val="1"/>
      <w:marLeft w:val="0"/>
      <w:marRight w:val="0"/>
      <w:marTop w:val="0"/>
      <w:marBottom w:val="0"/>
      <w:divBdr>
        <w:top w:val="none" w:sz="0" w:space="0" w:color="auto"/>
        <w:left w:val="none" w:sz="0" w:space="0" w:color="auto"/>
        <w:bottom w:val="none" w:sz="0" w:space="0" w:color="auto"/>
        <w:right w:val="none" w:sz="0" w:space="0" w:color="auto"/>
      </w:divBdr>
    </w:div>
    <w:div w:id="1535728108">
      <w:bodyDiv w:val="1"/>
      <w:marLeft w:val="0"/>
      <w:marRight w:val="0"/>
      <w:marTop w:val="0"/>
      <w:marBottom w:val="0"/>
      <w:divBdr>
        <w:top w:val="none" w:sz="0" w:space="0" w:color="auto"/>
        <w:left w:val="none" w:sz="0" w:space="0" w:color="auto"/>
        <w:bottom w:val="none" w:sz="0" w:space="0" w:color="auto"/>
        <w:right w:val="none" w:sz="0" w:space="0" w:color="auto"/>
      </w:divBdr>
    </w:div>
    <w:div w:id="20512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5E30-1EF0-46C9-BC74-DD5E246E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1116</Words>
  <Characters>7773</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Ministru kabineta noteikumu projekts „Grozījumi Ministru kabineta 2012.gada 29.maija noteikumos Nr.381 „Valsts atbalsta piešķiršanas kārtība lauksaimniecībā izmantojamās zemes iegādei lauksaimniecības produkcijas ražošanai””</vt:lpstr>
    </vt:vector>
  </TitlesOfParts>
  <Company>Ekonomikas ministrija</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"Altum" kapitāla nodrošināšanu 4.2.1.1.pasākuma ietvaros</dc:subject>
  <dc:creator>Dainis Selickis</dc:creator>
  <dc:description>Dainis.Selickis@em.gov.lv, 67013161</dc:description>
  <cp:lastModifiedBy>Evita Valgača</cp:lastModifiedBy>
  <cp:revision>4</cp:revision>
  <cp:lastPrinted>2020-03-12T11:18:00Z</cp:lastPrinted>
  <dcterms:created xsi:type="dcterms:W3CDTF">2020-03-30T13:37:00Z</dcterms:created>
  <dcterms:modified xsi:type="dcterms:W3CDTF">2020-04-14T11:46:00Z</dcterms:modified>
</cp:coreProperties>
</file>