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0A3A" w14:textId="240FDFE1" w:rsidR="0016146F" w:rsidRPr="00FB6CEA" w:rsidRDefault="0016146F" w:rsidP="009C2B49">
      <w:pPr>
        <w:shd w:val="clear" w:color="auto" w:fill="FFFFFF"/>
        <w:jc w:val="center"/>
        <w:rPr>
          <w:b/>
          <w:bCs/>
          <w:iCs/>
          <w:spacing w:val="-2"/>
          <w:sz w:val="28"/>
          <w:lang w:eastAsia="lv-LV"/>
        </w:rPr>
      </w:pPr>
      <w:r w:rsidRPr="00FB6CEA">
        <w:rPr>
          <w:b/>
          <w:bCs/>
          <w:iCs/>
          <w:spacing w:val="-2"/>
          <w:sz w:val="28"/>
          <w:lang w:eastAsia="lv-LV"/>
        </w:rPr>
        <w:t>Galvojuma līguma Eiropas Savienības atbalsta instrumentā "Bezdarba risku mazināšanai ārkārtas situācijā (SURE)"</w:t>
      </w:r>
    </w:p>
    <w:p w14:paraId="44F7495D" w14:textId="100C7DBA" w:rsidR="009C2B49" w:rsidRPr="00FB6CEA" w:rsidRDefault="00763A74" w:rsidP="009C2B49">
      <w:pPr>
        <w:shd w:val="clear" w:color="auto" w:fill="FFFFFF"/>
        <w:jc w:val="center"/>
        <w:rPr>
          <w:b/>
          <w:bCs/>
          <w:spacing w:val="-2"/>
          <w:sz w:val="28"/>
          <w:lang w:eastAsia="lv-LV"/>
        </w:rPr>
      </w:pPr>
      <w:r w:rsidRPr="00FB6CEA">
        <w:rPr>
          <w:b/>
          <w:bCs/>
          <w:iCs/>
          <w:spacing w:val="-2"/>
          <w:sz w:val="28"/>
          <w:lang w:eastAsia="lv-LV"/>
        </w:rPr>
        <w:t>projekta</w:t>
      </w:r>
      <w:r w:rsidRPr="00FB6CEA">
        <w:rPr>
          <w:b/>
          <w:bCs/>
          <w:spacing w:val="-2"/>
          <w:sz w:val="28"/>
          <w:lang w:eastAsia="lv-LV"/>
        </w:rPr>
        <w:t xml:space="preserve"> </w:t>
      </w:r>
      <w:r w:rsidR="009C2B49" w:rsidRPr="00FB6CEA">
        <w:rPr>
          <w:b/>
          <w:bCs/>
          <w:spacing w:val="-2"/>
          <w:sz w:val="28"/>
          <w:lang w:eastAsia="lv-LV"/>
        </w:rPr>
        <w:t>sākotnējās ietekmes novērtējuma ziņojums (anotācija)</w:t>
      </w:r>
    </w:p>
    <w:p w14:paraId="5DC65A76" w14:textId="77777777" w:rsidR="009C2B49" w:rsidRPr="00FB6CEA" w:rsidRDefault="009C2B49" w:rsidP="009C2B49">
      <w:pPr>
        <w:shd w:val="clear" w:color="auto" w:fill="FFFFFF"/>
        <w:jc w:val="center"/>
        <w:rPr>
          <w:b/>
          <w:bCs/>
          <w:spacing w:val="-2"/>
          <w:sz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5822"/>
      </w:tblGrid>
      <w:tr w:rsidR="009C2B49" w:rsidRPr="00FB6CEA" w14:paraId="3769C339" w14:textId="77777777" w:rsidTr="009C2B49">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1D894D5E" w14:textId="77777777" w:rsidR="009C2B49" w:rsidRPr="00FB6CEA" w:rsidRDefault="009C2B49">
            <w:pPr>
              <w:rPr>
                <w:b/>
                <w:bCs/>
                <w:iCs/>
                <w:spacing w:val="-2"/>
                <w:lang w:eastAsia="lv-LV"/>
              </w:rPr>
            </w:pPr>
            <w:r w:rsidRPr="00FB6CEA">
              <w:rPr>
                <w:b/>
                <w:bCs/>
                <w:iCs/>
                <w:spacing w:val="-2"/>
                <w:lang w:eastAsia="lv-LV"/>
              </w:rPr>
              <w:t>Tiesību akta projekta anotācijas kopsavilkums</w:t>
            </w:r>
          </w:p>
        </w:tc>
      </w:tr>
      <w:tr w:rsidR="009C2B49" w:rsidRPr="00FB6CEA" w14:paraId="0F8D8A6D" w14:textId="77777777" w:rsidTr="00FB6CEA">
        <w:trPr>
          <w:tblCellSpacing w:w="15" w:type="dxa"/>
        </w:trPr>
        <w:tc>
          <w:tcPr>
            <w:tcW w:w="1718" w:type="pct"/>
            <w:tcBorders>
              <w:top w:val="outset" w:sz="6" w:space="0" w:color="auto"/>
              <w:left w:val="outset" w:sz="6" w:space="0" w:color="auto"/>
              <w:bottom w:val="outset" w:sz="6" w:space="0" w:color="auto"/>
              <w:right w:val="outset" w:sz="6" w:space="0" w:color="auto"/>
            </w:tcBorders>
            <w:hideMark/>
          </w:tcPr>
          <w:p w14:paraId="6F7344C2" w14:textId="77777777" w:rsidR="009C2B49" w:rsidRPr="00FB6CEA" w:rsidRDefault="009C2B49">
            <w:pPr>
              <w:rPr>
                <w:iCs/>
                <w:spacing w:val="-2"/>
                <w:lang w:eastAsia="lv-LV"/>
              </w:rPr>
            </w:pPr>
            <w:r w:rsidRPr="00FB6CEA">
              <w:rPr>
                <w:iCs/>
                <w:spacing w:val="-2"/>
                <w:lang w:eastAsia="lv-LV"/>
              </w:rPr>
              <w:t>Mērķis, risinājums un projekta spēkā stāšanās laiks (500 zīmes bez atstarpēm)</w:t>
            </w:r>
          </w:p>
        </w:tc>
        <w:tc>
          <w:tcPr>
            <w:tcW w:w="3232" w:type="pct"/>
            <w:tcBorders>
              <w:top w:val="outset" w:sz="6" w:space="0" w:color="auto"/>
              <w:left w:val="outset" w:sz="6" w:space="0" w:color="auto"/>
              <w:bottom w:val="outset" w:sz="6" w:space="0" w:color="auto"/>
              <w:right w:val="outset" w:sz="6" w:space="0" w:color="auto"/>
            </w:tcBorders>
            <w:hideMark/>
          </w:tcPr>
          <w:p w14:paraId="3421CBA0" w14:textId="39BC14E9" w:rsidR="009C2B49" w:rsidRPr="00FB6CEA" w:rsidRDefault="0067010D" w:rsidP="00526A63">
            <w:pPr>
              <w:pStyle w:val="ListParagraph"/>
              <w:spacing w:after="0" w:line="240" w:lineRule="auto"/>
              <w:ind w:left="4"/>
              <w:jc w:val="both"/>
              <w:rPr>
                <w:rFonts w:ascii="Times New Roman" w:eastAsia="Times New Roman" w:hAnsi="Times New Roman"/>
                <w:iCs/>
                <w:spacing w:val="-2"/>
                <w:sz w:val="24"/>
                <w:szCs w:val="24"/>
                <w:lang w:val="lv-LV" w:eastAsia="lv-LV"/>
              </w:rPr>
            </w:pPr>
            <w:r w:rsidRPr="00FB6CEA">
              <w:rPr>
                <w:rFonts w:ascii="Times New Roman" w:hAnsi="Times New Roman"/>
                <w:spacing w:val="-2"/>
                <w:sz w:val="24"/>
                <w:szCs w:val="24"/>
                <w:shd w:val="clear" w:color="auto" w:fill="FFFFFF"/>
                <w:lang w:val="lv-LV"/>
              </w:rPr>
              <w:t>Atbilstoši likuma "Par valsts apdraudējuma un tā seku novēršanas un pārvarēšanas pasākumiem sa</w:t>
            </w:r>
            <w:r w:rsidR="00DB158B">
              <w:rPr>
                <w:rFonts w:ascii="Times New Roman" w:hAnsi="Times New Roman"/>
                <w:spacing w:val="-2"/>
                <w:sz w:val="24"/>
                <w:szCs w:val="24"/>
                <w:shd w:val="clear" w:color="auto" w:fill="FFFFFF"/>
                <w:lang w:val="lv-LV"/>
              </w:rPr>
              <w:t>karā ar Covid-19 izplatību" 56.</w:t>
            </w:r>
            <w:r w:rsidRPr="00FB6CEA">
              <w:rPr>
                <w:rFonts w:ascii="Times New Roman" w:hAnsi="Times New Roman"/>
                <w:spacing w:val="-2"/>
                <w:sz w:val="24"/>
                <w:szCs w:val="24"/>
                <w:shd w:val="clear" w:color="auto" w:fill="FFFFFF"/>
                <w:lang w:val="lv-LV"/>
              </w:rPr>
              <w:t>pantā noteiktajam,</w:t>
            </w:r>
            <w:r w:rsidR="009B3787">
              <w:rPr>
                <w:rFonts w:ascii="Times New Roman" w:hAnsi="Times New Roman"/>
                <w:spacing w:val="-2"/>
                <w:sz w:val="24"/>
                <w:szCs w:val="24"/>
                <w:shd w:val="clear" w:color="auto" w:fill="FFFFFF"/>
                <w:lang w:val="lv-LV"/>
              </w:rPr>
              <w:t xml:space="preserve"> </w:t>
            </w:r>
            <w:r w:rsidR="009B3787" w:rsidRPr="009B3787">
              <w:rPr>
                <w:rFonts w:ascii="Times New Roman" w:hAnsi="Times New Roman"/>
                <w:spacing w:val="-2"/>
                <w:sz w:val="24"/>
                <w:szCs w:val="24"/>
                <w:shd w:val="clear" w:color="auto" w:fill="FFFFFF"/>
                <w:lang w:val="lv-LV"/>
              </w:rPr>
              <w:t>Ministru Kabinetam ir jāapstiprina galvojuma līgums starp Latvijas Republiku un Eiropas Komisiju</w:t>
            </w:r>
            <w:r w:rsidR="009B3787" w:rsidRPr="00DB158B">
              <w:rPr>
                <w:rFonts w:ascii="Times New Roman" w:hAnsi="Times New Roman"/>
                <w:spacing w:val="-2"/>
                <w:sz w:val="24"/>
                <w:szCs w:val="24"/>
                <w:shd w:val="clear" w:color="auto" w:fill="FFFFFF"/>
                <w:lang w:val="lv-LV"/>
              </w:rPr>
              <w:t xml:space="preserve"> par dalību Eiropas Savienības atbalsta instrumentā "Bezdarba risku mazināšanai ārkārtas situācijā (SURE)"</w:t>
            </w:r>
            <w:r w:rsidR="009B3787" w:rsidRPr="009B3787">
              <w:rPr>
                <w:rFonts w:ascii="Times New Roman" w:hAnsi="Times New Roman"/>
                <w:spacing w:val="-2"/>
                <w:sz w:val="24"/>
                <w:szCs w:val="24"/>
                <w:shd w:val="clear" w:color="auto" w:fill="FFFFFF"/>
                <w:lang w:val="lv-LV"/>
              </w:rPr>
              <w:t>, lai dotu tiesības finanšu ministram to parakstīt.</w:t>
            </w:r>
            <w:r w:rsidRPr="00FB6CEA">
              <w:rPr>
                <w:rFonts w:ascii="Times New Roman" w:hAnsi="Times New Roman"/>
                <w:spacing w:val="-2"/>
                <w:sz w:val="24"/>
                <w:szCs w:val="24"/>
                <w:shd w:val="clear" w:color="auto" w:fill="FFFFFF"/>
                <w:lang w:val="lv-LV"/>
              </w:rPr>
              <w:t xml:space="preserve"> </w:t>
            </w:r>
          </w:p>
        </w:tc>
      </w:tr>
    </w:tbl>
    <w:p w14:paraId="6F6B2445" w14:textId="54B10953" w:rsidR="009C2B49" w:rsidRPr="00FB6CEA" w:rsidRDefault="009C2B49" w:rsidP="009C2B49">
      <w:pPr>
        <w:rPr>
          <w:iCs/>
          <w:spacing w:val="-2"/>
          <w:lang w:eastAsia="lv-LV"/>
        </w:rPr>
      </w:pPr>
      <w:r w:rsidRPr="00FB6CEA">
        <w:rPr>
          <w:iCs/>
          <w:spacing w:val="-2"/>
          <w:lang w:eastAsia="lv-LV"/>
        </w:rPr>
        <w:t xml:space="preserve">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
        <w:gridCol w:w="2676"/>
        <w:gridCol w:w="5800"/>
      </w:tblGrid>
      <w:tr w:rsidR="009C2B49" w:rsidRPr="00FB6CEA" w14:paraId="57CAC36F" w14:textId="77777777" w:rsidTr="009C2B49">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C5B5B4E" w14:textId="77777777" w:rsidR="009C2B49" w:rsidRPr="00FB6CEA" w:rsidRDefault="009C2B49">
            <w:pPr>
              <w:rPr>
                <w:b/>
                <w:bCs/>
                <w:iCs/>
                <w:spacing w:val="-2"/>
                <w:lang w:eastAsia="lv-LV"/>
              </w:rPr>
            </w:pPr>
            <w:r w:rsidRPr="00FB6CEA">
              <w:rPr>
                <w:b/>
                <w:bCs/>
                <w:iCs/>
                <w:spacing w:val="-2"/>
                <w:lang w:eastAsia="lv-LV"/>
              </w:rPr>
              <w:t>I. Tiesību akta projekta izstrādes nepieciešamība</w:t>
            </w:r>
          </w:p>
        </w:tc>
      </w:tr>
      <w:tr w:rsidR="009C2B49" w:rsidRPr="00FB6CEA" w14:paraId="622343D3" w14:textId="77777777" w:rsidTr="009C2B4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18B85C28" w14:textId="77777777" w:rsidR="009C2B49" w:rsidRPr="00FB6CEA" w:rsidRDefault="009C2B49">
            <w:pPr>
              <w:rPr>
                <w:iCs/>
                <w:spacing w:val="-2"/>
                <w:lang w:eastAsia="lv-LV"/>
              </w:rPr>
            </w:pPr>
            <w:r w:rsidRPr="00FB6CEA">
              <w:rPr>
                <w:iCs/>
                <w:spacing w:val="-2"/>
                <w:lang w:eastAsia="lv-LV"/>
              </w:rPr>
              <w:t>1.</w:t>
            </w:r>
          </w:p>
        </w:tc>
        <w:tc>
          <w:tcPr>
            <w:tcW w:w="1501" w:type="pct"/>
            <w:tcBorders>
              <w:top w:val="outset" w:sz="6" w:space="0" w:color="auto"/>
              <w:left w:val="outset" w:sz="6" w:space="0" w:color="auto"/>
              <w:bottom w:val="outset" w:sz="6" w:space="0" w:color="auto"/>
              <w:right w:val="outset" w:sz="6" w:space="0" w:color="auto"/>
            </w:tcBorders>
            <w:hideMark/>
          </w:tcPr>
          <w:p w14:paraId="73B43468" w14:textId="77777777" w:rsidR="009C2B49" w:rsidRPr="00FB6CEA" w:rsidRDefault="009C2B49">
            <w:pPr>
              <w:rPr>
                <w:iCs/>
                <w:spacing w:val="-2"/>
                <w:lang w:eastAsia="lv-LV"/>
              </w:rPr>
            </w:pPr>
            <w:r w:rsidRPr="00FB6CEA">
              <w:rPr>
                <w:iCs/>
                <w:spacing w:val="-2"/>
                <w:lang w:eastAsia="lv-LV"/>
              </w:rPr>
              <w:t>Pamatojums</w:t>
            </w:r>
          </w:p>
        </w:tc>
        <w:tc>
          <w:tcPr>
            <w:tcW w:w="3232" w:type="pct"/>
            <w:tcBorders>
              <w:top w:val="outset" w:sz="6" w:space="0" w:color="auto"/>
              <w:left w:val="outset" w:sz="6" w:space="0" w:color="auto"/>
              <w:bottom w:val="outset" w:sz="6" w:space="0" w:color="auto"/>
              <w:right w:val="outset" w:sz="6" w:space="0" w:color="auto"/>
            </w:tcBorders>
            <w:hideMark/>
          </w:tcPr>
          <w:p w14:paraId="4F99D800" w14:textId="5953FFDC" w:rsidR="00C3205A" w:rsidRDefault="00C3205A" w:rsidP="00C3205A">
            <w:pPr>
              <w:pStyle w:val="NoSpacing"/>
              <w:jc w:val="both"/>
              <w:rPr>
                <w:rFonts w:ascii="Times New Roman" w:hAnsi="Times New Roman" w:cs="Times New Roman"/>
                <w:spacing w:val="-2"/>
              </w:rPr>
            </w:pPr>
            <w:r w:rsidRPr="00CC2608">
              <w:rPr>
                <w:rFonts w:ascii="Times New Roman" w:hAnsi="Times New Roman" w:cs="Times New Roman"/>
                <w:spacing w:val="-2"/>
              </w:rPr>
              <w:t xml:space="preserve">Padomes Regula (ES) 2020/672 (2020. gada 19. maijs), ar ko izveido Eiropas pagaidu atbalsta instrumentu bezdarba risku mazināšanai ārkārtas situācijā (SURE) pēc Covid-19 uzliesmojuma </w:t>
            </w:r>
            <w:r>
              <w:rPr>
                <w:rFonts w:ascii="Times New Roman" w:hAnsi="Times New Roman" w:cs="Times New Roman"/>
                <w:spacing w:val="-2"/>
              </w:rPr>
              <w:t xml:space="preserve">(turpmāk – SURE regula) </w:t>
            </w:r>
            <w:r w:rsidRPr="00CC2608">
              <w:rPr>
                <w:rFonts w:ascii="Times New Roman" w:hAnsi="Times New Roman" w:cs="Times New Roman"/>
                <w:spacing w:val="-2"/>
              </w:rPr>
              <w:t>nosaka, ka lai nodrošinātu iespējamās saistības, kas izriet no Eiropas Komisijas (turpmāk – EK</w:t>
            </w:r>
            <w:r w:rsidR="00E61AF6">
              <w:rPr>
                <w:rFonts w:ascii="Times New Roman" w:hAnsi="Times New Roman" w:cs="Times New Roman"/>
                <w:spacing w:val="-2"/>
              </w:rPr>
              <w:t>) instrumenta</w:t>
            </w:r>
            <w:r w:rsidR="00E61AF6" w:rsidRPr="00CC2608">
              <w:rPr>
                <w:rFonts w:ascii="Times New Roman" w:hAnsi="Times New Roman" w:cs="Times New Roman"/>
                <w:spacing w:val="-2"/>
              </w:rPr>
              <w:t xml:space="preserve"> ietvaros</w:t>
            </w:r>
            <w:r w:rsidR="00E61AF6">
              <w:rPr>
                <w:rFonts w:ascii="Times New Roman" w:hAnsi="Times New Roman" w:cs="Times New Roman"/>
                <w:spacing w:val="-2"/>
              </w:rPr>
              <w:t xml:space="preserve"> izsniegtajiem aizdevumiem (</w:t>
            </w:r>
            <w:r>
              <w:rPr>
                <w:rFonts w:ascii="Times New Roman" w:hAnsi="Times New Roman" w:cs="Times New Roman"/>
                <w:spacing w:val="-2"/>
              </w:rPr>
              <w:t>līdz 100 m</w:t>
            </w:r>
            <w:r w:rsidRPr="00FB6CEA">
              <w:rPr>
                <w:rFonts w:ascii="Times New Roman" w:hAnsi="Times New Roman" w:cs="Times New Roman"/>
                <w:spacing w:val="-2"/>
              </w:rPr>
              <w:t>ljrd. EUR</w:t>
            </w:r>
            <w:r w:rsidR="00E61AF6">
              <w:rPr>
                <w:rFonts w:ascii="Times New Roman" w:hAnsi="Times New Roman" w:cs="Times New Roman"/>
                <w:spacing w:val="-2"/>
              </w:rPr>
              <w:t>)</w:t>
            </w:r>
            <w:r w:rsidRPr="00CC2608">
              <w:rPr>
                <w:rFonts w:ascii="Times New Roman" w:hAnsi="Times New Roman" w:cs="Times New Roman"/>
                <w:spacing w:val="-2"/>
              </w:rPr>
              <w:t xml:space="preserve">, dalībvalstīm ar EK </w:t>
            </w:r>
            <w:r w:rsidR="00E61AF6">
              <w:rPr>
                <w:rFonts w:ascii="Times New Roman" w:hAnsi="Times New Roman" w:cs="Times New Roman"/>
                <w:spacing w:val="-2"/>
              </w:rPr>
              <w:t>ir</w:t>
            </w:r>
            <w:r w:rsidRPr="00CC2608">
              <w:rPr>
                <w:rFonts w:ascii="Times New Roman" w:hAnsi="Times New Roman" w:cs="Times New Roman"/>
                <w:spacing w:val="-2"/>
              </w:rPr>
              <w:t xml:space="preserve"> jāparaksta Garantijas līgums (turpmāk – Līgums)</w:t>
            </w:r>
            <w:r>
              <w:rPr>
                <w:rFonts w:ascii="Times New Roman" w:hAnsi="Times New Roman" w:cs="Times New Roman"/>
                <w:spacing w:val="-2"/>
              </w:rPr>
              <w:t>,</w:t>
            </w:r>
            <w:r w:rsidRPr="00CC2608">
              <w:rPr>
                <w:rFonts w:ascii="Times New Roman" w:hAnsi="Times New Roman" w:cs="Times New Roman"/>
                <w:spacing w:val="-2"/>
              </w:rPr>
              <w:t xml:space="preserve"> </w:t>
            </w:r>
            <w:r w:rsidRPr="00FB6CEA">
              <w:rPr>
                <w:rFonts w:ascii="Times New Roman" w:hAnsi="Times New Roman" w:cs="Times New Roman"/>
                <w:spacing w:val="-2"/>
              </w:rPr>
              <w:t>kopā sniedzot garantiju (galvojumu)</w:t>
            </w:r>
            <w:r>
              <w:rPr>
                <w:rFonts w:ascii="Times New Roman" w:hAnsi="Times New Roman" w:cs="Times New Roman"/>
                <w:spacing w:val="-2"/>
              </w:rPr>
              <w:t xml:space="preserve"> </w:t>
            </w:r>
            <w:r w:rsidR="00E61AF6">
              <w:rPr>
                <w:rFonts w:ascii="Times New Roman" w:hAnsi="Times New Roman" w:cs="Times New Roman"/>
                <w:spacing w:val="-2"/>
              </w:rPr>
              <w:t xml:space="preserve">                      </w:t>
            </w:r>
            <w:r>
              <w:rPr>
                <w:rFonts w:ascii="Times New Roman" w:hAnsi="Times New Roman" w:cs="Times New Roman"/>
                <w:spacing w:val="-2"/>
              </w:rPr>
              <w:t>25 m</w:t>
            </w:r>
            <w:r w:rsidRPr="00FB6CEA">
              <w:rPr>
                <w:rFonts w:ascii="Times New Roman" w:hAnsi="Times New Roman" w:cs="Times New Roman"/>
                <w:spacing w:val="-2"/>
              </w:rPr>
              <w:t>ljrd.</w:t>
            </w:r>
            <w:r w:rsidR="00E61AF6">
              <w:rPr>
                <w:rFonts w:ascii="Times New Roman" w:hAnsi="Times New Roman" w:cs="Times New Roman"/>
                <w:spacing w:val="-2"/>
              </w:rPr>
              <w:t xml:space="preserve"> </w:t>
            </w:r>
            <w:r w:rsidRPr="00FB6CEA">
              <w:rPr>
                <w:rFonts w:ascii="Times New Roman" w:hAnsi="Times New Roman" w:cs="Times New Roman"/>
                <w:spacing w:val="-2"/>
              </w:rPr>
              <w:t>EUR apmērā</w:t>
            </w:r>
            <w:r>
              <w:rPr>
                <w:rFonts w:ascii="Times New Roman" w:hAnsi="Times New Roman" w:cs="Times New Roman"/>
                <w:spacing w:val="-2"/>
              </w:rPr>
              <w:t>.</w:t>
            </w:r>
          </w:p>
          <w:p w14:paraId="634B7DBA" w14:textId="079891F0" w:rsidR="009C2B49" w:rsidRPr="00526A63" w:rsidRDefault="00C3205A" w:rsidP="0018386B">
            <w:pPr>
              <w:pStyle w:val="NoSpacing"/>
              <w:jc w:val="both"/>
              <w:rPr>
                <w:rFonts w:ascii="Times New Roman" w:hAnsi="Times New Roman" w:cs="Times New Roman"/>
                <w:spacing w:val="-2"/>
              </w:rPr>
            </w:pPr>
            <w:r w:rsidRPr="00CC2608">
              <w:rPr>
                <w:rFonts w:ascii="Times New Roman" w:hAnsi="Times New Roman" w:cs="Times New Roman"/>
                <w:spacing w:val="-2"/>
              </w:rPr>
              <w:t>Likuma "Par valsts apdraudējuma un tā seku novēršanas un pārvarēšanas pasākumiem sa</w:t>
            </w:r>
            <w:r>
              <w:rPr>
                <w:rFonts w:ascii="Times New Roman" w:hAnsi="Times New Roman" w:cs="Times New Roman"/>
                <w:spacing w:val="-2"/>
              </w:rPr>
              <w:t>karā ar Covid-19 izplatību" 56.</w:t>
            </w:r>
            <w:r w:rsidRPr="00CC2608">
              <w:rPr>
                <w:rFonts w:ascii="Times New Roman" w:hAnsi="Times New Roman" w:cs="Times New Roman"/>
                <w:spacing w:val="-2"/>
              </w:rPr>
              <w:t xml:space="preserve">pants nosaka, ka Finanšu ministram ir tiesības parakstīt Latvijas Republikas vārdā galvojuma līgumu ar </w:t>
            </w:r>
            <w:r>
              <w:rPr>
                <w:rFonts w:ascii="Times New Roman" w:hAnsi="Times New Roman" w:cs="Times New Roman"/>
                <w:spacing w:val="-2"/>
              </w:rPr>
              <w:t>EK</w:t>
            </w:r>
            <w:r w:rsidRPr="00CC2608">
              <w:rPr>
                <w:rFonts w:ascii="Times New Roman" w:hAnsi="Times New Roman" w:cs="Times New Roman"/>
                <w:spacing w:val="-2"/>
              </w:rPr>
              <w:t xml:space="preserve"> par dalību Eiropas Savienības atbalsta instrumentā </w:t>
            </w:r>
            <w:r w:rsidRPr="00F25257">
              <w:rPr>
                <w:rFonts w:ascii="Times New Roman" w:hAnsi="Times New Roman" w:cs="Times New Roman"/>
                <w:bCs/>
                <w:iCs/>
                <w:spacing w:val="-2"/>
              </w:rPr>
              <w:t xml:space="preserve">"Bezdarba risku mazināšanai ārkārtas situācijā (SURE)" </w:t>
            </w:r>
            <w:r>
              <w:rPr>
                <w:rFonts w:ascii="Times New Roman" w:hAnsi="Times New Roman" w:cs="Times New Roman"/>
                <w:bCs/>
                <w:iCs/>
                <w:spacing w:val="-2"/>
              </w:rPr>
              <w:t xml:space="preserve">(turpmāk – SURE instruments) </w:t>
            </w:r>
            <w:r w:rsidRPr="00CC2608">
              <w:rPr>
                <w:rFonts w:ascii="Times New Roman" w:hAnsi="Times New Roman" w:cs="Times New Roman"/>
                <w:spacing w:val="-2"/>
              </w:rPr>
              <w:t>pēc tam, kad Ministru Kabinets ir atbalstījis galvojuma līgumu.</w:t>
            </w:r>
          </w:p>
        </w:tc>
      </w:tr>
      <w:tr w:rsidR="009C2B49" w:rsidRPr="00FB6CEA" w14:paraId="1A378F4B" w14:textId="77777777" w:rsidTr="009C2B4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DEDEE22" w14:textId="77777777" w:rsidR="009C2B49" w:rsidRPr="00FB6CEA" w:rsidRDefault="009C2B49">
            <w:pPr>
              <w:rPr>
                <w:iCs/>
                <w:spacing w:val="-2"/>
                <w:lang w:eastAsia="lv-LV"/>
              </w:rPr>
            </w:pPr>
            <w:r w:rsidRPr="00FB6CEA">
              <w:rPr>
                <w:iCs/>
                <w:spacing w:val="-2"/>
                <w:lang w:eastAsia="lv-LV"/>
              </w:rPr>
              <w:t>2.</w:t>
            </w:r>
          </w:p>
        </w:tc>
        <w:tc>
          <w:tcPr>
            <w:tcW w:w="1501" w:type="pct"/>
            <w:tcBorders>
              <w:top w:val="outset" w:sz="6" w:space="0" w:color="auto"/>
              <w:left w:val="outset" w:sz="6" w:space="0" w:color="auto"/>
              <w:bottom w:val="outset" w:sz="6" w:space="0" w:color="auto"/>
              <w:right w:val="outset" w:sz="6" w:space="0" w:color="auto"/>
            </w:tcBorders>
          </w:tcPr>
          <w:p w14:paraId="2BD5918D" w14:textId="77777777" w:rsidR="009C2B49" w:rsidRPr="00FB6CEA" w:rsidRDefault="009C2B49">
            <w:pPr>
              <w:rPr>
                <w:iCs/>
                <w:spacing w:val="-2"/>
                <w:lang w:eastAsia="lv-LV"/>
              </w:rPr>
            </w:pPr>
            <w:r w:rsidRPr="00FB6CEA">
              <w:rPr>
                <w:iCs/>
                <w:spacing w:val="-2"/>
                <w:lang w:eastAsia="lv-LV"/>
              </w:rPr>
              <w:t>Pašreizējā situācija un problēmas, kuru risināšanai tiesību akta projekts izstrādāts, tiesiskā regulējuma mērķis un būtība</w:t>
            </w:r>
          </w:p>
          <w:p w14:paraId="3B3DAA29" w14:textId="77777777" w:rsidR="009C2B49" w:rsidRPr="00FB6CEA" w:rsidRDefault="009C2B49">
            <w:pPr>
              <w:rPr>
                <w:spacing w:val="-2"/>
                <w:lang w:eastAsia="lv-LV"/>
              </w:rPr>
            </w:pPr>
          </w:p>
          <w:p w14:paraId="47B5BBDD" w14:textId="77777777" w:rsidR="009C2B49" w:rsidRPr="00FB6CEA" w:rsidRDefault="009C2B49">
            <w:pPr>
              <w:rPr>
                <w:spacing w:val="-2"/>
                <w:lang w:eastAsia="lv-LV"/>
              </w:rPr>
            </w:pPr>
          </w:p>
          <w:p w14:paraId="21F4E661" w14:textId="77777777" w:rsidR="009C2B49" w:rsidRPr="00FB6CEA" w:rsidRDefault="009C2B49">
            <w:pPr>
              <w:rPr>
                <w:spacing w:val="-2"/>
                <w:lang w:eastAsia="lv-LV"/>
              </w:rPr>
            </w:pPr>
          </w:p>
          <w:p w14:paraId="4B36C997" w14:textId="77777777" w:rsidR="009C2B49" w:rsidRPr="00FB6CEA" w:rsidRDefault="009C2B49">
            <w:pPr>
              <w:rPr>
                <w:spacing w:val="-2"/>
                <w:lang w:eastAsia="lv-LV"/>
              </w:rPr>
            </w:pPr>
          </w:p>
          <w:p w14:paraId="0FE08218" w14:textId="77777777" w:rsidR="009C2B49" w:rsidRPr="00FB6CEA" w:rsidRDefault="009C2B49">
            <w:pPr>
              <w:rPr>
                <w:spacing w:val="-2"/>
                <w:lang w:eastAsia="lv-LV"/>
              </w:rPr>
            </w:pPr>
          </w:p>
          <w:p w14:paraId="32EB9D33" w14:textId="77777777" w:rsidR="009C2B49" w:rsidRPr="00FB6CEA" w:rsidRDefault="009C2B49">
            <w:pPr>
              <w:rPr>
                <w:spacing w:val="-2"/>
                <w:lang w:eastAsia="lv-LV"/>
              </w:rPr>
            </w:pPr>
          </w:p>
          <w:p w14:paraId="13FA7623" w14:textId="77777777" w:rsidR="009C2B49" w:rsidRPr="00FB6CEA" w:rsidRDefault="009C2B49">
            <w:pPr>
              <w:rPr>
                <w:spacing w:val="-2"/>
                <w:lang w:eastAsia="lv-LV"/>
              </w:rPr>
            </w:pPr>
          </w:p>
          <w:p w14:paraId="0A92D092" w14:textId="77777777" w:rsidR="009C2B49" w:rsidRPr="00FB6CEA" w:rsidRDefault="009C2B49">
            <w:pPr>
              <w:rPr>
                <w:spacing w:val="-2"/>
                <w:lang w:eastAsia="lv-LV"/>
              </w:rPr>
            </w:pPr>
          </w:p>
          <w:p w14:paraId="3D5818D4" w14:textId="77777777" w:rsidR="009C2B49" w:rsidRPr="00FB6CEA" w:rsidRDefault="009C2B49">
            <w:pPr>
              <w:rPr>
                <w:spacing w:val="-2"/>
                <w:lang w:eastAsia="lv-LV"/>
              </w:rPr>
            </w:pPr>
          </w:p>
          <w:p w14:paraId="77BD41CC" w14:textId="77777777" w:rsidR="009C2B49" w:rsidRPr="00FB6CEA" w:rsidRDefault="009C2B49">
            <w:pPr>
              <w:rPr>
                <w:spacing w:val="-2"/>
                <w:lang w:eastAsia="lv-LV"/>
              </w:rPr>
            </w:pPr>
          </w:p>
          <w:p w14:paraId="32922592" w14:textId="77777777" w:rsidR="009C2B49" w:rsidRPr="00FB6CEA" w:rsidRDefault="009C2B49">
            <w:pPr>
              <w:rPr>
                <w:spacing w:val="-2"/>
                <w:lang w:eastAsia="lv-LV"/>
              </w:rPr>
            </w:pPr>
          </w:p>
          <w:p w14:paraId="2BB832A0" w14:textId="77777777" w:rsidR="009C2B49" w:rsidRPr="00FB6CEA" w:rsidRDefault="009C2B49">
            <w:pPr>
              <w:rPr>
                <w:spacing w:val="-2"/>
                <w:lang w:eastAsia="lv-LV"/>
              </w:rPr>
            </w:pPr>
          </w:p>
          <w:p w14:paraId="547ADCC5" w14:textId="77777777" w:rsidR="009C2B49" w:rsidRPr="00FB6CEA" w:rsidRDefault="009C2B49">
            <w:pPr>
              <w:rPr>
                <w:spacing w:val="-2"/>
                <w:lang w:eastAsia="lv-LV"/>
              </w:rPr>
            </w:pPr>
          </w:p>
          <w:p w14:paraId="087457B3" w14:textId="77777777" w:rsidR="009C2B49" w:rsidRPr="00FB6CEA" w:rsidRDefault="009C2B49">
            <w:pPr>
              <w:rPr>
                <w:spacing w:val="-2"/>
                <w:lang w:eastAsia="lv-LV"/>
              </w:rPr>
            </w:pPr>
          </w:p>
          <w:p w14:paraId="7255113E" w14:textId="77777777" w:rsidR="009C2B49" w:rsidRPr="00FB6CEA" w:rsidRDefault="009C2B49">
            <w:pPr>
              <w:rPr>
                <w:spacing w:val="-2"/>
                <w:lang w:eastAsia="lv-LV"/>
              </w:rPr>
            </w:pPr>
          </w:p>
          <w:p w14:paraId="44835F99" w14:textId="77777777" w:rsidR="009C2B49" w:rsidRPr="00FB6CEA" w:rsidRDefault="009C2B49">
            <w:pPr>
              <w:rPr>
                <w:spacing w:val="-2"/>
                <w:lang w:eastAsia="lv-LV"/>
              </w:rPr>
            </w:pPr>
          </w:p>
          <w:p w14:paraId="7EF755F5" w14:textId="77777777" w:rsidR="009C2B49" w:rsidRPr="00FB6CEA" w:rsidRDefault="009C2B49">
            <w:pPr>
              <w:rPr>
                <w:spacing w:val="-2"/>
                <w:lang w:eastAsia="lv-LV"/>
              </w:rPr>
            </w:pPr>
          </w:p>
          <w:p w14:paraId="71A98EFD" w14:textId="77777777" w:rsidR="009C2B49" w:rsidRPr="00FB6CEA" w:rsidRDefault="009C2B49">
            <w:pPr>
              <w:rPr>
                <w:spacing w:val="-2"/>
                <w:lang w:eastAsia="lv-LV"/>
              </w:rPr>
            </w:pPr>
          </w:p>
        </w:tc>
        <w:tc>
          <w:tcPr>
            <w:tcW w:w="3232" w:type="pct"/>
            <w:tcBorders>
              <w:top w:val="outset" w:sz="6" w:space="0" w:color="auto"/>
              <w:left w:val="outset" w:sz="6" w:space="0" w:color="auto"/>
              <w:bottom w:val="outset" w:sz="6" w:space="0" w:color="auto"/>
              <w:right w:val="outset" w:sz="6" w:space="0" w:color="auto"/>
            </w:tcBorders>
          </w:tcPr>
          <w:p w14:paraId="27AF5E6F" w14:textId="486681C0" w:rsidR="00CD363B" w:rsidRDefault="00CD363B" w:rsidP="00FB6CEA">
            <w:pPr>
              <w:pStyle w:val="NoSpacing"/>
              <w:jc w:val="both"/>
              <w:rPr>
                <w:rFonts w:ascii="Times New Roman" w:hAnsi="Times New Roman" w:cs="Times New Roman"/>
                <w:bCs/>
              </w:rPr>
            </w:pPr>
            <w:r w:rsidRPr="00526A63">
              <w:rPr>
                <w:rFonts w:ascii="Times New Roman" w:hAnsi="Times New Roman" w:cs="Times New Roman"/>
                <w:bCs/>
              </w:rPr>
              <w:lastRenderedPageBreak/>
              <w:t>SURE instruments kļūs pieejams un sāks pilnībā darboties tikai pēc tam, kad visas E</w:t>
            </w:r>
            <w:r w:rsidR="002C0CE1">
              <w:rPr>
                <w:rFonts w:ascii="Times New Roman" w:hAnsi="Times New Roman" w:cs="Times New Roman"/>
                <w:bCs/>
              </w:rPr>
              <w:t xml:space="preserve">iropas </w:t>
            </w:r>
            <w:r w:rsidRPr="00526A63">
              <w:rPr>
                <w:rFonts w:ascii="Times New Roman" w:hAnsi="Times New Roman" w:cs="Times New Roman"/>
                <w:bCs/>
              </w:rPr>
              <w:t>S</w:t>
            </w:r>
            <w:r w:rsidR="002C0CE1">
              <w:rPr>
                <w:rFonts w:ascii="Times New Roman" w:hAnsi="Times New Roman" w:cs="Times New Roman"/>
                <w:bCs/>
              </w:rPr>
              <w:t xml:space="preserve">avienības </w:t>
            </w:r>
            <w:r w:rsidR="002C0CE1">
              <w:rPr>
                <w:rFonts w:ascii="Times New Roman" w:hAnsi="Times New Roman" w:cs="Times New Roman"/>
                <w:spacing w:val="-2"/>
              </w:rPr>
              <w:t>(turpmāk – ES)</w:t>
            </w:r>
            <w:r w:rsidR="002C0CE1" w:rsidRPr="00FB6CEA">
              <w:rPr>
                <w:rFonts w:ascii="Times New Roman" w:hAnsi="Times New Roman" w:cs="Times New Roman"/>
                <w:spacing w:val="-2"/>
              </w:rPr>
              <w:t xml:space="preserve"> </w:t>
            </w:r>
            <w:r w:rsidRPr="00526A63">
              <w:rPr>
                <w:rFonts w:ascii="Times New Roman" w:hAnsi="Times New Roman" w:cs="Times New Roman"/>
                <w:bCs/>
              </w:rPr>
              <w:t xml:space="preserve"> dalībvalstis sniegs vajadzīgās gar</w:t>
            </w:r>
            <w:r w:rsidR="002C0CE1">
              <w:rPr>
                <w:rFonts w:ascii="Times New Roman" w:hAnsi="Times New Roman" w:cs="Times New Roman"/>
                <w:bCs/>
              </w:rPr>
              <w:t>antijas, parakstot Līgumu ar EK,</w:t>
            </w:r>
            <w:r w:rsidR="002C0CE1" w:rsidRPr="002C0CE1">
              <w:rPr>
                <w:rFonts w:ascii="Times New Roman" w:hAnsi="Times New Roman" w:cs="Times New Roman"/>
                <w:bCs/>
              </w:rPr>
              <w:t xml:space="preserve"> līdz ar to, jautājums ir steidzams, lai neaizkavētu instrumenta darbības uzsākšanu </w:t>
            </w:r>
            <w:r w:rsidR="002C0CE1">
              <w:rPr>
                <w:rFonts w:ascii="Times New Roman" w:hAnsi="Times New Roman" w:cs="Times New Roman"/>
                <w:bCs/>
              </w:rPr>
              <w:t>ES</w:t>
            </w:r>
            <w:r w:rsidR="002C0CE1" w:rsidRPr="002C0CE1">
              <w:rPr>
                <w:rFonts w:ascii="Times New Roman" w:hAnsi="Times New Roman" w:cs="Times New Roman"/>
                <w:bCs/>
              </w:rPr>
              <w:t>.</w:t>
            </w:r>
          </w:p>
          <w:p w14:paraId="424DAB6A" w14:textId="0EE2FB22"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 xml:space="preserve">Līgums paredz, ka Latvijas Republika sniedz garantiju (galvojumu) 57 070 750,00 EUR apmērā. Garantijas (galvojuma) apmērs tika aprēķināts, izmantojot katras dalībvalsts proporcionālo daļu no </w:t>
            </w:r>
            <w:r w:rsidR="002C0CE1">
              <w:rPr>
                <w:rFonts w:ascii="Times New Roman" w:hAnsi="Times New Roman" w:cs="Times New Roman"/>
                <w:spacing w:val="-2"/>
              </w:rPr>
              <w:t>ES</w:t>
            </w:r>
            <w:r w:rsidR="00F25257">
              <w:rPr>
                <w:rFonts w:ascii="Times New Roman" w:hAnsi="Times New Roman" w:cs="Times New Roman"/>
                <w:spacing w:val="-2"/>
              </w:rPr>
              <w:t xml:space="preserve"> </w:t>
            </w:r>
            <w:r w:rsidRPr="00FB6CEA">
              <w:rPr>
                <w:rFonts w:ascii="Times New Roman" w:hAnsi="Times New Roman" w:cs="Times New Roman"/>
                <w:spacing w:val="-2"/>
              </w:rPr>
              <w:t>kopējā nacionālā ienākuma, kas Latvijai ir 0,228283%.</w:t>
            </w:r>
          </w:p>
          <w:p w14:paraId="38B5CEE9" w14:textId="2A11FC8B"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Līgums paredz nodrošināt EK finanšu līdzekļus, ja radīsies tāda nepieciešamība, lai tā segtu uzņemtās saistības pēc finanšu līdzekļu piesaistes starptautiskajos finanšu kapitāla tirgos, tādejādi nodrošinot resursus SURE</w:t>
            </w:r>
            <w:r w:rsidR="00F25257">
              <w:rPr>
                <w:rFonts w:ascii="Times New Roman" w:hAnsi="Times New Roman" w:cs="Times New Roman"/>
                <w:spacing w:val="-2"/>
              </w:rPr>
              <w:t xml:space="preserve"> instrumentā</w:t>
            </w:r>
            <w:r w:rsidRPr="00FB6CEA">
              <w:rPr>
                <w:rFonts w:ascii="Times New Roman" w:hAnsi="Times New Roman" w:cs="Times New Roman"/>
                <w:spacing w:val="-2"/>
              </w:rPr>
              <w:t>.</w:t>
            </w:r>
          </w:p>
          <w:p w14:paraId="31CF8C79" w14:textId="34B1A8BB"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 xml:space="preserve">Līgums nosaka, ka dalībvalsts, kura nav izpildījumi saistības (kas var rasties no noslēgtā aizņēmuma vai galvojuma </w:t>
            </w:r>
            <w:r w:rsidRPr="00FB6CEA">
              <w:rPr>
                <w:rFonts w:ascii="Times New Roman" w:hAnsi="Times New Roman" w:cs="Times New Roman"/>
                <w:spacing w:val="-2"/>
              </w:rPr>
              <w:lastRenderedPageBreak/>
              <w:t>līguma) uzņemtas pilnu atbildību par to un saistības paliek spēkā līdz to pilnīgai atmaksai, tomēr galvojuma saistības tiek izsniegtas vienīgi, lai nodrošinātu galvojumu SURE</w:t>
            </w:r>
            <w:r w:rsidR="00F25257">
              <w:rPr>
                <w:rFonts w:ascii="Times New Roman" w:hAnsi="Times New Roman" w:cs="Times New Roman"/>
                <w:spacing w:val="-2"/>
              </w:rPr>
              <w:t xml:space="preserve"> instrumentā</w:t>
            </w:r>
            <w:r w:rsidRPr="00FB6CEA">
              <w:rPr>
                <w:rFonts w:ascii="Times New Roman" w:hAnsi="Times New Roman" w:cs="Times New Roman"/>
                <w:spacing w:val="-2"/>
              </w:rPr>
              <w:t>.</w:t>
            </w:r>
          </w:p>
          <w:p w14:paraId="024CD0E8" w14:textId="77777777" w:rsidR="00FB6CEA" w:rsidRPr="00FB6CEA" w:rsidRDefault="00FB6CEA" w:rsidP="00FB6CEA">
            <w:pPr>
              <w:pStyle w:val="NoSpacing"/>
              <w:jc w:val="both"/>
              <w:rPr>
                <w:rFonts w:ascii="Times New Roman" w:hAnsi="Times New Roman" w:cs="Times New Roman"/>
                <w:spacing w:val="-2"/>
              </w:rPr>
            </w:pPr>
          </w:p>
          <w:p w14:paraId="57F70AAE"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1.nodaļa nosaka:</w:t>
            </w:r>
          </w:p>
          <w:p w14:paraId="3B618A1C" w14:textId="77777777" w:rsidR="00FB6CEA" w:rsidRPr="00FB6CEA" w:rsidRDefault="00FB6CEA" w:rsidP="00FB6CEA">
            <w:pPr>
              <w:pStyle w:val="NoSpacing"/>
              <w:numPr>
                <w:ilvl w:val="0"/>
                <w:numId w:val="10"/>
              </w:numPr>
              <w:jc w:val="both"/>
              <w:rPr>
                <w:rFonts w:ascii="Times New Roman" w:hAnsi="Times New Roman" w:cs="Times New Roman"/>
                <w:spacing w:val="-2"/>
              </w:rPr>
            </w:pPr>
            <w:r w:rsidRPr="00FB6CEA">
              <w:rPr>
                <w:rFonts w:ascii="Times New Roman" w:hAnsi="Times New Roman" w:cs="Times New Roman"/>
                <w:spacing w:val="-2"/>
              </w:rPr>
              <w:t>Latvija Republika apņemas sniegt garantiju (galvojumu) līdz 100 % apmērā no tās proporcionālās daļas, 10 darba dienu laikā pēc EK pieprasījuma.</w:t>
            </w:r>
            <w:r w:rsidRPr="00FB6CEA">
              <w:rPr>
                <w:rFonts w:ascii="Times New Roman" w:hAnsi="Times New Roman" w:cs="Times New Roman"/>
                <w:spacing w:val="-2"/>
              </w:rPr>
              <w:tab/>
            </w:r>
          </w:p>
          <w:p w14:paraId="27FC16EF" w14:textId="77777777" w:rsidR="00FB6CEA" w:rsidRPr="00FB6CEA" w:rsidRDefault="00FB6CEA" w:rsidP="00FB6CEA">
            <w:pPr>
              <w:pStyle w:val="NoSpacing"/>
              <w:numPr>
                <w:ilvl w:val="0"/>
                <w:numId w:val="10"/>
              </w:numPr>
              <w:jc w:val="both"/>
              <w:rPr>
                <w:rFonts w:ascii="Times New Roman" w:hAnsi="Times New Roman" w:cs="Times New Roman"/>
                <w:spacing w:val="-2"/>
              </w:rPr>
            </w:pPr>
            <w:r w:rsidRPr="00FB6CEA">
              <w:rPr>
                <w:rFonts w:ascii="Times New Roman" w:hAnsi="Times New Roman" w:cs="Times New Roman"/>
                <w:spacing w:val="-2"/>
              </w:rPr>
              <w:t>Sniegtā garantija (galvojums) ir neatsaucama un beznosacījuma.</w:t>
            </w:r>
          </w:p>
          <w:p w14:paraId="0D08A299" w14:textId="77777777" w:rsidR="00FB6CEA" w:rsidRPr="00FB6CEA" w:rsidRDefault="00FB6CEA" w:rsidP="00FB6CEA">
            <w:pPr>
              <w:pStyle w:val="NoSpacing"/>
              <w:numPr>
                <w:ilvl w:val="0"/>
                <w:numId w:val="10"/>
              </w:numPr>
              <w:jc w:val="both"/>
              <w:rPr>
                <w:rFonts w:ascii="Times New Roman" w:hAnsi="Times New Roman" w:cs="Times New Roman"/>
                <w:spacing w:val="-2"/>
              </w:rPr>
            </w:pPr>
            <w:r w:rsidRPr="00FB6CEA">
              <w:rPr>
                <w:rFonts w:ascii="Times New Roman" w:hAnsi="Times New Roman" w:cs="Times New Roman"/>
                <w:spacing w:val="-2"/>
              </w:rPr>
              <w:t>Garantija (galvojums) tiek izsniegta SURE aizdevumiem, kuru maksimālais izsniegšanas termiņš ir 2022. gada 31. decembris.</w:t>
            </w:r>
          </w:p>
          <w:p w14:paraId="1F527DE8" w14:textId="77777777" w:rsidR="00FB6CEA" w:rsidRPr="00FB6CEA" w:rsidRDefault="00FB6CEA" w:rsidP="00FB6CEA">
            <w:pPr>
              <w:pStyle w:val="NoSpacing"/>
              <w:numPr>
                <w:ilvl w:val="0"/>
                <w:numId w:val="10"/>
              </w:numPr>
              <w:jc w:val="both"/>
              <w:rPr>
                <w:rFonts w:ascii="Times New Roman" w:hAnsi="Times New Roman" w:cs="Times New Roman"/>
                <w:spacing w:val="-2"/>
              </w:rPr>
            </w:pPr>
            <w:r w:rsidRPr="00FB6CEA">
              <w:rPr>
                <w:rFonts w:ascii="Times New Roman" w:hAnsi="Times New Roman" w:cs="Times New Roman"/>
                <w:spacing w:val="-2"/>
              </w:rPr>
              <w:t xml:space="preserve">EK var pieprasīt veikt vairākus garantijas (galvojumu) saistību izpildes maksājumus, tomēr nevar pārsniegt Līguma 1. pielikumā norādīto maksimālo sniegtās garantijas (galvojuma) apmēru. </w:t>
            </w:r>
          </w:p>
          <w:p w14:paraId="3AB4FB35"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Ja kāda dalībvalsts neveic garantijas (galvojuma) saistību izpildes maksājumu, EK var pieprasīt veikt papildus maksājumu pārējām dalībvalstīm, proporcionāli sadalot nesamaksāto summu, izmantojot jau iepriekš minēto proporcionālo daļu no ES kopējā nacionālā ienākuma, taču aprēķinā neņemot vērā tās dalībvalsts vai dalībvalstu, kas nav veikušas galvojuma maksājumu procentuālās daļu/-</w:t>
            </w:r>
            <w:proofErr w:type="spellStart"/>
            <w:r w:rsidRPr="00FB6CEA">
              <w:rPr>
                <w:rFonts w:ascii="Times New Roman" w:hAnsi="Times New Roman" w:cs="Times New Roman"/>
                <w:spacing w:val="-2"/>
              </w:rPr>
              <w:t>as</w:t>
            </w:r>
            <w:proofErr w:type="spellEnd"/>
            <w:r w:rsidRPr="00FB6CEA">
              <w:rPr>
                <w:rFonts w:ascii="Times New Roman" w:hAnsi="Times New Roman" w:cs="Times New Roman"/>
                <w:spacing w:val="-2"/>
              </w:rPr>
              <w:t>.</w:t>
            </w:r>
          </w:p>
          <w:p w14:paraId="4C15F67F"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Ja netiks pildītas uzņemtās saistības, EK organizēs parādu piedziņas procedūru. Saņemtie līdzekļi, ievērojot proporcijas principu tiks atgriezti dalībvalstīm, kas attiecīgi veica šos garantijas (galvojuma) maksājumus vai papildus pieprasītos garantijas (galvojuma) maksājumus.</w:t>
            </w:r>
          </w:p>
          <w:p w14:paraId="019E429A" w14:textId="20A3B4EC"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r>
            <w:r w:rsidRPr="00420CBC">
              <w:rPr>
                <w:rFonts w:ascii="Times New Roman" w:hAnsi="Times New Roman" w:cs="Times New Roman"/>
                <w:spacing w:val="-2"/>
              </w:rPr>
              <w:t>Latvijai</w:t>
            </w:r>
            <w:r w:rsidRPr="00FB6CEA">
              <w:rPr>
                <w:rFonts w:ascii="Times New Roman" w:hAnsi="Times New Roman" w:cs="Times New Roman"/>
                <w:spacing w:val="-2"/>
              </w:rPr>
              <w:t xml:space="preserve"> nav tiesību samazināt savu maksājumu atbilstoši Līgumam vai veikt ieskaitu par prasībām pret Eiropas Savienību.</w:t>
            </w:r>
          </w:p>
          <w:p w14:paraId="2F6DC6F8" w14:textId="77777777" w:rsidR="00FB6CEA" w:rsidRPr="00FB6CEA" w:rsidRDefault="00FB6CEA" w:rsidP="00FB6CEA">
            <w:pPr>
              <w:pStyle w:val="NoSpacing"/>
              <w:jc w:val="both"/>
              <w:rPr>
                <w:rFonts w:ascii="Times New Roman" w:hAnsi="Times New Roman" w:cs="Times New Roman"/>
                <w:spacing w:val="-2"/>
              </w:rPr>
            </w:pPr>
          </w:p>
          <w:p w14:paraId="2176D457"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2. nodaļa nosaka:</w:t>
            </w:r>
          </w:p>
          <w:p w14:paraId="66BCCE14"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Saistības, kas rodas EK pieprasot garantiju (galvojumu), ir spēkā līdz to pilnīgai atmaksai.</w:t>
            </w:r>
          </w:p>
          <w:p w14:paraId="743ACDDC" w14:textId="5C4C7BB5"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Latvija apņemas, ka pienākumi, kas izriet noslēdzot šo Līgumu, ir līdzvērtīgi pašreizējām, turpmākajām, tiešajām, beznosacījumu un nenodrošinātajām garantijas (galvojuma) devēja saistībām.</w:t>
            </w:r>
          </w:p>
          <w:p w14:paraId="0EF86B5C"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 xml:space="preserve">Regresa prasības administrēšanu (izpildot garantiju (galvojumu)) nodrošinās EK, taču pastāv iespēja neatgūt izveidojušos prasību summu pilnā apmērā. </w:t>
            </w:r>
          </w:p>
          <w:p w14:paraId="6B3B5467" w14:textId="77777777" w:rsidR="00FB6CEA" w:rsidRPr="00FB6CEA" w:rsidRDefault="00FB6CEA" w:rsidP="00FB6CEA">
            <w:pPr>
              <w:pStyle w:val="NoSpacing"/>
              <w:jc w:val="both"/>
              <w:rPr>
                <w:rFonts w:ascii="Times New Roman" w:hAnsi="Times New Roman" w:cs="Times New Roman"/>
                <w:spacing w:val="-2"/>
              </w:rPr>
            </w:pPr>
          </w:p>
          <w:p w14:paraId="5E21E528"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projekta 3. nodaļa nosaka:</w:t>
            </w:r>
          </w:p>
          <w:p w14:paraId="5561258B" w14:textId="23BB1B44"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lastRenderedPageBreak/>
              <w:t>-</w:t>
            </w:r>
            <w:r w:rsidRPr="00FB6CEA">
              <w:rPr>
                <w:rFonts w:ascii="Times New Roman" w:hAnsi="Times New Roman" w:cs="Times New Roman"/>
                <w:spacing w:val="-2"/>
              </w:rPr>
              <w:tab/>
              <w:t xml:space="preserve">EK katru ceturksni informēs par izsniegto SURE </w:t>
            </w:r>
            <w:r w:rsidR="00F25257">
              <w:rPr>
                <w:rFonts w:ascii="Times New Roman" w:hAnsi="Times New Roman" w:cs="Times New Roman"/>
                <w:spacing w:val="-2"/>
              </w:rPr>
              <w:t xml:space="preserve">instrumenta </w:t>
            </w:r>
            <w:r w:rsidRPr="00FB6CEA">
              <w:rPr>
                <w:rFonts w:ascii="Times New Roman" w:hAnsi="Times New Roman" w:cs="Times New Roman"/>
                <w:spacing w:val="-2"/>
              </w:rPr>
              <w:t>aizdevumu prasījumu apmēru un saistībām par piesaistītiem finanšu līdzekļiem.</w:t>
            </w:r>
          </w:p>
          <w:p w14:paraId="0AEA2290"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EK apņemas informēt garantijas (galvojuma) sniedzējus par notikumiem, kas var ietekmēt kāda aizņēmēja spēju segt uzņemtās saistības un var rezultēties nepieciešamībā pieprasīt garantijas (galvojuma) saistību izpildi.</w:t>
            </w:r>
          </w:p>
          <w:p w14:paraId="533C925A" w14:textId="77777777" w:rsidR="00FB6CEA" w:rsidRPr="00FB6CEA" w:rsidRDefault="00FB6CEA" w:rsidP="00FB6CEA">
            <w:pPr>
              <w:pStyle w:val="NoSpacing"/>
              <w:jc w:val="both"/>
              <w:rPr>
                <w:rFonts w:ascii="Times New Roman" w:hAnsi="Times New Roman" w:cs="Times New Roman"/>
                <w:spacing w:val="-2"/>
              </w:rPr>
            </w:pPr>
          </w:p>
          <w:p w14:paraId="55C76EB2"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4. nodaļa nosaka:</w:t>
            </w:r>
          </w:p>
          <w:p w14:paraId="5EEE80FF"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Garantijas (galvojuma) saistību maksājums ir jāveic tikai pēc EK pieprasījuma.</w:t>
            </w:r>
          </w:p>
          <w:p w14:paraId="7ED7AAC6"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Latvijai nav tiesības piešķirt vai nodot garantijas (galvojuma) tiesības, uzņemtās saistības un pienākumus kādai citai pusei.</w:t>
            </w:r>
          </w:p>
          <w:p w14:paraId="32BF5C9A" w14:textId="77777777" w:rsidR="00FB6CEA" w:rsidRPr="00FB6CEA" w:rsidRDefault="00FB6CEA" w:rsidP="00FB6CEA">
            <w:pPr>
              <w:pStyle w:val="NoSpacing"/>
              <w:jc w:val="both"/>
              <w:rPr>
                <w:rFonts w:ascii="Times New Roman" w:hAnsi="Times New Roman" w:cs="Times New Roman"/>
                <w:spacing w:val="-2"/>
              </w:rPr>
            </w:pPr>
          </w:p>
          <w:p w14:paraId="72503E5C"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5. nodaļa nosaka:</w:t>
            </w:r>
          </w:p>
          <w:p w14:paraId="0B753507" w14:textId="6F4365FF"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 xml:space="preserve">Sākot no 2025. gada 31. decembri, ja </w:t>
            </w:r>
            <w:r w:rsidR="00F25257" w:rsidRPr="00FB6CEA">
              <w:rPr>
                <w:rFonts w:ascii="Times New Roman" w:hAnsi="Times New Roman" w:cs="Times New Roman"/>
                <w:spacing w:val="-2"/>
              </w:rPr>
              <w:t>SURE</w:t>
            </w:r>
            <w:r w:rsidR="00F25257">
              <w:rPr>
                <w:rFonts w:ascii="Times New Roman" w:hAnsi="Times New Roman" w:cs="Times New Roman"/>
                <w:spacing w:val="-2"/>
              </w:rPr>
              <w:t xml:space="preserve"> instrumentā</w:t>
            </w:r>
            <w:r w:rsidR="00F25257" w:rsidRPr="00FB6CEA">
              <w:rPr>
                <w:rFonts w:ascii="Times New Roman" w:hAnsi="Times New Roman" w:cs="Times New Roman"/>
                <w:spacing w:val="-2"/>
              </w:rPr>
              <w:t xml:space="preserve"> </w:t>
            </w:r>
            <w:r w:rsidRPr="00FB6CEA">
              <w:rPr>
                <w:rFonts w:ascii="Times New Roman" w:hAnsi="Times New Roman" w:cs="Times New Roman"/>
                <w:spacing w:val="-2"/>
              </w:rPr>
              <w:t>izsniegto aizdevumu atlikums ir mazāks par 25 </w:t>
            </w:r>
            <w:r w:rsidR="00F25257">
              <w:rPr>
                <w:rFonts w:ascii="Times New Roman" w:hAnsi="Times New Roman" w:cs="Times New Roman"/>
                <w:spacing w:val="-2"/>
              </w:rPr>
              <w:t>m</w:t>
            </w:r>
            <w:r w:rsidRPr="00FB6CEA">
              <w:rPr>
                <w:rFonts w:ascii="Times New Roman" w:hAnsi="Times New Roman" w:cs="Times New Roman"/>
                <w:spacing w:val="-2"/>
              </w:rPr>
              <w:t>ljrd. EUR, EK attiecīgi arī samazina pieprasāmo garantiju (galvojumu) apjomu, lai tas būtu vienāds ar aizdevumu atlikumu.</w:t>
            </w:r>
          </w:p>
          <w:p w14:paraId="2A800CB6"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Līgums ir spēkā līdz:</w:t>
            </w:r>
          </w:p>
          <w:p w14:paraId="0D745A51" w14:textId="77777777" w:rsidR="00FB6CEA" w:rsidRPr="00FB6CEA" w:rsidRDefault="00FB6CEA" w:rsidP="00FB6CEA">
            <w:pPr>
              <w:pStyle w:val="NoSpacing"/>
              <w:numPr>
                <w:ilvl w:val="0"/>
                <w:numId w:val="10"/>
              </w:numPr>
              <w:jc w:val="both"/>
              <w:rPr>
                <w:rFonts w:ascii="Times New Roman" w:hAnsi="Times New Roman" w:cs="Times New Roman"/>
                <w:spacing w:val="-2"/>
              </w:rPr>
            </w:pPr>
            <w:r w:rsidRPr="00FB6CEA">
              <w:rPr>
                <w:rFonts w:ascii="Times New Roman" w:hAnsi="Times New Roman" w:cs="Times New Roman"/>
                <w:spacing w:val="-2"/>
              </w:rPr>
              <w:t>Pilnīgai SURE aizdevumu līgumu saistību izpildei;</w:t>
            </w:r>
          </w:p>
          <w:p w14:paraId="43B991BE" w14:textId="77777777" w:rsidR="00FB6CEA" w:rsidRPr="00FB6CEA" w:rsidRDefault="00FB6CEA" w:rsidP="00FB6CEA">
            <w:pPr>
              <w:pStyle w:val="NoSpacing"/>
              <w:numPr>
                <w:ilvl w:val="0"/>
                <w:numId w:val="10"/>
              </w:numPr>
              <w:jc w:val="both"/>
              <w:rPr>
                <w:rFonts w:ascii="Times New Roman" w:hAnsi="Times New Roman" w:cs="Times New Roman"/>
                <w:spacing w:val="-2"/>
              </w:rPr>
            </w:pPr>
            <w:r w:rsidRPr="00FB6CEA">
              <w:rPr>
                <w:rFonts w:ascii="Times New Roman" w:hAnsi="Times New Roman" w:cs="Times New Roman"/>
                <w:spacing w:val="-2"/>
              </w:rPr>
              <w:t>Pilnīgai garantijas (galvojuma) saistību izpildei;</w:t>
            </w:r>
          </w:p>
          <w:p w14:paraId="41190854" w14:textId="77777777" w:rsidR="00FB6CEA" w:rsidRPr="00FB6CEA" w:rsidRDefault="00FB6CEA" w:rsidP="00FB6CEA">
            <w:pPr>
              <w:pStyle w:val="NoSpacing"/>
              <w:numPr>
                <w:ilvl w:val="0"/>
                <w:numId w:val="10"/>
              </w:numPr>
              <w:jc w:val="both"/>
              <w:rPr>
                <w:rFonts w:ascii="Times New Roman" w:hAnsi="Times New Roman" w:cs="Times New Roman"/>
                <w:spacing w:val="-2"/>
              </w:rPr>
            </w:pPr>
            <w:r w:rsidRPr="00FB6CEA">
              <w:rPr>
                <w:rFonts w:ascii="Times New Roman" w:hAnsi="Times New Roman" w:cs="Times New Roman"/>
                <w:spacing w:val="-2"/>
              </w:rPr>
              <w:t>2053. gada 31. decembrim.</w:t>
            </w:r>
          </w:p>
          <w:p w14:paraId="78616457"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Neskatoties uz noteikto galīgo Līguma termiņu (2053. gada 31. decembris), EK turpinās veikt parādu piedziņu, ja, līdz Līguma termiņa beigām kāda dalībvalsts vai dalībvalstis nebūs izpildījušas uzņemtās saistības.</w:t>
            </w:r>
          </w:p>
          <w:p w14:paraId="4B53580A" w14:textId="77777777" w:rsidR="00FB6CEA" w:rsidRPr="00FB6CEA" w:rsidRDefault="00FB6CEA" w:rsidP="00FB6CEA">
            <w:pPr>
              <w:pStyle w:val="NoSpacing"/>
              <w:jc w:val="both"/>
              <w:rPr>
                <w:rFonts w:ascii="Times New Roman" w:hAnsi="Times New Roman" w:cs="Times New Roman"/>
                <w:spacing w:val="-2"/>
              </w:rPr>
            </w:pPr>
          </w:p>
          <w:p w14:paraId="576549FA"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6. nodaļa nosaka:</w:t>
            </w:r>
          </w:p>
          <w:p w14:paraId="63D3ED8F" w14:textId="77777777" w:rsidR="00FB6CEA" w:rsidRPr="00FB6CEA" w:rsidRDefault="00FB6CEA" w:rsidP="00CB5D97">
            <w:pPr>
              <w:pStyle w:val="NoSpacing"/>
              <w:numPr>
                <w:ilvl w:val="0"/>
                <w:numId w:val="10"/>
              </w:numPr>
              <w:ind w:left="0" w:firstLine="360"/>
              <w:jc w:val="both"/>
              <w:rPr>
                <w:rFonts w:ascii="Times New Roman" w:hAnsi="Times New Roman" w:cs="Times New Roman"/>
                <w:spacing w:val="-2"/>
              </w:rPr>
            </w:pPr>
            <w:r w:rsidRPr="00FB6CEA">
              <w:rPr>
                <w:rFonts w:ascii="Times New Roman" w:hAnsi="Times New Roman" w:cs="Times New Roman"/>
                <w:spacing w:val="-2"/>
              </w:rPr>
              <w:t>ka šaubu gadījumā visus tā noteikumus interpretē tā, lai tie atbilstu spēkā esošajiem tiesību aktiem. Ja kāds no šā nosacījumiem ir vai kļūst par spēkā neesošu vai nepiemērojamu saskaņā ar spēkā esošajiem tiesību aktiem, pārējo noteikumu spēkā esamība vai izpilde nekādā veidā netiek ietekmēta.</w:t>
            </w:r>
          </w:p>
          <w:p w14:paraId="544D7CCF" w14:textId="77777777" w:rsidR="00FB6CEA" w:rsidRPr="00FB6CEA" w:rsidRDefault="00FB6CEA" w:rsidP="00FB6CEA">
            <w:pPr>
              <w:pStyle w:val="NoSpacing"/>
              <w:jc w:val="both"/>
              <w:rPr>
                <w:rFonts w:ascii="Times New Roman" w:hAnsi="Times New Roman" w:cs="Times New Roman"/>
                <w:spacing w:val="-2"/>
              </w:rPr>
            </w:pPr>
          </w:p>
          <w:p w14:paraId="3BBA06B0"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7. nodaļa nosaka:</w:t>
            </w:r>
          </w:p>
          <w:p w14:paraId="6A9F6095"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Latvijas Republikas atbildīgās institūcijas par Līguma izpildi kontaktinformācija.</w:t>
            </w:r>
          </w:p>
          <w:p w14:paraId="7F491B60"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Nosacījumus par paziņojuma saņemšanas laikiem.</w:t>
            </w:r>
          </w:p>
          <w:p w14:paraId="32AC3D9E" w14:textId="77777777" w:rsidR="00FB6CEA" w:rsidRPr="00FB6CEA" w:rsidRDefault="00FB6CEA" w:rsidP="00FB6CEA">
            <w:pPr>
              <w:pStyle w:val="NoSpacing"/>
              <w:jc w:val="both"/>
              <w:rPr>
                <w:rFonts w:ascii="Times New Roman" w:hAnsi="Times New Roman" w:cs="Times New Roman"/>
                <w:spacing w:val="-2"/>
              </w:rPr>
            </w:pPr>
          </w:p>
          <w:p w14:paraId="14C4A719"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8. nodaļā norādīts:</w:t>
            </w:r>
          </w:p>
          <w:p w14:paraId="574B359C"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Par darba dienas laiku tiek uzskatīts attiecīgais periods, kas ir darba diena Luksemburgā.</w:t>
            </w:r>
          </w:p>
          <w:p w14:paraId="7B547F1B"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Līgumu var grozīt, papildināt.</w:t>
            </w:r>
          </w:p>
          <w:p w14:paraId="739D1C0D" w14:textId="77777777" w:rsidR="00FB6CEA" w:rsidRPr="00FB6CEA" w:rsidRDefault="00FB6CEA" w:rsidP="00FB6CEA">
            <w:pPr>
              <w:pStyle w:val="NoSpacing"/>
              <w:jc w:val="both"/>
              <w:rPr>
                <w:rFonts w:ascii="Times New Roman" w:hAnsi="Times New Roman" w:cs="Times New Roman"/>
                <w:spacing w:val="-2"/>
              </w:rPr>
            </w:pPr>
          </w:p>
          <w:p w14:paraId="6D4A18A1"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lastRenderedPageBreak/>
              <w:t>Līguma 9. nodaļā norādīts:</w:t>
            </w:r>
          </w:p>
          <w:p w14:paraId="4E9FC6B5"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Līgums un no tā izrietošās saistības tiek noteiktas pamatojoties uz ES tiesību aktiem, bet nepieciešamības gadījumā tos var papildināt izmantojot Luksemburgas likumdošanu.</w:t>
            </w:r>
          </w:p>
          <w:p w14:paraId="6296EF15"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Visi strīdi, kas var rasties no Līguma saistībām, tiek šķirti ES tiesā.</w:t>
            </w:r>
          </w:p>
          <w:p w14:paraId="535EF6F5"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w:t>
            </w:r>
            <w:r w:rsidRPr="00FB6CEA">
              <w:rPr>
                <w:rFonts w:ascii="Times New Roman" w:hAnsi="Times New Roman" w:cs="Times New Roman"/>
                <w:spacing w:val="-2"/>
              </w:rPr>
              <w:tab/>
              <w:t>Līgums stājas spēkā brīdī, kad visas ES dalībvalstis ir parakstījušas divpusējos Līgumus starp ES dalībvalsti un EK.</w:t>
            </w:r>
          </w:p>
          <w:p w14:paraId="7D34F848" w14:textId="77777777" w:rsidR="00FB6CEA" w:rsidRPr="00FB6CEA" w:rsidRDefault="00FB6CEA" w:rsidP="00FB6CEA">
            <w:pPr>
              <w:pStyle w:val="NoSpacing"/>
              <w:jc w:val="both"/>
              <w:rPr>
                <w:rFonts w:ascii="Times New Roman" w:hAnsi="Times New Roman" w:cs="Times New Roman"/>
                <w:spacing w:val="-2"/>
              </w:rPr>
            </w:pPr>
          </w:p>
          <w:p w14:paraId="7425D5D8" w14:textId="5ACD8F8D"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Līguma 1. pielikums nosaka katras dalībvalsts sniegtās garantijas (galvojuma) apmēru, kas ir aprēķināts, izmantojot Līguma 2. pielikumā noteikto katras dalībvalsts proporcionālo daļu no ES kopējā nacionālā ienākuma jeb procentuālo apmēru, kuru garantē (galvo) katra dalīb</w:t>
            </w:r>
            <w:r w:rsidR="00CB5D97">
              <w:rPr>
                <w:rFonts w:ascii="Times New Roman" w:hAnsi="Times New Roman" w:cs="Times New Roman"/>
                <w:spacing w:val="-2"/>
              </w:rPr>
              <w:t>valsts no kopējā galvojuma 25 m</w:t>
            </w:r>
            <w:r w:rsidRPr="00FB6CEA">
              <w:rPr>
                <w:rFonts w:ascii="Times New Roman" w:hAnsi="Times New Roman" w:cs="Times New Roman"/>
                <w:spacing w:val="-2"/>
              </w:rPr>
              <w:t>ljrd. EUR apmērā.</w:t>
            </w:r>
          </w:p>
          <w:p w14:paraId="6A89AAB0" w14:textId="77777777" w:rsidR="00FB6CEA" w:rsidRPr="00FB6CEA" w:rsidRDefault="00FB6CEA" w:rsidP="00FB6CEA">
            <w:pPr>
              <w:pStyle w:val="NoSpacing"/>
              <w:jc w:val="both"/>
              <w:rPr>
                <w:rFonts w:ascii="Times New Roman" w:hAnsi="Times New Roman" w:cs="Times New Roman"/>
                <w:spacing w:val="-2"/>
              </w:rPr>
            </w:pPr>
          </w:p>
          <w:p w14:paraId="3E661F71"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Ja kāda no ES dalībvalstīm neveiks uzņemto saistību maksājumus un EK nebūs pietiekami līdzekļi, lai segtu uzņemtās saistības pēc finanšu līdzekļu piesaistes starptautiskajos finanšu kapitāla tirgos, EK pieprasīs Latvijas Republikai (vienlaicīgi ar pārējām ES dalībvalstīm) izpildīt uzņemtās garantijas (galvojuma) saistības. Šajā gadījumā saskaņā ar Līguma noteikumiem un paredzēto garantijas (galvojuma) instrumentu, Latvijai radīsies prasījuma tiesības pret EK, tomēr ierobežotā apmērā (nepārsniedzot kopējās Latvijas uzņemtās garantijas (galvojuma) saistības). Latvija atgūs prasības apmērā, kādā EK būs izdevies atgūt līdzekļus no saistību neizpildījušās dalībvalsts/-</w:t>
            </w:r>
            <w:proofErr w:type="spellStart"/>
            <w:r w:rsidRPr="00FB6CEA">
              <w:rPr>
                <w:rFonts w:ascii="Times New Roman" w:hAnsi="Times New Roman" w:cs="Times New Roman"/>
                <w:spacing w:val="-2"/>
              </w:rPr>
              <w:t>īm</w:t>
            </w:r>
            <w:proofErr w:type="spellEnd"/>
            <w:r w:rsidRPr="00FB6CEA">
              <w:rPr>
                <w:rFonts w:ascii="Times New Roman" w:hAnsi="Times New Roman" w:cs="Times New Roman"/>
                <w:spacing w:val="-2"/>
              </w:rPr>
              <w:t xml:space="preserve">, ievērojot proporcijas principu. Pamatojoties uz minēto, Latvijas Republikas sniegtā garantija (galvojums) tiks uzskaitīta Valsts kases valsts budžeta finanšu uzskaitē. </w:t>
            </w:r>
          </w:p>
          <w:p w14:paraId="6ED11567" w14:textId="77777777" w:rsidR="00FB6CEA" w:rsidRPr="00FB6CEA" w:rsidRDefault="00FB6CEA" w:rsidP="00FB6CEA">
            <w:pPr>
              <w:pStyle w:val="NoSpacing"/>
              <w:jc w:val="both"/>
              <w:rPr>
                <w:rFonts w:ascii="Times New Roman" w:hAnsi="Times New Roman" w:cs="Times New Roman"/>
                <w:spacing w:val="-2"/>
              </w:rPr>
            </w:pPr>
          </w:p>
          <w:p w14:paraId="662F0B13" w14:textId="18DA3F14"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Likums "Par valsts apdraudējuma un tā seku novēršanas un pārvarēšanas pasākumiem sakarā ar Covid-19 izplatību" neparedz palielināt valdības pieļaujamās rīcības robežas 2020. gadā</w:t>
            </w:r>
            <w:r w:rsidR="00CD363B">
              <w:rPr>
                <w:rFonts w:ascii="Times New Roman" w:hAnsi="Times New Roman" w:cs="Times New Roman"/>
                <w:spacing w:val="-2"/>
              </w:rPr>
              <w:t xml:space="preserve">. </w:t>
            </w:r>
            <w:r w:rsidRPr="00FB6CEA">
              <w:rPr>
                <w:rFonts w:ascii="Times New Roman" w:hAnsi="Times New Roman" w:cs="Times New Roman"/>
                <w:spacing w:val="-2"/>
              </w:rPr>
              <w:t>Līgums kalpo kā nodrošinājums tikai gadījumiem, ja kāda no ES dalībvalstīm nevarēs pildīt uzņemtās saistības. Turklāt, SURE regula paredz, ka EK izsniegtajiem aizdevumiem var tikt pagarināti atmaksas termiņi, tādejādi vēl vairāk samazinot iespējamību, ka varētu iestāties kādas dalībvalsts maksātnespēja.</w:t>
            </w:r>
          </w:p>
          <w:p w14:paraId="35C8BF14" w14:textId="77777777" w:rsidR="00FB6CEA" w:rsidRPr="00FB6CEA" w:rsidRDefault="00FB6CEA" w:rsidP="00FB6CEA">
            <w:pPr>
              <w:pStyle w:val="NoSpacing"/>
              <w:jc w:val="both"/>
              <w:rPr>
                <w:rFonts w:ascii="Times New Roman" w:hAnsi="Times New Roman" w:cs="Times New Roman"/>
                <w:spacing w:val="-2"/>
              </w:rPr>
            </w:pPr>
            <w:r w:rsidRPr="00FB6CEA">
              <w:rPr>
                <w:rFonts w:ascii="Times New Roman" w:hAnsi="Times New Roman" w:cs="Times New Roman"/>
                <w:spacing w:val="-2"/>
              </w:rPr>
              <w:t xml:space="preserve">Gadījumā, ja tomēr 2020. gadā, pamatojoties uz noslēgto Līgumu, EK pieprasīs veikt garantiju (galvojuma) saistību izpildi, likuma par budžetu un finanšu vadību 39. pants nosaka, ka izdevumi valsts parāda saistību izpildei izdarāmi saskaņā ar līgumu noteikumiem neatkarīgi no gadskārtējā valsts budžetā šim mērķim paredzētā līdzekļu apjoma un </w:t>
            </w:r>
            <w:r w:rsidRPr="00FB6CEA">
              <w:rPr>
                <w:rFonts w:ascii="Times New Roman" w:hAnsi="Times New Roman" w:cs="Times New Roman"/>
                <w:spacing w:val="-2"/>
              </w:rPr>
              <w:lastRenderedPageBreak/>
              <w:t>noteiktajām valdības rīcības pieļaujamām robežām. Ja EK pieprasīs veikt garantijas (galvojuma) saistību izpildi, finanšu ministrs saskaņā ar likuma par budžetu un finanšu vadību 9.panta sešpadsmito daļu palielinās gadskārtējā valsts budžeta likumā valsts parāda saistību izpildei noteikto apropriāciju un paplašinās valdības rīcības pieļaujamās robežas neparedzētu apstākļu izraisītu valdības saistību gadījumā.</w:t>
            </w:r>
          </w:p>
          <w:p w14:paraId="00E2DCA6" w14:textId="5AB30AB8" w:rsidR="00F25257" w:rsidRPr="00FB6CEA" w:rsidRDefault="00FB6CEA" w:rsidP="00CD363B">
            <w:pPr>
              <w:pStyle w:val="NoSpacing"/>
              <w:jc w:val="both"/>
              <w:rPr>
                <w:rFonts w:ascii="Times New Roman" w:hAnsi="Times New Roman" w:cs="Times New Roman"/>
                <w:spacing w:val="-2"/>
              </w:rPr>
            </w:pPr>
            <w:r w:rsidRPr="00FB6CEA">
              <w:rPr>
                <w:rFonts w:ascii="Times New Roman" w:hAnsi="Times New Roman" w:cs="Times New Roman"/>
                <w:spacing w:val="-2"/>
              </w:rPr>
              <w:t xml:space="preserve">Līgums paredz, ka EK katru ceturksni informēs dalībvalstis par izsniegtiem aizdevumiem, termiņiem un iespējamiem notikumiem, ja tādi būs radušies, kas varētu apgrūtināt aizņēmējiem izpildīt saistības. </w:t>
            </w:r>
          </w:p>
        </w:tc>
      </w:tr>
      <w:tr w:rsidR="009C2B49" w:rsidRPr="00FB6CEA" w14:paraId="74524CA4" w14:textId="77777777" w:rsidTr="009C2B4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6080F28F" w14:textId="77777777" w:rsidR="009C2B49" w:rsidRPr="00FB6CEA" w:rsidRDefault="009C2B49">
            <w:pPr>
              <w:rPr>
                <w:iCs/>
                <w:spacing w:val="-2"/>
                <w:lang w:eastAsia="lv-LV"/>
              </w:rPr>
            </w:pPr>
            <w:r w:rsidRPr="00FB6CEA">
              <w:rPr>
                <w:iCs/>
                <w:spacing w:val="-2"/>
                <w:lang w:eastAsia="lv-LV"/>
              </w:rPr>
              <w:lastRenderedPageBreak/>
              <w:t>3.</w:t>
            </w:r>
          </w:p>
        </w:tc>
        <w:tc>
          <w:tcPr>
            <w:tcW w:w="1501" w:type="pct"/>
            <w:tcBorders>
              <w:top w:val="outset" w:sz="6" w:space="0" w:color="auto"/>
              <w:left w:val="outset" w:sz="6" w:space="0" w:color="auto"/>
              <w:bottom w:val="outset" w:sz="6" w:space="0" w:color="auto"/>
              <w:right w:val="outset" w:sz="6" w:space="0" w:color="auto"/>
            </w:tcBorders>
            <w:hideMark/>
          </w:tcPr>
          <w:p w14:paraId="4DE633C6" w14:textId="77777777" w:rsidR="009C2B49" w:rsidRPr="00FB6CEA" w:rsidRDefault="009C2B49">
            <w:pPr>
              <w:rPr>
                <w:iCs/>
                <w:spacing w:val="-2"/>
                <w:lang w:eastAsia="lv-LV"/>
              </w:rPr>
            </w:pPr>
            <w:r w:rsidRPr="00FB6CEA">
              <w:rPr>
                <w:iCs/>
                <w:spacing w:val="-2"/>
                <w:lang w:eastAsia="lv-LV"/>
              </w:rPr>
              <w:t>Projekta izstrādē iesaistītās institūcijas un publiskas personas kapitālsabiedrības</w:t>
            </w:r>
          </w:p>
        </w:tc>
        <w:tc>
          <w:tcPr>
            <w:tcW w:w="3232" w:type="pct"/>
            <w:tcBorders>
              <w:top w:val="outset" w:sz="6" w:space="0" w:color="auto"/>
              <w:left w:val="outset" w:sz="6" w:space="0" w:color="auto"/>
              <w:bottom w:val="outset" w:sz="6" w:space="0" w:color="auto"/>
              <w:right w:val="outset" w:sz="6" w:space="0" w:color="auto"/>
            </w:tcBorders>
            <w:hideMark/>
          </w:tcPr>
          <w:p w14:paraId="135D1098" w14:textId="4AA62B5F" w:rsidR="009C2B49" w:rsidRPr="00FB6CEA" w:rsidRDefault="00C3205A">
            <w:pPr>
              <w:rPr>
                <w:iCs/>
                <w:spacing w:val="-2"/>
                <w:lang w:eastAsia="lv-LV"/>
              </w:rPr>
            </w:pPr>
            <w:r>
              <w:rPr>
                <w:iCs/>
                <w:spacing w:val="-2"/>
                <w:lang w:eastAsia="lv-LV"/>
              </w:rPr>
              <w:t>Finanšu ministrija</w:t>
            </w:r>
            <w:r w:rsidR="00CD363B">
              <w:rPr>
                <w:iCs/>
                <w:spacing w:val="-2"/>
                <w:lang w:eastAsia="lv-LV"/>
              </w:rPr>
              <w:t>, Valsts Kase</w:t>
            </w:r>
          </w:p>
        </w:tc>
      </w:tr>
      <w:tr w:rsidR="009C2B49" w:rsidRPr="00FB6CEA" w14:paraId="3F26C79D" w14:textId="77777777" w:rsidTr="009C2B4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14531CFA" w14:textId="77777777" w:rsidR="009C2B49" w:rsidRPr="00FB6CEA" w:rsidRDefault="009C2B49">
            <w:pPr>
              <w:rPr>
                <w:iCs/>
                <w:spacing w:val="-2"/>
                <w:lang w:eastAsia="lv-LV"/>
              </w:rPr>
            </w:pPr>
            <w:r w:rsidRPr="00FB6CEA">
              <w:rPr>
                <w:iCs/>
                <w:spacing w:val="-2"/>
                <w:lang w:eastAsia="lv-LV"/>
              </w:rPr>
              <w:t>4.</w:t>
            </w:r>
          </w:p>
        </w:tc>
        <w:tc>
          <w:tcPr>
            <w:tcW w:w="1501" w:type="pct"/>
            <w:tcBorders>
              <w:top w:val="outset" w:sz="6" w:space="0" w:color="auto"/>
              <w:left w:val="outset" w:sz="6" w:space="0" w:color="auto"/>
              <w:bottom w:val="outset" w:sz="6" w:space="0" w:color="auto"/>
              <w:right w:val="outset" w:sz="6" w:space="0" w:color="auto"/>
            </w:tcBorders>
            <w:hideMark/>
          </w:tcPr>
          <w:p w14:paraId="538B5DCA" w14:textId="77777777" w:rsidR="009C2B49" w:rsidRPr="00FB6CEA" w:rsidRDefault="009C2B49">
            <w:pPr>
              <w:rPr>
                <w:iCs/>
                <w:spacing w:val="-2"/>
                <w:lang w:eastAsia="lv-LV"/>
              </w:rPr>
            </w:pPr>
            <w:r w:rsidRPr="00FB6CEA">
              <w:rPr>
                <w:iCs/>
                <w:spacing w:val="-2"/>
                <w:lang w:eastAsia="lv-LV"/>
              </w:rPr>
              <w:t>Cita informācija</w:t>
            </w:r>
          </w:p>
        </w:tc>
        <w:tc>
          <w:tcPr>
            <w:tcW w:w="3232" w:type="pct"/>
            <w:tcBorders>
              <w:top w:val="outset" w:sz="6" w:space="0" w:color="auto"/>
              <w:left w:val="outset" w:sz="6" w:space="0" w:color="auto"/>
              <w:bottom w:val="outset" w:sz="6" w:space="0" w:color="auto"/>
              <w:right w:val="outset" w:sz="6" w:space="0" w:color="auto"/>
            </w:tcBorders>
            <w:hideMark/>
          </w:tcPr>
          <w:p w14:paraId="2499E65A" w14:textId="77777777" w:rsidR="009C2B49" w:rsidRPr="00FB6CEA" w:rsidRDefault="009C2B49">
            <w:pPr>
              <w:jc w:val="both"/>
              <w:rPr>
                <w:iCs/>
                <w:spacing w:val="-2"/>
                <w:lang w:eastAsia="lv-LV"/>
              </w:rPr>
            </w:pPr>
            <w:r w:rsidRPr="00FB6CEA">
              <w:rPr>
                <w:iCs/>
                <w:spacing w:val="-2"/>
                <w:lang w:eastAsia="lv-LV"/>
              </w:rPr>
              <w:t>Nav.</w:t>
            </w:r>
          </w:p>
        </w:tc>
      </w:tr>
    </w:tbl>
    <w:p w14:paraId="4DC49F5C" w14:textId="77777777" w:rsidR="009C2B49" w:rsidRPr="00FB6CEA" w:rsidRDefault="009C2B49" w:rsidP="009C2B49">
      <w:pPr>
        <w:rPr>
          <w:iCs/>
          <w:spacing w:val="-2"/>
          <w:lang w:eastAsia="lv-LV"/>
        </w:rPr>
      </w:pPr>
      <w:r w:rsidRPr="00FB6CEA">
        <w:rPr>
          <w:iCs/>
          <w:spacing w:val="-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9C2B49" w:rsidRPr="00FB6CEA" w14:paraId="4454CC02" w14:textId="77777777" w:rsidTr="00E529C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B2277A6" w14:textId="77777777" w:rsidR="009C2B49" w:rsidRPr="00FB6CEA" w:rsidRDefault="009C2B49">
            <w:pPr>
              <w:rPr>
                <w:b/>
                <w:bCs/>
                <w:iCs/>
                <w:spacing w:val="-2"/>
                <w:lang w:eastAsia="lv-LV"/>
              </w:rPr>
            </w:pPr>
            <w:r w:rsidRPr="00FB6CEA">
              <w:rPr>
                <w:b/>
                <w:bCs/>
                <w:iCs/>
                <w:spacing w:val="-2"/>
                <w:lang w:eastAsia="lv-LV"/>
              </w:rPr>
              <w:t>II. Tiesību akta projekta ietekme uz sabiedrību, tautsaimniecības attīstību un administratīvo slogu</w:t>
            </w:r>
          </w:p>
        </w:tc>
      </w:tr>
      <w:tr w:rsidR="00CB5D97" w:rsidRPr="00FB6CEA" w14:paraId="3370DDA9" w14:textId="77777777" w:rsidTr="00E529C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405F410" w14:textId="6CE85C65" w:rsidR="00CB5D97" w:rsidRPr="00CB5D97" w:rsidRDefault="00E529C6" w:rsidP="00E529C6">
            <w:pPr>
              <w:jc w:val="center"/>
              <w:rPr>
                <w:bCs/>
                <w:iCs/>
                <w:spacing w:val="-2"/>
                <w:lang w:eastAsia="lv-LV"/>
              </w:rPr>
            </w:pPr>
            <w:r w:rsidRPr="00FB6CEA">
              <w:rPr>
                <w:bCs/>
                <w:iCs/>
                <w:spacing w:val="-2"/>
                <w:lang w:eastAsia="lv-LV"/>
              </w:rPr>
              <w:t>Galvojuma līguma projekts</w:t>
            </w:r>
            <w:r w:rsidR="00CB5D97" w:rsidRPr="00FB6CEA">
              <w:rPr>
                <w:bCs/>
                <w:iCs/>
                <w:spacing w:val="-2"/>
                <w:lang w:eastAsia="lv-LV"/>
              </w:rPr>
              <w:t xml:space="preserve"> šo jomu neskar.</w:t>
            </w:r>
          </w:p>
        </w:tc>
      </w:tr>
    </w:tbl>
    <w:p w14:paraId="08E7D4F8" w14:textId="77777777" w:rsidR="009C2B49" w:rsidRPr="00FB6CEA" w:rsidRDefault="009C2B49" w:rsidP="009C2B49">
      <w:pPr>
        <w:rPr>
          <w:iCs/>
          <w:spacing w:val="-2"/>
          <w:lang w:eastAsia="lv-LV"/>
        </w:rPr>
      </w:pPr>
      <w:r w:rsidRPr="00FB6CEA">
        <w:rPr>
          <w:iCs/>
          <w:spacing w:val="-2"/>
          <w:lang w:eastAsia="lv-LV"/>
        </w:rPr>
        <w:t>   </w:t>
      </w:r>
    </w:p>
    <w:tbl>
      <w:tblPr>
        <w:tblW w:w="505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1087"/>
        <w:gridCol w:w="1086"/>
        <w:gridCol w:w="926"/>
        <w:gridCol w:w="1282"/>
        <w:gridCol w:w="842"/>
        <w:gridCol w:w="1123"/>
        <w:gridCol w:w="1123"/>
      </w:tblGrid>
      <w:tr w:rsidR="009C2B49" w:rsidRPr="00FB6CEA" w14:paraId="3283A7A3" w14:textId="77777777" w:rsidTr="009C2B49">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40E1D3B5" w14:textId="77777777" w:rsidR="009C2B49" w:rsidRPr="00FB6CEA" w:rsidRDefault="009C2B49">
            <w:pPr>
              <w:rPr>
                <w:b/>
                <w:bCs/>
                <w:iCs/>
                <w:spacing w:val="-2"/>
                <w:lang w:eastAsia="lv-LV"/>
              </w:rPr>
            </w:pPr>
            <w:r w:rsidRPr="00FB6CEA">
              <w:rPr>
                <w:b/>
                <w:bCs/>
                <w:iCs/>
                <w:spacing w:val="-2"/>
                <w:lang w:eastAsia="lv-LV"/>
              </w:rPr>
              <w:t>III. Tiesību akta projekta ietekme uz valsts budžetu un pašvaldību budžetiem</w:t>
            </w:r>
          </w:p>
        </w:tc>
      </w:tr>
      <w:tr w:rsidR="009C2B49" w:rsidRPr="00FB6CEA" w14:paraId="6179876C" w14:textId="77777777" w:rsidTr="009C2B49">
        <w:trPr>
          <w:tblCellSpacing w:w="15" w:type="dxa"/>
        </w:trPr>
        <w:tc>
          <w:tcPr>
            <w:tcW w:w="1648" w:type="dxa"/>
            <w:vMerge w:val="restart"/>
            <w:tcBorders>
              <w:top w:val="outset" w:sz="6" w:space="0" w:color="auto"/>
              <w:left w:val="outset" w:sz="6" w:space="0" w:color="auto"/>
              <w:bottom w:val="outset" w:sz="6" w:space="0" w:color="auto"/>
              <w:right w:val="outset" w:sz="6" w:space="0" w:color="auto"/>
            </w:tcBorders>
            <w:vAlign w:val="center"/>
            <w:hideMark/>
          </w:tcPr>
          <w:p w14:paraId="7FC2ECBB" w14:textId="77777777" w:rsidR="009C2B49" w:rsidRPr="00FB6CEA" w:rsidRDefault="009C2B49">
            <w:pPr>
              <w:rPr>
                <w:iCs/>
                <w:spacing w:val="-2"/>
                <w:lang w:eastAsia="lv-LV"/>
              </w:rPr>
            </w:pPr>
            <w:r w:rsidRPr="00FB6CEA">
              <w:rPr>
                <w:iCs/>
                <w:spacing w:val="-2"/>
                <w:lang w:eastAsia="lv-LV"/>
              </w:rPr>
              <w:t>Rādītāji</w:t>
            </w:r>
          </w:p>
        </w:tc>
        <w:tc>
          <w:tcPr>
            <w:tcW w:w="213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400BDF0" w14:textId="77777777" w:rsidR="009C2B49" w:rsidRPr="00FB6CEA" w:rsidRDefault="009C2B49">
            <w:pPr>
              <w:jc w:val="center"/>
              <w:rPr>
                <w:iCs/>
                <w:spacing w:val="-2"/>
                <w:lang w:eastAsia="lv-LV"/>
              </w:rPr>
            </w:pPr>
            <w:r w:rsidRPr="00FB6CEA">
              <w:rPr>
                <w:iCs/>
                <w:spacing w:val="-2"/>
                <w:lang w:eastAsia="lv-LV"/>
              </w:rPr>
              <w:t>2020</w:t>
            </w:r>
          </w:p>
        </w:tc>
        <w:tc>
          <w:tcPr>
            <w:tcW w:w="5303" w:type="dxa"/>
            <w:gridSpan w:val="5"/>
            <w:tcBorders>
              <w:top w:val="outset" w:sz="6" w:space="0" w:color="auto"/>
              <w:left w:val="outset" w:sz="6" w:space="0" w:color="auto"/>
              <w:bottom w:val="outset" w:sz="6" w:space="0" w:color="auto"/>
              <w:right w:val="outset" w:sz="6" w:space="0" w:color="auto"/>
            </w:tcBorders>
            <w:vAlign w:val="center"/>
            <w:hideMark/>
          </w:tcPr>
          <w:p w14:paraId="5B8391B4" w14:textId="77777777" w:rsidR="009C2B49" w:rsidRPr="00FB6CEA" w:rsidRDefault="009C2B49">
            <w:pPr>
              <w:jc w:val="center"/>
              <w:rPr>
                <w:iCs/>
                <w:spacing w:val="-2"/>
                <w:lang w:eastAsia="lv-LV"/>
              </w:rPr>
            </w:pPr>
            <w:r w:rsidRPr="00FB6CEA">
              <w:rPr>
                <w:iCs/>
                <w:spacing w:val="-2"/>
                <w:lang w:eastAsia="lv-LV"/>
              </w:rPr>
              <w:t>Turpmākie trīs gadi (</w:t>
            </w:r>
            <w:proofErr w:type="spellStart"/>
            <w:r w:rsidRPr="00FB6CEA">
              <w:rPr>
                <w:i/>
                <w:iCs/>
                <w:spacing w:val="-2"/>
                <w:lang w:eastAsia="lv-LV"/>
              </w:rPr>
              <w:t>euro</w:t>
            </w:r>
            <w:proofErr w:type="spellEnd"/>
            <w:r w:rsidRPr="00FB6CEA">
              <w:rPr>
                <w:iCs/>
                <w:spacing w:val="-2"/>
                <w:lang w:eastAsia="lv-LV"/>
              </w:rPr>
              <w:t>)</w:t>
            </w:r>
          </w:p>
        </w:tc>
      </w:tr>
      <w:tr w:rsidR="009C2B49" w:rsidRPr="00FB6CEA" w14:paraId="334F8CD6" w14:textId="77777777" w:rsidTr="009C2B49">
        <w:trPr>
          <w:tblCellSpacing w:w="15" w:type="dxa"/>
        </w:trPr>
        <w:tc>
          <w:tcPr>
            <w:tcW w:w="9100" w:type="dxa"/>
            <w:vMerge/>
            <w:tcBorders>
              <w:top w:val="outset" w:sz="6" w:space="0" w:color="auto"/>
              <w:left w:val="outset" w:sz="6" w:space="0" w:color="auto"/>
              <w:bottom w:val="outset" w:sz="6" w:space="0" w:color="auto"/>
              <w:right w:val="outset" w:sz="6" w:space="0" w:color="auto"/>
            </w:tcBorders>
            <w:vAlign w:val="center"/>
            <w:hideMark/>
          </w:tcPr>
          <w:p w14:paraId="0E4D1CB2" w14:textId="77777777" w:rsidR="009C2B49" w:rsidRPr="00FB6CEA" w:rsidRDefault="009C2B49">
            <w:pPr>
              <w:rPr>
                <w:iCs/>
                <w:spacing w:val="-2"/>
                <w:lang w:eastAsia="lv-LV"/>
              </w:rPr>
            </w:pPr>
          </w:p>
        </w:tc>
        <w:tc>
          <w:tcPr>
            <w:tcW w:w="8504" w:type="dxa"/>
            <w:gridSpan w:val="2"/>
            <w:vMerge/>
            <w:tcBorders>
              <w:top w:val="outset" w:sz="6" w:space="0" w:color="auto"/>
              <w:left w:val="outset" w:sz="6" w:space="0" w:color="auto"/>
              <w:bottom w:val="outset" w:sz="6" w:space="0" w:color="auto"/>
              <w:right w:val="outset" w:sz="6" w:space="0" w:color="auto"/>
            </w:tcBorders>
            <w:vAlign w:val="center"/>
            <w:hideMark/>
          </w:tcPr>
          <w:p w14:paraId="3F527FB4" w14:textId="77777777" w:rsidR="009C2B49" w:rsidRPr="00FB6CEA" w:rsidRDefault="009C2B49">
            <w:pPr>
              <w:rPr>
                <w:iCs/>
                <w:spacing w:val="-2"/>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5AF9E837" w14:textId="77777777" w:rsidR="009C2B49" w:rsidRPr="00FB6CEA" w:rsidRDefault="009C2B49">
            <w:pPr>
              <w:jc w:val="center"/>
              <w:rPr>
                <w:iCs/>
                <w:spacing w:val="-2"/>
                <w:lang w:eastAsia="lv-LV"/>
              </w:rPr>
            </w:pPr>
            <w:r w:rsidRPr="00FB6CEA">
              <w:rPr>
                <w:iCs/>
                <w:spacing w:val="-2"/>
                <w:lang w:eastAsia="lv-LV"/>
              </w:rPr>
              <w:t>2021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404E7F4A" w14:textId="77777777" w:rsidR="009C2B49" w:rsidRPr="00FB6CEA" w:rsidRDefault="009C2B49">
            <w:pPr>
              <w:jc w:val="center"/>
              <w:rPr>
                <w:iCs/>
                <w:spacing w:val="-2"/>
                <w:lang w:eastAsia="lv-LV"/>
              </w:rPr>
            </w:pPr>
            <w:r w:rsidRPr="00FB6CEA">
              <w:rPr>
                <w:iCs/>
                <w:spacing w:val="-2"/>
                <w:lang w:eastAsia="lv-LV"/>
              </w:rPr>
              <w:t>2022</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E7616A5" w14:textId="77777777" w:rsidR="009C2B49" w:rsidRPr="00FB6CEA" w:rsidRDefault="009C2B49">
            <w:pPr>
              <w:jc w:val="center"/>
              <w:rPr>
                <w:iCs/>
                <w:spacing w:val="-2"/>
                <w:lang w:eastAsia="lv-LV"/>
              </w:rPr>
            </w:pPr>
            <w:r w:rsidRPr="00FB6CEA">
              <w:rPr>
                <w:iCs/>
                <w:spacing w:val="-2"/>
                <w:lang w:eastAsia="lv-LV"/>
              </w:rPr>
              <w:t>2023</w:t>
            </w:r>
          </w:p>
        </w:tc>
      </w:tr>
      <w:tr w:rsidR="009C2B49" w:rsidRPr="00FB6CEA" w14:paraId="5F2C582B" w14:textId="77777777" w:rsidTr="009C2B49">
        <w:trPr>
          <w:tblCellSpacing w:w="15" w:type="dxa"/>
        </w:trPr>
        <w:tc>
          <w:tcPr>
            <w:tcW w:w="9100" w:type="dxa"/>
            <w:vMerge/>
            <w:tcBorders>
              <w:top w:val="outset" w:sz="6" w:space="0" w:color="auto"/>
              <w:left w:val="outset" w:sz="6" w:space="0" w:color="auto"/>
              <w:bottom w:val="outset" w:sz="6" w:space="0" w:color="auto"/>
              <w:right w:val="outset" w:sz="6" w:space="0" w:color="auto"/>
            </w:tcBorders>
            <w:vAlign w:val="center"/>
            <w:hideMark/>
          </w:tcPr>
          <w:p w14:paraId="0DDABFDE" w14:textId="77777777" w:rsidR="009C2B49" w:rsidRPr="00FB6CEA" w:rsidRDefault="009C2B49">
            <w:pPr>
              <w:rPr>
                <w:iCs/>
                <w:spacing w:val="-2"/>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1BFF5E20" w14:textId="77777777" w:rsidR="009C2B49" w:rsidRPr="00FB6CEA" w:rsidRDefault="009C2B49">
            <w:pPr>
              <w:jc w:val="center"/>
              <w:rPr>
                <w:iCs/>
                <w:spacing w:val="-2"/>
                <w:lang w:eastAsia="lv-LV"/>
              </w:rPr>
            </w:pPr>
            <w:r w:rsidRPr="00FB6CEA">
              <w:rPr>
                <w:iCs/>
                <w:spacing w:val="-2"/>
                <w:lang w:eastAsia="lv-LV"/>
              </w:rPr>
              <w:t>saskaņā ar valsts budžetu kārtējam gadam</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ECAA720" w14:textId="77777777" w:rsidR="009C2B49" w:rsidRPr="00FB6CEA" w:rsidRDefault="009C2B49">
            <w:pPr>
              <w:jc w:val="center"/>
              <w:rPr>
                <w:iCs/>
                <w:spacing w:val="-2"/>
                <w:lang w:eastAsia="lv-LV"/>
              </w:rPr>
            </w:pPr>
            <w:r w:rsidRPr="00FB6CEA">
              <w:rPr>
                <w:iCs/>
                <w:spacing w:val="-2"/>
                <w:lang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2F7A44A0" w14:textId="77777777" w:rsidR="009C2B49" w:rsidRPr="00FB6CEA" w:rsidRDefault="009C2B49">
            <w:pPr>
              <w:jc w:val="center"/>
              <w:rPr>
                <w:iCs/>
                <w:spacing w:val="-2"/>
                <w:lang w:eastAsia="lv-LV"/>
              </w:rPr>
            </w:pPr>
            <w:r w:rsidRPr="00FB6CEA">
              <w:rPr>
                <w:iCs/>
                <w:spacing w:val="-2"/>
                <w:lang w:eastAsia="lv-LV"/>
              </w:rPr>
              <w:t>saskaņā ar vidēja 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00A78B57" w14:textId="77777777" w:rsidR="009C2B49" w:rsidRPr="00FB6CEA" w:rsidRDefault="009C2B49">
            <w:pPr>
              <w:jc w:val="center"/>
              <w:rPr>
                <w:iCs/>
                <w:spacing w:val="-2"/>
                <w:lang w:eastAsia="lv-LV"/>
              </w:rPr>
            </w:pPr>
            <w:r w:rsidRPr="00FB6CEA">
              <w:rPr>
                <w:iCs/>
                <w:spacing w:val="-2"/>
                <w:lang w:eastAsia="lv-LV"/>
              </w:rPr>
              <w:t>izmaiņas, salīdzinot ar vidēja termiņa budžeta ietvaru 2021.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993A95" w14:textId="77777777" w:rsidR="009C2B49" w:rsidRPr="00FB6CEA" w:rsidRDefault="009C2B49">
            <w:pPr>
              <w:jc w:val="center"/>
              <w:rPr>
                <w:iCs/>
                <w:spacing w:val="-2"/>
                <w:lang w:eastAsia="lv-LV"/>
              </w:rPr>
            </w:pPr>
            <w:r w:rsidRPr="00FB6CEA">
              <w:rPr>
                <w:iCs/>
                <w:spacing w:val="-2"/>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F6945E4" w14:textId="77777777" w:rsidR="009C2B49" w:rsidRPr="00FB6CEA" w:rsidRDefault="009C2B49">
            <w:pPr>
              <w:jc w:val="center"/>
              <w:rPr>
                <w:iCs/>
                <w:spacing w:val="-2"/>
                <w:lang w:eastAsia="lv-LV"/>
              </w:rPr>
            </w:pPr>
            <w:r w:rsidRPr="00FB6CEA">
              <w:rPr>
                <w:iCs/>
                <w:spacing w:val="-2"/>
                <w:lang w:eastAsia="lv-LV"/>
              </w:rPr>
              <w:t>izmaiņas, salīdzinot ar vidēja termiņa budžeta ietvaru 2022.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4AB0003" w14:textId="77777777" w:rsidR="009C2B49" w:rsidRPr="00FB6CEA" w:rsidRDefault="009C2B49">
            <w:pPr>
              <w:jc w:val="center"/>
              <w:rPr>
                <w:iCs/>
                <w:spacing w:val="-2"/>
                <w:lang w:eastAsia="lv-LV"/>
              </w:rPr>
            </w:pPr>
            <w:r w:rsidRPr="00FB6CEA">
              <w:rPr>
                <w:iCs/>
                <w:spacing w:val="-2"/>
                <w:lang w:eastAsia="lv-LV"/>
              </w:rPr>
              <w:t>izmaiņas, salīdzinot ar vidēja termiņa budžeta ietvaru 2022. gadam</w:t>
            </w:r>
          </w:p>
        </w:tc>
      </w:tr>
      <w:tr w:rsidR="009C2B49" w:rsidRPr="00FB6CEA" w14:paraId="5D4CCD4F"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433F44CF" w14:textId="77777777" w:rsidR="009C2B49" w:rsidRPr="00FB6CEA" w:rsidRDefault="009C2B49">
            <w:pPr>
              <w:jc w:val="center"/>
              <w:rPr>
                <w:iCs/>
                <w:spacing w:val="-2"/>
                <w:lang w:eastAsia="lv-LV"/>
              </w:rPr>
            </w:pPr>
            <w:r w:rsidRPr="00FB6CEA">
              <w:rPr>
                <w:iCs/>
                <w:spacing w:val="-2"/>
                <w:lang w:eastAsia="lv-LV"/>
              </w:rPr>
              <w:t>1</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D3F9535" w14:textId="77777777" w:rsidR="009C2B49" w:rsidRPr="00FB6CEA" w:rsidRDefault="009C2B49">
            <w:pPr>
              <w:jc w:val="center"/>
              <w:rPr>
                <w:iCs/>
                <w:spacing w:val="-2"/>
                <w:lang w:eastAsia="lv-LV"/>
              </w:rPr>
            </w:pPr>
            <w:r w:rsidRPr="00FB6CEA">
              <w:rPr>
                <w:iCs/>
                <w:spacing w:val="-2"/>
                <w:lang w:eastAsia="lv-LV"/>
              </w:rPr>
              <w:t>2</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B4C148E" w14:textId="77777777" w:rsidR="009C2B49" w:rsidRPr="00FB6CEA" w:rsidRDefault="009C2B49">
            <w:pPr>
              <w:jc w:val="center"/>
              <w:rPr>
                <w:iCs/>
                <w:spacing w:val="-2"/>
                <w:lang w:eastAsia="lv-LV"/>
              </w:rPr>
            </w:pPr>
            <w:r w:rsidRPr="00FB6CEA">
              <w:rPr>
                <w:iCs/>
                <w:spacing w:val="-2"/>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70BD60A0" w14:textId="77777777" w:rsidR="009C2B49" w:rsidRPr="00FB6CEA" w:rsidRDefault="009C2B49">
            <w:pPr>
              <w:jc w:val="center"/>
              <w:rPr>
                <w:iCs/>
                <w:spacing w:val="-2"/>
                <w:lang w:eastAsia="lv-LV"/>
              </w:rPr>
            </w:pPr>
            <w:r w:rsidRPr="00FB6CEA">
              <w:rPr>
                <w:iCs/>
                <w:spacing w:val="-2"/>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2C30E08C" w14:textId="77777777" w:rsidR="009C2B49" w:rsidRPr="00FB6CEA" w:rsidRDefault="009C2B49">
            <w:pPr>
              <w:jc w:val="center"/>
              <w:rPr>
                <w:iCs/>
                <w:spacing w:val="-2"/>
                <w:lang w:eastAsia="lv-LV"/>
              </w:rPr>
            </w:pPr>
            <w:r w:rsidRPr="00FB6CEA">
              <w:rPr>
                <w:iCs/>
                <w:spacing w:val="-2"/>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6A232F9A" w14:textId="77777777" w:rsidR="009C2B49" w:rsidRPr="00FB6CEA" w:rsidRDefault="009C2B49">
            <w:pPr>
              <w:jc w:val="center"/>
              <w:rPr>
                <w:iCs/>
                <w:spacing w:val="-2"/>
                <w:lang w:eastAsia="lv-LV"/>
              </w:rPr>
            </w:pPr>
            <w:r w:rsidRPr="00FB6CEA">
              <w:rPr>
                <w:iCs/>
                <w:spacing w:val="-2"/>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E6117E" w14:textId="77777777" w:rsidR="009C2B49" w:rsidRPr="00FB6CEA" w:rsidRDefault="009C2B49">
            <w:pPr>
              <w:jc w:val="center"/>
              <w:rPr>
                <w:iCs/>
                <w:spacing w:val="-2"/>
                <w:lang w:eastAsia="lv-LV"/>
              </w:rPr>
            </w:pPr>
            <w:r w:rsidRPr="00FB6CEA">
              <w:rPr>
                <w:iCs/>
                <w:spacing w:val="-2"/>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F39F3DA" w14:textId="77777777" w:rsidR="009C2B49" w:rsidRPr="00FB6CEA" w:rsidRDefault="009C2B49">
            <w:pPr>
              <w:jc w:val="center"/>
              <w:rPr>
                <w:iCs/>
                <w:spacing w:val="-2"/>
                <w:lang w:eastAsia="lv-LV"/>
              </w:rPr>
            </w:pPr>
            <w:r w:rsidRPr="00FB6CEA">
              <w:rPr>
                <w:iCs/>
                <w:spacing w:val="-2"/>
                <w:lang w:eastAsia="lv-LV"/>
              </w:rPr>
              <w:t>8</w:t>
            </w:r>
          </w:p>
        </w:tc>
      </w:tr>
      <w:tr w:rsidR="009C2B49" w:rsidRPr="00FB6CEA" w14:paraId="6B942A6C"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66D24BE" w14:textId="77777777" w:rsidR="009C2B49" w:rsidRPr="00FB6CEA" w:rsidRDefault="009C2B49">
            <w:pPr>
              <w:rPr>
                <w:iCs/>
                <w:spacing w:val="-2"/>
                <w:lang w:eastAsia="lv-LV"/>
              </w:rPr>
            </w:pPr>
            <w:r w:rsidRPr="00FB6CEA">
              <w:rPr>
                <w:iCs/>
                <w:spacing w:val="-2"/>
                <w:lang w:eastAsia="lv-LV"/>
              </w:rPr>
              <w:t>1. Budžeta ieņēmumi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4276D16" w14:textId="77777777" w:rsidR="009C2B49" w:rsidRPr="00FB6CEA" w:rsidRDefault="009C2B49">
            <w:pPr>
              <w:jc w:val="center"/>
              <w:rPr>
                <w:spacing w:val="-2"/>
                <w:szCs w:val="28"/>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7909338" w14:textId="77777777" w:rsidR="009C2B49" w:rsidRPr="00FB6CEA" w:rsidRDefault="009C2B49">
            <w:pPr>
              <w:jc w:val="center"/>
              <w:rPr>
                <w:spacing w:val="-2"/>
                <w:szCs w:val="28"/>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06CCE53" w14:textId="77777777" w:rsidR="009C2B49" w:rsidRPr="00FB6CEA" w:rsidRDefault="009C2B49">
            <w:pPr>
              <w:jc w:val="center"/>
              <w:rPr>
                <w:spacing w:val="-2"/>
                <w:szCs w:val="28"/>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6933E6BE" w14:textId="77777777" w:rsidR="009C2B49" w:rsidRPr="00FB6CEA" w:rsidRDefault="009C2B49">
            <w:pPr>
              <w:jc w:val="center"/>
              <w:rPr>
                <w:spacing w:val="-2"/>
                <w:szCs w:val="28"/>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72807C1" w14:textId="77777777" w:rsidR="009C2B49" w:rsidRPr="00FB6CEA" w:rsidRDefault="009C2B49">
            <w:pPr>
              <w:jc w:val="center"/>
              <w:rPr>
                <w:spacing w:val="-2"/>
                <w:szCs w:val="28"/>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BE384E" w14:textId="77777777" w:rsidR="009C2B49" w:rsidRPr="00FB6CEA" w:rsidRDefault="009C2B49">
            <w:pPr>
              <w:jc w:val="center"/>
              <w:rPr>
                <w:spacing w:val="-2"/>
                <w:szCs w:val="28"/>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D82BCDD" w14:textId="77777777" w:rsidR="009C2B49" w:rsidRPr="00FB6CEA" w:rsidRDefault="009C2B49">
            <w:pPr>
              <w:jc w:val="center"/>
              <w:rPr>
                <w:spacing w:val="-2"/>
                <w:szCs w:val="28"/>
                <w:lang w:eastAsia="lv-LV"/>
              </w:rPr>
            </w:pPr>
            <w:r w:rsidRPr="00FB6CEA">
              <w:rPr>
                <w:spacing w:val="-2"/>
                <w:lang w:eastAsia="lv-LV"/>
              </w:rPr>
              <w:t>0</w:t>
            </w:r>
          </w:p>
        </w:tc>
      </w:tr>
      <w:tr w:rsidR="009C2B49" w:rsidRPr="00FB6CEA" w14:paraId="2C4FC2FF"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E2C5DA8" w14:textId="77777777" w:rsidR="009C2B49" w:rsidRPr="00FB6CEA" w:rsidRDefault="009C2B49">
            <w:pPr>
              <w:rPr>
                <w:iCs/>
                <w:spacing w:val="-2"/>
                <w:lang w:eastAsia="lv-LV"/>
              </w:rPr>
            </w:pPr>
            <w:r w:rsidRPr="00FB6CEA">
              <w:rPr>
                <w:iCs/>
                <w:spacing w:val="-2"/>
                <w:lang w:eastAsia="lv-LV"/>
              </w:rPr>
              <w:t>1.1. valsts pamatbudžets, tai skaitā ieņēmumi no maksas pakalpojumiem un citi pašu ieņēmumi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711C993" w14:textId="77777777" w:rsidR="009C2B49" w:rsidRPr="00FB6CEA" w:rsidRDefault="009C2B49">
            <w:pPr>
              <w:jc w:val="center"/>
              <w:rPr>
                <w:spacing w:val="-2"/>
                <w:szCs w:val="28"/>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06EFA8D" w14:textId="77777777" w:rsidR="009C2B49" w:rsidRPr="00FB6CEA" w:rsidRDefault="009C2B49">
            <w:pPr>
              <w:jc w:val="center"/>
              <w:rPr>
                <w:spacing w:val="-2"/>
                <w:szCs w:val="28"/>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C8EA74C" w14:textId="77777777" w:rsidR="009C2B49" w:rsidRPr="00FB6CEA" w:rsidRDefault="009C2B49">
            <w:pPr>
              <w:jc w:val="center"/>
              <w:rPr>
                <w:spacing w:val="-2"/>
                <w:szCs w:val="28"/>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47B4F1AA" w14:textId="77777777" w:rsidR="009C2B49" w:rsidRPr="00FB6CEA" w:rsidRDefault="009C2B49">
            <w:pPr>
              <w:jc w:val="center"/>
              <w:rPr>
                <w:spacing w:val="-2"/>
                <w:szCs w:val="28"/>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3A7F103" w14:textId="77777777" w:rsidR="009C2B49" w:rsidRPr="00FB6CEA" w:rsidRDefault="009C2B49">
            <w:pPr>
              <w:jc w:val="center"/>
              <w:rPr>
                <w:spacing w:val="-2"/>
                <w:szCs w:val="28"/>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D5A2EE" w14:textId="77777777" w:rsidR="009C2B49" w:rsidRPr="00FB6CEA" w:rsidRDefault="009C2B49">
            <w:pPr>
              <w:jc w:val="center"/>
              <w:rPr>
                <w:spacing w:val="-2"/>
                <w:szCs w:val="28"/>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AD87010" w14:textId="77777777" w:rsidR="009C2B49" w:rsidRPr="00FB6CEA" w:rsidRDefault="009C2B49">
            <w:pPr>
              <w:jc w:val="center"/>
              <w:rPr>
                <w:spacing w:val="-2"/>
                <w:szCs w:val="28"/>
                <w:lang w:eastAsia="lv-LV"/>
              </w:rPr>
            </w:pPr>
            <w:r w:rsidRPr="00FB6CEA">
              <w:rPr>
                <w:spacing w:val="-2"/>
                <w:lang w:eastAsia="lv-LV"/>
              </w:rPr>
              <w:t>0</w:t>
            </w:r>
          </w:p>
        </w:tc>
      </w:tr>
      <w:tr w:rsidR="009C2B49" w:rsidRPr="00FB6CEA" w14:paraId="0AC4D619"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AF8786C" w14:textId="77777777" w:rsidR="009C2B49" w:rsidRPr="00FB6CEA" w:rsidRDefault="009C2B49">
            <w:pPr>
              <w:rPr>
                <w:iCs/>
                <w:spacing w:val="-2"/>
                <w:lang w:eastAsia="lv-LV"/>
              </w:rPr>
            </w:pPr>
            <w:r w:rsidRPr="00FB6CEA">
              <w:rPr>
                <w:iCs/>
                <w:spacing w:val="-2"/>
                <w:lang w:eastAsia="lv-LV"/>
              </w:rPr>
              <w:lastRenderedPageBreak/>
              <w:t>1.2. valsts speciālais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9307B28" w14:textId="77777777" w:rsidR="009C2B49" w:rsidRPr="00FB6CEA" w:rsidRDefault="009C2B49">
            <w:pPr>
              <w:jc w:val="center"/>
              <w:rPr>
                <w:spacing w:val="-2"/>
                <w:szCs w:val="28"/>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3F1A903" w14:textId="77777777" w:rsidR="009C2B49" w:rsidRPr="00FB6CEA" w:rsidRDefault="009C2B49">
            <w:pPr>
              <w:jc w:val="center"/>
              <w:rPr>
                <w:spacing w:val="-2"/>
                <w:szCs w:val="28"/>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78EDBF1D" w14:textId="77777777" w:rsidR="009C2B49" w:rsidRPr="00FB6CEA" w:rsidRDefault="009C2B49">
            <w:pPr>
              <w:jc w:val="center"/>
              <w:rPr>
                <w:spacing w:val="-2"/>
                <w:szCs w:val="28"/>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53C9B25F" w14:textId="77777777" w:rsidR="009C2B49" w:rsidRPr="00FB6CEA" w:rsidRDefault="009C2B49">
            <w:pPr>
              <w:jc w:val="center"/>
              <w:rPr>
                <w:spacing w:val="-2"/>
                <w:szCs w:val="28"/>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BCCC3A5" w14:textId="77777777" w:rsidR="009C2B49" w:rsidRPr="00FB6CEA" w:rsidRDefault="009C2B49">
            <w:pPr>
              <w:jc w:val="center"/>
              <w:rPr>
                <w:spacing w:val="-2"/>
                <w:szCs w:val="28"/>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7A88AC" w14:textId="77777777" w:rsidR="009C2B49" w:rsidRPr="00FB6CEA" w:rsidRDefault="009C2B49">
            <w:pPr>
              <w:jc w:val="center"/>
              <w:rPr>
                <w:spacing w:val="-2"/>
                <w:szCs w:val="28"/>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CDA38E0" w14:textId="77777777" w:rsidR="009C2B49" w:rsidRPr="00FB6CEA" w:rsidRDefault="009C2B49">
            <w:pPr>
              <w:jc w:val="center"/>
              <w:rPr>
                <w:spacing w:val="-2"/>
                <w:szCs w:val="28"/>
                <w:lang w:eastAsia="lv-LV"/>
              </w:rPr>
            </w:pPr>
            <w:r w:rsidRPr="00FB6CEA">
              <w:rPr>
                <w:spacing w:val="-2"/>
                <w:lang w:eastAsia="lv-LV"/>
              </w:rPr>
              <w:t>0</w:t>
            </w:r>
          </w:p>
        </w:tc>
      </w:tr>
      <w:tr w:rsidR="009C2B49" w:rsidRPr="00FB6CEA" w14:paraId="34717C22"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3C564623" w14:textId="77777777" w:rsidR="009C2B49" w:rsidRPr="00FB6CEA" w:rsidRDefault="009C2B49">
            <w:pPr>
              <w:rPr>
                <w:iCs/>
                <w:spacing w:val="-2"/>
                <w:lang w:eastAsia="lv-LV"/>
              </w:rPr>
            </w:pPr>
            <w:r w:rsidRPr="00FB6CEA">
              <w:rPr>
                <w:iCs/>
                <w:spacing w:val="-2"/>
                <w:lang w:eastAsia="lv-LV"/>
              </w:rPr>
              <w:t>1.3. pašvaldību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4CD8A60"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C4260A9"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98320CA"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468DC6B7" w14:textId="77777777" w:rsidR="009C2B49" w:rsidRPr="00FB6CEA" w:rsidRDefault="009C2B49">
            <w:pPr>
              <w:jc w:val="center"/>
              <w:rPr>
                <w:spacing w:val="-2"/>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80D3272"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5522B2"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620D3FE" w14:textId="77777777" w:rsidR="009C2B49" w:rsidRPr="00FB6CEA" w:rsidRDefault="009C2B49">
            <w:pPr>
              <w:jc w:val="center"/>
              <w:rPr>
                <w:spacing w:val="-2"/>
                <w:lang w:eastAsia="lv-LV"/>
              </w:rPr>
            </w:pPr>
            <w:r w:rsidRPr="00FB6CEA">
              <w:rPr>
                <w:spacing w:val="-2"/>
                <w:lang w:eastAsia="lv-LV"/>
              </w:rPr>
              <w:t>0</w:t>
            </w:r>
          </w:p>
        </w:tc>
      </w:tr>
      <w:tr w:rsidR="009C2B49" w:rsidRPr="00FB6CEA" w14:paraId="799523E9"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0B3FB6C" w14:textId="77777777" w:rsidR="009C2B49" w:rsidRPr="00FB6CEA" w:rsidRDefault="009C2B49">
            <w:pPr>
              <w:rPr>
                <w:iCs/>
                <w:spacing w:val="-2"/>
                <w:lang w:eastAsia="lv-LV"/>
              </w:rPr>
            </w:pPr>
            <w:r w:rsidRPr="00FB6CEA">
              <w:rPr>
                <w:iCs/>
                <w:spacing w:val="-2"/>
                <w:lang w:eastAsia="lv-LV"/>
              </w:rPr>
              <w:t>2. Budžeta izdevumi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3C11443"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1330064"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4CA2EE8E"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21A6A750" w14:textId="77777777" w:rsidR="009C2B49" w:rsidRPr="00FB6CEA" w:rsidRDefault="009C2B49">
            <w:pPr>
              <w:jc w:val="center"/>
              <w:rPr>
                <w:spacing w:val="-2"/>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16D66DB"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0F9B47"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AC4C3B7" w14:textId="77777777" w:rsidR="009C2B49" w:rsidRPr="00FB6CEA" w:rsidRDefault="009C2B49">
            <w:pPr>
              <w:jc w:val="center"/>
              <w:rPr>
                <w:spacing w:val="-2"/>
                <w:lang w:eastAsia="lv-LV"/>
              </w:rPr>
            </w:pPr>
            <w:r w:rsidRPr="00FB6CEA">
              <w:rPr>
                <w:spacing w:val="-2"/>
                <w:lang w:eastAsia="lv-LV"/>
              </w:rPr>
              <w:t>0</w:t>
            </w:r>
          </w:p>
        </w:tc>
      </w:tr>
      <w:tr w:rsidR="009C2B49" w:rsidRPr="00FB6CEA" w14:paraId="0109F967"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98F9914" w14:textId="77777777" w:rsidR="009C2B49" w:rsidRPr="00FB6CEA" w:rsidRDefault="009C2B49">
            <w:pPr>
              <w:rPr>
                <w:iCs/>
                <w:spacing w:val="-2"/>
                <w:lang w:eastAsia="lv-LV"/>
              </w:rPr>
            </w:pPr>
            <w:r w:rsidRPr="00FB6CEA">
              <w:rPr>
                <w:iCs/>
                <w:spacing w:val="-2"/>
                <w:lang w:eastAsia="lv-LV"/>
              </w:rPr>
              <w:t>2.1. valsts pamatbudžets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4F082C9"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59D62FC9"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08F418E6"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176BF218" w14:textId="77777777" w:rsidR="009C2B49" w:rsidRPr="00FB6CEA" w:rsidRDefault="009C2B49">
            <w:pPr>
              <w:jc w:val="center"/>
              <w:rPr>
                <w:spacing w:val="-2"/>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3334196"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067DA2F"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B29E384" w14:textId="77777777" w:rsidR="009C2B49" w:rsidRPr="00FB6CEA" w:rsidRDefault="009C2B49">
            <w:pPr>
              <w:jc w:val="center"/>
              <w:rPr>
                <w:spacing w:val="-2"/>
                <w:lang w:eastAsia="lv-LV"/>
              </w:rPr>
            </w:pPr>
            <w:r w:rsidRPr="00FB6CEA">
              <w:rPr>
                <w:spacing w:val="-2"/>
                <w:lang w:eastAsia="lv-LV"/>
              </w:rPr>
              <w:t>0</w:t>
            </w:r>
          </w:p>
        </w:tc>
      </w:tr>
      <w:tr w:rsidR="009C2B49" w:rsidRPr="00FB6CEA" w14:paraId="1B8E6983"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76B199FD" w14:textId="77777777" w:rsidR="009C2B49" w:rsidRPr="00FB6CEA" w:rsidRDefault="009C2B49">
            <w:pPr>
              <w:rPr>
                <w:iCs/>
                <w:spacing w:val="-2"/>
                <w:lang w:eastAsia="lv-LV"/>
              </w:rPr>
            </w:pPr>
            <w:r w:rsidRPr="00FB6CEA">
              <w:rPr>
                <w:iCs/>
                <w:spacing w:val="-2"/>
                <w:lang w:eastAsia="lv-LV"/>
              </w:rPr>
              <w:t>2.2. valsts speciālais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66D7A3F"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0F78128"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2228CD6"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7281B526" w14:textId="77777777" w:rsidR="009C2B49" w:rsidRPr="00FB6CEA" w:rsidRDefault="009C2B49">
            <w:pPr>
              <w:jc w:val="center"/>
              <w:rPr>
                <w:spacing w:val="-2"/>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50F5C1D"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4DBCF1"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65665DB" w14:textId="77777777" w:rsidR="009C2B49" w:rsidRPr="00FB6CEA" w:rsidRDefault="009C2B49">
            <w:pPr>
              <w:jc w:val="center"/>
              <w:rPr>
                <w:spacing w:val="-2"/>
                <w:lang w:eastAsia="lv-LV"/>
              </w:rPr>
            </w:pPr>
            <w:r w:rsidRPr="00FB6CEA">
              <w:rPr>
                <w:spacing w:val="-2"/>
                <w:lang w:eastAsia="lv-LV"/>
              </w:rPr>
              <w:t>0</w:t>
            </w:r>
          </w:p>
        </w:tc>
      </w:tr>
      <w:tr w:rsidR="009C2B49" w:rsidRPr="00FB6CEA" w14:paraId="27A3A98D"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41729018" w14:textId="77777777" w:rsidR="009C2B49" w:rsidRPr="00FB6CEA" w:rsidRDefault="009C2B49">
            <w:pPr>
              <w:rPr>
                <w:iCs/>
                <w:spacing w:val="-2"/>
                <w:lang w:eastAsia="lv-LV"/>
              </w:rPr>
            </w:pPr>
            <w:r w:rsidRPr="00FB6CEA">
              <w:rPr>
                <w:iCs/>
                <w:spacing w:val="-2"/>
                <w:lang w:eastAsia="lv-LV"/>
              </w:rPr>
              <w:t>2.3. pašvaldību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30EC9D3"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9618D14"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3E6E018C"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1D3E2410" w14:textId="77777777" w:rsidR="009C2B49" w:rsidRPr="00FB6CEA" w:rsidRDefault="009C2B49">
            <w:pPr>
              <w:jc w:val="center"/>
              <w:rPr>
                <w:spacing w:val="-2"/>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3FA493C"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D87150"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1800746" w14:textId="77777777" w:rsidR="009C2B49" w:rsidRPr="00FB6CEA" w:rsidRDefault="009C2B49">
            <w:pPr>
              <w:jc w:val="center"/>
              <w:rPr>
                <w:spacing w:val="-2"/>
                <w:lang w:eastAsia="lv-LV"/>
              </w:rPr>
            </w:pPr>
            <w:r w:rsidRPr="00FB6CEA">
              <w:rPr>
                <w:spacing w:val="-2"/>
                <w:lang w:eastAsia="lv-LV"/>
              </w:rPr>
              <w:t>0</w:t>
            </w:r>
          </w:p>
        </w:tc>
      </w:tr>
      <w:tr w:rsidR="009C2B49" w:rsidRPr="00FB6CEA" w14:paraId="1CA1B3D8"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4CAC44A3" w14:textId="77777777" w:rsidR="009C2B49" w:rsidRPr="00FB6CEA" w:rsidRDefault="009C2B49">
            <w:pPr>
              <w:rPr>
                <w:iCs/>
                <w:spacing w:val="-2"/>
                <w:lang w:eastAsia="lv-LV"/>
              </w:rPr>
            </w:pPr>
            <w:r w:rsidRPr="00FB6CEA">
              <w:rPr>
                <w:iCs/>
                <w:spacing w:val="-2"/>
                <w:lang w:eastAsia="lv-LV"/>
              </w:rPr>
              <w:t>3. Finansiālā ietekme</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7D21253"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2115A191"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5E3FFFB"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26E024E4" w14:textId="77777777" w:rsidR="009C2B49" w:rsidRPr="00FB6CEA" w:rsidRDefault="009C2B49">
            <w:pPr>
              <w:jc w:val="center"/>
              <w:rPr>
                <w:spacing w:val="-2"/>
                <w:szCs w:val="28"/>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FF3F718"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5B63BB"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60DDB45" w14:textId="77777777" w:rsidR="009C2B49" w:rsidRPr="00FB6CEA" w:rsidRDefault="009C2B49">
            <w:pPr>
              <w:jc w:val="center"/>
              <w:rPr>
                <w:spacing w:val="-2"/>
                <w:lang w:eastAsia="lv-LV"/>
              </w:rPr>
            </w:pPr>
            <w:r w:rsidRPr="00FB6CEA">
              <w:rPr>
                <w:spacing w:val="-2"/>
                <w:lang w:eastAsia="lv-LV"/>
              </w:rPr>
              <w:t>0</w:t>
            </w:r>
          </w:p>
        </w:tc>
      </w:tr>
      <w:tr w:rsidR="009C2B49" w:rsidRPr="00FB6CEA" w14:paraId="3BAFD6BC"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027D2DC7" w14:textId="77777777" w:rsidR="009C2B49" w:rsidRPr="00FB6CEA" w:rsidRDefault="009C2B49">
            <w:pPr>
              <w:rPr>
                <w:iCs/>
                <w:spacing w:val="-2"/>
                <w:lang w:eastAsia="lv-LV"/>
              </w:rPr>
            </w:pPr>
            <w:r w:rsidRPr="00FB6CEA">
              <w:rPr>
                <w:iCs/>
                <w:spacing w:val="-2"/>
                <w:lang w:eastAsia="lv-LV"/>
              </w:rPr>
              <w:t>3.1. valsts pamatbudžets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751E9A3"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3C7CCA7D"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1A70F7B4"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7ADB6325" w14:textId="77777777" w:rsidR="009C2B49" w:rsidRPr="00FB6CEA" w:rsidRDefault="009C2B49">
            <w:pPr>
              <w:jc w:val="center"/>
              <w:rPr>
                <w:spacing w:val="-2"/>
                <w:szCs w:val="28"/>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D776978"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15F123"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9D0D608" w14:textId="77777777" w:rsidR="009C2B49" w:rsidRPr="00FB6CEA" w:rsidRDefault="009C2B49">
            <w:pPr>
              <w:jc w:val="center"/>
              <w:rPr>
                <w:spacing w:val="-2"/>
                <w:lang w:eastAsia="lv-LV"/>
              </w:rPr>
            </w:pPr>
            <w:r w:rsidRPr="00FB6CEA">
              <w:rPr>
                <w:spacing w:val="-2"/>
                <w:lang w:eastAsia="lv-LV"/>
              </w:rPr>
              <w:t>0</w:t>
            </w:r>
          </w:p>
        </w:tc>
      </w:tr>
      <w:tr w:rsidR="009C2B49" w:rsidRPr="00FB6CEA" w14:paraId="6FCB5F5F"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3CDBE5D" w14:textId="77777777" w:rsidR="009C2B49" w:rsidRPr="00FB6CEA" w:rsidRDefault="009C2B49">
            <w:pPr>
              <w:rPr>
                <w:iCs/>
                <w:spacing w:val="-2"/>
                <w:lang w:eastAsia="lv-LV"/>
              </w:rPr>
            </w:pPr>
            <w:r w:rsidRPr="00FB6CEA">
              <w:rPr>
                <w:iCs/>
                <w:spacing w:val="-2"/>
                <w:lang w:eastAsia="lv-LV"/>
              </w:rPr>
              <w:t>3.2. speciālais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70CEE58"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62089C5"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95248AB"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44BABCEF" w14:textId="77777777" w:rsidR="009C2B49" w:rsidRPr="00FB6CEA" w:rsidRDefault="009C2B49">
            <w:pPr>
              <w:jc w:val="center"/>
              <w:rPr>
                <w:spacing w:val="-2"/>
                <w:szCs w:val="28"/>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AEEFD7B"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7F3DA9"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56D5E67" w14:textId="77777777" w:rsidR="009C2B49" w:rsidRPr="00FB6CEA" w:rsidRDefault="009C2B49">
            <w:pPr>
              <w:jc w:val="center"/>
              <w:rPr>
                <w:spacing w:val="-2"/>
                <w:lang w:eastAsia="lv-LV"/>
              </w:rPr>
            </w:pPr>
            <w:r w:rsidRPr="00FB6CEA">
              <w:rPr>
                <w:spacing w:val="-2"/>
                <w:lang w:eastAsia="lv-LV"/>
              </w:rPr>
              <w:t>0</w:t>
            </w:r>
          </w:p>
        </w:tc>
      </w:tr>
      <w:tr w:rsidR="009C2B49" w:rsidRPr="00FB6CEA" w14:paraId="5DF2DCF6"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816A410" w14:textId="77777777" w:rsidR="009C2B49" w:rsidRPr="00FB6CEA" w:rsidRDefault="009C2B49">
            <w:pPr>
              <w:rPr>
                <w:iCs/>
                <w:spacing w:val="-2"/>
                <w:lang w:eastAsia="lv-LV"/>
              </w:rPr>
            </w:pPr>
            <w:r w:rsidRPr="00FB6CEA">
              <w:rPr>
                <w:iCs/>
                <w:spacing w:val="-2"/>
                <w:lang w:eastAsia="lv-LV"/>
              </w:rPr>
              <w:t>3.3. pašvaldību budžets</w:t>
            </w:r>
          </w:p>
        </w:tc>
        <w:tc>
          <w:tcPr>
            <w:tcW w:w="1067" w:type="dxa"/>
            <w:tcBorders>
              <w:top w:val="outset" w:sz="6" w:space="0" w:color="auto"/>
              <w:left w:val="outset" w:sz="6" w:space="0" w:color="auto"/>
              <w:bottom w:val="outset" w:sz="6" w:space="0" w:color="auto"/>
              <w:right w:val="outset" w:sz="6" w:space="0" w:color="auto"/>
            </w:tcBorders>
            <w:vAlign w:val="center"/>
            <w:hideMark/>
          </w:tcPr>
          <w:p w14:paraId="47A0F106"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044B4CA6"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57C82B22"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352BA559" w14:textId="77777777" w:rsidR="009C2B49" w:rsidRPr="00FB6CEA" w:rsidRDefault="009C2B49">
            <w:pPr>
              <w:jc w:val="center"/>
              <w:rPr>
                <w:spacing w:val="-2"/>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67313AF"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7C6FDEF"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808A01A" w14:textId="77777777" w:rsidR="009C2B49" w:rsidRPr="00FB6CEA" w:rsidRDefault="009C2B49">
            <w:pPr>
              <w:jc w:val="center"/>
              <w:rPr>
                <w:spacing w:val="-2"/>
                <w:lang w:eastAsia="lv-LV"/>
              </w:rPr>
            </w:pPr>
            <w:r w:rsidRPr="00FB6CEA">
              <w:rPr>
                <w:spacing w:val="-2"/>
                <w:lang w:eastAsia="lv-LV"/>
              </w:rPr>
              <w:t>0</w:t>
            </w:r>
          </w:p>
        </w:tc>
      </w:tr>
      <w:tr w:rsidR="009C2B49" w:rsidRPr="00FB6CEA" w14:paraId="3A90D074"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4913A933" w14:textId="77777777" w:rsidR="009C2B49" w:rsidRPr="00FB6CEA" w:rsidRDefault="009C2B49">
            <w:pPr>
              <w:rPr>
                <w:iCs/>
                <w:spacing w:val="-2"/>
                <w:lang w:eastAsia="lv-LV"/>
              </w:rPr>
            </w:pPr>
            <w:r w:rsidRPr="00FB6CEA">
              <w:rPr>
                <w:iCs/>
                <w:spacing w:val="-2"/>
                <w:lang w:eastAsia="lv-LV"/>
              </w:rPr>
              <w:t>4. Finanšu līdzekļi papildu izdevumu finansēšanai (kompensējošu izdevumu samazinājumu norāda ar "+" zīmi)</w:t>
            </w:r>
          </w:p>
        </w:tc>
        <w:tc>
          <w:tcPr>
            <w:tcW w:w="1067" w:type="dxa"/>
            <w:tcBorders>
              <w:top w:val="outset" w:sz="6" w:space="0" w:color="auto"/>
              <w:left w:val="outset" w:sz="6" w:space="0" w:color="auto"/>
              <w:bottom w:val="outset" w:sz="6" w:space="0" w:color="auto"/>
              <w:right w:val="outset" w:sz="6" w:space="0" w:color="auto"/>
            </w:tcBorders>
            <w:vAlign w:val="center"/>
            <w:hideMark/>
          </w:tcPr>
          <w:p w14:paraId="124EEF95" w14:textId="77777777" w:rsidR="009C2B49" w:rsidRPr="00FB6CEA" w:rsidRDefault="009C2B49">
            <w:pPr>
              <w:jc w:val="center"/>
              <w:rPr>
                <w:spacing w:val="-2"/>
                <w:lang w:eastAsia="lv-LV"/>
              </w:rPr>
            </w:pPr>
            <w:r w:rsidRPr="00FB6CEA">
              <w:rPr>
                <w:spacing w:val="-2"/>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7949E9BD" w14:textId="77777777" w:rsidR="009C2B49" w:rsidRPr="00FB6CEA" w:rsidRDefault="009C2B49">
            <w:pPr>
              <w:jc w:val="center"/>
              <w:rPr>
                <w:spacing w:val="-2"/>
                <w:lang w:eastAsia="lv-LV"/>
              </w:rPr>
            </w:pPr>
            <w:r w:rsidRPr="00FB6CEA">
              <w:rPr>
                <w:spacing w:val="-2"/>
                <w:lang w:eastAsia="lv-LV"/>
              </w:rPr>
              <w:t>0</w:t>
            </w:r>
          </w:p>
        </w:tc>
        <w:tc>
          <w:tcPr>
            <w:tcW w:w="905" w:type="dxa"/>
            <w:tcBorders>
              <w:top w:val="outset" w:sz="6" w:space="0" w:color="auto"/>
              <w:left w:val="outset" w:sz="6" w:space="0" w:color="auto"/>
              <w:bottom w:val="outset" w:sz="6" w:space="0" w:color="auto"/>
              <w:right w:val="outset" w:sz="6" w:space="0" w:color="auto"/>
            </w:tcBorders>
            <w:vAlign w:val="center"/>
            <w:hideMark/>
          </w:tcPr>
          <w:p w14:paraId="2398E3DC" w14:textId="77777777" w:rsidR="009C2B49" w:rsidRPr="00FB6CEA" w:rsidRDefault="009C2B49">
            <w:pPr>
              <w:jc w:val="center"/>
              <w:rPr>
                <w:spacing w:val="-2"/>
                <w:lang w:eastAsia="lv-LV"/>
              </w:rPr>
            </w:pPr>
            <w:r w:rsidRPr="00FB6CEA">
              <w:rPr>
                <w:spacing w:val="-2"/>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3B6A2D7D" w14:textId="77777777" w:rsidR="009C2B49" w:rsidRPr="00FB6CEA" w:rsidRDefault="009C2B49">
            <w:pPr>
              <w:jc w:val="center"/>
              <w:rPr>
                <w:spacing w:val="-2"/>
                <w:lang w:eastAsia="lv-LV"/>
              </w:rPr>
            </w:pPr>
            <w:r w:rsidRPr="00FB6CEA">
              <w:rPr>
                <w:spacing w:val="-2"/>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35FE195" w14:textId="77777777" w:rsidR="009C2B49" w:rsidRPr="00FB6CEA" w:rsidRDefault="009C2B49">
            <w:pPr>
              <w:jc w:val="center"/>
              <w:rPr>
                <w:spacing w:val="-2"/>
                <w:lang w:eastAsia="lv-LV"/>
              </w:rPr>
            </w:pPr>
            <w:r w:rsidRPr="00FB6CEA">
              <w:rPr>
                <w:spacing w:val="-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5E14C7" w14:textId="77777777" w:rsidR="009C2B49" w:rsidRPr="00FB6CEA" w:rsidRDefault="009C2B49">
            <w:pPr>
              <w:jc w:val="center"/>
              <w:rPr>
                <w:spacing w:val="-2"/>
                <w:lang w:eastAsia="lv-LV"/>
              </w:rPr>
            </w:pPr>
            <w:r w:rsidRPr="00FB6CEA">
              <w:rPr>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44FF5AC" w14:textId="77777777" w:rsidR="009C2B49" w:rsidRPr="00FB6CEA" w:rsidRDefault="009C2B49">
            <w:pPr>
              <w:jc w:val="center"/>
              <w:rPr>
                <w:spacing w:val="-2"/>
                <w:lang w:eastAsia="lv-LV"/>
              </w:rPr>
            </w:pPr>
            <w:r w:rsidRPr="00FB6CEA">
              <w:rPr>
                <w:spacing w:val="-2"/>
                <w:lang w:eastAsia="lv-LV"/>
              </w:rPr>
              <w:t>0</w:t>
            </w:r>
          </w:p>
        </w:tc>
      </w:tr>
      <w:tr w:rsidR="009C2B49" w:rsidRPr="00FB6CEA" w14:paraId="2964C93D"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099CD7A" w14:textId="77777777" w:rsidR="009C2B49" w:rsidRPr="00FB6CEA" w:rsidRDefault="009C2B49">
            <w:pPr>
              <w:rPr>
                <w:iCs/>
                <w:spacing w:val="-2"/>
                <w:lang w:eastAsia="lv-LV"/>
              </w:rPr>
            </w:pPr>
            <w:r w:rsidRPr="00FB6CEA">
              <w:rPr>
                <w:iCs/>
                <w:spacing w:val="-2"/>
                <w:lang w:eastAsia="lv-LV"/>
              </w:rPr>
              <w:t>5. Precizēta finansiālā ietekme</w:t>
            </w:r>
          </w:p>
        </w:tc>
        <w:tc>
          <w:tcPr>
            <w:tcW w:w="1067" w:type="dxa"/>
            <w:vMerge w:val="restart"/>
            <w:tcBorders>
              <w:top w:val="outset" w:sz="6" w:space="0" w:color="auto"/>
              <w:left w:val="outset" w:sz="6" w:space="0" w:color="auto"/>
              <w:bottom w:val="outset" w:sz="6" w:space="0" w:color="auto"/>
              <w:right w:val="outset" w:sz="6" w:space="0" w:color="auto"/>
            </w:tcBorders>
            <w:vAlign w:val="center"/>
            <w:hideMark/>
          </w:tcPr>
          <w:p w14:paraId="076CAB46" w14:textId="77777777" w:rsidR="009C2B49" w:rsidRPr="00FB6CEA" w:rsidRDefault="009C2B49">
            <w:pPr>
              <w:jc w:val="center"/>
              <w:rPr>
                <w:spacing w:val="-2"/>
                <w:szCs w:val="28"/>
                <w:lang w:eastAsia="lv-LV"/>
              </w:rPr>
            </w:pPr>
            <w:r w:rsidRPr="00FB6CEA">
              <w:rPr>
                <w:spacing w:val="-2"/>
                <w:szCs w:val="28"/>
                <w:lang w:eastAsia="lv-LV"/>
              </w:rPr>
              <w:t>x</w:t>
            </w:r>
          </w:p>
        </w:tc>
        <w:tc>
          <w:tcPr>
            <w:tcW w:w="1067" w:type="dxa"/>
            <w:tcBorders>
              <w:top w:val="outset" w:sz="6" w:space="0" w:color="auto"/>
              <w:left w:val="outset" w:sz="6" w:space="0" w:color="auto"/>
              <w:bottom w:val="outset" w:sz="6" w:space="0" w:color="auto"/>
              <w:right w:val="outset" w:sz="6" w:space="0" w:color="auto"/>
            </w:tcBorders>
            <w:vAlign w:val="center"/>
            <w:hideMark/>
          </w:tcPr>
          <w:p w14:paraId="6EF349C2" w14:textId="77777777" w:rsidR="009C2B49" w:rsidRPr="00FB6CEA" w:rsidRDefault="009C2B49">
            <w:pPr>
              <w:jc w:val="center"/>
              <w:rPr>
                <w:spacing w:val="-2"/>
                <w:szCs w:val="28"/>
                <w:lang w:eastAsia="lv-LV"/>
              </w:rPr>
            </w:pPr>
            <w:r w:rsidRPr="00FB6CEA">
              <w:rPr>
                <w:spacing w:val="-2"/>
                <w:szCs w:val="28"/>
                <w:lang w:eastAsia="lv-LV"/>
              </w:rPr>
              <w:t>0</w:t>
            </w:r>
          </w:p>
        </w:tc>
        <w:tc>
          <w:tcPr>
            <w:tcW w:w="905" w:type="dxa"/>
            <w:vMerge w:val="restart"/>
            <w:tcBorders>
              <w:top w:val="outset" w:sz="6" w:space="0" w:color="auto"/>
              <w:left w:val="outset" w:sz="6" w:space="0" w:color="auto"/>
              <w:bottom w:val="outset" w:sz="6" w:space="0" w:color="auto"/>
              <w:right w:val="outset" w:sz="6" w:space="0" w:color="auto"/>
            </w:tcBorders>
            <w:vAlign w:val="center"/>
            <w:hideMark/>
          </w:tcPr>
          <w:p w14:paraId="06619390" w14:textId="77777777" w:rsidR="009C2B49" w:rsidRPr="00FB6CEA" w:rsidRDefault="009C2B49">
            <w:pPr>
              <w:jc w:val="center"/>
              <w:rPr>
                <w:spacing w:val="-2"/>
                <w:szCs w:val="28"/>
                <w:lang w:eastAsia="lv-LV"/>
              </w:rPr>
            </w:pPr>
            <w:r w:rsidRPr="00FB6CEA">
              <w:rPr>
                <w:spacing w:val="-2"/>
                <w:szCs w:val="28"/>
                <w:lang w:eastAsia="lv-LV"/>
              </w:rPr>
              <w:t>x</w:t>
            </w:r>
          </w:p>
        </w:tc>
        <w:tc>
          <w:tcPr>
            <w:tcW w:w="1265" w:type="dxa"/>
            <w:tcBorders>
              <w:top w:val="outset" w:sz="6" w:space="0" w:color="auto"/>
              <w:left w:val="outset" w:sz="6" w:space="0" w:color="auto"/>
              <w:bottom w:val="outset" w:sz="6" w:space="0" w:color="auto"/>
              <w:right w:val="outset" w:sz="6" w:space="0" w:color="auto"/>
            </w:tcBorders>
            <w:vAlign w:val="center"/>
            <w:hideMark/>
          </w:tcPr>
          <w:p w14:paraId="6866A6FE" w14:textId="77777777" w:rsidR="009C2B49" w:rsidRPr="00FB6CEA" w:rsidRDefault="009C2B49">
            <w:pPr>
              <w:jc w:val="center"/>
              <w:rPr>
                <w:spacing w:val="-2"/>
                <w:szCs w:val="28"/>
                <w:lang w:eastAsia="lv-LV"/>
              </w:rPr>
            </w:pPr>
            <w:r w:rsidRPr="00FB6CEA">
              <w:rPr>
                <w:spacing w:val="-2"/>
                <w:szCs w:val="28"/>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45215A81" w14:textId="77777777" w:rsidR="009C2B49" w:rsidRPr="00FB6CEA" w:rsidRDefault="009C2B49">
            <w:pPr>
              <w:jc w:val="center"/>
              <w:rPr>
                <w:spacing w:val="-2"/>
                <w:szCs w:val="28"/>
                <w:lang w:eastAsia="lv-LV"/>
              </w:rPr>
            </w:pPr>
            <w:r w:rsidRPr="00FB6CEA">
              <w:rPr>
                <w:spacing w:val="-2"/>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99E6D9" w14:textId="77777777" w:rsidR="009C2B49" w:rsidRPr="00FB6CEA" w:rsidRDefault="009C2B49">
            <w:pPr>
              <w:jc w:val="center"/>
              <w:rPr>
                <w:spacing w:val="-2"/>
                <w:szCs w:val="28"/>
                <w:lang w:eastAsia="lv-LV"/>
              </w:rPr>
            </w:pPr>
            <w:r w:rsidRPr="00FB6CEA">
              <w:rPr>
                <w:spacing w:val="-2"/>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A39E075" w14:textId="77777777" w:rsidR="009C2B49" w:rsidRPr="00FB6CEA" w:rsidRDefault="009C2B49">
            <w:pPr>
              <w:jc w:val="center"/>
              <w:rPr>
                <w:spacing w:val="-2"/>
                <w:szCs w:val="28"/>
                <w:lang w:eastAsia="lv-LV"/>
              </w:rPr>
            </w:pPr>
            <w:r w:rsidRPr="00FB6CEA">
              <w:rPr>
                <w:spacing w:val="-2"/>
                <w:szCs w:val="28"/>
                <w:lang w:eastAsia="lv-LV"/>
              </w:rPr>
              <w:t>0</w:t>
            </w:r>
          </w:p>
        </w:tc>
      </w:tr>
      <w:tr w:rsidR="009C2B49" w:rsidRPr="00FB6CEA" w14:paraId="4E7AF562"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1A88EFBF" w14:textId="77777777" w:rsidR="009C2B49" w:rsidRPr="00FB6CEA" w:rsidRDefault="009C2B49">
            <w:pPr>
              <w:rPr>
                <w:iCs/>
                <w:spacing w:val="-2"/>
                <w:lang w:eastAsia="lv-LV"/>
              </w:rPr>
            </w:pPr>
            <w:r w:rsidRPr="00FB6CEA">
              <w:rPr>
                <w:iCs/>
                <w:spacing w:val="-2"/>
                <w:lang w:eastAsia="lv-LV"/>
              </w:rPr>
              <w:t>5.1. valsts pamatbudžets</w:t>
            </w:r>
          </w:p>
        </w:tc>
        <w:tc>
          <w:tcPr>
            <w:tcW w:w="7437" w:type="dxa"/>
            <w:vMerge/>
            <w:tcBorders>
              <w:top w:val="outset" w:sz="6" w:space="0" w:color="auto"/>
              <w:left w:val="outset" w:sz="6" w:space="0" w:color="auto"/>
              <w:bottom w:val="outset" w:sz="6" w:space="0" w:color="auto"/>
              <w:right w:val="outset" w:sz="6" w:space="0" w:color="auto"/>
            </w:tcBorders>
            <w:vAlign w:val="center"/>
            <w:hideMark/>
          </w:tcPr>
          <w:p w14:paraId="126229E9" w14:textId="77777777" w:rsidR="009C2B49" w:rsidRPr="00FB6CEA" w:rsidRDefault="009C2B49">
            <w:pPr>
              <w:rPr>
                <w:spacing w:val="-2"/>
                <w:szCs w:val="28"/>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5AEE99F9" w14:textId="77777777" w:rsidR="009C2B49" w:rsidRPr="00FB6CEA" w:rsidRDefault="009C2B49">
            <w:pPr>
              <w:jc w:val="center"/>
              <w:rPr>
                <w:iCs/>
                <w:spacing w:val="-2"/>
                <w:lang w:eastAsia="lv-LV"/>
              </w:rPr>
            </w:pPr>
            <w:r w:rsidRPr="00FB6CEA">
              <w:rPr>
                <w:iCs/>
                <w:spacing w:val="-2"/>
                <w:lang w:eastAsia="lv-LV"/>
              </w:rPr>
              <w:t>0</w:t>
            </w:r>
          </w:p>
        </w:tc>
        <w:tc>
          <w:tcPr>
            <w:tcW w:w="5273" w:type="dxa"/>
            <w:vMerge/>
            <w:tcBorders>
              <w:top w:val="outset" w:sz="6" w:space="0" w:color="auto"/>
              <w:left w:val="outset" w:sz="6" w:space="0" w:color="auto"/>
              <w:bottom w:val="outset" w:sz="6" w:space="0" w:color="auto"/>
              <w:right w:val="outset" w:sz="6" w:space="0" w:color="auto"/>
            </w:tcBorders>
            <w:vAlign w:val="center"/>
            <w:hideMark/>
          </w:tcPr>
          <w:p w14:paraId="0E95C67E" w14:textId="77777777" w:rsidR="009C2B49" w:rsidRPr="00FB6CEA" w:rsidRDefault="009C2B49">
            <w:pPr>
              <w:rPr>
                <w:spacing w:val="-2"/>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22EC8BDE" w14:textId="77777777" w:rsidR="009C2B49" w:rsidRPr="00FB6CEA" w:rsidRDefault="009C2B49">
            <w:pPr>
              <w:jc w:val="center"/>
              <w:rPr>
                <w:iCs/>
                <w:spacing w:val="-2"/>
                <w:lang w:eastAsia="lv-LV"/>
              </w:rPr>
            </w:pPr>
            <w:r w:rsidRPr="00FB6CEA">
              <w:rPr>
                <w:iCs/>
                <w:spacing w:val="-2"/>
                <w:lang w:eastAsia="lv-LV"/>
              </w:rPr>
              <w:t>0</w:t>
            </w:r>
          </w:p>
        </w:tc>
        <w:tc>
          <w:tcPr>
            <w:tcW w:w="1924" w:type="dxa"/>
            <w:vMerge/>
            <w:tcBorders>
              <w:top w:val="outset" w:sz="6" w:space="0" w:color="auto"/>
              <w:left w:val="outset" w:sz="6" w:space="0" w:color="auto"/>
              <w:bottom w:val="outset" w:sz="6" w:space="0" w:color="auto"/>
              <w:right w:val="outset" w:sz="6" w:space="0" w:color="auto"/>
            </w:tcBorders>
            <w:vAlign w:val="center"/>
            <w:hideMark/>
          </w:tcPr>
          <w:p w14:paraId="67BE910C" w14:textId="77777777" w:rsidR="009C2B49" w:rsidRPr="00FB6CEA" w:rsidRDefault="009C2B49">
            <w:pPr>
              <w:rPr>
                <w:spacing w:val="-2"/>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4CF6B8E" w14:textId="77777777" w:rsidR="009C2B49" w:rsidRPr="00FB6CEA" w:rsidRDefault="009C2B49">
            <w:pPr>
              <w:jc w:val="center"/>
              <w:rPr>
                <w:iCs/>
                <w:spacing w:val="-2"/>
                <w:lang w:eastAsia="lv-LV"/>
              </w:rPr>
            </w:pPr>
            <w:r w:rsidRPr="00FB6CEA">
              <w:rPr>
                <w:iCs/>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45DD32A" w14:textId="77777777" w:rsidR="009C2B49" w:rsidRPr="00FB6CEA" w:rsidRDefault="009C2B49">
            <w:pPr>
              <w:jc w:val="center"/>
              <w:rPr>
                <w:iCs/>
                <w:spacing w:val="-2"/>
                <w:lang w:eastAsia="lv-LV"/>
              </w:rPr>
            </w:pPr>
            <w:r w:rsidRPr="00FB6CEA">
              <w:rPr>
                <w:iCs/>
                <w:spacing w:val="-2"/>
                <w:lang w:eastAsia="lv-LV"/>
              </w:rPr>
              <w:t>0</w:t>
            </w:r>
          </w:p>
        </w:tc>
      </w:tr>
      <w:tr w:rsidR="009C2B49" w:rsidRPr="00FB6CEA" w14:paraId="30E4BA6E"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E2485A5" w14:textId="77777777" w:rsidR="009C2B49" w:rsidRPr="00FB6CEA" w:rsidRDefault="009C2B49">
            <w:pPr>
              <w:rPr>
                <w:iCs/>
                <w:spacing w:val="-2"/>
                <w:lang w:eastAsia="lv-LV"/>
              </w:rPr>
            </w:pPr>
            <w:r w:rsidRPr="00FB6CEA">
              <w:rPr>
                <w:iCs/>
                <w:spacing w:val="-2"/>
                <w:lang w:eastAsia="lv-LV"/>
              </w:rPr>
              <w:t>5.2. speciālais budžets</w:t>
            </w:r>
          </w:p>
        </w:tc>
        <w:tc>
          <w:tcPr>
            <w:tcW w:w="7437" w:type="dxa"/>
            <w:vMerge/>
            <w:tcBorders>
              <w:top w:val="outset" w:sz="6" w:space="0" w:color="auto"/>
              <w:left w:val="outset" w:sz="6" w:space="0" w:color="auto"/>
              <w:bottom w:val="outset" w:sz="6" w:space="0" w:color="auto"/>
              <w:right w:val="outset" w:sz="6" w:space="0" w:color="auto"/>
            </w:tcBorders>
            <w:vAlign w:val="center"/>
            <w:hideMark/>
          </w:tcPr>
          <w:p w14:paraId="3A27EB00" w14:textId="77777777" w:rsidR="009C2B49" w:rsidRPr="00FB6CEA" w:rsidRDefault="009C2B49">
            <w:pPr>
              <w:rPr>
                <w:spacing w:val="-2"/>
                <w:szCs w:val="28"/>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286F3399" w14:textId="77777777" w:rsidR="009C2B49" w:rsidRPr="00FB6CEA" w:rsidRDefault="009C2B49">
            <w:pPr>
              <w:jc w:val="center"/>
              <w:rPr>
                <w:iCs/>
                <w:spacing w:val="-2"/>
                <w:lang w:eastAsia="lv-LV"/>
              </w:rPr>
            </w:pPr>
            <w:r w:rsidRPr="00FB6CEA">
              <w:rPr>
                <w:iCs/>
                <w:spacing w:val="-2"/>
                <w:lang w:eastAsia="lv-LV"/>
              </w:rPr>
              <w:t>0</w:t>
            </w:r>
          </w:p>
        </w:tc>
        <w:tc>
          <w:tcPr>
            <w:tcW w:w="5273" w:type="dxa"/>
            <w:vMerge/>
            <w:tcBorders>
              <w:top w:val="outset" w:sz="6" w:space="0" w:color="auto"/>
              <w:left w:val="outset" w:sz="6" w:space="0" w:color="auto"/>
              <w:bottom w:val="outset" w:sz="6" w:space="0" w:color="auto"/>
              <w:right w:val="outset" w:sz="6" w:space="0" w:color="auto"/>
            </w:tcBorders>
            <w:vAlign w:val="center"/>
            <w:hideMark/>
          </w:tcPr>
          <w:p w14:paraId="4D1B2AD4" w14:textId="77777777" w:rsidR="009C2B49" w:rsidRPr="00FB6CEA" w:rsidRDefault="009C2B49">
            <w:pPr>
              <w:rPr>
                <w:spacing w:val="-2"/>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2646F457" w14:textId="77777777" w:rsidR="009C2B49" w:rsidRPr="00FB6CEA" w:rsidRDefault="009C2B49">
            <w:pPr>
              <w:jc w:val="center"/>
              <w:rPr>
                <w:iCs/>
                <w:spacing w:val="-2"/>
                <w:lang w:eastAsia="lv-LV"/>
              </w:rPr>
            </w:pPr>
            <w:r w:rsidRPr="00FB6CEA">
              <w:rPr>
                <w:iCs/>
                <w:spacing w:val="-2"/>
                <w:lang w:eastAsia="lv-LV"/>
              </w:rPr>
              <w:t>0</w:t>
            </w:r>
          </w:p>
        </w:tc>
        <w:tc>
          <w:tcPr>
            <w:tcW w:w="1924" w:type="dxa"/>
            <w:vMerge/>
            <w:tcBorders>
              <w:top w:val="outset" w:sz="6" w:space="0" w:color="auto"/>
              <w:left w:val="outset" w:sz="6" w:space="0" w:color="auto"/>
              <w:bottom w:val="outset" w:sz="6" w:space="0" w:color="auto"/>
              <w:right w:val="outset" w:sz="6" w:space="0" w:color="auto"/>
            </w:tcBorders>
            <w:vAlign w:val="center"/>
            <w:hideMark/>
          </w:tcPr>
          <w:p w14:paraId="0B18619C" w14:textId="77777777" w:rsidR="009C2B49" w:rsidRPr="00FB6CEA" w:rsidRDefault="009C2B49">
            <w:pPr>
              <w:rPr>
                <w:spacing w:val="-2"/>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1655365" w14:textId="77777777" w:rsidR="009C2B49" w:rsidRPr="00FB6CEA" w:rsidRDefault="009C2B49">
            <w:pPr>
              <w:jc w:val="center"/>
              <w:rPr>
                <w:iCs/>
                <w:spacing w:val="-2"/>
                <w:lang w:eastAsia="lv-LV"/>
              </w:rPr>
            </w:pPr>
            <w:r w:rsidRPr="00FB6CEA">
              <w:rPr>
                <w:iCs/>
                <w:spacing w:val="-2"/>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73D2C98" w14:textId="77777777" w:rsidR="009C2B49" w:rsidRPr="00FB6CEA" w:rsidRDefault="009C2B49">
            <w:pPr>
              <w:jc w:val="center"/>
              <w:rPr>
                <w:iCs/>
                <w:spacing w:val="-2"/>
                <w:lang w:eastAsia="lv-LV"/>
              </w:rPr>
            </w:pPr>
            <w:r w:rsidRPr="00FB6CEA">
              <w:rPr>
                <w:iCs/>
                <w:spacing w:val="-2"/>
                <w:lang w:eastAsia="lv-LV"/>
              </w:rPr>
              <w:t>0</w:t>
            </w:r>
          </w:p>
        </w:tc>
      </w:tr>
      <w:tr w:rsidR="009C2B49" w:rsidRPr="00FB6CEA" w14:paraId="03BC7141"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1D0E76D" w14:textId="77777777" w:rsidR="009C2B49" w:rsidRPr="00FB6CEA" w:rsidRDefault="009C2B49">
            <w:pPr>
              <w:rPr>
                <w:iCs/>
                <w:spacing w:val="-2"/>
                <w:lang w:eastAsia="lv-LV"/>
              </w:rPr>
            </w:pPr>
            <w:r w:rsidRPr="00FB6CEA">
              <w:rPr>
                <w:iCs/>
                <w:spacing w:val="-2"/>
                <w:lang w:eastAsia="lv-LV"/>
              </w:rPr>
              <w:t>5.3. pašvaldību budžets</w:t>
            </w:r>
          </w:p>
        </w:tc>
        <w:tc>
          <w:tcPr>
            <w:tcW w:w="7437" w:type="dxa"/>
            <w:vMerge/>
            <w:tcBorders>
              <w:top w:val="outset" w:sz="6" w:space="0" w:color="auto"/>
              <w:left w:val="outset" w:sz="6" w:space="0" w:color="auto"/>
              <w:bottom w:val="outset" w:sz="6" w:space="0" w:color="auto"/>
              <w:right w:val="outset" w:sz="6" w:space="0" w:color="auto"/>
            </w:tcBorders>
            <w:vAlign w:val="center"/>
            <w:hideMark/>
          </w:tcPr>
          <w:p w14:paraId="564B15CA" w14:textId="77777777" w:rsidR="009C2B49" w:rsidRPr="00FB6CEA" w:rsidRDefault="009C2B49">
            <w:pPr>
              <w:rPr>
                <w:spacing w:val="-2"/>
                <w:szCs w:val="28"/>
                <w:lang w:eastAsia="lv-LV"/>
              </w:rPr>
            </w:pPr>
          </w:p>
        </w:tc>
        <w:tc>
          <w:tcPr>
            <w:tcW w:w="1067" w:type="dxa"/>
            <w:tcBorders>
              <w:top w:val="outset" w:sz="6" w:space="0" w:color="auto"/>
              <w:left w:val="outset" w:sz="6" w:space="0" w:color="auto"/>
              <w:bottom w:val="outset" w:sz="6" w:space="0" w:color="auto"/>
              <w:right w:val="outset" w:sz="6" w:space="0" w:color="auto"/>
            </w:tcBorders>
            <w:vAlign w:val="center"/>
            <w:hideMark/>
          </w:tcPr>
          <w:p w14:paraId="198FD461" w14:textId="77777777" w:rsidR="009C2B49" w:rsidRPr="00FB6CEA" w:rsidRDefault="009C2B49">
            <w:pPr>
              <w:jc w:val="center"/>
              <w:rPr>
                <w:iCs/>
                <w:spacing w:val="-2"/>
                <w:lang w:eastAsia="lv-LV"/>
              </w:rPr>
            </w:pPr>
            <w:r w:rsidRPr="00FB6CEA">
              <w:rPr>
                <w:spacing w:val="-2"/>
                <w:szCs w:val="28"/>
                <w:lang w:eastAsia="lv-LV"/>
              </w:rPr>
              <w:t>0</w:t>
            </w:r>
          </w:p>
        </w:tc>
        <w:tc>
          <w:tcPr>
            <w:tcW w:w="5273" w:type="dxa"/>
            <w:vMerge/>
            <w:tcBorders>
              <w:top w:val="outset" w:sz="6" w:space="0" w:color="auto"/>
              <w:left w:val="outset" w:sz="6" w:space="0" w:color="auto"/>
              <w:bottom w:val="outset" w:sz="6" w:space="0" w:color="auto"/>
              <w:right w:val="outset" w:sz="6" w:space="0" w:color="auto"/>
            </w:tcBorders>
            <w:vAlign w:val="center"/>
            <w:hideMark/>
          </w:tcPr>
          <w:p w14:paraId="3DD35997" w14:textId="77777777" w:rsidR="009C2B49" w:rsidRPr="00FB6CEA" w:rsidRDefault="009C2B49">
            <w:pPr>
              <w:rPr>
                <w:spacing w:val="-2"/>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7020D337" w14:textId="77777777" w:rsidR="009C2B49" w:rsidRPr="00FB6CEA" w:rsidRDefault="009C2B49">
            <w:pPr>
              <w:jc w:val="center"/>
              <w:rPr>
                <w:iCs/>
                <w:spacing w:val="-2"/>
                <w:lang w:eastAsia="lv-LV"/>
              </w:rPr>
            </w:pPr>
            <w:r w:rsidRPr="00FB6CEA">
              <w:rPr>
                <w:spacing w:val="-2"/>
                <w:szCs w:val="28"/>
                <w:lang w:eastAsia="lv-LV"/>
              </w:rPr>
              <w:t>0</w:t>
            </w:r>
          </w:p>
        </w:tc>
        <w:tc>
          <w:tcPr>
            <w:tcW w:w="1924" w:type="dxa"/>
            <w:vMerge/>
            <w:tcBorders>
              <w:top w:val="outset" w:sz="6" w:space="0" w:color="auto"/>
              <w:left w:val="outset" w:sz="6" w:space="0" w:color="auto"/>
              <w:bottom w:val="outset" w:sz="6" w:space="0" w:color="auto"/>
              <w:right w:val="outset" w:sz="6" w:space="0" w:color="auto"/>
            </w:tcBorders>
            <w:vAlign w:val="center"/>
            <w:hideMark/>
          </w:tcPr>
          <w:p w14:paraId="3653CB42" w14:textId="77777777" w:rsidR="009C2B49" w:rsidRPr="00FB6CEA" w:rsidRDefault="009C2B49">
            <w:pPr>
              <w:rPr>
                <w:spacing w:val="-2"/>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7A97A91" w14:textId="77777777" w:rsidR="009C2B49" w:rsidRPr="00FB6CEA" w:rsidRDefault="009C2B49">
            <w:pPr>
              <w:jc w:val="center"/>
              <w:rPr>
                <w:iCs/>
                <w:spacing w:val="-2"/>
                <w:lang w:eastAsia="lv-LV"/>
              </w:rPr>
            </w:pPr>
            <w:r w:rsidRPr="00FB6CEA">
              <w:rPr>
                <w:spacing w:val="-2"/>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BCFF37A" w14:textId="77777777" w:rsidR="009C2B49" w:rsidRPr="00FB6CEA" w:rsidRDefault="009C2B49">
            <w:pPr>
              <w:jc w:val="center"/>
              <w:rPr>
                <w:iCs/>
                <w:spacing w:val="-2"/>
                <w:lang w:eastAsia="lv-LV"/>
              </w:rPr>
            </w:pPr>
            <w:r w:rsidRPr="00FB6CEA">
              <w:rPr>
                <w:spacing w:val="-2"/>
                <w:szCs w:val="28"/>
                <w:lang w:eastAsia="lv-LV"/>
              </w:rPr>
              <w:t>0</w:t>
            </w:r>
          </w:p>
        </w:tc>
      </w:tr>
      <w:tr w:rsidR="009C2B49" w:rsidRPr="00FB6CEA" w14:paraId="18002761"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6F518D99" w14:textId="77777777" w:rsidR="009C2B49" w:rsidRPr="00FB6CEA" w:rsidRDefault="009C2B49">
            <w:pPr>
              <w:rPr>
                <w:iCs/>
                <w:spacing w:val="-2"/>
                <w:lang w:eastAsia="lv-LV"/>
              </w:rPr>
            </w:pPr>
            <w:r w:rsidRPr="00FB6CEA">
              <w:rPr>
                <w:iCs/>
                <w:spacing w:val="-2"/>
                <w:lang w:eastAsia="lv-LV"/>
              </w:rPr>
              <w:t xml:space="preserve">6. Detalizēts ieņēmumu un izdevumu </w:t>
            </w:r>
            <w:r w:rsidRPr="00FB6CEA">
              <w:rPr>
                <w:iCs/>
                <w:spacing w:val="-2"/>
                <w:lang w:eastAsia="lv-LV"/>
              </w:rPr>
              <w:lastRenderedPageBreak/>
              <w:t>aprēķins (ja nepieciešams, detalizētu ieņēmumu un izdevumu aprēķinu var pievienot anotācijas pielikumā)</w:t>
            </w:r>
          </w:p>
        </w:tc>
        <w:tc>
          <w:tcPr>
            <w:tcW w:w="7467" w:type="dxa"/>
            <w:gridSpan w:val="7"/>
            <w:vMerge w:val="restart"/>
            <w:tcBorders>
              <w:top w:val="outset" w:sz="6" w:space="0" w:color="auto"/>
              <w:left w:val="outset" w:sz="6" w:space="0" w:color="auto"/>
              <w:bottom w:val="outset" w:sz="6" w:space="0" w:color="auto"/>
              <w:right w:val="outset" w:sz="6" w:space="0" w:color="auto"/>
            </w:tcBorders>
            <w:hideMark/>
          </w:tcPr>
          <w:p w14:paraId="26B20F42" w14:textId="77777777" w:rsidR="009C2B49" w:rsidRPr="00FB6CEA" w:rsidRDefault="009C2B49">
            <w:pPr>
              <w:jc w:val="both"/>
              <w:rPr>
                <w:spacing w:val="-2"/>
                <w:lang w:eastAsia="lv-LV"/>
              </w:rPr>
            </w:pPr>
            <w:r w:rsidRPr="00FB6CEA">
              <w:rPr>
                <w:spacing w:val="-2"/>
                <w:szCs w:val="28"/>
                <w:lang w:eastAsia="lv-LV"/>
              </w:rPr>
              <w:lastRenderedPageBreak/>
              <w:t>Nav attiecināms.</w:t>
            </w:r>
          </w:p>
        </w:tc>
      </w:tr>
      <w:tr w:rsidR="009C2B49" w:rsidRPr="00FB6CEA" w14:paraId="5D04FE22"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8F363E4" w14:textId="77777777" w:rsidR="009C2B49" w:rsidRPr="00FB6CEA" w:rsidRDefault="009C2B49">
            <w:pPr>
              <w:rPr>
                <w:iCs/>
                <w:spacing w:val="-2"/>
                <w:lang w:eastAsia="lv-LV"/>
              </w:rPr>
            </w:pPr>
            <w:r w:rsidRPr="00FB6CEA">
              <w:rPr>
                <w:iCs/>
                <w:spacing w:val="-2"/>
                <w:lang w:eastAsia="lv-LV"/>
              </w:rPr>
              <w:t>6.1. detalizēts ieņēmumu aprēķins</w:t>
            </w:r>
          </w:p>
        </w:tc>
        <w:tc>
          <w:tcPr>
            <w:tcW w:w="19204" w:type="dxa"/>
            <w:gridSpan w:val="7"/>
            <w:vMerge/>
            <w:tcBorders>
              <w:top w:val="outset" w:sz="6" w:space="0" w:color="auto"/>
              <w:left w:val="outset" w:sz="6" w:space="0" w:color="auto"/>
              <w:bottom w:val="outset" w:sz="6" w:space="0" w:color="auto"/>
              <w:right w:val="outset" w:sz="6" w:space="0" w:color="auto"/>
            </w:tcBorders>
            <w:vAlign w:val="center"/>
            <w:hideMark/>
          </w:tcPr>
          <w:p w14:paraId="0C4C0FC0" w14:textId="77777777" w:rsidR="009C2B49" w:rsidRPr="00FB6CEA" w:rsidRDefault="009C2B49">
            <w:pPr>
              <w:rPr>
                <w:spacing w:val="-2"/>
                <w:lang w:eastAsia="lv-LV"/>
              </w:rPr>
            </w:pPr>
          </w:p>
        </w:tc>
      </w:tr>
      <w:tr w:rsidR="009C2B49" w:rsidRPr="00FB6CEA" w14:paraId="7FE00931"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23963FD6" w14:textId="77777777" w:rsidR="009C2B49" w:rsidRPr="00FB6CEA" w:rsidRDefault="009C2B49">
            <w:pPr>
              <w:rPr>
                <w:iCs/>
                <w:spacing w:val="-2"/>
                <w:lang w:eastAsia="lv-LV"/>
              </w:rPr>
            </w:pPr>
            <w:r w:rsidRPr="00FB6CEA">
              <w:rPr>
                <w:iCs/>
                <w:spacing w:val="-2"/>
                <w:lang w:eastAsia="lv-LV"/>
              </w:rPr>
              <w:t>6.2. detalizēts izdevumu aprēķins</w:t>
            </w:r>
          </w:p>
        </w:tc>
        <w:tc>
          <w:tcPr>
            <w:tcW w:w="19204" w:type="dxa"/>
            <w:gridSpan w:val="7"/>
            <w:vMerge/>
            <w:tcBorders>
              <w:top w:val="outset" w:sz="6" w:space="0" w:color="auto"/>
              <w:left w:val="outset" w:sz="6" w:space="0" w:color="auto"/>
              <w:bottom w:val="outset" w:sz="6" w:space="0" w:color="auto"/>
              <w:right w:val="outset" w:sz="6" w:space="0" w:color="auto"/>
            </w:tcBorders>
            <w:vAlign w:val="center"/>
            <w:hideMark/>
          </w:tcPr>
          <w:p w14:paraId="561BB448" w14:textId="77777777" w:rsidR="009C2B49" w:rsidRPr="00FB6CEA" w:rsidRDefault="009C2B49">
            <w:pPr>
              <w:rPr>
                <w:spacing w:val="-2"/>
                <w:lang w:eastAsia="lv-LV"/>
              </w:rPr>
            </w:pPr>
          </w:p>
        </w:tc>
      </w:tr>
      <w:tr w:rsidR="009C2B49" w:rsidRPr="00FB6CEA" w14:paraId="1BC45E92" w14:textId="77777777" w:rsidTr="009C2B49">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0CD913D" w14:textId="77777777" w:rsidR="009C2B49" w:rsidRPr="00FB6CEA" w:rsidRDefault="009C2B49">
            <w:pPr>
              <w:rPr>
                <w:iCs/>
                <w:spacing w:val="-2"/>
                <w:lang w:eastAsia="lv-LV"/>
              </w:rPr>
            </w:pPr>
            <w:r w:rsidRPr="00FB6CEA">
              <w:rPr>
                <w:iCs/>
                <w:spacing w:val="-2"/>
                <w:lang w:eastAsia="lv-LV"/>
              </w:rPr>
              <w:t>7. Amata vietu skaita izmaiņas</w:t>
            </w:r>
          </w:p>
        </w:tc>
        <w:tc>
          <w:tcPr>
            <w:tcW w:w="7467" w:type="dxa"/>
            <w:gridSpan w:val="7"/>
            <w:tcBorders>
              <w:top w:val="outset" w:sz="6" w:space="0" w:color="auto"/>
              <w:left w:val="outset" w:sz="6" w:space="0" w:color="auto"/>
              <w:bottom w:val="outset" w:sz="6" w:space="0" w:color="auto"/>
              <w:right w:val="outset" w:sz="6" w:space="0" w:color="auto"/>
            </w:tcBorders>
            <w:vAlign w:val="center"/>
            <w:hideMark/>
          </w:tcPr>
          <w:p w14:paraId="7949B57C" w14:textId="77777777" w:rsidR="009C2B49" w:rsidRPr="00FB6CEA" w:rsidRDefault="009C2B49">
            <w:pPr>
              <w:rPr>
                <w:iCs/>
                <w:spacing w:val="-2"/>
                <w:lang w:eastAsia="lv-LV"/>
              </w:rPr>
            </w:pPr>
            <w:r w:rsidRPr="00FB6CEA">
              <w:rPr>
                <w:spacing w:val="-2"/>
                <w:szCs w:val="28"/>
                <w:lang w:eastAsia="lv-LV"/>
              </w:rPr>
              <w:t>Nav attiecināms.</w:t>
            </w:r>
          </w:p>
        </w:tc>
      </w:tr>
      <w:tr w:rsidR="009C2B49" w:rsidRPr="00FB6CEA" w14:paraId="25C88524" w14:textId="77777777" w:rsidTr="009C2B49">
        <w:trPr>
          <w:trHeight w:val="567"/>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14:paraId="576CB8B7" w14:textId="77777777" w:rsidR="009C2B49" w:rsidRPr="00FB6CEA" w:rsidRDefault="009C2B49">
            <w:pPr>
              <w:rPr>
                <w:iCs/>
                <w:spacing w:val="-2"/>
                <w:lang w:eastAsia="lv-LV"/>
              </w:rPr>
            </w:pPr>
            <w:r w:rsidRPr="00FB6CEA">
              <w:rPr>
                <w:iCs/>
                <w:spacing w:val="-2"/>
                <w:lang w:eastAsia="lv-LV"/>
              </w:rPr>
              <w:t>8. Cita informācija</w:t>
            </w:r>
          </w:p>
        </w:tc>
        <w:tc>
          <w:tcPr>
            <w:tcW w:w="7467" w:type="dxa"/>
            <w:gridSpan w:val="7"/>
            <w:tcBorders>
              <w:top w:val="outset" w:sz="6" w:space="0" w:color="auto"/>
              <w:left w:val="outset" w:sz="6" w:space="0" w:color="auto"/>
              <w:bottom w:val="outset" w:sz="6" w:space="0" w:color="auto"/>
              <w:right w:val="outset" w:sz="6" w:space="0" w:color="auto"/>
            </w:tcBorders>
            <w:vAlign w:val="center"/>
            <w:hideMark/>
          </w:tcPr>
          <w:p w14:paraId="00F72EBC" w14:textId="3A68E896" w:rsidR="009C2B49" w:rsidRPr="00CD363B" w:rsidRDefault="002C0CE1" w:rsidP="00CD363B">
            <w:pPr>
              <w:pStyle w:val="NoSpacing"/>
              <w:jc w:val="both"/>
              <w:rPr>
                <w:rFonts w:ascii="Times New Roman" w:hAnsi="Times New Roman" w:cs="Times New Roman"/>
                <w:spacing w:val="-2"/>
              </w:rPr>
            </w:pPr>
            <w:r>
              <w:rPr>
                <w:rFonts w:ascii="Times New Roman" w:hAnsi="Times New Roman" w:cs="Times New Roman"/>
                <w:spacing w:val="-2"/>
              </w:rPr>
              <w:t>Nav.</w:t>
            </w:r>
          </w:p>
        </w:tc>
      </w:tr>
    </w:tbl>
    <w:p w14:paraId="18A87B51" w14:textId="77777777" w:rsidR="009C2B49" w:rsidRPr="00FB6CEA" w:rsidRDefault="009C2B49" w:rsidP="009C2B49">
      <w:pPr>
        <w:rPr>
          <w:iCs/>
          <w:spacing w:val="-2"/>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539"/>
        <w:gridCol w:w="6114"/>
      </w:tblGrid>
      <w:tr w:rsidR="009C2B49" w:rsidRPr="00FB6CEA" w14:paraId="27D8879A" w14:textId="77777777" w:rsidTr="00E529C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8F8B1D" w14:textId="77777777" w:rsidR="009C2B49" w:rsidRPr="00FB6CEA" w:rsidRDefault="009C2B49">
            <w:pPr>
              <w:rPr>
                <w:b/>
                <w:bCs/>
                <w:iCs/>
                <w:spacing w:val="-2"/>
                <w:lang w:eastAsia="lv-LV"/>
              </w:rPr>
            </w:pPr>
            <w:r w:rsidRPr="00FB6CEA">
              <w:rPr>
                <w:b/>
                <w:bCs/>
                <w:iCs/>
                <w:spacing w:val="-2"/>
                <w:lang w:eastAsia="lv-LV"/>
              </w:rPr>
              <w:t>IV. Tiesību akta projekta ietekme uz spēkā esošo tiesību normu sistēmu</w:t>
            </w:r>
          </w:p>
        </w:tc>
      </w:tr>
      <w:tr w:rsidR="00DB158B" w:rsidRPr="00526A63" w14:paraId="2A341735" w14:textId="77777777" w:rsidTr="00DB158B">
        <w:trPr>
          <w:tblCellSpacing w:w="15" w:type="dxa"/>
        </w:trPr>
        <w:tc>
          <w:tcPr>
            <w:tcW w:w="277" w:type="pct"/>
            <w:tcBorders>
              <w:top w:val="outset" w:sz="6" w:space="0" w:color="auto"/>
              <w:left w:val="outset" w:sz="6" w:space="0" w:color="auto"/>
              <w:bottom w:val="outset" w:sz="6" w:space="0" w:color="auto"/>
              <w:right w:val="outset" w:sz="6" w:space="0" w:color="auto"/>
            </w:tcBorders>
            <w:vAlign w:val="center"/>
            <w:hideMark/>
          </w:tcPr>
          <w:p w14:paraId="24016615" w14:textId="5B551C1A" w:rsidR="00DB158B" w:rsidRPr="00526A63" w:rsidRDefault="00DB158B">
            <w:pPr>
              <w:jc w:val="center"/>
              <w:rPr>
                <w:b/>
                <w:bCs/>
                <w:iCs/>
                <w:spacing w:val="-2"/>
                <w:lang w:eastAsia="lv-LV"/>
              </w:rPr>
            </w:pPr>
            <w:r w:rsidRPr="00DB158B">
              <w:rPr>
                <w:lang w:eastAsia="lv-LV"/>
              </w:rPr>
              <w:t>1.</w:t>
            </w:r>
          </w:p>
        </w:tc>
        <w:tc>
          <w:tcPr>
            <w:tcW w:w="1372" w:type="pct"/>
            <w:tcBorders>
              <w:top w:val="outset" w:sz="6" w:space="0" w:color="auto"/>
              <w:left w:val="outset" w:sz="6" w:space="0" w:color="auto"/>
              <w:bottom w:val="outset" w:sz="6" w:space="0" w:color="auto"/>
              <w:right w:val="outset" w:sz="6" w:space="0" w:color="auto"/>
            </w:tcBorders>
            <w:vAlign w:val="center"/>
          </w:tcPr>
          <w:p w14:paraId="64B5ED2C" w14:textId="2DADEC1E" w:rsidR="00DB158B" w:rsidRPr="00526A63" w:rsidRDefault="00DB158B" w:rsidP="00DB158B">
            <w:pPr>
              <w:rPr>
                <w:b/>
                <w:bCs/>
                <w:iCs/>
                <w:spacing w:val="-2"/>
                <w:lang w:eastAsia="lv-LV"/>
              </w:rPr>
            </w:pPr>
            <w:r w:rsidRPr="00DB158B">
              <w:rPr>
                <w:lang w:eastAsia="lv-LV"/>
              </w:rPr>
              <w:t>Saistītie tiesību aktu projekti</w:t>
            </w:r>
          </w:p>
        </w:tc>
        <w:tc>
          <w:tcPr>
            <w:tcW w:w="3286" w:type="pct"/>
            <w:tcBorders>
              <w:top w:val="outset" w:sz="6" w:space="0" w:color="auto"/>
              <w:left w:val="outset" w:sz="6" w:space="0" w:color="auto"/>
              <w:bottom w:val="outset" w:sz="6" w:space="0" w:color="auto"/>
              <w:right w:val="outset" w:sz="6" w:space="0" w:color="auto"/>
            </w:tcBorders>
            <w:vAlign w:val="center"/>
          </w:tcPr>
          <w:p w14:paraId="38D6F9A6" w14:textId="29B23EEA" w:rsidR="00DB158B" w:rsidRPr="00526A63" w:rsidRDefault="00526A63" w:rsidP="00526A63">
            <w:pPr>
              <w:jc w:val="both"/>
              <w:rPr>
                <w:b/>
                <w:bCs/>
                <w:iCs/>
                <w:spacing w:val="-2"/>
                <w:lang w:eastAsia="lv-LV"/>
              </w:rPr>
            </w:pPr>
            <w:r w:rsidRPr="00526A63">
              <w:rPr>
                <w:spacing w:val="-2"/>
                <w:shd w:val="clear" w:color="auto" w:fill="FFFFFF"/>
              </w:rPr>
              <w:t xml:space="preserve">Atbilstoši likuma "Par valsts apdraudējuma un tā seku novēršanas un pārvarēšanas pasākumiem sakarā ar Covid-19 izplatību" 56.pantā noteiktajam, </w:t>
            </w:r>
            <w:r w:rsidRPr="00526A63">
              <w:rPr>
                <w:bCs/>
                <w:iCs/>
                <w:spacing w:val="-2"/>
                <w:lang w:eastAsia="lv-LV"/>
              </w:rPr>
              <w:t>Finanšu ministrs iegūs pilnvarojumu parakstīt Latvijas Republikas vārdā galvojuma līgumu pēc tam, kad Ministru kabinets ir atbalstījis Līgumu.</w:t>
            </w:r>
            <w:r w:rsidRPr="00526A63">
              <w:rPr>
                <w:b/>
                <w:bCs/>
                <w:iCs/>
                <w:spacing w:val="-2"/>
                <w:lang w:eastAsia="lv-LV"/>
              </w:rPr>
              <w:t xml:space="preserve"> </w:t>
            </w:r>
          </w:p>
        </w:tc>
      </w:tr>
      <w:tr w:rsidR="00DB158B" w:rsidRPr="00526A63" w14:paraId="50713674" w14:textId="77777777" w:rsidTr="00DB158B">
        <w:trPr>
          <w:tblCellSpacing w:w="15" w:type="dxa"/>
        </w:trPr>
        <w:tc>
          <w:tcPr>
            <w:tcW w:w="277" w:type="pct"/>
            <w:tcBorders>
              <w:top w:val="outset" w:sz="6" w:space="0" w:color="auto"/>
              <w:left w:val="outset" w:sz="6" w:space="0" w:color="auto"/>
              <w:bottom w:val="outset" w:sz="6" w:space="0" w:color="auto"/>
              <w:right w:val="outset" w:sz="6" w:space="0" w:color="auto"/>
            </w:tcBorders>
            <w:vAlign w:val="center"/>
          </w:tcPr>
          <w:p w14:paraId="3DAEC3FC" w14:textId="739C6596" w:rsidR="00DB158B" w:rsidRPr="00526A63" w:rsidRDefault="00DB158B">
            <w:pPr>
              <w:jc w:val="center"/>
              <w:rPr>
                <w:lang w:eastAsia="lv-LV"/>
              </w:rPr>
            </w:pPr>
            <w:r w:rsidRPr="00526A63">
              <w:rPr>
                <w:lang w:eastAsia="lv-LV"/>
              </w:rPr>
              <w:t>2.</w:t>
            </w:r>
          </w:p>
        </w:tc>
        <w:tc>
          <w:tcPr>
            <w:tcW w:w="1372" w:type="pct"/>
            <w:tcBorders>
              <w:top w:val="outset" w:sz="6" w:space="0" w:color="auto"/>
              <w:left w:val="outset" w:sz="6" w:space="0" w:color="auto"/>
              <w:bottom w:val="outset" w:sz="6" w:space="0" w:color="auto"/>
              <w:right w:val="outset" w:sz="6" w:space="0" w:color="auto"/>
            </w:tcBorders>
            <w:vAlign w:val="center"/>
          </w:tcPr>
          <w:p w14:paraId="74A17C07" w14:textId="506FA2AF" w:rsidR="00DB158B" w:rsidRPr="00526A63" w:rsidRDefault="00DB158B" w:rsidP="00DB158B">
            <w:pPr>
              <w:rPr>
                <w:lang w:eastAsia="lv-LV"/>
              </w:rPr>
            </w:pPr>
            <w:r w:rsidRPr="00DB158B">
              <w:rPr>
                <w:lang w:eastAsia="lv-LV"/>
              </w:rPr>
              <w:t>Atbildīgā institūcija</w:t>
            </w:r>
          </w:p>
        </w:tc>
        <w:tc>
          <w:tcPr>
            <w:tcW w:w="3286" w:type="pct"/>
            <w:tcBorders>
              <w:top w:val="outset" w:sz="6" w:space="0" w:color="auto"/>
              <w:left w:val="outset" w:sz="6" w:space="0" w:color="auto"/>
              <w:bottom w:val="outset" w:sz="6" w:space="0" w:color="auto"/>
              <w:right w:val="outset" w:sz="6" w:space="0" w:color="auto"/>
            </w:tcBorders>
            <w:vAlign w:val="center"/>
          </w:tcPr>
          <w:p w14:paraId="721FFE71" w14:textId="4D4D01D2" w:rsidR="00DB158B" w:rsidRPr="00526A63" w:rsidRDefault="00526A63" w:rsidP="00526A63">
            <w:pPr>
              <w:rPr>
                <w:bCs/>
                <w:iCs/>
                <w:spacing w:val="-2"/>
                <w:lang w:eastAsia="lv-LV"/>
              </w:rPr>
            </w:pPr>
            <w:r w:rsidRPr="00526A63">
              <w:rPr>
                <w:bCs/>
                <w:iCs/>
                <w:spacing w:val="-2"/>
                <w:lang w:eastAsia="lv-LV"/>
              </w:rPr>
              <w:t>Finanšu ministrija</w:t>
            </w:r>
          </w:p>
        </w:tc>
      </w:tr>
      <w:tr w:rsidR="00DB158B" w:rsidRPr="00526A63" w14:paraId="58858265" w14:textId="77777777" w:rsidTr="00DB158B">
        <w:trPr>
          <w:tblCellSpacing w:w="15" w:type="dxa"/>
        </w:trPr>
        <w:tc>
          <w:tcPr>
            <w:tcW w:w="277" w:type="pct"/>
            <w:tcBorders>
              <w:top w:val="outset" w:sz="6" w:space="0" w:color="auto"/>
              <w:left w:val="outset" w:sz="6" w:space="0" w:color="auto"/>
              <w:bottom w:val="outset" w:sz="6" w:space="0" w:color="auto"/>
              <w:right w:val="outset" w:sz="6" w:space="0" w:color="auto"/>
            </w:tcBorders>
            <w:vAlign w:val="center"/>
          </w:tcPr>
          <w:p w14:paraId="6B723468" w14:textId="149C396B" w:rsidR="00DB158B" w:rsidRPr="00526A63" w:rsidRDefault="00DB158B">
            <w:pPr>
              <w:jc w:val="center"/>
              <w:rPr>
                <w:lang w:eastAsia="lv-LV"/>
              </w:rPr>
            </w:pPr>
            <w:r w:rsidRPr="00526A63">
              <w:rPr>
                <w:lang w:eastAsia="lv-LV"/>
              </w:rPr>
              <w:t>3.</w:t>
            </w:r>
          </w:p>
        </w:tc>
        <w:tc>
          <w:tcPr>
            <w:tcW w:w="1372" w:type="pct"/>
            <w:tcBorders>
              <w:top w:val="outset" w:sz="6" w:space="0" w:color="auto"/>
              <w:left w:val="outset" w:sz="6" w:space="0" w:color="auto"/>
              <w:bottom w:val="outset" w:sz="6" w:space="0" w:color="auto"/>
              <w:right w:val="outset" w:sz="6" w:space="0" w:color="auto"/>
            </w:tcBorders>
            <w:vAlign w:val="center"/>
          </w:tcPr>
          <w:p w14:paraId="1751769D" w14:textId="65C878FF" w:rsidR="00DB158B" w:rsidRPr="00526A63" w:rsidRDefault="00DB158B" w:rsidP="00DB158B">
            <w:pPr>
              <w:rPr>
                <w:lang w:eastAsia="lv-LV"/>
              </w:rPr>
            </w:pPr>
            <w:r w:rsidRPr="00DB158B">
              <w:rPr>
                <w:lang w:eastAsia="lv-LV"/>
              </w:rPr>
              <w:t>Cita informācija</w:t>
            </w:r>
          </w:p>
        </w:tc>
        <w:tc>
          <w:tcPr>
            <w:tcW w:w="3286" w:type="pct"/>
            <w:tcBorders>
              <w:top w:val="outset" w:sz="6" w:space="0" w:color="auto"/>
              <w:left w:val="outset" w:sz="6" w:space="0" w:color="auto"/>
              <w:bottom w:val="outset" w:sz="6" w:space="0" w:color="auto"/>
              <w:right w:val="outset" w:sz="6" w:space="0" w:color="auto"/>
            </w:tcBorders>
            <w:vAlign w:val="center"/>
          </w:tcPr>
          <w:p w14:paraId="2B403031" w14:textId="4160F817" w:rsidR="00DB158B" w:rsidRPr="00526A63" w:rsidRDefault="00DB158B" w:rsidP="00DB158B">
            <w:pPr>
              <w:rPr>
                <w:bCs/>
                <w:iCs/>
                <w:spacing w:val="-2"/>
                <w:lang w:eastAsia="lv-LV"/>
              </w:rPr>
            </w:pPr>
            <w:r w:rsidRPr="00526A63">
              <w:rPr>
                <w:bCs/>
                <w:iCs/>
                <w:spacing w:val="-2"/>
                <w:lang w:eastAsia="lv-LV"/>
              </w:rPr>
              <w:t>Nav.</w:t>
            </w:r>
          </w:p>
        </w:tc>
      </w:tr>
    </w:tbl>
    <w:p w14:paraId="20F294D1" w14:textId="77777777" w:rsidR="00DB158B" w:rsidRPr="00DB158B" w:rsidRDefault="00DB158B" w:rsidP="00DB158B">
      <w:pPr>
        <w:rPr>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6"/>
        <w:gridCol w:w="2525"/>
        <w:gridCol w:w="6134"/>
      </w:tblGrid>
      <w:tr w:rsidR="009C2B49" w:rsidRPr="00FB6CEA" w14:paraId="70A4C197" w14:textId="77777777" w:rsidTr="00E529C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45449EC" w14:textId="77777777" w:rsidR="009C2B49" w:rsidRPr="00FB6CEA" w:rsidRDefault="009C2B49">
            <w:pPr>
              <w:rPr>
                <w:b/>
                <w:bCs/>
                <w:iCs/>
                <w:spacing w:val="-2"/>
                <w:lang w:eastAsia="lv-LV"/>
              </w:rPr>
            </w:pPr>
            <w:r w:rsidRPr="00FB6CEA">
              <w:rPr>
                <w:b/>
                <w:bCs/>
                <w:iCs/>
                <w:spacing w:val="-2"/>
                <w:lang w:eastAsia="lv-LV"/>
              </w:rPr>
              <w:t>V. Tiesību akta projekta atbilstība Latvijas Republikas starptautiskajām saistībām</w:t>
            </w:r>
          </w:p>
        </w:tc>
      </w:tr>
      <w:tr w:rsidR="00F64AE3" w:rsidRPr="00FB6CEA" w14:paraId="6ADCA000" w14:textId="77777777" w:rsidTr="00DB158B">
        <w:trPr>
          <w:tblCellSpacing w:w="15" w:type="dxa"/>
        </w:trPr>
        <w:tc>
          <w:tcPr>
            <w:tcW w:w="274" w:type="pct"/>
            <w:tcBorders>
              <w:top w:val="outset" w:sz="6" w:space="0" w:color="auto"/>
              <w:left w:val="outset" w:sz="6" w:space="0" w:color="auto"/>
              <w:bottom w:val="outset" w:sz="6" w:space="0" w:color="auto"/>
              <w:right w:val="outset" w:sz="6" w:space="0" w:color="auto"/>
            </w:tcBorders>
            <w:vAlign w:val="center"/>
            <w:hideMark/>
          </w:tcPr>
          <w:p w14:paraId="69A1CB3D" w14:textId="2B242EC4" w:rsidR="00F64AE3" w:rsidRPr="00FB6CEA" w:rsidRDefault="00F64AE3" w:rsidP="00F64AE3">
            <w:pPr>
              <w:rPr>
                <w:bCs/>
                <w:iCs/>
                <w:spacing w:val="-2"/>
                <w:lang w:eastAsia="lv-LV"/>
              </w:rPr>
            </w:pPr>
            <w:r w:rsidRPr="00FB6CEA">
              <w:rPr>
                <w:spacing w:val="-2"/>
                <w:lang w:eastAsia="lv-LV"/>
              </w:rPr>
              <w:t>1.</w:t>
            </w:r>
          </w:p>
        </w:tc>
        <w:tc>
          <w:tcPr>
            <w:tcW w:w="1364" w:type="pct"/>
            <w:tcBorders>
              <w:top w:val="outset" w:sz="6" w:space="0" w:color="auto"/>
              <w:left w:val="outset" w:sz="6" w:space="0" w:color="auto"/>
              <w:bottom w:val="outset" w:sz="6" w:space="0" w:color="auto"/>
              <w:right w:val="outset" w:sz="6" w:space="0" w:color="auto"/>
            </w:tcBorders>
            <w:vAlign w:val="center"/>
          </w:tcPr>
          <w:p w14:paraId="7BA3BC68" w14:textId="2622E082" w:rsidR="00F64AE3" w:rsidRPr="00FB6CEA" w:rsidRDefault="00F64AE3">
            <w:pPr>
              <w:rPr>
                <w:bCs/>
                <w:iCs/>
                <w:spacing w:val="-2"/>
                <w:lang w:eastAsia="lv-LV"/>
              </w:rPr>
            </w:pPr>
            <w:r w:rsidRPr="00FB6CEA">
              <w:rPr>
                <w:spacing w:val="-2"/>
                <w:lang w:eastAsia="lv-LV"/>
              </w:rPr>
              <w:t>Saistības pret Eiropas Savienību</w:t>
            </w:r>
          </w:p>
        </w:tc>
        <w:tc>
          <w:tcPr>
            <w:tcW w:w="3297" w:type="pct"/>
            <w:tcBorders>
              <w:top w:val="outset" w:sz="6" w:space="0" w:color="auto"/>
              <w:left w:val="outset" w:sz="6" w:space="0" w:color="auto"/>
              <w:bottom w:val="outset" w:sz="6" w:space="0" w:color="auto"/>
              <w:right w:val="outset" w:sz="6" w:space="0" w:color="auto"/>
            </w:tcBorders>
            <w:vAlign w:val="center"/>
            <w:hideMark/>
          </w:tcPr>
          <w:p w14:paraId="537FDA0A" w14:textId="541BFA0C" w:rsidR="00F64AE3" w:rsidRPr="00FB6CEA" w:rsidRDefault="00F64AE3">
            <w:pPr>
              <w:rPr>
                <w:bCs/>
                <w:iCs/>
                <w:spacing w:val="-2"/>
                <w:lang w:eastAsia="lv-LV"/>
              </w:rPr>
            </w:pPr>
            <w:r w:rsidRPr="00FB6CEA">
              <w:rPr>
                <w:spacing w:val="-2"/>
                <w:szCs w:val="28"/>
                <w:lang w:eastAsia="lv-LV"/>
              </w:rPr>
              <w:t>Padomes Regula (ES) 2020/672 (2020. gada 19. maijs), ar ko izveido Eiropas pagaidu atbalsta instrumentu bezdarba risku mazināšanai ārkārtas situācijā (SURE) pēc Covid-19 uzliesmojuma.</w:t>
            </w:r>
          </w:p>
        </w:tc>
      </w:tr>
      <w:tr w:rsidR="00F64AE3" w:rsidRPr="00FB6CEA" w14:paraId="61DB5485" w14:textId="77777777" w:rsidTr="00DB158B">
        <w:trPr>
          <w:tblCellSpacing w:w="15" w:type="dxa"/>
        </w:trPr>
        <w:tc>
          <w:tcPr>
            <w:tcW w:w="274" w:type="pct"/>
            <w:tcBorders>
              <w:top w:val="outset" w:sz="6" w:space="0" w:color="auto"/>
              <w:left w:val="outset" w:sz="6" w:space="0" w:color="auto"/>
              <w:bottom w:val="outset" w:sz="6" w:space="0" w:color="auto"/>
              <w:right w:val="outset" w:sz="6" w:space="0" w:color="auto"/>
            </w:tcBorders>
            <w:vAlign w:val="center"/>
            <w:hideMark/>
          </w:tcPr>
          <w:p w14:paraId="26220C82" w14:textId="2962EC22" w:rsidR="00F64AE3" w:rsidRPr="00FB6CEA" w:rsidRDefault="00F64AE3" w:rsidP="00F64AE3">
            <w:pPr>
              <w:rPr>
                <w:bCs/>
                <w:iCs/>
                <w:spacing w:val="-2"/>
                <w:lang w:eastAsia="lv-LV"/>
              </w:rPr>
            </w:pPr>
            <w:r w:rsidRPr="00FB6CEA">
              <w:rPr>
                <w:spacing w:val="-2"/>
                <w:lang w:eastAsia="lv-LV"/>
              </w:rPr>
              <w:t xml:space="preserve">2. </w:t>
            </w:r>
          </w:p>
        </w:tc>
        <w:tc>
          <w:tcPr>
            <w:tcW w:w="1364" w:type="pct"/>
            <w:tcBorders>
              <w:top w:val="outset" w:sz="6" w:space="0" w:color="auto"/>
              <w:left w:val="outset" w:sz="6" w:space="0" w:color="auto"/>
              <w:bottom w:val="outset" w:sz="6" w:space="0" w:color="auto"/>
              <w:right w:val="outset" w:sz="6" w:space="0" w:color="auto"/>
            </w:tcBorders>
            <w:vAlign w:val="center"/>
          </w:tcPr>
          <w:p w14:paraId="2CF30F32" w14:textId="5309A6FF" w:rsidR="00F64AE3" w:rsidRPr="00FB6CEA" w:rsidRDefault="00F64AE3">
            <w:pPr>
              <w:rPr>
                <w:bCs/>
                <w:iCs/>
                <w:spacing w:val="-2"/>
                <w:lang w:eastAsia="lv-LV"/>
              </w:rPr>
            </w:pPr>
            <w:r w:rsidRPr="00FB6CEA">
              <w:rPr>
                <w:spacing w:val="-2"/>
                <w:lang w:eastAsia="lv-LV"/>
              </w:rPr>
              <w:t>Citas starptautiskās saistības</w:t>
            </w:r>
          </w:p>
        </w:tc>
        <w:tc>
          <w:tcPr>
            <w:tcW w:w="3297" w:type="pct"/>
            <w:tcBorders>
              <w:top w:val="outset" w:sz="6" w:space="0" w:color="auto"/>
              <w:left w:val="outset" w:sz="6" w:space="0" w:color="auto"/>
              <w:bottom w:val="outset" w:sz="6" w:space="0" w:color="auto"/>
              <w:right w:val="outset" w:sz="6" w:space="0" w:color="auto"/>
            </w:tcBorders>
            <w:vAlign w:val="center"/>
            <w:hideMark/>
          </w:tcPr>
          <w:p w14:paraId="039AB9EC" w14:textId="77777777" w:rsidR="00F64AE3" w:rsidRPr="00FB6CEA" w:rsidRDefault="00F64AE3">
            <w:pPr>
              <w:rPr>
                <w:bCs/>
                <w:iCs/>
                <w:spacing w:val="-2"/>
                <w:lang w:eastAsia="lv-LV"/>
              </w:rPr>
            </w:pPr>
            <w:r w:rsidRPr="00FB6CEA">
              <w:rPr>
                <w:spacing w:val="-2"/>
                <w:szCs w:val="28"/>
                <w:lang w:eastAsia="lv-LV"/>
              </w:rPr>
              <w:t>Nav attiecināms.</w:t>
            </w:r>
          </w:p>
        </w:tc>
      </w:tr>
      <w:tr w:rsidR="00B64333" w:rsidRPr="00FB6CEA" w14:paraId="6AC1A162" w14:textId="77777777" w:rsidTr="00DB158B">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30910278" w14:textId="40A3BEF7" w:rsidR="00F64AE3" w:rsidRPr="00FB6CEA" w:rsidRDefault="00F64AE3" w:rsidP="00F64AE3">
            <w:pPr>
              <w:rPr>
                <w:bCs/>
                <w:iCs/>
                <w:spacing w:val="-2"/>
                <w:lang w:eastAsia="lv-LV"/>
              </w:rPr>
            </w:pPr>
            <w:r w:rsidRPr="00FB6CEA">
              <w:rPr>
                <w:spacing w:val="-2"/>
                <w:lang w:eastAsia="lv-LV"/>
              </w:rPr>
              <w:t>3.</w:t>
            </w:r>
          </w:p>
        </w:tc>
        <w:tc>
          <w:tcPr>
            <w:tcW w:w="1364" w:type="pct"/>
            <w:tcBorders>
              <w:top w:val="outset" w:sz="6" w:space="0" w:color="auto"/>
              <w:left w:val="outset" w:sz="6" w:space="0" w:color="auto"/>
              <w:bottom w:val="outset" w:sz="6" w:space="0" w:color="auto"/>
              <w:right w:val="outset" w:sz="6" w:space="0" w:color="auto"/>
            </w:tcBorders>
          </w:tcPr>
          <w:p w14:paraId="36465E97" w14:textId="64E1F301" w:rsidR="00F64AE3" w:rsidRPr="00FB6CEA" w:rsidRDefault="00F64AE3">
            <w:pPr>
              <w:rPr>
                <w:bCs/>
                <w:iCs/>
                <w:spacing w:val="-2"/>
                <w:lang w:eastAsia="lv-LV"/>
              </w:rPr>
            </w:pPr>
            <w:r w:rsidRPr="00FB6CEA">
              <w:rPr>
                <w:spacing w:val="-2"/>
                <w:lang w:eastAsia="lv-LV"/>
              </w:rPr>
              <w:t>Cita informācija</w:t>
            </w:r>
          </w:p>
        </w:tc>
        <w:tc>
          <w:tcPr>
            <w:tcW w:w="3297" w:type="pct"/>
            <w:tcBorders>
              <w:top w:val="outset" w:sz="6" w:space="0" w:color="auto"/>
              <w:left w:val="outset" w:sz="6" w:space="0" w:color="auto"/>
              <w:bottom w:val="outset" w:sz="6" w:space="0" w:color="auto"/>
              <w:right w:val="outset" w:sz="6" w:space="0" w:color="auto"/>
            </w:tcBorders>
            <w:hideMark/>
          </w:tcPr>
          <w:p w14:paraId="674287FD" w14:textId="77777777" w:rsidR="00AC1A73" w:rsidRPr="00AC1A73" w:rsidRDefault="00AC1A73" w:rsidP="00AC1A73">
            <w:pPr>
              <w:jc w:val="both"/>
              <w:rPr>
                <w:bCs/>
                <w:iCs/>
                <w:spacing w:val="-2"/>
                <w:lang w:eastAsia="en-US"/>
              </w:rPr>
            </w:pPr>
            <w:r w:rsidRPr="00AC1A73">
              <w:rPr>
                <w:bCs/>
                <w:iCs/>
                <w:spacing w:val="-2"/>
                <w:lang w:eastAsia="en-US"/>
              </w:rPr>
              <w:t xml:space="preserve">SURE regulas 11.2. punktā norādīts, ka ES dalībvalstis ieguldījumus sniedz neatsaucamu, beznosacījuma un pēc pieprasījuma nodrošinātu </w:t>
            </w:r>
            <w:r w:rsidRPr="00AC1A73">
              <w:rPr>
                <w:bCs/>
                <w:iCs/>
                <w:spacing w:val="-2"/>
                <w:u w:val="single"/>
                <w:lang w:eastAsia="en-US"/>
              </w:rPr>
              <w:t>garantiju</w:t>
            </w:r>
            <w:r w:rsidRPr="00AC1A73">
              <w:rPr>
                <w:bCs/>
                <w:iCs/>
                <w:spacing w:val="-2"/>
                <w:lang w:eastAsia="en-US"/>
              </w:rPr>
              <w:t xml:space="preserve"> veidā </w:t>
            </w:r>
            <w:r w:rsidRPr="00AC1A73">
              <w:rPr>
                <w:bCs/>
                <w:i/>
                <w:iCs/>
                <w:spacing w:val="-2"/>
                <w:lang w:eastAsia="en-US"/>
              </w:rPr>
              <w:t>(</w:t>
            </w:r>
            <w:proofErr w:type="spellStart"/>
            <w:r w:rsidRPr="00AC1A73">
              <w:rPr>
                <w:bCs/>
                <w:i/>
                <w:iCs/>
                <w:spacing w:val="-2"/>
                <w:lang w:eastAsia="en-US"/>
              </w:rPr>
              <w:t>angl</w:t>
            </w:r>
            <w:proofErr w:type="spellEnd"/>
            <w:r w:rsidRPr="00AC1A73">
              <w:rPr>
                <w:bCs/>
                <w:i/>
                <w:iCs/>
                <w:spacing w:val="-2"/>
                <w:lang w:eastAsia="en-US"/>
              </w:rPr>
              <w:t xml:space="preserve">. </w:t>
            </w:r>
            <w:r w:rsidRPr="00AC1A73">
              <w:rPr>
                <w:bCs/>
                <w:i/>
                <w:iCs/>
                <w:spacing w:val="-2"/>
                <w:lang w:val="en-AU" w:eastAsia="en-US"/>
              </w:rPr>
              <w:t xml:space="preserve">Contributions from Member States shall be provided in the form of irrevocable, unconditional and on demand </w:t>
            </w:r>
            <w:r w:rsidRPr="00AC1A73">
              <w:rPr>
                <w:bCs/>
                <w:i/>
                <w:iCs/>
                <w:spacing w:val="-2"/>
                <w:u w:val="single"/>
                <w:lang w:val="en-AU" w:eastAsia="en-US"/>
              </w:rPr>
              <w:t>guarantees</w:t>
            </w:r>
            <w:r w:rsidRPr="00AC1A73">
              <w:rPr>
                <w:bCs/>
                <w:i/>
                <w:iCs/>
                <w:spacing w:val="-2"/>
                <w:lang w:val="en-AU" w:eastAsia="en-US"/>
              </w:rPr>
              <w:t>)</w:t>
            </w:r>
            <w:r w:rsidRPr="00AC1A73">
              <w:rPr>
                <w:bCs/>
                <w:iCs/>
                <w:spacing w:val="-2"/>
                <w:lang w:val="en-AU" w:eastAsia="en-US"/>
              </w:rPr>
              <w:t xml:space="preserve">. </w:t>
            </w:r>
          </w:p>
          <w:p w14:paraId="6A1A9037" w14:textId="77777777" w:rsidR="007E5B10" w:rsidRDefault="00AC1A73" w:rsidP="00AC1A73">
            <w:pPr>
              <w:jc w:val="both"/>
              <w:rPr>
                <w:bCs/>
                <w:iCs/>
                <w:spacing w:val="-2"/>
                <w:lang w:eastAsia="en-US"/>
              </w:rPr>
            </w:pPr>
            <w:r w:rsidRPr="00AC1A73">
              <w:rPr>
                <w:bCs/>
                <w:iCs/>
                <w:spacing w:val="-2"/>
                <w:lang w:eastAsia="en-US"/>
              </w:rPr>
              <w:t>Regulas tulkojumā latviešu valodā termins “</w:t>
            </w:r>
            <w:proofErr w:type="spellStart"/>
            <w:r w:rsidRPr="00AC1A73">
              <w:rPr>
                <w:bCs/>
                <w:iCs/>
                <w:spacing w:val="-2"/>
                <w:lang w:eastAsia="en-US"/>
              </w:rPr>
              <w:t>Guarantees</w:t>
            </w:r>
            <w:proofErr w:type="spellEnd"/>
            <w:r w:rsidRPr="00AC1A73">
              <w:rPr>
                <w:bCs/>
                <w:iCs/>
                <w:spacing w:val="-2"/>
                <w:lang w:eastAsia="en-US"/>
              </w:rPr>
              <w:t xml:space="preserve">” ir tulkots kā “Garantija”, bet likuma "Par valsts apdraudējuma un tā seku novēršanas un pārvarēšanas pasākumiem sakarā ar </w:t>
            </w:r>
            <w:r w:rsidRPr="00AC1A73">
              <w:rPr>
                <w:bCs/>
                <w:iCs/>
                <w:spacing w:val="-2"/>
                <w:lang w:eastAsia="en-US"/>
              </w:rPr>
              <w:lastRenderedPageBreak/>
              <w:t xml:space="preserve">Covid-19 izplatību" 56. pants nosaka, ka Finanšu ministram ir tiesības parakstīt Latvijas Republikas vārdā </w:t>
            </w:r>
            <w:r w:rsidRPr="00AC1A73">
              <w:rPr>
                <w:bCs/>
                <w:iCs/>
                <w:spacing w:val="-2"/>
                <w:u w:val="single"/>
                <w:lang w:eastAsia="en-US"/>
              </w:rPr>
              <w:t>galvojuma līgumu</w:t>
            </w:r>
            <w:r w:rsidRPr="00AC1A73">
              <w:rPr>
                <w:bCs/>
                <w:iCs/>
                <w:spacing w:val="-2"/>
                <w:lang w:eastAsia="en-US"/>
              </w:rPr>
              <w:t xml:space="preserve"> ar EK par dalību ES atbalsta instrumentā "Bezdarba risku mazināšanai ārkārtas situācijā (SURE)" pēc tam, kad Ministru Kabinets </w:t>
            </w:r>
            <w:r w:rsidR="007E5B10">
              <w:rPr>
                <w:bCs/>
                <w:iCs/>
                <w:spacing w:val="-2"/>
                <w:lang w:eastAsia="en-US"/>
              </w:rPr>
              <w:t xml:space="preserve">ir </w:t>
            </w:r>
            <w:r w:rsidRPr="00AC1A73">
              <w:rPr>
                <w:bCs/>
                <w:iCs/>
                <w:spacing w:val="-2"/>
                <w:lang w:eastAsia="en-US"/>
              </w:rPr>
              <w:t>atbalstījis galvojuma līgumu.</w:t>
            </w:r>
            <w:r w:rsidR="007E5B10" w:rsidRPr="00AC1A73">
              <w:rPr>
                <w:bCs/>
                <w:iCs/>
                <w:spacing w:val="-2"/>
                <w:lang w:eastAsia="en-US"/>
              </w:rPr>
              <w:t xml:space="preserve"> </w:t>
            </w:r>
          </w:p>
          <w:p w14:paraId="7E67E3CD" w14:textId="32E08351" w:rsidR="00AC1A73" w:rsidRPr="00AC1A73" w:rsidRDefault="007E5B10" w:rsidP="00AC1A73">
            <w:pPr>
              <w:jc w:val="both"/>
              <w:rPr>
                <w:bCs/>
                <w:iCs/>
                <w:spacing w:val="-2"/>
                <w:lang w:eastAsia="en-US"/>
              </w:rPr>
            </w:pPr>
            <w:r w:rsidRPr="00AC1A73">
              <w:rPr>
                <w:bCs/>
                <w:iCs/>
                <w:spacing w:val="-2"/>
                <w:lang w:eastAsia="en-US"/>
              </w:rPr>
              <w:t>Likums par budžetu un finanšu vadību nosaka, ka valsts vārdā uzņemoties šāda veida saistības tiek izsniegti galvojumi.</w:t>
            </w:r>
          </w:p>
          <w:p w14:paraId="729B2914" w14:textId="099D557A" w:rsidR="00AC1A73" w:rsidRPr="00AC1A73" w:rsidRDefault="00AC1A73" w:rsidP="00AC1A73">
            <w:pPr>
              <w:jc w:val="both"/>
              <w:rPr>
                <w:bCs/>
                <w:iCs/>
                <w:spacing w:val="-2"/>
                <w:lang w:eastAsia="en-US"/>
              </w:rPr>
            </w:pPr>
            <w:bookmarkStart w:id="0" w:name="_GoBack"/>
            <w:r w:rsidRPr="00AC1A73">
              <w:rPr>
                <w:bCs/>
                <w:iCs/>
                <w:spacing w:val="-2"/>
                <w:lang w:eastAsia="en-US"/>
              </w:rPr>
              <w:t xml:space="preserve">SURE instruments, kas tiek nodrošināts ar ES dalībvalstu </w:t>
            </w:r>
            <w:r w:rsidRPr="00AC1A73">
              <w:rPr>
                <w:bCs/>
                <w:iCs/>
                <w:spacing w:val="-2"/>
                <w:u w:val="single"/>
                <w:lang w:eastAsia="en-US"/>
              </w:rPr>
              <w:t>garantijām</w:t>
            </w:r>
            <w:r w:rsidRPr="00AC1A73">
              <w:rPr>
                <w:bCs/>
                <w:iCs/>
                <w:spacing w:val="-2"/>
                <w:lang w:eastAsia="en-US"/>
              </w:rPr>
              <w:t>, pamatojoties uz Latvijas Republikas tiesību aktiem pēc savas būtības ir pielīdzinām</w:t>
            </w:r>
            <w:r w:rsidR="007E5B10">
              <w:rPr>
                <w:bCs/>
                <w:iCs/>
                <w:spacing w:val="-2"/>
                <w:lang w:eastAsia="en-US"/>
              </w:rPr>
              <w:t>a</w:t>
            </w:r>
            <w:r w:rsidRPr="00AC1A73">
              <w:rPr>
                <w:bCs/>
                <w:iCs/>
                <w:spacing w:val="-2"/>
                <w:lang w:eastAsia="en-US"/>
              </w:rPr>
              <w:t xml:space="preserve">s </w:t>
            </w:r>
            <w:r w:rsidRPr="00AC1A73">
              <w:rPr>
                <w:bCs/>
                <w:iCs/>
                <w:spacing w:val="-2"/>
                <w:u w:val="single"/>
                <w:lang w:eastAsia="en-US"/>
              </w:rPr>
              <w:t xml:space="preserve">galvojumam, </w:t>
            </w:r>
            <w:r w:rsidRPr="00AC1A73">
              <w:rPr>
                <w:bCs/>
                <w:iCs/>
                <w:spacing w:val="-2"/>
                <w:lang w:eastAsia="en-US"/>
              </w:rPr>
              <w:t xml:space="preserve">jo ar tām noteiktā apjomā uzņemamies atbildību par trešās personas saistību un kreditors (šajā gadījumā EK to pieņem), līdz ar to </w:t>
            </w:r>
            <w:r w:rsidR="007E5B10">
              <w:rPr>
                <w:bCs/>
                <w:iCs/>
                <w:spacing w:val="-2"/>
                <w:lang w:eastAsia="en-US"/>
              </w:rPr>
              <w:t>faktiski apzīmējums</w:t>
            </w:r>
            <w:r w:rsidRPr="00AC1A73">
              <w:rPr>
                <w:bCs/>
                <w:iCs/>
                <w:spacing w:val="-2"/>
                <w:lang w:eastAsia="en-US"/>
              </w:rPr>
              <w:t xml:space="preserve"> </w:t>
            </w:r>
            <w:r w:rsidR="007E5B10" w:rsidRPr="007E5B10">
              <w:rPr>
                <w:bCs/>
                <w:i/>
                <w:iCs/>
                <w:spacing w:val="-2"/>
                <w:lang w:eastAsia="en-US"/>
              </w:rPr>
              <w:t>Garantijas līgums</w:t>
            </w:r>
            <w:r w:rsidR="007E5B10">
              <w:rPr>
                <w:bCs/>
                <w:iCs/>
                <w:spacing w:val="-2"/>
                <w:lang w:eastAsia="en-US"/>
              </w:rPr>
              <w:t xml:space="preserve"> ir pielīdzināms apzīmējumam </w:t>
            </w:r>
            <w:r w:rsidR="007E5B10">
              <w:rPr>
                <w:bCs/>
                <w:i/>
                <w:iCs/>
                <w:spacing w:val="-2"/>
                <w:lang w:eastAsia="en-US"/>
              </w:rPr>
              <w:t>Galvojuma līgums</w:t>
            </w:r>
            <w:r w:rsidRPr="00AC1A73">
              <w:rPr>
                <w:bCs/>
                <w:iCs/>
                <w:spacing w:val="-2"/>
                <w:lang w:eastAsia="en-US"/>
              </w:rPr>
              <w:t xml:space="preserve">. </w:t>
            </w:r>
          </w:p>
          <w:bookmarkEnd w:id="0"/>
          <w:p w14:paraId="44A78C64" w14:textId="6385E837" w:rsidR="00F25257" w:rsidRPr="00164066" w:rsidRDefault="00AC1A73" w:rsidP="00AC1A73">
            <w:pPr>
              <w:jc w:val="both"/>
              <w:rPr>
                <w:bCs/>
                <w:i/>
                <w:iCs/>
                <w:spacing w:val="-2"/>
                <w:lang w:eastAsia="en-US"/>
              </w:rPr>
            </w:pPr>
            <w:r w:rsidRPr="00AC1A73">
              <w:rPr>
                <w:bCs/>
                <w:iCs/>
                <w:spacing w:val="-2"/>
                <w:lang w:eastAsia="en-US"/>
              </w:rPr>
              <w:t xml:space="preserve">SURE regulas un Līguma tekstā latviešu valodā lietotais termins </w:t>
            </w:r>
            <w:r w:rsidRPr="00AC1A73">
              <w:rPr>
                <w:bCs/>
                <w:i/>
                <w:iCs/>
                <w:spacing w:val="-2"/>
                <w:lang w:eastAsia="en-US"/>
              </w:rPr>
              <w:t xml:space="preserve">Garantija, </w:t>
            </w:r>
            <w:r w:rsidRPr="00AC1A73">
              <w:rPr>
                <w:bCs/>
                <w:iCs/>
                <w:spacing w:val="-2"/>
                <w:lang w:eastAsia="en-US"/>
              </w:rPr>
              <w:t>kas tulkots no angļu valodas termina</w:t>
            </w:r>
            <w:r w:rsidRPr="00AC1A73">
              <w:rPr>
                <w:bCs/>
                <w:i/>
                <w:iCs/>
                <w:spacing w:val="-2"/>
                <w:lang w:eastAsia="en-US"/>
              </w:rPr>
              <w:t xml:space="preserve"> - </w:t>
            </w:r>
            <w:proofErr w:type="spellStart"/>
            <w:r w:rsidRPr="00AC1A73">
              <w:rPr>
                <w:bCs/>
                <w:i/>
                <w:iCs/>
                <w:spacing w:val="-2"/>
                <w:lang w:eastAsia="en-US"/>
              </w:rPr>
              <w:t>Guarantee</w:t>
            </w:r>
            <w:proofErr w:type="spellEnd"/>
            <w:r w:rsidRPr="00AC1A73">
              <w:rPr>
                <w:bCs/>
                <w:iCs/>
                <w:spacing w:val="-2"/>
                <w:lang w:eastAsia="en-US"/>
              </w:rPr>
              <w:t xml:space="preserve">, atbilstoši nacionālajiem tiesību aktiem un pēc būtības  likuma "Par valsts apdraudējuma un tā seku novēršanas un pārvarēšanas pasākumiem sakarā ar Covid-19 izplatību" 56. pantā noteiktajam, ir pielīdzināms nacionālajos tiesību aktos lietojamam terminam </w:t>
            </w:r>
            <w:r w:rsidRPr="00AC1A73">
              <w:rPr>
                <w:bCs/>
                <w:i/>
                <w:iCs/>
                <w:spacing w:val="-2"/>
                <w:lang w:eastAsia="en-US"/>
              </w:rPr>
              <w:t>Galvojums</w:t>
            </w:r>
            <w:r w:rsidRPr="00AC1A73">
              <w:rPr>
                <w:bCs/>
                <w:iCs/>
                <w:spacing w:val="-2"/>
                <w:lang w:eastAsia="en-US"/>
              </w:rPr>
              <w:t>, kas atbilst arī Likumā par budžetu un finanšu vadība lietotajai terminoloģijai, kā arī izmantots valsts budžeta uzskaites jautājumos, taču šīs garantijas (galvojuma) administrēšana notiks atbilstoši SURE Regulā un Līgumā noteiktajam.</w:t>
            </w:r>
          </w:p>
        </w:tc>
      </w:tr>
    </w:tbl>
    <w:p w14:paraId="21590A44" w14:textId="77777777" w:rsidR="009C2B49" w:rsidRPr="00FB6CEA" w:rsidRDefault="009C2B49" w:rsidP="009C2B49">
      <w:pPr>
        <w:rPr>
          <w:iCs/>
          <w:spacing w:val="-2"/>
          <w:lang w:eastAsia="lv-LV"/>
        </w:rPr>
      </w:pPr>
      <w:r w:rsidRPr="00FB6CEA">
        <w:rPr>
          <w:iCs/>
          <w:spacing w:val="-2"/>
          <w:lang w:eastAsia="lv-LV"/>
        </w:rPr>
        <w:lastRenderedPageBreak/>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2562"/>
        <w:gridCol w:w="6094"/>
      </w:tblGrid>
      <w:tr w:rsidR="009C2B49" w:rsidRPr="00FB6CEA" w14:paraId="4D499E26" w14:textId="77777777" w:rsidTr="00B64333">
        <w:trPr>
          <w:tblCellSpacing w:w="15" w:type="dxa"/>
        </w:trPr>
        <w:tc>
          <w:tcPr>
            <w:tcW w:w="9145" w:type="dxa"/>
            <w:gridSpan w:val="3"/>
            <w:tcBorders>
              <w:top w:val="outset" w:sz="6" w:space="0" w:color="auto"/>
              <w:left w:val="outset" w:sz="6" w:space="0" w:color="auto"/>
              <w:bottom w:val="outset" w:sz="6" w:space="0" w:color="auto"/>
              <w:right w:val="outset" w:sz="6" w:space="0" w:color="auto"/>
            </w:tcBorders>
            <w:vAlign w:val="center"/>
            <w:hideMark/>
          </w:tcPr>
          <w:p w14:paraId="39D22105" w14:textId="77777777" w:rsidR="009C2B49" w:rsidRPr="00FB6CEA" w:rsidRDefault="009C2B49">
            <w:pPr>
              <w:rPr>
                <w:b/>
                <w:bCs/>
                <w:iCs/>
                <w:spacing w:val="-2"/>
                <w:lang w:eastAsia="lv-LV"/>
              </w:rPr>
            </w:pPr>
            <w:r w:rsidRPr="00FB6CEA">
              <w:rPr>
                <w:b/>
                <w:bCs/>
                <w:iCs/>
                <w:spacing w:val="-2"/>
                <w:lang w:eastAsia="lv-LV"/>
              </w:rPr>
              <w:t>VI. Sabiedrības līdzdalība un komunikācijas aktivitātes</w:t>
            </w:r>
          </w:p>
        </w:tc>
      </w:tr>
      <w:tr w:rsidR="009C2B49" w:rsidRPr="00FB6CEA" w14:paraId="4B41F12E" w14:textId="77777777" w:rsidTr="00B64333">
        <w:trPr>
          <w:tblCellSpacing w:w="15" w:type="dxa"/>
        </w:trPr>
        <w:tc>
          <w:tcPr>
            <w:tcW w:w="504" w:type="dxa"/>
            <w:tcBorders>
              <w:top w:val="outset" w:sz="6" w:space="0" w:color="auto"/>
              <w:left w:val="outset" w:sz="6" w:space="0" w:color="auto"/>
              <w:bottom w:val="outset" w:sz="6" w:space="0" w:color="auto"/>
              <w:right w:val="outset" w:sz="6" w:space="0" w:color="auto"/>
            </w:tcBorders>
            <w:hideMark/>
          </w:tcPr>
          <w:p w14:paraId="1C44EFC6" w14:textId="77777777" w:rsidR="009C2B49" w:rsidRPr="00FB6CEA" w:rsidRDefault="009C2B49">
            <w:pPr>
              <w:rPr>
                <w:iCs/>
                <w:spacing w:val="-2"/>
                <w:lang w:eastAsia="lv-LV"/>
              </w:rPr>
            </w:pPr>
            <w:r w:rsidRPr="00FB6CEA">
              <w:rPr>
                <w:iCs/>
                <w:spacing w:val="-2"/>
                <w:lang w:eastAsia="lv-LV"/>
              </w:rPr>
              <w:t>1.</w:t>
            </w:r>
          </w:p>
        </w:tc>
        <w:tc>
          <w:tcPr>
            <w:tcW w:w="2532" w:type="dxa"/>
            <w:tcBorders>
              <w:top w:val="outset" w:sz="6" w:space="0" w:color="auto"/>
              <w:left w:val="outset" w:sz="6" w:space="0" w:color="auto"/>
              <w:bottom w:val="outset" w:sz="6" w:space="0" w:color="auto"/>
              <w:right w:val="outset" w:sz="6" w:space="0" w:color="auto"/>
            </w:tcBorders>
            <w:hideMark/>
          </w:tcPr>
          <w:p w14:paraId="1BAF3BD9" w14:textId="77777777" w:rsidR="009C2B49" w:rsidRPr="00FB6CEA" w:rsidRDefault="009C2B49">
            <w:pPr>
              <w:rPr>
                <w:iCs/>
                <w:spacing w:val="-2"/>
                <w:lang w:eastAsia="lv-LV"/>
              </w:rPr>
            </w:pPr>
            <w:r w:rsidRPr="00FB6CEA">
              <w:rPr>
                <w:iCs/>
                <w:spacing w:val="-2"/>
                <w:lang w:eastAsia="lv-LV"/>
              </w:rPr>
              <w:t>Plānotās sabiedrības līdzdalības un komunikācijas aktivitātes saistībā ar projektu</w:t>
            </w:r>
          </w:p>
        </w:tc>
        <w:tc>
          <w:tcPr>
            <w:tcW w:w="6049" w:type="dxa"/>
            <w:tcBorders>
              <w:top w:val="outset" w:sz="6" w:space="0" w:color="auto"/>
              <w:left w:val="outset" w:sz="6" w:space="0" w:color="auto"/>
              <w:bottom w:val="outset" w:sz="6" w:space="0" w:color="auto"/>
              <w:right w:val="outset" w:sz="6" w:space="0" w:color="auto"/>
            </w:tcBorders>
            <w:hideMark/>
          </w:tcPr>
          <w:p w14:paraId="54DA06C1" w14:textId="72FB0A71" w:rsidR="00F729CB" w:rsidRPr="00FB6CEA" w:rsidRDefault="00341FDB" w:rsidP="00031CB8">
            <w:pPr>
              <w:jc w:val="both"/>
              <w:rPr>
                <w:iCs/>
                <w:spacing w:val="-2"/>
                <w:lang w:eastAsia="lv-LV"/>
              </w:rPr>
            </w:pPr>
            <w:r>
              <w:rPr>
                <w:iCs/>
                <w:spacing w:val="-2"/>
                <w:lang w:eastAsia="lv-LV"/>
              </w:rPr>
              <w:t>Sabiedrības līdzdalības pasākumi nav veikti, jo projekts izstrādāts pamatojoties uz likumu “</w:t>
            </w:r>
            <w:r w:rsidRPr="00526A63">
              <w:rPr>
                <w:spacing w:val="-2"/>
                <w:shd w:val="clear" w:color="auto" w:fill="FFFFFF"/>
              </w:rPr>
              <w:t>Par valsts apdraudējuma un tā seku novēršanas un pārvarēšanas pasākumiem sakarā ar Covid-19 izplatību</w:t>
            </w:r>
            <w:r>
              <w:rPr>
                <w:spacing w:val="-2"/>
                <w:shd w:val="clear" w:color="auto" w:fill="FFFFFF"/>
              </w:rPr>
              <w:t>.”</w:t>
            </w:r>
          </w:p>
        </w:tc>
      </w:tr>
      <w:tr w:rsidR="009C2B49" w:rsidRPr="00FB6CEA" w14:paraId="7D948452" w14:textId="77777777" w:rsidTr="00B64333">
        <w:trPr>
          <w:tblCellSpacing w:w="15" w:type="dxa"/>
        </w:trPr>
        <w:tc>
          <w:tcPr>
            <w:tcW w:w="504" w:type="dxa"/>
            <w:tcBorders>
              <w:top w:val="outset" w:sz="6" w:space="0" w:color="auto"/>
              <w:left w:val="outset" w:sz="6" w:space="0" w:color="auto"/>
              <w:bottom w:val="outset" w:sz="6" w:space="0" w:color="auto"/>
              <w:right w:val="outset" w:sz="6" w:space="0" w:color="auto"/>
            </w:tcBorders>
            <w:hideMark/>
          </w:tcPr>
          <w:p w14:paraId="3BCE4E19" w14:textId="77777777" w:rsidR="009C2B49" w:rsidRPr="00FB6CEA" w:rsidRDefault="009C2B49">
            <w:pPr>
              <w:rPr>
                <w:iCs/>
                <w:spacing w:val="-2"/>
                <w:lang w:eastAsia="lv-LV"/>
              </w:rPr>
            </w:pPr>
            <w:r w:rsidRPr="00FB6CEA">
              <w:rPr>
                <w:iCs/>
                <w:spacing w:val="-2"/>
                <w:lang w:eastAsia="lv-LV"/>
              </w:rPr>
              <w:t>2.</w:t>
            </w:r>
          </w:p>
        </w:tc>
        <w:tc>
          <w:tcPr>
            <w:tcW w:w="2532" w:type="dxa"/>
            <w:tcBorders>
              <w:top w:val="outset" w:sz="6" w:space="0" w:color="auto"/>
              <w:left w:val="outset" w:sz="6" w:space="0" w:color="auto"/>
              <w:bottom w:val="outset" w:sz="6" w:space="0" w:color="auto"/>
              <w:right w:val="outset" w:sz="6" w:space="0" w:color="auto"/>
            </w:tcBorders>
            <w:hideMark/>
          </w:tcPr>
          <w:p w14:paraId="7496ED7F" w14:textId="77777777" w:rsidR="009C2B49" w:rsidRPr="00FB6CEA" w:rsidRDefault="009C2B49">
            <w:pPr>
              <w:rPr>
                <w:iCs/>
                <w:spacing w:val="-2"/>
                <w:lang w:eastAsia="lv-LV"/>
              </w:rPr>
            </w:pPr>
            <w:r w:rsidRPr="00FB6CEA">
              <w:rPr>
                <w:iCs/>
                <w:spacing w:val="-2"/>
                <w:lang w:eastAsia="lv-LV"/>
              </w:rPr>
              <w:t>Sabiedrības līdzdalība projekta izstrādē</w:t>
            </w:r>
          </w:p>
        </w:tc>
        <w:tc>
          <w:tcPr>
            <w:tcW w:w="6049" w:type="dxa"/>
            <w:tcBorders>
              <w:top w:val="outset" w:sz="6" w:space="0" w:color="auto"/>
              <w:left w:val="outset" w:sz="6" w:space="0" w:color="auto"/>
              <w:bottom w:val="outset" w:sz="6" w:space="0" w:color="auto"/>
              <w:right w:val="outset" w:sz="6" w:space="0" w:color="auto"/>
            </w:tcBorders>
            <w:hideMark/>
          </w:tcPr>
          <w:p w14:paraId="5D2207DD" w14:textId="39CD3311" w:rsidR="009C2B49" w:rsidRPr="00FB6CEA" w:rsidRDefault="00F64AE3">
            <w:pPr>
              <w:jc w:val="both"/>
              <w:rPr>
                <w:iCs/>
                <w:spacing w:val="-2"/>
                <w:lang w:eastAsia="lv-LV"/>
              </w:rPr>
            </w:pPr>
            <w:r>
              <w:rPr>
                <w:iCs/>
                <w:spacing w:val="-2"/>
                <w:lang w:eastAsia="lv-LV"/>
              </w:rPr>
              <w:t>Nav attiecināms</w:t>
            </w:r>
            <w:r w:rsidR="009C2B49" w:rsidRPr="00FB6CEA">
              <w:rPr>
                <w:iCs/>
                <w:spacing w:val="-2"/>
                <w:lang w:eastAsia="lv-LV"/>
              </w:rPr>
              <w:t>.</w:t>
            </w:r>
          </w:p>
        </w:tc>
      </w:tr>
      <w:tr w:rsidR="009C2B49" w:rsidRPr="00FB6CEA" w14:paraId="21EF85A9" w14:textId="77777777" w:rsidTr="00B64333">
        <w:trPr>
          <w:tblCellSpacing w:w="15" w:type="dxa"/>
        </w:trPr>
        <w:tc>
          <w:tcPr>
            <w:tcW w:w="504" w:type="dxa"/>
            <w:tcBorders>
              <w:top w:val="outset" w:sz="6" w:space="0" w:color="auto"/>
              <w:left w:val="outset" w:sz="6" w:space="0" w:color="auto"/>
              <w:bottom w:val="outset" w:sz="6" w:space="0" w:color="auto"/>
              <w:right w:val="outset" w:sz="6" w:space="0" w:color="auto"/>
            </w:tcBorders>
            <w:hideMark/>
          </w:tcPr>
          <w:p w14:paraId="45A5323A" w14:textId="77777777" w:rsidR="009C2B49" w:rsidRPr="00FB6CEA" w:rsidRDefault="009C2B49">
            <w:pPr>
              <w:rPr>
                <w:iCs/>
                <w:spacing w:val="-2"/>
                <w:lang w:eastAsia="lv-LV"/>
              </w:rPr>
            </w:pPr>
            <w:r w:rsidRPr="00FB6CEA">
              <w:rPr>
                <w:iCs/>
                <w:spacing w:val="-2"/>
                <w:lang w:eastAsia="lv-LV"/>
              </w:rPr>
              <w:t>3.</w:t>
            </w:r>
          </w:p>
        </w:tc>
        <w:tc>
          <w:tcPr>
            <w:tcW w:w="2532" w:type="dxa"/>
            <w:tcBorders>
              <w:top w:val="outset" w:sz="6" w:space="0" w:color="auto"/>
              <w:left w:val="outset" w:sz="6" w:space="0" w:color="auto"/>
              <w:bottom w:val="outset" w:sz="6" w:space="0" w:color="auto"/>
              <w:right w:val="outset" w:sz="6" w:space="0" w:color="auto"/>
            </w:tcBorders>
            <w:hideMark/>
          </w:tcPr>
          <w:p w14:paraId="6D84BF66" w14:textId="77777777" w:rsidR="009C2B49" w:rsidRPr="00FB6CEA" w:rsidRDefault="009C2B49">
            <w:pPr>
              <w:rPr>
                <w:iCs/>
                <w:spacing w:val="-2"/>
                <w:lang w:eastAsia="lv-LV"/>
              </w:rPr>
            </w:pPr>
            <w:r w:rsidRPr="00FB6CEA">
              <w:rPr>
                <w:iCs/>
                <w:spacing w:val="-2"/>
                <w:lang w:eastAsia="lv-LV"/>
              </w:rPr>
              <w:t>Sabiedrības līdzdalības rezultāti</w:t>
            </w:r>
          </w:p>
        </w:tc>
        <w:tc>
          <w:tcPr>
            <w:tcW w:w="6049" w:type="dxa"/>
            <w:tcBorders>
              <w:top w:val="outset" w:sz="6" w:space="0" w:color="auto"/>
              <w:left w:val="outset" w:sz="6" w:space="0" w:color="auto"/>
              <w:bottom w:val="outset" w:sz="6" w:space="0" w:color="auto"/>
              <w:right w:val="outset" w:sz="6" w:space="0" w:color="auto"/>
            </w:tcBorders>
            <w:hideMark/>
          </w:tcPr>
          <w:p w14:paraId="18AF8E37" w14:textId="28F79103" w:rsidR="009C2B49" w:rsidRPr="00FB6CEA" w:rsidRDefault="00F64AE3">
            <w:pPr>
              <w:jc w:val="both"/>
              <w:rPr>
                <w:iCs/>
                <w:spacing w:val="-2"/>
                <w:lang w:eastAsia="lv-LV"/>
              </w:rPr>
            </w:pPr>
            <w:r>
              <w:rPr>
                <w:iCs/>
                <w:spacing w:val="-2"/>
                <w:lang w:eastAsia="lv-LV"/>
              </w:rPr>
              <w:t>Nav attiecināms</w:t>
            </w:r>
            <w:r w:rsidR="009C2B49" w:rsidRPr="00FB6CEA">
              <w:rPr>
                <w:iCs/>
                <w:spacing w:val="-2"/>
                <w:lang w:eastAsia="lv-LV"/>
              </w:rPr>
              <w:t xml:space="preserve">. </w:t>
            </w:r>
          </w:p>
        </w:tc>
      </w:tr>
      <w:tr w:rsidR="009C2B49" w:rsidRPr="00FB6CEA" w14:paraId="3670A73C" w14:textId="77777777" w:rsidTr="00B64333">
        <w:trPr>
          <w:tblCellSpacing w:w="15" w:type="dxa"/>
        </w:trPr>
        <w:tc>
          <w:tcPr>
            <w:tcW w:w="504" w:type="dxa"/>
            <w:tcBorders>
              <w:top w:val="outset" w:sz="6" w:space="0" w:color="auto"/>
              <w:left w:val="outset" w:sz="6" w:space="0" w:color="auto"/>
              <w:bottom w:val="outset" w:sz="6" w:space="0" w:color="auto"/>
              <w:right w:val="outset" w:sz="6" w:space="0" w:color="auto"/>
            </w:tcBorders>
            <w:hideMark/>
          </w:tcPr>
          <w:p w14:paraId="7CE76847" w14:textId="77777777" w:rsidR="009C2B49" w:rsidRPr="00FB6CEA" w:rsidRDefault="009C2B49">
            <w:pPr>
              <w:rPr>
                <w:iCs/>
                <w:spacing w:val="-2"/>
                <w:lang w:eastAsia="lv-LV"/>
              </w:rPr>
            </w:pPr>
            <w:r w:rsidRPr="00FB6CEA">
              <w:rPr>
                <w:iCs/>
                <w:spacing w:val="-2"/>
                <w:lang w:eastAsia="lv-LV"/>
              </w:rPr>
              <w:t>4.</w:t>
            </w:r>
          </w:p>
        </w:tc>
        <w:tc>
          <w:tcPr>
            <w:tcW w:w="2532" w:type="dxa"/>
            <w:tcBorders>
              <w:top w:val="outset" w:sz="6" w:space="0" w:color="auto"/>
              <w:left w:val="outset" w:sz="6" w:space="0" w:color="auto"/>
              <w:bottom w:val="outset" w:sz="6" w:space="0" w:color="auto"/>
              <w:right w:val="outset" w:sz="6" w:space="0" w:color="auto"/>
            </w:tcBorders>
            <w:hideMark/>
          </w:tcPr>
          <w:p w14:paraId="54985B5C" w14:textId="77777777" w:rsidR="009C2B49" w:rsidRPr="00FB6CEA" w:rsidRDefault="009C2B49">
            <w:pPr>
              <w:rPr>
                <w:iCs/>
                <w:spacing w:val="-2"/>
                <w:lang w:eastAsia="lv-LV"/>
              </w:rPr>
            </w:pPr>
            <w:r w:rsidRPr="00FB6CEA">
              <w:rPr>
                <w:iCs/>
                <w:spacing w:val="-2"/>
                <w:lang w:eastAsia="lv-LV"/>
              </w:rPr>
              <w:t>Cita informācija</w:t>
            </w:r>
          </w:p>
        </w:tc>
        <w:tc>
          <w:tcPr>
            <w:tcW w:w="6049" w:type="dxa"/>
            <w:tcBorders>
              <w:top w:val="outset" w:sz="6" w:space="0" w:color="auto"/>
              <w:left w:val="outset" w:sz="6" w:space="0" w:color="auto"/>
              <w:bottom w:val="outset" w:sz="6" w:space="0" w:color="auto"/>
              <w:right w:val="outset" w:sz="6" w:space="0" w:color="auto"/>
            </w:tcBorders>
            <w:hideMark/>
          </w:tcPr>
          <w:p w14:paraId="73F5C417" w14:textId="77777777" w:rsidR="009C2B49" w:rsidRPr="00FB6CEA" w:rsidRDefault="009C2B49">
            <w:pPr>
              <w:rPr>
                <w:iCs/>
                <w:spacing w:val="-2"/>
                <w:lang w:eastAsia="lv-LV"/>
              </w:rPr>
            </w:pPr>
            <w:r w:rsidRPr="00FB6CEA">
              <w:rPr>
                <w:iCs/>
                <w:spacing w:val="-2"/>
                <w:lang w:eastAsia="lv-LV"/>
              </w:rPr>
              <w:t>Nav.</w:t>
            </w:r>
          </w:p>
        </w:tc>
      </w:tr>
    </w:tbl>
    <w:p w14:paraId="1ACC6C76" w14:textId="77777777" w:rsidR="009C2B49" w:rsidRPr="00FB6CEA" w:rsidRDefault="009C2B49" w:rsidP="009C2B49">
      <w:pPr>
        <w:rPr>
          <w:iCs/>
          <w:spacing w:val="-2"/>
          <w:lang w:eastAsia="lv-LV"/>
        </w:rPr>
      </w:pPr>
      <w:r w:rsidRPr="00FB6CEA">
        <w:rPr>
          <w:iCs/>
          <w:spacing w:val="-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2557"/>
        <w:gridCol w:w="6114"/>
      </w:tblGrid>
      <w:tr w:rsidR="009C2B49" w:rsidRPr="00FB6CEA" w14:paraId="020C0639" w14:textId="77777777" w:rsidTr="00F64AE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F699F2B" w14:textId="77777777" w:rsidR="009C2B49" w:rsidRPr="00FB6CEA" w:rsidRDefault="009C2B49">
            <w:pPr>
              <w:rPr>
                <w:b/>
                <w:bCs/>
                <w:iCs/>
                <w:spacing w:val="-2"/>
                <w:lang w:eastAsia="lv-LV"/>
              </w:rPr>
            </w:pPr>
            <w:r w:rsidRPr="00FB6CEA">
              <w:rPr>
                <w:b/>
                <w:bCs/>
                <w:iCs/>
                <w:spacing w:val="-2"/>
                <w:lang w:eastAsia="lv-LV"/>
              </w:rPr>
              <w:t>VII. Tiesību akta projekta izpildes nodrošināšana un tās ietekme uz institūcijām</w:t>
            </w:r>
          </w:p>
        </w:tc>
      </w:tr>
      <w:tr w:rsidR="009C2B49" w:rsidRPr="00FB6CEA" w14:paraId="6A1384BD" w14:textId="77777777" w:rsidTr="00B64333">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25764C4" w14:textId="77777777" w:rsidR="009C2B49" w:rsidRPr="00FB6CEA" w:rsidRDefault="009C2B49">
            <w:pPr>
              <w:rPr>
                <w:iCs/>
                <w:spacing w:val="-2"/>
                <w:lang w:eastAsia="lv-LV"/>
              </w:rPr>
            </w:pPr>
            <w:r w:rsidRPr="00FB6CEA">
              <w:rPr>
                <w:iCs/>
                <w:spacing w:val="-2"/>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14:paraId="0DC1858E" w14:textId="77777777" w:rsidR="009C2B49" w:rsidRPr="00FB6CEA" w:rsidRDefault="009C2B49">
            <w:pPr>
              <w:rPr>
                <w:iCs/>
                <w:spacing w:val="-2"/>
                <w:lang w:eastAsia="lv-LV"/>
              </w:rPr>
            </w:pPr>
            <w:r w:rsidRPr="00FB6CEA">
              <w:rPr>
                <w:iCs/>
                <w:spacing w:val="-2"/>
                <w:lang w:eastAsia="lv-LV"/>
              </w:rPr>
              <w:t>Projekta izpildē iesaistītās institūcijas</w:t>
            </w:r>
          </w:p>
        </w:tc>
        <w:tc>
          <w:tcPr>
            <w:tcW w:w="3286" w:type="pct"/>
            <w:tcBorders>
              <w:top w:val="outset" w:sz="6" w:space="0" w:color="auto"/>
              <w:left w:val="outset" w:sz="6" w:space="0" w:color="auto"/>
              <w:bottom w:val="outset" w:sz="6" w:space="0" w:color="auto"/>
              <w:right w:val="outset" w:sz="6" w:space="0" w:color="auto"/>
            </w:tcBorders>
            <w:hideMark/>
          </w:tcPr>
          <w:p w14:paraId="542D549A" w14:textId="1764F287" w:rsidR="009C2B49" w:rsidRPr="00FB6CEA" w:rsidRDefault="00031CB8" w:rsidP="00031CB8">
            <w:pPr>
              <w:jc w:val="both"/>
              <w:rPr>
                <w:iCs/>
                <w:spacing w:val="-2"/>
                <w:lang w:eastAsia="lv-LV"/>
              </w:rPr>
            </w:pPr>
            <w:r>
              <w:rPr>
                <w:spacing w:val="-2"/>
              </w:rPr>
              <w:t xml:space="preserve">Finanšu </w:t>
            </w:r>
            <w:r w:rsidRPr="002C0CE1">
              <w:rPr>
                <w:spacing w:val="-2"/>
              </w:rPr>
              <w:t>ministrija</w:t>
            </w:r>
            <w:r w:rsidR="00EA2135" w:rsidRPr="002C0CE1">
              <w:rPr>
                <w:spacing w:val="-2"/>
              </w:rPr>
              <w:t>, Valsts Kase</w:t>
            </w:r>
          </w:p>
        </w:tc>
      </w:tr>
      <w:tr w:rsidR="009C2B49" w:rsidRPr="00FB6CEA" w14:paraId="411B5BF4" w14:textId="77777777" w:rsidTr="00B64333">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09D83CFA" w14:textId="77777777" w:rsidR="009C2B49" w:rsidRPr="00FB6CEA" w:rsidRDefault="009C2B49">
            <w:pPr>
              <w:rPr>
                <w:iCs/>
                <w:spacing w:val="-2"/>
                <w:lang w:eastAsia="lv-LV"/>
              </w:rPr>
            </w:pPr>
            <w:r w:rsidRPr="00FB6CEA">
              <w:rPr>
                <w:iCs/>
                <w:spacing w:val="-2"/>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14:paraId="47A7EF07" w14:textId="77777777" w:rsidR="009C2B49" w:rsidRPr="00FB6CEA" w:rsidRDefault="009C2B49">
            <w:pPr>
              <w:rPr>
                <w:iCs/>
                <w:spacing w:val="-2"/>
                <w:lang w:eastAsia="lv-LV"/>
              </w:rPr>
            </w:pPr>
            <w:r w:rsidRPr="00FB6CEA">
              <w:rPr>
                <w:iCs/>
                <w:spacing w:val="-2"/>
                <w:lang w:eastAsia="lv-LV"/>
              </w:rPr>
              <w:t>Projekta izpildes ietekme uz pārvaldes funkcijām un institucionālo struktūru.</w:t>
            </w:r>
            <w:r w:rsidRPr="00FB6CEA">
              <w:rPr>
                <w:iCs/>
                <w:spacing w:val="-2"/>
                <w:lang w:eastAsia="lv-LV"/>
              </w:rPr>
              <w:br/>
              <w:t xml:space="preserve">Jaunu institūciju izveide, esošu institūciju </w:t>
            </w:r>
            <w:r w:rsidRPr="00FB6CEA">
              <w:rPr>
                <w:iCs/>
                <w:spacing w:val="-2"/>
                <w:lang w:eastAsia="lv-LV"/>
              </w:rPr>
              <w:lastRenderedPageBreak/>
              <w:t>likvidācija vai reorganizācija, to ietekme uz institūcijas cilvēkresursiem</w:t>
            </w:r>
          </w:p>
        </w:tc>
        <w:tc>
          <w:tcPr>
            <w:tcW w:w="3286" w:type="pct"/>
            <w:tcBorders>
              <w:top w:val="outset" w:sz="6" w:space="0" w:color="auto"/>
              <w:left w:val="outset" w:sz="6" w:space="0" w:color="auto"/>
              <w:bottom w:val="outset" w:sz="6" w:space="0" w:color="auto"/>
              <w:right w:val="outset" w:sz="6" w:space="0" w:color="auto"/>
            </w:tcBorders>
            <w:hideMark/>
          </w:tcPr>
          <w:p w14:paraId="1089BFD4" w14:textId="77777777" w:rsidR="009C2B49" w:rsidRPr="00FB6CEA" w:rsidRDefault="009C2B49" w:rsidP="00F64AE3">
            <w:pPr>
              <w:jc w:val="both"/>
              <w:rPr>
                <w:spacing w:val="-2"/>
              </w:rPr>
            </w:pPr>
            <w:r w:rsidRPr="00FB6CEA">
              <w:rPr>
                <w:spacing w:val="-2"/>
              </w:rPr>
              <w:lastRenderedPageBreak/>
              <w:t>Pārvaldes funkcijas un institucionālā struktūra netiek grozīta.</w:t>
            </w:r>
          </w:p>
          <w:p w14:paraId="0F90EB28" w14:textId="77777777" w:rsidR="009C2B49" w:rsidRPr="00FB6CEA" w:rsidRDefault="009C2B49" w:rsidP="00F64AE3">
            <w:pPr>
              <w:jc w:val="both"/>
              <w:rPr>
                <w:spacing w:val="-2"/>
              </w:rPr>
            </w:pPr>
            <w:r w:rsidRPr="00FB6CEA">
              <w:rPr>
                <w:spacing w:val="-2"/>
              </w:rPr>
              <w:t>Jaunas institūcijas nav nepieciešams izveidot, kā arī nav paredzēta esošo institūciju likvidācija vai reorganizācija.</w:t>
            </w:r>
          </w:p>
          <w:p w14:paraId="459A076B" w14:textId="77777777" w:rsidR="009C2B49" w:rsidRPr="00FB6CEA" w:rsidRDefault="009C2B49" w:rsidP="00F64AE3">
            <w:pPr>
              <w:jc w:val="both"/>
              <w:rPr>
                <w:spacing w:val="-2"/>
              </w:rPr>
            </w:pPr>
            <w:r w:rsidRPr="00FB6CEA">
              <w:rPr>
                <w:iCs/>
                <w:spacing w:val="-2"/>
                <w:lang w:eastAsia="lv-LV"/>
              </w:rPr>
              <w:t>Projekta izpilde tiks nodrošināta esošo cilvēkresursu ietvaros.</w:t>
            </w:r>
          </w:p>
        </w:tc>
      </w:tr>
      <w:tr w:rsidR="009C2B49" w:rsidRPr="00FB6CEA" w14:paraId="4FB5B7D5" w14:textId="77777777" w:rsidTr="00B64333">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1A36F70" w14:textId="77777777" w:rsidR="009C2B49" w:rsidRPr="00FB6CEA" w:rsidRDefault="009C2B49">
            <w:pPr>
              <w:rPr>
                <w:iCs/>
                <w:spacing w:val="-2"/>
                <w:lang w:eastAsia="lv-LV"/>
              </w:rPr>
            </w:pPr>
            <w:r w:rsidRPr="00FB6CEA">
              <w:rPr>
                <w:iCs/>
                <w:spacing w:val="-2"/>
                <w:lang w:eastAsia="lv-LV"/>
              </w:rPr>
              <w:t>3.</w:t>
            </w:r>
          </w:p>
        </w:tc>
        <w:tc>
          <w:tcPr>
            <w:tcW w:w="1382" w:type="pct"/>
            <w:tcBorders>
              <w:top w:val="outset" w:sz="6" w:space="0" w:color="auto"/>
              <w:left w:val="outset" w:sz="6" w:space="0" w:color="auto"/>
              <w:bottom w:val="outset" w:sz="6" w:space="0" w:color="auto"/>
              <w:right w:val="outset" w:sz="6" w:space="0" w:color="auto"/>
            </w:tcBorders>
            <w:hideMark/>
          </w:tcPr>
          <w:p w14:paraId="05F706B0" w14:textId="77777777" w:rsidR="009C2B49" w:rsidRPr="00FB6CEA" w:rsidRDefault="009C2B49">
            <w:pPr>
              <w:rPr>
                <w:iCs/>
                <w:spacing w:val="-2"/>
                <w:lang w:eastAsia="lv-LV"/>
              </w:rPr>
            </w:pPr>
            <w:r w:rsidRPr="00FB6CEA">
              <w:rPr>
                <w:iCs/>
                <w:spacing w:val="-2"/>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70C85019" w14:textId="77777777" w:rsidR="009C2B49" w:rsidRPr="00FB6CEA" w:rsidRDefault="009C2B49">
            <w:pPr>
              <w:rPr>
                <w:iCs/>
                <w:spacing w:val="-2"/>
                <w:lang w:eastAsia="lv-LV"/>
              </w:rPr>
            </w:pPr>
            <w:r w:rsidRPr="00FB6CEA">
              <w:rPr>
                <w:iCs/>
                <w:spacing w:val="-2"/>
                <w:lang w:eastAsia="lv-LV"/>
              </w:rPr>
              <w:t>Nav.</w:t>
            </w:r>
          </w:p>
        </w:tc>
      </w:tr>
    </w:tbl>
    <w:p w14:paraId="095A3DD3" w14:textId="77777777" w:rsidR="009C2B49" w:rsidRPr="00FB6CEA" w:rsidRDefault="009C2B49" w:rsidP="009C2B49">
      <w:pPr>
        <w:pStyle w:val="BodyTextIndent"/>
        <w:ind w:left="0" w:firstLine="0"/>
        <w:rPr>
          <w:spacing w:val="-2"/>
          <w:szCs w:val="28"/>
        </w:rPr>
      </w:pPr>
    </w:p>
    <w:p w14:paraId="40760C59" w14:textId="77777777" w:rsidR="0071309D" w:rsidRPr="00FB6CEA" w:rsidRDefault="0071309D" w:rsidP="009C2B49">
      <w:pPr>
        <w:pStyle w:val="BodyTextIndent"/>
        <w:tabs>
          <w:tab w:val="left" w:pos="6521"/>
        </w:tabs>
        <w:ind w:left="0" w:firstLine="720"/>
        <w:rPr>
          <w:spacing w:val="-2"/>
          <w:szCs w:val="28"/>
        </w:rPr>
      </w:pPr>
    </w:p>
    <w:p w14:paraId="66027A27" w14:textId="59B644B0" w:rsidR="009C2B49" w:rsidRPr="00FB6CEA" w:rsidRDefault="009C2B49" w:rsidP="009C2B49">
      <w:pPr>
        <w:pStyle w:val="BodyTextIndent"/>
        <w:tabs>
          <w:tab w:val="left" w:pos="6521"/>
        </w:tabs>
        <w:ind w:left="0" w:firstLine="720"/>
        <w:rPr>
          <w:spacing w:val="-2"/>
          <w:szCs w:val="28"/>
        </w:rPr>
      </w:pPr>
      <w:r w:rsidRPr="00FB6CEA">
        <w:rPr>
          <w:spacing w:val="-2"/>
          <w:szCs w:val="28"/>
        </w:rPr>
        <w:t>Finanšu ministrs</w:t>
      </w:r>
      <w:r w:rsidRPr="00FB6CEA">
        <w:rPr>
          <w:spacing w:val="-2"/>
          <w:szCs w:val="28"/>
        </w:rPr>
        <w:tab/>
        <w:t>J. Reirs</w:t>
      </w:r>
    </w:p>
    <w:p w14:paraId="0FF245C7" w14:textId="16646F65" w:rsidR="008263A3" w:rsidRDefault="008263A3" w:rsidP="009C2B49">
      <w:pPr>
        <w:tabs>
          <w:tab w:val="left" w:pos="6237"/>
        </w:tabs>
        <w:rPr>
          <w:spacing w:val="-2"/>
          <w:sz w:val="20"/>
          <w:szCs w:val="20"/>
        </w:rPr>
      </w:pPr>
    </w:p>
    <w:p w14:paraId="26122A98" w14:textId="69312630" w:rsidR="007C11AC" w:rsidRDefault="007C11AC" w:rsidP="009C2B49">
      <w:pPr>
        <w:tabs>
          <w:tab w:val="left" w:pos="6237"/>
        </w:tabs>
        <w:rPr>
          <w:spacing w:val="-2"/>
          <w:sz w:val="20"/>
          <w:szCs w:val="20"/>
        </w:rPr>
      </w:pPr>
    </w:p>
    <w:p w14:paraId="1D92F886" w14:textId="77777777" w:rsidR="007C11AC" w:rsidRPr="00FB6CEA" w:rsidRDefault="007C11AC" w:rsidP="009C2B49">
      <w:pPr>
        <w:tabs>
          <w:tab w:val="left" w:pos="6237"/>
        </w:tabs>
        <w:rPr>
          <w:spacing w:val="-2"/>
          <w:sz w:val="20"/>
          <w:szCs w:val="20"/>
        </w:rPr>
      </w:pPr>
    </w:p>
    <w:p w14:paraId="3A4925AB" w14:textId="77777777" w:rsidR="008263A3" w:rsidRPr="00FB6CEA" w:rsidRDefault="008263A3" w:rsidP="009C2B49">
      <w:pPr>
        <w:tabs>
          <w:tab w:val="left" w:pos="6237"/>
        </w:tabs>
        <w:rPr>
          <w:spacing w:val="-2"/>
          <w:sz w:val="20"/>
          <w:szCs w:val="20"/>
        </w:rPr>
      </w:pPr>
    </w:p>
    <w:p w14:paraId="792A240B" w14:textId="209975CE" w:rsidR="009C2B49" w:rsidRPr="00FB6CEA" w:rsidRDefault="009C2B49" w:rsidP="009C2B49">
      <w:pPr>
        <w:tabs>
          <w:tab w:val="left" w:pos="6237"/>
        </w:tabs>
        <w:rPr>
          <w:spacing w:val="-2"/>
          <w:sz w:val="20"/>
          <w:szCs w:val="20"/>
        </w:rPr>
      </w:pPr>
      <w:proofErr w:type="spellStart"/>
      <w:r w:rsidRPr="00FB6CEA">
        <w:rPr>
          <w:spacing w:val="-2"/>
          <w:sz w:val="20"/>
          <w:szCs w:val="20"/>
        </w:rPr>
        <w:t>I.Blauberga</w:t>
      </w:r>
      <w:proofErr w:type="spellEnd"/>
      <w:r w:rsidRPr="00FB6CEA">
        <w:rPr>
          <w:spacing w:val="-2"/>
          <w:sz w:val="20"/>
          <w:szCs w:val="20"/>
        </w:rPr>
        <w:t xml:space="preserve"> 67083887</w:t>
      </w:r>
    </w:p>
    <w:p w14:paraId="60B5BF4B" w14:textId="77777777" w:rsidR="009C2B49" w:rsidRPr="00FB6CEA" w:rsidRDefault="009C2B49" w:rsidP="009C2B49">
      <w:pPr>
        <w:tabs>
          <w:tab w:val="left" w:pos="6237"/>
        </w:tabs>
        <w:rPr>
          <w:spacing w:val="-2"/>
          <w:sz w:val="20"/>
          <w:szCs w:val="20"/>
        </w:rPr>
      </w:pPr>
      <w:r w:rsidRPr="00FB6CEA">
        <w:rPr>
          <w:spacing w:val="-2"/>
          <w:sz w:val="20"/>
          <w:szCs w:val="20"/>
        </w:rPr>
        <w:t>Irena.Blauberga@fm.gov.lv</w:t>
      </w:r>
    </w:p>
    <w:p w14:paraId="37787F7B" w14:textId="77777777" w:rsidR="009C2B49" w:rsidRPr="00FB6CEA" w:rsidRDefault="009C2B49" w:rsidP="009C2B49">
      <w:pPr>
        <w:rPr>
          <w:spacing w:val="-2"/>
        </w:rPr>
      </w:pPr>
    </w:p>
    <w:p w14:paraId="086128BA" w14:textId="77777777" w:rsidR="001008E9" w:rsidRPr="00FB6CEA" w:rsidRDefault="007E5B10" w:rsidP="009C2B49">
      <w:pPr>
        <w:rPr>
          <w:spacing w:val="-2"/>
          <w:sz w:val="20"/>
          <w:szCs w:val="20"/>
        </w:rPr>
      </w:pPr>
    </w:p>
    <w:sectPr w:rsidR="001008E9" w:rsidRPr="00FB6CE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007E" w14:textId="77777777" w:rsidR="00677393" w:rsidRDefault="00677393">
      <w:r>
        <w:separator/>
      </w:r>
    </w:p>
  </w:endnote>
  <w:endnote w:type="continuationSeparator" w:id="0">
    <w:p w14:paraId="6848933B" w14:textId="77777777" w:rsidR="00677393" w:rsidRDefault="0067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406" w14:textId="77777777" w:rsidR="00F64AE3" w:rsidRDefault="00F64AE3" w:rsidP="00F64AE3">
    <w:pPr>
      <w:pStyle w:val="Header"/>
    </w:pPr>
  </w:p>
  <w:p w14:paraId="30BEA6B8" w14:textId="77777777" w:rsidR="00F64AE3" w:rsidRDefault="00F64AE3" w:rsidP="00F64AE3"/>
  <w:p w14:paraId="5C336BD0" w14:textId="773B5B65" w:rsidR="00CB528D" w:rsidRPr="00F64AE3" w:rsidRDefault="00F64AE3" w:rsidP="00F64AE3">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FManot_2</w:t>
    </w:r>
    <w:r w:rsidR="00B33511">
      <w:rPr>
        <w:rFonts w:ascii="Times New Roman" w:hAnsi="Times New Roman"/>
        <w:noProof/>
        <w:sz w:val="20"/>
        <w:szCs w:val="20"/>
      </w:rPr>
      <w:t>6</w:t>
    </w:r>
    <w:r>
      <w:rPr>
        <w:rFonts w:ascii="Times New Roman" w:hAnsi="Times New Roman"/>
        <w:noProof/>
        <w:sz w:val="20"/>
        <w:szCs w:val="20"/>
      </w:rPr>
      <w:t>0520_SURE</w:t>
    </w:r>
    <w:r w:rsidRPr="00414FCA">
      <w:rPr>
        <w:rFonts w:ascii="Times New Roman" w:hAnsi="Times New Roman"/>
        <w:sz w:val="20"/>
        <w:szCs w:val="20"/>
      </w:rPr>
      <w:fldChar w:fldCharType="end"/>
    </w:r>
    <w:r>
      <w:rPr>
        <w:rFonts w:ascii="Times New Roman" w:hAnsi="Times New Roman"/>
        <w:sz w:val="20"/>
        <w:szCs w:val="20"/>
      </w:rPr>
      <w:t>.</w:t>
    </w:r>
    <w:proofErr w:type="spellStart"/>
    <w:r>
      <w:rPr>
        <w:rFonts w:ascii="Times New Roman" w:hAnsi="Times New Roman"/>
        <w:sz w:val="20"/>
        <w:szCs w:val="20"/>
      </w:rPr>
      <w:t>docx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BCFB" w14:textId="75F5133E" w:rsidR="006A432E" w:rsidRPr="00414FCA" w:rsidRDefault="00C80E5C" w:rsidP="00414FCA">
    <w:pPr>
      <w:pStyle w:val="Footer"/>
      <w:rPr>
        <w:rFonts w:ascii="Times New Roman" w:hAnsi="Times New Roman"/>
        <w:noProof/>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Pr>
        <w:rFonts w:ascii="Times New Roman" w:hAnsi="Times New Roman"/>
        <w:noProof/>
        <w:sz w:val="20"/>
        <w:szCs w:val="20"/>
      </w:rPr>
      <w:t>FM</w:t>
    </w:r>
    <w:r w:rsidR="00E3623E">
      <w:rPr>
        <w:rFonts w:ascii="Times New Roman" w:hAnsi="Times New Roman"/>
        <w:noProof/>
        <w:sz w:val="20"/>
        <w:szCs w:val="20"/>
      </w:rPr>
      <w:t>anot</w:t>
    </w:r>
    <w:r>
      <w:rPr>
        <w:rFonts w:ascii="Times New Roman" w:hAnsi="Times New Roman"/>
        <w:noProof/>
        <w:sz w:val="20"/>
        <w:szCs w:val="20"/>
      </w:rPr>
      <w:t>_</w:t>
    </w:r>
    <w:r w:rsidR="00B33511">
      <w:rPr>
        <w:rFonts w:ascii="Times New Roman" w:hAnsi="Times New Roman"/>
        <w:noProof/>
        <w:sz w:val="20"/>
        <w:szCs w:val="20"/>
      </w:rPr>
      <w:t>26</w:t>
    </w:r>
    <w:r w:rsidR="0091644B">
      <w:rPr>
        <w:rFonts w:ascii="Times New Roman" w:hAnsi="Times New Roman"/>
        <w:noProof/>
        <w:sz w:val="20"/>
        <w:szCs w:val="20"/>
      </w:rPr>
      <w:t>0520_SURE</w:t>
    </w:r>
    <w:r w:rsidRPr="00414FCA">
      <w:rPr>
        <w:rFonts w:ascii="Times New Roman" w:hAnsi="Times New Roman"/>
        <w:sz w:val="20"/>
        <w:szCs w:val="20"/>
      </w:rPr>
      <w:fldChar w:fldCharType="end"/>
    </w:r>
    <w:r w:rsidR="007A7C7B">
      <w:rPr>
        <w:rFonts w:ascii="Times New Roman" w:hAnsi="Times New Roman"/>
        <w:sz w:val="20"/>
        <w:szCs w:val="20"/>
      </w:rPr>
      <w:t>.</w:t>
    </w:r>
    <w:proofErr w:type="spellStart"/>
    <w:r w:rsidR="007A7C7B">
      <w:rPr>
        <w:rFonts w:ascii="Times New Roman" w:hAnsi="Times New Roman"/>
        <w:sz w:val="20"/>
        <w:szCs w:val="20"/>
      </w:rPr>
      <w:t>docx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F2D16" w14:textId="77777777" w:rsidR="00677393" w:rsidRDefault="00677393">
      <w:r>
        <w:separator/>
      </w:r>
    </w:p>
  </w:footnote>
  <w:footnote w:type="continuationSeparator" w:id="0">
    <w:p w14:paraId="1FA13E8B" w14:textId="77777777" w:rsidR="00677393" w:rsidRDefault="0067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90DB" w14:textId="706088CA" w:rsidR="006A432E" w:rsidRPr="00C25B49" w:rsidRDefault="00C80E5C">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7E5B10">
      <w:rPr>
        <w:rFonts w:ascii="Times New Roman" w:hAnsi="Times New Roman"/>
        <w:noProof/>
        <w:sz w:val="24"/>
        <w:szCs w:val="20"/>
      </w:rPr>
      <w:t>8</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43B6"/>
    <w:multiLevelType w:val="hybridMultilevel"/>
    <w:tmpl w:val="76948700"/>
    <w:lvl w:ilvl="0" w:tplc="DC3EDB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214654"/>
    <w:multiLevelType w:val="hybridMultilevel"/>
    <w:tmpl w:val="89645366"/>
    <w:lvl w:ilvl="0" w:tplc="900EF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7651ECF"/>
    <w:multiLevelType w:val="hybridMultilevel"/>
    <w:tmpl w:val="C1427A58"/>
    <w:lvl w:ilvl="0" w:tplc="71A687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3786CC7"/>
    <w:multiLevelType w:val="hybridMultilevel"/>
    <w:tmpl w:val="32487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CD1F9C"/>
    <w:multiLevelType w:val="hybridMultilevel"/>
    <w:tmpl w:val="91D8A672"/>
    <w:lvl w:ilvl="0" w:tplc="12F0018C">
      <w:start w:val="20"/>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15:restartNumberingAfterBreak="0">
    <w:nsid w:val="775670AA"/>
    <w:multiLevelType w:val="hybridMultilevel"/>
    <w:tmpl w:val="196CAEE0"/>
    <w:lvl w:ilvl="0" w:tplc="456E007E">
      <w:start w:val="1"/>
      <w:numFmt w:val="lowerLetter"/>
      <w:lvlText w:val="%1)"/>
      <w:lvlJc w:val="left"/>
      <w:pPr>
        <w:ind w:left="1287" w:hanging="360"/>
      </w:pPr>
      <w:rPr>
        <w:rFonts w:hint="default"/>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5"/>
  </w:num>
  <w:num w:numId="3">
    <w:abstractNumId w:val="4"/>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5C"/>
    <w:rsid w:val="00031CB8"/>
    <w:rsid w:val="00073187"/>
    <w:rsid w:val="0016146F"/>
    <w:rsid w:val="00164066"/>
    <w:rsid w:val="00170584"/>
    <w:rsid w:val="00177D7C"/>
    <w:rsid w:val="0018386B"/>
    <w:rsid w:val="00184137"/>
    <w:rsid w:val="0020475D"/>
    <w:rsid w:val="002B0EDB"/>
    <w:rsid w:val="002C0CE1"/>
    <w:rsid w:val="002C5E68"/>
    <w:rsid w:val="002D38C2"/>
    <w:rsid w:val="002F33A0"/>
    <w:rsid w:val="00341FDB"/>
    <w:rsid w:val="0036295A"/>
    <w:rsid w:val="003922C6"/>
    <w:rsid w:val="003C1113"/>
    <w:rsid w:val="003D53E3"/>
    <w:rsid w:val="00420CBC"/>
    <w:rsid w:val="004314E8"/>
    <w:rsid w:val="00432FAB"/>
    <w:rsid w:val="004A253C"/>
    <w:rsid w:val="004D28E5"/>
    <w:rsid w:val="004F3DD6"/>
    <w:rsid w:val="00526A63"/>
    <w:rsid w:val="00585315"/>
    <w:rsid w:val="005A56B7"/>
    <w:rsid w:val="005A5BA8"/>
    <w:rsid w:val="005D5C1A"/>
    <w:rsid w:val="005E32E6"/>
    <w:rsid w:val="005F251E"/>
    <w:rsid w:val="00630F29"/>
    <w:rsid w:val="0067010D"/>
    <w:rsid w:val="00677393"/>
    <w:rsid w:val="006C34B0"/>
    <w:rsid w:val="006C5348"/>
    <w:rsid w:val="006C6685"/>
    <w:rsid w:val="0071309D"/>
    <w:rsid w:val="00731768"/>
    <w:rsid w:val="007355E4"/>
    <w:rsid w:val="007564FB"/>
    <w:rsid w:val="00763A74"/>
    <w:rsid w:val="00786ACD"/>
    <w:rsid w:val="007952C5"/>
    <w:rsid w:val="007A7C7B"/>
    <w:rsid w:val="007C11AC"/>
    <w:rsid w:val="007E5B10"/>
    <w:rsid w:val="00821BED"/>
    <w:rsid w:val="008263A3"/>
    <w:rsid w:val="00831192"/>
    <w:rsid w:val="00851020"/>
    <w:rsid w:val="008C7E22"/>
    <w:rsid w:val="008E607C"/>
    <w:rsid w:val="008F4E8B"/>
    <w:rsid w:val="0091644B"/>
    <w:rsid w:val="00976E5A"/>
    <w:rsid w:val="009B3787"/>
    <w:rsid w:val="009C172B"/>
    <w:rsid w:val="009C2B49"/>
    <w:rsid w:val="00A00893"/>
    <w:rsid w:val="00A10307"/>
    <w:rsid w:val="00A10823"/>
    <w:rsid w:val="00AC1A73"/>
    <w:rsid w:val="00AF6AE5"/>
    <w:rsid w:val="00B05328"/>
    <w:rsid w:val="00B16046"/>
    <w:rsid w:val="00B33511"/>
    <w:rsid w:val="00B335F2"/>
    <w:rsid w:val="00B511F1"/>
    <w:rsid w:val="00B64333"/>
    <w:rsid w:val="00B92EF6"/>
    <w:rsid w:val="00BA4013"/>
    <w:rsid w:val="00C27837"/>
    <w:rsid w:val="00C31A1D"/>
    <w:rsid w:val="00C3205A"/>
    <w:rsid w:val="00C80E5C"/>
    <w:rsid w:val="00CB5D97"/>
    <w:rsid w:val="00CC2608"/>
    <w:rsid w:val="00CD363B"/>
    <w:rsid w:val="00CD36BA"/>
    <w:rsid w:val="00D741DD"/>
    <w:rsid w:val="00D938C7"/>
    <w:rsid w:val="00DB158B"/>
    <w:rsid w:val="00DE7BBB"/>
    <w:rsid w:val="00E34A47"/>
    <w:rsid w:val="00E3623E"/>
    <w:rsid w:val="00E43068"/>
    <w:rsid w:val="00E4467A"/>
    <w:rsid w:val="00E529C6"/>
    <w:rsid w:val="00E539FA"/>
    <w:rsid w:val="00E601E8"/>
    <w:rsid w:val="00E61AF6"/>
    <w:rsid w:val="00E73909"/>
    <w:rsid w:val="00EA2135"/>
    <w:rsid w:val="00EC3F64"/>
    <w:rsid w:val="00F25257"/>
    <w:rsid w:val="00F64AE3"/>
    <w:rsid w:val="00F729CB"/>
    <w:rsid w:val="00F80099"/>
    <w:rsid w:val="00F9188F"/>
    <w:rsid w:val="00FB6CEA"/>
    <w:rsid w:val="00FF7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1B67CE"/>
  <w15:chartTrackingRefBased/>
  <w15:docId w15:val="{E7F91046-B79C-BF42-B8D5-316BB613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5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0E5C"/>
    <w:rPr>
      <w:color w:val="0000FF"/>
      <w:u w:val="single"/>
    </w:rPr>
  </w:style>
  <w:style w:type="paragraph" w:styleId="Header">
    <w:name w:val="header"/>
    <w:basedOn w:val="Normal"/>
    <w:link w:val="HeaderChar"/>
    <w:uiPriority w:val="99"/>
    <w:unhideWhenUsed/>
    <w:rsid w:val="00C80E5C"/>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80E5C"/>
    <w:rPr>
      <w:rFonts w:ascii="Calibri" w:eastAsia="Calibri" w:hAnsi="Calibri" w:cs="Times New Roman"/>
      <w:sz w:val="22"/>
      <w:szCs w:val="22"/>
      <w:lang w:val="lv-LV"/>
    </w:rPr>
  </w:style>
  <w:style w:type="paragraph" w:styleId="Footer">
    <w:name w:val="footer"/>
    <w:basedOn w:val="Normal"/>
    <w:link w:val="FooterChar"/>
    <w:uiPriority w:val="99"/>
    <w:unhideWhenUsed/>
    <w:rsid w:val="00C80E5C"/>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C80E5C"/>
    <w:rPr>
      <w:rFonts w:ascii="Calibri" w:eastAsia="Calibri" w:hAnsi="Calibri" w:cs="Times New Roman"/>
      <w:sz w:val="22"/>
      <w:szCs w:val="22"/>
      <w:lang w:val="lv-LV"/>
    </w:rPr>
  </w:style>
  <w:style w:type="paragraph" w:styleId="ListParagraph">
    <w:name w:val="List Paragraph"/>
    <w:aliases w:val="2,Strip,H&amp;P List Paragraph,Saraksta rindkopa,Saraksta rindkopa1"/>
    <w:basedOn w:val="Normal"/>
    <w:link w:val="ListParagraphChar"/>
    <w:uiPriority w:val="34"/>
    <w:qFormat/>
    <w:rsid w:val="00C80E5C"/>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Strip Char,H&amp;P List Paragraph Char,Saraksta rindkopa Char,Saraksta rindkopa1 Char"/>
    <w:link w:val="ListParagraph"/>
    <w:uiPriority w:val="34"/>
    <w:locked/>
    <w:rsid w:val="00C80E5C"/>
    <w:rPr>
      <w:rFonts w:ascii="Calibri" w:eastAsia="Calibri" w:hAnsi="Calibri" w:cs="Times New Roman"/>
      <w:sz w:val="22"/>
      <w:szCs w:val="22"/>
      <w:lang w:val="en-US"/>
    </w:rPr>
  </w:style>
  <w:style w:type="paragraph" w:styleId="BodyTextIndent">
    <w:name w:val="Body Text Indent"/>
    <w:basedOn w:val="Normal"/>
    <w:link w:val="BodyTextIndentChar"/>
    <w:rsid w:val="00C80E5C"/>
    <w:pPr>
      <w:ind w:left="142" w:firstLine="578"/>
      <w:jc w:val="both"/>
    </w:pPr>
    <w:rPr>
      <w:sz w:val="28"/>
      <w:szCs w:val="20"/>
      <w:lang w:eastAsia="en-US"/>
    </w:rPr>
  </w:style>
  <w:style w:type="character" w:customStyle="1" w:styleId="BodyTextIndentChar">
    <w:name w:val="Body Text Indent Char"/>
    <w:basedOn w:val="DefaultParagraphFont"/>
    <w:link w:val="BodyTextIndent"/>
    <w:rsid w:val="00C80E5C"/>
    <w:rPr>
      <w:rFonts w:ascii="Times New Roman" w:eastAsia="Times New Roman" w:hAnsi="Times New Roman" w:cs="Times New Roman"/>
      <w:sz w:val="28"/>
      <w:szCs w:val="20"/>
      <w:lang w:val="lv-LV"/>
    </w:rPr>
  </w:style>
  <w:style w:type="paragraph" w:styleId="NoSpacing">
    <w:name w:val="No Spacing"/>
    <w:uiPriority w:val="1"/>
    <w:qFormat/>
    <w:rsid w:val="00C80E5C"/>
  </w:style>
  <w:style w:type="paragraph" w:styleId="BalloonText">
    <w:name w:val="Balloon Text"/>
    <w:basedOn w:val="Normal"/>
    <w:link w:val="BalloonTextChar"/>
    <w:uiPriority w:val="99"/>
    <w:semiHidden/>
    <w:unhideWhenUsed/>
    <w:rsid w:val="0036295A"/>
    <w:rPr>
      <w:sz w:val="18"/>
      <w:szCs w:val="18"/>
    </w:rPr>
  </w:style>
  <w:style w:type="character" w:customStyle="1" w:styleId="BalloonTextChar">
    <w:name w:val="Balloon Text Char"/>
    <w:basedOn w:val="DefaultParagraphFont"/>
    <w:link w:val="BalloonText"/>
    <w:uiPriority w:val="99"/>
    <w:semiHidden/>
    <w:rsid w:val="0036295A"/>
    <w:rPr>
      <w:rFonts w:ascii="Times New Roman" w:eastAsia="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FB6CEA"/>
    <w:rPr>
      <w:color w:val="954F72" w:themeColor="followedHyperlink"/>
      <w:u w:val="single"/>
    </w:rPr>
  </w:style>
  <w:style w:type="paragraph" w:styleId="BodyText2">
    <w:name w:val="Body Text 2"/>
    <w:basedOn w:val="Normal"/>
    <w:link w:val="BodyText2Char"/>
    <w:uiPriority w:val="99"/>
    <w:unhideWhenUsed/>
    <w:rsid w:val="00C3205A"/>
    <w:pPr>
      <w:spacing w:after="120" w:line="480" w:lineRule="auto"/>
      <w:jc w:val="both"/>
    </w:pPr>
    <w:rPr>
      <w:szCs w:val="20"/>
      <w:lang w:eastAsia="en-US"/>
    </w:rPr>
  </w:style>
  <w:style w:type="character" w:customStyle="1" w:styleId="BodyText2Char">
    <w:name w:val="Body Text 2 Char"/>
    <w:basedOn w:val="DefaultParagraphFont"/>
    <w:link w:val="BodyText2"/>
    <w:uiPriority w:val="99"/>
    <w:rsid w:val="00C3205A"/>
    <w:rPr>
      <w:rFonts w:ascii="Times New Roman" w:eastAsia="Times New Roman" w:hAnsi="Times New Roman" w:cs="Times New Roman"/>
      <w:szCs w:val="20"/>
    </w:rPr>
  </w:style>
  <w:style w:type="paragraph" w:customStyle="1" w:styleId="tvhtml">
    <w:name w:val="tv_html"/>
    <w:basedOn w:val="Normal"/>
    <w:rsid w:val="00DB158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9B3787"/>
    <w:rPr>
      <w:sz w:val="16"/>
      <w:szCs w:val="16"/>
    </w:rPr>
  </w:style>
  <w:style w:type="paragraph" w:styleId="CommentText">
    <w:name w:val="annotation text"/>
    <w:basedOn w:val="Normal"/>
    <w:link w:val="CommentTextChar"/>
    <w:uiPriority w:val="99"/>
    <w:semiHidden/>
    <w:unhideWhenUsed/>
    <w:rsid w:val="009B3787"/>
    <w:rPr>
      <w:sz w:val="20"/>
      <w:szCs w:val="20"/>
    </w:rPr>
  </w:style>
  <w:style w:type="character" w:customStyle="1" w:styleId="CommentTextChar">
    <w:name w:val="Comment Text Char"/>
    <w:basedOn w:val="DefaultParagraphFont"/>
    <w:link w:val="CommentText"/>
    <w:uiPriority w:val="99"/>
    <w:semiHidden/>
    <w:rsid w:val="009B37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787"/>
    <w:rPr>
      <w:b/>
      <w:bCs/>
    </w:rPr>
  </w:style>
  <w:style w:type="character" w:customStyle="1" w:styleId="CommentSubjectChar">
    <w:name w:val="Comment Subject Char"/>
    <w:basedOn w:val="CommentTextChar"/>
    <w:link w:val="CommentSubject"/>
    <w:uiPriority w:val="99"/>
    <w:semiHidden/>
    <w:rsid w:val="009B378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754">
      <w:bodyDiv w:val="1"/>
      <w:marLeft w:val="0"/>
      <w:marRight w:val="0"/>
      <w:marTop w:val="0"/>
      <w:marBottom w:val="0"/>
      <w:divBdr>
        <w:top w:val="none" w:sz="0" w:space="0" w:color="auto"/>
        <w:left w:val="none" w:sz="0" w:space="0" w:color="auto"/>
        <w:bottom w:val="none" w:sz="0" w:space="0" w:color="auto"/>
        <w:right w:val="none" w:sz="0" w:space="0" w:color="auto"/>
      </w:divBdr>
    </w:div>
    <w:div w:id="757100671">
      <w:bodyDiv w:val="1"/>
      <w:marLeft w:val="0"/>
      <w:marRight w:val="0"/>
      <w:marTop w:val="0"/>
      <w:marBottom w:val="0"/>
      <w:divBdr>
        <w:top w:val="none" w:sz="0" w:space="0" w:color="auto"/>
        <w:left w:val="none" w:sz="0" w:space="0" w:color="auto"/>
        <w:bottom w:val="none" w:sz="0" w:space="0" w:color="auto"/>
        <w:right w:val="none" w:sz="0" w:space="0" w:color="auto"/>
      </w:divBdr>
    </w:div>
    <w:div w:id="1442452084">
      <w:bodyDiv w:val="1"/>
      <w:marLeft w:val="0"/>
      <w:marRight w:val="0"/>
      <w:marTop w:val="0"/>
      <w:marBottom w:val="0"/>
      <w:divBdr>
        <w:top w:val="none" w:sz="0" w:space="0" w:color="auto"/>
        <w:left w:val="none" w:sz="0" w:space="0" w:color="auto"/>
        <w:bottom w:val="none" w:sz="0" w:space="0" w:color="auto"/>
        <w:right w:val="none" w:sz="0" w:space="0" w:color="auto"/>
      </w:divBdr>
    </w:div>
    <w:div w:id="1478231511">
      <w:bodyDiv w:val="1"/>
      <w:marLeft w:val="0"/>
      <w:marRight w:val="0"/>
      <w:marTop w:val="0"/>
      <w:marBottom w:val="0"/>
      <w:divBdr>
        <w:top w:val="none" w:sz="0" w:space="0" w:color="auto"/>
        <w:left w:val="none" w:sz="0" w:space="0" w:color="auto"/>
        <w:bottom w:val="none" w:sz="0" w:space="0" w:color="auto"/>
        <w:right w:val="none" w:sz="0" w:space="0" w:color="auto"/>
      </w:divBdr>
    </w:div>
    <w:div w:id="15467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9861</Words>
  <Characters>5621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Galvojuma līguma projekta sākotnējās ietekmes novērtējuma ziņojums (anotācija)</vt:lpstr>
    </vt:vector>
  </TitlesOfParts>
  <Company>Finanšu ministrija</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Galvojuma līguma projekta sākotnējās ietekmes novērtējuma ziņojums (anotācija)</dc:title>
  <dc:subject>Likumprojekta sākotnējās ietekmes novērtējuma ziņojums (anotācija)</dc:subject>
  <dc:creator>irena.blauberga@fm.gov.lv</dc:creator>
  <cp:keywords/>
  <dc:description>67083887
Irena.Blauberga@fm.gov.lv</dc:description>
  <cp:lastModifiedBy>Finanšu ministrija</cp:lastModifiedBy>
  <cp:revision>5</cp:revision>
  <dcterms:created xsi:type="dcterms:W3CDTF">2020-05-27T19:27:00Z</dcterms:created>
  <dcterms:modified xsi:type="dcterms:W3CDTF">2020-05-28T11:32:00Z</dcterms:modified>
</cp:coreProperties>
</file>