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0188"/>
      </w:tblGrid>
      <w:tr w:rsidR="003906EA" w:rsidRPr="003906EA" w14:paraId="1CF19493" w14:textId="77777777" w:rsidTr="00391F5B">
        <w:trPr>
          <w:jc w:val="center"/>
        </w:trPr>
        <w:tc>
          <w:tcPr>
            <w:tcW w:w="10188" w:type="dxa"/>
            <w:tcBorders>
              <w:bottom w:val="single" w:sz="6" w:space="0" w:color="000000"/>
            </w:tcBorders>
          </w:tcPr>
          <w:p w14:paraId="78CAF3A2" w14:textId="1EAB1E80" w:rsidR="00AE73EF" w:rsidRPr="003F1590" w:rsidRDefault="00D04BF4" w:rsidP="00102FD9">
            <w:pPr>
              <w:jc w:val="center"/>
              <w:rPr>
                <w:rFonts w:ascii="Times New Roman" w:eastAsia="Times New Roman" w:hAnsi="Times New Roman" w:cs="Times New Roman"/>
                <w:b/>
                <w:bCs/>
                <w:sz w:val="24"/>
                <w:szCs w:val="24"/>
              </w:rPr>
            </w:pPr>
            <w:r w:rsidRPr="003F1590">
              <w:rPr>
                <w:rFonts w:ascii="Times New Roman" w:eastAsia="Times New Roman" w:hAnsi="Times New Roman" w:cs="Times New Roman"/>
                <w:b/>
                <w:bCs/>
                <w:sz w:val="24"/>
                <w:szCs w:val="24"/>
                <w:lang w:val="lv-LV" w:eastAsia="lv-LV"/>
              </w:rPr>
              <w:t xml:space="preserve">Izziņa </w:t>
            </w:r>
            <w:r w:rsidR="00AE73EF" w:rsidRPr="003F1590">
              <w:rPr>
                <w:rFonts w:ascii="Times New Roman" w:eastAsia="Times New Roman" w:hAnsi="Times New Roman" w:cs="Times New Roman"/>
                <w:b/>
                <w:bCs/>
                <w:sz w:val="24"/>
                <w:szCs w:val="24"/>
                <w:lang w:val="lv-LV" w:eastAsia="lv-LV"/>
              </w:rPr>
              <w:t xml:space="preserve">par </w:t>
            </w:r>
            <w:r w:rsidRPr="003F1590">
              <w:rPr>
                <w:rFonts w:ascii="Times New Roman" w:eastAsia="Times New Roman" w:hAnsi="Times New Roman" w:cs="Times New Roman"/>
                <w:b/>
                <w:bCs/>
                <w:sz w:val="24"/>
                <w:szCs w:val="24"/>
                <w:lang w:val="lv-LV" w:eastAsia="lv-LV"/>
              </w:rPr>
              <w:t xml:space="preserve">atzinumos sniegtajiem </w:t>
            </w:r>
            <w:r w:rsidR="00A902A1" w:rsidRPr="003F1590">
              <w:rPr>
                <w:rFonts w:ascii="Times New Roman" w:eastAsia="Times New Roman" w:hAnsi="Times New Roman" w:cs="Times New Roman"/>
                <w:b/>
                <w:bCs/>
                <w:sz w:val="24"/>
                <w:szCs w:val="24"/>
                <w:lang w:val="lv-LV" w:eastAsia="lv-LV"/>
              </w:rPr>
              <w:t xml:space="preserve">komentāriem </w:t>
            </w:r>
            <w:r w:rsidRPr="003F1590">
              <w:rPr>
                <w:rFonts w:ascii="Times New Roman" w:eastAsia="Times New Roman" w:hAnsi="Times New Roman" w:cs="Times New Roman"/>
                <w:b/>
                <w:bCs/>
                <w:sz w:val="24"/>
                <w:szCs w:val="24"/>
                <w:lang w:val="lv-LV" w:eastAsia="lv-LV"/>
              </w:rPr>
              <w:t xml:space="preserve">par </w:t>
            </w:r>
            <w:r w:rsidR="00AE73EF" w:rsidRPr="003F1590">
              <w:rPr>
                <w:rFonts w:ascii="Times New Roman" w:eastAsia="Times New Roman" w:hAnsi="Times New Roman" w:cs="Times New Roman"/>
                <w:b/>
                <w:bCs/>
                <w:sz w:val="24"/>
                <w:szCs w:val="24"/>
                <w:lang w:val="lv-LV" w:eastAsia="lv-LV"/>
              </w:rPr>
              <w:t>Ministru kabineta noteikumu projektu „</w:t>
            </w:r>
            <w:proofErr w:type="spellStart"/>
            <w:r w:rsidR="008B6C89" w:rsidRPr="003F1590">
              <w:rPr>
                <w:rFonts w:ascii="Times New Roman" w:hAnsi="Times New Roman" w:cs="Times New Roman"/>
                <w:b/>
                <w:sz w:val="24"/>
                <w:szCs w:val="24"/>
              </w:rPr>
              <w:t>Grozījumi</w:t>
            </w:r>
            <w:proofErr w:type="spellEnd"/>
            <w:r w:rsidR="008B6C89" w:rsidRPr="003F1590">
              <w:rPr>
                <w:rFonts w:ascii="Times New Roman" w:hAnsi="Times New Roman" w:cs="Times New Roman"/>
                <w:b/>
                <w:sz w:val="24"/>
                <w:szCs w:val="24"/>
              </w:rPr>
              <w:t xml:space="preserve"> </w:t>
            </w:r>
            <w:proofErr w:type="spellStart"/>
            <w:r w:rsidR="008B6C89" w:rsidRPr="003F1590">
              <w:rPr>
                <w:rFonts w:ascii="Times New Roman" w:hAnsi="Times New Roman" w:cs="Times New Roman"/>
                <w:b/>
                <w:sz w:val="24"/>
                <w:szCs w:val="24"/>
              </w:rPr>
              <w:t>Ministru</w:t>
            </w:r>
            <w:proofErr w:type="spellEnd"/>
            <w:r w:rsidR="008B6C89" w:rsidRPr="003F1590">
              <w:rPr>
                <w:rFonts w:ascii="Times New Roman" w:hAnsi="Times New Roman" w:cs="Times New Roman"/>
                <w:b/>
                <w:sz w:val="24"/>
                <w:szCs w:val="24"/>
              </w:rPr>
              <w:t xml:space="preserve"> </w:t>
            </w:r>
            <w:proofErr w:type="spellStart"/>
            <w:r w:rsidR="008B6C89" w:rsidRPr="003F1590">
              <w:rPr>
                <w:rFonts w:ascii="Times New Roman" w:hAnsi="Times New Roman" w:cs="Times New Roman"/>
                <w:b/>
                <w:sz w:val="24"/>
                <w:szCs w:val="24"/>
              </w:rPr>
              <w:t>kabineta</w:t>
            </w:r>
            <w:proofErr w:type="spellEnd"/>
            <w:r w:rsidR="008B6C89" w:rsidRPr="003F1590">
              <w:rPr>
                <w:rFonts w:ascii="Times New Roman" w:hAnsi="Times New Roman" w:cs="Times New Roman"/>
                <w:b/>
                <w:sz w:val="24"/>
                <w:szCs w:val="24"/>
              </w:rPr>
              <w:t xml:space="preserve"> 2016. </w:t>
            </w:r>
            <w:proofErr w:type="spellStart"/>
            <w:r w:rsidR="008B6C89" w:rsidRPr="003F1590">
              <w:rPr>
                <w:rFonts w:ascii="Times New Roman" w:hAnsi="Times New Roman" w:cs="Times New Roman"/>
                <w:b/>
                <w:sz w:val="24"/>
                <w:szCs w:val="24"/>
              </w:rPr>
              <w:t>gada</w:t>
            </w:r>
            <w:proofErr w:type="spellEnd"/>
            <w:r w:rsidR="008B6C89" w:rsidRPr="003F1590">
              <w:rPr>
                <w:rFonts w:ascii="Times New Roman" w:hAnsi="Times New Roman" w:cs="Times New Roman"/>
                <w:b/>
                <w:sz w:val="24"/>
                <w:szCs w:val="24"/>
              </w:rPr>
              <w:t xml:space="preserve"> 15. </w:t>
            </w:r>
            <w:proofErr w:type="spellStart"/>
            <w:r w:rsidR="008B6C89" w:rsidRPr="003F1590">
              <w:rPr>
                <w:rFonts w:ascii="Times New Roman" w:hAnsi="Times New Roman" w:cs="Times New Roman"/>
                <w:b/>
                <w:sz w:val="24"/>
                <w:szCs w:val="24"/>
              </w:rPr>
              <w:t>jūlija</w:t>
            </w:r>
            <w:proofErr w:type="spellEnd"/>
            <w:r w:rsidR="008B6C89" w:rsidRPr="003F1590">
              <w:rPr>
                <w:rFonts w:ascii="Times New Roman" w:hAnsi="Times New Roman" w:cs="Times New Roman"/>
                <w:b/>
                <w:sz w:val="24"/>
                <w:szCs w:val="24"/>
              </w:rPr>
              <w:t xml:space="preserve"> </w:t>
            </w:r>
            <w:proofErr w:type="spellStart"/>
            <w:r w:rsidR="008B6C89" w:rsidRPr="003F1590">
              <w:rPr>
                <w:rFonts w:ascii="Times New Roman" w:hAnsi="Times New Roman" w:cs="Times New Roman"/>
                <w:b/>
                <w:sz w:val="24"/>
                <w:szCs w:val="24"/>
              </w:rPr>
              <w:t>noteikumos</w:t>
            </w:r>
            <w:proofErr w:type="spellEnd"/>
            <w:r w:rsidR="008B6C89" w:rsidRPr="003F1590">
              <w:rPr>
                <w:rFonts w:ascii="Times New Roman" w:hAnsi="Times New Roman" w:cs="Times New Roman"/>
                <w:b/>
                <w:sz w:val="24"/>
                <w:szCs w:val="24"/>
              </w:rPr>
              <w:t xml:space="preserve"> Nr. 474</w:t>
            </w:r>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Darbības</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programmas</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Izaugsme</w:t>
            </w:r>
            <w:proofErr w:type="spellEnd"/>
            <w:r w:rsidR="008B6C89" w:rsidRPr="003F1590">
              <w:rPr>
                <w:rFonts w:ascii="Times New Roman" w:eastAsia="Times New Roman" w:hAnsi="Times New Roman" w:cs="Times New Roman"/>
                <w:b/>
                <w:bCs/>
                <w:sz w:val="24"/>
                <w:szCs w:val="24"/>
              </w:rPr>
              <w:t xml:space="preserve"> un </w:t>
            </w:r>
            <w:proofErr w:type="spellStart"/>
            <w:r w:rsidR="008B6C89" w:rsidRPr="003F1590">
              <w:rPr>
                <w:rFonts w:ascii="Times New Roman" w:eastAsia="Times New Roman" w:hAnsi="Times New Roman" w:cs="Times New Roman"/>
                <w:b/>
                <w:bCs/>
                <w:sz w:val="24"/>
                <w:szCs w:val="24"/>
              </w:rPr>
              <w:t>nodarbinātība</w:t>
            </w:r>
            <w:proofErr w:type="spellEnd"/>
            <w:r w:rsidR="008B6C89" w:rsidRPr="003F1590">
              <w:rPr>
                <w:rFonts w:ascii="Times New Roman" w:eastAsia="Times New Roman" w:hAnsi="Times New Roman" w:cs="Times New Roman"/>
                <w:b/>
                <w:bCs/>
                <w:sz w:val="24"/>
                <w:szCs w:val="24"/>
              </w:rPr>
              <w:t xml:space="preserve">” 8.4.1. </w:t>
            </w:r>
            <w:proofErr w:type="spellStart"/>
            <w:r w:rsidR="008B6C89" w:rsidRPr="003F1590">
              <w:rPr>
                <w:rFonts w:ascii="Times New Roman" w:eastAsia="Times New Roman" w:hAnsi="Times New Roman" w:cs="Times New Roman"/>
                <w:b/>
                <w:bCs/>
                <w:sz w:val="24"/>
                <w:szCs w:val="24"/>
              </w:rPr>
              <w:t>specifiskā</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atbalsta</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mērķa</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Pilnveidot</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nodarbināto</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personu</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profesionālo</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kompetenci</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īstenošanas</w:t>
            </w:r>
            <w:proofErr w:type="spellEnd"/>
            <w:r w:rsidR="008B6C89" w:rsidRPr="003F1590">
              <w:rPr>
                <w:rFonts w:ascii="Times New Roman" w:eastAsia="Times New Roman" w:hAnsi="Times New Roman" w:cs="Times New Roman"/>
                <w:b/>
                <w:bCs/>
                <w:sz w:val="24"/>
                <w:szCs w:val="24"/>
              </w:rPr>
              <w:t xml:space="preserve"> </w:t>
            </w:r>
            <w:proofErr w:type="spellStart"/>
            <w:r w:rsidR="008B6C89" w:rsidRPr="003F1590">
              <w:rPr>
                <w:rFonts w:ascii="Times New Roman" w:eastAsia="Times New Roman" w:hAnsi="Times New Roman" w:cs="Times New Roman"/>
                <w:b/>
                <w:bCs/>
                <w:sz w:val="24"/>
                <w:szCs w:val="24"/>
              </w:rPr>
              <w:t>noteikumi</w:t>
            </w:r>
            <w:proofErr w:type="spellEnd"/>
            <w:r w:rsidR="008B6C89" w:rsidRPr="003F1590">
              <w:rPr>
                <w:rFonts w:ascii="Times New Roman" w:hAnsi="Times New Roman" w:cs="Times New Roman"/>
                <w:b/>
                <w:sz w:val="24"/>
                <w:szCs w:val="24"/>
              </w:rPr>
              <w:t>”</w:t>
            </w:r>
            <w:r w:rsidR="00F82A75" w:rsidRPr="003F1590">
              <w:rPr>
                <w:rFonts w:ascii="Times New Roman" w:hAnsi="Times New Roman" w:cs="Times New Roman"/>
                <w:b/>
                <w:sz w:val="24"/>
                <w:szCs w:val="24"/>
                <w:lang w:val="lv-LV"/>
              </w:rPr>
              <w:t xml:space="preserve">” </w:t>
            </w:r>
            <w:r w:rsidR="008F7442" w:rsidRPr="003F1590">
              <w:rPr>
                <w:rFonts w:ascii="Times New Roman" w:eastAsia="Times New Roman" w:hAnsi="Times New Roman" w:cs="Times New Roman"/>
                <w:b/>
                <w:bCs/>
                <w:sz w:val="24"/>
                <w:szCs w:val="24"/>
                <w:lang w:val="lv-LV" w:eastAsia="lv-LV"/>
              </w:rPr>
              <w:t>un</w:t>
            </w:r>
            <w:r w:rsidR="00AE73EF" w:rsidRPr="003F1590">
              <w:rPr>
                <w:rFonts w:ascii="Times New Roman" w:eastAsia="Times New Roman" w:hAnsi="Times New Roman" w:cs="Times New Roman"/>
                <w:b/>
                <w:bCs/>
                <w:sz w:val="24"/>
                <w:szCs w:val="24"/>
                <w:lang w:val="lv-LV" w:eastAsia="lv-LV"/>
              </w:rPr>
              <w:t xml:space="preserve"> </w:t>
            </w:r>
            <w:r w:rsidR="00E659F2" w:rsidRPr="003F1590">
              <w:rPr>
                <w:rFonts w:ascii="Times New Roman" w:eastAsia="Times New Roman" w:hAnsi="Times New Roman" w:cs="Times New Roman"/>
                <w:b/>
                <w:bCs/>
                <w:sz w:val="24"/>
                <w:szCs w:val="24"/>
                <w:lang w:val="lv-LV" w:eastAsia="lv-LV"/>
              </w:rPr>
              <w:t xml:space="preserve">tā </w:t>
            </w:r>
            <w:r w:rsidR="00AE73EF" w:rsidRPr="003F1590">
              <w:rPr>
                <w:rFonts w:ascii="Times New Roman" w:eastAsia="Times New Roman" w:hAnsi="Times New Roman" w:cs="Times New Roman"/>
                <w:b/>
                <w:bCs/>
                <w:sz w:val="24"/>
                <w:szCs w:val="24"/>
                <w:lang w:val="lv-LV" w:eastAsia="lv-LV"/>
              </w:rPr>
              <w:t>sākotnējās ietekmes novērtējuma</w:t>
            </w:r>
            <w:r w:rsidR="00AE73EF" w:rsidRPr="003F1590">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3906EA"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(dokumenta veids un nosaukums)</w:t>
      </w:r>
    </w:p>
    <w:p w14:paraId="21C32819" w14:textId="77777777" w:rsidR="00AE73EF" w:rsidRPr="003906EA"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90"/>
        <w:gridCol w:w="3367"/>
        <w:gridCol w:w="2605"/>
        <w:gridCol w:w="3489"/>
        <w:gridCol w:w="2073"/>
      </w:tblGrid>
      <w:tr w:rsidR="003906EA" w:rsidRPr="003906EA" w14:paraId="10280AFD" w14:textId="77777777" w:rsidTr="001F3ED3">
        <w:trPr>
          <w:trHeight w:val="1230"/>
        </w:trPr>
        <w:tc>
          <w:tcPr>
            <w:tcW w:w="184" w:type="pct"/>
            <w:vAlign w:val="center"/>
          </w:tcPr>
          <w:p w14:paraId="51B87B60"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1132" w:type="pct"/>
            <w:vAlign w:val="center"/>
          </w:tcPr>
          <w:p w14:paraId="238DBB4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876" w:type="pct"/>
            <w:vAlign w:val="center"/>
          </w:tcPr>
          <w:p w14:paraId="0F5619E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pamatojums iebilduma noraidījumam</w:t>
            </w:r>
          </w:p>
        </w:tc>
        <w:tc>
          <w:tcPr>
            <w:tcW w:w="1173" w:type="pct"/>
          </w:tcPr>
          <w:p w14:paraId="752CE34C"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697" w:type="pct"/>
            <w:vAlign w:val="center"/>
          </w:tcPr>
          <w:p w14:paraId="5618CAC7"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42A44CCB" w14:textId="77777777" w:rsidTr="001F3ED3">
        <w:trPr>
          <w:trHeight w:val="285"/>
        </w:trPr>
        <w:tc>
          <w:tcPr>
            <w:tcW w:w="184" w:type="pct"/>
            <w:vAlign w:val="center"/>
          </w:tcPr>
          <w:p w14:paraId="6B3A457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1132" w:type="pct"/>
            <w:vAlign w:val="center"/>
          </w:tcPr>
          <w:p w14:paraId="2580E9D3"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876" w:type="pct"/>
            <w:vAlign w:val="center"/>
          </w:tcPr>
          <w:p w14:paraId="5D9710D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1173" w:type="pct"/>
          </w:tcPr>
          <w:p w14:paraId="076D724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c>
          <w:tcPr>
            <w:tcW w:w="697" w:type="pct"/>
            <w:vAlign w:val="center"/>
          </w:tcPr>
          <w:p w14:paraId="0CC6D34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w:t>
            </w:r>
          </w:p>
        </w:tc>
      </w:tr>
      <w:tr w:rsidR="003906EA" w:rsidRPr="003906EA" w14:paraId="64873B7A" w14:textId="77777777" w:rsidTr="001F3ED3">
        <w:trPr>
          <w:trHeight w:val="475"/>
        </w:trPr>
        <w:tc>
          <w:tcPr>
            <w:tcW w:w="184" w:type="pct"/>
          </w:tcPr>
          <w:p w14:paraId="3422E73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tcPr>
          <w:p w14:paraId="3A0C9F77"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132" w:type="pct"/>
          </w:tcPr>
          <w:p w14:paraId="114E6F73" w14:textId="77777777" w:rsidR="00AE73EF" w:rsidRPr="003906EA"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876" w:type="pct"/>
          </w:tcPr>
          <w:p w14:paraId="091652B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173" w:type="pct"/>
          </w:tcPr>
          <w:p w14:paraId="3870ECD6"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697" w:type="pct"/>
          </w:tcPr>
          <w:p w14:paraId="5F3A8ED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r>
    </w:tbl>
    <w:p w14:paraId="3301A1F2"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906EA" w14:paraId="28C1FF02" w14:textId="77777777" w:rsidTr="00391F5B">
        <w:tc>
          <w:tcPr>
            <w:tcW w:w="5637" w:type="dxa"/>
          </w:tcPr>
          <w:p w14:paraId="022E46D3"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24BE98BA"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tc>
      </w:tr>
      <w:tr w:rsidR="003906EA" w:rsidRPr="003906EA" w14:paraId="527CB65B" w14:textId="77777777" w:rsidTr="00391F5B">
        <w:tc>
          <w:tcPr>
            <w:tcW w:w="5637" w:type="dxa"/>
          </w:tcPr>
          <w:p w14:paraId="3560BEDA" w14:textId="77777777" w:rsidR="00AE73EF" w:rsidRPr="003906EA"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906EA" w14:paraId="3C6BAC9F" w14:textId="77777777" w:rsidTr="00391F5B">
        <w:tc>
          <w:tcPr>
            <w:tcW w:w="5637" w:type="dxa"/>
          </w:tcPr>
          <w:p w14:paraId="156CA671"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1A4E3CEC" w:rsidR="00AE73EF" w:rsidRPr="003906EA" w:rsidRDefault="00714499" w:rsidP="00A52420">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Tieslietu </w:t>
            </w:r>
            <w:r w:rsidR="00A52420" w:rsidRPr="003906EA">
              <w:rPr>
                <w:rFonts w:ascii="Times New Roman" w:eastAsia="Times New Roman" w:hAnsi="Times New Roman" w:cs="Times New Roman"/>
                <w:sz w:val="24"/>
                <w:szCs w:val="24"/>
                <w:lang w:val="lv-LV" w:eastAsia="lv-LV"/>
              </w:rPr>
              <w:t>ministrija, Finanšu ministrija</w:t>
            </w:r>
            <w:r w:rsidR="00D773C8">
              <w:rPr>
                <w:rFonts w:ascii="Times New Roman" w:eastAsia="Times New Roman" w:hAnsi="Times New Roman" w:cs="Times New Roman"/>
                <w:sz w:val="24"/>
                <w:szCs w:val="24"/>
                <w:lang w:val="lv-LV" w:eastAsia="lv-LV"/>
              </w:rPr>
              <w:t>, Labklājības ministrija</w:t>
            </w:r>
          </w:p>
        </w:tc>
      </w:tr>
      <w:tr w:rsidR="003906EA" w:rsidRPr="003906EA" w14:paraId="4D42A07E" w14:textId="77777777" w:rsidTr="00391F5B">
        <w:trPr>
          <w:trHeight w:val="285"/>
        </w:trPr>
        <w:tc>
          <w:tcPr>
            <w:tcW w:w="5637" w:type="dxa"/>
          </w:tcPr>
          <w:p w14:paraId="09CA3152" w14:textId="41AB7011" w:rsidR="00AE73EF" w:rsidRPr="003906EA"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906EA"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906EA" w14:paraId="34AAB01F" w14:textId="77777777" w:rsidTr="00391F5B">
        <w:trPr>
          <w:trHeight w:val="285"/>
        </w:trPr>
        <w:tc>
          <w:tcPr>
            <w:tcW w:w="5637" w:type="dxa"/>
          </w:tcPr>
          <w:p w14:paraId="1013E26F"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7EB99DC" w:rsidR="00AE73EF" w:rsidRPr="003906EA"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Finanšu ministrija</w:t>
            </w:r>
          </w:p>
        </w:tc>
      </w:tr>
      <w:tr w:rsidR="003906EA" w:rsidRPr="003906EA" w14:paraId="552458A2" w14:textId="77777777" w:rsidTr="00391F5B">
        <w:tc>
          <w:tcPr>
            <w:tcW w:w="5637" w:type="dxa"/>
          </w:tcPr>
          <w:p w14:paraId="13335375"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3906EA"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Default="00AE73EF" w:rsidP="00AE73EF">
      <w:pPr>
        <w:spacing w:after="0" w:line="240" w:lineRule="auto"/>
        <w:rPr>
          <w:rFonts w:ascii="Times New Roman" w:eastAsia="Times New Roman" w:hAnsi="Times New Roman" w:cs="Times New Roman"/>
          <w:sz w:val="24"/>
          <w:szCs w:val="24"/>
          <w:lang w:val="lv-LV" w:eastAsia="lv-LV"/>
        </w:rPr>
      </w:pPr>
    </w:p>
    <w:p w14:paraId="7E6FD503" w14:textId="647A4FAE" w:rsidR="001F3ED3" w:rsidRDefault="001F3ED3" w:rsidP="00AE73EF">
      <w:pPr>
        <w:spacing w:after="0" w:line="240" w:lineRule="auto"/>
        <w:rPr>
          <w:rFonts w:ascii="Times New Roman" w:eastAsia="Times New Roman" w:hAnsi="Times New Roman" w:cs="Times New Roman"/>
          <w:sz w:val="24"/>
          <w:szCs w:val="24"/>
          <w:lang w:val="lv-LV" w:eastAsia="lv-LV"/>
        </w:rPr>
      </w:pPr>
    </w:p>
    <w:p w14:paraId="434FC058" w14:textId="6592CCA7" w:rsidR="003F1590" w:rsidRDefault="003F1590" w:rsidP="00AE73EF">
      <w:pPr>
        <w:spacing w:after="0" w:line="240" w:lineRule="auto"/>
        <w:rPr>
          <w:rFonts w:ascii="Times New Roman" w:eastAsia="Times New Roman" w:hAnsi="Times New Roman" w:cs="Times New Roman"/>
          <w:sz w:val="24"/>
          <w:szCs w:val="24"/>
          <w:lang w:val="lv-LV" w:eastAsia="lv-LV"/>
        </w:rPr>
      </w:pPr>
    </w:p>
    <w:p w14:paraId="4BC216F5" w14:textId="77777777" w:rsidR="003F1590" w:rsidRDefault="003F1590" w:rsidP="00AE73EF">
      <w:pPr>
        <w:spacing w:after="0" w:line="240" w:lineRule="auto"/>
        <w:rPr>
          <w:rFonts w:ascii="Times New Roman" w:eastAsia="Times New Roman" w:hAnsi="Times New Roman" w:cs="Times New Roman"/>
          <w:sz w:val="24"/>
          <w:szCs w:val="24"/>
          <w:lang w:val="lv-LV" w:eastAsia="lv-LV"/>
        </w:rPr>
      </w:pPr>
    </w:p>
    <w:p w14:paraId="234BDF29" w14:textId="77777777" w:rsidR="001F3ED3" w:rsidRPr="003906EA" w:rsidRDefault="001F3ED3"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3906EA" w:rsidRDefault="00AE73EF" w:rsidP="00AE73E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lastRenderedPageBreak/>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4110"/>
        <w:gridCol w:w="3261"/>
        <w:gridCol w:w="3861"/>
      </w:tblGrid>
      <w:tr w:rsidR="003906EA" w:rsidRPr="00047649" w14:paraId="17163A59" w14:textId="77777777" w:rsidTr="00023B43">
        <w:tc>
          <w:tcPr>
            <w:tcW w:w="959" w:type="dxa"/>
            <w:vAlign w:val="center"/>
          </w:tcPr>
          <w:p w14:paraId="2BD677C0"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proofErr w:type="spellStart"/>
            <w:r w:rsidRPr="00047649">
              <w:rPr>
                <w:rFonts w:ascii="Times New Roman" w:eastAsia="Times New Roman" w:hAnsi="Times New Roman" w:cs="Times New Roman"/>
                <w:sz w:val="24"/>
                <w:szCs w:val="24"/>
                <w:lang w:val="lv-LV" w:eastAsia="lv-LV"/>
              </w:rPr>
              <w:t>Nr.p.k</w:t>
            </w:r>
            <w:proofErr w:type="spellEnd"/>
            <w:r w:rsidRPr="00047649">
              <w:rPr>
                <w:rFonts w:ascii="Times New Roman" w:eastAsia="Times New Roman" w:hAnsi="Times New Roman" w:cs="Times New Roman"/>
                <w:sz w:val="24"/>
                <w:szCs w:val="24"/>
                <w:lang w:val="lv-LV" w:eastAsia="lv-LV"/>
              </w:rPr>
              <w:t>.</w:t>
            </w:r>
          </w:p>
        </w:tc>
        <w:tc>
          <w:tcPr>
            <w:tcW w:w="2864" w:type="dxa"/>
            <w:vAlign w:val="center"/>
          </w:tcPr>
          <w:p w14:paraId="5DBCC888"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p>
        </w:tc>
        <w:tc>
          <w:tcPr>
            <w:tcW w:w="4110" w:type="dxa"/>
            <w:vAlign w:val="center"/>
          </w:tcPr>
          <w:p w14:paraId="15DCF8C9" w14:textId="77777777" w:rsidR="00AE73EF" w:rsidRPr="003F1590" w:rsidRDefault="00AE73EF" w:rsidP="00047649">
            <w:pPr>
              <w:spacing w:after="0" w:line="240" w:lineRule="auto"/>
              <w:rPr>
                <w:rFonts w:ascii="Times New Roman" w:eastAsia="Times New Roman" w:hAnsi="Times New Roman" w:cs="Times New Roman"/>
                <w:sz w:val="24"/>
                <w:szCs w:val="24"/>
                <w:lang w:val="lv-LV" w:eastAsia="lv-LV"/>
              </w:rPr>
            </w:pPr>
            <w:r w:rsidRPr="003F1590">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261" w:type="dxa"/>
            <w:vAlign w:val="center"/>
          </w:tcPr>
          <w:p w14:paraId="5940F7AE"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047649" w:rsidRDefault="00AE73EF" w:rsidP="00047649">
            <w:pPr>
              <w:spacing w:after="0" w:line="240" w:lineRule="auto"/>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Projekta attiecīgā punkta (panta) galīgā redakcija</w:t>
            </w:r>
          </w:p>
        </w:tc>
      </w:tr>
      <w:tr w:rsidR="003906EA" w:rsidRPr="00047649" w14:paraId="7CBE62B6" w14:textId="77777777" w:rsidTr="00023B43">
        <w:trPr>
          <w:trHeight w:val="275"/>
        </w:trPr>
        <w:tc>
          <w:tcPr>
            <w:tcW w:w="959" w:type="dxa"/>
          </w:tcPr>
          <w:p w14:paraId="4AC92BC4" w14:textId="77777777" w:rsidR="00AE73EF" w:rsidRPr="00047649" w:rsidRDefault="00AE73EF"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1</w:t>
            </w:r>
          </w:p>
        </w:tc>
        <w:tc>
          <w:tcPr>
            <w:tcW w:w="2864" w:type="dxa"/>
          </w:tcPr>
          <w:p w14:paraId="22A0EA54" w14:textId="77777777" w:rsidR="00AE73EF" w:rsidRPr="00047649" w:rsidRDefault="00AE73EF" w:rsidP="00047649">
            <w:pPr>
              <w:tabs>
                <w:tab w:val="center" w:pos="1055"/>
              </w:tabs>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2</w:t>
            </w:r>
          </w:p>
        </w:tc>
        <w:tc>
          <w:tcPr>
            <w:tcW w:w="4110" w:type="dxa"/>
          </w:tcPr>
          <w:p w14:paraId="124A501E" w14:textId="77777777" w:rsidR="00AE73EF" w:rsidRPr="003F1590" w:rsidRDefault="00AE73EF" w:rsidP="00047649">
            <w:pPr>
              <w:spacing w:after="0" w:line="240" w:lineRule="auto"/>
              <w:jc w:val="center"/>
              <w:rPr>
                <w:rFonts w:ascii="Times New Roman" w:eastAsia="Times New Roman" w:hAnsi="Times New Roman" w:cs="Times New Roman"/>
                <w:sz w:val="24"/>
                <w:szCs w:val="24"/>
                <w:lang w:val="lv-LV" w:eastAsia="lv-LV"/>
              </w:rPr>
            </w:pPr>
            <w:r w:rsidRPr="003F1590">
              <w:rPr>
                <w:rFonts w:ascii="Times New Roman" w:eastAsia="Times New Roman" w:hAnsi="Times New Roman" w:cs="Times New Roman"/>
                <w:sz w:val="24"/>
                <w:szCs w:val="24"/>
                <w:lang w:val="lv-LV" w:eastAsia="lv-LV"/>
              </w:rPr>
              <w:t>3</w:t>
            </w:r>
          </w:p>
        </w:tc>
        <w:tc>
          <w:tcPr>
            <w:tcW w:w="3261" w:type="dxa"/>
          </w:tcPr>
          <w:p w14:paraId="47F039D5" w14:textId="77777777" w:rsidR="00AE73EF" w:rsidRPr="00047649" w:rsidRDefault="00AE73EF"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4</w:t>
            </w:r>
          </w:p>
        </w:tc>
        <w:tc>
          <w:tcPr>
            <w:tcW w:w="3861" w:type="dxa"/>
          </w:tcPr>
          <w:p w14:paraId="65E77D4A" w14:textId="77777777" w:rsidR="00AE73EF" w:rsidRPr="00047649" w:rsidRDefault="00AE73EF" w:rsidP="00047649">
            <w:pPr>
              <w:spacing w:after="0" w:line="240" w:lineRule="auto"/>
              <w:jc w:val="center"/>
              <w:rPr>
                <w:rFonts w:ascii="Times New Roman" w:eastAsia="Times New Roman" w:hAnsi="Times New Roman" w:cs="Times New Roman"/>
                <w:sz w:val="24"/>
                <w:szCs w:val="24"/>
                <w:lang w:val="lv-LV" w:eastAsia="lv-LV"/>
              </w:rPr>
            </w:pPr>
            <w:r w:rsidRPr="00047649">
              <w:rPr>
                <w:rFonts w:ascii="Times New Roman" w:eastAsia="Times New Roman" w:hAnsi="Times New Roman" w:cs="Times New Roman"/>
                <w:sz w:val="24"/>
                <w:szCs w:val="24"/>
                <w:lang w:val="lv-LV" w:eastAsia="lv-LV"/>
              </w:rPr>
              <w:t>5</w:t>
            </w:r>
          </w:p>
        </w:tc>
      </w:tr>
      <w:tr w:rsidR="003F1590" w:rsidRPr="00047649" w14:paraId="3E08ABF1" w14:textId="77777777" w:rsidTr="00023B43">
        <w:trPr>
          <w:trHeight w:val="275"/>
        </w:trPr>
        <w:tc>
          <w:tcPr>
            <w:tcW w:w="959" w:type="dxa"/>
          </w:tcPr>
          <w:p w14:paraId="30076742" w14:textId="1B20352F" w:rsidR="003F1590" w:rsidRPr="00047649" w:rsidRDefault="003F1590"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2864" w:type="dxa"/>
          </w:tcPr>
          <w:p w14:paraId="2684F24A" w14:textId="77777777" w:rsidR="00BF4D44" w:rsidRPr="00BF4D44" w:rsidRDefault="00BF4D44" w:rsidP="00BF4D44">
            <w:pPr>
              <w:spacing w:after="0" w:line="240" w:lineRule="auto"/>
              <w:jc w:val="both"/>
              <w:rPr>
                <w:rFonts w:ascii="Times New Roman" w:hAnsi="Times New Roman" w:cs="Times New Roman"/>
                <w:bCs/>
                <w:spacing w:val="-2"/>
                <w:sz w:val="24"/>
                <w:szCs w:val="24"/>
                <w:lang w:val="lv-LV"/>
              </w:rPr>
            </w:pPr>
            <w:r w:rsidRPr="00BF4D44">
              <w:rPr>
                <w:rFonts w:ascii="Times New Roman" w:hAnsi="Times New Roman" w:cs="Times New Roman"/>
                <w:bCs/>
                <w:spacing w:val="-2"/>
                <w:sz w:val="24"/>
                <w:szCs w:val="24"/>
                <w:lang w:val="lv-LV"/>
              </w:rPr>
              <w:t>5.</w:t>
            </w:r>
            <w:r w:rsidRPr="00BF4D44">
              <w:rPr>
                <w:rFonts w:ascii="Times New Roman" w:hAnsi="Times New Roman" w:cs="Times New Roman"/>
                <w:bCs/>
                <w:spacing w:val="-2"/>
                <w:sz w:val="24"/>
                <w:szCs w:val="24"/>
                <w:lang w:val="lv-LV"/>
              </w:rPr>
              <w:tab/>
              <w:t>Izteikt 5. punktu šādā redakcijā:</w:t>
            </w:r>
          </w:p>
          <w:p w14:paraId="554FBEB3" w14:textId="77777777" w:rsidR="00BF4D44" w:rsidRPr="00BF4D44" w:rsidRDefault="00BF4D44" w:rsidP="00BF4D44">
            <w:pPr>
              <w:spacing w:after="0" w:line="240" w:lineRule="auto"/>
              <w:jc w:val="both"/>
              <w:rPr>
                <w:rFonts w:ascii="Times New Roman" w:hAnsi="Times New Roman" w:cs="Times New Roman"/>
                <w:bCs/>
                <w:spacing w:val="-2"/>
                <w:sz w:val="24"/>
                <w:szCs w:val="24"/>
                <w:lang w:val="lv-LV"/>
              </w:rPr>
            </w:pPr>
          </w:p>
          <w:p w14:paraId="271123A6" w14:textId="6F53AD3F" w:rsidR="003F1590" w:rsidRPr="00D52B61" w:rsidRDefault="00BF4D44" w:rsidP="00BF4D44">
            <w:pPr>
              <w:spacing w:after="0" w:line="240" w:lineRule="auto"/>
              <w:jc w:val="both"/>
              <w:rPr>
                <w:rFonts w:ascii="Times New Roman" w:hAnsi="Times New Roman" w:cs="Times New Roman"/>
                <w:bCs/>
                <w:spacing w:val="-2"/>
                <w:sz w:val="24"/>
                <w:szCs w:val="24"/>
                <w:lang w:val="lv-LV"/>
              </w:rPr>
            </w:pPr>
            <w:r w:rsidRPr="00BF4D44">
              <w:rPr>
                <w:rFonts w:ascii="Times New Roman" w:hAnsi="Times New Roman" w:cs="Times New Roman"/>
                <w:bCs/>
                <w:spacing w:val="-2"/>
                <w:sz w:val="24"/>
                <w:szCs w:val="24"/>
                <w:lang w:val="lv-LV"/>
              </w:rPr>
              <w:t xml:space="preserve">“5. Specifiskā atbalsta pieejamais kopējais attiecināmais finansējums ir 46 845 105 </w:t>
            </w:r>
            <w:proofErr w:type="spellStart"/>
            <w:r w:rsidRPr="00BF4D44">
              <w:rPr>
                <w:rFonts w:ascii="Times New Roman" w:hAnsi="Times New Roman" w:cs="Times New Roman"/>
                <w:bCs/>
                <w:spacing w:val="-2"/>
                <w:sz w:val="24"/>
                <w:szCs w:val="24"/>
                <w:lang w:val="lv-LV"/>
              </w:rPr>
              <w:t>euro</w:t>
            </w:r>
            <w:proofErr w:type="spellEnd"/>
            <w:r w:rsidRPr="00BF4D44">
              <w:rPr>
                <w:rFonts w:ascii="Times New Roman" w:hAnsi="Times New Roman" w:cs="Times New Roman"/>
                <w:bCs/>
                <w:spacing w:val="-2"/>
                <w:sz w:val="24"/>
                <w:szCs w:val="24"/>
                <w:lang w:val="lv-LV"/>
              </w:rPr>
              <w:t xml:space="preserve">, tai skaitā Eiropas Sociālā fonda finansējums 39 818 339 </w:t>
            </w:r>
            <w:proofErr w:type="spellStart"/>
            <w:r w:rsidRPr="00BF4D44">
              <w:rPr>
                <w:rFonts w:ascii="Times New Roman" w:hAnsi="Times New Roman" w:cs="Times New Roman"/>
                <w:bCs/>
                <w:spacing w:val="-2"/>
                <w:sz w:val="24"/>
                <w:szCs w:val="24"/>
                <w:lang w:val="lv-LV"/>
              </w:rPr>
              <w:t>euro</w:t>
            </w:r>
            <w:proofErr w:type="spellEnd"/>
            <w:r w:rsidRPr="00BF4D44">
              <w:rPr>
                <w:rFonts w:ascii="Times New Roman" w:hAnsi="Times New Roman" w:cs="Times New Roman"/>
                <w:bCs/>
                <w:spacing w:val="-2"/>
                <w:sz w:val="24"/>
                <w:szCs w:val="24"/>
                <w:lang w:val="lv-LV"/>
              </w:rPr>
              <w:t xml:space="preserve"> un valsts budžeta līdzfinansējums 7 026 767 </w:t>
            </w:r>
            <w:proofErr w:type="spellStart"/>
            <w:r w:rsidRPr="00BF4D44">
              <w:rPr>
                <w:rFonts w:ascii="Times New Roman" w:hAnsi="Times New Roman" w:cs="Times New Roman"/>
                <w:bCs/>
                <w:spacing w:val="-2"/>
                <w:sz w:val="24"/>
                <w:szCs w:val="24"/>
                <w:lang w:val="lv-LV"/>
              </w:rPr>
              <w:t>euro</w:t>
            </w:r>
            <w:proofErr w:type="spellEnd"/>
            <w:r w:rsidRPr="00BF4D44">
              <w:rPr>
                <w:rFonts w:ascii="Times New Roman" w:hAnsi="Times New Roman" w:cs="Times New Roman"/>
                <w:bCs/>
                <w:spacing w:val="-2"/>
                <w:sz w:val="24"/>
                <w:szCs w:val="24"/>
                <w:lang w:val="lv-LV"/>
              </w:rPr>
              <w:t>. ”.</w:t>
            </w:r>
          </w:p>
        </w:tc>
        <w:tc>
          <w:tcPr>
            <w:tcW w:w="4110" w:type="dxa"/>
          </w:tcPr>
          <w:p w14:paraId="57915485" w14:textId="38F48366" w:rsidR="003F1590" w:rsidRPr="003F1590" w:rsidRDefault="003F1590" w:rsidP="00047649">
            <w:pPr>
              <w:spacing w:after="0" w:line="240" w:lineRule="auto"/>
              <w:jc w:val="both"/>
              <w:rPr>
                <w:rFonts w:ascii="Times New Roman" w:hAnsi="Times New Roman" w:cs="Times New Roman"/>
                <w:sz w:val="24"/>
                <w:szCs w:val="24"/>
                <w:lang w:val="lv-LV"/>
              </w:rPr>
            </w:pPr>
            <w:r w:rsidRPr="003F1590">
              <w:rPr>
                <w:rFonts w:ascii="Times New Roman" w:hAnsi="Times New Roman" w:cs="Times New Roman"/>
                <w:sz w:val="24"/>
                <w:szCs w:val="24"/>
                <w:lang w:val="lv-LV"/>
              </w:rPr>
              <w:t xml:space="preserve">Lūdzam precizēt noteikumu projekta 5.punktā norādīto valsts budžeta līdzfinansējumu uz 7 026 766 </w:t>
            </w:r>
            <w:proofErr w:type="spellStart"/>
            <w:r w:rsidRPr="003F1590">
              <w:rPr>
                <w:rFonts w:ascii="Times New Roman" w:hAnsi="Times New Roman" w:cs="Times New Roman"/>
                <w:sz w:val="24"/>
                <w:szCs w:val="24"/>
                <w:lang w:val="lv-LV"/>
              </w:rPr>
              <w:t>euro</w:t>
            </w:r>
            <w:proofErr w:type="spellEnd"/>
            <w:r w:rsidRPr="003F1590">
              <w:rPr>
                <w:rFonts w:ascii="Times New Roman" w:hAnsi="Times New Roman" w:cs="Times New Roman"/>
                <w:sz w:val="24"/>
                <w:szCs w:val="24"/>
                <w:lang w:val="lv-LV"/>
              </w:rPr>
              <w:t>, lai nodrošinātu matemātisku precizitāti attiecībā uz Eiropas Savienības fondu finansējuma un valsts budžeta līdzfinansējuma proporciju. Vienlaikus lūdzam precizēt arī anotācijā norādīto informāciju.</w:t>
            </w:r>
          </w:p>
        </w:tc>
        <w:tc>
          <w:tcPr>
            <w:tcW w:w="3261" w:type="dxa"/>
          </w:tcPr>
          <w:p w14:paraId="7D645B83" w14:textId="30474D22" w:rsidR="003F1590" w:rsidRPr="00047649" w:rsidRDefault="003F1590"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t>Ņemts vērā</w:t>
            </w:r>
          </w:p>
        </w:tc>
        <w:tc>
          <w:tcPr>
            <w:tcW w:w="3861" w:type="dxa"/>
          </w:tcPr>
          <w:p w14:paraId="7015E07B" w14:textId="77777777" w:rsidR="00BF4D44" w:rsidRPr="00BF4D44" w:rsidRDefault="00BF4D44" w:rsidP="00BF4D44">
            <w:pPr>
              <w:spacing w:after="0" w:line="240" w:lineRule="auto"/>
              <w:jc w:val="both"/>
              <w:rPr>
                <w:rFonts w:ascii="Times New Roman" w:hAnsi="Times New Roman" w:cs="Times New Roman"/>
                <w:bCs/>
                <w:spacing w:val="-2"/>
                <w:sz w:val="24"/>
                <w:szCs w:val="24"/>
                <w:lang w:val="lv-LV"/>
              </w:rPr>
            </w:pPr>
            <w:r w:rsidRPr="00BF4D44">
              <w:rPr>
                <w:rFonts w:ascii="Times New Roman" w:hAnsi="Times New Roman" w:cs="Times New Roman"/>
                <w:bCs/>
                <w:spacing w:val="-2"/>
                <w:sz w:val="24"/>
                <w:szCs w:val="24"/>
                <w:lang w:val="lv-LV"/>
              </w:rPr>
              <w:t>5.</w:t>
            </w:r>
            <w:r w:rsidRPr="00BF4D44">
              <w:rPr>
                <w:rFonts w:ascii="Times New Roman" w:hAnsi="Times New Roman" w:cs="Times New Roman"/>
                <w:bCs/>
                <w:spacing w:val="-2"/>
                <w:sz w:val="24"/>
                <w:szCs w:val="24"/>
                <w:lang w:val="lv-LV"/>
              </w:rPr>
              <w:tab/>
              <w:t>Izteikt 5. punktu šādā redakcijā:</w:t>
            </w:r>
          </w:p>
          <w:p w14:paraId="1251B544" w14:textId="77777777" w:rsidR="00BF4D44" w:rsidRPr="00BF4D44" w:rsidRDefault="00BF4D44" w:rsidP="00BF4D44">
            <w:pPr>
              <w:spacing w:after="0" w:line="240" w:lineRule="auto"/>
              <w:jc w:val="both"/>
              <w:rPr>
                <w:rFonts w:ascii="Times New Roman" w:hAnsi="Times New Roman" w:cs="Times New Roman"/>
                <w:bCs/>
                <w:spacing w:val="-2"/>
                <w:sz w:val="24"/>
                <w:szCs w:val="24"/>
                <w:lang w:val="lv-LV"/>
              </w:rPr>
            </w:pPr>
          </w:p>
          <w:p w14:paraId="0E17B1B2" w14:textId="212F95BE" w:rsidR="003F1590" w:rsidRPr="003F1590" w:rsidRDefault="00BF4D44" w:rsidP="00BF4D44">
            <w:pPr>
              <w:spacing w:after="0" w:line="240" w:lineRule="auto"/>
              <w:jc w:val="both"/>
              <w:rPr>
                <w:rFonts w:ascii="Times New Roman" w:hAnsi="Times New Roman" w:cs="Times New Roman"/>
                <w:bCs/>
                <w:spacing w:val="-2"/>
                <w:sz w:val="24"/>
                <w:szCs w:val="24"/>
                <w:lang w:val="lv-LV"/>
              </w:rPr>
            </w:pPr>
            <w:r w:rsidRPr="00BF4D44">
              <w:rPr>
                <w:rFonts w:ascii="Times New Roman" w:hAnsi="Times New Roman" w:cs="Times New Roman"/>
                <w:bCs/>
                <w:spacing w:val="-2"/>
                <w:sz w:val="24"/>
                <w:szCs w:val="24"/>
                <w:lang w:val="lv-LV"/>
              </w:rPr>
              <w:t xml:space="preserve">“5. Specifiskā atbalsta pieejamais kopējais attiecināmais finansējums ir 46 845 105 </w:t>
            </w:r>
            <w:proofErr w:type="spellStart"/>
            <w:r w:rsidRPr="00BF4D44">
              <w:rPr>
                <w:rFonts w:ascii="Times New Roman" w:hAnsi="Times New Roman" w:cs="Times New Roman"/>
                <w:bCs/>
                <w:spacing w:val="-2"/>
                <w:sz w:val="24"/>
                <w:szCs w:val="24"/>
                <w:lang w:val="lv-LV"/>
              </w:rPr>
              <w:t>euro</w:t>
            </w:r>
            <w:proofErr w:type="spellEnd"/>
            <w:r w:rsidRPr="00BF4D44">
              <w:rPr>
                <w:rFonts w:ascii="Times New Roman" w:hAnsi="Times New Roman" w:cs="Times New Roman"/>
                <w:bCs/>
                <w:spacing w:val="-2"/>
                <w:sz w:val="24"/>
                <w:szCs w:val="24"/>
                <w:lang w:val="lv-LV"/>
              </w:rPr>
              <w:t xml:space="preserve">, tai skaitā Eiropas Sociālā fonda finansējums 39 818 339 </w:t>
            </w:r>
            <w:proofErr w:type="spellStart"/>
            <w:r w:rsidRPr="00BF4D44">
              <w:rPr>
                <w:rFonts w:ascii="Times New Roman" w:hAnsi="Times New Roman" w:cs="Times New Roman"/>
                <w:bCs/>
                <w:spacing w:val="-2"/>
                <w:sz w:val="24"/>
                <w:szCs w:val="24"/>
                <w:lang w:val="lv-LV"/>
              </w:rPr>
              <w:t>euro</w:t>
            </w:r>
            <w:proofErr w:type="spellEnd"/>
            <w:r w:rsidRPr="00BF4D44">
              <w:rPr>
                <w:rFonts w:ascii="Times New Roman" w:hAnsi="Times New Roman" w:cs="Times New Roman"/>
                <w:bCs/>
                <w:spacing w:val="-2"/>
                <w:sz w:val="24"/>
                <w:szCs w:val="24"/>
                <w:lang w:val="lv-LV"/>
              </w:rPr>
              <w:t xml:space="preserve"> un valsts budžeta līdzfinansējums </w:t>
            </w:r>
            <w:r w:rsidRPr="00BF4D44">
              <w:rPr>
                <w:rFonts w:ascii="Times New Roman" w:hAnsi="Times New Roman" w:cs="Times New Roman"/>
                <w:b/>
                <w:spacing w:val="-2"/>
                <w:sz w:val="24"/>
                <w:szCs w:val="24"/>
                <w:lang w:val="lv-LV"/>
              </w:rPr>
              <w:t>7 026 766</w:t>
            </w:r>
            <w:r w:rsidRPr="00BF4D44">
              <w:rPr>
                <w:rFonts w:ascii="Times New Roman" w:hAnsi="Times New Roman" w:cs="Times New Roman"/>
                <w:bCs/>
                <w:spacing w:val="-2"/>
                <w:sz w:val="24"/>
                <w:szCs w:val="24"/>
                <w:lang w:val="lv-LV"/>
              </w:rPr>
              <w:t xml:space="preserve"> </w:t>
            </w:r>
            <w:proofErr w:type="spellStart"/>
            <w:r w:rsidRPr="00BF4D44">
              <w:rPr>
                <w:rFonts w:ascii="Times New Roman" w:hAnsi="Times New Roman" w:cs="Times New Roman"/>
                <w:bCs/>
                <w:spacing w:val="-2"/>
                <w:sz w:val="24"/>
                <w:szCs w:val="24"/>
                <w:lang w:val="lv-LV"/>
              </w:rPr>
              <w:t>euro</w:t>
            </w:r>
            <w:proofErr w:type="spellEnd"/>
            <w:r w:rsidRPr="00BF4D44">
              <w:rPr>
                <w:rFonts w:ascii="Times New Roman" w:hAnsi="Times New Roman" w:cs="Times New Roman"/>
                <w:bCs/>
                <w:spacing w:val="-2"/>
                <w:sz w:val="24"/>
                <w:szCs w:val="24"/>
                <w:lang w:val="lv-LV"/>
              </w:rPr>
              <w:t>. ”.</w:t>
            </w:r>
          </w:p>
        </w:tc>
      </w:tr>
      <w:tr w:rsidR="003F1590" w:rsidRPr="00047649" w14:paraId="7CAC8216" w14:textId="77777777" w:rsidTr="00023B43">
        <w:trPr>
          <w:trHeight w:val="275"/>
        </w:trPr>
        <w:tc>
          <w:tcPr>
            <w:tcW w:w="959" w:type="dxa"/>
          </w:tcPr>
          <w:p w14:paraId="6C42E5D5" w14:textId="4E7DD9D6" w:rsidR="003F1590" w:rsidRPr="00047649" w:rsidRDefault="003F1590"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p>
        </w:tc>
        <w:tc>
          <w:tcPr>
            <w:tcW w:w="2864" w:type="dxa"/>
          </w:tcPr>
          <w:p w14:paraId="5D781F21" w14:textId="38A112C3" w:rsidR="003F1590" w:rsidRPr="00D52B61" w:rsidRDefault="00B03ADF" w:rsidP="00D52B61">
            <w:pPr>
              <w:spacing w:after="0" w:line="240" w:lineRule="auto"/>
              <w:jc w:val="both"/>
              <w:rPr>
                <w:rFonts w:ascii="Times New Roman" w:hAnsi="Times New Roman" w:cs="Times New Roman"/>
                <w:bCs/>
                <w:spacing w:val="-2"/>
                <w:sz w:val="24"/>
                <w:szCs w:val="24"/>
                <w:lang w:val="lv-LV"/>
              </w:rPr>
            </w:pPr>
            <w:r w:rsidRPr="00B03ADF">
              <w:rPr>
                <w:rFonts w:ascii="Times New Roman" w:hAnsi="Times New Roman" w:cs="Times New Roman"/>
                <w:bCs/>
                <w:spacing w:val="-2"/>
                <w:sz w:val="24"/>
                <w:szCs w:val="24"/>
                <w:lang w:val="lv-LV"/>
              </w:rPr>
              <w:t>10. Aizstāt 13.7.1., 13.7.3., 13.7.4., 13.7.6. apakšpunktā vārdu un skaitli "un 18.1.10." ar skaitļiem un vārdu “18.1.10. un 18.1.11.” .</w:t>
            </w:r>
          </w:p>
        </w:tc>
        <w:tc>
          <w:tcPr>
            <w:tcW w:w="4110" w:type="dxa"/>
          </w:tcPr>
          <w:p w14:paraId="644F0D7A" w14:textId="63ACC212" w:rsidR="003F1590" w:rsidRPr="003F1590" w:rsidRDefault="003F1590" w:rsidP="00047649">
            <w:pPr>
              <w:spacing w:after="0" w:line="240" w:lineRule="auto"/>
              <w:jc w:val="both"/>
              <w:rPr>
                <w:rFonts w:ascii="Times New Roman" w:hAnsi="Times New Roman" w:cs="Times New Roman"/>
                <w:sz w:val="24"/>
                <w:szCs w:val="24"/>
                <w:lang w:val="lv-LV"/>
              </w:rPr>
            </w:pPr>
            <w:r w:rsidRPr="003F1590">
              <w:rPr>
                <w:rFonts w:ascii="Times New Roman" w:hAnsi="Times New Roman" w:cs="Times New Roman"/>
                <w:sz w:val="24"/>
                <w:szCs w:val="24"/>
                <w:lang w:val="lv-LV"/>
              </w:rPr>
              <w:t>Lūdzam noteikumu projekta 10. punktā noteikt, ka arī MK 2016. gada 15. jūlija noteikumu Nr. 474 “Darbības programmas “Izaugsme un nodarbinātība” 8.4.1. specifiskā atbalsta mērķa “Pilnveidot nodarbināto personu profesionālo kompetenci” īstenošanas noteikumi” (turpmāk – noteikumi Nr. 474) 13.7.2.apakšpunktā vārds un skaitlis “un 18.1.10.” tiek aizstāts ar skaitļiem un vārdu “18.1.10. un 18.1.11.”.</w:t>
            </w:r>
          </w:p>
        </w:tc>
        <w:tc>
          <w:tcPr>
            <w:tcW w:w="3261" w:type="dxa"/>
          </w:tcPr>
          <w:p w14:paraId="47C4EF04" w14:textId="496A79A4" w:rsidR="003F1590" w:rsidRPr="00047649" w:rsidRDefault="00F03DC2"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t>Ņemts vērā</w:t>
            </w:r>
          </w:p>
        </w:tc>
        <w:tc>
          <w:tcPr>
            <w:tcW w:w="3861" w:type="dxa"/>
          </w:tcPr>
          <w:p w14:paraId="6912434B" w14:textId="6C0A0A80" w:rsidR="003F1590" w:rsidRPr="003F1590" w:rsidRDefault="00403C95" w:rsidP="003F1590">
            <w:pPr>
              <w:spacing w:after="0" w:line="240" w:lineRule="auto"/>
              <w:jc w:val="both"/>
              <w:rPr>
                <w:rFonts w:ascii="Times New Roman" w:hAnsi="Times New Roman" w:cs="Times New Roman"/>
                <w:bCs/>
                <w:spacing w:val="-2"/>
                <w:sz w:val="24"/>
                <w:szCs w:val="24"/>
                <w:lang w:val="lv-LV"/>
              </w:rPr>
            </w:pPr>
            <w:r w:rsidRPr="00403C95">
              <w:rPr>
                <w:rFonts w:ascii="Times New Roman" w:hAnsi="Times New Roman" w:cs="Times New Roman"/>
                <w:bCs/>
                <w:spacing w:val="-2"/>
                <w:sz w:val="24"/>
                <w:szCs w:val="24"/>
                <w:lang w:val="lv-LV"/>
              </w:rPr>
              <w:t xml:space="preserve">10. Aizstāt 13.7.1., </w:t>
            </w:r>
            <w:r w:rsidRPr="00403C95">
              <w:rPr>
                <w:rFonts w:ascii="Times New Roman" w:hAnsi="Times New Roman" w:cs="Times New Roman"/>
                <w:b/>
                <w:spacing w:val="-2"/>
                <w:sz w:val="24"/>
                <w:szCs w:val="24"/>
                <w:lang w:val="lv-LV"/>
              </w:rPr>
              <w:t>13.7.2.,</w:t>
            </w:r>
            <w:r w:rsidRPr="00403C95">
              <w:rPr>
                <w:rFonts w:ascii="Times New Roman" w:hAnsi="Times New Roman" w:cs="Times New Roman"/>
                <w:bCs/>
                <w:spacing w:val="-2"/>
                <w:sz w:val="24"/>
                <w:szCs w:val="24"/>
                <w:lang w:val="lv-LV"/>
              </w:rPr>
              <w:t xml:space="preserve"> 13.7.3., 13.7.4., 13.7.6. apakšpunktā vārdu un skaitli "un 18.1.10." ar skaitļiem un vārdu “18.1.10. un 18.1.11.” .</w:t>
            </w:r>
          </w:p>
        </w:tc>
      </w:tr>
      <w:tr w:rsidR="003F1590" w:rsidRPr="00047649" w14:paraId="689D11AF" w14:textId="77777777" w:rsidTr="00023B43">
        <w:trPr>
          <w:trHeight w:val="275"/>
        </w:trPr>
        <w:tc>
          <w:tcPr>
            <w:tcW w:w="959" w:type="dxa"/>
          </w:tcPr>
          <w:p w14:paraId="3D17153F" w14:textId="6B2E6E9C" w:rsidR="003F1590" w:rsidRPr="00047649" w:rsidRDefault="003F1590"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p>
        </w:tc>
        <w:tc>
          <w:tcPr>
            <w:tcW w:w="2864" w:type="dxa"/>
          </w:tcPr>
          <w:p w14:paraId="3827E260" w14:textId="77777777" w:rsidR="00C81FDE" w:rsidRPr="00C81FDE" w:rsidRDefault="00C81FDE" w:rsidP="00C81FDE">
            <w:pPr>
              <w:spacing w:after="0" w:line="240" w:lineRule="auto"/>
              <w:jc w:val="both"/>
              <w:rPr>
                <w:rFonts w:ascii="Times New Roman" w:hAnsi="Times New Roman" w:cs="Times New Roman"/>
                <w:bCs/>
                <w:spacing w:val="-2"/>
                <w:sz w:val="24"/>
                <w:szCs w:val="24"/>
                <w:lang w:val="lv-LV"/>
              </w:rPr>
            </w:pPr>
            <w:r w:rsidRPr="00C81FDE">
              <w:rPr>
                <w:rFonts w:ascii="Times New Roman" w:hAnsi="Times New Roman" w:cs="Times New Roman"/>
                <w:bCs/>
                <w:spacing w:val="-2"/>
                <w:sz w:val="24"/>
                <w:szCs w:val="24"/>
                <w:lang w:val="lv-LV"/>
              </w:rPr>
              <w:t>15. Papildināt noteikumus ar 20.11.3. apakšpunktu šādā redakcijā:</w:t>
            </w:r>
          </w:p>
          <w:p w14:paraId="6D2459B5" w14:textId="77777777" w:rsidR="00C81FDE" w:rsidRPr="00C81FDE" w:rsidRDefault="00C81FDE" w:rsidP="00C81FDE">
            <w:pPr>
              <w:spacing w:after="0" w:line="240" w:lineRule="auto"/>
              <w:jc w:val="both"/>
              <w:rPr>
                <w:rFonts w:ascii="Times New Roman" w:hAnsi="Times New Roman" w:cs="Times New Roman"/>
                <w:bCs/>
                <w:spacing w:val="-2"/>
                <w:sz w:val="24"/>
                <w:szCs w:val="24"/>
                <w:lang w:val="lv-LV"/>
              </w:rPr>
            </w:pPr>
          </w:p>
          <w:p w14:paraId="269276FB" w14:textId="77777777" w:rsidR="00C81FDE" w:rsidRPr="00C81FDE" w:rsidRDefault="00C81FDE" w:rsidP="00C81FDE">
            <w:pPr>
              <w:spacing w:after="0" w:line="240" w:lineRule="auto"/>
              <w:jc w:val="both"/>
              <w:rPr>
                <w:rFonts w:ascii="Times New Roman" w:hAnsi="Times New Roman" w:cs="Times New Roman"/>
                <w:bCs/>
                <w:spacing w:val="-2"/>
                <w:sz w:val="24"/>
                <w:szCs w:val="24"/>
                <w:lang w:val="lv-LV"/>
              </w:rPr>
            </w:pPr>
            <w:r w:rsidRPr="00C81FDE">
              <w:rPr>
                <w:rFonts w:ascii="Times New Roman" w:hAnsi="Times New Roman" w:cs="Times New Roman"/>
                <w:bCs/>
                <w:spacing w:val="-2"/>
                <w:sz w:val="24"/>
                <w:szCs w:val="24"/>
                <w:lang w:val="lv-LV"/>
              </w:rPr>
              <w:t>“20.11.3. finanšu atbalsts nodarbinātajiem ceļa izdevumu segšanai kvalifikācijas prakses īstenošanas laikā šo noteikumu 18.1.12. apakšpunktā minētās atbalstāmās darbības īstenošanai:</w:t>
            </w:r>
          </w:p>
          <w:p w14:paraId="5BEB4955" w14:textId="77777777" w:rsidR="00C81FDE" w:rsidRPr="00C81FDE" w:rsidRDefault="00C81FDE" w:rsidP="00C81FDE">
            <w:pPr>
              <w:spacing w:after="0" w:line="240" w:lineRule="auto"/>
              <w:jc w:val="both"/>
              <w:rPr>
                <w:rFonts w:ascii="Times New Roman" w:hAnsi="Times New Roman" w:cs="Times New Roman"/>
                <w:bCs/>
                <w:spacing w:val="-2"/>
                <w:sz w:val="24"/>
                <w:szCs w:val="24"/>
                <w:lang w:val="lv-LV"/>
              </w:rPr>
            </w:pPr>
            <w:r w:rsidRPr="00C81FDE">
              <w:rPr>
                <w:rFonts w:ascii="Times New Roman" w:hAnsi="Times New Roman" w:cs="Times New Roman"/>
                <w:bCs/>
                <w:spacing w:val="-2"/>
                <w:sz w:val="24"/>
                <w:szCs w:val="24"/>
                <w:lang w:val="lv-LV"/>
              </w:rPr>
              <w:t>20.11.3.1. finanšu atlīdzība reģionālās starppilsētu nozīmes ceļa izdevumu segšanai braucienam no deklarētās dzīvesvietas vai darbavietas uz kvalifikācijas prakses vietu un atpakaļ, kam piemēro “Vienas vienības izmaksu standarta likmes aprēķina un piemērošanas metodiku 1 km izmaksām darbības programmas “Izaugsme un nodarbinātība” īstenošanai”;</w:t>
            </w:r>
          </w:p>
          <w:p w14:paraId="3996F6BE" w14:textId="6C692D06" w:rsidR="003F1590" w:rsidRPr="00D52B61" w:rsidRDefault="00C81FDE" w:rsidP="00C81FDE">
            <w:pPr>
              <w:spacing w:after="0" w:line="240" w:lineRule="auto"/>
              <w:jc w:val="both"/>
              <w:rPr>
                <w:rFonts w:ascii="Times New Roman" w:hAnsi="Times New Roman" w:cs="Times New Roman"/>
                <w:bCs/>
                <w:spacing w:val="-2"/>
                <w:sz w:val="24"/>
                <w:szCs w:val="24"/>
                <w:lang w:val="lv-LV"/>
              </w:rPr>
            </w:pPr>
            <w:r w:rsidRPr="00C81FDE">
              <w:rPr>
                <w:rFonts w:ascii="Times New Roman" w:hAnsi="Times New Roman" w:cs="Times New Roman"/>
                <w:bCs/>
                <w:spacing w:val="-2"/>
                <w:sz w:val="24"/>
                <w:szCs w:val="24"/>
                <w:lang w:val="lv-LV"/>
              </w:rPr>
              <w:t xml:space="preserve">20.11.3.2. finanšu atlīdzība vienas apdzīvotas vietas ietvaros radušos ceļa izdevumu segšanai braucienam no deklarētās dzīvesvietas vai darbavietas uz kvalifikācijas prakses vietu un atpakaļ. Pēc šajā apakšpunktā minēto </w:t>
            </w:r>
            <w:r w:rsidRPr="00C81FDE">
              <w:rPr>
                <w:rFonts w:ascii="Times New Roman" w:hAnsi="Times New Roman" w:cs="Times New Roman"/>
                <w:bCs/>
                <w:spacing w:val="-2"/>
                <w:sz w:val="24"/>
                <w:szCs w:val="24"/>
                <w:lang w:val="lv-LV"/>
              </w:rPr>
              <w:lastRenderedPageBreak/>
              <w:t>izmaksu iekļaušanas “Vienas vienības izmaksu standarta likmes aprēķina un piemērošanas metodikā 1 km izmaksām darbības programmas “Izaugsme un nodarbinātība” īstenošanai” tām piemēro vienas vienības izmaksu metodikā ietvertos nosacījumus.;”.</w:t>
            </w:r>
          </w:p>
        </w:tc>
        <w:tc>
          <w:tcPr>
            <w:tcW w:w="4110" w:type="dxa"/>
          </w:tcPr>
          <w:p w14:paraId="6F84A8B1" w14:textId="69BC9E1E" w:rsidR="003F1590" w:rsidRPr="003F1590" w:rsidRDefault="003F1590" w:rsidP="00047649">
            <w:pPr>
              <w:spacing w:after="0" w:line="240" w:lineRule="auto"/>
              <w:jc w:val="both"/>
              <w:rPr>
                <w:rFonts w:ascii="Times New Roman" w:hAnsi="Times New Roman" w:cs="Times New Roman"/>
                <w:sz w:val="24"/>
                <w:szCs w:val="24"/>
                <w:lang w:val="lv-LV"/>
              </w:rPr>
            </w:pPr>
            <w:r w:rsidRPr="003F1590">
              <w:rPr>
                <w:rFonts w:ascii="Times New Roman" w:hAnsi="Times New Roman" w:cs="Times New Roman"/>
                <w:sz w:val="24"/>
                <w:szCs w:val="24"/>
                <w:lang w:val="lv-LV"/>
              </w:rPr>
              <w:lastRenderedPageBreak/>
              <w:t xml:space="preserve">Lūdzam precizēt noteikumu projekta 15.punktā izteikto noteikumu Nr. 474 20.11.3. apakšpunkta redakciju, ņemot </w:t>
            </w:r>
            <w:r w:rsidRPr="003F1590">
              <w:rPr>
                <w:rFonts w:ascii="Times New Roman" w:hAnsi="Times New Roman" w:cs="Times New Roman"/>
                <w:sz w:val="24"/>
                <w:szCs w:val="24"/>
                <w:lang w:val="lv-LV"/>
              </w:rPr>
              <w:lastRenderedPageBreak/>
              <w:t xml:space="preserve">vērā to, ka š.g. 20. aprīlī ir apstiprināta “Vienas vienības izmaksu standarta likmes aprēķina un piemērošanas metodika 1 km izmaksām darbības programmas “Izaugsme un nodarbinātība” īstenošanai” (turpmāk – metodika 1 km izmaksām), kurā iekļauta vienas vienības izmaksu standarta likme vietējā sabiedriskā (apdzīvotas </w:t>
            </w:r>
            <w:r w:rsidRPr="00352663">
              <w:rPr>
                <w:rFonts w:ascii="Times New Roman" w:hAnsi="Times New Roman" w:cs="Times New Roman"/>
                <w:sz w:val="24"/>
                <w:szCs w:val="24"/>
                <w:lang w:val="lv-LV"/>
              </w:rPr>
              <w:t>vietas ietvaros) transporta izmaksām. Vienlaikus ierosinām paredzēt arī reģionālās vietējās nozīmes ceļa izdevumu segšanu (pašreizējā redakcijā tiek paredzēts segt reģionālās starppilsētu nozīmes ceļa izdevumus un vienas apdzīvotas vietas ietvaros radušos ceļa izdevumus).</w:t>
            </w:r>
          </w:p>
        </w:tc>
        <w:tc>
          <w:tcPr>
            <w:tcW w:w="3261" w:type="dxa"/>
          </w:tcPr>
          <w:p w14:paraId="4F488E0E" w14:textId="2BF427C5" w:rsidR="003F1590" w:rsidRPr="00047649" w:rsidRDefault="00127327"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lastRenderedPageBreak/>
              <w:t>Ņemts vērā</w:t>
            </w:r>
          </w:p>
        </w:tc>
        <w:tc>
          <w:tcPr>
            <w:tcW w:w="3861" w:type="dxa"/>
          </w:tcPr>
          <w:p w14:paraId="416E6C67" w14:textId="77777777" w:rsidR="00352663" w:rsidRPr="00352663" w:rsidRDefault="00352663" w:rsidP="00352663">
            <w:pPr>
              <w:spacing w:after="0" w:line="240" w:lineRule="auto"/>
              <w:jc w:val="both"/>
              <w:rPr>
                <w:rFonts w:ascii="Times New Roman" w:hAnsi="Times New Roman" w:cs="Times New Roman"/>
                <w:bCs/>
                <w:spacing w:val="-2"/>
                <w:sz w:val="24"/>
                <w:szCs w:val="24"/>
                <w:lang w:val="lv-LV"/>
              </w:rPr>
            </w:pPr>
            <w:r w:rsidRPr="00352663">
              <w:rPr>
                <w:rFonts w:ascii="Times New Roman" w:hAnsi="Times New Roman" w:cs="Times New Roman"/>
                <w:bCs/>
                <w:spacing w:val="-2"/>
                <w:sz w:val="24"/>
                <w:szCs w:val="24"/>
                <w:lang w:val="lv-LV"/>
              </w:rPr>
              <w:t>15. Papildināt noteikumus ar 20.11.3. apakšpunktu šādā redakcijā:</w:t>
            </w:r>
          </w:p>
          <w:p w14:paraId="444182DC" w14:textId="77777777" w:rsidR="00352663" w:rsidRPr="00352663" w:rsidRDefault="00352663" w:rsidP="00352663">
            <w:pPr>
              <w:spacing w:after="0" w:line="240" w:lineRule="auto"/>
              <w:jc w:val="both"/>
              <w:rPr>
                <w:rFonts w:ascii="Times New Roman" w:hAnsi="Times New Roman" w:cs="Times New Roman"/>
                <w:bCs/>
                <w:spacing w:val="-2"/>
                <w:sz w:val="24"/>
                <w:szCs w:val="24"/>
                <w:lang w:val="lv-LV"/>
              </w:rPr>
            </w:pPr>
          </w:p>
          <w:p w14:paraId="20460ACA" w14:textId="77777777" w:rsidR="00352663" w:rsidRPr="00352663" w:rsidRDefault="00352663" w:rsidP="00352663">
            <w:pPr>
              <w:spacing w:after="0" w:line="240" w:lineRule="auto"/>
              <w:jc w:val="both"/>
              <w:rPr>
                <w:rFonts w:ascii="Times New Roman" w:hAnsi="Times New Roman" w:cs="Times New Roman"/>
                <w:bCs/>
                <w:spacing w:val="-2"/>
                <w:sz w:val="24"/>
                <w:szCs w:val="24"/>
                <w:lang w:val="lv-LV"/>
              </w:rPr>
            </w:pPr>
            <w:r w:rsidRPr="00352663">
              <w:rPr>
                <w:rFonts w:ascii="Times New Roman" w:hAnsi="Times New Roman" w:cs="Times New Roman"/>
                <w:bCs/>
                <w:spacing w:val="-2"/>
                <w:sz w:val="24"/>
                <w:szCs w:val="24"/>
                <w:lang w:val="lv-LV"/>
              </w:rPr>
              <w:lastRenderedPageBreak/>
              <w:t>“20.11.3. finanšu atbalsts nodarbinātajiem ceļa izdevumu segšanai kvalifikācijas prakses īstenošanas laikā šo noteikumu 18.1.12. apakšpunktā minētās atbalstāmās darbības īstenošanai:</w:t>
            </w:r>
          </w:p>
          <w:p w14:paraId="3A18AB32" w14:textId="77777777" w:rsidR="00352663" w:rsidRPr="00352663" w:rsidRDefault="00352663" w:rsidP="00352663">
            <w:pPr>
              <w:spacing w:after="0" w:line="240" w:lineRule="auto"/>
              <w:jc w:val="both"/>
              <w:rPr>
                <w:rFonts w:ascii="Times New Roman" w:hAnsi="Times New Roman" w:cs="Times New Roman"/>
                <w:bCs/>
                <w:spacing w:val="-2"/>
                <w:sz w:val="24"/>
                <w:szCs w:val="24"/>
                <w:lang w:val="lv-LV"/>
              </w:rPr>
            </w:pPr>
            <w:r w:rsidRPr="00352663">
              <w:rPr>
                <w:rFonts w:ascii="Times New Roman" w:hAnsi="Times New Roman" w:cs="Times New Roman"/>
                <w:bCs/>
                <w:spacing w:val="-2"/>
                <w:sz w:val="24"/>
                <w:szCs w:val="24"/>
                <w:lang w:val="lv-LV"/>
              </w:rPr>
              <w:t xml:space="preserve">20.11.3.1. finanšu atlīdzība reģionālās </w:t>
            </w:r>
            <w:r w:rsidRPr="00062CC3">
              <w:rPr>
                <w:rFonts w:ascii="Times New Roman" w:hAnsi="Times New Roman" w:cs="Times New Roman"/>
                <w:b/>
                <w:spacing w:val="-2"/>
                <w:sz w:val="24"/>
                <w:szCs w:val="24"/>
                <w:lang w:val="lv-LV"/>
              </w:rPr>
              <w:t>vietējās nozīmes  un reģionālās</w:t>
            </w:r>
            <w:r w:rsidRPr="00352663">
              <w:rPr>
                <w:rFonts w:ascii="Times New Roman" w:hAnsi="Times New Roman" w:cs="Times New Roman"/>
                <w:bCs/>
                <w:spacing w:val="-2"/>
                <w:sz w:val="24"/>
                <w:szCs w:val="24"/>
                <w:lang w:val="lv-LV"/>
              </w:rPr>
              <w:t xml:space="preserve"> starppilsētu nozīmes ceļa izdevumu segšanai braucienam no deklarētās dzīvesvietas vai darbavietas uz kvalifikācijas prakses vietu un atpakaļ, kam piemēro “Vienas vienības izmaksu standarta likmes aprēķina un piemērošanas metodiku 1 km izmaksām darbības programmas “Izaugsme un nodarbinātība” īstenošanai”;</w:t>
            </w:r>
          </w:p>
          <w:p w14:paraId="2D7E7D63" w14:textId="3B0B46C0" w:rsidR="003F1590" w:rsidRPr="003F1590" w:rsidRDefault="00352663" w:rsidP="00352663">
            <w:pPr>
              <w:spacing w:after="0" w:line="240" w:lineRule="auto"/>
              <w:jc w:val="both"/>
              <w:rPr>
                <w:rFonts w:ascii="Times New Roman" w:hAnsi="Times New Roman" w:cs="Times New Roman"/>
                <w:bCs/>
                <w:spacing w:val="-2"/>
                <w:sz w:val="24"/>
                <w:szCs w:val="24"/>
                <w:lang w:val="lv-LV"/>
              </w:rPr>
            </w:pPr>
            <w:r w:rsidRPr="00352663">
              <w:rPr>
                <w:rFonts w:ascii="Times New Roman" w:hAnsi="Times New Roman" w:cs="Times New Roman"/>
                <w:bCs/>
                <w:spacing w:val="-2"/>
                <w:sz w:val="24"/>
                <w:szCs w:val="24"/>
                <w:lang w:val="lv-LV"/>
              </w:rPr>
              <w:t>20.11.3.2. finanšu atlīdzība vienas apdzīvotas vietas ietvaros radušos ceļa izdevumu segšanai braucienam no deklarētās dzīvesvietas vai darbavietas uz kvalifikācijas prakses vietu un atpakaļ</w:t>
            </w:r>
            <w:r w:rsidRPr="00062CC3">
              <w:rPr>
                <w:rFonts w:ascii="Times New Roman" w:hAnsi="Times New Roman" w:cs="Times New Roman"/>
                <w:b/>
                <w:spacing w:val="-2"/>
                <w:sz w:val="24"/>
                <w:szCs w:val="24"/>
                <w:lang w:val="lv-LV"/>
              </w:rPr>
              <w:t>, kam piemēro “Vienas vienības izmaksu standarta likmes aprēķina un piemērošanas metodiku 1 km izmaksām darbības programmas “Izaugsme un nodarbinātīb</w:t>
            </w:r>
            <w:r w:rsidR="002412BF">
              <w:rPr>
                <w:rFonts w:ascii="Times New Roman" w:hAnsi="Times New Roman" w:cs="Times New Roman"/>
                <w:b/>
                <w:spacing w:val="-2"/>
                <w:sz w:val="24"/>
                <w:szCs w:val="24"/>
                <w:lang w:val="lv-LV"/>
              </w:rPr>
              <w:t>a” īstenošanai</w:t>
            </w:r>
            <w:r w:rsidR="00062CC3">
              <w:rPr>
                <w:rFonts w:ascii="Times New Roman" w:hAnsi="Times New Roman" w:cs="Times New Roman"/>
                <w:b/>
                <w:spacing w:val="-2"/>
                <w:sz w:val="24"/>
                <w:szCs w:val="24"/>
                <w:lang w:val="lv-LV"/>
              </w:rPr>
              <w:t>.</w:t>
            </w:r>
            <w:r w:rsidRPr="00062CC3">
              <w:rPr>
                <w:rFonts w:ascii="Times New Roman" w:hAnsi="Times New Roman" w:cs="Times New Roman"/>
                <w:b/>
                <w:spacing w:val="-2"/>
                <w:sz w:val="24"/>
                <w:szCs w:val="24"/>
                <w:lang w:val="lv-LV"/>
              </w:rPr>
              <w:t>”.</w:t>
            </w:r>
          </w:p>
        </w:tc>
      </w:tr>
      <w:tr w:rsidR="003F1590" w:rsidRPr="00047649" w14:paraId="65DDE8C1" w14:textId="77777777" w:rsidTr="00023B43">
        <w:trPr>
          <w:trHeight w:val="275"/>
        </w:trPr>
        <w:tc>
          <w:tcPr>
            <w:tcW w:w="959" w:type="dxa"/>
          </w:tcPr>
          <w:p w14:paraId="4D58AFCF" w14:textId="5E9A5DC2" w:rsidR="003F1590" w:rsidRPr="00047649" w:rsidRDefault="003F1590"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p>
        </w:tc>
        <w:tc>
          <w:tcPr>
            <w:tcW w:w="2864" w:type="dxa"/>
          </w:tcPr>
          <w:p w14:paraId="483500A9" w14:textId="7A920A13" w:rsidR="0033496A" w:rsidRPr="0033496A" w:rsidRDefault="0033496A" w:rsidP="0033496A">
            <w:pPr>
              <w:spacing w:after="0" w:line="240" w:lineRule="auto"/>
              <w:jc w:val="both"/>
              <w:rPr>
                <w:rFonts w:ascii="Times New Roman" w:hAnsi="Times New Roman" w:cs="Times New Roman"/>
                <w:bCs/>
                <w:spacing w:val="-2"/>
                <w:sz w:val="24"/>
                <w:szCs w:val="24"/>
                <w:lang w:val="lv-LV"/>
              </w:rPr>
            </w:pPr>
            <w:r w:rsidRPr="0033496A">
              <w:rPr>
                <w:rFonts w:ascii="Times New Roman" w:hAnsi="Times New Roman" w:cs="Times New Roman"/>
                <w:bCs/>
                <w:spacing w:val="-2"/>
                <w:sz w:val="24"/>
                <w:szCs w:val="24"/>
                <w:lang w:val="lv-LV"/>
              </w:rPr>
              <w:t>17. Papildināt noteikumus ar 22.1 punktu šādā redakcijā:</w:t>
            </w:r>
          </w:p>
          <w:p w14:paraId="34673D92" w14:textId="77777777" w:rsidR="0033496A" w:rsidRPr="0033496A" w:rsidRDefault="0033496A" w:rsidP="0033496A">
            <w:pPr>
              <w:spacing w:after="0" w:line="240" w:lineRule="auto"/>
              <w:jc w:val="both"/>
              <w:rPr>
                <w:rFonts w:ascii="Times New Roman" w:hAnsi="Times New Roman" w:cs="Times New Roman"/>
                <w:bCs/>
                <w:spacing w:val="-2"/>
                <w:sz w:val="24"/>
                <w:szCs w:val="24"/>
                <w:lang w:val="lv-LV"/>
              </w:rPr>
            </w:pPr>
            <w:r w:rsidRPr="0033496A">
              <w:rPr>
                <w:rFonts w:ascii="Times New Roman" w:hAnsi="Times New Roman" w:cs="Times New Roman"/>
                <w:bCs/>
                <w:spacing w:val="-2"/>
                <w:sz w:val="24"/>
                <w:szCs w:val="24"/>
                <w:lang w:val="lv-LV"/>
              </w:rPr>
              <w:t>“22.1  Īstenojot šo noteikumu 18.1.12. apakšpunktā minēto atbalstāmo darbību:</w:t>
            </w:r>
          </w:p>
          <w:p w14:paraId="77B1D9E9" w14:textId="77777777" w:rsidR="0033496A" w:rsidRPr="0033496A" w:rsidRDefault="0033496A" w:rsidP="0033496A">
            <w:pPr>
              <w:spacing w:after="0" w:line="240" w:lineRule="auto"/>
              <w:jc w:val="both"/>
              <w:rPr>
                <w:rFonts w:ascii="Times New Roman" w:hAnsi="Times New Roman" w:cs="Times New Roman"/>
                <w:bCs/>
                <w:spacing w:val="-2"/>
                <w:sz w:val="24"/>
                <w:szCs w:val="24"/>
                <w:lang w:val="lv-LV"/>
              </w:rPr>
            </w:pPr>
            <w:r w:rsidRPr="0033496A">
              <w:rPr>
                <w:rFonts w:ascii="Times New Roman" w:hAnsi="Times New Roman" w:cs="Times New Roman"/>
                <w:bCs/>
                <w:spacing w:val="-2"/>
                <w:sz w:val="24"/>
                <w:szCs w:val="24"/>
                <w:lang w:val="lv-LV"/>
              </w:rPr>
              <w:t>22.11. finansējuma saņēmējs finanšu atbalstu ceļa izdevumu segšanai, kas radušies kvalifikācijas prakses īstenošanas laikā, izmaksā, ievērojot šādus nosacījumus:</w:t>
            </w:r>
          </w:p>
          <w:p w14:paraId="7D01B19B" w14:textId="77777777" w:rsidR="0033496A" w:rsidRPr="0033496A" w:rsidRDefault="0033496A" w:rsidP="0033496A">
            <w:pPr>
              <w:spacing w:after="0" w:line="240" w:lineRule="auto"/>
              <w:jc w:val="both"/>
              <w:rPr>
                <w:rFonts w:ascii="Times New Roman" w:hAnsi="Times New Roman" w:cs="Times New Roman"/>
                <w:bCs/>
                <w:spacing w:val="-2"/>
                <w:sz w:val="24"/>
                <w:szCs w:val="24"/>
                <w:lang w:val="lv-LV"/>
              </w:rPr>
            </w:pPr>
            <w:r w:rsidRPr="0033496A">
              <w:rPr>
                <w:rFonts w:ascii="Times New Roman" w:hAnsi="Times New Roman" w:cs="Times New Roman"/>
                <w:bCs/>
                <w:spacing w:val="-2"/>
                <w:sz w:val="24"/>
                <w:szCs w:val="24"/>
                <w:lang w:val="lv-LV"/>
              </w:rPr>
              <w:t>22.1 1.1. nodarbinātā persona ir ieguvusi profesionālo kvalifikāciju;</w:t>
            </w:r>
          </w:p>
          <w:p w14:paraId="45079227" w14:textId="77777777" w:rsidR="0033496A" w:rsidRPr="0033496A" w:rsidRDefault="0033496A" w:rsidP="0033496A">
            <w:pPr>
              <w:spacing w:after="0" w:line="240" w:lineRule="auto"/>
              <w:jc w:val="both"/>
              <w:rPr>
                <w:rFonts w:ascii="Times New Roman" w:hAnsi="Times New Roman" w:cs="Times New Roman"/>
                <w:bCs/>
                <w:spacing w:val="-2"/>
                <w:sz w:val="24"/>
                <w:szCs w:val="24"/>
                <w:lang w:val="lv-LV"/>
              </w:rPr>
            </w:pPr>
            <w:r w:rsidRPr="0033496A">
              <w:rPr>
                <w:rFonts w:ascii="Times New Roman" w:hAnsi="Times New Roman" w:cs="Times New Roman"/>
                <w:bCs/>
                <w:spacing w:val="-2"/>
                <w:sz w:val="24"/>
                <w:szCs w:val="24"/>
                <w:lang w:val="lv-LV"/>
              </w:rPr>
              <w:t xml:space="preserve">22.11.2. viena mēneša laikā pēc profesionālās kvalifikācijas iegūšanas nodarbinātā persona  finansējuma saņēmējam iesniedz izdevumus apliecinošus dokumentus </w:t>
            </w:r>
            <w:r w:rsidRPr="0033496A">
              <w:rPr>
                <w:rFonts w:ascii="Times New Roman" w:hAnsi="Times New Roman" w:cs="Times New Roman"/>
                <w:bCs/>
                <w:spacing w:val="-2"/>
                <w:sz w:val="24"/>
                <w:szCs w:val="24"/>
                <w:lang w:val="lv-LV"/>
              </w:rPr>
              <w:lastRenderedPageBreak/>
              <w:t>par ceļa izdevumiem, kas radušies kvalifikācijas prakses laikā (sabiedriskā transporta braukšanas biļetes vai degvielas izdevumus apliecinošus dokumentus);</w:t>
            </w:r>
          </w:p>
          <w:p w14:paraId="5E5D71D0" w14:textId="4E7EABF9" w:rsidR="003F1590" w:rsidRPr="00D52B61" w:rsidRDefault="0033496A" w:rsidP="0033496A">
            <w:pPr>
              <w:spacing w:after="0" w:line="240" w:lineRule="auto"/>
              <w:jc w:val="both"/>
              <w:rPr>
                <w:rFonts w:ascii="Times New Roman" w:hAnsi="Times New Roman" w:cs="Times New Roman"/>
                <w:bCs/>
                <w:spacing w:val="-2"/>
                <w:sz w:val="24"/>
                <w:szCs w:val="24"/>
                <w:lang w:val="lv-LV"/>
              </w:rPr>
            </w:pPr>
            <w:r w:rsidRPr="0033496A">
              <w:rPr>
                <w:rFonts w:ascii="Times New Roman" w:hAnsi="Times New Roman" w:cs="Times New Roman"/>
                <w:bCs/>
                <w:spacing w:val="-2"/>
                <w:sz w:val="24"/>
                <w:szCs w:val="24"/>
                <w:lang w:val="lv-LV"/>
              </w:rPr>
              <w:t>22.12. finansējuma saņēmējs plāno izmaksas ceļa izdevumu segšanai braucieniem no deklarētās dzīvesvietas vai darbavietas uz kvalifikācijas prakses īstenošanas vietu un atpakaļ, nepārsniedzot 30 eiro mēnesī vienai nodarbinātai personai;”.</w:t>
            </w:r>
          </w:p>
        </w:tc>
        <w:tc>
          <w:tcPr>
            <w:tcW w:w="4110" w:type="dxa"/>
          </w:tcPr>
          <w:p w14:paraId="41E41BB1" w14:textId="0A2AF2EE" w:rsidR="003F1590" w:rsidRPr="003F1590" w:rsidRDefault="003F1590" w:rsidP="00047649">
            <w:pPr>
              <w:spacing w:after="0" w:line="240" w:lineRule="auto"/>
              <w:jc w:val="both"/>
              <w:rPr>
                <w:rFonts w:ascii="Times New Roman" w:hAnsi="Times New Roman" w:cs="Times New Roman"/>
                <w:sz w:val="24"/>
                <w:szCs w:val="24"/>
                <w:lang w:val="lv-LV"/>
              </w:rPr>
            </w:pPr>
            <w:r w:rsidRPr="003F1590">
              <w:rPr>
                <w:rFonts w:ascii="Times New Roman" w:hAnsi="Times New Roman" w:cs="Times New Roman"/>
                <w:sz w:val="24"/>
                <w:szCs w:val="24"/>
                <w:lang w:val="lv-LV"/>
              </w:rPr>
              <w:lastRenderedPageBreak/>
              <w:t>Lūdzam precizēt noteikumu projekta 17. punktā izteikto 22.11.2. apakšpunktu, svītrojot vārdus “izdevumus apliecinošus dokumentus par ceļa izdevumiem, kas radušies kvalifikācijas prakses laikā (sabiedriskā transporta braukšanas biļetes vai degvielas izdevumus apliecinošus dokumentus)”. Vēršam uzmanību, ka, ja tiek piemērota metodika 1 km izmaksām, tad biļetes un čeki nav jāiesniedz.</w:t>
            </w:r>
          </w:p>
        </w:tc>
        <w:tc>
          <w:tcPr>
            <w:tcW w:w="3261" w:type="dxa"/>
          </w:tcPr>
          <w:p w14:paraId="67073B0D" w14:textId="6082148D" w:rsidR="003F1590" w:rsidRPr="00047649" w:rsidRDefault="0089414C"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t>Ņemts vērā</w:t>
            </w:r>
          </w:p>
        </w:tc>
        <w:tc>
          <w:tcPr>
            <w:tcW w:w="3861" w:type="dxa"/>
          </w:tcPr>
          <w:p w14:paraId="098EA099" w14:textId="77777777" w:rsidR="007B0B4A" w:rsidRPr="007B0B4A" w:rsidRDefault="007B0B4A" w:rsidP="007B0B4A">
            <w:pPr>
              <w:spacing w:after="0" w:line="240" w:lineRule="auto"/>
              <w:jc w:val="both"/>
              <w:rPr>
                <w:rFonts w:ascii="Times New Roman" w:hAnsi="Times New Roman" w:cs="Times New Roman"/>
                <w:bCs/>
                <w:spacing w:val="-2"/>
                <w:sz w:val="24"/>
                <w:szCs w:val="24"/>
                <w:lang w:val="lv-LV"/>
              </w:rPr>
            </w:pPr>
            <w:r w:rsidRPr="007B0B4A">
              <w:rPr>
                <w:rFonts w:ascii="Times New Roman" w:hAnsi="Times New Roman" w:cs="Times New Roman"/>
                <w:bCs/>
                <w:spacing w:val="-2"/>
                <w:sz w:val="24"/>
                <w:szCs w:val="24"/>
                <w:lang w:val="lv-LV"/>
              </w:rPr>
              <w:t>17. Papildināt noteikumus ar 22.1 punktu šādā redakcijā:</w:t>
            </w:r>
          </w:p>
          <w:p w14:paraId="3FB3C5C7" w14:textId="77777777" w:rsidR="007B0B4A" w:rsidRPr="007B0B4A" w:rsidRDefault="007B0B4A" w:rsidP="007B0B4A">
            <w:pPr>
              <w:spacing w:after="0" w:line="240" w:lineRule="auto"/>
              <w:jc w:val="both"/>
              <w:rPr>
                <w:rFonts w:ascii="Times New Roman" w:hAnsi="Times New Roman" w:cs="Times New Roman"/>
                <w:bCs/>
                <w:spacing w:val="-2"/>
                <w:sz w:val="24"/>
                <w:szCs w:val="24"/>
                <w:lang w:val="lv-LV"/>
              </w:rPr>
            </w:pPr>
          </w:p>
          <w:p w14:paraId="6EB745F9" w14:textId="77777777" w:rsidR="007B0B4A" w:rsidRPr="007B0B4A" w:rsidRDefault="007B0B4A" w:rsidP="007B0B4A">
            <w:pPr>
              <w:spacing w:after="0" w:line="240" w:lineRule="auto"/>
              <w:jc w:val="both"/>
              <w:rPr>
                <w:rFonts w:ascii="Times New Roman" w:hAnsi="Times New Roman" w:cs="Times New Roman"/>
                <w:bCs/>
                <w:spacing w:val="-2"/>
                <w:sz w:val="24"/>
                <w:szCs w:val="24"/>
                <w:lang w:val="lv-LV"/>
              </w:rPr>
            </w:pPr>
            <w:r w:rsidRPr="007B0B4A">
              <w:rPr>
                <w:rFonts w:ascii="Times New Roman" w:hAnsi="Times New Roman" w:cs="Times New Roman"/>
                <w:bCs/>
                <w:spacing w:val="-2"/>
                <w:sz w:val="24"/>
                <w:szCs w:val="24"/>
                <w:lang w:val="lv-LV"/>
              </w:rPr>
              <w:t>“22.1  Īstenojot šo noteikumu 18.1.12. apakšpunktā minēto atbalstāmo darbību:</w:t>
            </w:r>
          </w:p>
          <w:p w14:paraId="080443C4" w14:textId="77777777" w:rsidR="007B0B4A" w:rsidRPr="007B0B4A" w:rsidRDefault="007B0B4A" w:rsidP="007B0B4A">
            <w:pPr>
              <w:spacing w:after="0" w:line="240" w:lineRule="auto"/>
              <w:jc w:val="both"/>
              <w:rPr>
                <w:rFonts w:ascii="Times New Roman" w:hAnsi="Times New Roman" w:cs="Times New Roman"/>
                <w:bCs/>
                <w:spacing w:val="-2"/>
                <w:sz w:val="24"/>
                <w:szCs w:val="24"/>
                <w:lang w:val="lv-LV"/>
              </w:rPr>
            </w:pPr>
            <w:r w:rsidRPr="007B0B4A">
              <w:rPr>
                <w:rFonts w:ascii="Times New Roman" w:hAnsi="Times New Roman" w:cs="Times New Roman"/>
                <w:bCs/>
                <w:spacing w:val="-2"/>
                <w:sz w:val="24"/>
                <w:szCs w:val="24"/>
                <w:lang w:val="lv-LV"/>
              </w:rPr>
              <w:t>22.11. finansējuma saņēmējs finanšu atbalstu ceļa izdevumu segšanai, kas radušies kvalifikācijas prakses īstenošanas laikā, izmaksā, ievērojot šādus nosacījumus:</w:t>
            </w:r>
          </w:p>
          <w:p w14:paraId="26A875AB" w14:textId="77777777" w:rsidR="007B0B4A" w:rsidRPr="007B0B4A" w:rsidRDefault="007B0B4A" w:rsidP="007B0B4A">
            <w:pPr>
              <w:spacing w:after="0" w:line="240" w:lineRule="auto"/>
              <w:jc w:val="both"/>
              <w:rPr>
                <w:rFonts w:ascii="Times New Roman" w:hAnsi="Times New Roman" w:cs="Times New Roman"/>
                <w:bCs/>
                <w:spacing w:val="-2"/>
                <w:sz w:val="24"/>
                <w:szCs w:val="24"/>
                <w:lang w:val="lv-LV"/>
              </w:rPr>
            </w:pPr>
            <w:r w:rsidRPr="007B0B4A">
              <w:rPr>
                <w:rFonts w:ascii="Times New Roman" w:hAnsi="Times New Roman" w:cs="Times New Roman"/>
                <w:bCs/>
                <w:spacing w:val="-2"/>
                <w:sz w:val="24"/>
                <w:szCs w:val="24"/>
                <w:lang w:val="lv-LV"/>
              </w:rPr>
              <w:t>22.1 1.1. nodarbinātā persona ir ieguvusi profesionālo kvalifikāciju;</w:t>
            </w:r>
          </w:p>
          <w:p w14:paraId="27B6F531" w14:textId="170F6433" w:rsidR="007B0B4A" w:rsidRPr="007B0B4A" w:rsidRDefault="007B0B4A" w:rsidP="007B0B4A">
            <w:pPr>
              <w:spacing w:after="0" w:line="240" w:lineRule="auto"/>
              <w:jc w:val="both"/>
              <w:rPr>
                <w:rFonts w:ascii="Times New Roman" w:hAnsi="Times New Roman" w:cs="Times New Roman"/>
                <w:bCs/>
                <w:spacing w:val="-2"/>
                <w:sz w:val="24"/>
                <w:szCs w:val="24"/>
                <w:lang w:val="lv-LV"/>
              </w:rPr>
            </w:pPr>
            <w:r w:rsidRPr="007B0B4A">
              <w:rPr>
                <w:rFonts w:ascii="Times New Roman" w:hAnsi="Times New Roman" w:cs="Times New Roman"/>
                <w:bCs/>
                <w:spacing w:val="-2"/>
                <w:sz w:val="24"/>
                <w:szCs w:val="24"/>
                <w:lang w:val="lv-LV"/>
              </w:rPr>
              <w:t xml:space="preserve">22.11.2. viena mēneša laikā pēc profesionālās kvalifikācijas iegūšanas nodarbinātā persona  finansējuma saņēmējam iesniedz </w:t>
            </w:r>
            <w:r w:rsidRPr="007B0B4A">
              <w:rPr>
                <w:rFonts w:ascii="Times New Roman" w:hAnsi="Times New Roman" w:cs="Times New Roman"/>
                <w:b/>
                <w:spacing w:val="-2"/>
                <w:sz w:val="24"/>
                <w:szCs w:val="24"/>
                <w:lang w:val="lv-LV"/>
              </w:rPr>
              <w:t>rezultātu  pamatojošos dokumentus (maršruta lapu vai līdzvērtīgu dokumentu)</w:t>
            </w:r>
            <w:r>
              <w:rPr>
                <w:rFonts w:ascii="Times New Roman" w:hAnsi="Times New Roman" w:cs="Times New Roman"/>
                <w:bCs/>
                <w:spacing w:val="-2"/>
                <w:sz w:val="24"/>
                <w:szCs w:val="24"/>
                <w:lang w:val="lv-LV"/>
              </w:rPr>
              <w:t>;</w:t>
            </w:r>
          </w:p>
          <w:p w14:paraId="1B715531" w14:textId="30E92B00" w:rsidR="003F1590" w:rsidRPr="003F1590" w:rsidRDefault="007B0B4A" w:rsidP="007B0B4A">
            <w:pPr>
              <w:spacing w:after="0" w:line="240" w:lineRule="auto"/>
              <w:jc w:val="both"/>
              <w:rPr>
                <w:rFonts w:ascii="Times New Roman" w:hAnsi="Times New Roman" w:cs="Times New Roman"/>
                <w:bCs/>
                <w:spacing w:val="-2"/>
                <w:sz w:val="24"/>
                <w:szCs w:val="24"/>
                <w:lang w:val="lv-LV"/>
              </w:rPr>
            </w:pPr>
            <w:r w:rsidRPr="007B0B4A">
              <w:rPr>
                <w:rFonts w:ascii="Times New Roman" w:hAnsi="Times New Roman" w:cs="Times New Roman"/>
                <w:bCs/>
                <w:spacing w:val="-2"/>
                <w:sz w:val="24"/>
                <w:szCs w:val="24"/>
                <w:lang w:val="lv-LV"/>
              </w:rPr>
              <w:t xml:space="preserve">22.12. finansējuma saņēmējs plāno izmaksas ceļa izdevumu segšanai braucieniem no deklarētās dzīvesvietas vai darbavietas uz kvalifikācijas prakses īstenošanas vietu un atpakaļ, </w:t>
            </w:r>
            <w:r w:rsidRPr="007B0B4A">
              <w:rPr>
                <w:rFonts w:ascii="Times New Roman" w:hAnsi="Times New Roman" w:cs="Times New Roman"/>
                <w:bCs/>
                <w:spacing w:val="-2"/>
                <w:sz w:val="24"/>
                <w:szCs w:val="24"/>
                <w:lang w:val="lv-LV"/>
              </w:rPr>
              <w:lastRenderedPageBreak/>
              <w:t>nepārsniedzot 30 eiro mēnesī vienai nodarbinātai personai;”.</w:t>
            </w:r>
          </w:p>
        </w:tc>
      </w:tr>
      <w:tr w:rsidR="003F1590" w:rsidRPr="00047649" w14:paraId="3044F8A4" w14:textId="77777777" w:rsidTr="00023B43">
        <w:trPr>
          <w:trHeight w:val="275"/>
        </w:trPr>
        <w:tc>
          <w:tcPr>
            <w:tcW w:w="959" w:type="dxa"/>
          </w:tcPr>
          <w:p w14:paraId="7CE91FB4" w14:textId="4CC2CACE" w:rsidR="003F1590" w:rsidRPr="00047649" w:rsidRDefault="0089414C"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5.</w:t>
            </w:r>
          </w:p>
        </w:tc>
        <w:tc>
          <w:tcPr>
            <w:tcW w:w="2864" w:type="dxa"/>
          </w:tcPr>
          <w:p w14:paraId="167238A0" w14:textId="4D18E493" w:rsidR="003F1590" w:rsidRPr="00D52B61" w:rsidRDefault="002A76A8"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2A76A8">
              <w:rPr>
                <w:rFonts w:ascii="Times New Roman" w:hAnsi="Times New Roman" w:cs="Times New Roman"/>
                <w:bCs/>
                <w:spacing w:val="-2"/>
                <w:sz w:val="24"/>
                <w:szCs w:val="24"/>
                <w:lang w:val="lv-LV"/>
              </w:rPr>
              <w:t>notācijas I sadaļas “Tiesību akta projekta izstrādes nepieciešamība” 2. punkt</w:t>
            </w:r>
            <w:r>
              <w:rPr>
                <w:rFonts w:ascii="Times New Roman" w:hAnsi="Times New Roman" w:cs="Times New Roman"/>
                <w:bCs/>
                <w:spacing w:val="-2"/>
                <w:sz w:val="24"/>
                <w:szCs w:val="24"/>
                <w:lang w:val="lv-LV"/>
              </w:rPr>
              <w:t>s</w:t>
            </w:r>
            <w:r w:rsidRPr="002A76A8">
              <w:rPr>
                <w:rFonts w:ascii="Times New Roman" w:hAnsi="Times New Roman" w:cs="Times New Roman"/>
                <w:bCs/>
                <w:spacing w:val="-2"/>
                <w:sz w:val="24"/>
                <w:szCs w:val="24"/>
                <w:lang w:val="lv-LV"/>
              </w:rPr>
              <w:t xml:space="preserve"> “Pašreizējā situācija un problēmas, kuru risināšanai tiesību akta projekts izstrādāts, tiesiskā regulējuma mērķis un būtība”</w:t>
            </w:r>
          </w:p>
        </w:tc>
        <w:tc>
          <w:tcPr>
            <w:tcW w:w="4110" w:type="dxa"/>
          </w:tcPr>
          <w:p w14:paraId="36F30BE5" w14:textId="4ED5C07D" w:rsidR="003F1590" w:rsidRPr="003F1590" w:rsidRDefault="00EB4D2E" w:rsidP="00047649">
            <w:pPr>
              <w:spacing w:after="0" w:line="240" w:lineRule="auto"/>
              <w:jc w:val="both"/>
              <w:rPr>
                <w:rFonts w:ascii="Times New Roman" w:hAnsi="Times New Roman" w:cs="Times New Roman"/>
                <w:sz w:val="24"/>
                <w:szCs w:val="24"/>
                <w:lang w:val="lv-LV"/>
              </w:rPr>
            </w:pPr>
            <w:r w:rsidRPr="00EB4D2E">
              <w:rPr>
                <w:rFonts w:ascii="Times New Roman" w:hAnsi="Times New Roman" w:cs="Times New Roman"/>
                <w:sz w:val="24"/>
                <w:szCs w:val="24"/>
                <w:lang w:val="lv-LV"/>
              </w:rPr>
              <w:t xml:space="preserve">Lūdzam precizēt anotācijas I sadaļas “Tiesību akta projekta izstrādes nepieciešamība” 2. punkta “Pašreizējā situācija un problēmas, kuru risināšanai tiesību akta projekts izstrādāts, tiesiskā regulējuma mērķis un būtība” (turpmāk – I sadaļa 2. punkts) pirmajā rindkopā norādīto informāciju “atbilstoši Ministru kabinetā atbalstītajam informatīvajam ziņojumam “Par Eiropas Savienības struktūrfondu un Kohēzijas fonda finansējuma pārdalēm un risinājumiem COVID-19 seku mazināšanai” 8.4.1. specifiskā atbalsta mērķa “Pilnveidot nodarbināto personu profesionālo kompetenci” (turpmāk – 8.4.1. SAM) īstenošanai piešķirts plānotais snieguma </w:t>
            </w:r>
            <w:r w:rsidRPr="00EB4D2E">
              <w:rPr>
                <w:rFonts w:ascii="Times New Roman" w:hAnsi="Times New Roman" w:cs="Times New Roman"/>
                <w:sz w:val="24"/>
                <w:szCs w:val="24"/>
                <w:lang w:val="lv-LV"/>
              </w:rPr>
              <w:lastRenderedPageBreak/>
              <w:t xml:space="preserve">rezerves finansējums (1 681 152 </w:t>
            </w:r>
            <w:proofErr w:type="spellStart"/>
            <w:r w:rsidRPr="00EB4D2E">
              <w:rPr>
                <w:rFonts w:ascii="Times New Roman" w:hAnsi="Times New Roman" w:cs="Times New Roman"/>
                <w:sz w:val="24"/>
                <w:szCs w:val="24"/>
                <w:lang w:val="lv-LV"/>
              </w:rPr>
              <w:t>euro</w:t>
            </w:r>
            <w:proofErr w:type="spellEnd"/>
            <w:r w:rsidRPr="00EB4D2E">
              <w:rPr>
                <w:rFonts w:ascii="Times New Roman" w:hAnsi="Times New Roman" w:cs="Times New Roman"/>
                <w:sz w:val="24"/>
                <w:szCs w:val="24"/>
                <w:lang w:val="lv-LV"/>
              </w:rPr>
              <w:t xml:space="preserve">)”, </w:t>
            </w:r>
            <w:r w:rsidRPr="00A72982">
              <w:rPr>
                <w:rFonts w:ascii="Times New Roman" w:hAnsi="Times New Roman" w:cs="Times New Roman"/>
                <w:sz w:val="24"/>
                <w:szCs w:val="24"/>
                <w:lang w:val="lv-LV"/>
              </w:rPr>
              <w:t>kā arī anotācijas I sadaļas 2. punkta otrajā apakšpunktā norādīto informāciju. Vēršam uzmanību, ka minētajā</w:t>
            </w:r>
            <w:r w:rsidRPr="00EB4D2E">
              <w:rPr>
                <w:rFonts w:ascii="Times New Roman" w:hAnsi="Times New Roman" w:cs="Times New Roman"/>
                <w:sz w:val="24"/>
                <w:szCs w:val="24"/>
                <w:lang w:val="lv-LV"/>
              </w:rPr>
              <w:t xml:space="preserve"> ziņojumā netika nostiprināts plānotā rezerves finansējuma 8.4.1. specifiskajam atbalsta mērķim ““Pilnveidot nodarbināto personu profesionālo kompetenci” (turpmāk – 8.4.1. SAM) piešķīrums, bet gan papildu piešķiramie finanšu resursi COVID-19 seku mazināšanai.</w:t>
            </w:r>
          </w:p>
        </w:tc>
        <w:tc>
          <w:tcPr>
            <w:tcW w:w="3261" w:type="dxa"/>
          </w:tcPr>
          <w:p w14:paraId="251C2BC1" w14:textId="559BA8B6" w:rsidR="003F1590" w:rsidRPr="00047649" w:rsidRDefault="00A72982"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lastRenderedPageBreak/>
              <w:t>Ņemts vērā</w:t>
            </w:r>
          </w:p>
        </w:tc>
        <w:tc>
          <w:tcPr>
            <w:tcW w:w="3861" w:type="dxa"/>
          </w:tcPr>
          <w:p w14:paraId="44C7639B" w14:textId="36CF338E" w:rsidR="003F1590" w:rsidRPr="003F1590" w:rsidRDefault="00A72982"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Skatīt precizēto a</w:t>
            </w:r>
            <w:r w:rsidRPr="002A76A8">
              <w:rPr>
                <w:rFonts w:ascii="Times New Roman" w:hAnsi="Times New Roman" w:cs="Times New Roman"/>
                <w:bCs/>
                <w:spacing w:val="-2"/>
                <w:sz w:val="24"/>
                <w:szCs w:val="24"/>
                <w:lang w:val="lv-LV"/>
              </w:rPr>
              <w:t>notācijas I sadaļas “Tiesību akta projekta izstrādes nepieciešamība” 2. punkt</w:t>
            </w:r>
            <w:r>
              <w:rPr>
                <w:rFonts w:ascii="Times New Roman" w:hAnsi="Times New Roman" w:cs="Times New Roman"/>
                <w:bCs/>
                <w:spacing w:val="-2"/>
                <w:sz w:val="24"/>
                <w:szCs w:val="24"/>
                <w:lang w:val="lv-LV"/>
              </w:rPr>
              <w:t>u</w:t>
            </w:r>
            <w:r w:rsidRPr="002A76A8">
              <w:rPr>
                <w:rFonts w:ascii="Times New Roman" w:hAnsi="Times New Roman" w:cs="Times New Roman"/>
                <w:bCs/>
                <w:spacing w:val="-2"/>
                <w:sz w:val="24"/>
                <w:szCs w:val="24"/>
                <w:lang w:val="lv-LV"/>
              </w:rPr>
              <w:t xml:space="preserve"> “Pašreizējā situācija un problēmas, kuru risināšanai tiesību akta projekts izstrādāts, tiesiskā regulējuma mērķis un būtība”</w:t>
            </w:r>
          </w:p>
        </w:tc>
      </w:tr>
      <w:tr w:rsidR="003F1590" w:rsidRPr="00047649" w14:paraId="551FE4AD" w14:textId="77777777" w:rsidTr="00023B43">
        <w:trPr>
          <w:trHeight w:val="275"/>
        </w:trPr>
        <w:tc>
          <w:tcPr>
            <w:tcW w:w="959" w:type="dxa"/>
          </w:tcPr>
          <w:p w14:paraId="34ADE7DF" w14:textId="2846BDB5" w:rsidR="003F1590" w:rsidRPr="00047649" w:rsidRDefault="00B743C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w:t>
            </w:r>
          </w:p>
        </w:tc>
        <w:tc>
          <w:tcPr>
            <w:tcW w:w="2864" w:type="dxa"/>
          </w:tcPr>
          <w:p w14:paraId="0EA522AB" w14:textId="485D568E" w:rsidR="003F1590" w:rsidRPr="00D52B61" w:rsidRDefault="00B02064"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sz w:val="24"/>
                <w:szCs w:val="24"/>
                <w:lang w:val="lv-LV"/>
              </w:rPr>
              <w:t>A</w:t>
            </w:r>
            <w:r w:rsidRPr="00A72982">
              <w:rPr>
                <w:rFonts w:ascii="Times New Roman" w:hAnsi="Times New Roman" w:cs="Times New Roman"/>
                <w:sz w:val="24"/>
                <w:szCs w:val="24"/>
                <w:lang w:val="lv-LV"/>
              </w:rPr>
              <w:t>notācijas I sadaļas 2. punkta otra</w:t>
            </w:r>
            <w:r>
              <w:rPr>
                <w:rFonts w:ascii="Times New Roman" w:hAnsi="Times New Roman" w:cs="Times New Roman"/>
                <w:sz w:val="24"/>
                <w:szCs w:val="24"/>
                <w:lang w:val="lv-LV"/>
              </w:rPr>
              <w:t xml:space="preserve">is </w:t>
            </w:r>
            <w:r w:rsidRPr="00A72982">
              <w:rPr>
                <w:rFonts w:ascii="Times New Roman" w:hAnsi="Times New Roman" w:cs="Times New Roman"/>
                <w:sz w:val="24"/>
                <w:szCs w:val="24"/>
                <w:lang w:val="lv-LV"/>
              </w:rPr>
              <w:t>apakšpunkt</w:t>
            </w:r>
            <w:r>
              <w:rPr>
                <w:rFonts w:ascii="Times New Roman" w:hAnsi="Times New Roman" w:cs="Times New Roman"/>
                <w:sz w:val="24"/>
                <w:szCs w:val="24"/>
                <w:lang w:val="lv-LV"/>
              </w:rPr>
              <w:t>s</w:t>
            </w:r>
            <w:r w:rsidRPr="00A72982">
              <w:rPr>
                <w:rFonts w:ascii="Times New Roman" w:hAnsi="Times New Roman" w:cs="Times New Roman"/>
                <w:sz w:val="24"/>
                <w:szCs w:val="24"/>
                <w:lang w:val="lv-LV"/>
              </w:rPr>
              <w:t xml:space="preserve"> un anotācijas III sadaļas “Tiesību akta projekta ietekme uz valsts budžetu un pašvaldību budžetiem” 6. punkt</w:t>
            </w:r>
            <w:r>
              <w:rPr>
                <w:rFonts w:ascii="Times New Roman" w:hAnsi="Times New Roman" w:cs="Times New Roman"/>
                <w:sz w:val="24"/>
                <w:szCs w:val="24"/>
                <w:lang w:val="lv-LV"/>
              </w:rPr>
              <w:t>s</w:t>
            </w:r>
          </w:p>
        </w:tc>
        <w:tc>
          <w:tcPr>
            <w:tcW w:w="4110" w:type="dxa"/>
          </w:tcPr>
          <w:p w14:paraId="702FA6A0" w14:textId="174A67F8" w:rsidR="003F1590" w:rsidRPr="003F1590" w:rsidRDefault="00A72982" w:rsidP="00047649">
            <w:pPr>
              <w:spacing w:after="0" w:line="240" w:lineRule="auto"/>
              <w:jc w:val="both"/>
              <w:rPr>
                <w:rFonts w:ascii="Times New Roman" w:hAnsi="Times New Roman" w:cs="Times New Roman"/>
                <w:sz w:val="24"/>
                <w:szCs w:val="24"/>
                <w:lang w:val="lv-LV"/>
              </w:rPr>
            </w:pPr>
            <w:r w:rsidRPr="00A72982">
              <w:rPr>
                <w:rFonts w:ascii="Times New Roman" w:hAnsi="Times New Roman" w:cs="Times New Roman"/>
                <w:sz w:val="24"/>
                <w:szCs w:val="24"/>
                <w:lang w:val="lv-LV"/>
              </w:rPr>
              <w:t>Lūdzam redakcionāli precizēt anotācijas I sadaļas 2. punkta otrajā apakšpunktā un anotācijas III sadaļas “Tiesību akta projekta ietekme uz valsts budžetu un pašvaldību budžetiem” (turpmāk – III sadaļa) 6. punktā norādīto 8.4.1. SAM rezerves finansējumu “1 681 152 9”.</w:t>
            </w:r>
          </w:p>
        </w:tc>
        <w:tc>
          <w:tcPr>
            <w:tcW w:w="3261" w:type="dxa"/>
          </w:tcPr>
          <w:p w14:paraId="6F184447" w14:textId="0F5FB0FE" w:rsidR="003F1590" w:rsidRPr="00047649" w:rsidRDefault="00B02064"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t>Ņemts vērā</w:t>
            </w:r>
          </w:p>
        </w:tc>
        <w:tc>
          <w:tcPr>
            <w:tcW w:w="3861" w:type="dxa"/>
          </w:tcPr>
          <w:p w14:paraId="11005740" w14:textId="5FB48BA0" w:rsidR="003F1590" w:rsidRPr="003F1590" w:rsidRDefault="00B02064"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sz w:val="24"/>
                <w:szCs w:val="24"/>
                <w:lang w:val="lv-LV"/>
              </w:rPr>
              <w:t>Skatīt precizēto a</w:t>
            </w:r>
            <w:r w:rsidRPr="00A72982">
              <w:rPr>
                <w:rFonts w:ascii="Times New Roman" w:hAnsi="Times New Roman" w:cs="Times New Roman"/>
                <w:sz w:val="24"/>
                <w:szCs w:val="24"/>
                <w:lang w:val="lv-LV"/>
              </w:rPr>
              <w:t>notācijas I sadaļas 2. punkta otr</w:t>
            </w:r>
            <w:r>
              <w:rPr>
                <w:rFonts w:ascii="Times New Roman" w:hAnsi="Times New Roman" w:cs="Times New Roman"/>
                <w:sz w:val="24"/>
                <w:szCs w:val="24"/>
                <w:lang w:val="lv-LV"/>
              </w:rPr>
              <w:t xml:space="preserve">o </w:t>
            </w:r>
            <w:r w:rsidRPr="00A72982">
              <w:rPr>
                <w:rFonts w:ascii="Times New Roman" w:hAnsi="Times New Roman" w:cs="Times New Roman"/>
                <w:sz w:val="24"/>
                <w:szCs w:val="24"/>
                <w:lang w:val="lv-LV"/>
              </w:rPr>
              <w:t>apakšpunkt</w:t>
            </w:r>
            <w:r>
              <w:rPr>
                <w:rFonts w:ascii="Times New Roman" w:hAnsi="Times New Roman" w:cs="Times New Roman"/>
                <w:sz w:val="24"/>
                <w:szCs w:val="24"/>
                <w:lang w:val="lv-LV"/>
              </w:rPr>
              <w:t>u</w:t>
            </w:r>
            <w:r w:rsidRPr="00A72982">
              <w:rPr>
                <w:rFonts w:ascii="Times New Roman" w:hAnsi="Times New Roman" w:cs="Times New Roman"/>
                <w:sz w:val="24"/>
                <w:szCs w:val="24"/>
                <w:lang w:val="lv-LV"/>
              </w:rPr>
              <w:t xml:space="preserve"> un anotācijas III sadaļas “Tiesību akta projekta ietekme uz valsts budžetu un pašvaldību budžetiem” 6. punkt</w:t>
            </w:r>
            <w:r>
              <w:rPr>
                <w:rFonts w:ascii="Times New Roman" w:hAnsi="Times New Roman" w:cs="Times New Roman"/>
                <w:sz w:val="24"/>
                <w:szCs w:val="24"/>
                <w:lang w:val="lv-LV"/>
              </w:rPr>
              <w:t>u</w:t>
            </w:r>
          </w:p>
        </w:tc>
      </w:tr>
      <w:tr w:rsidR="00B02064" w:rsidRPr="00047649" w14:paraId="6F2D4A3F" w14:textId="77777777" w:rsidTr="00023B43">
        <w:trPr>
          <w:trHeight w:val="275"/>
        </w:trPr>
        <w:tc>
          <w:tcPr>
            <w:tcW w:w="959" w:type="dxa"/>
          </w:tcPr>
          <w:p w14:paraId="6BC1FA34" w14:textId="3F5CE4D0" w:rsidR="00B02064" w:rsidRPr="00047649" w:rsidRDefault="00B743C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w:t>
            </w:r>
          </w:p>
        </w:tc>
        <w:tc>
          <w:tcPr>
            <w:tcW w:w="2864" w:type="dxa"/>
          </w:tcPr>
          <w:p w14:paraId="0BA88319" w14:textId="00E0CDD5" w:rsidR="00B02064" w:rsidRPr="00D52B61" w:rsidRDefault="00E132C4"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sz w:val="24"/>
                <w:szCs w:val="24"/>
                <w:lang w:val="lv-LV"/>
              </w:rPr>
              <w:t>A</w:t>
            </w:r>
            <w:r w:rsidRPr="00A72982">
              <w:rPr>
                <w:rFonts w:ascii="Times New Roman" w:hAnsi="Times New Roman" w:cs="Times New Roman"/>
                <w:sz w:val="24"/>
                <w:szCs w:val="24"/>
                <w:lang w:val="lv-LV"/>
              </w:rPr>
              <w:t>notācijas I sadaļas 2. punkta otra</w:t>
            </w:r>
            <w:r>
              <w:rPr>
                <w:rFonts w:ascii="Times New Roman" w:hAnsi="Times New Roman" w:cs="Times New Roman"/>
                <w:sz w:val="24"/>
                <w:szCs w:val="24"/>
                <w:lang w:val="lv-LV"/>
              </w:rPr>
              <w:t xml:space="preserve">is </w:t>
            </w:r>
            <w:r w:rsidRPr="00A72982">
              <w:rPr>
                <w:rFonts w:ascii="Times New Roman" w:hAnsi="Times New Roman" w:cs="Times New Roman"/>
                <w:sz w:val="24"/>
                <w:szCs w:val="24"/>
                <w:lang w:val="lv-LV"/>
              </w:rPr>
              <w:t>apakšpunkt</w:t>
            </w:r>
            <w:r>
              <w:rPr>
                <w:rFonts w:ascii="Times New Roman" w:hAnsi="Times New Roman" w:cs="Times New Roman"/>
                <w:sz w:val="24"/>
                <w:szCs w:val="24"/>
                <w:lang w:val="lv-LV"/>
              </w:rPr>
              <w:t>s</w:t>
            </w:r>
          </w:p>
        </w:tc>
        <w:tc>
          <w:tcPr>
            <w:tcW w:w="4110" w:type="dxa"/>
          </w:tcPr>
          <w:p w14:paraId="5ABA0044" w14:textId="7F8407DC" w:rsidR="00B02064" w:rsidRPr="003F1590" w:rsidRDefault="00B02064" w:rsidP="00047649">
            <w:pPr>
              <w:spacing w:after="0" w:line="240" w:lineRule="auto"/>
              <w:jc w:val="both"/>
              <w:rPr>
                <w:rFonts w:ascii="Times New Roman" w:hAnsi="Times New Roman" w:cs="Times New Roman"/>
                <w:sz w:val="24"/>
                <w:szCs w:val="24"/>
                <w:lang w:val="lv-LV"/>
              </w:rPr>
            </w:pPr>
            <w:r w:rsidRPr="00B02064">
              <w:rPr>
                <w:rFonts w:ascii="Times New Roman" w:hAnsi="Times New Roman" w:cs="Times New Roman"/>
                <w:sz w:val="24"/>
                <w:szCs w:val="24"/>
                <w:lang w:val="lv-LV"/>
              </w:rPr>
              <w:t>Lūdzam papildināt anotācijas I sadaļas 2. punkta otrā apakšpunktā otro teikumu ar informāciju par valsts budžeta līdzfinansējuma daļu 8.4.1. SAM snieguma rezerves finansējumā.</w:t>
            </w:r>
          </w:p>
        </w:tc>
        <w:tc>
          <w:tcPr>
            <w:tcW w:w="3261" w:type="dxa"/>
          </w:tcPr>
          <w:p w14:paraId="2CA914A9" w14:textId="7849418F" w:rsidR="00B02064" w:rsidRPr="00047649" w:rsidRDefault="00E132C4"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t>Ņemts vērā</w:t>
            </w:r>
          </w:p>
        </w:tc>
        <w:tc>
          <w:tcPr>
            <w:tcW w:w="3861" w:type="dxa"/>
          </w:tcPr>
          <w:p w14:paraId="6D8A56B5" w14:textId="6D88A2E0" w:rsidR="00B02064" w:rsidRPr="003F1590" w:rsidRDefault="00E132C4"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sz w:val="24"/>
                <w:szCs w:val="24"/>
                <w:lang w:val="lv-LV"/>
              </w:rPr>
              <w:t>Skatīt precizēto a</w:t>
            </w:r>
            <w:r w:rsidRPr="00A72982">
              <w:rPr>
                <w:rFonts w:ascii="Times New Roman" w:hAnsi="Times New Roman" w:cs="Times New Roman"/>
                <w:sz w:val="24"/>
                <w:szCs w:val="24"/>
                <w:lang w:val="lv-LV"/>
              </w:rPr>
              <w:t>notācijas I sadaļas 2. punkta otr</w:t>
            </w:r>
            <w:r>
              <w:rPr>
                <w:rFonts w:ascii="Times New Roman" w:hAnsi="Times New Roman" w:cs="Times New Roman"/>
                <w:sz w:val="24"/>
                <w:szCs w:val="24"/>
                <w:lang w:val="lv-LV"/>
              </w:rPr>
              <w:t xml:space="preserve">o </w:t>
            </w:r>
            <w:r w:rsidRPr="00A72982">
              <w:rPr>
                <w:rFonts w:ascii="Times New Roman" w:hAnsi="Times New Roman" w:cs="Times New Roman"/>
                <w:sz w:val="24"/>
                <w:szCs w:val="24"/>
                <w:lang w:val="lv-LV"/>
              </w:rPr>
              <w:t>apakšpunkt</w:t>
            </w:r>
            <w:r>
              <w:rPr>
                <w:rFonts w:ascii="Times New Roman" w:hAnsi="Times New Roman" w:cs="Times New Roman"/>
                <w:sz w:val="24"/>
                <w:szCs w:val="24"/>
                <w:lang w:val="lv-LV"/>
              </w:rPr>
              <w:t>u</w:t>
            </w:r>
          </w:p>
        </w:tc>
      </w:tr>
      <w:tr w:rsidR="00B743CA" w:rsidRPr="00047649" w14:paraId="3477029F" w14:textId="77777777" w:rsidTr="00023B43">
        <w:trPr>
          <w:trHeight w:val="275"/>
        </w:trPr>
        <w:tc>
          <w:tcPr>
            <w:tcW w:w="959" w:type="dxa"/>
          </w:tcPr>
          <w:p w14:paraId="037F0B68" w14:textId="60FD9C0E" w:rsidR="00B743CA" w:rsidRPr="00047649" w:rsidRDefault="00257114"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w:t>
            </w:r>
          </w:p>
        </w:tc>
        <w:tc>
          <w:tcPr>
            <w:tcW w:w="2864" w:type="dxa"/>
          </w:tcPr>
          <w:p w14:paraId="3BE53A05" w14:textId="106D2FFE" w:rsidR="00B743CA" w:rsidRPr="00D52B61" w:rsidRDefault="00257114"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sz w:val="24"/>
                <w:szCs w:val="24"/>
                <w:lang w:val="lv-LV"/>
              </w:rPr>
              <w:t>A</w:t>
            </w:r>
            <w:r w:rsidRPr="00B743CA">
              <w:rPr>
                <w:rFonts w:ascii="Times New Roman" w:hAnsi="Times New Roman" w:cs="Times New Roman"/>
                <w:sz w:val="24"/>
                <w:szCs w:val="24"/>
                <w:lang w:val="lv-LV"/>
              </w:rPr>
              <w:t>notācijas I sadaļas 2. punkta otrā apakšpunkta treš</w:t>
            </w:r>
            <w:r>
              <w:rPr>
                <w:rFonts w:ascii="Times New Roman" w:hAnsi="Times New Roman" w:cs="Times New Roman"/>
                <w:sz w:val="24"/>
                <w:szCs w:val="24"/>
                <w:lang w:val="lv-LV"/>
              </w:rPr>
              <w:t>ais</w:t>
            </w:r>
            <w:r w:rsidRPr="00B743CA">
              <w:rPr>
                <w:rFonts w:ascii="Times New Roman" w:hAnsi="Times New Roman" w:cs="Times New Roman"/>
                <w:sz w:val="24"/>
                <w:szCs w:val="24"/>
                <w:lang w:val="lv-LV"/>
              </w:rPr>
              <w:t xml:space="preserve"> teikum</w:t>
            </w:r>
            <w:r>
              <w:rPr>
                <w:rFonts w:ascii="Times New Roman" w:hAnsi="Times New Roman" w:cs="Times New Roman"/>
                <w:sz w:val="24"/>
                <w:szCs w:val="24"/>
                <w:lang w:val="lv-LV"/>
              </w:rPr>
              <w:t>s</w:t>
            </w:r>
          </w:p>
        </w:tc>
        <w:tc>
          <w:tcPr>
            <w:tcW w:w="4110" w:type="dxa"/>
          </w:tcPr>
          <w:p w14:paraId="63EFB638" w14:textId="3917DB73" w:rsidR="00B743CA" w:rsidRPr="003F1590" w:rsidRDefault="00B743CA" w:rsidP="00047649">
            <w:pPr>
              <w:spacing w:after="0" w:line="240" w:lineRule="auto"/>
              <w:jc w:val="both"/>
              <w:rPr>
                <w:rFonts w:ascii="Times New Roman" w:hAnsi="Times New Roman" w:cs="Times New Roman"/>
                <w:sz w:val="24"/>
                <w:szCs w:val="24"/>
                <w:lang w:val="lv-LV"/>
              </w:rPr>
            </w:pPr>
            <w:r w:rsidRPr="00B743CA">
              <w:rPr>
                <w:rFonts w:ascii="Times New Roman" w:hAnsi="Times New Roman" w:cs="Times New Roman"/>
                <w:sz w:val="24"/>
                <w:szCs w:val="24"/>
                <w:lang w:val="lv-LV"/>
              </w:rPr>
              <w:t xml:space="preserve">Lūdzam precizēt anotācijas I sadaļas 2. punkta otrā apakšpunkta trešajā teikumā, aizvietojot skaitļus un vārdus “8.5.1. specifiskā atbalsta mērķim “Palielināt kvalificētu profesionālās izglītības iestāžu audzēkņu skaitu pēc to dalības darba vidē balstītās mācībās vai mācību praksē uzņēmumā”” ar skaitļiem un vārdiem “8.5.3. specifiskajam atbalsta mērķim “Nodrošināt profesionālās </w:t>
            </w:r>
            <w:r w:rsidRPr="00B743CA">
              <w:rPr>
                <w:rFonts w:ascii="Times New Roman" w:hAnsi="Times New Roman" w:cs="Times New Roman"/>
                <w:sz w:val="24"/>
                <w:szCs w:val="24"/>
                <w:lang w:val="lv-LV"/>
              </w:rPr>
              <w:lastRenderedPageBreak/>
              <w:t xml:space="preserve">izglītības iestāžu efektīvu pārvaldību un iesaistītā personāla profesionālās kompetences pilnveidi”” saskaņā FM Informatīvo ziņojumu par Eiropas Savienības struktūrfondu un Kohēzijas fonda 2014.–2020.gada plānošanas perioda darbības programmas “Izaugsme un nodarbinātība” snieguma ietvarā noteikto mērķu sasniegšanas progresu un snieguma rezerves finansējuma tālāku izmantošanu, kas pieņemts MK 2019. gada 11. oktobrī, kā arī precizējot norādīto finansējumu 1 159 001 </w:t>
            </w:r>
            <w:proofErr w:type="spellStart"/>
            <w:r w:rsidRPr="00B743CA">
              <w:rPr>
                <w:rFonts w:ascii="Times New Roman" w:hAnsi="Times New Roman" w:cs="Times New Roman"/>
                <w:sz w:val="24"/>
                <w:szCs w:val="24"/>
                <w:lang w:val="lv-LV"/>
              </w:rPr>
              <w:t>euro</w:t>
            </w:r>
            <w:proofErr w:type="spellEnd"/>
            <w:r w:rsidRPr="00B743CA">
              <w:rPr>
                <w:rFonts w:ascii="Times New Roman" w:hAnsi="Times New Roman" w:cs="Times New Roman"/>
                <w:sz w:val="24"/>
                <w:szCs w:val="24"/>
                <w:lang w:val="lv-LV"/>
              </w:rPr>
              <w:t xml:space="preserve"> apmērā, tai skaitā valsts budžeta līdzfinansējumu – 173 850 </w:t>
            </w:r>
            <w:proofErr w:type="spellStart"/>
            <w:r w:rsidRPr="00B743CA">
              <w:rPr>
                <w:rFonts w:ascii="Times New Roman" w:hAnsi="Times New Roman" w:cs="Times New Roman"/>
                <w:sz w:val="24"/>
                <w:szCs w:val="24"/>
                <w:lang w:val="lv-LV"/>
              </w:rPr>
              <w:t>euro</w:t>
            </w:r>
            <w:proofErr w:type="spellEnd"/>
            <w:r w:rsidRPr="00B743CA">
              <w:rPr>
                <w:rFonts w:ascii="Times New Roman" w:hAnsi="Times New Roman" w:cs="Times New Roman"/>
                <w:sz w:val="24"/>
                <w:szCs w:val="24"/>
                <w:lang w:val="lv-LV"/>
              </w:rPr>
              <w:t xml:space="preserve">. Vēršam uzmanību, ka pie norādītā valsts budžeta līdzfinansējumam Eiropas Sociālā fonda finansējumam 985 151 </w:t>
            </w:r>
            <w:proofErr w:type="spellStart"/>
            <w:r w:rsidRPr="00B743CA">
              <w:rPr>
                <w:rFonts w:ascii="Times New Roman" w:hAnsi="Times New Roman" w:cs="Times New Roman"/>
                <w:sz w:val="24"/>
                <w:szCs w:val="24"/>
                <w:lang w:val="lv-LV"/>
              </w:rPr>
              <w:t>euro</w:t>
            </w:r>
            <w:proofErr w:type="spellEnd"/>
            <w:r w:rsidRPr="00B743CA">
              <w:rPr>
                <w:rFonts w:ascii="Times New Roman" w:hAnsi="Times New Roman" w:cs="Times New Roman"/>
                <w:sz w:val="24"/>
                <w:szCs w:val="24"/>
                <w:lang w:val="lv-LV"/>
              </w:rPr>
              <w:t xml:space="preserve"> apmērā pārsniedz 85 </w:t>
            </w:r>
            <w:r w:rsidRPr="00E23FB9">
              <w:rPr>
                <w:rFonts w:ascii="Times New Roman" w:hAnsi="Times New Roman" w:cs="Times New Roman"/>
                <w:sz w:val="24"/>
                <w:szCs w:val="24"/>
                <w:lang w:val="lv-LV"/>
              </w:rPr>
              <w:t>% intensitāti.</w:t>
            </w:r>
          </w:p>
        </w:tc>
        <w:tc>
          <w:tcPr>
            <w:tcW w:w="3261" w:type="dxa"/>
          </w:tcPr>
          <w:p w14:paraId="7E2E6B77" w14:textId="7EDA1A86" w:rsidR="00B743CA" w:rsidRPr="00047649" w:rsidRDefault="00257114"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b/>
                <w:sz w:val="24"/>
                <w:szCs w:val="24"/>
                <w:lang w:val="lv-LV"/>
              </w:rPr>
              <w:lastRenderedPageBreak/>
              <w:t>Ņemts vērā</w:t>
            </w:r>
          </w:p>
        </w:tc>
        <w:tc>
          <w:tcPr>
            <w:tcW w:w="3861" w:type="dxa"/>
          </w:tcPr>
          <w:p w14:paraId="55DDAE5D" w14:textId="5CDEB774" w:rsidR="00B743CA" w:rsidRPr="003F1590" w:rsidRDefault="00257114"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Skatīt precizēto a</w:t>
            </w:r>
            <w:r w:rsidRPr="00257114">
              <w:rPr>
                <w:rFonts w:ascii="Times New Roman" w:hAnsi="Times New Roman" w:cs="Times New Roman"/>
                <w:bCs/>
                <w:spacing w:val="-2"/>
                <w:sz w:val="24"/>
                <w:szCs w:val="24"/>
                <w:lang w:val="lv-LV"/>
              </w:rPr>
              <w:t>notācijas I sadaļas 2. punkta otrā apakšpunkta treš</w:t>
            </w:r>
            <w:r>
              <w:rPr>
                <w:rFonts w:ascii="Times New Roman" w:hAnsi="Times New Roman" w:cs="Times New Roman"/>
                <w:bCs/>
                <w:spacing w:val="-2"/>
                <w:sz w:val="24"/>
                <w:szCs w:val="24"/>
                <w:lang w:val="lv-LV"/>
              </w:rPr>
              <w:t xml:space="preserve">o </w:t>
            </w:r>
            <w:r w:rsidRPr="00257114">
              <w:rPr>
                <w:rFonts w:ascii="Times New Roman" w:hAnsi="Times New Roman" w:cs="Times New Roman"/>
                <w:bCs/>
                <w:spacing w:val="-2"/>
                <w:sz w:val="24"/>
                <w:szCs w:val="24"/>
                <w:lang w:val="lv-LV"/>
              </w:rPr>
              <w:t>teikum</w:t>
            </w:r>
            <w:r>
              <w:rPr>
                <w:rFonts w:ascii="Times New Roman" w:hAnsi="Times New Roman" w:cs="Times New Roman"/>
                <w:bCs/>
                <w:spacing w:val="-2"/>
                <w:sz w:val="24"/>
                <w:szCs w:val="24"/>
                <w:lang w:val="lv-LV"/>
              </w:rPr>
              <w:t>u</w:t>
            </w:r>
          </w:p>
        </w:tc>
      </w:tr>
      <w:tr w:rsidR="00B743CA" w:rsidRPr="00047649" w14:paraId="597A82D4" w14:textId="77777777" w:rsidTr="00023B43">
        <w:trPr>
          <w:trHeight w:val="275"/>
        </w:trPr>
        <w:tc>
          <w:tcPr>
            <w:tcW w:w="959" w:type="dxa"/>
          </w:tcPr>
          <w:p w14:paraId="265C0250" w14:textId="4368D2F1" w:rsidR="00B743CA" w:rsidRPr="00047649" w:rsidRDefault="00837D26"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9.</w:t>
            </w:r>
          </w:p>
        </w:tc>
        <w:tc>
          <w:tcPr>
            <w:tcW w:w="2864" w:type="dxa"/>
          </w:tcPr>
          <w:p w14:paraId="32D1776D" w14:textId="7AB4045C" w:rsidR="00B743CA" w:rsidRPr="00D52B61" w:rsidRDefault="0027441A"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27441A">
              <w:rPr>
                <w:rFonts w:ascii="Times New Roman" w:hAnsi="Times New Roman" w:cs="Times New Roman"/>
                <w:bCs/>
                <w:spacing w:val="-2"/>
                <w:sz w:val="24"/>
                <w:szCs w:val="24"/>
                <w:lang w:val="lv-LV"/>
              </w:rPr>
              <w:t>notācijas I sadaļas 2. punkta piekt</w:t>
            </w:r>
            <w:r>
              <w:rPr>
                <w:rFonts w:ascii="Times New Roman" w:hAnsi="Times New Roman" w:cs="Times New Roman"/>
                <w:bCs/>
                <w:spacing w:val="-2"/>
                <w:sz w:val="24"/>
                <w:szCs w:val="24"/>
                <w:lang w:val="lv-LV"/>
              </w:rPr>
              <w:t>ais</w:t>
            </w:r>
            <w:r w:rsidRPr="0027441A">
              <w:rPr>
                <w:rFonts w:ascii="Times New Roman" w:hAnsi="Times New Roman" w:cs="Times New Roman"/>
                <w:bCs/>
                <w:spacing w:val="-2"/>
                <w:sz w:val="24"/>
                <w:szCs w:val="24"/>
                <w:lang w:val="lv-LV"/>
              </w:rPr>
              <w:t xml:space="preserve"> apakšpunkt</w:t>
            </w:r>
            <w:r>
              <w:rPr>
                <w:rFonts w:ascii="Times New Roman" w:hAnsi="Times New Roman" w:cs="Times New Roman"/>
                <w:bCs/>
                <w:spacing w:val="-2"/>
                <w:sz w:val="24"/>
                <w:szCs w:val="24"/>
                <w:lang w:val="lv-LV"/>
              </w:rPr>
              <w:t>s</w:t>
            </w:r>
          </w:p>
        </w:tc>
        <w:tc>
          <w:tcPr>
            <w:tcW w:w="4110" w:type="dxa"/>
          </w:tcPr>
          <w:p w14:paraId="28DF6B90" w14:textId="0700153A" w:rsidR="00B743CA" w:rsidRPr="003F1590" w:rsidRDefault="00B743CA" w:rsidP="00047649">
            <w:pPr>
              <w:spacing w:after="0" w:line="240" w:lineRule="auto"/>
              <w:jc w:val="both"/>
              <w:rPr>
                <w:rFonts w:ascii="Times New Roman" w:hAnsi="Times New Roman" w:cs="Times New Roman"/>
                <w:sz w:val="24"/>
                <w:szCs w:val="24"/>
                <w:lang w:val="lv-LV"/>
              </w:rPr>
            </w:pPr>
            <w:r w:rsidRPr="00B743CA">
              <w:rPr>
                <w:rFonts w:ascii="Times New Roman" w:hAnsi="Times New Roman" w:cs="Times New Roman"/>
                <w:sz w:val="24"/>
                <w:szCs w:val="24"/>
                <w:lang w:val="lv-LV"/>
              </w:rPr>
              <w:t>Lūdzam anotācijas I sadaļas 2. punkta piekto apakšpunktu papildināt ar skaidrojumu par iemesliem,  kāpēc tiek samazināts līdzmaksājuma apmērs par profesionālās tālākizglītības programmu apguvi (noteikumu projekta 20. punkts).</w:t>
            </w:r>
          </w:p>
        </w:tc>
        <w:tc>
          <w:tcPr>
            <w:tcW w:w="3261" w:type="dxa"/>
          </w:tcPr>
          <w:p w14:paraId="1E2E3A6C" w14:textId="328AC422" w:rsidR="00B743CA" w:rsidRPr="00047649" w:rsidRDefault="0027441A" w:rsidP="00047649">
            <w:pPr>
              <w:spacing w:after="0" w:line="240" w:lineRule="auto"/>
              <w:jc w:val="both"/>
              <w:rPr>
                <w:rFonts w:ascii="Times New Roman" w:eastAsia="Times New Roman" w:hAnsi="Times New Roman" w:cs="Times New Roman"/>
                <w:b/>
                <w:sz w:val="24"/>
                <w:szCs w:val="24"/>
                <w:lang w:val="lv-LV" w:eastAsia="lv-LV"/>
              </w:rPr>
            </w:pPr>
            <w:r w:rsidRPr="0027441A">
              <w:rPr>
                <w:rFonts w:ascii="Times New Roman" w:eastAsia="Times New Roman" w:hAnsi="Times New Roman" w:cs="Times New Roman"/>
                <w:b/>
                <w:sz w:val="24"/>
                <w:szCs w:val="24"/>
                <w:lang w:val="lv-LV" w:eastAsia="lv-LV"/>
              </w:rPr>
              <w:t>Ņemts vērā</w:t>
            </w:r>
          </w:p>
        </w:tc>
        <w:tc>
          <w:tcPr>
            <w:tcW w:w="3861" w:type="dxa"/>
          </w:tcPr>
          <w:p w14:paraId="6E84032B" w14:textId="2A5AC839" w:rsidR="00B743CA" w:rsidRPr="003F1590" w:rsidRDefault="0027441A"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Skatīt precizēto a</w:t>
            </w:r>
            <w:r w:rsidRPr="0027441A">
              <w:rPr>
                <w:rFonts w:ascii="Times New Roman" w:hAnsi="Times New Roman" w:cs="Times New Roman"/>
                <w:bCs/>
                <w:spacing w:val="-2"/>
                <w:sz w:val="24"/>
                <w:szCs w:val="24"/>
                <w:lang w:val="lv-LV"/>
              </w:rPr>
              <w:t>notācijas I sadaļas 2. punkta piekt</w:t>
            </w:r>
            <w:r>
              <w:rPr>
                <w:rFonts w:ascii="Times New Roman" w:hAnsi="Times New Roman" w:cs="Times New Roman"/>
                <w:bCs/>
                <w:spacing w:val="-2"/>
                <w:sz w:val="24"/>
                <w:szCs w:val="24"/>
                <w:lang w:val="lv-LV"/>
              </w:rPr>
              <w:t>o</w:t>
            </w:r>
            <w:r w:rsidRPr="0027441A">
              <w:rPr>
                <w:rFonts w:ascii="Times New Roman" w:hAnsi="Times New Roman" w:cs="Times New Roman"/>
                <w:bCs/>
                <w:spacing w:val="-2"/>
                <w:sz w:val="24"/>
                <w:szCs w:val="24"/>
                <w:lang w:val="lv-LV"/>
              </w:rPr>
              <w:t xml:space="preserve"> apakšpunkt</w:t>
            </w:r>
            <w:r>
              <w:rPr>
                <w:rFonts w:ascii="Times New Roman" w:hAnsi="Times New Roman" w:cs="Times New Roman"/>
                <w:bCs/>
                <w:spacing w:val="-2"/>
                <w:sz w:val="24"/>
                <w:szCs w:val="24"/>
                <w:lang w:val="lv-LV"/>
              </w:rPr>
              <w:t>u</w:t>
            </w:r>
          </w:p>
        </w:tc>
      </w:tr>
      <w:tr w:rsidR="00B743CA" w:rsidRPr="00047649" w14:paraId="79ED2DF1" w14:textId="77777777" w:rsidTr="00023B43">
        <w:trPr>
          <w:trHeight w:val="275"/>
        </w:trPr>
        <w:tc>
          <w:tcPr>
            <w:tcW w:w="959" w:type="dxa"/>
          </w:tcPr>
          <w:p w14:paraId="54679136" w14:textId="26FB0E8B" w:rsidR="00B743CA" w:rsidRPr="00047649" w:rsidRDefault="00837D26"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10.</w:t>
            </w:r>
          </w:p>
        </w:tc>
        <w:tc>
          <w:tcPr>
            <w:tcW w:w="2864" w:type="dxa"/>
          </w:tcPr>
          <w:p w14:paraId="243AA354" w14:textId="4B7DCAE7" w:rsidR="00B743CA" w:rsidRPr="00D52B61" w:rsidRDefault="00B44CA6"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B44CA6">
              <w:rPr>
                <w:rFonts w:ascii="Times New Roman" w:hAnsi="Times New Roman" w:cs="Times New Roman"/>
                <w:bCs/>
                <w:spacing w:val="-2"/>
                <w:sz w:val="24"/>
                <w:szCs w:val="24"/>
                <w:lang w:val="lv-LV"/>
              </w:rPr>
              <w:t>notācijas I sadaļas 2. punkta sest</w:t>
            </w:r>
            <w:r>
              <w:rPr>
                <w:rFonts w:ascii="Times New Roman" w:hAnsi="Times New Roman" w:cs="Times New Roman"/>
                <w:bCs/>
                <w:spacing w:val="-2"/>
                <w:sz w:val="24"/>
                <w:szCs w:val="24"/>
                <w:lang w:val="lv-LV"/>
              </w:rPr>
              <w:t>ais</w:t>
            </w:r>
            <w:r w:rsidRPr="00B44CA6">
              <w:rPr>
                <w:rFonts w:ascii="Times New Roman" w:hAnsi="Times New Roman" w:cs="Times New Roman"/>
                <w:bCs/>
                <w:spacing w:val="-2"/>
                <w:sz w:val="24"/>
                <w:szCs w:val="24"/>
                <w:lang w:val="lv-LV"/>
              </w:rPr>
              <w:t xml:space="preserve"> apakšpunkt</w:t>
            </w:r>
            <w:r>
              <w:rPr>
                <w:rFonts w:ascii="Times New Roman" w:hAnsi="Times New Roman" w:cs="Times New Roman"/>
                <w:bCs/>
                <w:spacing w:val="-2"/>
                <w:sz w:val="24"/>
                <w:szCs w:val="24"/>
                <w:lang w:val="lv-LV"/>
              </w:rPr>
              <w:t>s</w:t>
            </w:r>
          </w:p>
        </w:tc>
        <w:tc>
          <w:tcPr>
            <w:tcW w:w="4110" w:type="dxa"/>
          </w:tcPr>
          <w:p w14:paraId="789897C4" w14:textId="4AAF97D9" w:rsidR="00B743CA" w:rsidRPr="005B62AA" w:rsidRDefault="00B44CA6" w:rsidP="005B62AA">
            <w:pPr>
              <w:spacing w:after="0" w:line="240" w:lineRule="auto"/>
              <w:jc w:val="both"/>
              <w:rPr>
                <w:rFonts w:ascii="Times New Roman" w:hAnsi="Times New Roman" w:cs="Times New Roman"/>
                <w:bCs/>
                <w:spacing w:val="-2"/>
                <w:sz w:val="24"/>
                <w:szCs w:val="24"/>
                <w:lang w:val="lv-LV"/>
              </w:rPr>
            </w:pPr>
            <w:r w:rsidRPr="00D52B61">
              <w:rPr>
                <w:rFonts w:ascii="Times New Roman" w:hAnsi="Times New Roman" w:cs="Times New Roman"/>
                <w:bCs/>
                <w:spacing w:val="-2"/>
                <w:sz w:val="24"/>
                <w:szCs w:val="24"/>
                <w:lang w:val="lv-LV"/>
              </w:rPr>
              <w:t xml:space="preserve">Lūdzam anotācijas I sadaļas 2. punkta sesto apakšpunktu papildināt ar skaidrojumu par iemesliem,  kāpēc izglītojamo atkārotas iesaistes termiņš atbalsta pasākumos ir samazināts no 12 uz 6 mēnešiem (noteikumu projekta 21. punkts). </w:t>
            </w:r>
          </w:p>
        </w:tc>
        <w:tc>
          <w:tcPr>
            <w:tcW w:w="3261" w:type="dxa"/>
          </w:tcPr>
          <w:p w14:paraId="11033AA2" w14:textId="0490DB03" w:rsidR="00B743CA" w:rsidRPr="00047649" w:rsidRDefault="00B44CA6" w:rsidP="00047649">
            <w:pPr>
              <w:spacing w:after="0" w:line="240" w:lineRule="auto"/>
              <w:jc w:val="both"/>
              <w:rPr>
                <w:rFonts w:ascii="Times New Roman" w:eastAsia="Times New Roman" w:hAnsi="Times New Roman" w:cs="Times New Roman"/>
                <w:b/>
                <w:sz w:val="24"/>
                <w:szCs w:val="24"/>
                <w:lang w:val="lv-LV" w:eastAsia="lv-LV"/>
              </w:rPr>
            </w:pPr>
            <w:r w:rsidRPr="00B44CA6">
              <w:rPr>
                <w:rFonts w:ascii="Times New Roman" w:eastAsia="Times New Roman" w:hAnsi="Times New Roman" w:cs="Times New Roman"/>
                <w:b/>
                <w:sz w:val="24"/>
                <w:szCs w:val="24"/>
                <w:lang w:val="lv-LV" w:eastAsia="lv-LV"/>
              </w:rPr>
              <w:t>Ņemts vērā</w:t>
            </w:r>
          </w:p>
        </w:tc>
        <w:tc>
          <w:tcPr>
            <w:tcW w:w="3861" w:type="dxa"/>
          </w:tcPr>
          <w:p w14:paraId="43ED1937" w14:textId="714BBDD4" w:rsidR="00B743CA" w:rsidRPr="003F1590" w:rsidRDefault="00B44CA6"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 xml:space="preserve">Skatīt precizēto </w:t>
            </w:r>
            <w:r w:rsidRPr="00D52B61">
              <w:rPr>
                <w:rFonts w:ascii="Times New Roman" w:hAnsi="Times New Roman" w:cs="Times New Roman"/>
                <w:bCs/>
                <w:spacing w:val="-2"/>
                <w:sz w:val="24"/>
                <w:szCs w:val="24"/>
                <w:lang w:val="lv-LV"/>
              </w:rPr>
              <w:t>anotācijas I sadaļas 2. punkta sesto apakšpunktu</w:t>
            </w:r>
          </w:p>
        </w:tc>
      </w:tr>
      <w:tr w:rsidR="00B743CA" w:rsidRPr="00047649" w14:paraId="52F98E49" w14:textId="77777777" w:rsidTr="00023B43">
        <w:trPr>
          <w:trHeight w:val="275"/>
        </w:trPr>
        <w:tc>
          <w:tcPr>
            <w:tcW w:w="959" w:type="dxa"/>
          </w:tcPr>
          <w:p w14:paraId="07D61973" w14:textId="70E38C1C" w:rsidR="00B743CA" w:rsidRPr="00047649" w:rsidRDefault="00837D26"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11.</w:t>
            </w:r>
          </w:p>
        </w:tc>
        <w:tc>
          <w:tcPr>
            <w:tcW w:w="2864" w:type="dxa"/>
          </w:tcPr>
          <w:p w14:paraId="3B9B1842" w14:textId="17CA3413" w:rsidR="00B743CA" w:rsidRPr="00D52B61" w:rsidRDefault="003E7AC8"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3E7AC8">
              <w:rPr>
                <w:rFonts w:ascii="Times New Roman" w:hAnsi="Times New Roman" w:cs="Times New Roman"/>
                <w:bCs/>
                <w:spacing w:val="-2"/>
                <w:sz w:val="24"/>
                <w:szCs w:val="24"/>
                <w:lang w:val="lv-LV"/>
              </w:rPr>
              <w:t>notācijas I sadaļas 2. punkta pēdējo divu apakšpunktu numerācij</w:t>
            </w:r>
            <w:r>
              <w:rPr>
                <w:rFonts w:ascii="Times New Roman" w:hAnsi="Times New Roman" w:cs="Times New Roman"/>
                <w:bCs/>
                <w:spacing w:val="-2"/>
                <w:sz w:val="24"/>
                <w:szCs w:val="24"/>
                <w:lang w:val="lv-LV"/>
              </w:rPr>
              <w:t>a</w:t>
            </w:r>
          </w:p>
        </w:tc>
        <w:tc>
          <w:tcPr>
            <w:tcW w:w="4110" w:type="dxa"/>
          </w:tcPr>
          <w:p w14:paraId="47FE80C1" w14:textId="31E5BAE5" w:rsidR="00B743CA" w:rsidRPr="003F1590" w:rsidRDefault="00B44CA6" w:rsidP="00047649">
            <w:pPr>
              <w:spacing w:after="0" w:line="240" w:lineRule="auto"/>
              <w:jc w:val="both"/>
              <w:rPr>
                <w:rFonts w:ascii="Times New Roman" w:hAnsi="Times New Roman" w:cs="Times New Roman"/>
                <w:sz w:val="24"/>
                <w:szCs w:val="24"/>
                <w:lang w:val="lv-LV"/>
              </w:rPr>
            </w:pPr>
            <w:r w:rsidRPr="00B44CA6">
              <w:rPr>
                <w:rFonts w:ascii="Times New Roman" w:hAnsi="Times New Roman" w:cs="Times New Roman"/>
                <w:sz w:val="24"/>
                <w:szCs w:val="24"/>
                <w:lang w:val="lv-LV"/>
              </w:rPr>
              <w:t>Lūdzam precizēt anotācijas I sadaļas 2. punkta pēdējo divu apakšpunktu numerāciju.</w:t>
            </w:r>
          </w:p>
        </w:tc>
        <w:tc>
          <w:tcPr>
            <w:tcW w:w="3261" w:type="dxa"/>
          </w:tcPr>
          <w:p w14:paraId="099E51B8" w14:textId="135F3A17" w:rsidR="00B743CA" w:rsidRPr="00047649" w:rsidRDefault="003E7AC8" w:rsidP="00047649">
            <w:pPr>
              <w:spacing w:after="0" w:line="240" w:lineRule="auto"/>
              <w:jc w:val="both"/>
              <w:rPr>
                <w:rFonts w:ascii="Times New Roman" w:eastAsia="Times New Roman" w:hAnsi="Times New Roman" w:cs="Times New Roman"/>
                <w:b/>
                <w:sz w:val="24"/>
                <w:szCs w:val="24"/>
                <w:lang w:val="lv-LV" w:eastAsia="lv-LV"/>
              </w:rPr>
            </w:pPr>
            <w:r w:rsidRPr="003E7AC8">
              <w:rPr>
                <w:rFonts w:ascii="Times New Roman" w:eastAsia="Times New Roman" w:hAnsi="Times New Roman" w:cs="Times New Roman"/>
                <w:b/>
                <w:sz w:val="24"/>
                <w:szCs w:val="24"/>
                <w:lang w:val="lv-LV" w:eastAsia="lv-LV"/>
              </w:rPr>
              <w:t>Ņemts vērā</w:t>
            </w:r>
          </w:p>
        </w:tc>
        <w:tc>
          <w:tcPr>
            <w:tcW w:w="3861" w:type="dxa"/>
          </w:tcPr>
          <w:p w14:paraId="19B1BF03" w14:textId="308BEB02" w:rsidR="00B743CA" w:rsidRPr="003F1590" w:rsidRDefault="003E7AC8"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sz w:val="24"/>
                <w:szCs w:val="24"/>
                <w:lang w:val="lv-LV"/>
              </w:rPr>
              <w:t xml:space="preserve">Precizēta </w:t>
            </w:r>
            <w:r w:rsidRPr="00B44CA6">
              <w:rPr>
                <w:rFonts w:ascii="Times New Roman" w:hAnsi="Times New Roman" w:cs="Times New Roman"/>
                <w:sz w:val="24"/>
                <w:szCs w:val="24"/>
                <w:lang w:val="lv-LV"/>
              </w:rPr>
              <w:t>anotācijas I sadaļas 2. punkta pēdējo divu apakšpunktu numerācij</w:t>
            </w:r>
            <w:r>
              <w:rPr>
                <w:rFonts w:ascii="Times New Roman" w:hAnsi="Times New Roman" w:cs="Times New Roman"/>
                <w:sz w:val="24"/>
                <w:szCs w:val="24"/>
                <w:lang w:val="lv-LV"/>
              </w:rPr>
              <w:t>a</w:t>
            </w:r>
          </w:p>
        </w:tc>
      </w:tr>
      <w:tr w:rsidR="003E7AC8" w:rsidRPr="00047649" w14:paraId="0FCFDAE2" w14:textId="77777777" w:rsidTr="00023B43">
        <w:trPr>
          <w:trHeight w:val="275"/>
        </w:trPr>
        <w:tc>
          <w:tcPr>
            <w:tcW w:w="959" w:type="dxa"/>
          </w:tcPr>
          <w:p w14:paraId="7074C637" w14:textId="56FB21BF" w:rsidR="003E7AC8" w:rsidRPr="00047649" w:rsidRDefault="00837D26"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12.</w:t>
            </w:r>
          </w:p>
        </w:tc>
        <w:tc>
          <w:tcPr>
            <w:tcW w:w="2864" w:type="dxa"/>
          </w:tcPr>
          <w:p w14:paraId="4AE530C1" w14:textId="372374AF" w:rsidR="003E7AC8" w:rsidRPr="00D52B61" w:rsidRDefault="00BD1596"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sz w:val="24"/>
                <w:szCs w:val="24"/>
                <w:lang w:val="lv-LV"/>
              </w:rPr>
              <w:t>A</w:t>
            </w:r>
            <w:r w:rsidRPr="006B181E">
              <w:rPr>
                <w:rFonts w:ascii="Times New Roman" w:hAnsi="Times New Roman" w:cs="Times New Roman"/>
                <w:sz w:val="24"/>
                <w:szCs w:val="24"/>
                <w:lang w:val="lv-LV"/>
              </w:rPr>
              <w:t>notācijas II sadaļas “Tiesību akta projekta ietekme uz sabiedrību, tautsaimniecības attīstību un administratīvo slogu”  2. punkt</w:t>
            </w:r>
            <w:r>
              <w:rPr>
                <w:rFonts w:ascii="Times New Roman" w:hAnsi="Times New Roman" w:cs="Times New Roman"/>
                <w:sz w:val="24"/>
                <w:szCs w:val="24"/>
                <w:lang w:val="lv-LV"/>
              </w:rPr>
              <w:t>s</w:t>
            </w:r>
            <w:r w:rsidRPr="006B181E">
              <w:rPr>
                <w:rFonts w:ascii="Times New Roman" w:hAnsi="Times New Roman" w:cs="Times New Roman"/>
                <w:sz w:val="24"/>
                <w:szCs w:val="24"/>
                <w:lang w:val="lv-LV"/>
              </w:rPr>
              <w:t xml:space="preserve"> “Tiesiskā regulējuma ietekme uz tautsaimniecību un administratīvo slogu”</w:t>
            </w:r>
          </w:p>
        </w:tc>
        <w:tc>
          <w:tcPr>
            <w:tcW w:w="4110" w:type="dxa"/>
          </w:tcPr>
          <w:p w14:paraId="558C3C65" w14:textId="716B76FE" w:rsidR="003E7AC8" w:rsidRPr="003F1590" w:rsidRDefault="006B181E" w:rsidP="00047649">
            <w:pPr>
              <w:spacing w:after="0" w:line="240" w:lineRule="auto"/>
              <w:jc w:val="both"/>
              <w:rPr>
                <w:rFonts w:ascii="Times New Roman" w:hAnsi="Times New Roman" w:cs="Times New Roman"/>
                <w:sz w:val="24"/>
                <w:szCs w:val="24"/>
                <w:lang w:val="lv-LV"/>
              </w:rPr>
            </w:pPr>
            <w:r w:rsidRPr="006B181E">
              <w:rPr>
                <w:rFonts w:ascii="Times New Roman" w:hAnsi="Times New Roman" w:cs="Times New Roman"/>
                <w:sz w:val="24"/>
                <w:szCs w:val="24"/>
                <w:lang w:val="lv-LV"/>
              </w:rPr>
              <w:t xml:space="preserve">Lūdzam papildināt anotācijas II sadaļas “Tiesību akta projekta ietekme uz sabiedrību, tautsaimniecības attīstību un administratīvo slogu”  2. punktu “Tiesiskā regulējuma ietekme uz tautsaimniecību un administratīvo slogu” ar informāciju norādot, vai grozījumi vienošanās Nr. 8.4.1.0/16/I/001 “Nodarbināto personu profesionālās kompetences pilnveide” ir uzskatāmi par būtiskiem saskaņā ar </w:t>
            </w:r>
            <w:r w:rsidRPr="0053352B">
              <w:rPr>
                <w:rFonts w:ascii="Times New Roman" w:hAnsi="Times New Roman" w:cs="Times New Roman"/>
                <w:sz w:val="24"/>
                <w:szCs w:val="24"/>
                <w:lang w:val="lv-LV"/>
              </w:rPr>
              <w:t>Regulas Nr.1303/2013  71. panta 1. punkta c) apakšpunktu.</w:t>
            </w:r>
          </w:p>
        </w:tc>
        <w:tc>
          <w:tcPr>
            <w:tcW w:w="3261" w:type="dxa"/>
          </w:tcPr>
          <w:p w14:paraId="7FF5D830" w14:textId="3CD82E38" w:rsidR="003E7AC8" w:rsidRPr="00047649" w:rsidRDefault="00E560F2" w:rsidP="00047649">
            <w:pPr>
              <w:spacing w:after="0" w:line="240" w:lineRule="auto"/>
              <w:jc w:val="both"/>
              <w:rPr>
                <w:rFonts w:ascii="Times New Roman" w:eastAsia="Times New Roman" w:hAnsi="Times New Roman" w:cs="Times New Roman"/>
                <w:b/>
                <w:sz w:val="24"/>
                <w:szCs w:val="24"/>
                <w:lang w:val="lv-LV" w:eastAsia="lv-LV"/>
              </w:rPr>
            </w:pPr>
            <w:r w:rsidRPr="003E7AC8">
              <w:rPr>
                <w:rFonts w:ascii="Times New Roman" w:eastAsia="Times New Roman" w:hAnsi="Times New Roman" w:cs="Times New Roman"/>
                <w:b/>
                <w:sz w:val="24"/>
                <w:szCs w:val="24"/>
                <w:lang w:val="lv-LV" w:eastAsia="lv-LV"/>
              </w:rPr>
              <w:t>Ņemts vērā</w:t>
            </w:r>
          </w:p>
        </w:tc>
        <w:tc>
          <w:tcPr>
            <w:tcW w:w="3861" w:type="dxa"/>
          </w:tcPr>
          <w:p w14:paraId="1573A00D" w14:textId="1CD4FB2D" w:rsidR="003E7AC8" w:rsidRPr="003F1590" w:rsidRDefault="00BD1596" w:rsidP="003F1590">
            <w:pPr>
              <w:spacing w:after="0" w:line="240" w:lineRule="auto"/>
              <w:jc w:val="both"/>
              <w:rPr>
                <w:rFonts w:ascii="Times New Roman" w:hAnsi="Times New Roman" w:cs="Times New Roman"/>
                <w:bCs/>
                <w:spacing w:val="-2"/>
                <w:sz w:val="24"/>
                <w:szCs w:val="24"/>
                <w:lang w:val="lv-LV"/>
              </w:rPr>
            </w:pPr>
            <w:r w:rsidRPr="00BD1596">
              <w:rPr>
                <w:rFonts w:ascii="Times New Roman" w:hAnsi="Times New Roman" w:cs="Times New Roman"/>
                <w:bCs/>
                <w:spacing w:val="-2"/>
                <w:sz w:val="24"/>
                <w:szCs w:val="24"/>
                <w:lang w:val="lv-LV"/>
              </w:rPr>
              <w:t>anotācijas II sadaļas “Tiesību akta projekta ietekme uz sabiedrību, tautsaimniecības attīstību un administratīvo slogu”  2. punktu “Tiesiskā regulējuma ietekme uz tautsaimniecību un administratīvo slogu”</w:t>
            </w:r>
          </w:p>
        </w:tc>
      </w:tr>
      <w:tr w:rsidR="003E7AC8" w:rsidRPr="00047649" w14:paraId="773EACFD" w14:textId="77777777" w:rsidTr="00023B43">
        <w:trPr>
          <w:trHeight w:val="275"/>
        </w:trPr>
        <w:tc>
          <w:tcPr>
            <w:tcW w:w="959" w:type="dxa"/>
          </w:tcPr>
          <w:p w14:paraId="5704FE01" w14:textId="251A0F82" w:rsidR="003E7AC8" w:rsidRPr="00047649" w:rsidRDefault="00837D26"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13.</w:t>
            </w:r>
          </w:p>
        </w:tc>
        <w:tc>
          <w:tcPr>
            <w:tcW w:w="2864" w:type="dxa"/>
          </w:tcPr>
          <w:p w14:paraId="75915B1B" w14:textId="6A77E0A5" w:rsidR="003E7AC8" w:rsidRPr="00D52B61" w:rsidRDefault="0053352B"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53352B">
              <w:rPr>
                <w:rFonts w:ascii="Times New Roman" w:hAnsi="Times New Roman" w:cs="Times New Roman"/>
                <w:bCs/>
                <w:spacing w:val="-2"/>
                <w:sz w:val="24"/>
                <w:szCs w:val="24"/>
                <w:lang w:val="lv-LV"/>
              </w:rPr>
              <w:t>notācijas III sadaļa kolonnā “izmaiņas, salīdzinot ar vidēja termiņa budžeta ietvaru 2022. gadam”</w:t>
            </w:r>
          </w:p>
        </w:tc>
        <w:tc>
          <w:tcPr>
            <w:tcW w:w="4110" w:type="dxa"/>
          </w:tcPr>
          <w:p w14:paraId="6461067B" w14:textId="49BB1D8E" w:rsidR="003E7AC8" w:rsidRPr="003F1590" w:rsidRDefault="006B181E" w:rsidP="006B181E">
            <w:pPr>
              <w:spacing w:after="0" w:line="240" w:lineRule="auto"/>
              <w:jc w:val="both"/>
              <w:rPr>
                <w:rFonts w:ascii="Times New Roman" w:hAnsi="Times New Roman" w:cs="Times New Roman"/>
                <w:sz w:val="24"/>
                <w:szCs w:val="24"/>
                <w:lang w:val="lv-LV"/>
              </w:rPr>
            </w:pPr>
            <w:r w:rsidRPr="006B181E">
              <w:rPr>
                <w:rFonts w:ascii="Times New Roman" w:hAnsi="Times New Roman" w:cs="Times New Roman"/>
                <w:sz w:val="24"/>
                <w:szCs w:val="24"/>
                <w:lang w:val="lv-LV"/>
              </w:rPr>
              <w:t xml:space="preserve">Lūdzam precizēt anotācijas III sadaļas kolonnā “izmaiņas, salīdzinot ar vidēja termiņa budžeta ietvaru 2022. gadam” 2022. gadam norādīto finansējuma apmēru 1. līdz 4. punktā (7. kolonna). Vēršam uzmanību, ka 7. kolonnas 2. punktā norādītais kopējais finansējuma apmērs (11 772 965,18 </w:t>
            </w:r>
            <w:proofErr w:type="spellStart"/>
            <w:r w:rsidRPr="006B181E">
              <w:rPr>
                <w:rFonts w:ascii="Times New Roman" w:hAnsi="Times New Roman" w:cs="Times New Roman"/>
                <w:sz w:val="24"/>
                <w:szCs w:val="24"/>
                <w:lang w:val="lv-LV"/>
              </w:rPr>
              <w:t>euro</w:t>
            </w:r>
            <w:proofErr w:type="spellEnd"/>
            <w:r w:rsidRPr="006B181E">
              <w:rPr>
                <w:rFonts w:ascii="Times New Roman" w:hAnsi="Times New Roman" w:cs="Times New Roman"/>
                <w:sz w:val="24"/>
                <w:szCs w:val="24"/>
                <w:lang w:val="lv-LV"/>
              </w:rPr>
              <w:t xml:space="preserve">) neveidojas no 1. un 3. punktā (10 007 020,36 </w:t>
            </w:r>
            <w:proofErr w:type="spellStart"/>
            <w:r w:rsidRPr="006B181E">
              <w:rPr>
                <w:rFonts w:ascii="Times New Roman" w:hAnsi="Times New Roman" w:cs="Times New Roman"/>
                <w:sz w:val="24"/>
                <w:szCs w:val="24"/>
                <w:lang w:val="lv-LV"/>
              </w:rPr>
              <w:t>euro</w:t>
            </w:r>
            <w:proofErr w:type="spellEnd"/>
            <w:r w:rsidRPr="006B181E">
              <w:rPr>
                <w:rFonts w:ascii="Times New Roman" w:hAnsi="Times New Roman" w:cs="Times New Roman"/>
                <w:sz w:val="24"/>
                <w:szCs w:val="24"/>
                <w:lang w:val="lv-LV"/>
              </w:rPr>
              <w:t xml:space="preserve"> un 1 765 994,82 </w:t>
            </w:r>
            <w:proofErr w:type="spellStart"/>
            <w:r w:rsidRPr="006B181E">
              <w:rPr>
                <w:rFonts w:ascii="Times New Roman" w:hAnsi="Times New Roman" w:cs="Times New Roman"/>
                <w:sz w:val="24"/>
                <w:szCs w:val="24"/>
                <w:lang w:val="lv-LV"/>
              </w:rPr>
              <w:t>euro</w:t>
            </w:r>
            <w:proofErr w:type="spellEnd"/>
            <w:r w:rsidRPr="006B181E">
              <w:rPr>
                <w:rFonts w:ascii="Times New Roman" w:hAnsi="Times New Roman" w:cs="Times New Roman"/>
                <w:sz w:val="24"/>
                <w:szCs w:val="24"/>
                <w:lang w:val="lv-LV"/>
              </w:rPr>
              <w:t xml:space="preserve">) norādīto ciparu kopsummas. </w:t>
            </w:r>
          </w:p>
        </w:tc>
        <w:tc>
          <w:tcPr>
            <w:tcW w:w="3261" w:type="dxa"/>
          </w:tcPr>
          <w:p w14:paraId="1F3C9906" w14:textId="77777777" w:rsidR="003E7AC8" w:rsidRDefault="001D0914" w:rsidP="00047649">
            <w:pPr>
              <w:spacing w:after="0" w:line="240" w:lineRule="auto"/>
              <w:jc w:val="both"/>
              <w:rPr>
                <w:rFonts w:ascii="Times New Roman" w:eastAsia="Times New Roman" w:hAnsi="Times New Roman" w:cs="Times New Roman"/>
                <w:b/>
                <w:sz w:val="24"/>
                <w:szCs w:val="24"/>
                <w:lang w:val="lv-LV" w:eastAsia="lv-LV"/>
              </w:rPr>
            </w:pPr>
            <w:r w:rsidRPr="003E7AC8">
              <w:rPr>
                <w:rFonts w:ascii="Times New Roman" w:eastAsia="Times New Roman" w:hAnsi="Times New Roman" w:cs="Times New Roman"/>
                <w:b/>
                <w:sz w:val="24"/>
                <w:szCs w:val="24"/>
                <w:lang w:val="lv-LV" w:eastAsia="lv-LV"/>
              </w:rPr>
              <w:t>Ņemts vērā</w:t>
            </w:r>
          </w:p>
          <w:p w14:paraId="79427745" w14:textId="02154772" w:rsidR="001D0914" w:rsidRPr="00FE7E47" w:rsidRDefault="001D0914" w:rsidP="00047649">
            <w:pPr>
              <w:spacing w:after="0" w:line="240" w:lineRule="auto"/>
              <w:jc w:val="both"/>
              <w:rPr>
                <w:rFonts w:ascii="Times New Roman" w:eastAsia="Times New Roman" w:hAnsi="Times New Roman" w:cs="Times New Roman"/>
                <w:bCs/>
                <w:sz w:val="24"/>
                <w:szCs w:val="24"/>
                <w:lang w:val="lv-LV" w:eastAsia="lv-LV"/>
              </w:rPr>
            </w:pPr>
            <w:r w:rsidRPr="00FE7E47">
              <w:rPr>
                <w:rFonts w:ascii="Times New Roman" w:eastAsia="Times New Roman" w:hAnsi="Times New Roman" w:cs="Times New Roman"/>
                <w:bCs/>
                <w:sz w:val="24"/>
                <w:szCs w:val="24"/>
                <w:lang w:val="lv-LV" w:eastAsia="lv-LV"/>
              </w:rPr>
              <w:t xml:space="preserve">Skaidrojam, ka 7. kolonnas 2. punktā norādītais kopējais finansējuma apmērs </w:t>
            </w:r>
            <w:r w:rsidR="00033773" w:rsidRPr="00FE7E47">
              <w:rPr>
                <w:rFonts w:ascii="Times New Roman" w:eastAsia="Times New Roman" w:hAnsi="Times New Roman" w:cs="Times New Roman"/>
                <w:bCs/>
                <w:sz w:val="24"/>
                <w:szCs w:val="24"/>
                <w:lang w:val="lv-LV" w:eastAsia="lv-LV"/>
              </w:rPr>
              <w:t xml:space="preserve"> saglabāja</w:t>
            </w:r>
            <w:r w:rsidR="0009159A" w:rsidRPr="00FE7E47">
              <w:rPr>
                <w:rFonts w:ascii="Times New Roman" w:eastAsia="Times New Roman" w:hAnsi="Times New Roman" w:cs="Times New Roman"/>
                <w:bCs/>
                <w:sz w:val="24"/>
                <w:szCs w:val="24"/>
                <w:lang w:val="lv-LV" w:eastAsia="lv-LV"/>
              </w:rPr>
              <w:t xml:space="preserve">ms </w:t>
            </w:r>
            <w:r w:rsidRPr="00FE7E47">
              <w:rPr>
                <w:rFonts w:ascii="Times New Roman" w:eastAsia="Times New Roman" w:hAnsi="Times New Roman" w:cs="Times New Roman"/>
                <w:bCs/>
                <w:sz w:val="24"/>
                <w:szCs w:val="24"/>
                <w:lang w:val="lv-LV" w:eastAsia="lv-LV"/>
              </w:rPr>
              <w:t xml:space="preserve">11 772 965,18 </w:t>
            </w:r>
            <w:proofErr w:type="spellStart"/>
            <w:r w:rsidRPr="00FE7E47">
              <w:rPr>
                <w:rFonts w:ascii="Times New Roman" w:eastAsia="Times New Roman" w:hAnsi="Times New Roman" w:cs="Times New Roman"/>
                <w:bCs/>
                <w:sz w:val="24"/>
                <w:szCs w:val="24"/>
                <w:lang w:val="lv-LV" w:eastAsia="lv-LV"/>
              </w:rPr>
              <w:t>euro</w:t>
            </w:r>
            <w:proofErr w:type="spellEnd"/>
            <w:r w:rsidR="0009159A" w:rsidRPr="00FE7E47">
              <w:rPr>
                <w:rFonts w:ascii="Times New Roman" w:eastAsia="Times New Roman" w:hAnsi="Times New Roman" w:cs="Times New Roman"/>
                <w:bCs/>
                <w:sz w:val="24"/>
                <w:szCs w:val="24"/>
                <w:lang w:val="lv-LV" w:eastAsia="lv-LV"/>
              </w:rPr>
              <w:t xml:space="preserve"> apmērā, taču </w:t>
            </w:r>
            <w:r w:rsidRPr="00FE7E47">
              <w:rPr>
                <w:rFonts w:ascii="Times New Roman" w:eastAsia="Times New Roman" w:hAnsi="Times New Roman" w:cs="Times New Roman"/>
                <w:bCs/>
                <w:sz w:val="24"/>
                <w:szCs w:val="24"/>
                <w:lang w:val="lv-LV" w:eastAsia="lv-LV"/>
              </w:rPr>
              <w:t xml:space="preserve"> </w:t>
            </w:r>
            <w:r w:rsidR="0009159A" w:rsidRPr="00FE7E47">
              <w:rPr>
                <w:rFonts w:ascii="Times New Roman" w:eastAsia="Times New Roman" w:hAnsi="Times New Roman" w:cs="Times New Roman"/>
                <w:bCs/>
                <w:sz w:val="24"/>
                <w:szCs w:val="24"/>
                <w:lang w:val="lv-LV" w:eastAsia="lv-LV"/>
              </w:rPr>
              <w:t>novērsta neprecizāte</w:t>
            </w:r>
            <w:r w:rsidRPr="00FE7E47">
              <w:rPr>
                <w:rFonts w:ascii="Times New Roman" w:eastAsia="Times New Roman" w:hAnsi="Times New Roman" w:cs="Times New Roman"/>
                <w:bCs/>
                <w:sz w:val="24"/>
                <w:szCs w:val="24"/>
                <w:lang w:val="lv-LV" w:eastAsia="lv-LV"/>
              </w:rPr>
              <w:t xml:space="preserve"> 3. </w:t>
            </w:r>
            <w:r w:rsidR="0009159A" w:rsidRPr="00FE7E47">
              <w:rPr>
                <w:rFonts w:ascii="Times New Roman" w:eastAsia="Times New Roman" w:hAnsi="Times New Roman" w:cs="Times New Roman"/>
                <w:bCs/>
                <w:sz w:val="24"/>
                <w:szCs w:val="24"/>
                <w:lang w:val="lv-LV" w:eastAsia="lv-LV"/>
              </w:rPr>
              <w:t>un 4. punkta summā</w:t>
            </w:r>
            <w:r w:rsidRPr="00FE7E47">
              <w:rPr>
                <w:rFonts w:ascii="Times New Roman" w:eastAsia="Times New Roman" w:hAnsi="Times New Roman" w:cs="Times New Roman"/>
                <w:bCs/>
                <w:sz w:val="24"/>
                <w:szCs w:val="24"/>
                <w:lang w:val="lv-LV" w:eastAsia="lv-LV"/>
              </w:rPr>
              <w:t xml:space="preserve"> 1 765 994,82 </w:t>
            </w:r>
            <w:proofErr w:type="spellStart"/>
            <w:r w:rsidRPr="00FE7E47">
              <w:rPr>
                <w:rFonts w:ascii="Times New Roman" w:eastAsia="Times New Roman" w:hAnsi="Times New Roman" w:cs="Times New Roman"/>
                <w:bCs/>
                <w:sz w:val="24"/>
                <w:szCs w:val="24"/>
                <w:lang w:val="lv-LV" w:eastAsia="lv-LV"/>
              </w:rPr>
              <w:t>euro</w:t>
            </w:r>
            <w:proofErr w:type="spellEnd"/>
            <w:r w:rsidR="0009159A" w:rsidRPr="00FE7E47">
              <w:rPr>
                <w:rFonts w:ascii="Times New Roman" w:eastAsia="Times New Roman" w:hAnsi="Times New Roman" w:cs="Times New Roman"/>
                <w:bCs/>
                <w:sz w:val="24"/>
                <w:szCs w:val="24"/>
                <w:lang w:val="lv-LV" w:eastAsia="lv-LV"/>
              </w:rPr>
              <w:t>, to aizstājot ar 1 765 944,82.</w:t>
            </w:r>
          </w:p>
        </w:tc>
        <w:tc>
          <w:tcPr>
            <w:tcW w:w="3861" w:type="dxa"/>
          </w:tcPr>
          <w:p w14:paraId="05E68310" w14:textId="3EA53A1F" w:rsidR="003E7AC8" w:rsidRPr="003F1590" w:rsidRDefault="0053352B"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 xml:space="preserve">Skatīt precizēto </w:t>
            </w:r>
            <w:r w:rsidRPr="0053352B">
              <w:rPr>
                <w:rFonts w:ascii="Times New Roman" w:hAnsi="Times New Roman" w:cs="Times New Roman"/>
                <w:bCs/>
                <w:spacing w:val="-2"/>
                <w:sz w:val="24"/>
                <w:szCs w:val="24"/>
                <w:lang w:val="lv-LV"/>
              </w:rPr>
              <w:t>anotācijas III sadaļ</w:t>
            </w:r>
            <w:r>
              <w:rPr>
                <w:rFonts w:ascii="Times New Roman" w:hAnsi="Times New Roman" w:cs="Times New Roman"/>
                <w:bCs/>
                <w:spacing w:val="-2"/>
                <w:sz w:val="24"/>
                <w:szCs w:val="24"/>
                <w:lang w:val="lv-LV"/>
              </w:rPr>
              <w:t>u</w:t>
            </w:r>
            <w:r w:rsidRPr="0053352B">
              <w:rPr>
                <w:rFonts w:ascii="Times New Roman" w:hAnsi="Times New Roman" w:cs="Times New Roman"/>
                <w:bCs/>
                <w:spacing w:val="-2"/>
                <w:sz w:val="24"/>
                <w:szCs w:val="24"/>
                <w:lang w:val="lv-LV"/>
              </w:rPr>
              <w:t xml:space="preserve"> kolonnā “izmaiņas, salīdzinot ar vidēja termiņa budžeta ietvaru 2022. gadam”</w:t>
            </w:r>
          </w:p>
        </w:tc>
      </w:tr>
      <w:tr w:rsidR="00FB12EE" w:rsidRPr="00047649" w14:paraId="327E4ABE" w14:textId="77777777" w:rsidTr="00023B43">
        <w:trPr>
          <w:trHeight w:val="275"/>
        </w:trPr>
        <w:tc>
          <w:tcPr>
            <w:tcW w:w="959" w:type="dxa"/>
          </w:tcPr>
          <w:p w14:paraId="46AA13FB" w14:textId="545D74E0" w:rsidR="00FB12EE" w:rsidRDefault="00FB12EE"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14.</w:t>
            </w:r>
          </w:p>
        </w:tc>
        <w:tc>
          <w:tcPr>
            <w:tcW w:w="2864" w:type="dxa"/>
          </w:tcPr>
          <w:p w14:paraId="05CD5C3A" w14:textId="64895AF7" w:rsidR="00FB12EE" w:rsidRDefault="00BD4D15"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BD4D15">
              <w:rPr>
                <w:rFonts w:ascii="Times New Roman" w:hAnsi="Times New Roman" w:cs="Times New Roman"/>
                <w:bCs/>
                <w:spacing w:val="-2"/>
                <w:sz w:val="24"/>
                <w:szCs w:val="24"/>
                <w:lang w:val="lv-LV"/>
              </w:rPr>
              <w:t>notācijas IV sadaļu “Tiesību akta projekta ietekme uz spēkā esošo tiesību normu sistēmu”</w:t>
            </w:r>
          </w:p>
        </w:tc>
        <w:tc>
          <w:tcPr>
            <w:tcW w:w="4110" w:type="dxa"/>
          </w:tcPr>
          <w:p w14:paraId="5701D745" w14:textId="77777777" w:rsidR="00FB12EE" w:rsidRDefault="00FB12EE" w:rsidP="00047649">
            <w:pPr>
              <w:spacing w:after="0" w:line="240" w:lineRule="auto"/>
              <w:jc w:val="both"/>
              <w:rPr>
                <w:rFonts w:ascii="Times New Roman" w:hAnsi="Times New Roman" w:cs="Times New Roman"/>
                <w:sz w:val="24"/>
                <w:szCs w:val="24"/>
                <w:lang w:val="lv-LV"/>
              </w:rPr>
            </w:pPr>
            <w:r w:rsidRPr="00FB12EE">
              <w:rPr>
                <w:rFonts w:ascii="Times New Roman" w:hAnsi="Times New Roman" w:cs="Times New Roman"/>
                <w:sz w:val="24"/>
                <w:szCs w:val="24"/>
                <w:lang w:val="lv-LV"/>
              </w:rPr>
              <w:t xml:space="preserve">Lūdzam aizpildīt anotācijas IV sadaļu “Tiesību akta projekta ietekme uz spēkā esošo tiesību normu sistēmu” ar informāciju par saistītajiem tiesību aktu projektiem saskaņā ar MK 2009.gada 15.decembra instrukciju Nr. 19 “Tiesību akta projekta sākotnējās ietekmes </w:t>
            </w:r>
            <w:r w:rsidRPr="00FB12EE">
              <w:rPr>
                <w:rFonts w:ascii="Times New Roman" w:hAnsi="Times New Roman" w:cs="Times New Roman"/>
                <w:sz w:val="24"/>
                <w:szCs w:val="24"/>
                <w:lang w:val="lv-LV"/>
              </w:rPr>
              <w:lastRenderedPageBreak/>
              <w:t>izvērtēšanas kārtība”, ņemot vērā, ka ir plānota finansējuma pārdale no 8.2.4. specifiskā atbalsta mērķim “Nodrošināt atbalstu EQAR aģentūrai izvirzīto prasību izpildei”, 8.5.3. specifiskā atbalsta mērķim “Nodrošināt profesionālās izglītības iestāžu efektīvu pārvaldību un iesaistītā personāla profesionālās kompetences pilnveidi” un 8.3.5. specifiskā atbalsta mērķim “Uzlabot pieeju karjeras atbalstam izglītojamajiem vispārējās un profesionālās izglītības iestādēs” sākotnēji plānotā finansējuma.</w:t>
            </w:r>
          </w:p>
          <w:p w14:paraId="790593A8" w14:textId="77777777" w:rsidR="00071869" w:rsidRDefault="00071869" w:rsidP="00047649">
            <w:pPr>
              <w:spacing w:after="0" w:line="240" w:lineRule="auto"/>
              <w:jc w:val="both"/>
              <w:rPr>
                <w:rFonts w:ascii="Times New Roman" w:hAnsi="Times New Roman" w:cs="Times New Roman"/>
                <w:sz w:val="24"/>
                <w:szCs w:val="24"/>
                <w:lang w:val="lv-LV"/>
              </w:rPr>
            </w:pPr>
          </w:p>
          <w:p w14:paraId="3257E0F5" w14:textId="730FE75D" w:rsidR="00071869" w:rsidRPr="006B181E" w:rsidRDefault="00071869" w:rsidP="00047649">
            <w:pPr>
              <w:spacing w:after="0" w:line="240" w:lineRule="auto"/>
              <w:jc w:val="both"/>
              <w:rPr>
                <w:rFonts w:ascii="Times New Roman" w:hAnsi="Times New Roman" w:cs="Times New Roman"/>
                <w:sz w:val="24"/>
                <w:szCs w:val="24"/>
                <w:lang w:val="lv-LV"/>
              </w:rPr>
            </w:pPr>
            <w:r w:rsidRPr="00071869">
              <w:rPr>
                <w:rFonts w:ascii="Times New Roman" w:hAnsi="Times New Roman" w:cs="Times New Roman"/>
                <w:sz w:val="24"/>
                <w:szCs w:val="24"/>
                <w:lang w:val="lv-LV"/>
              </w:rPr>
              <w:t>Lūdzam papildināt anotācijas IV sadaļu “Tiesību akta projekta ietekme uz spēkā esošo tiesību normu sistēmu” ar informāciju, ka ar šo noteikumu projektu ir saistīti arī grozījumi MK 2017. gada 31. janvāra noteikumos Nr. 69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 par kuriem atbildīgā iestāde ir Satiksmes ministrija</w:t>
            </w:r>
          </w:p>
        </w:tc>
        <w:tc>
          <w:tcPr>
            <w:tcW w:w="3261" w:type="dxa"/>
          </w:tcPr>
          <w:p w14:paraId="705DE035" w14:textId="1C078576" w:rsidR="00FB12EE" w:rsidRPr="006B181E" w:rsidRDefault="00FE7E47" w:rsidP="00047649">
            <w:pPr>
              <w:spacing w:after="0" w:line="240" w:lineRule="auto"/>
              <w:jc w:val="both"/>
              <w:rPr>
                <w:rFonts w:ascii="Times New Roman" w:eastAsia="Times New Roman" w:hAnsi="Times New Roman" w:cs="Times New Roman"/>
                <w:b/>
                <w:sz w:val="24"/>
                <w:szCs w:val="24"/>
                <w:lang w:val="lv-LV" w:eastAsia="lv-LV"/>
              </w:rPr>
            </w:pPr>
            <w:r w:rsidRPr="00FE7E47">
              <w:rPr>
                <w:rFonts w:ascii="Times New Roman" w:eastAsia="Times New Roman" w:hAnsi="Times New Roman" w:cs="Times New Roman"/>
                <w:b/>
                <w:sz w:val="24"/>
                <w:szCs w:val="24"/>
                <w:lang w:val="lv-LV" w:eastAsia="lv-LV"/>
              </w:rPr>
              <w:lastRenderedPageBreak/>
              <w:t>Ņemts vērā</w:t>
            </w:r>
          </w:p>
        </w:tc>
        <w:tc>
          <w:tcPr>
            <w:tcW w:w="3861" w:type="dxa"/>
          </w:tcPr>
          <w:p w14:paraId="5C6F3CD9" w14:textId="64E47A2C" w:rsidR="00FB12EE" w:rsidRPr="00281A8E" w:rsidRDefault="00BD4D15"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 xml:space="preserve">Skatīt papildināto </w:t>
            </w:r>
            <w:r w:rsidRPr="00BD4D15">
              <w:rPr>
                <w:rFonts w:ascii="Times New Roman" w:hAnsi="Times New Roman" w:cs="Times New Roman"/>
                <w:bCs/>
                <w:spacing w:val="-2"/>
                <w:sz w:val="24"/>
                <w:szCs w:val="24"/>
                <w:lang w:val="lv-LV"/>
              </w:rPr>
              <w:t>anotācij</w:t>
            </w:r>
            <w:r>
              <w:rPr>
                <w:rFonts w:ascii="Times New Roman" w:hAnsi="Times New Roman" w:cs="Times New Roman"/>
                <w:bCs/>
                <w:spacing w:val="-2"/>
                <w:sz w:val="24"/>
                <w:szCs w:val="24"/>
                <w:lang w:val="lv-LV"/>
              </w:rPr>
              <w:t>as</w:t>
            </w:r>
            <w:r w:rsidRPr="00BD4D15">
              <w:rPr>
                <w:rFonts w:ascii="Times New Roman" w:hAnsi="Times New Roman" w:cs="Times New Roman"/>
                <w:bCs/>
                <w:spacing w:val="-2"/>
                <w:sz w:val="24"/>
                <w:szCs w:val="24"/>
                <w:lang w:val="lv-LV"/>
              </w:rPr>
              <w:t xml:space="preserve"> IV sadaļu “Tiesību akta projekta ietekme uz spēkā esošo tiesību normu sistēmu”</w:t>
            </w:r>
          </w:p>
        </w:tc>
      </w:tr>
      <w:tr w:rsidR="006B181E" w:rsidRPr="00047649" w14:paraId="3C8FD865" w14:textId="77777777" w:rsidTr="00023B43">
        <w:trPr>
          <w:trHeight w:val="275"/>
        </w:trPr>
        <w:tc>
          <w:tcPr>
            <w:tcW w:w="959" w:type="dxa"/>
          </w:tcPr>
          <w:p w14:paraId="6B79AB32" w14:textId="2A1F5CE4" w:rsidR="006B181E" w:rsidRPr="00047649" w:rsidRDefault="00837D26"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r w:rsidR="00FB12EE">
              <w:rPr>
                <w:rFonts w:ascii="Times New Roman" w:eastAsia="Times New Roman" w:hAnsi="Times New Roman" w:cs="Times New Roman"/>
                <w:sz w:val="24"/>
                <w:szCs w:val="24"/>
                <w:lang w:val="lv-LV" w:eastAsia="lv-LV"/>
              </w:rPr>
              <w:t>5</w:t>
            </w:r>
            <w:r>
              <w:rPr>
                <w:rFonts w:ascii="Times New Roman" w:eastAsia="Times New Roman" w:hAnsi="Times New Roman" w:cs="Times New Roman"/>
                <w:sz w:val="24"/>
                <w:szCs w:val="24"/>
                <w:lang w:val="lv-LV" w:eastAsia="lv-LV"/>
              </w:rPr>
              <w:t>.</w:t>
            </w:r>
          </w:p>
        </w:tc>
        <w:tc>
          <w:tcPr>
            <w:tcW w:w="2864" w:type="dxa"/>
          </w:tcPr>
          <w:p w14:paraId="35A98B9C" w14:textId="35A15E44" w:rsidR="006B181E" w:rsidRPr="00D52B61" w:rsidRDefault="006B181E" w:rsidP="00D52B61">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Vispārīgs komentārs</w:t>
            </w:r>
          </w:p>
        </w:tc>
        <w:tc>
          <w:tcPr>
            <w:tcW w:w="4110" w:type="dxa"/>
          </w:tcPr>
          <w:p w14:paraId="445DAF9F" w14:textId="78C282F3" w:rsidR="006B181E" w:rsidRPr="003F1590" w:rsidRDefault="006B181E" w:rsidP="00047649">
            <w:pPr>
              <w:spacing w:after="0" w:line="240" w:lineRule="auto"/>
              <w:jc w:val="both"/>
              <w:rPr>
                <w:rFonts w:ascii="Times New Roman" w:hAnsi="Times New Roman" w:cs="Times New Roman"/>
                <w:sz w:val="24"/>
                <w:szCs w:val="24"/>
                <w:lang w:val="lv-LV"/>
              </w:rPr>
            </w:pPr>
            <w:r w:rsidRPr="006B181E">
              <w:rPr>
                <w:rFonts w:ascii="Times New Roman" w:hAnsi="Times New Roman" w:cs="Times New Roman"/>
                <w:sz w:val="24"/>
                <w:szCs w:val="24"/>
                <w:lang w:val="lv-LV"/>
              </w:rPr>
              <w:t xml:space="preserve">Lūdzam papildināt anotāciju ar informāciju, vai noteikumu projekts ir </w:t>
            </w:r>
            <w:r w:rsidRPr="006B181E">
              <w:rPr>
                <w:rFonts w:ascii="Times New Roman" w:hAnsi="Times New Roman" w:cs="Times New Roman"/>
                <w:sz w:val="24"/>
                <w:szCs w:val="24"/>
                <w:lang w:val="lv-LV"/>
              </w:rPr>
              <w:lastRenderedPageBreak/>
              <w:t>saskaņots ar Latvijas Darba devēju konfederāciju.</w:t>
            </w:r>
          </w:p>
        </w:tc>
        <w:tc>
          <w:tcPr>
            <w:tcW w:w="3261" w:type="dxa"/>
          </w:tcPr>
          <w:p w14:paraId="59273955" w14:textId="7C127B72" w:rsidR="006B181E" w:rsidRPr="00047649" w:rsidRDefault="006B181E" w:rsidP="00047649">
            <w:pPr>
              <w:spacing w:after="0" w:line="240" w:lineRule="auto"/>
              <w:jc w:val="both"/>
              <w:rPr>
                <w:rFonts w:ascii="Times New Roman" w:eastAsia="Times New Roman" w:hAnsi="Times New Roman" w:cs="Times New Roman"/>
                <w:b/>
                <w:sz w:val="24"/>
                <w:szCs w:val="24"/>
                <w:lang w:val="lv-LV" w:eastAsia="lv-LV"/>
              </w:rPr>
            </w:pPr>
            <w:r w:rsidRPr="006B181E">
              <w:rPr>
                <w:rFonts w:ascii="Times New Roman" w:eastAsia="Times New Roman" w:hAnsi="Times New Roman" w:cs="Times New Roman"/>
                <w:b/>
                <w:sz w:val="24"/>
                <w:szCs w:val="24"/>
                <w:lang w:val="lv-LV" w:eastAsia="lv-LV"/>
              </w:rPr>
              <w:lastRenderedPageBreak/>
              <w:t>Ņemts vērā</w:t>
            </w:r>
          </w:p>
        </w:tc>
        <w:tc>
          <w:tcPr>
            <w:tcW w:w="3861" w:type="dxa"/>
          </w:tcPr>
          <w:p w14:paraId="50CF5229" w14:textId="360C02F3" w:rsidR="006B181E" w:rsidRPr="003F1590" w:rsidRDefault="00281A8E" w:rsidP="003F1590">
            <w:pPr>
              <w:spacing w:after="0" w:line="240" w:lineRule="auto"/>
              <w:jc w:val="both"/>
              <w:rPr>
                <w:rFonts w:ascii="Times New Roman" w:hAnsi="Times New Roman" w:cs="Times New Roman"/>
                <w:bCs/>
                <w:spacing w:val="-2"/>
                <w:sz w:val="24"/>
                <w:szCs w:val="24"/>
                <w:lang w:val="lv-LV"/>
              </w:rPr>
            </w:pPr>
            <w:r w:rsidRPr="00281A8E">
              <w:rPr>
                <w:rFonts w:ascii="Times New Roman" w:hAnsi="Times New Roman" w:cs="Times New Roman"/>
                <w:bCs/>
                <w:spacing w:val="-2"/>
                <w:sz w:val="24"/>
                <w:szCs w:val="24"/>
                <w:lang w:val="lv-LV"/>
              </w:rPr>
              <w:t>Skatīt p</w:t>
            </w:r>
            <w:r>
              <w:rPr>
                <w:rFonts w:ascii="Times New Roman" w:hAnsi="Times New Roman" w:cs="Times New Roman"/>
                <w:bCs/>
                <w:spacing w:val="-2"/>
                <w:sz w:val="24"/>
                <w:szCs w:val="24"/>
                <w:lang w:val="lv-LV"/>
              </w:rPr>
              <w:t>apildinā</w:t>
            </w:r>
            <w:r w:rsidRPr="00281A8E">
              <w:rPr>
                <w:rFonts w:ascii="Times New Roman" w:hAnsi="Times New Roman" w:cs="Times New Roman"/>
                <w:bCs/>
                <w:spacing w:val="-2"/>
                <w:sz w:val="24"/>
                <w:szCs w:val="24"/>
                <w:lang w:val="lv-LV"/>
              </w:rPr>
              <w:t>to anotācijas I sadaļas</w:t>
            </w:r>
            <w:r>
              <w:rPr>
                <w:rFonts w:ascii="Times New Roman" w:hAnsi="Times New Roman" w:cs="Times New Roman"/>
                <w:bCs/>
                <w:spacing w:val="-2"/>
                <w:sz w:val="24"/>
                <w:szCs w:val="24"/>
                <w:lang w:val="lv-LV"/>
              </w:rPr>
              <w:t xml:space="preserve"> 4.punktu</w:t>
            </w:r>
            <w:r w:rsidR="00837D26">
              <w:t xml:space="preserve"> “</w:t>
            </w:r>
            <w:r w:rsidR="00837D26" w:rsidRPr="00837D26">
              <w:rPr>
                <w:rFonts w:ascii="Times New Roman" w:hAnsi="Times New Roman" w:cs="Times New Roman"/>
                <w:bCs/>
                <w:spacing w:val="-2"/>
                <w:sz w:val="24"/>
                <w:szCs w:val="24"/>
                <w:lang w:val="lv-LV"/>
              </w:rPr>
              <w:t>Cita informācija</w:t>
            </w:r>
            <w:r w:rsidR="00837D26">
              <w:rPr>
                <w:rFonts w:ascii="Times New Roman" w:hAnsi="Times New Roman" w:cs="Times New Roman"/>
                <w:bCs/>
                <w:spacing w:val="-2"/>
                <w:sz w:val="24"/>
                <w:szCs w:val="24"/>
                <w:lang w:val="lv-LV"/>
              </w:rPr>
              <w:t>”.</w:t>
            </w:r>
          </w:p>
        </w:tc>
      </w:tr>
      <w:tr w:rsidR="00D52B61" w:rsidRPr="00047649" w14:paraId="73F9DE3F" w14:textId="77777777" w:rsidTr="00023B43">
        <w:trPr>
          <w:trHeight w:val="275"/>
        </w:trPr>
        <w:tc>
          <w:tcPr>
            <w:tcW w:w="959" w:type="dxa"/>
          </w:tcPr>
          <w:p w14:paraId="6972B022" w14:textId="51307AE2" w:rsidR="00D52B61" w:rsidRPr="00047649" w:rsidRDefault="00837D26"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r w:rsidR="00FB12EE">
              <w:rPr>
                <w:rFonts w:ascii="Times New Roman" w:eastAsia="Times New Roman" w:hAnsi="Times New Roman" w:cs="Times New Roman"/>
                <w:sz w:val="24"/>
                <w:szCs w:val="24"/>
                <w:lang w:val="lv-LV" w:eastAsia="lv-LV"/>
              </w:rPr>
              <w:t>6</w:t>
            </w:r>
            <w:r>
              <w:rPr>
                <w:rFonts w:ascii="Times New Roman" w:eastAsia="Times New Roman" w:hAnsi="Times New Roman" w:cs="Times New Roman"/>
                <w:sz w:val="24"/>
                <w:szCs w:val="24"/>
                <w:lang w:val="lv-LV" w:eastAsia="lv-LV"/>
              </w:rPr>
              <w:t>.</w:t>
            </w:r>
          </w:p>
        </w:tc>
        <w:tc>
          <w:tcPr>
            <w:tcW w:w="2864" w:type="dxa"/>
          </w:tcPr>
          <w:p w14:paraId="4F1FAB5D" w14:textId="40171C1C" w:rsidR="00D52B61" w:rsidRPr="00D52B61" w:rsidRDefault="00837D26" w:rsidP="00D52B61">
            <w:pPr>
              <w:spacing w:after="0" w:line="240" w:lineRule="auto"/>
              <w:jc w:val="both"/>
              <w:rPr>
                <w:rFonts w:ascii="Times New Roman" w:hAnsi="Times New Roman" w:cs="Times New Roman"/>
                <w:bCs/>
                <w:spacing w:val="-2"/>
                <w:sz w:val="24"/>
                <w:szCs w:val="24"/>
                <w:lang w:val="lv-LV"/>
              </w:rPr>
            </w:pPr>
            <w:r w:rsidRPr="00837D26">
              <w:rPr>
                <w:rFonts w:ascii="Times New Roman" w:hAnsi="Times New Roman" w:cs="Times New Roman"/>
                <w:bCs/>
                <w:spacing w:val="-2"/>
                <w:sz w:val="24"/>
                <w:szCs w:val="24"/>
                <w:lang w:val="lv-LV"/>
              </w:rPr>
              <w:t>Vispārīgs komentārs</w:t>
            </w:r>
          </w:p>
          <w:p w14:paraId="6FDC00FC" w14:textId="628FB9F5" w:rsidR="00D52B61" w:rsidRPr="00D52B61" w:rsidRDefault="00D52B61" w:rsidP="00D52B61">
            <w:pPr>
              <w:spacing w:after="0" w:line="240" w:lineRule="auto"/>
              <w:jc w:val="both"/>
              <w:rPr>
                <w:rFonts w:ascii="Times New Roman" w:hAnsi="Times New Roman" w:cs="Times New Roman"/>
                <w:bCs/>
                <w:spacing w:val="-2"/>
                <w:sz w:val="24"/>
                <w:szCs w:val="24"/>
                <w:lang w:val="lv-LV"/>
              </w:rPr>
            </w:pPr>
          </w:p>
        </w:tc>
        <w:tc>
          <w:tcPr>
            <w:tcW w:w="4110" w:type="dxa"/>
          </w:tcPr>
          <w:p w14:paraId="661EAE51" w14:textId="30881EA0" w:rsidR="00D52B61" w:rsidRPr="003F1590" w:rsidRDefault="00837D26" w:rsidP="00047649">
            <w:pPr>
              <w:spacing w:after="0" w:line="240" w:lineRule="auto"/>
              <w:jc w:val="both"/>
              <w:rPr>
                <w:rFonts w:ascii="Times New Roman" w:hAnsi="Times New Roman" w:cs="Times New Roman"/>
                <w:sz w:val="24"/>
                <w:szCs w:val="24"/>
                <w:lang w:val="lv-LV"/>
              </w:rPr>
            </w:pPr>
            <w:r w:rsidRPr="00837D26">
              <w:rPr>
                <w:rFonts w:ascii="Times New Roman" w:hAnsi="Times New Roman" w:cs="Times New Roman"/>
                <w:sz w:val="24"/>
                <w:szCs w:val="24"/>
                <w:lang w:val="lv-LV"/>
              </w:rPr>
              <w:t>Lūdzam atsūtīt aktualizētu 8.4.1. SAM rādītāju pasi, t.sk., ar aktualizētu informāciju attiecībā uz rādītāju vērtības noteikšanas principiem/metodoloģiju, ņemot vērā, ka ar noteikumu projektu tiek palielināts 8.4.1. SAM finansējums un uzraudzības rādītāji.</w:t>
            </w:r>
          </w:p>
        </w:tc>
        <w:tc>
          <w:tcPr>
            <w:tcW w:w="3261" w:type="dxa"/>
          </w:tcPr>
          <w:p w14:paraId="4212537C" w14:textId="1F9F4C11" w:rsidR="00D52B61" w:rsidRPr="00047649" w:rsidRDefault="00837D26" w:rsidP="00047649">
            <w:pPr>
              <w:spacing w:after="0" w:line="240" w:lineRule="auto"/>
              <w:jc w:val="both"/>
              <w:rPr>
                <w:rFonts w:ascii="Times New Roman" w:eastAsia="Times New Roman" w:hAnsi="Times New Roman" w:cs="Times New Roman"/>
                <w:b/>
                <w:sz w:val="24"/>
                <w:szCs w:val="24"/>
                <w:lang w:val="lv-LV" w:eastAsia="lv-LV"/>
              </w:rPr>
            </w:pPr>
            <w:r w:rsidRPr="00837D26">
              <w:rPr>
                <w:rFonts w:ascii="Times New Roman" w:eastAsia="Times New Roman" w:hAnsi="Times New Roman" w:cs="Times New Roman"/>
                <w:b/>
                <w:sz w:val="24"/>
                <w:szCs w:val="24"/>
                <w:lang w:val="lv-LV" w:eastAsia="lv-LV"/>
              </w:rPr>
              <w:t>Ņemts vērā</w:t>
            </w:r>
          </w:p>
        </w:tc>
        <w:tc>
          <w:tcPr>
            <w:tcW w:w="3861" w:type="dxa"/>
          </w:tcPr>
          <w:p w14:paraId="541991C4" w14:textId="0D088D62" w:rsidR="00D52B61" w:rsidRPr="003F1590" w:rsidRDefault="00837D26"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Skatīt  precizēto rādītāju pasi</w:t>
            </w:r>
          </w:p>
        </w:tc>
      </w:tr>
      <w:tr w:rsidR="00E7051C" w:rsidRPr="00047649" w14:paraId="0B8C8C4D" w14:textId="77777777" w:rsidTr="00023B43">
        <w:trPr>
          <w:trHeight w:val="275"/>
        </w:trPr>
        <w:tc>
          <w:tcPr>
            <w:tcW w:w="959" w:type="dxa"/>
          </w:tcPr>
          <w:p w14:paraId="6A22424C" w14:textId="6623DE57" w:rsidR="00E7051C" w:rsidRDefault="00071869"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17.</w:t>
            </w:r>
          </w:p>
        </w:tc>
        <w:tc>
          <w:tcPr>
            <w:tcW w:w="2864" w:type="dxa"/>
          </w:tcPr>
          <w:p w14:paraId="3F56490F" w14:textId="668FB2FA" w:rsidR="00E7051C" w:rsidRPr="00837D26" w:rsidRDefault="00071869" w:rsidP="00D52B61">
            <w:pPr>
              <w:spacing w:after="0" w:line="240" w:lineRule="auto"/>
              <w:jc w:val="both"/>
              <w:rPr>
                <w:rFonts w:ascii="Times New Roman" w:hAnsi="Times New Roman" w:cs="Times New Roman"/>
                <w:bCs/>
                <w:spacing w:val="-2"/>
                <w:sz w:val="24"/>
                <w:szCs w:val="24"/>
                <w:lang w:val="lv-LV"/>
              </w:rPr>
            </w:pPr>
            <w:r w:rsidRPr="00071869">
              <w:rPr>
                <w:rFonts w:ascii="Times New Roman" w:hAnsi="Times New Roman" w:cs="Times New Roman"/>
                <w:bCs/>
                <w:spacing w:val="-2"/>
                <w:sz w:val="24"/>
                <w:szCs w:val="24"/>
                <w:lang w:val="lv-LV"/>
              </w:rPr>
              <w:t>Vispārīgs komentārs</w:t>
            </w:r>
          </w:p>
        </w:tc>
        <w:tc>
          <w:tcPr>
            <w:tcW w:w="4110" w:type="dxa"/>
          </w:tcPr>
          <w:p w14:paraId="6C3D8A0E" w14:textId="0203A5D2" w:rsidR="00E7051C" w:rsidRPr="00837D26" w:rsidRDefault="00E7051C" w:rsidP="00E7051C">
            <w:pPr>
              <w:spacing w:after="0" w:line="240" w:lineRule="auto"/>
              <w:jc w:val="both"/>
              <w:rPr>
                <w:rFonts w:ascii="Times New Roman" w:hAnsi="Times New Roman" w:cs="Times New Roman"/>
                <w:sz w:val="24"/>
                <w:szCs w:val="24"/>
                <w:lang w:val="lv-LV"/>
              </w:rPr>
            </w:pPr>
            <w:r w:rsidRPr="00E7051C">
              <w:rPr>
                <w:rFonts w:ascii="Times New Roman" w:hAnsi="Times New Roman" w:cs="Times New Roman"/>
                <w:sz w:val="24"/>
                <w:szCs w:val="24"/>
                <w:lang w:val="lv-LV"/>
              </w:rPr>
              <w:t xml:space="preserve">Lūdzam papildināt noteikumu projektu ar MK sēdes </w:t>
            </w:r>
            <w:proofErr w:type="spellStart"/>
            <w:r w:rsidRPr="00E7051C">
              <w:rPr>
                <w:rFonts w:ascii="Times New Roman" w:hAnsi="Times New Roman" w:cs="Times New Roman"/>
                <w:sz w:val="24"/>
                <w:szCs w:val="24"/>
                <w:lang w:val="lv-LV"/>
              </w:rPr>
              <w:t>protokollēmuma</w:t>
            </w:r>
            <w:proofErr w:type="spellEnd"/>
            <w:r w:rsidRPr="00E7051C">
              <w:rPr>
                <w:rFonts w:ascii="Times New Roman" w:hAnsi="Times New Roman" w:cs="Times New Roman"/>
                <w:sz w:val="24"/>
                <w:szCs w:val="24"/>
                <w:lang w:val="lv-LV"/>
              </w:rPr>
              <w:t xml:space="preserve"> projektu, kas nosaka, ka gadījumā, ja Eiropas Komisija neatbalstīs grozījumus Nr.6 darbības programmā “Izaugsme un nodarbinātība”, kas paredz finansējuma pārdales, jaunas atbalstāmās darbības un izmaiņas uzraudzības rādītājos, t.sk. grozījumus attiecībā uz 8.4.1. specifisko atbalsta mērķi “Pilnveidot nodarbināto personu profesionālo kompetenci”, IZM mēneša laikā no Eiropas Komisijas viedokļa saņemšanas dienas iesniegt FM informāciju par situācijas novērtējumu un tālāko rīcību, piedāvājot risinājumu ar neitrālu ietekmi uz valsts budžetu. Attiecīgi papildinot anotāciju. </w:t>
            </w:r>
          </w:p>
        </w:tc>
        <w:tc>
          <w:tcPr>
            <w:tcW w:w="3261" w:type="dxa"/>
          </w:tcPr>
          <w:p w14:paraId="0FE6317A" w14:textId="2210B919" w:rsidR="00E7051C" w:rsidRPr="00837D26" w:rsidRDefault="00071869" w:rsidP="00047649">
            <w:pPr>
              <w:spacing w:after="0" w:line="240" w:lineRule="auto"/>
              <w:jc w:val="both"/>
              <w:rPr>
                <w:rFonts w:ascii="Times New Roman" w:eastAsia="Times New Roman" w:hAnsi="Times New Roman" w:cs="Times New Roman"/>
                <w:b/>
                <w:sz w:val="24"/>
                <w:szCs w:val="24"/>
                <w:lang w:val="lv-LV" w:eastAsia="lv-LV"/>
              </w:rPr>
            </w:pPr>
            <w:r w:rsidRPr="00071869">
              <w:rPr>
                <w:rFonts w:ascii="Times New Roman" w:eastAsia="Times New Roman" w:hAnsi="Times New Roman" w:cs="Times New Roman"/>
                <w:b/>
                <w:sz w:val="24"/>
                <w:szCs w:val="24"/>
                <w:lang w:val="lv-LV" w:eastAsia="lv-LV"/>
              </w:rPr>
              <w:t>Ņemts vērā</w:t>
            </w:r>
          </w:p>
        </w:tc>
        <w:tc>
          <w:tcPr>
            <w:tcW w:w="3861" w:type="dxa"/>
          </w:tcPr>
          <w:p w14:paraId="0D04C880" w14:textId="3BF04C7A" w:rsidR="00E7051C" w:rsidRDefault="00071869" w:rsidP="003F1590">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 xml:space="preserve">Skatīt </w:t>
            </w:r>
            <w:r w:rsidR="00311859">
              <w:rPr>
                <w:rFonts w:ascii="Times New Roman" w:hAnsi="Times New Roman" w:cs="Times New Roman"/>
                <w:bCs/>
                <w:spacing w:val="-2"/>
                <w:sz w:val="24"/>
                <w:szCs w:val="24"/>
                <w:lang w:val="lv-LV"/>
              </w:rPr>
              <w:t xml:space="preserve">Ministru kabineta sēdes </w:t>
            </w:r>
            <w:proofErr w:type="spellStart"/>
            <w:r w:rsidR="00311859">
              <w:rPr>
                <w:rFonts w:ascii="Times New Roman" w:hAnsi="Times New Roman" w:cs="Times New Roman"/>
                <w:bCs/>
                <w:spacing w:val="-2"/>
                <w:sz w:val="24"/>
                <w:szCs w:val="24"/>
                <w:lang w:val="lv-LV"/>
              </w:rPr>
              <w:t>protokollēmumu</w:t>
            </w:r>
            <w:proofErr w:type="spellEnd"/>
          </w:p>
        </w:tc>
      </w:tr>
    </w:tbl>
    <w:p w14:paraId="7D44A512" w14:textId="77777777" w:rsidR="00DA67CF" w:rsidRPr="00CB7218" w:rsidRDefault="00DA67CF" w:rsidP="00CB7218">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3906EA"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 amatpersona__________________________________________________</w:t>
      </w:r>
    </w:p>
    <w:p w14:paraId="4013C254" w14:textId="345B0992" w:rsidR="003906EA" w:rsidRPr="00A341AF" w:rsidRDefault="00C369D0" w:rsidP="00A341A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t>(paraksts</w:t>
      </w:r>
      <w:r w:rsidR="00DA682D" w:rsidRPr="003906EA">
        <w:rPr>
          <w:rFonts w:ascii="Times New Roman" w:eastAsia="Times New Roman" w:hAnsi="Times New Roman" w:cs="Times New Roman"/>
          <w:sz w:val="24"/>
          <w:szCs w:val="24"/>
          <w:lang w:val="lv-LV" w:eastAsia="lv-LV"/>
        </w:rPr>
        <w:t>)</w:t>
      </w:r>
    </w:p>
    <w:p w14:paraId="62435245" w14:textId="166AE407" w:rsidR="00AE73EF" w:rsidRPr="00304528" w:rsidRDefault="00304528" w:rsidP="00AE73EF">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Līga Vilde-Jurisone</w:t>
      </w:r>
    </w:p>
    <w:p w14:paraId="4BB80997" w14:textId="77777777" w:rsidR="00AE73EF" w:rsidRPr="00304528" w:rsidRDefault="00AE73EF" w:rsidP="00AE73EF">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Izglītības un zinātnes ministrijas</w:t>
      </w:r>
    </w:p>
    <w:p w14:paraId="6E54CE9A" w14:textId="77777777" w:rsidR="00AE73EF" w:rsidRPr="00304528" w:rsidRDefault="00AE73EF" w:rsidP="00AE73EF">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Struktūrfondu departamenta vecākā eksperte</w:t>
      </w:r>
    </w:p>
    <w:p w14:paraId="4686E79A" w14:textId="34CF5ABA" w:rsidR="004D24C1" w:rsidRPr="00304528" w:rsidRDefault="00304528" w:rsidP="000D61B9">
      <w:pPr>
        <w:spacing w:after="0" w:line="240" w:lineRule="auto"/>
        <w:jc w:val="both"/>
        <w:rPr>
          <w:rFonts w:ascii="Times New Roman" w:eastAsia="Times New Roman" w:hAnsi="Times New Roman" w:cs="Times New Roman"/>
          <w:sz w:val="20"/>
          <w:szCs w:val="20"/>
          <w:lang w:val="lv-LV" w:eastAsia="lv-LV"/>
        </w:rPr>
      </w:pPr>
      <w:r w:rsidRPr="00304528">
        <w:rPr>
          <w:rFonts w:ascii="Times New Roman" w:eastAsia="Times New Roman" w:hAnsi="Times New Roman" w:cs="Times New Roman"/>
          <w:sz w:val="20"/>
          <w:szCs w:val="20"/>
          <w:lang w:val="lv-LV" w:eastAsia="lv-LV"/>
        </w:rPr>
        <w:t>67047767</w:t>
      </w:r>
      <w:r w:rsidR="00AE73EF" w:rsidRPr="00304528">
        <w:rPr>
          <w:rFonts w:ascii="Times New Roman" w:eastAsia="Times New Roman" w:hAnsi="Times New Roman" w:cs="Times New Roman"/>
          <w:sz w:val="20"/>
          <w:szCs w:val="20"/>
          <w:lang w:val="lv-LV" w:eastAsia="lv-LV"/>
        </w:rPr>
        <w:t xml:space="preserve">, </w:t>
      </w:r>
      <w:hyperlink r:id="rId8" w:history="1">
        <w:r w:rsidRPr="00304528">
          <w:rPr>
            <w:rStyle w:val="Hyperlink"/>
            <w:rFonts w:ascii="Times New Roman" w:hAnsi="Times New Roman" w:cs="Times New Roman"/>
            <w:i/>
            <w:iCs/>
            <w:sz w:val="20"/>
            <w:szCs w:val="20"/>
          </w:rPr>
          <w:t>Liga.Vilde-Jurisone@izm.gov.lv</w:t>
        </w:r>
      </w:hyperlink>
    </w:p>
    <w:sectPr w:rsidR="004D24C1" w:rsidRPr="00304528" w:rsidSect="004476B1">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5C6CF" w14:textId="77777777" w:rsidR="00752C00" w:rsidRDefault="00752C00" w:rsidP="00AE73EF">
      <w:pPr>
        <w:spacing w:after="0" w:line="240" w:lineRule="auto"/>
      </w:pPr>
      <w:r>
        <w:separator/>
      </w:r>
    </w:p>
  </w:endnote>
  <w:endnote w:type="continuationSeparator" w:id="0">
    <w:p w14:paraId="4FD67569" w14:textId="77777777" w:rsidR="00752C00" w:rsidRDefault="00752C00"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D4D3" w14:textId="77777777" w:rsidR="00F4746C" w:rsidRDefault="00F47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29B3" w14:textId="575D11BF" w:rsidR="006344BA" w:rsidRPr="009E219D" w:rsidRDefault="006344B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CB7218">
      <w:rPr>
        <w:rFonts w:ascii="Times New Roman" w:hAnsi="Times New Roman" w:cs="Times New Roman"/>
        <w:noProof/>
        <w:sz w:val="20"/>
        <w:szCs w:val="20"/>
        <w:lang w:val="lv-LV"/>
      </w:rPr>
      <w:t>IZMIzz_</w:t>
    </w:r>
    <w:r w:rsidR="00F4746C">
      <w:rPr>
        <w:rFonts w:ascii="Times New Roman" w:hAnsi="Times New Roman" w:cs="Times New Roman"/>
        <w:noProof/>
        <w:sz w:val="20"/>
        <w:szCs w:val="20"/>
        <w:lang w:val="lv-LV"/>
      </w:rPr>
      <w:t>04</w:t>
    </w:r>
    <w:r w:rsidR="00C57FB4">
      <w:rPr>
        <w:rFonts w:ascii="Times New Roman" w:hAnsi="Times New Roman" w:cs="Times New Roman"/>
        <w:noProof/>
        <w:sz w:val="20"/>
        <w:szCs w:val="20"/>
        <w:lang w:val="lv-LV"/>
      </w:rPr>
      <w:t>0</w:t>
    </w:r>
    <w:r w:rsidR="00F4746C">
      <w:rPr>
        <w:rFonts w:ascii="Times New Roman" w:hAnsi="Times New Roman" w:cs="Times New Roman"/>
        <w:noProof/>
        <w:sz w:val="20"/>
        <w:szCs w:val="20"/>
        <w:lang w:val="lv-LV"/>
      </w:rPr>
      <w:t>6</w:t>
    </w:r>
    <w:r w:rsidR="00C57FB4">
      <w:rPr>
        <w:rFonts w:ascii="Times New Roman" w:hAnsi="Times New Roman" w:cs="Times New Roman"/>
        <w:noProof/>
        <w:sz w:val="20"/>
        <w:szCs w:val="20"/>
        <w:lang w:val="lv-LV"/>
      </w:rPr>
      <w:t>20_8</w:t>
    </w:r>
    <w:r w:rsidR="002E64F3">
      <w:rPr>
        <w:rFonts w:ascii="Times New Roman" w:hAnsi="Times New Roman" w:cs="Times New Roman"/>
        <w:noProof/>
        <w:sz w:val="20"/>
        <w:szCs w:val="20"/>
        <w:lang w:val="lv-LV"/>
      </w:rPr>
      <w:t>41</w:t>
    </w:r>
    <w:r w:rsidRPr="00AE73EF">
      <w:rPr>
        <w:rFonts w:ascii="Times New Roman" w:hAnsi="Times New Roman" w:cs="Times New Roman"/>
        <w:sz w:val="20"/>
        <w:szCs w:val="20"/>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4107" w14:textId="45CEEF66" w:rsidR="00C57FB4" w:rsidRPr="00C57FB4" w:rsidRDefault="006344BA" w:rsidP="00C57FB4">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CB7218">
      <w:rPr>
        <w:rFonts w:ascii="Times New Roman" w:hAnsi="Times New Roman" w:cs="Times New Roman"/>
        <w:noProof/>
        <w:sz w:val="20"/>
        <w:szCs w:val="20"/>
        <w:lang w:val="lv-LV"/>
      </w:rPr>
      <w:t>IZMIzz_</w:t>
    </w:r>
    <w:r w:rsidR="00F4746C">
      <w:rPr>
        <w:rFonts w:ascii="Times New Roman" w:hAnsi="Times New Roman" w:cs="Times New Roman"/>
        <w:noProof/>
        <w:sz w:val="20"/>
        <w:szCs w:val="20"/>
        <w:lang w:val="lv-LV"/>
      </w:rPr>
      <w:t>0406</w:t>
    </w:r>
    <w:r w:rsidR="00C57FB4">
      <w:rPr>
        <w:rFonts w:ascii="Times New Roman" w:hAnsi="Times New Roman" w:cs="Times New Roman"/>
        <w:noProof/>
        <w:sz w:val="20"/>
        <w:szCs w:val="20"/>
        <w:lang w:val="lv-LV"/>
      </w:rPr>
      <w:t>20_8</w:t>
    </w:r>
    <w:r w:rsidR="00AF2A3D">
      <w:rPr>
        <w:rFonts w:ascii="Times New Roman" w:hAnsi="Times New Roman" w:cs="Times New Roman"/>
        <w:noProof/>
        <w:sz w:val="20"/>
        <w:szCs w:val="20"/>
        <w:lang w:val="lv-LV"/>
      </w:rPr>
      <w:t>41</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B28E" w14:textId="77777777" w:rsidR="00752C00" w:rsidRDefault="00752C00" w:rsidP="00AE73EF">
      <w:pPr>
        <w:spacing w:after="0" w:line="240" w:lineRule="auto"/>
      </w:pPr>
      <w:r>
        <w:separator/>
      </w:r>
    </w:p>
  </w:footnote>
  <w:footnote w:type="continuationSeparator" w:id="0">
    <w:p w14:paraId="4AB65E74" w14:textId="77777777" w:rsidR="00752C00" w:rsidRDefault="00752C00" w:rsidP="00AE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E756" w14:textId="77777777" w:rsidR="00F4746C" w:rsidRDefault="00F47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22266F">
          <w:rPr>
            <w:noProof/>
          </w:rPr>
          <w:t>9</w:t>
        </w:r>
        <w:r>
          <w:rPr>
            <w:noProof/>
          </w:rPr>
          <w:fldChar w:fldCharType="end"/>
        </w:r>
      </w:p>
    </w:sdtContent>
  </w:sdt>
  <w:p w14:paraId="6106397C" w14:textId="77777777" w:rsidR="006344BA" w:rsidRDefault="00634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4C96" w14:textId="77777777" w:rsidR="00F4746C" w:rsidRDefault="00F47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83A5D"/>
    <w:multiLevelType w:val="hybridMultilevel"/>
    <w:tmpl w:val="A378D8DE"/>
    <w:lvl w:ilvl="0" w:tplc="A01AAB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747077D"/>
    <w:multiLevelType w:val="hybridMultilevel"/>
    <w:tmpl w:val="DA86D9B6"/>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D40ECA"/>
    <w:multiLevelType w:val="hybridMultilevel"/>
    <w:tmpl w:val="A068403C"/>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8" w15:restartNumberingAfterBreak="0">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10"/>
  </w:num>
  <w:num w:numId="4">
    <w:abstractNumId w:val="3"/>
  </w:num>
  <w:num w:numId="5">
    <w:abstractNumId w:val="16"/>
  </w:num>
  <w:num w:numId="6">
    <w:abstractNumId w:val="11"/>
  </w:num>
  <w:num w:numId="7">
    <w:abstractNumId w:val="14"/>
  </w:num>
  <w:num w:numId="8">
    <w:abstractNumId w:val="0"/>
  </w:num>
  <w:num w:numId="9">
    <w:abstractNumId w:val="18"/>
  </w:num>
  <w:num w:numId="10">
    <w:abstractNumId w:val="19"/>
  </w:num>
  <w:num w:numId="11">
    <w:abstractNumId w:val="17"/>
  </w:num>
  <w:num w:numId="12">
    <w:abstractNumId w:val="6"/>
  </w:num>
  <w:num w:numId="13">
    <w:abstractNumId w:val="15"/>
  </w:num>
  <w:num w:numId="14">
    <w:abstractNumId w:val="21"/>
  </w:num>
  <w:num w:numId="15">
    <w:abstractNumId w:val="12"/>
  </w:num>
  <w:num w:numId="16">
    <w:abstractNumId w:val="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EF"/>
    <w:rsid w:val="00003222"/>
    <w:rsid w:val="00023B43"/>
    <w:rsid w:val="00033773"/>
    <w:rsid w:val="00040F77"/>
    <w:rsid w:val="00042870"/>
    <w:rsid w:val="00043CC6"/>
    <w:rsid w:val="0004472A"/>
    <w:rsid w:val="00047649"/>
    <w:rsid w:val="00053002"/>
    <w:rsid w:val="00062504"/>
    <w:rsid w:val="00062CC3"/>
    <w:rsid w:val="00066667"/>
    <w:rsid w:val="00071869"/>
    <w:rsid w:val="000775DF"/>
    <w:rsid w:val="0009159A"/>
    <w:rsid w:val="0009550A"/>
    <w:rsid w:val="000A2BE3"/>
    <w:rsid w:val="000A6159"/>
    <w:rsid w:val="000B3B2F"/>
    <w:rsid w:val="000B6598"/>
    <w:rsid w:val="000B7277"/>
    <w:rsid w:val="000C4F8B"/>
    <w:rsid w:val="000C6309"/>
    <w:rsid w:val="000D27D5"/>
    <w:rsid w:val="000D61B9"/>
    <w:rsid w:val="000D7DBB"/>
    <w:rsid w:val="000E0F86"/>
    <w:rsid w:val="000E3DB2"/>
    <w:rsid w:val="000E5B77"/>
    <w:rsid w:val="000F641F"/>
    <w:rsid w:val="00101344"/>
    <w:rsid w:val="00102FD9"/>
    <w:rsid w:val="00114FFA"/>
    <w:rsid w:val="001232F0"/>
    <w:rsid w:val="00124AA8"/>
    <w:rsid w:val="00127327"/>
    <w:rsid w:val="00134BF3"/>
    <w:rsid w:val="00137EC6"/>
    <w:rsid w:val="00163773"/>
    <w:rsid w:val="00180F92"/>
    <w:rsid w:val="00186610"/>
    <w:rsid w:val="00195D85"/>
    <w:rsid w:val="001967AD"/>
    <w:rsid w:val="00196FD0"/>
    <w:rsid w:val="001A0975"/>
    <w:rsid w:val="001A19A9"/>
    <w:rsid w:val="001C043D"/>
    <w:rsid w:val="001C5562"/>
    <w:rsid w:val="001C5984"/>
    <w:rsid w:val="001D0619"/>
    <w:rsid w:val="001D0914"/>
    <w:rsid w:val="001D4D18"/>
    <w:rsid w:val="001D5AD3"/>
    <w:rsid w:val="001E0DCD"/>
    <w:rsid w:val="001E1140"/>
    <w:rsid w:val="001F3ADF"/>
    <w:rsid w:val="001F3ED3"/>
    <w:rsid w:val="001F5141"/>
    <w:rsid w:val="00202940"/>
    <w:rsid w:val="00215F89"/>
    <w:rsid w:val="002207B5"/>
    <w:rsid w:val="0022266F"/>
    <w:rsid w:val="00223760"/>
    <w:rsid w:val="002325D9"/>
    <w:rsid w:val="00236A60"/>
    <w:rsid w:val="002412BF"/>
    <w:rsid w:val="00242284"/>
    <w:rsid w:val="00257114"/>
    <w:rsid w:val="00262C9F"/>
    <w:rsid w:val="00262EF4"/>
    <w:rsid w:val="00264293"/>
    <w:rsid w:val="002677E5"/>
    <w:rsid w:val="00267B40"/>
    <w:rsid w:val="0027441A"/>
    <w:rsid w:val="00281A8E"/>
    <w:rsid w:val="002941D7"/>
    <w:rsid w:val="002A0985"/>
    <w:rsid w:val="002A76A8"/>
    <w:rsid w:val="002B668F"/>
    <w:rsid w:val="002B6E09"/>
    <w:rsid w:val="002B71B1"/>
    <w:rsid w:val="002C0DF7"/>
    <w:rsid w:val="002D4CF9"/>
    <w:rsid w:val="002E278B"/>
    <w:rsid w:val="002E2AAD"/>
    <w:rsid w:val="002E64F3"/>
    <w:rsid w:val="002E7BCB"/>
    <w:rsid w:val="00304528"/>
    <w:rsid w:val="00306208"/>
    <w:rsid w:val="00311859"/>
    <w:rsid w:val="003126BB"/>
    <w:rsid w:val="00322B1A"/>
    <w:rsid w:val="0032450B"/>
    <w:rsid w:val="00324D83"/>
    <w:rsid w:val="003322B0"/>
    <w:rsid w:val="0033496A"/>
    <w:rsid w:val="00336AD9"/>
    <w:rsid w:val="003505C7"/>
    <w:rsid w:val="00352663"/>
    <w:rsid w:val="003527AB"/>
    <w:rsid w:val="00361C0B"/>
    <w:rsid w:val="00364544"/>
    <w:rsid w:val="00367E20"/>
    <w:rsid w:val="00370F58"/>
    <w:rsid w:val="00376706"/>
    <w:rsid w:val="00380346"/>
    <w:rsid w:val="00385EDB"/>
    <w:rsid w:val="003906EA"/>
    <w:rsid w:val="00391F5B"/>
    <w:rsid w:val="0039787E"/>
    <w:rsid w:val="003B60DD"/>
    <w:rsid w:val="003D0CA2"/>
    <w:rsid w:val="003D1541"/>
    <w:rsid w:val="003E7AC8"/>
    <w:rsid w:val="003F1590"/>
    <w:rsid w:val="00403C95"/>
    <w:rsid w:val="00420E3A"/>
    <w:rsid w:val="00423D7F"/>
    <w:rsid w:val="00427136"/>
    <w:rsid w:val="00434494"/>
    <w:rsid w:val="00444FB2"/>
    <w:rsid w:val="00445C1A"/>
    <w:rsid w:val="004476B1"/>
    <w:rsid w:val="00463D29"/>
    <w:rsid w:val="00464867"/>
    <w:rsid w:val="00474C7E"/>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3352B"/>
    <w:rsid w:val="0054330F"/>
    <w:rsid w:val="0057485B"/>
    <w:rsid w:val="005A5436"/>
    <w:rsid w:val="005A6A0A"/>
    <w:rsid w:val="005B05DD"/>
    <w:rsid w:val="005B1DD5"/>
    <w:rsid w:val="005B62AA"/>
    <w:rsid w:val="005C3807"/>
    <w:rsid w:val="005D389E"/>
    <w:rsid w:val="005E56E0"/>
    <w:rsid w:val="005F3E30"/>
    <w:rsid w:val="00600D0E"/>
    <w:rsid w:val="0060155A"/>
    <w:rsid w:val="00604684"/>
    <w:rsid w:val="00607B09"/>
    <w:rsid w:val="0062158E"/>
    <w:rsid w:val="006344BA"/>
    <w:rsid w:val="0064189B"/>
    <w:rsid w:val="00660EA7"/>
    <w:rsid w:val="00674B70"/>
    <w:rsid w:val="00683F99"/>
    <w:rsid w:val="00687754"/>
    <w:rsid w:val="00695C50"/>
    <w:rsid w:val="006B181E"/>
    <w:rsid w:val="006B2AFD"/>
    <w:rsid w:val="006B4878"/>
    <w:rsid w:val="006C2422"/>
    <w:rsid w:val="006C5E14"/>
    <w:rsid w:val="006D2186"/>
    <w:rsid w:val="006E3524"/>
    <w:rsid w:val="006F390E"/>
    <w:rsid w:val="00713A79"/>
    <w:rsid w:val="00714499"/>
    <w:rsid w:val="0072087D"/>
    <w:rsid w:val="0072329B"/>
    <w:rsid w:val="00730817"/>
    <w:rsid w:val="00736B15"/>
    <w:rsid w:val="007375DB"/>
    <w:rsid w:val="00742E32"/>
    <w:rsid w:val="00747405"/>
    <w:rsid w:val="00752C00"/>
    <w:rsid w:val="0075349B"/>
    <w:rsid w:val="00756190"/>
    <w:rsid w:val="00766511"/>
    <w:rsid w:val="00780E1F"/>
    <w:rsid w:val="00791E4D"/>
    <w:rsid w:val="0079277E"/>
    <w:rsid w:val="00794543"/>
    <w:rsid w:val="007A4D7D"/>
    <w:rsid w:val="007B04AF"/>
    <w:rsid w:val="007B0B4A"/>
    <w:rsid w:val="007B0C52"/>
    <w:rsid w:val="007B20C9"/>
    <w:rsid w:val="007C4247"/>
    <w:rsid w:val="007C4AE9"/>
    <w:rsid w:val="007D3838"/>
    <w:rsid w:val="00801A10"/>
    <w:rsid w:val="008066F4"/>
    <w:rsid w:val="00824241"/>
    <w:rsid w:val="008263EE"/>
    <w:rsid w:val="00830B18"/>
    <w:rsid w:val="0083131A"/>
    <w:rsid w:val="008337FD"/>
    <w:rsid w:val="008349E0"/>
    <w:rsid w:val="00837D26"/>
    <w:rsid w:val="008420DC"/>
    <w:rsid w:val="008441EA"/>
    <w:rsid w:val="00850EE4"/>
    <w:rsid w:val="0086643B"/>
    <w:rsid w:val="00876A73"/>
    <w:rsid w:val="0089414C"/>
    <w:rsid w:val="008B310E"/>
    <w:rsid w:val="008B6C89"/>
    <w:rsid w:val="008C7E1D"/>
    <w:rsid w:val="008D04E7"/>
    <w:rsid w:val="008D1EB4"/>
    <w:rsid w:val="008F2FC0"/>
    <w:rsid w:val="008F7442"/>
    <w:rsid w:val="008F76F4"/>
    <w:rsid w:val="00934553"/>
    <w:rsid w:val="00940187"/>
    <w:rsid w:val="00941A52"/>
    <w:rsid w:val="009526B0"/>
    <w:rsid w:val="00965758"/>
    <w:rsid w:val="00971620"/>
    <w:rsid w:val="00992DBB"/>
    <w:rsid w:val="009A285E"/>
    <w:rsid w:val="009B3B40"/>
    <w:rsid w:val="009C0117"/>
    <w:rsid w:val="009E00F3"/>
    <w:rsid w:val="009E219D"/>
    <w:rsid w:val="009E5921"/>
    <w:rsid w:val="009F77C4"/>
    <w:rsid w:val="00A01D05"/>
    <w:rsid w:val="00A12D1B"/>
    <w:rsid w:val="00A150C7"/>
    <w:rsid w:val="00A26A1F"/>
    <w:rsid w:val="00A31648"/>
    <w:rsid w:val="00A341AF"/>
    <w:rsid w:val="00A52420"/>
    <w:rsid w:val="00A615DF"/>
    <w:rsid w:val="00A71B14"/>
    <w:rsid w:val="00A72982"/>
    <w:rsid w:val="00A815F8"/>
    <w:rsid w:val="00A902A1"/>
    <w:rsid w:val="00A93844"/>
    <w:rsid w:val="00AA2DFC"/>
    <w:rsid w:val="00AB1222"/>
    <w:rsid w:val="00AC73D9"/>
    <w:rsid w:val="00AD7DBC"/>
    <w:rsid w:val="00AE47D9"/>
    <w:rsid w:val="00AE73EF"/>
    <w:rsid w:val="00AF2A3D"/>
    <w:rsid w:val="00AF32C7"/>
    <w:rsid w:val="00B0048A"/>
    <w:rsid w:val="00B02064"/>
    <w:rsid w:val="00B03ADF"/>
    <w:rsid w:val="00B10442"/>
    <w:rsid w:val="00B11433"/>
    <w:rsid w:val="00B13858"/>
    <w:rsid w:val="00B138B0"/>
    <w:rsid w:val="00B1433F"/>
    <w:rsid w:val="00B2290B"/>
    <w:rsid w:val="00B26616"/>
    <w:rsid w:val="00B3018E"/>
    <w:rsid w:val="00B3787E"/>
    <w:rsid w:val="00B37D7C"/>
    <w:rsid w:val="00B44CA6"/>
    <w:rsid w:val="00B51849"/>
    <w:rsid w:val="00B60805"/>
    <w:rsid w:val="00B743CA"/>
    <w:rsid w:val="00B7470C"/>
    <w:rsid w:val="00B747D9"/>
    <w:rsid w:val="00B766D4"/>
    <w:rsid w:val="00BB7D1C"/>
    <w:rsid w:val="00BC791F"/>
    <w:rsid w:val="00BD1596"/>
    <w:rsid w:val="00BD4D15"/>
    <w:rsid w:val="00BE0C68"/>
    <w:rsid w:val="00BE536D"/>
    <w:rsid w:val="00BF3AD3"/>
    <w:rsid w:val="00BF4D44"/>
    <w:rsid w:val="00C21A27"/>
    <w:rsid w:val="00C25A89"/>
    <w:rsid w:val="00C31EF2"/>
    <w:rsid w:val="00C369D0"/>
    <w:rsid w:val="00C43273"/>
    <w:rsid w:val="00C45F28"/>
    <w:rsid w:val="00C47677"/>
    <w:rsid w:val="00C54E8B"/>
    <w:rsid w:val="00C57FB4"/>
    <w:rsid w:val="00C67FD2"/>
    <w:rsid w:val="00C72CD3"/>
    <w:rsid w:val="00C75C07"/>
    <w:rsid w:val="00C76FAB"/>
    <w:rsid w:val="00C770CA"/>
    <w:rsid w:val="00C80DF4"/>
    <w:rsid w:val="00C81FDE"/>
    <w:rsid w:val="00C909CA"/>
    <w:rsid w:val="00C909FD"/>
    <w:rsid w:val="00C91C41"/>
    <w:rsid w:val="00C925A9"/>
    <w:rsid w:val="00C93635"/>
    <w:rsid w:val="00CB7218"/>
    <w:rsid w:val="00CC790D"/>
    <w:rsid w:val="00CE3753"/>
    <w:rsid w:val="00CF6C0B"/>
    <w:rsid w:val="00D04BF4"/>
    <w:rsid w:val="00D12E50"/>
    <w:rsid w:val="00D15E08"/>
    <w:rsid w:val="00D17112"/>
    <w:rsid w:val="00D206CD"/>
    <w:rsid w:val="00D439EB"/>
    <w:rsid w:val="00D47F27"/>
    <w:rsid w:val="00D529D0"/>
    <w:rsid w:val="00D52B61"/>
    <w:rsid w:val="00D56F2A"/>
    <w:rsid w:val="00D6114A"/>
    <w:rsid w:val="00D61725"/>
    <w:rsid w:val="00D64F64"/>
    <w:rsid w:val="00D675A4"/>
    <w:rsid w:val="00D77241"/>
    <w:rsid w:val="00D773C8"/>
    <w:rsid w:val="00D77625"/>
    <w:rsid w:val="00D80093"/>
    <w:rsid w:val="00D95272"/>
    <w:rsid w:val="00DA43A7"/>
    <w:rsid w:val="00DA67CF"/>
    <w:rsid w:val="00DA682D"/>
    <w:rsid w:val="00DB5BE7"/>
    <w:rsid w:val="00DB6817"/>
    <w:rsid w:val="00DC63BE"/>
    <w:rsid w:val="00DF6369"/>
    <w:rsid w:val="00DF7186"/>
    <w:rsid w:val="00E045F5"/>
    <w:rsid w:val="00E132C4"/>
    <w:rsid w:val="00E21241"/>
    <w:rsid w:val="00E23FB9"/>
    <w:rsid w:val="00E363FB"/>
    <w:rsid w:val="00E413AA"/>
    <w:rsid w:val="00E473DD"/>
    <w:rsid w:val="00E50946"/>
    <w:rsid w:val="00E560F2"/>
    <w:rsid w:val="00E63F86"/>
    <w:rsid w:val="00E659C2"/>
    <w:rsid w:val="00E659F2"/>
    <w:rsid w:val="00E7051C"/>
    <w:rsid w:val="00E768C8"/>
    <w:rsid w:val="00E92042"/>
    <w:rsid w:val="00EA377D"/>
    <w:rsid w:val="00EB4D2E"/>
    <w:rsid w:val="00EC1BA6"/>
    <w:rsid w:val="00EC38EC"/>
    <w:rsid w:val="00ED12CD"/>
    <w:rsid w:val="00ED2956"/>
    <w:rsid w:val="00ED316E"/>
    <w:rsid w:val="00EE5BD9"/>
    <w:rsid w:val="00EF4207"/>
    <w:rsid w:val="00F03DC2"/>
    <w:rsid w:val="00F1437C"/>
    <w:rsid w:val="00F164FE"/>
    <w:rsid w:val="00F22BD0"/>
    <w:rsid w:val="00F22D26"/>
    <w:rsid w:val="00F23061"/>
    <w:rsid w:val="00F2591E"/>
    <w:rsid w:val="00F27AC1"/>
    <w:rsid w:val="00F41008"/>
    <w:rsid w:val="00F41D5F"/>
    <w:rsid w:val="00F4746C"/>
    <w:rsid w:val="00F50CD5"/>
    <w:rsid w:val="00F51E9E"/>
    <w:rsid w:val="00F6067F"/>
    <w:rsid w:val="00F753A9"/>
    <w:rsid w:val="00F82A75"/>
    <w:rsid w:val="00F90CA0"/>
    <w:rsid w:val="00FB0429"/>
    <w:rsid w:val="00FB12EE"/>
    <w:rsid w:val="00FC3129"/>
    <w:rsid w:val="00FD05A5"/>
    <w:rsid w:val="00FE3E9E"/>
    <w:rsid w:val="00FE7399"/>
    <w:rsid w:val="00FE7E47"/>
    <w:rsid w:val="00FF2929"/>
    <w:rsid w:val="00FF5193"/>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H&amp;P List Paragraph Char,2 Char,Strip Char"/>
    <w:link w:val="ListParagraph"/>
    <w:uiPriority w:val="34"/>
    <w:locked/>
    <w:rsid w:val="002A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8272">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28228097">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Vilde-Jurison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F05A-8B26-40C5-B139-A6E084BF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11288</Words>
  <Characters>6435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LVJ</cp:lastModifiedBy>
  <cp:revision>63</cp:revision>
  <dcterms:created xsi:type="dcterms:W3CDTF">2020-01-21T13:31:00Z</dcterms:created>
  <dcterms:modified xsi:type="dcterms:W3CDTF">2020-06-08T07:21:00Z</dcterms:modified>
</cp:coreProperties>
</file>