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81F4" w14:textId="77777777" w:rsidR="001302DC" w:rsidRPr="006E246C" w:rsidRDefault="001302DC" w:rsidP="001302DC">
      <w:pPr>
        <w:jc w:val="center"/>
        <w:rPr>
          <w:b/>
        </w:rPr>
      </w:pPr>
      <w:r w:rsidRPr="006E246C">
        <w:rPr>
          <w:b/>
        </w:rPr>
        <w:t>Informatīvais ziņojums “Par papildu valsts budžeta saistību uzņemšanos Eiropas Komisijas iniciatīvas “Pilsētu inovatīvās darbības” programmas finanšu instrumenta līdzfinansētā projekta “Eiropas nākamās paaudzes mikro pilsētas” īstenošanai Ventspils augstskolā un Vidzemes Augstskolā”</w:t>
      </w:r>
    </w:p>
    <w:p w14:paraId="033181F5" w14:textId="77777777" w:rsidR="001302DC" w:rsidRPr="006E246C" w:rsidRDefault="001302DC" w:rsidP="001302DC"/>
    <w:p w14:paraId="033181F6" w14:textId="15866163" w:rsidR="001302DC" w:rsidRPr="006E246C" w:rsidRDefault="001302DC" w:rsidP="001302DC">
      <w:pPr>
        <w:ind w:firstLine="720"/>
        <w:rPr>
          <w:color w:val="000000"/>
          <w:shd w:val="clear" w:color="auto" w:fill="FFFFFF"/>
        </w:rPr>
      </w:pPr>
      <w:r w:rsidRPr="006E246C">
        <w:rPr>
          <w:color w:val="000000"/>
        </w:rPr>
        <w:t>Ventspils augstskola un Vidzemes Augstskola iesaistījušās partnerībā, kas ir izstrādājusi un iesniegusi projektu “</w:t>
      </w:r>
      <w:r w:rsidRPr="006E246C">
        <w:rPr>
          <w:i/>
          <w:color w:val="000000"/>
        </w:rPr>
        <w:t>Eiropas nākamās paaudzes mikro pilsētas</w:t>
      </w:r>
      <w:r w:rsidRPr="006E246C">
        <w:rPr>
          <w:color w:val="000000"/>
        </w:rPr>
        <w:t xml:space="preserve">” (turpmāk – Pilsētu projekts) </w:t>
      </w:r>
      <w:r w:rsidRPr="006E246C">
        <w:t>Eiropas Komisijas (EK) iniciatīvas “Pilsētu inovatīvās darbības” (</w:t>
      </w:r>
      <w:proofErr w:type="spellStart"/>
      <w:r w:rsidRPr="006E246C">
        <w:rPr>
          <w:i/>
          <w:color w:val="000000"/>
        </w:rPr>
        <w:t>Urban</w:t>
      </w:r>
      <w:proofErr w:type="spellEnd"/>
      <w:r w:rsidRPr="006E246C">
        <w:rPr>
          <w:i/>
          <w:color w:val="000000"/>
        </w:rPr>
        <w:t xml:space="preserve"> </w:t>
      </w:r>
      <w:proofErr w:type="spellStart"/>
      <w:r w:rsidRPr="006E246C">
        <w:rPr>
          <w:i/>
          <w:color w:val="000000"/>
        </w:rPr>
        <w:t>Innovative</w:t>
      </w:r>
      <w:proofErr w:type="spellEnd"/>
      <w:r w:rsidRPr="006E246C">
        <w:rPr>
          <w:i/>
          <w:color w:val="000000"/>
        </w:rPr>
        <w:t xml:space="preserve"> </w:t>
      </w:r>
      <w:proofErr w:type="spellStart"/>
      <w:r w:rsidRPr="006E246C">
        <w:rPr>
          <w:i/>
          <w:color w:val="000000"/>
        </w:rPr>
        <w:t>Actions</w:t>
      </w:r>
      <w:proofErr w:type="spellEnd"/>
      <w:r w:rsidRPr="006E246C">
        <w:rPr>
          <w:i/>
          <w:color w:val="000000"/>
        </w:rPr>
        <w:t xml:space="preserve"> – UIA</w:t>
      </w:r>
      <w:r w:rsidRPr="006E246C">
        <w:rPr>
          <w:color w:val="000000"/>
        </w:rPr>
        <w:t xml:space="preserve">)  programmas 3.projektu atlases kārtā. </w:t>
      </w:r>
      <w:r w:rsidRPr="006E246C">
        <w:rPr>
          <w:color w:val="000000"/>
          <w:shd w:val="clear" w:color="auto" w:fill="FFFFFF"/>
        </w:rPr>
        <w:t xml:space="preserve">UIA ir Eiropas Savienības iniciatīva, kurai no Eiropas Reģionālā attīstības fonda  (ERAF) kopumā ir atvēlēti 372 milj. EUR laika posmā no 2014. līdz 2020. gadam. Projektus var pieteikt pilsēta, kurā ir vismaz 50 000 iedzīvotāju vai pilsētu grupa ar kopējo iedzīvotāju skaitu vismaz 50 000 iedzīvotāju, kas atrodas vienā no </w:t>
      </w:r>
      <w:r w:rsidR="00D65389" w:rsidRPr="006E246C">
        <w:rPr>
          <w:color w:val="000000"/>
          <w:shd w:val="clear" w:color="auto" w:fill="FFFFFF"/>
        </w:rPr>
        <w:t xml:space="preserve">Eiropas Savienības </w:t>
      </w:r>
      <w:r w:rsidRPr="006E246C">
        <w:rPr>
          <w:color w:val="000000"/>
          <w:shd w:val="clear" w:color="auto" w:fill="FFFFFF"/>
        </w:rPr>
        <w:t xml:space="preserve">dalībvalstīm. Projektiem tiek nodrošināts ERAF līdzfinansējums 80% apmērā no kopējā projekta finansējuma. Maksimālais ERAF atbalsts vienam projektam ir 5 milj. EUR. </w:t>
      </w:r>
    </w:p>
    <w:p w14:paraId="033181F7" w14:textId="62CD0DE4" w:rsidR="001302DC" w:rsidRPr="006E246C" w:rsidRDefault="001302DC" w:rsidP="001302DC">
      <w:pPr>
        <w:ind w:firstLine="720"/>
        <w:rPr>
          <w:color w:val="000000" w:themeColor="text1"/>
        </w:rPr>
      </w:pPr>
      <w:r w:rsidRPr="006E246C">
        <w:rPr>
          <w:color w:val="000000"/>
        </w:rPr>
        <w:t>Pi</w:t>
      </w:r>
      <w:r w:rsidR="00824A1C" w:rsidRPr="006E246C">
        <w:rPr>
          <w:color w:val="000000"/>
        </w:rPr>
        <w:t>lsētu projektu plānots īstenot p</w:t>
      </w:r>
      <w:r w:rsidRPr="006E246C">
        <w:rPr>
          <w:color w:val="000000"/>
        </w:rPr>
        <w:t>ilsētu apvienībā, kurā 10 partneri: Ventspils pilsētas dome, Ventspils Augstskola, Ventspils Tehnikums, Ventspils Augsto tehnoloģiju parks, SI</w:t>
      </w:r>
      <w:r w:rsidR="00824A1C" w:rsidRPr="006E246C">
        <w:rPr>
          <w:color w:val="000000"/>
        </w:rPr>
        <w:t>A “</w:t>
      </w:r>
      <w:proofErr w:type="spellStart"/>
      <w:r w:rsidR="00824A1C" w:rsidRPr="006E246C">
        <w:rPr>
          <w:color w:val="000000"/>
        </w:rPr>
        <w:t>Aspired</w:t>
      </w:r>
      <w:proofErr w:type="spellEnd"/>
      <w:r w:rsidR="00824A1C" w:rsidRPr="006E246C">
        <w:rPr>
          <w:color w:val="000000"/>
        </w:rPr>
        <w:t xml:space="preserve">”, </w:t>
      </w:r>
      <w:r w:rsidRPr="006E246C">
        <w:rPr>
          <w:color w:val="000000"/>
        </w:rPr>
        <w:t>Valmieras pilsētas pašvaldība, Valmieras Attīstības aģentūra, Vidzemes Augstskola, Valmieras tehnikums un SIA “</w:t>
      </w:r>
      <w:proofErr w:type="spellStart"/>
      <w:r w:rsidRPr="006E246C">
        <w:rPr>
          <w:color w:val="000000"/>
        </w:rPr>
        <w:t>IntelliTech</w:t>
      </w:r>
      <w:proofErr w:type="spellEnd"/>
      <w:r w:rsidRPr="006E246C">
        <w:rPr>
          <w:color w:val="000000"/>
        </w:rPr>
        <w:t>”. Ventspils pilsētas dome ir Pilsētu projekta vadošais partneris. 2018. gada 4.oktobrī ir saņemta oficiāla atbilde no UIA sekretariāta, ka Pilsētu projekts ir apstiprināts (A</w:t>
      </w:r>
      <w:r w:rsidRPr="006E246C">
        <w:t>tlases komitejas lēmums, kas datēts ar 2018. gada 17. septembri).</w:t>
      </w:r>
      <w:r w:rsidRPr="006E246C">
        <w:rPr>
          <w:b/>
        </w:rPr>
        <w:t xml:space="preserve"> </w:t>
      </w:r>
      <w:r w:rsidR="00824A1C" w:rsidRPr="006E246C">
        <w:t>2019.gada 28.</w:t>
      </w:r>
      <w:r w:rsidRPr="006E246C">
        <w:t>janvārī ir noslēgts Partnerības līguma “Pilsētu inovatīvo darbību (</w:t>
      </w:r>
      <w:proofErr w:type="spellStart"/>
      <w:r w:rsidRPr="006E246C">
        <w:rPr>
          <w:i/>
        </w:rPr>
        <w:t>Urban</w:t>
      </w:r>
      <w:proofErr w:type="spellEnd"/>
      <w:r w:rsidRPr="006E246C">
        <w:rPr>
          <w:i/>
        </w:rPr>
        <w:t xml:space="preserve"> </w:t>
      </w:r>
      <w:proofErr w:type="spellStart"/>
      <w:r w:rsidRPr="006E246C">
        <w:rPr>
          <w:i/>
        </w:rPr>
        <w:t>Innovative</w:t>
      </w:r>
      <w:proofErr w:type="spellEnd"/>
      <w:r w:rsidRPr="006E246C">
        <w:rPr>
          <w:i/>
        </w:rPr>
        <w:t xml:space="preserve"> </w:t>
      </w:r>
      <w:proofErr w:type="spellStart"/>
      <w:r w:rsidRPr="006E246C">
        <w:rPr>
          <w:i/>
        </w:rPr>
        <w:t>Actions</w:t>
      </w:r>
      <w:proofErr w:type="spellEnd"/>
      <w:r w:rsidRPr="006E246C">
        <w:t>) programmas projekta “Eiropas nākamās paaudzes mazās pilsētas” (</w:t>
      </w:r>
      <w:r w:rsidRPr="006E246C">
        <w:rPr>
          <w:i/>
        </w:rPr>
        <w:t xml:space="preserve">UIA03-250 </w:t>
      </w:r>
      <w:proofErr w:type="spellStart"/>
      <w:r w:rsidRPr="006E246C">
        <w:rPr>
          <w:i/>
        </w:rPr>
        <w:t>NextGen</w:t>
      </w:r>
      <w:proofErr w:type="spellEnd"/>
      <w:r w:rsidRPr="006E246C">
        <w:rPr>
          <w:i/>
        </w:rPr>
        <w:t xml:space="preserve"> </w:t>
      </w:r>
      <w:proofErr w:type="spellStart"/>
      <w:r w:rsidRPr="006E246C">
        <w:rPr>
          <w:i/>
        </w:rPr>
        <w:t>Microcities</w:t>
      </w:r>
      <w:proofErr w:type="spellEnd"/>
      <w:r w:rsidRPr="006E246C">
        <w:t>) īstenošanai” starp Projekta partneriem</w:t>
      </w:r>
      <w:bookmarkStart w:id="0" w:name="_GoBack"/>
      <w:bookmarkEnd w:id="0"/>
      <w:r w:rsidRPr="006E246C">
        <w:t xml:space="preserve">, un 2019.gada 11.aprīlī ir stājies spēkā Projekta Finansēšanas </w:t>
      </w:r>
      <w:r w:rsidRPr="006E246C">
        <w:rPr>
          <w:color w:val="000000"/>
        </w:rPr>
        <w:t xml:space="preserve">līgums, kas noslēgts starp Ventspils pilsētas domi kā vadošo partneri un </w:t>
      </w:r>
      <w:proofErr w:type="spellStart"/>
      <w:r w:rsidRPr="006E246C">
        <w:rPr>
          <w:i/>
          <w:color w:val="000000"/>
        </w:rPr>
        <w:t>La</w:t>
      </w:r>
      <w:proofErr w:type="spellEnd"/>
      <w:r w:rsidRPr="006E246C">
        <w:rPr>
          <w:i/>
          <w:color w:val="000000"/>
        </w:rPr>
        <w:t xml:space="preserve"> </w:t>
      </w:r>
      <w:proofErr w:type="spellStart"/>
      <w:r w:rsidRPr="006E246C">
        <w:rPr>
          <w:i/>
          <w:color w:val="000000"/>
        </w:rPr>
        <w:t>Région</w:t>
      </w:r>
      <w:proofErr w:type="spellEnd"/>
      <w:r w:rsidRPr="006E246C">
        <w:rPr>
          <w:i/>
          <w:color w:val="000000"/>
        </w:rPr>
        <w:t xml:space="preserve"> </w:t>
      </w:r>
      <w:proofErr w:type="spellStart"/>
      <w:r w:rsidRPr="006E246C">
        <w:rPr>
          <w:i/>
          <w:color w:val="000000"/>
        </w:rPr>
        <w:t>Hauts-de-France</w:t>
      </w:r>
      <w:proofErr w:type="spellEnd"/>
      <w:r w:rsidRPr="006E246C">
        <w:rPr>
          <w:color w:val="000000"/>
        </w:rPr>
        <w:t xml:space="preserve"> [</w:t>
      </w:r>
      <w:proofErr w:type="spellStart"/>
      <w:r w:rsidRPr="006E246C">
        <w:rPr>
          <w:color w:val="000000"/>
        </w:rPr>
        <w:t>Augšfrancijas</w:t>
      </w:r>
      <w:proofErr w:type="spellEnd"/>
      <w:r w:rsidRPr="006E246C">
        <w:rPr>
          <w:color w:val="000000"/>
        </w:rPr>
        <w:t xml:space="preserve"> reģiona pārvaldi], kas darbojas kā UIA iniciatīvas Pilnvarotā iestāde.</w:t>
      </w:r>
    </w:p>
    <w:p w14:paraId="033181F8" w14:textId="2BB00429" w:rsidR="001302DC" w:rsidRPr="006E246C" w:rsidRDefault="001302DC" w:rsidP="001302DC">
      <w:pPr>
        <w:ind w:firstLine="720"/>
        <w:rPr>
          <w:color w:val="000000"/>
        </w:rPr>
      </w:pPr>
      <w:r w:rsidRPr="006E246C">
        <w:rPr>
          <w:color w:val="000000" w:themeColor="text1"/>
        </w:rPr>
        <w:t xml:space="preserve">Ventspils Augstskolas </w:t>
      </w:r>
      <w:r w:rsidRPr="006E246C">
        <w:rPr>
          <w:color w:val="000000" w:themeColor="text1"/>
          <w:shd w:val="clear" w:color="auto" w:fill="FFFFFF"/>
        </w:rPr>
        <w:t xml:space="preserve">budžets Pilsētu projekta ietvaros plānots 720 059 EUR, kur 576 047 EUR ir </w:t>
      </w:r>
      <w:r w:rsidRPr="006E246C">
        <w:rPr>
          <w:color w:val="000000" w:themeColor="text1"/>
        </w:rPr>
        <w:t>UIA</w:t>
      </w:r>
      <w:r w:rsidRPr="006E246C">
        <w:rPr>
          <w:color w:val="000000" w:themeColor="text1"/>
          <w:shd w:val="clear" w:color="auto" w:fill="FFFFFF"/>
        </w:rPr>
        <w:t xml:space="preserve"> grants un 144 01</w:t>
      </w:r>
      <w:r w:rsidR="00915D78">
        <w:rPr>
          <w:color w:val="000000" w:themeColor="text1"/>
          <w:shd w:val="clear" w:color="auto" w:fill="FFFFFF"/>
        </w:rPr>
        <w:t>2</w:t>
      </w:r>
      <w:r w:rsidRPr="006E246C">
        <w:rPr>
          <w:color w:val="000000" w:themeColor="text1"/>
          <w:shd w:val="clear" w:color="auto" w:fill="FFFFFF"/>
        </w:rPr>
        <w:t xml:space="preserve"> EUR līdzfinansējums</w:t>
      </w:r>
      <w:r w:rsidR="00915D78">
        <w:rPr>
          <w:color w:val="000000" w:themeColor="text1"/>
          <w:shd w:val="clear" w:color="auto" w:fill="FFFFFF"/>
        </w:rPr>
        <w:t xml:space="preserve"> (t.sk. 12 557 EUR Ventspils Augstskolas </w:t>
      </w:r>
      <w:proofErr w:type="spellStart"/>
      <w:r w:rsidR="00915D78">
        <w:rPr>
          <w:color w:val="000000" w:themeColor="text1"/>
          <w:shd w:val="clear" w:color="auto" w:fill="FFFFFF"/>
        </w:rPr>
        <w:t>priekšfinansējums</w:t>
      </w:r>
      <w:proofErr w:type="spellEnd"/>
      <w:r w:rsidR="00915D78">
        <w:rPr>
          <w:color w:val="000000" w:themeColor="text1"/>
          <w:shd w:val="clear" w:color="auto" w:fill="FFFFFF"/>
        </w:rPr>
        <w:t>)</w:t>
      </w:r>
      <w:r w:rsidRPr="006E246C">
        <w:rPr>
          <w:color w:val="000000" w:themeColor="text1"/>
          <w:shd w:val="clear" w:color="auto" w:fill="FFFFFF"/>
        </w:rPr>
        <w:t xml:space="preserve">. Vidzemes Augstskolas budžets Pilsētu projekta ietvaros ir 638 </w:t>
      </w:r>
      <w:r w:rsidR="00915D78">
        <w:rPr>
          <w:color w:val="000000" w:themeColor="text1"/>
          <w:shd w:val="clear" w:color="auto" w:fill="FFFFFF"/>
        </w:rPr>
        <w:t>500</w:t>
      </w:r>
      <w:r w:rsidRPr="006E246C">
        <w:rPr>
          <w:color w:val="000000" w:themeColor="text1"/>
          <w:shd w:val="clear" w:color="auto" w:fill="FFFFFF"/>
        </w:rPr>
        <w:t xml:space="preserve"> EUR, kur 510 </w:t>
      </w:r>
      <w:r w:rsidR="00915D78">
        <w:rPr>
          <w:color w:val="000000" w:themeColor="text1"/>
          <w:shd w:val="clear" w:color="auto" w:fill="FFFFFF"/>
        </w:rPr>
        <w:t>800</w:t>
      </w:r>
      <w:r w:rsidRPr="006E246C">
        <w:rPr>
          <w:color w:val="000000" w:themeColor="text1"/>
          <w:shd w:val="clear" w:color="auto" w:fill="FFFFFF"/>
        </w:rPr>
        <w:t xml:space="preserve"> EUR ir </w:t>
      </w:r>
      <w:r w:rsidRPr="006E246C">
        <w:rPr>
          <w:color w:val="000000" w:themeColor="text1"/>
        </w:rPr>
        <w:t>UIA</w:t>
      </w:r>
      <w:r w:rsidRPr="006E246C">
        <w:rPr>
          <w:color w:val="000000" w:themeColor="text1"/>
          <w:shd w:val="clear" w:color="auto" w:fill="FFFFFF"/>
        </w:rPr>
        <w:t xml:space="preserve"> grants un 127 </w:t>
      </w:r>
      <w:r w:rsidR="00915D78">
        <w:rPr>
          <w:color w:val="000000" w:themeColor="text1"/>
          <w:shd w:val="clear" w:color="auto" w:fill="FFFFFF"/>
        </w:rPr>
        <w:t>700</w:t>
      </w:r>
      <w:r w:rsidRPr="006E246C">
        <w:rPr>
          <w:color w:val="000000" w:themeColor="text1"/>
          <w:shd w:val="clear" w:color="auto" w:fill="FFFFFF"/>
        </w:rPr>
        <w:t xml:space="preserve"> EUR līdzfinansējums</w:t>
      </w:r>
      <w:r w:rsidR="00915D78">
        <w:rPr>
          <w:color w:val="000000" w:themeColor="text1"/>
          <w:shd w:val="clear" w:color="auto" w:fill="FFFFFF"/>
        </w:rPr>
        <w:t xml:space="preserve"> (t.sk. 9 330 EUR Vidzemes Augstskolas </w:t>
      </w:r>
      <w:proofErr w:type="spellStart"/>
      <w:r w:rsidR="00915D78">
        <w:rPr>
          <w:color w:val="000000" w:themeColor="text1"/>
          <w:shd w:val="clear" w:color="auto" w:fill="FFFFFF"/>
        </w:rPr>
        <w:t>priekšfinansējums</w:t>
      </w:r>
      <w:proofErr w:type="spellEnd"/>
      <w:r w:rsidR="00915D78">
        <w:rPr>
          <w:color w:val="000000" w:themeColor="text1"/>
          <w:shd w:val="clear" w:color="auto" w:fill="FFFFFF"/>
        </w:rPr>
        <w:t>)</w:t>
      </w:r>
      <w:r w:rsidRPr="006E246C">
        <w:rPr>
          <w:color w:val="000000" w:themeColor="text1"/>
          <w:shd w:val="clear" w:color="auto" w:fill="FFFFFF"/>
        </w:rPr>
        <w:t>. Saskaņā ar UIA iniciatīvas noteikumiem Pilsētu projekta īstenošanas laiks ir 36 mēneši - no 2018.gada 1.novembra līdz 2021.gada 31.oktobrim.</w:t>
      </w:r>
    </w:p>
    <w:p w14:paraId="033181F9" w14:textId="77777777" w:rsidR="001302DC" w:rsidRPr="006E246C" w:rsidRDefault="001302DC" w:rsidP="001302DC">
      <w:pPr>
        <w:ind w:firstLine="720"/>
        <w:rPr>
          <w:color w:val="000000" w:themeColor="text1"/>
        </w:rPr>
      </w:pPr>
      <w:r w:rsidRPr="006E246C">
        <w:rPr>
          <w:color w:val="000000" w:themeColor="text1"/>
          <w:shd w:val="clear" w:color="auto" w:fill="FFFFFF"/>
        </w:rPr>
        <w:t>Pilsētu projekta</w:t>
      </w:r>
      <w:r w:rsidRPr="006E246C">
        <w:rPr>
          <w:color w:val="000000"/>
        </w:rPr>
        <w:t xml:space="preserve"> </w:t>
      </w:r>
      <w:r w:rsidRPr="006E246C">
        <w:rPr>
          <w:b/>
          <w:color w:val="000000"/>
        </w:rPr>
        <w:t>mērķis</w:t>
      </w:r>
      <w:r w:rsidRPr="006E246C">
        <w:rPr>
          <w:color w:val="000000"/>
        </w:rPr>
        <w:t xml:space="preserve"> ir ieviest un pārbaudīt novatoriskas idejas, kā attīstīt nākamās paaudzes ekonomiku Eiropas mazajās pilsētās, lielu uzsvaru liekot tieši uz izglītības sektoru. </w:t>
      </w:r>
      <w:r w:rsidRPr="006E246C">
        <w:rPr>
          <w:color w:val="000000" w:themeColor="text1"/>
          <w:shd w:val="clear" w:color="auto" w:fill="FFFFFF"/>
        </w:rPr>
        <w:t xml:space="preserve">Pilsētu projektā </w:t>
      </w:r>
      <w:r w:rsidRPr="006E246C">
        <w:rPr>
          <w:color w:val="000000"/>
        </w:rPr>
        <w:t xml:space="preserve">kopumā </w:t>
      </w:r>
      <w:r w:rsidRPr="006E246C">
        <w:rPr>
          <w:color w:val="000000" w:themeColor="text1"/>
        </w:rPr>
        <w:t xml:space="preserve">iesaistītas četras izglītības iestādes, kuras īstenos gan individuālas, gan kopīgas aktivitātes. Izglītības iestāžu iesaistīšanās Pilsētu projekta partnerībā ir nepieciešama, lai risinātu šādus pilsētu </w:t>
      </w:r>
      <w:r w:rsidRPr="006E246C">
        <w:rPr>
          <w:b/>
          <w:color w:val="000000" w:themeColor="text1"/>
        </w:rPr>
        <w:t>izaicinājumus</w:t>
      </w:r>
      <w:r w:rsidRPr="006E246C">
        <w:rPr>
          <w:color w:val="000000" w:themeColor="text1"/>
        </w:rPr>
        <w:t>:</w:t>
      </w:r>
    </w:p>
    <w:p w14:paraId="033181FA" w14:textId="77777777" w:rsidR="001302DC" w:rsidRPr="006E246C" w:rsidRDefault="001302DC" w:rsidP="00267909">
      <w:pPr>
        <w:pStyle w:val="ListParagraph"/>
        <w:numPr>
          <w:ilvl w:val="0"/>
          <w:numId w:val="17"/>
        </w:numPr>
        <w:ind w:left="0" w:firstLine="360"/>
        <w:contextualSpacing/>
        <w:jc w:val="both"/>
        <w:rPr>
          <w:rFonts w:ascii="Times New Roman" w:hAnsi="Times New Roman" w:cs="Times New Roman"/>
          <w:sz w:val="24"/>
          <w:szCs w:val="24"/>
        </w:rPr>
      </w:pPr>
      <w:r w:rsidRPr="006E246C">
        <w:rPr>
          <w:rFonts w:ascii="Times New Roman" w:hAnsi="Times New Roman" w:cs="Times New Roman"/>
          <w:sz w:val="24"/>
          <w:szCs w:val="24"/>
        </w:rPr>
        <w:t>Tehniskās nozares arvien vairāk pieprasa kvalificētus tehniskos speciālistus. Starp piedāvājumu un pieprasījumu veidojas liela plaisa. Pieprasījums pēc IKT speciālistiem divas līdz trīs reizes pārsniedz piedāvājumu.</w:t>
      </w:r>
    </w:p>
    <w:p w14:paraId="033181FB" w14:textId="77777777" w:rsidR="001302DC" w:rsidRPr="006E246C" w:rsidRDefault="001302DC" w:rsidP="00267909">
      <w:pPr>
        <w:pStyle w:val="ListParagraph"/>
        <w:numPr>
          <w:ilvl w:val="0"/>
          <w:numId w:val="17"/>
        </w:numPr>
        <w:ind w:left="0" w:firstLine="360"/>
        <w:contextualSpacing/>
        <w:jc w:val="both"/>
        <w:rPr>
          <w:rFonts w:ascii="Times New Roman" w:hAnsi="Times New Roman" w:cs="Times New Roman"/>
          <w:sz w:val="24"/>
          <w:szCs w:val="24"/>
        </w:rPr>
      </w:pPr>
      <w:r w:rsidRPr="006E246C">
        <w:rPr>
          <w:rFonts w:ascii="Times New Roman" w:hAnsi="Times New Roman" w:cs="Times New Roman"/>
          <w:sz w:val="24"/>
          <w:szCs w:val="24"/>
        </w:rPr>
        <w:t>Tehnikumi un augstskolas ne vienmēr tiek līdzi straujajām pārmaiņām darba tirgū, kuras diktē pārāk dažādo paaudžu atšķirības. Trūkst modernu izglītības programmu, un mācību procesā jaunākās izglītības tehnoloģijas nav integrētas pilnvērtīgi. Pārāk maz ārvalstu studentu izvēlas mazo pilsētu augstskolas kā savu studiju vietu.</w:t>
      </w:r>
    </w:p>
    <w:p w14:paraId="033181FC" w14:textId="77777777" w:rsidR="001302DC" w:rsidRPr="006E246C" w:rsidRDefault="001302DC" w:rsidP="001302DC">
      <w:pPr>
        <w:ind w:firstLine="720"/>
        <w:rPr>
          <w:color w:val="000000" w:themeColor="text1"/>
        </w:rPr>
      </w:pPr>
    </w:p>
    <w:p w14:paraId="288FA04D" w14:textId="1AF030B3" w:rsidR="00D65389" w:rsidRPr="006E246C" w:rsidRDefault="00D65389" w:rsidP="001302DC">
      <w:pPr>
        <w:ind w:firstLine="720"/>
        <w:rPr>
          <w:color w:val="000000" w:themeColor="text1"/>
        </w:rPr>
      </w:pPr>
      <w:r w:rsidRPr="006E246C">
        <w:rPr>
          <w:color w:val="000000" w:themeColor="text1"/>
        </w:rPr>
        <w:t xml:space="preserve">Attiecībā uz divām Pilsētu projektā iesaistītajām izglītības iestādēm – Ventspils tehnikumu un Valmieras tehnikumu – Ministru kabineta 2019.gada 30.aprīļa sēdē (prot. Nr.22 26.§) ir pieņemts lēmums atļaut Izglītības un zinātnes ministrijai uzņemties valsts budžeta ilgtermiņa saistības UIA programmas Pilsētu projekta īstenošanai.  </w:t>
      </w:r>
    </w:p>
    <w:p w14:paraId="29056DEF" w14:textId="77777777" w:rsidR="00D65389" w:rsidRPr="006E246C" w:rsidRDefault="00D65389" w:rsidP="001302DC">
      <w:pPr>
        <w:ind w:firstLine="720"/>
        <w:rPr>
          <w:color w:val="000000" w:themeColor="text1"/>
        </w:rPr>
      </w:pPr>
    </w:p>
    <w:p w14:paraId="033181FD" w14:textId="77777777" w:rsidR="001302DC" w:rsidRPr="006E246C" w:rsidRDefault="001302DC" w:rsidP="001302DC">
      <w:pPr>
        <w:ind w:firstLine="720"/>
      </w:pPr>
      <w:r w:rsidRPr="006E246C">
        <w:rPr>
          <w:color w:val="000000" w:themeColor="text1"/>
        </w:rPr>
        <w:lastRenderedPageBreak/>
        <w:t xml:space="preserve">Iesaistoties Pilsētu projektā, izglītības iestādes izstrādās un ieviesīs inovatīvus </w:t>
      </w:r>
      <w:r w:rsidRPr="006E246C">
        <w:rPr>
          <w:b/>
          <w:color w:val="000000" w:themeColor="text1"/>
        </w:rPr>
        <w:t>risinājumus</w:t>
      </w:r>
      <w:r w:rsidRPr="006E246C">
        <w:rPr>
          <w:color w:val="000000" w:themeColor="text1"/>
        </w:rPr>
        <w:t xml:space="preserve"> gan mārketinga, gan izglītības tehnoloģiju jomā. Piemēram, tiks izstrādātas paaudžu mārketinga stratēģijas, lai rastu piemērotākās metodes un rīkus  studentu piesaistei, uzrunājot tā saukto Z-paaudzi un Y-paaudzi (</w:t>
      </w:r>
      <w:proofErr w:type="spellStart"/>
      <w:r w:rsidRPr="006E246C">
        <w:rPr>
          <w:i/>
          <w:color w:val="000000" w:themeColor="text1"/>
        </w:rPr>
        <w:t>mileniāļus</w:t>
      </w:r>
      <w:proofErr w:type="spellEnd"/>
      <w:r w:rsidRPr="006E246C">
        <w:rPr>
          <w:i/>
          <w:color w:val="000000" w:themeColor="text1"/>
        </w:rPr>
        <w:t xml:space="preserve">). </w:t>
      </w:r>
      <w:r w:rsidRPr="006E246C">
        <w:rPr>
          <w:color w:val="000000" w:themeColor="text1"/>
        </w:rPr>
        <w:t xml:space="preserve">Tikpat būtiska auditorija ir X-paaudze, kurai mūžizglītības ietvaros tiks veidots atbilstošs piedāvājums - jaunas profesionālās pilnveides un pārkvalificēšanās iespējas. </w:t>
      </w:r>
      <w:r w:rsidRPr="006E246C">
        <w:t>Izglītības tehnoloģiju (</w:t>
      </w:r>
      <w:proofErr w:type="spellStart"/>
      <w:r w:rsidRPr="006E246C">
        <w:t>EdTech</w:t>
      </w:r>
      <w:proofErr w:type="spellEnd"/>
      <w:r w:rsidRPr="006E246C">
        <w:t>) jomā tiks radīti gan tehniskie risinājumi, gan pielāgotas un jaunas studiju programmas, pieejas un metodoloģija.</w:t>
      </w:r>
    </w:p>
    <w:p w14:paraId="033181FE" w14:textId="77777777" w:rsidR="001302DC" w:rsidRPr="006E246C" w:rsidRDefault="001302DC" w:rsidP="001302DC">
      <w:pPr>
        <w:ind w:firstLine="720"/>
        <w:rPr>
          <w:color w:val="000000" w:themeColor="text1"/>
        </w:rPr>
      </w:pPr>
      <w:r w:rsidRPr="006E246C">
        <w:rPr>
          <w:color w:val="000000" w:themeColor="text1"/>
        </w:rPr>
        <w:t xml:space="preserve">Sagaidāmie </w:t>
      </w:r>
      <w:r w:rsidRPr="006E246C">
        <w:rPr>
          <w:b/>
          <w:color w:val="000000" w:themeColor="text1"/>
        </w:rPr>
        <w:t>rezultāti</w:t>
      </w:r>
      <w:r w:rsidRPr="006E246C">
        <w:rPr>
          <w:color w:val="000000" w:themeColor="text1"/>
        </w:rPr>
        <w:t xml:space="preserve"> no augstskolu iesaistīšanās Pilsētu projektā ir šādi:</w:t>
      </w:r>
    </w:p>
    <w:p w14:paraId="033181FF" w14:textId="3023D289" w:rsidR="001302DC" w:rsidRPr="006E246C" w:rsidRDefault="001302DC" w:rsidP="001302DC">
      <w:pPr>
        <w:pStyle w:val="ListParagraph"/>
        <w:numPr>
          <w:ilvl w:val="0"/>
          <w:numId w:val="18"/>
        </w:numPr>
        <w:contextualSpacing/>
        <w:jc w:val="both"/>
        <w:rPr>
          <w:rFonts w:ascii="Times New Roman" w:hAnsi="Times New Roman" w:cs="Times New Roman"/>
          <w:sz w:val="24"/>
          <w:szCs w:val="24"/>
        </w:rPr>
      </w:pPr>
      <w:r w:rsidRPr="006E246C">
        <w:rPr>
          <w:rFonts w:ascii="Times New Roman" w:hAnsi="Times New Roman" w:cs="Times New Roman"/>
          <w:sz w:val="24"/>
          <w:szCs w:val="24"/>
        </w:rPr>
        <w:t>Pieaug studentu skaits gan  augstskolās, gan tehnikumos, jo īpaši IKT fakultātēs.</w:t>
      </w:r>
    </w:p>
    <w:p w14:paraId="03318200" w14:textId="77777777" w:rsidR="001302DC" w:rsidRPr="006E246C" w:rsidRDefault="001302DC" w:rsidP="001302DC">
      <w:pPr>
        <w:pStyle w:val="ListParagraph"/>
        <w:numPr>
          <w:ilvl w:val="0"/>
          <w:numId w:val="18"/>
        </w:numPr>
        <w:contextualSpacing/>
        <w:jc w:val="both"/>
        <w:rPr>
          <w:rFonts w:ascii="Times New Roman" w:hAnsi="Times New Roman" w:cs="Times New Roman"/>
          <w:sz w:val="24"/>
          <w:szCs w:val="24"/>
        </w:rPr>
      </w:pPr>
      <w:r w:rsidRPr="006E246C">
        <w:rPr>
          <w:rFonts w:ascii="Times New Roman" w:hAnsi="Times New Roman" w:cs="Times New Roman"/>
          <w:sz w:val="24"/>
          <w:szCs w:val="24"/>
        </w:rPr>
        <w:t>Starptautisko studentu īpatsvars abās  augstskolās sasniedz Eiropas vidējo rādītāju (9%).</w:t>
      </w:r>
    </w:p>
    <w:p w14:paraId="03318201" w14:textId="77777777" w:rsidR="001302DC" w:rsidRPr="006E246C" w:rsidRDefault="001302DC" w:rsidP="001302DC">
      <w:pPr>
        <w:pStyle w:val="ListParagraph"/>
        <w:numPr>
          <w:ilvl w:val="0"/>
          <w:numId w:val="18"/>
        </w:numPr>
        <w:contextualSpacing/>
        <w:jc w:val="both"/>
        <w:rPr>
          <w:rFonts w:ascii="Times New Roman" w:hAnsi="Times New Roman" w:cs="Times New Roman"/>
          <w:sz w:val="24"/>
          <w:szCs w:val="24"/>
        </w:rPr>
      </w:pPr>
      <w:r w:rsidRPr="006E246C">
        <w:rPr>
          <w:rFonts w:ascii="Times New Roman" w:hAnsi="Times New Roman" w:cs="Times New Roman"/>
          <w:sz w:val="24"/>
          <w:szCs w:val="24"/>
        </w:rPr>
        <w:t xml:space="preserve">Tehnikumos un  augstskolās ieviesti četri </w:t>
      </w:r>
      <w:proofErr w:type="spellStart"/>
      <w:r w:rsidRPr="006E246C">
        <w:rPr>
          <w:rFonts w:ascii="Times New Roman" w:hAnsi="Times New Roman" w:cs="Times New Roman"/>
          <w:sz w:val="24"/>
          <w:szCs w:val="24"/>
        </w:rPr>
        <w:t>EdTech</w:t>
      </w:r>
      <w:proofErr w:type="spellEnd"/>
      <w:r w:rsidRPr="006E246C">
        <w:rPr>
          <w:rFonts w:ascii="Times New Roman" w:hAnsi="Times New Roman" w:cs="Times New Roman"/>
          <w:sz w:val="24"/>
          <w:szCs w:val="24"/>
        </w:rPr>
        <w:t xml:space="preserve"> risinājumi. Tos regulāri izmanto skolēni, studenti, skolotāji un pasniedzēji no IKT un citām fakultātēm un studiju programmām.</w:t>
      </w:r>
    </w:p>
    <w:p w14:paraId="03318202" w14:textId="77777777" w:rsidR="001302DC" w:rsidRPr="006E246C" w:rsidRDefault="001302DC" w:rsidP="001302DC">
      <w:pPr>
        <w:pStyle w:val="ListParagraph"/>
        <w:contextualSpacing/>
        <w:jc w:val="both"/>
        <w:rPr>
          <w:rFonts w:ascii="Times New Roman" w:hAnsi="Times New Roman" w:cs="Times New Roman"/>
          <w:sz w:val="24"/>
          <w:szCs w:val="24"/>
        </w:rPr>
      </w:pPr>
    </w:p>
    <w:p w14:paraId="03318203" w14:textId="532A8563" w:rsidR="001302DC" w:rsidRPr="006E246C" w:rsidRDefault="009314F7" w:rsidP="001302DC">
      <w:pPr>
        <w:rPr>
          <w:color w:val="000000" w:themeColor="text1"/>
        </w:rPr>
      </w:pPr>
      <w:r>
        <w:rPr>
          <w:b/>
          <w:color w:val="000000" w:themeColor="text1"/>
        </w:rPr>
        <w:t>Ventspils A</w:t>
      </w:r>
      <w:r w:rsidR="001302DC" w:rsidRPr="006E246C">
        <w:rPr>
          <w:b/>
          <w:color w:val="000000" w:themeColor="text1"/>
        </w:rPr>
        <w:t>ugstskolai</w:t>
      </w:r>
      <w:r w:rsidR="001302DC" w:rsidRPr="006E246C">
        <w:rPr>
          <w:color w:val="000000" w:themeColor="text1"/>
        </w:rPr>
        <w:t xml:space="preserve"> Pilsētu projekta ietvaros plāno šādas aktivitātes: </w:t>
      </w:r>
    </w:p>
    <w:p w14:paraId="03318204" w14:textId="77777777" w:rsidR="001302DC" w:rsidRPr="006E246C" w:rsidRDefault="001302DC" w:rsidP="001302DC">
      <w:pPr>
        <w:rPr>
          <w:color w:val="000000" w:themeColor="text1"/>
        </w:rPr>
      </w:pPr>
    </w:p>
    <w:p w14:paraId="03318205" w14:textId="77777777" w:rsidR="001302DC" w:rsidRPr="006E246C" w:rsidRDefault="001302DC" w:rsidP="001302DC">
      <w:pPr>
        <w:pStyle w:val="ListParagraph"/>
        <w:numPr>
          <w:ilvl w:val="0"/>
          <w:numId w:val="25"/>
        </w:numPr>
        <w:spacing w:after="60"/>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Jauna veida marketinga pieejas veicināšana</w:t>
      </w:r>
      <w:r w:rsidRPr="006E246C">
        <w:rPr>
          <w:rFonts w:ascii="Times New Roman" w:hAnsi="Times New Roman" w:cs="Times New Roman"/>
          <w:color w:val="000000" w:themeColor="text1"/>
          <w:sz w:val="24"/>
          <w:szCs w:val="24"/>
        </w:rPr>
        <w:t xml:space="preserve"> – lai pārliecinātos, ka augstskolas mārketinga pieeja un stratēģija ir atbilstoša augstskolas mērķauditorijas atbilstošās paaudzes uzrunāšanai, plānots veikt paaudžu mārketinga pētījumu un tā secinājumus izmantot, lai piesaistītu jaunus augstākās izglītības un mūžizglītības studentus;</w:t>
      </w:r>
    </w:p>
    <w:p w14:paraId="03318206" w14:textId="77777777" w:rsidR="001302DC" w:rsidRPr="006E246C" w:rsidRDefault="001302DC" w:rsidP="001302DC">
      <w:pPr>
        <w:pStyle w:val="ListParagraph"/>
        <w:numPr>
          <w:ilvl w:val="0"/>
          <w:numId w:val="25"/>
        </w:numPr>
        <w:spacing w:after="60"/>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Paaudžu mārketinga stratēģijas un darba plāna izstrāde</w:t>
      </w:r>
      <w:r w:rsidRPr="006E246C">
        <w:rPr>
          <w:rFonts w:ascii="Times New Roman" w:hAnsi="Times New Roman" w:cs="Times New Roman"/>
          <w:color w:val="000000" w:themeColor="text1"/>
          <w:sz w:val="24"/>
          <w:szCs w:val="24"/>
        </w:rPr>
        <w:t xml:space="preserve"> – balstoties uz secinājumiem, kas tiks gūti no pētījuma, tiks izstrādāts mārketinga plāns turpmākajiem 2 gadiem nacionālo un ārvalstu studentu piesaistes aktivitāšu īstenošanai. Stratēģijas ietvaros tiks veidots jauna veida komunikācijas saturs un izmantoti atbilstošākie komunikācijas kanāli;</w:t>
      </w:r>
    </w:p>
    <w:p w14:paraId="03318207" w14:textId="6950937B" w:rsidR="001302DC" w:rsidRPr="006E246C" w:rsidRDefault="001302DC" w:rsidP="001302DC">
      <w:pPr>
        <w:pStyle w:val="ListParagraph"/>
        <w:numPr>
          <w:ilvl w:val="0"/>
          <w:numId w:val="25"/>
        </w:numPr>
        <w:spacing w:after="60"/>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Radošo darbnīcu darbības attīstība</w:t>
      </w:r>
      <w:r w:rsidRPr="006E246C">
        <w:rPr>
          <w:rFonts w:ascii="Times New Roman" w:hAnsi="Times New Roman" w:cs="Times New Roman"/>
          <w:color w:val="000000" w:themeColor="text1"/>
          <w:sz w:val="24"/>
          <w:szCs w:val="24"/>
        </w:rPr>
        <w:t xml:space="preserve"> – balstoties uz iepriekšējo gadu veiksmīgo pieredzi, kuras rezultātā vidēji 10% radošās darbnīcas apmeklējušo skolēnu un vasaras skolu apmeklētāju ir imatrikulējušies Ventspils Augstskolā, tiks atjaunināts un papildināts radošo darbnīcu materiālu klāsts un nodrošināts atbalsts darbnīcu turpmākai īstenošanai ar mērķi informēt skolēnus par augstskolā piedāvātajām STEM studiju programmām;</w:t>
      </w:r>
    </w:p>
    <w:p w14:paraId="03318208" w14:textId="77777777" w:rsidR="001302DC" w:rsidRPr="006E246C" w:rsidRDefault="001302DC" w:rsidP="001302DC">
      <w:pPr>
        <w:pStyle w:val="ListParagraph"/>
        <w:numPr>
          <w:ilvl w:val="0"/>
          <w:numId w:val="25"/>
        </w:numPr>
        <w:spacing w:after="60"/>
        <w:jc w:val="both"/>
        <w:rPr>
          <w:rFonts w:ascii="Times New Roman" w:hAnsi="Times New Roman" w:cs="Times New Roman"/>
          <w:b/>
          <w:color w:val="000000" w:themeColor="text1"/>
          <w:sz w:val="24"/>
          <w:szCs w:val="24"/>
        </w:rPr>
      </w:pPr>
      <w:r w:rsidRPr="006E246C">
        <w:rPr>
          <w:rFonts w:ascii="Times New Roman" w:hAnsi="Times New Roman" w:cs="Times New Roman"/>
          <w:b/>
          <w:color w:val="000000" w:themeColor="text1"/>
          <w:sz w:val="24"/>
          <w:szCs w:val="24"/>
        </w:rPr>
        <w:t>Inovatīvu izglītības metodoloģiju integrācija esošās un jaunās mācību programmās:</w:t>
      </w:r>
      <w:r w:rsidRPr="006E246C">
        <w:rPr>
          <w:rFonts w:ascii="Times New Roman" w:hAnsi="Times New Roman" w:cs="Times New Roman"/>
          <w:color w:val="000000" w:themeColor="text1"/>
          <w:sz w:val="24"/>
          <w:szCs w:val="24"/>
        </w:rPr>
        <w:t xml:space="preserve"> jaunu mācību satura pasniegšanas metožu integrācijai mācību procesā ir nepieciešami trīs galvenie faktori: </w:t>
      </w:r>
    </w:p>
    <w:p w14:paraId="03318209" w14:textId="77777777" w:rsidR="001302DC" w:rsidRPr="006E246C" w:rsidRDefault="001302DC" w:rsidP="004D4F1F">
      <w:pPr>
        <w:pStyle w:val="ListParagraph"/>
        <w:numPr>
          <w:ilvl w:val="1"/>
          <w:numId w:val="26"/>
        </w:numPr>
        <w:spacing w:after="60"/>
        <w:ind w:left="0" w:firstLine="426"/>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 xml:space="preserve">tehniskā aprīkojuma nodrošinājums izglītības tehnoloģiju izmantošanas </w:t>
      </w:r>
      <w:proofErr w:type="spellStart"/>
      <w:r w:rsidRPr="006E246C">
        <w:rPr>
          <w:rFonts w:ascii="Times New Roman" w:hAnsi="Times New Roman" w:cs="Times New Roman"/>
          <w:b/>
          <w:color w:val="000000" w:themeColor="text1"/>
          <w:sz w:val="24"/>
          <w:szCs w:val="24"/>
        </w:rPr>
        <w:t>iespējošanai</w:t>
      </w:r>
      <w:proofErr w:type="spellEnd"/>
      <w:r w:rsidRPr="006E246C">
        <w:rPr>
          <w:rFonts w:ascii="Times New Roman" w:hAnsi="Times New Roman" w:cs="Times New Roman"/>
          <w:b/>
          <w:color w:val="000000" w:themeColor="text1"/>
          <w:sz w:val="24"/>
          <w:szCs w:val="24"/>
        </w:rPr>
        <w:t>:</w:t>
      </w:r>
      <w:r w:rsidRPr="006E246C">
        <w:rPr>
          <w:rFonts w:ascii="Times New Roman" w:hAnsi="Times New Roman" w:cs="Times New Roman"/>
          <w:color w:val="000000" w:themeColor="text1"/>
          <w:sz w:val="24"/>
          <w:szCs w:val="24"/>
        </w:rPr>
        <w:t xml:space="preserve"> projekta ietvaros šī nolūka dēļ tiks aprīkota un uzturēta Interaktīvā digitālā klase, kurā tiks uzstādīts aprīkojums vairāk nekā 100 000 EUR vērtībā, ar kura atbalstu būs iespējams izmantot pēc iespējas plašāku izglītības tehnoloģiju risinājumu klāstu, kā arī piesaistīt vairāk ārvalstu pasniedzēju un studentu;</w:t>
      </w:r>
    </w:p>
    <w:p w14:paraId="0331820A" w14:textId="77777777" w:rsidR="001302DC" w:rsidRPr="006E246C" w:rsidRDefault="001302DC" w:rsidP="004D4F1F">
      <w:pPr>
        <w:pStyle w:val="ListParagraph"/>
        <w:numPr>
          <w:ilvl w:val="1"/>
          <w:numId w:val="26"/>
        </w:numPr>
        <w:spacing w:after="60"/>
        <w:ind w:left="0" w:firstLine="426"/>
        <w:jc w:val="both"/>
        <w:rPr>
          <w:rFonts w:ascii="Times New Roman" w:hAnsi="Times New Roman" w:cs="Times New Roman"/>
          <w:b/>
          <w:color w:val="000000" w:themeColor="text1"/>
          <w:sz w:val="24"/>
          <w:szCs w:val="24"/>
        </w:rPr>
      </w:pPr>
      <w:r w:rsidRPr="006E246C">
        <w:rPr>
          <w:rFonts w:ascii="Times New Roman" w:hAnsi="Times New Roman" w:cs="Times New Roman"/>
          <w:b/>
          <w:color w:val="000000" w:themeColor="text1"/>
          <w:sz w:val="24"/>
          <w:szCs w:val="24"/>
        </w:rPr>
        <w:t xml:space="preserve">docētāju izpratnes veicināšana un domāšanas veida izmaiņas: </w:t>
      </w:r>
      <w:r w:rsidRPr="006E246C">
        <w:rPr>
          <w:rFonts w:ascii="Times New Roman" w:hAnsi="Times New Roman" w:cs="Times New Roman"/>
          <w:color w:val="000000" w:themeColor="text1"/>
          <w:sz w:val="24"/>
          <w:szCs w:val="24"/>
        </w:rPr>
        <w:t>pasniedzējiem tiks nodrošināta iespēja iedziļināties plašo izglītības tehnoloģiju un to pielietojuma veidu klāstā, un iegūt praktisku pieredzi un nozares ekspertu atbalstu jaunu un adaptētu kursu veidošanā, lai nodrošinātu docētāju izpratnes un domāšanas veida izmaiņas par to, kādam ir jābūt mūsdienīgam mācību saturam un tā pasniegšanas veidam;</w:t>
      </w:r>
    </w:p>
    <w:p w14:paraId="0331820B" w14:textId="77777777" w:rsidR="001302DC" w:rsidRPr="006E246C" w:rsidRDefault="001302DC" w:rsidP="004D4F1F">
      <w:pPr>
        <w:pStyle w:val="ListParagraph"/>
        <w:numPr>
          <w:ilvl w:val="1"/>
          <w:numId w:val="26"/>
        </w:numPr>
        <w:spacing w:after="60"/>
        <w:ind w:left="0" w:firstLine="426"/>
        <w:jc w:val="both"/>
        <w:rPr>
          <w:rFonts w:ascii="Times New Roman" w:hAnsi="Times New Roman" w:cs="Times New Roman"/>
          <w:b/>
          <w:color w:val="000000" w:themeColor="text1"/>
          <w:sz w:val="24"/>
          <w:szCs w:val="24"/>
        </w:rPr>
      </w:pPr>
      <w:r w:rsidRPr="006E246C">
        <w:rPr>
          <w:rFonts w:ascii="Times New Roman" w:hAnsi="Times New Roman" w:cs="Times New Roman"/>
          <w:b/>
          <w:color w:val="000000" w:themeColor="text1"/>
          <w:sz w:val="24"/>
          <w:szCs w:val="24"/>
        </w:rPr>
        <w:t>informācijas un konceptuāla ietvara nodrošināšana:</w:t>
      </w:r>
      <w:r w:rsidRPr="006E246C">
        <w:rPr>
          <w:rFonts w:ascii="Times New Roman" w:hAnsi="Times New Roman" w:cs="Times New Roman"/>
          <w:color w:val="000000" w:themeColor="text1"/>
          <w:sz w:val="24"/>
          <w:szCs w:val="24"/>
        </w:rPr>
        <w:t xml:space="preserve"> pasniedzēji varēs paši piedalīties iekšējas koncepcijas izstrādē par augstskolas satura </w:t>
      </w:r>
      <w:proofErr w:type="spellStart"/>
      <w:r w:rsidRPr="006E246C">
        <w:rPr>
          <w:rFonts w:ascii="Times New Roman" w:hAnsi="Times New Roman" w:cs="Times New Roman"/>
          <w:color w:val="000000" w:themeColor="text1"/>
          <w:sz w:val="24"/>
          <w:szCs w:val="24"/>
        </w:rPr>
        <w:t>digitalizācijas</w:t>
      </w:r>
      <w:proofErr w:type="spellEnd"/>
      <w:r w:rsidRPr="006E246C">
        <w:rPr>
          <w:rFonts w:ascii="Times New Roman" w:hAnsi="Times New Roman" w:cs="Times New Roman"/>
          <w:color w:val="000000" w:themeColor="text1"/>
          <w:sz w:val="24"/>
          <w:szCs w:val="24"/>
        </w:rPr>
        <w:t xml:space="preserve"> konceptuālo sasniedzamo mērķi vidēja ilguma termiņā; būs iespēja piedalīties dažāda veida izglītojošos informatīvos semināros; būs pieejamas individuālas konsultācijas un eksperta atbalsts, kā arī iespēja vērtēt citu valstu pieredzi un meklēt savu inovatīvo pieeju jauna un adaptēta mācību satura izveidei.</w:t>
      </w:r>
    </w:p>
    <w:p w14:paraId="0331820C" w14:textId="77777777" w:rsidR="001302DC" w:rsidRPr="006E246C" w:rsidRDefault="001302DC" w:rsidP="00267909">
      <w:pPr>
        <w:spacing w:after="60"/>
        <w:ind w:left="426" w:firstLine="436"/>
        <w:rPr>
          <w:color w:val="000000" w:themeColor="text1"/>
        </w:rPr>
      </w:pPr>
      <w:r w:rsidRPr="006E246C">
        <w:rPr>
          <w:color w:val="000000" w:themeColor="text1"/>
        </w:rPr>
        <w:lastRenderedPageBreak/>
        <w:t>Nodrošinot šo visu faktoru pareizu saderību, projekta īstenošanas rezultātā augstskolā tiks modernizēti pirmie 26 kredītpunkti mācību satura, integrējot tajos dažāda veida izglītības tehnoloģiju risinājumus.</w:t>
      </w:r>
    </w:p>
    <w:p w14:paraId="0331820D" w14:textId="77777777" w:rsidR="001302DC" w:rsidRPr="006E246C" w:rsidRDefault="001302DC" w:rsidP="001302DC">
      <w:pPr>
        <w:pStyle w:val="ListParagraph"/>
        <w:numPr>
          <w:ilvl w:val="0"/>
          <w:numId w:val="25"/>
        </w:numPr>
        <w:spacing w:after="60"/>
        <w:jc w:val="both"/>
        <w:rPr>
          <w:rFonts w:ascii="Times New Roman" w:hAnsi="Times New Roman" w:cs="Times New Roman"/>
          <w:color w:val="000000" w:themeColor="text1"/>
          <w:sz w:val="24"/>
          <w:szCs w:val="24"/>
        </w:rPr>
      </w:pPr>
      <w:r w:rsidRPr="006E246C">
        <w:rPr>
          <w:rFonts w:ascii="Times New Roman" w:hAnsi="Times New Roman" w:cs="Times New Roman"/>
          <w:b/>
          <w:color w:val="000000" w:themeColor="text1"/>
          <w:sz w:val="24"/>
          <w:szCs w:val="24"/>
        </w:rPr>
        <w:t xml:space="preserve">Iegūtās pieredzes apkopošana un zināšanu </w:t>
      </w:r>
      <w:proofErr w:type="spellStart"/>
      <w:r w:rsidRPr="006E246C">
        <w:rPr>
          <w:rFonts w:ascii="Times New Roman" w:hAnsi="Times New Roman" w:cs="Times New Roman"/>
          <w:b/>
          <w:color w:val="000000" w:themeColor="text1"/>
          <w:sz w:val="24"/>
          <w:szCs w:val="24"/>
        </w:rPr>
        <w:t>pārnese</w:t>
      </w:r>
      <w:proofErr w:type="spellEnd"/>
      <w:r w:rsidRPr="006E246C">
        <w:rPr>
          <w:rFonts w:ascii="Times New Roman" w:hAnsi="Times New Roman" w:cs="Times New Roman"/>
          <w:color w:val="000000" w:themeColor="text1"/>
          <w:sz w:val="24"/>
          <w:szCs w:val="24"/>
        </w:rPr>
        <w:t>:  projekta rezultātā ne tikai tiks izveidota iekšējā koncepcija augstskolas ietvaros par plānoto izglītības tehnoloģiju integrāciju kopējā studiju saturā, bet apkopota arī projekta kopējā pieredze no citām mācību iestādēm gan par paaudžu mārketinga stratēģiju īstenošanas pieredzi, gan arī par izglītības tehnoloģiju integrāciju mācību saturā, tā rezultātā veidojot pieredzes un padomu materiālu citām reģionu augstskolām par to, kā mācību saturā integrēt modernas tendences, metodiku un tehnoloģijas.</w:t>
      </w:r>
    </w:p>
    <w:p w14:paraId="0331820E" w14:textId="77777777" w:rsidR="001302DC" w:rsidRPr="006E246C" w:rsidRDefault="001302DC" w:rsidP="001302DC">
      <w:pPr>
        <w:spacing w:after="60"/>
      </w:pPr>
    </w:p>
    <w:p w14:paraId="03318210" w14:textId="77777777" w:rsidR="001302DC" w:rsidRPr="006E246C" w:rsidRDefault="001302DC" w:rsidP="001302DC">
      <w:pPr>
        <w:spacing w:after="60"/>
        <w:rPr>
          <w:color w:val="000000" w:themeColor="text1"/>
        </w:rPr>
      </w:pPr>
    </w:p>
    <w:p w14:paraId="28B8F063" w14:textId="77777777" w:rsidR="00267909" w:rsidRPr="006E246C" w:rsidRDefault="001302DC" w:rsidP="001302DC">
      <w:pPr>
        <w:spacing w:after="60"/>
        <w:jc w:val="right"/>
        <w:rPr>
          <w:color w:val="000000" w:themeColor="text1"/>
        </w:rPr>
      </w:pPr>
      <w:r w:rsidRPr="006E246C">
        <w:rPr>
          <w:color w:val="000000" w:themeColor="text1"/>
        </w:rPr>
        <w:t xml:space="preserve">Tabula Nr. 1 </w:t>
      </w:r>
    </w:p>
    <w:p w14:paraId="03318211" w14:textId="4D06D1F5" w:rsidR="001302DC" w:rsidRPr="006E246C" w:rsidRDefault="001302DC" w:rsidP="00267909">
      <w:pPr>
        <w:spacing w:after="60"/>
        <w:jc w:val="center"/>
        <w:rPr>
          <w:b/>
          <w:color w:val="000000" w:themeColor="text1"/>
        </w:rPr>
      </w:pPr>
      <w:r w:rsidRPr="006E246C">
        <w:rPr>
          <w:b/>
          <w:bCs/>
          <w:color w:val="000000" w:themeColor="text1"/>
        </w:rPr>
        <w:t>Finanšu instrumenta</w:t>
      </w:r>
      <w:r w:rsidRPr="006E246C">
        <w:rPr>
          <w:b/>
          <w:color w:val="000000" w:themeColor="text1"/>
        </w:rPr>
        <w:t xml:space="preserve"> īstenošanai Ventspils Augstskolas</w:t>
      </w:r>
      <w:r w:rsidR="00822E10" w:rsidRPr="006E246C">
        <w:rPr>
          <w:b/>
          <w:color w:val="000000" w:themeColor="text1"/>
        </w:rPr>
        <w:t xml:space="preserve"> </w:t>
      </w:r>
      <w:r w:rsidRPr="006E246C">
        <w:rPr>
          <w:b/>
          <w:color w:val="000000" w:themeColor="text1"/>
        </w:rPr>
        <w:t xml:space="preserve">plānotais finansējums un izdevumi pa gadiem, </w:t>
      </w:r>
      <w:r w:rsidRPr="006E246C">
        <w:rPr>
          <w:b/>
          <w:color w:val="000000" w:themeColor="text1"/>
          <w:lang w:eastAsia="lv-LV"/>
        </w:rPr>
        <w:t>EUR</w:t>
      </w:r>
    </w:p>
    <w:tbl>
      <w:tblPr>
        <w:tblW w:w="9513" w:type="dxa"/>
        <w:jc w:val="center"/>
        <w:tblLayout w:type="fixed"/>
        <w:tblLook w:val="04A0" w:firstRow="1" w:lastRow="0" w:firstColumn="1" w:lastColumn="0" w:noHBand="0" w:noVBand="1"/>
      </w:tblPr>
      <w:tblGrid>
        <w:gridCol w:w="1710"/>
        <w:gridCol w:w="1428"/>
        <w:gridCol w:w="1559"/>
        <w:gridCol w:w="2408"/>
        <w:gridCol w:w="2408"/>
      </w:tblGrid>
      <w:tr w:rsidR="006F3BEF" w:rsidRPr="006E246C" w14:paraId="03318219" w14:textId="51F6A17F" w:rsidTr="00EE4C8E">
        <w:trPr>
          <w:trHeight w:val="578"/>
          <w:jc w:val="center"/>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12" w14:textId="77777777" w:rsidR="006F3BEF" w:rsidRPr="006E246C" w:rsidRDefault="006F3BEF" w:rsidP="006F3BEF">
            <w:pPr>
              <w:spacing w:after="60"/>
              <w:jc w:val="center"/>
              <w:rPr>
                <w:rFonts w:eastAsia="Times New Roman"/>
                <w:color w:val="000000" w:themeColor="text1"/>
                <w:lang w:eastAsia="lv-LV"/>
              </w:rPr>
            </w:pPr>
            <w:r w:rsidRPr="006E246C">
              <w:rPr>
                <w:rFonts w:eastAsia="Times New Roman"/>
                <w:color w:val="000000" w:themeColor="text1"/>
                <w:lang w:eastAsia="lv-LV"/>
              </w:rPr>
              <w:t>Gads</w:t>
            </w: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318213" w14:textId="77777777" w:rsidR="006F3BEF" w:rsidRPr="006E246C" w:rsidRDefault="006F3BEF" w:rsidP="006F3BEF">
            <w:pPr>
              <w:spacing w:after="60"/>
              <w:jc w:val="center"/>
              <w:rPr>
                <w:rFonts w:eastAsia="Times New Roman"/>
                <w:color w:val="000000" w:themeColor="text1"/>
                <w:lang w:eastAsia="lv-LV"/>
              </w:rPr>
            </w:pPr>
            <w:r w:rsidRPr="006E246C">
              <w:rPr>
                <w:rFonts w:eastAsia="Times New Roman"/>
                <w:color w:val="000000" w:themeColor="text1"/>
                <w:lang w:eastAsia="lv-LV"/>
              </w:rPr>
              <w:t>Budžets kopā (EUR)</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3318214" w14:textId="340DCBA4" w:rsidR="006F3BEF" w:rsidRPr="006E246C" w:rsidRDefault="006F3BEF" w:rsidP="006F3BEF">
            <w:pPr>
              <w:spacing w:after="60"/>
              <w:jc w:val="center"/>
              <w:rPr>
                <w:rFonts w:eastAsia="Times New Roman"/>
                <w:color w:val="000000" w:themeColor="text1"/>
                <w:lang w:eastAsia="lv-LV"/>
              </w:rPr>
            </w:pPr>
            <w:r w:rsidRPr="006E246C">
              <w:rPr>
                <w:rFonts w:eastAsia="Times New Roman"/>
                <w:color w:val="000000" w:themeColor="text1"/>
                <w:lang w:eastAsia="lv-LV"/>
              </w:rPr>
              <w:t>ERAF finansējums</w:t>
            </w:r>
            <w:r>
              <w:rPr>
                <w:rFonts w:eastAsia="Times New Roman"/>
                <w:color w:val="000000" w:themeColor="text1"/>
                <w:lang w:eastAsia="lv-LV"/>
              </w:rPr>
              <w:t xml:space="preserve">, </w:t>
            </w:r>
            <w:r w:rsidRPr="006E246C">
              <w:rPr>
                <w:rFonts w:eastAsia="Times New Roman"/>
                <w:color w:val="000000" w:themeColor="text1"/>
                <w:lang w:eastAsia="lv-LV"/>
              </w:rPr>
              <w:t>(EUR)</w:t>
            </w:r>
          </w:p>
        </w:tc>
        <w:tc>
          <w:tcPr>
            <w:tcW w:w="240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3318218" w14:textId="5878F9A3" w:rsidR="006F3BEF" w:rsidRPr="006F3BEF" w:rsidRDefault="006F3BEF" w:rsidP="006F3BEF">
            <w:pPr>
              <w:spacing w:after="60"/>
              <w:jc w:val="center"/>
              <w:rPr>
                <w:rFonts w:eastAsia="Times New Roman"/>
                <w:bCs/>
                <w:color w:val="000000" w:themeColor="text1"/>
                <w:lang w:eastAsia="lv-LV"/>
              </w:rPr>
            </w:pPr>
            <w:r w:rsidRPr="006F3BEF">
              <w:rPr>
                <w:rFonts w:eastAsia="Times New Roman"/>
                <w:bCs/>
                <w:color w:val="000000" w:themeColor="text1"/>
                <w:lang w:eastAsia="lv-LV"/>
              </w:rPr>
              <w:t>Valsts līdzfinansējuma sadalījums pa gadiem</w:t>
            </w:r>
            <w:r w:rsidRPr="006F3BEF">
              <w:rPr>
                <w:rFonts w:eastAsia="Times New Roman"/>
                <w:color w:val="000000" w:themeColor="text1"/>
                <w:lang w:eastAsia="lv-LV"/>
              </w:rPr>
              <w:t>(EUR)</w:t>
            </w:r>
          </w:p>
        </w:tc>
        <w:tc>
          <w:tcPr>
            <w:tcW w:w="240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4E31152" w14:textId="77777777" w:rsidR="006F3BEF" w:rsidRPr="006E246C" w:rsidRDefault="006F3BEF" w:rsidP="006F3BEF">
            <w:pPr>
              <w:spacing w:after="60"/>
              <w:jc w:val="center"/>
              <w:rPr>
                <w:rFonts w:eastAsia="Times New Roman"/>
                <w:color w:val="000000" w:themeColor="text1"/>
                <w:lang w:eastAsia="lv-LV"/>
              </w:rPr>
            </w:pPr>
            <w:r w:rsidRPr="006E246C">
              <w:rPr>
                <w:rFonts w:eastAsia="Times New Roman"/>
                <w:color w:val="000000" w:themeColor="text1"/>
                <w:lang w:eastAsia="lv-LV"/>
              </w:rPr>
              <w:t>Ventspils Augstskolas</w:t>
            </w:r>
          </w:p>
          <w:p w14:paraId="7D9E7587" w14:textId="361C2CD0" w:rsidR="006F3BEF" w:rsidRPr="006E246C" w:rsidRDefault="006F3BEF" w:rsidP="006F3BEF">
            <w:pPr>
              <w:spacing w:after="60"/>
              <w:jc w:val="center"/>
              <w:rPr>
                <w:rFonts w:eastAsia="Times New Roman"/>
                <w:b/>
                <w:bCs/>
                <w:color w:val="000000" w:themeColor="text1"/>
                <w:lang w:eastAsia="lv-LV"/>
              </w:rPr>
            </w:pPr>
            <w:r w:rsidRPr="006E246C">
              <w:rPr>
                <w:rFonts w:eastAsia="Times New Roman"/>
                <w:color w:val="000000" w:themeColor="text1"/>
                <w:lang w:eastAsia="lv-LV"/>
              </w:rPr>
              <w:t>priekš-finansējums(EUR)</w:t>
            </w:r>
          </w:p>
        </w:tc>
      </w:tr>
      <w:tr w:rsidR="006F3BEF" w:rsidRPr="006E246C" w14:paraId="03318220" w14:textId="430FA791" w:rsidTr="00EE4C8E">
        <w:trPr>
          <w:trHeight w:val="133"/>
          <w:jc w:val="center"/>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1A" w14:textId="77777777" w:rsidR="006F3BEF" w:rsidRPr="006E246C" w:rsidRDefault="006F3BEF" w:rsidP="006F3BEF">
            <w:pPr>
              <w:jc w:val="center"/>
              <w:rPr>
                <w:rFonts w:eastAsia="Times New Roman"/>
                <w:i/>
                <w:color w:val="000000" w:themeColor="text1"/>
                <w:lang w:eastAsia="lv-LV"/>
              </w:rPr>
            </w:pPr>
            <w:r w:rsidRPr="006E246C">
              <w:rPr>
                <w:rFonts w:eastAsia="Times New Roman"/>
                <w:i/>
                <w:color w:val="000000" w:themeColor="text1"/>
                <w:lang w:eastAsia="lv-LV"/>
              </w:rPr>
              <w:t>1</w:t>
            </w: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1B" w14:textId="77777777" w:rsidR="006F3BEF" w:rsidRPr="006E246C" w:rsidRDefault="006F3BEF" w:rsidP="006F3BEF">
            <w:pPr>
              <w:jc w:val="center"/>
              <w:rPr>
                <w:rFonts w:eastAsia="Times New Roman"/>
                <w:i/>
                <w:color w:val="000000" w:themeColor="text1"/>
                <w:lang w:eastAsia="lv-LV"/>
              </w:rPr>
            </w:pPr>
            <w:r w:rsidRPr="006E246C">
              <w:rPr>
                <w:rFonts w:eastAsia="Times New Roman"/>
                <w:i/>
                <w:color w:val="000000" w:themeColor="text1"/>
                <w:lang w:eastAsia="lv-LV"/>
              </w:rPr>
              <w:t>2</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331821C" w14:textId="77777777" w:rsidR="006F3BEF" w:rsidRPr="006E246C" w:rsidRDefault="006F3BEF" w:rsidP="006F3BEF">
            <w:pPr>
              <w:jc w:val="center"/>
              <w:rPr>
                <w:rFonts w:eastAsia="Times New Roman"/>
                <w:i/>
                <w:color w:val="000000" w:themeColor="text1"/>
                <w:lang w:eastAsia="lv-LV"/>
              </w:rPr>
            </w:pPr>
            <w:r w:rsidRPr="006E246C">
              <w:rPr>
                <w:rFonts w:eastAsia="Times New Roman"/>
                <w:i/>
                <w:color w:val="000000" w:themeColor="text1"/>
                <w:lang w:eastAsia="lv-LV"/>
              </w:rPr>
              <w:t>3</w:t>
            </w:r>
          </w:p>
        </w:tc>
        <w:tc>
          <w:tcPr>
            <w:tcW w:w="240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331821F" w14:textId="00006FBE" w:rsidR="006F3BEF" w:rsidRPr="006E246C" w:rsidRDefault="006F3BEF" w:rsidP="006F3BEF">
            <w:pPr>
              <w:jc w:val="center"/>
              <w:rPr>
                <w:rFonts w:eastAsia="Times New Roman"/>
                <w:bCs/>
                <w:i/>
                <w:color w:val="000000" w:themeColor="text1"/>
                <w:lang w:eastAsia="lv-LV"/>
              </w:rPr>
            </w:pPr>
            <w:r>
              <w:rPr>
                <w:rFonts w:eastAsia="Times New Roman"/>
                <w:bCs/>
                <w:i/>
                <w:color w:val="000000" w:themeColor="text1"/>
                <w:lang w:eastAsia="lv-LV"/>
              </w:rPr>
              <w:t>4</w:t>
            </w:r>
          </w:p>
        </w:tc>
        <w:tc>
          <w:tcPr>
            <w:tcW w:w="240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A9C3254" w14:textId="71EFFFFA" w:rsidR="006F3BEF" w:rsidRPr="006E246C" w:rsidRDefault="006F3BEF" w:rsidP="006F3BEF">
            <w:pPr>
              <w:jc w:val="center"/>
              <w:rPr>
                <w:rFonts w:eastAsia="Times New Roman"/>
                <w:bCs/>
                <w:i/>
                <w:color w:val="000000" w:themeColor="text1"/>
                <w:lang w:eastAsia="lv-LV"/>
              </w:rPr>
            </w:pPr>
            <w:r w:rsidRPr="006E246C">
              <w:rPr>
                <w:rFonts w:eastAsia="Times New Roman"/>
                <w:i/>
                <w:color w:val="000000" w:themeColor="text1"/>
                <w:lang w:eastAsia="lv-LV"/>
              </w:rPr>
              <w:t>5</w:t>
            </w:r>
          </w:p>
        </w:tc>
      </w:tr>
      <w:tr w:rsidR="006F3BEF" w:rsidRPr="006E246C" w14:paraId="067D589E" w14:textId="65439362" w:rsidTr="00EE4C8E">
        <w:trPr>
          <w:trHeight w:val="461"/>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A8BE90" w14:textId="24562519" w:rsidR="006F3BEF" w:rsidRPr="00E1393A" w:rsidRDefault="006F3BEF" w:rsidP="006F3BEF">
            <w:pPr>
              <w:jc w:val="center"/>
              <w:rPr>
                <w:rFonts w:eastAsia="Times New Roman"/>
                <w:b/>
                <w:color w:val="000000" w:themeColor="text1"/>
                <w:lang w:eastAsia="lv-LV"/>
              </w:rPr>
            </w:pPr>
            <w:r>
              <w:rPr>
                <w:b/>
                <w:bCs/>
                <w:color w:val="000000"/>
              </w:rPr>
              <w:t>2019 (izpilde)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7FA6023" w14:textId="3D631C12" w:rsidR="006F3BEF" w:rsidRDefault="00915D78" w:rsidP="006F3BEF">
            <w:pPr>
              <w:jc w:val="center"/>
              <w:rPr>
                <w:color w:val="000000"/>
              </w:rPr>
            </w:pPr>
            <w:r>
              <w:rPr>
                <w:color w:val="000000"/>
              </w:rPr>
              <w:t xml:space="preserve"> </w:t>
            </w:r>
          </w:p>
          <w:p w14:paraId="6FA34A44" w14:textId="32E89FD6" w:rsidR="00915D78" w:rsidRPr="00A35700" w:rsidRDefault="00915D78" w:rsidP="006F3BEF">
            <w:pPr>
              <w:jc w:val="center"/>
              <w:rPr>
                <w:rFonts w:eastAsia="Times New Roman"/>
                <w:color w:val="FF0000"/>
                <w:lang w:eastAsia="lv-LV"/>
              </w:rPr>
            </w:pPr>
            <w:r>
              <w:rPr>
                <w:color w:val="000000"/>
              </w:rPr>
              <w:t>112 930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64F622" w14:textId="1E38B10A" w:rsidR="006F3BEF" w:rsidRPr="00A35700" w:rsidRDefault="006F3BEF" w:rsidP="006F3BEF">
            <w:pPr>
              <w:jc w:val="center"/>
              <w:rPr>
                <w:rFonts w:eastAsia="Times New Roman"/>
                <w:color w:val="FF0000"/>
                <w:lang w:eastAsia="lv-LV"/>
              </w:rPr>
            </w:pPr>
            <w:r>
              <w:rPr>
                <w:color w:val="000000"/>
              </w:rPr>
              <w:t>100 373</w:t>
            </w:r>
          </w:p>
        </w:tc>
        <w:tc>
          <w:tcPr>
            <w:tcW w:w="2408" w:type="dxa"/>
            <w:tcBorders>
              <w:top w:val="single" w:sz="4" w:space="0" w:color="auto"/>
              <w:left w:val="nil"/>
              <w:bottom w:val="single" w:sz="4" w:space="0" w:color="auto"/>
              <w:right w:val="single" w:sz="4" w:space="0" w:color="auto"/>
            </w:tcBorders>
            <w:shd w:val="clear" w:color="auto" w:fill="auto"/>
            <w:vAlign w:val="center"/>
          </w:tcPr>
          <w:p w14:paraId="3DF1F629" w14:textId="08520246" w:rsidR="006F3BEF" w:rsidRPr="00E1393A" w:rsidRDefault="006F3BEF" w:rsidP="006F3BEF">
            <w:pPr>
              <w:jc w:val="center"/>
              <w:rPr>
                <w:rFonts w:eastAsia="Times New Roman"/>
                <w:bCs/>
                <w:color w:val="000000" w:themeColor="text1"/>
                <w:lang w:eastAsia="lv-LV"/>
              </w:rPr>
            </w:pPr>
            <w:r>
              <w:rPr>
                <w:color w:val="000000"/>
              </w:rPr>
              <w:t>0</w:t>
            </w:r>
          </w:p>
        </w:tc>
        <w:tc>
          <w:tcPr>
            <w:tcW w:w="2408" w:type="dxa"/>
            <w:tcBorders>
              <w:top w:val="single" w:sz="4" w:space="0" w:color="auto"/>
              <w:left w:val="nil"/>
              <w:bottom w:val="single" w:sz="4" w:space="0" w:color="auto"/>
              <w:right w:val="single" w:sz="4" w:space="0" w:color="auto"/>
            </w:tcBorders>
            <w:vAlign w:val="center"/>
          </w:tcPr>
          <w:p w14:paraId="6C7A12C1" w14:textId="1F3C008D" w:rsidR="006F3BEF" w:rsidRDefault="006F3BEF" w:rsidP="006F3BEF">
            <w:pPr>
              <w:jc w:val="center"/>
              <w:rPr>
                <w:color w:val="000000"/>
              </w:rPr>
            </w:pPr>
            <w:r>
              <w:rPr>
                <w:color w:val="000000"/>
              </w:rPr>
              <w:t>12 557</w:t>
            </w:r>
          </w:p>
        </w:tc>
      </w:tr>
      <w:tr w:rsidR="006F3BEF" w:rsidRPr="006E246C" w14:paraId="0331822E" w14:textId="222E757E" w:rsidTr="00EE4C8E">
        <w:trPr>
          <w:trHeight w:val="454"/>
          <w:jc w:val="center"/>
        </w:trPr>
        <w:tc>
          <w:tcPr>
            <w:tcW w:w="1710" w:type="dxa"/>
            <w:tcBorders>
              <w:top w:val="nil"/>
              <w:left w:val="single" w:sz="4" w:space="0" w:color="auto"/>
              <w:bottom w:val="single" w:sz="4" w:space="0" w:color="auto"/>
              <w:right w:val="single" w:sz="4" w:space="0" w:color="auto"/>
            </w:tcBorders>
            <w:vAlign w:val="center"/>
          </w:tcPr>
          <w:p w14:paraId="03318228" w14:textId="7723663B" w:rsidR="006F3BEF" w:rsidRPr="006E246C" w:rsidRDefault="006F3BEF" w:rsidP="006F3BEF">
            <w:pPr>
              <w:spacing w:after="60"/>
              <w:jc w:val="center"/>
              <w:rPr>
                <w:rFonts w:eastAsia="Times New Roman"/>
                <w:b/>
                <w:color w:val="000000" w:themeColor="text1"/>
                <w:lang w:eastAsia="lv-LV"/>
              </w:rPr>
            </w:pPr>
            <w:r>
              <w:rPr>
                <w:b/>
                <w:bCs/>
                <w:color w:val="000000"/>
              </w:rPr>
              <w:t>2020</w:t>
            </w:r>
          </w:p>
        </w:tc>
        <w:tc>
          <w:tcPr>
            <w:tcW w:w="1428" w:type="dxa"/>
            <w:tcBorders>
              <w:top w:val="nil"/>
              <w:left w:val="single" w:sz="4" w:space="0" w:color="auto"/>
              <w:bottom w:val="single" w:sz="4" w:space="0" w:color="auto"/>
              <w:right w:val="single" w:sz="4" w:space="0" w:color="auto"/>
            </w:tcBorders>
            <w:shd w:val="clear" w:color="auto" w:fill="auto"/>
            <w:vAlign w:val="center"/>
          </w:tcPr>
          <w:p w14:paraId="6AAB37CA" w14:textId="7FEC7F95" w:rsidR="006F3BEF" w:rsidRDefault="00915D78" w:rsidP="006F3BEF">
            <w:pPr>
              <w:spacing w:before="120"/>
              <w:jc w:val="center"/>
              <w:rPr>
                <w:color w:val="000000"/>
              </w:rPr>
            </w:pPr>
            <w:r>
              <w:rPr>
                <w:color w:val="000000"/>
              </w:rPr>
              <w:t xml:space="preserve"> </w:t>
            </w:r>
          </w:p>
          <w:p w14:paraId="03318229" w14:textId="737A27E1" w:rsidR="00915D78" w:rsidRPr="006E246C" w:rsidRDefault="00915D78" w:rsidP="006F3BEF">
            <w:pPr>
              <w:spacing w:before="120"/>
              <w:jc w:val="center"/>
              <w:rPr>
                <w:rFonts w:eastAsia="Times New Roman"/>
                <w:color w:val="000000" w:themeColor="text1"/>
                <w:lang w:eastAsia="lv-LV"/>
              </w:rPr>
            </w:pPr>
            <w:r>
              <w:rPr>
                <w:color w:val="000000"/>
              </w:rPr>
              <w:t>349 237</w:t>
            </w:r>
          </w:p>
        </w:tc>
        <w:tc>
          <w:tcPr>
            <w:tcW w:w="1559" w:type="dxa"/>
            <w:tcBorders>
              <w:top w:val="nil"/>
              <w:left w:val="nil"/>
              <w:bottom w:val="single" w:sz="4" w:space="0" w:color="auto"/>
              <w:right w:val="single" w:sz="4" w:space="0" w:color="auto"/>
            </w:tcBorders>
            <w:shd w:val="clear" w:color="auto" w:fill="auto"/>
            <w:vAlign w:val="center"/>
          </w:tcPr>
          <w:p w14:paraId="0331822A" w14:textId="2EE764C0" w:rsidR="006F3BEF" w:rsidRPr="006E246C" w:rsidRDefault="006F3BEF" w:rsidP="006F3BEF">
            <w:pPr>
              <w:spacing w:before="120"/>
              <w:jc w:val="center"/>
              <w:rPr>
                <w:rFonts w:eastAsia="Times New Roman"/>
                <w:color w:val="000000" w:themeColor="text1"/>
                <w:lang w:eastAsia="lv-LV"/>
              </w:rPr>
            </w:pPr>
            <w:r>
              <w:rPr>
                <w:color w:val="000000"/>
              </w:rPr>
              <w:t>269 36</w:t>
            </w:r>
            <w:r w:rsidR="00915D78">
              <w:rPr>
                <w:color w:val="000000"/>
              </w:rPr>
              <w:t>1</w:t>
            </w:r>
          </w:p>
        </w:tc>
        <w:tc>
          <w:tcPr>
            <w:tcW w:w="2408" w:type="dxa"/>
            <w:tcBorders>
              <w:top w:val="nil"/>
              <w:left w:val="nil"/>
              <w:bottom w:val="single" w:sz="4" w:space="0" w:color="auto"/>
              <w:right w:val="single" w:sz="4" w:space="0" w:color="auto"/>
            </w:tcBorders>
            <w:shd w:val="clear" w:color="auto" w:fill="auto"/>
            <w:vAlign w:val="center"/>
            <w:hideMark/>
          </w:tcPr>
          <w:p w14:paraId="33F08C66" w14:textId="69E24A99" w:rsidR="006F3BEF" w:rsidRDefault="00915D78" w:rsidP="00915D78">
            <w:pPr>
              <w:spacing w:before="120"/>
              <w:jc w:val="center"/>
              <w:rPr>
                <w:color w:val="000000"/>
              </w:rPr>
            </w:pPr>
            <w:r>
              <w:rPr>
                <w:color w:val="000000"/>
              </w:rPr>
              <w:t xml:space="preserve"> </w:t>
            </w:r>
          </w:p>
          <w:p w14:paraId="0331822D" w14:textId="37161E6C" w:rsidR="00915D78" w:rsidRPr="006E246C" w:rsidRDefault="00915D78" w:rsidP="00915D78">
            <w:pPr>
              <w:spacing w:before="120"/>
              <w:jc w:val="center"/>
              <w:rPr>
                <w:rFonts w:eastAsia="Times New Roman"/>
                <w:color w:val="000000" w:themeColor="text1"/>
                <w:lang w:eastAsia="lv-LV"/>
              </w:rPr>
            </w:pPr>
            <w:r>
              <w:rPr>
                <w:color w:val="000000"/>
              </w:rPr>
              <w:t>79 87</w:t>
            </w:r>
            <w:r w:rsidR="00915280">
              <w:rPr>
                <w:color w:val="000000"/>
              </w:rPr>
              <w:t>6</w:t>
            </w:r>
          </w:p>
        </w:tc>
        <w:tc>
          <w:tcPr>
            <w:tcW w:w="2408" w:type="dxa"/>
            <w:tcBorders>
              <w:top w:val="nil"/>
              <w:left w:val="nil"/>
              <w:bottom w:val="single" w:sz="4" w:space="0" w:color="auto"/>
              <w:right w:val="single" w:sz="4" w:space="0" w:color="auto"/>
            </w:tcBorders>
            <w:vAlign w:val="center"/>
          </w:tcPr>
          <w:p w14:paraId="6B5E3485" w14:textId="06547848" w:rsidR="006F3BEF" w:rsidRDefault="006F3BEF" w:rsidP="006F3BEF">
            <w:pPr>
              <w:spacing w:before="120"/>
              <w:jc w:val="center"/>
              <w:rPr>
                <w:color w:val="000000"/>
              </w:rPr>
            </w:pPr>
            <w:r>
              <w:rPr>
                <w:rFonts w:ascii="Calibri" w:hAnsi="Calibri" w:cs="Calibri"/>
                <w:color w:val="000000"/>
                <w:sz w:val="22"/>
                <w:szCs w:val="22"/>
              </w:rPr>
              <w:t> </w:t>
            </w:r>
            <w:r w:rsidR="00915280">
              <w:rPr>
                <w:rFonts w:ascii="Calibri" w:hAnsi="Calibri" w:cs="Calibri"/>
                <w:color w:val="000000"/>
                <w:sz w:val="22"/>
                <w:szCs w:val="22"/>
              </w:rPr>
              <w:t>0</w:t>
            </w:r>
          </w:p>
        </w:tc>
      </w:tr>
      <w:tr w:rsidR="006F3BEF" w:rsidRPr="006E246C" w14:paraId="03318235" w14:textId="1811B2AD" w:rsidTr="00EE4C8E">
        <w:trPr>
          <w:trHeight w:val="454"/>
          <w:jc w:val="center"/>
        </w:trPr>
        <w:tc>
          <w:tcPr>
            <w:tcW w:w="1710" w:type="dxa"/>
            <w:tcBorders>
              <w:top w:val="nil"/>
              <w:left w:val="single" w:sz="4" w:space="0" w:color="auto"/>
              <w:bottom w:val="single" w:sz="4" w:space="0" w:color="auto"/>
              <w:right w:val="single" w:sz="4" w:space="0" w:color="auto"/>
            </w:tcBorders>
            <w:vAlign w:val="center"/>
          </w:tcPr>
          <w:p w14:paraId="0331822F" w14:textId="77187A57" w:rsidR="006F3BEF" w:rsidRPr="006E246C" w:rsidRDefault="006F3BEF" w:rsidP="006F3BEF">
            <w:pPr>
              <w:spacing w:after="60"/>
              <w:jc w:val="center"/>
              <w:rPr>
                <w:rFonts w:eastAsia="Times New Roman"/>
                <w:b/>
                <w:color w:val="000000" w:themeColor="text1"/>
                <w:lang w:eastAsia="lv-LV"/>
              </w:rPr>
            </w:pPr>
            <w:r>
              <w:rPr>
                <w:b/>
                <w:bCs/>
                <w:color w:val="000000"/>
              </w:rPr>
              <w:t>2021</w:t>
            </w:r>
          </w:p>
        </w:tc>
        <w:tc>
          <w:tcPr>
            <w:tcW w:w="1428" w:type="dxa"/>
            <w:tcBorders>
              <w:top w:val="nil"/>
              <w:left w:val="single" w:sz="4" w:space="0" w:color="auto"/>
              <w:bottom w:val="single" w:sz="4" w:space="0" w:color="auto"/>
              <w:right w:val="single" w:sz="4" w:space="0" w:color="auto"/>
            </w:tcBorders>
            <w:shd w:val="clear" w:color="auto" w:fill="auto"/>
            <w:vAlign w:val="center"/>
          </w:tcPr>
          <w:p w14:paraId="03318230" w14:textId="2954B004" w:rsidR="006F3BEF" w:rsidRPr="006E246C" w:rsidRDefault="006F3BEF" w:rsidP="006F3BEF">
            <w:pPr>
              <w:spacing w:before="120"/>
              <w:jc w:val="center"/>
              <w:rPr>
                <w:rFonts w:eastAsia="Times New Roman"/>
                <w:color w:val="000000" w:themeColor="text1"/>
                <w:lang w:eastAsia="lv-LV"/>
              </w:rPr>
            </w:pPr>
            <w:r>
              <w:rPr>
                <w:color w:val="000000"/>
              </w:rPr>
              <w:t>257 89</w:t>
            </w:r>
            <w:r w:rsidR="00915D78">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03318231" w14:textId="30F15A87" w:rsidR="006F3BEF" w:rsidRPr="006E246C" w:rsidRDefault="006F3BEF" w:rsidP="006F3BEF">
            <w:pPr>
              <w:spacing w:before="120"/>
              <w:jc w:val="center"/>
              <w:rPr>
                <w:rFonts w:eastAsia="Times New Roman"/>
                <w:color w:val="000000" w:themeColor="text1"/>
                <w:lang w:eastAsia="lv-LV"/>
              </w:rPr>
            </w:pPr>
            <w:r>
              <w:rPr>
                <w:color w:val="000000"/>
              </w:rPr>
              <w:t>206 313</w:t>
            </w:r>
          </w:p>
        </w:tc>
        <w:tc>
          <w:tcPr>
            <w:tcW w:w="2408" w:type="dxa"/>
            <w:tcBorders>
              <w:top w:val="nil"/>
              <w:left w:val="nil"/>
              <w:bottom w:val="single" w:sz="4" w:space="0" w:color="auto"/>
              <w:right w:val="single" w:sz="4" w:space="0" w:color="auto"/>
            </w:tcBorders>
            <w:shd w:val="clear" w:color="auto" w:fill="auto"/>
            <w:vAlign w:val="center"/>
            <w:hideMark/>
          </w:tcPr>
          <w:p w14:paraId="03318234" w14:textId="362AB50D" w:rsidR="006F3BEF" w:rsidRPr="006E246C" w:rsidRDefault="006F3BEF" w:rsidP="006F3BEF">
            <w:pPr>
              <w:spacing w:before="120"/>
              <w:jc w:val="center"/>
              <w:rPr>
                <w:rFonts w:eastAsia="Times New Roman"/>
                <w:color w:val="000000" w:themeColor="text1"/>
                <w:lang w:eastAsia="lv-LV"/>
              </w:rPr>
            </w:pPr>
            <w:r>
              <w:rPr>
                <w:color w:val="000000"/>
              </w:rPr>
              <w:t>51 57</w:t>
            </w:r>
            <w:r w:rsidR="00915280">
              <w:rPr>
                <w:color w:val="000000"/>
              </w:rPr>
              <w:t>9</w:t>
            </w:r>
          </w:p>
        </w:tc>
        <w:tc>
          <w:tcPr>
            <w:tcW w:w="2408" w:type="dxa"/>
            <w:tcBorders>
              <w:top w:val="nil"/>
              <w:left w:val="nil"/>
              <w:bottom w:val="single" w:sz="4" w:space="0" w:color="auto"/>
              <w:right w:val="single" w:sz="4" w:space="0" w:color="auto"/>
            </w:tcBorders>
            <w:vAlign w:val="center"/>
          </w:tcPr>
          <w:p w14:paraId="7A006119" w14:textId="053ECA67" w:rsidR="006F3BEF" w:rsidRDefault="006F3BEF" w:rsidP="006F3BEF">
            <w:pPr>
              <w:spacing w:before="120"/>
              <w:jc w:val="center"/>
              <w:rPr>
                <w:color w:val="000000"/>
              </w:rPr>
            </w:pPr>
            <w:r>
              <w:rPr>
                <w:rFonts w:ascii="Calibri" w:hAnsi="Calibri" w:cs="Calibri"/>
                <w:color w:val="000000"/>
                <w:sz w:val="22"/>
                <w:szCs w:val="22"/>
              </w:rPr>
              <w:t> </w:t>
            </w:r>
            <w:r w:rsidR="00915280">
              <w:rPr>
                <w:rFonts w:ascii="Calibri" w:hAnsi="Calibri" w:cs="Calibri"/>
                <w:color w:val="000000"/>
                <w:sz w:val="22"/>
                <w:szCs w:val="22"/>
              </w:rPr>
              <w:t>0</w:t>
            </w:r>
          </w:p>
        </w:tc>
      </w:tr>
      <w:tr w:rsidR="006F3BEF" w:rsidRPr="006E246C" w14:paraId="0331823C" w14:textId="7B99FC81" w:rsidTr="00EE4C8E">
        <w:trPr>
          <w:trHeight w:val="454"/>
          <w:jc w:val="center"/>
        </w:trPr>
        <w:tc>
          <w:tcPr>
            <w:tcW w:w="1710" w:type="dxa"/>
            <w:tcBorders>
              <w:top w:val="nil"/>
              <w:left w:val="single" w:sz="4" w:space="0" w:color="auto"/>
              <w:bottom w:val="single" w:sz="4" w:space="0" w:color="auto"/>
              <w:right w:val="single" w:sz="4" w:space="0" w:color="auto"/>
            </w:tcBorders>
            <w:vAlign w:val="center"/>
          </w:tcPr>
          <w:p w14:paraId="03318236" w14:textId="74940411" w:rsidR="006F3BEF" w:rsidRPr="006E246C" w:rsidRDefault="006F3BEF" w:rsidP="006F3BEF">
            <w:pPr>
              <w:spacing w:after="60"/>
              <w:jc w:val="center"/>
              <w:rPr>
                <w:rFonts w:eastAsia="Times New Roman"/>
                <w:b/>
                <w:bCs/>
                <w:color w:val="000000" w:themeColor="text1"/>
                <w:lang w:eastAsia="lv-LV"/>
              </w:rPr>
            </w:pPr>
            <w:r>
              <w:rPr>
                <w:b/>
                <w:bCs/>
                <w:color w:val="000000"/>
              </w:rPr>
              <w:t>Kopā:</w:t>
            </w:r>
          </w:p>
        </w:tc>
        <w:tc>
          <w:tcPr>
            <w:tcW w:w="1428" w:type="dxa"/>
            <w:tcBorders>
              <w:top w:val="nil"/>
              <w:left w:val="single" w:sz="4" w:space="0" w:color="auto"/>
              <w:bottom w:val="single" w:sz="4" w:space="0" w:color="auto"/>
              <w:right w:val="single" w:sz="4" w:space="0" w:color="auto"/>
            </w:tcBorders>
            <w:shd w:val="clear" w:color="auto" w:fill="auto"/>
            <w:vAlign w:val="center"/>
          </w:tcPr>
          <w:p w14:paraId="03318237" w14:textId="3562A800" w:rsidR="006F3BEF" w:rsidRPr="006E246C" w:rsidRDefault="00273BB8" w:rsidP="006F3BEF">
            <w:pPr>
              <w:spacing w:before="120"/>
              <w:jc w:val="center"/>
              <w:rPr>
                <w:rFonts w:eastAsia="Times New Roman"/>
                <w:b/>
                <w:bCs/>
                <w:color w:val="000000" w:themeColor="text1"/>
                <w:lang w:eastAsia="lv-LV"/>
              </w:rPr>
            </w:pPr>
            <w:r>
              <w:rPr>
                <w:b/>
                <w:bCs/>
                <w:color w:val="000000"/>
              </w:rPr>
              <w:t>720 059</w:t>
            </w:r>
          </w:p>
        </w:tc>
        <w:tc>
          <w:tcPr>
            <w:tcW w:w="1559" w:type="dxa"/>
            <w:tcBorders>
              <w:top w:val="nil"/>
              <w:left w:val="nil"/>
              <w:bottom w:val="single" w:sz="4" w:space="0" w:color="auto"/>
              <w:right w:val="single" w:sz="4" w:space="0" w:color="auto"/>
            </w:tcBorders>
            <w:shd w:val="clear" w:color="auto" w:fill="auto"/>
            <w:vAlign w:val="center"/>
          </w:tcPr>
          <w:p w14:paraId="03318238" w14:textId="1F707C8E" w:rsidR="006F3BEF" w:rsidRPr="006E246C" w:rsidRDefault="006F3BEF" w:rsidP="00915D78">
            <w:pPr>
              <w:spacing w:before="120"/>
              <w:jc w:val="center"/>
              <w:rPr>
                <w:rFonts w:eastAsia="Times New Roman"/>
                <w:b/>
                <w:color w:val="000000" w:themeColor="text1"/>
                <w:lang w:eastAsia="lv-LV"/>
              </w:rPr>
            </w:pPr>
            <w:r>
              <w:rPr>
                <w:b/>
                <w:bCs/>
                <w:color w:val="000000"/>
              </w:rPr>
              <w:t>576 047</w:t>
            </w:r>
          </w:p>
        </w:tc>
        <w:tc>
          <w:tcPr>
            <w:tcW w:w="2408" w:type="dxa"/>
            <w:tcBorders>
              <w:top w:val="nil"/>
              <w:left w:val="nil"/>
              <w:bottom w:val="single" w:sz="4" w:space="0" w:color="auto"/>
              <w:right w:val="single" w:sz="4" w:space="0" w:color="auto"/>
            </w:tcBorders>
            <w:shd w:val="clear" w:color="auto" w:fill="auto"/>
            <w:vAlign w:val="center"/>
            <w:hideMark/>
          </w:tcPr>
          <w:p w14:paraId="3BD6A1F0" w14:textId="39671C58" w:rsidR="00915D78" w:rsidRDefault="00915D78" w:rsidP="006F3BEF">
            <w:pPr>
              <w:spacing w:before="120"/>
              <w:jc w:val="center"/>
              <w:rPr>
                <w:b/>
                <w:bCs/>
                <w:color w:val="000000"/>
              </w:rPr>
            </w:pPr>
            <w:r>
              <w:rPr>
                <w:b/>
                <w:bCs/>
                <w:color w:val="000000"/>
              </w:rPr>
              <w:t xml:space="preserve"> </w:t>
            </w:r>
          </w:p>
          <w:p w14:paraId="0331823B" w14:textId="0FE413C2" w:rsidR="006F3BEF" w:rsidRPr="006E246C" w:rsidRDefault="00915D78" w:rsidP="006F3BEF">
            <w:pPr>
              <w:spacing w:before="120"/>
              <w:jc w:val="center"/>
              <w:rPr>
                <w:rFonts w:eastAsia="Times New Roman"/>
                <w:b/>
                <w:bCs/>
                <w:color w:val="000000" w:themeColor="text1"/>
                <w:lang w:eastAsia="lv-LV"/>
              </w:rPr>
            </w:pPr>
            <w:r>
              <w:rPr>
                <w:b/>
                <w:bCs/>
                <w:color w:val="000000"/>
              </w:rPr>
              <w:t>131 455</w:t>
            </w:r>
          </w:p>
        </w:tc>
        <w:tc>
          <w:tcPr>
            <w:tcW w:w="2408" w:type="dxa"/>
            <w:tcBorders>
              <w:top w:val="nil"/>
              <w:left w:val="nil"/>
              <w:bottom w:val="single" w:sz="4" w:space="0" w:color="auto"/>
              <w:right w:val="single" w:sz="4" w:space="0" w:color="auto"/>
            </w:tcBorders>
            <w:vAlign w:val="center"/>
          </w:tcPr>
          <w:p w14:paraId="5D78EDF4" w14:textId="2E8C52AB" w:rsidR="006F3BEF" w:rsidRDefault="006F3BEF" w:rsidP="006F3BEF">
            <w:pPr>
              <w:spacing w:before="120"/>
              <w:jc w:val="center"/>
              <w:rPr>
                <w:b/>
                <w:bCs/>
                <w:color w:val="000000"/>
              </w:rPr>
            </w:pPr>
            <w:r>
              <w:rPr>
                <w:b/>
                <w:bCs/>
                <w:color w:val="000000"/>
              </w:rPr>
              <w:t>12 557</w:t>
            </w:r>
          </w:p>
        </w:tc>
      </w:tr>
    </w:tbl>
    <w:p w14:paraId="0331823D" w14:textId="77777777" w:rsidR="001302DC" w:rsidRPr="006E246C" w:rsidRDefault="001302DC" w:rsidP="001302DC">
      <w:pPr>
        <w:spacing w:after="60"/>
        <w:rPr>
          <w:color w:val="000000" w:themeColor="text1"/>
        </w:rPr>
      </w:pPr>
    </w:p>
    <w:p w14:paraId="0331823E" w14:textId="77777777" w:rsidR="001302DC" w:rsidRPr="006E246C" w:rsidRDefault="001302DC" w:rsidP="001302DC">
      <w:pPr>
        <w:spacing w:after="60"/>
        <w:ind w:firstLine="709"/>
        <w:rPr>
          <w:color w:val="000000" w:themeColor="text1"/>
        </w:rPr>
      </w:pPr>
      <w:r w:rsidRPr="006E246C">
        <w:rPr>
          <w:color w:val="000000" w:themeColor="text1"/>
        </w:rPr>
        <w:t xml:space="preserve">Tabulā Nr. 2 ir atspoguļotas budžeta kategorijas un plānotais budžets Ventspils Augstskolai. </w:t>
      </w:r>
      <w:r w:rsidRPr="006E246C">
        <w:rPr>
          <w:color w:val="000000" w:themeColor="text1"/>
          <w:shd w:val="clear" w:color="auto" w:fill="FFFFFF"/>
        </w:rPr>
        <w:t>Pilsētu projekta</w:t>
      </w:r>
      <w:r w:rsidRPr="006E246C">
        <w:rPr>
          <w:color w:val="000000" w:themeColor="text1"/>
        </w:rPr>
        <w:t xml:space="preserve"> tiešās izmaksas ietver: 1) projekta īstenošanā iesaistītā personāla atlīdzību; 2) iekārtas un aprīkojumu 3) ceļa un uzturēšanās izdevumus projekta personālam projekta sanāksmju apmeklēšanai un projekta darba grupu apmeklēšanai ārvalstīs; 4) ārpakalpojumu veikšanu, kurus neveic iesaistītās institūcijas (piemēram, mārketinga stratēģijas izstrāde); 5) citus ar projektu saistītos izdevumus (piemēram, konferenču organizēšana, darba grupu organizēšana, komunikācijas aktivitāšu īstenošana). </w:t>
      </w:r>
    </w:p>
    <w:p w14:paraId="0331823F" w14:textId="77777777" w:rsidR="001302DC" w:rsidRPr="006E246C" w:rsidRDefault="001302DC" w:rsidP="001302DC">
      <w:pPr>
        <w:spacing w:after="60"/>
        <w:ind w:firstLine="709"/>
        <w:rPr>
          <w:color w:val="000000" w:themeColor="text1"/>
        </w:rPr>
      </w:pPr>
    </w:p>
    <w:p w14:paraId="217F002F" w14:textId="77777777" w:rsidR="00267909" w:rsidRPr="006E246C" w:rsidRDefault="001302DC" w:rsidP="001302DC">
      <w:pPr>
        <w:ind w:firstLine="720"/>
        <w:jc w:val="right"/>
        <w:rPr>
          <w:color w:val="000000" w:themeColor="text1"/>
        </w:rPr>
      </w:pPr>
      <w:r w:rsidRPr="006E246C">
        <w:rPr>
          <w:color w:val="000000" w:themeColor="text1"/>
        </w:rPr>
        <w:t xml:space="preserve">Tabula Nr. 2 </w:t>
      </w:r>
    </w:p>
    <w:p w14:paraId="03318240" w14:textId="19B19419" w:rsidR="001302DC" w:rsidRPr="006E246C" w:rsidRDefault="001302DC" w:rsidP="00267909">
      <w:pPr>
        <w:ind w:firstLine="720"/>
        <w:jc w:val="center"/>
        <w:rPr>
          <w:b/>
          <w:color w:val="000000" w:themeColor="text1"/>
        </w:rPr>
      </w:pPr>
      <w:r w:rsidRPr="006E246C">
        <w:rPr>
          <w:b/>
          <w:color w:val="000000" w:themeColor="text1"/>
        </w:rPr>
        <w:t>Pilsētu projekta budžeta kategorijas un</w:t>
      </w:r>
    </w:p>
    <w:p w14:paraId="03318241" w14:textId="17F1ACFF" w:rsidR="001302DC" w:rsidRPr="006E246C" w:rsidRDefault="001302DC" w:rsidP="00267909">
      <w:pPr>
        <w:ind w:firstLine="720"/>
        <w:jc w:val="center"/>
        <w:rPr>
          <w:b/>
          <w:color w:val="000000" w:themeColor="text1"/>
        </w:rPr>
      </w:pPr>
      <w:r w:rsidRPr="006E246C">
        <w:rPr>
          <w:b/>
          <w:color w:val="000000" w:themeColor="text1"/>
        </w:rPr>
        <w:t>Ventspil</w:t>
      </w:r>
      <w:r w:rsidR="00267909" w:rsidRPr="006E246C">
        <w:rPr>
          <w:b/>
          <w:color w:val="000000" w:themeColor="text1"/>
        </w:rPr>
        <w:t>s Augstskolai plānotais budžets</w:t>
      </w:r>
    </w:p>
    <w:tbl>
      <w:tblPr>
        <w:tblStyle w:val="TableGrid"/>
        <w:tblW w:w="0" w:type="auto"/>
        <w:jc w:val="center"/>
        <w:tblLook w:val="04A0" w:firstRow="1" w:lastRow="0" w:firstColumn="1" w:lastColumn="0" w:noHBand="0" w:noVBand="1"/>
      </w:tblPr>
      <w:tblGrid>
        <w:gridCol w:w="6403"/>
        <w:gridCol w:w="2431"/>
      </w:tblGrid>
      <w:tr w:rsidR="00110D56" w:rsidRPr="006E246C" w14:paraId="3808F212" w14:textId="77777777" w:rsidTr="006E246C">
        <w:trPr>
          <w:trHeight w:val="340"/>
          <w:jc w:val="center"/>
        </w:trPr>
        <w:tc>
          <w:tcPr>
            <w:tcW w:w="6403" w:type="dxa"/>
            <w:vAlign w:val="center"/>
          </w:tcPr>
          <w:p w14:paraId="0D140210" w14:textId="77777777" w:rsidR="00110D56" w:rsidRPr="006E246C" w:rsidRDefault="00110D56" w:rsidP="006E246C">
            <w:pPr>
              <w:spacing w:after="60"/>
              <w:jc w:val="center"/>
              <w:rPr>
                <w:b/>
                <w:color w:val="000000" w:themeColor="text1"/>
              </w:rPr>
            </w:pPr>
            <w:r w:rsidRPr="006E246C">
              <w:rPr>
                <w:b/>
                <w:color w:val="000000" w:themeColor="text1"/>
              </w:rPr>
              <w:t>Budžeta kategorijas</w:t>
            </w:r>
          </w:p>
        </w:tc>
        <w:tc>
          <w:tcPr>
            <w:tcW w:w="2431" w:type="dxa"/>
            <w:vAlign w:val="center"/>
          </w:tcPr>
          <w:p w14:paraId="539FE45F" w14:textId="77777777" w:rsidR="00110D56" w:rsidRPr="006E246C" w:rsidRDefault="00110D56" w:rsidP="006E246C">
            <w:pPr>
              <w:spacing w:after="60"/>
              <w:jc w:val="center"/>
              <w:rPr>
                <w:b/>
                <w:color w:val="000000" w:themeColor="text1"/>
              </w:rPr>
            </w:pPr>
            <w:r w:rsidRPr="006E246C">
              <w:rPr>
                <w:b/>
                <w:color w:val="000000" w:themeColor="text1"/>
              </w:rPr>
              <w:t>Plānotais budžets, EUR</w:t>
            </w:r>
          </w:p>
        </w:tc>
      </w:tr>
      <w:tr w:rsidR="00110D56" w:rsidRPr="006E246C" w14:paraId="1952643F" w14:textId="77777777" w:rsidTr="006E246C">
        <w:trPr>
          <w:trHeight w:val="340"/>
          <w:jc w:val="center"/>
        </w:trPr>
        <w:tc>
          <w:tcPr>
            <w:tcW w:w="6403" w:type="dxa"/>
            <w:vAlign w:val="center"/>
          </w:tcPr>
          <w:p w14:paraId="4A3B630C" w14:textId="77777777" w:rsidR="00110D56" w:rsidRPr="006E246C" w:rsidRDefault="00110D56" w:rsidP="006E246C">
            <w:pPr>
              <w:pStyle w:val="ListParagraph"/>
              <w:numPr>
                <w:ilvl w:val="0"/>
                <w:numId w:val="4"/>
              </w:numPr>
              <w:spacing w:after="60"/>
              <w:rPr>
                <w:rFonts w:ascii="Times New Roman" w:hAnsi="Times New Roman" w:cs="Times New Roman"/>
                <w:color w:val="000000" w:themeColor="text1"/>
                <w:sz w:val="24"/>
                <w:szCs w:val="24"/>
              </w:rPr>
            </w:pPr>
            <w:r w:rsidRPr="006E246C">
              <w:rPr>
                <w:rFonts w:ascii="Times New Roman" w:hAnsi="Times New Roman" w:cs="Times New Roman"/>
                <w:color w:val="000000" w:themeColor="text1"/>
                <w:sz w:val="24"/>
                <w:szCs w:val="24"/>
              </w:rPr>
              <w:t>Tiešās izmaksas ( personāla algas)</w:t>
            </w:r>
          </w:p>
        </w:tc>
        <w:tc>
          <w:tcPr>
            <w:tcW w:w="2431" w:type="dxa"/>
            <w:vAlign w:val="center"/>
          </w:tcPr>
          <w:p w14:paraId="63539A46" w14:textId="43885303" w:rsidR="00110D56" w:rsidRPr="006E246C" w:rsidRDefault="00110D56" w:rsidP="006E246C">
            <w:pPr>
              <w:spacing w:after="60"/>
              <w:jc w:val="center"/>
              <w:rPr>
                <w:color w:val="000000" w:themeColor="text1"/>
              </w:rPr>
            </w:pPr>
            <w:r w:rsidRPr="006E246C">
              <w:rPr>
                <w:color w:val="000000" w:themeColor="text1"/>
              </w:rPr>
              <w:t>378</w:t>
            </w:r>
            <w:r w:rsidR="00A17164">
              <w:rPr>
                <w:color w:val="000000" w:themeColor="text1"/>
              </w:rPr>
              <w:t xml:space="preserve"> </w:t>
            </w:r>
            <w:r w:rsidRPr="006E246C">
              <w:rPr>
                <w:color w:val="000000" w:themeColor="text1"/>
              </w:rPr>
              <w:t>920</w:t>
            </w:r>
          </w:p>
        </w:tc>
      </w:tr>
      <w:tr w:rsidR="00110D56" w:rsidRPr="006E246C" w14:paraId="61365AF1" w14:textId="77777777" w:rsidTr="006E246C">
        <w:trPr>
          <w:trHeight w:val="340"/>
          <w:jc w:val="center"/>
        </w:trPr>
        <w:tc>
          <w:tcPr>
            <w:tcW w:w="6403" w:type="dxa"/>
            <w:vAlign w:val="center"/>
          </w:tcPr>
          <w:p w14:paraId="08DC7F2F" w14:textId="77777777" w:rsidR="00110D56" w:rsidRPr="006E246C" w:rsidRDefault="00110D56" w:rsidP="006E246C">
            <w:pPr>
              <w:pStyle w:val="ListParagraph"/>
              <w:numPr>
                <w:ilvl w:val="0"/>
                <w:numId w:val="4"/>
              </w:numPr>
              <w:spacing w:after="60"/>
              <w:rPr>
                <w:rFonts w:ascii="Times New Roman" w:hAnsi="Times New Roman" w:cs="Times New Roman"/>
                <w:color w:val="000000" w:themeColor="text1"/>
                <w:sz w:val="24"/>
                <w:szCs w:val="24"/>
              </w:rPr>
            </w:pPr>
            <w:r w:rsidRPr="006E246C">
              <w:rPr>
                <w:rFonts w:ascii="Times New Roman" w:hAnsi="Times New Roman" w:cs="Times New Roman"/>
                <w:color w:val="000000" w:themeColor="text1"/>
                <w:sz w:val="24"/>
                <w:szCs w:val="24"/>
              </w:rPr>
              <w:t>Tiešās izmaksas ( darbības izmaksas)</w:t>
            </w:r>
          </w:p>
        </w:tc>
        <w:tc>
          <w:tcPr>
            <w:tcW w:w="2431" w:type="dxa"/>
            <w:vAlign w:val="center"/>
          </w:tcPr>
          <w:p w14:paraId="0E07EDB1" w14:textId="5E4CFDD5" w:rsidR="00110D56" w:rsidRPr="006E246C" w:rsidRDefault="00110D56" w:rsidP="006E246C">
            <w:pPr>
              <w:spacing w:after="60"/>
              <w:jc w:val="center"/>
              <w:rPr>
                <w:rFonts w:eastAsia="Times New Roman"/>
                <w:color w:val="000000" w:themeColor="text1"/>
                <w:lang w:eastAsia="en-GB"/>
              </w:rPr>
            </w:pPr>
            <w:r w:rsidRPr="006E246C">
              <w:rPr>
                <w:rFonts w:eastAsia="Times New Roman"/>
                <w:color w:val="000000" w:themeColor="text1"/>
                <w:lang w:eastAsia="en-GB"/>
              </w:rPr>
              <w:t>28</w:t>
            </w:r>
            <w:r w:rsidR="00A17164">
              <w:rPr>
                <w:rFonts w:eastAsia="Times New Roman"/>
                <w:color w:val="000000" w:themeColor="text1"/>
                <w:lang w:eastAsia="en-GB"/>
              </w:rPr>
              <w:t xml:space="preserve"> </w:t>
            </w:r>
            <w:r w:rsidRPr="006E246C">
              <w:rPr>
                <w:rFonts w:eastAsia="Times New Roman"/>
                <w:color w:val="000000" w:themeColor="text1"/>
                <w:lang w:eastAsia="en-GB"/>
              </w:rPr>
              <w:t xml:space="preserve">4301         </w:t>
            </w:r>
          </w:p>
        </w:tc>
      </w:tr>
      <w:tr w:rsidR="00110D56" w:rsidRPr="006E246C" w14:paraId="226B77BE" w14:textId="77777777" w:rsidTr="006E246C">
        <w:trPr>
          <w:trHeight w:val="340"/>
          <w:jc w:val="center"/>
        </w:trPr>
        <w:tc>
          <w:tcPr>
            <w:tcW w:w="6403" w:type="dxa"/>
            <w:vAlign w:val="center"/>
          </w:tcPr>
          <w:p w14:paraId="7D4BBFDD" w14:textId="77777777" w:rsidR="00110D56" w:rsidRPr="006E246C" w:rsidRDefault="00110D56" w:rsidP="006E246C">
            <w:pPr>
              <w:spacing w:after="60"/>
              <w:ind w:firstLine="880"/>
              <w:rPr>
                <w:i/>
                <w:color w:val="000000" w:themeColor="text1"/>
              </w:rPr>
            </w:pPr>
            <w:r w:rsidRPr="006E246C">
              <w:rPr>
                <w:i/>
                <w:color w:val="000000" w:themeColor="text1"/>
              </w:rPr>
              <w:t>2.1. Iekārtas un aprīkojums</w:t>
            </w:r>
          </w:p>
        </w:tc>
        <w:tc>
          <w:tcPr>
            <w:tcW w:w="2431" w:type="dxa"/>
            <w:vAlign w:val="center"/>
          </w:tcPr>
          <w:p w14:paraId="5E0C8C33" w14:textId="7A54710E" w:rsidR="00110D56" w:rsidRPr="006E246C" w:rsidRDefault="00110D56" w:rsidP="006E246C">
            <w:pPr>
              <w:spacing w:after="60"/>
              <w:jc w:val="center"/>
              <w:rPr>
                <w:i/>
                <w:color w:val="000000" w:themeColor="text1"/>
              </w:rPr>
            </w:pPr>
            <w:r w:rsidRPr="006E246C">
              <w:rPr>
                <w:i/>
                <w:color w:val="000000" w:themeColor="text1"/>
              </w:rPr>
              <w:t>123</w:t>
            </w:r>
            <w:r w:rsidR="00A17164">
              <w:rPr>
                <w:i/>
                <w:color w:val="000000" w:themeColor="text1"/>
              </w:rPr>
              <w:t xml:space="preserve"> </w:t>
            </w:r>
            <w:r w:rsidRPr="006E246C">
              <w:rPr>
                <w:i/>
                <w:color w:val="000000" w:themeColor="text1"/>
              </w:rPr>
              <w:t>240</w:t>
            </w:r>
          </w:p>
        </w:tc>
      </w:tr>
      <w:tr w:rsidR="00110D56" w:rsidRPr="001302DC" w14:paraId="51343EEB" w14:textId="77777777" w:rsidTr="006E246C">
        <w:trPr>
          <w:trHeight w:val="340"/>
          <w:jc w:val="center"/>
        </w:trPr>
        <w:tc>
          <w:tcPr>
            <w:tcW w:w="6403" w:type="dxa"/>
            <w:vAlign w:val="center"/>
          </w:tcPr>
          <w:p w14:paraId="0FDD6721" w14:textId="77777777" w:rsidR="00110D56" w:rsidRPr="006E246C" w:rsidRDefault="00110D56" w:rsidP="006E246C">
            <w:pPr>
              <w:spacing w:after="60"/>
              <w:ind w:firstLine="880"/>
              <w:rPr>
                <w:i/>
                <w:color w:val="000000" w:themeColor="text1"/>
              </w:rPr>
            </w:pPr>
            <w:r w:rsidRPr="006E246C">
              <w:rPr>
                <w:i/>
                <w:color w:val="000000" w:themeColor="text1"/>
              </w:rPr>
              <w:t>2.2. Ārpakalpojumi</w:t>
            </w:r>
          </w:p>
        </w:tc>
        <w:tc>
          <w:tcPr>
            <w:tcW w:w="2431" w:type="dxa"/>
            <w:vAlign w:val="center"/>
          </w:tcPr>
          <w:p w14:paraId="3BCA0BD2" w14:textId="15E9871D" w:rsidR="00110D56" w:rsidRPr="001302DC" w:rsidRDefault="00110D56" w:rsidP="006E246C">
            <w:pPr>
              <w:spacing w:after="60"/>
              <w:jc w:val="center"/>
              <w:rPr>
                <w:i/>
                <w:color w:val="000000" w:themeColor="text1"/>
              </w:rPr>
            </w:pPr>
            <w:r w:rsidRPr="006E246C">
              <w:rPr>
                <w:i/>
                <w:color w:val="000000" w:themeColor="text1"/>
              </w:rPr>
              <w:t>127</w:t>
            </w:r>
            <w:r w:rsidR="00A17164">
              <w:rPr>
                <w:i/>
                <w:color w:val="000000" w:themeColor="text1"/>
              </w:rPr>
              <w:t xml:space="preserve"> </w:t>
            </w:r>
            <w:r w:rsidRPr="006E246C">
              <w:rPr>
                <w:i/>
                <w:color w:val="000000" w:themeColor="text1"/>
              </w:rPr>
              <w:t>208</w:t>
            </w:r>
          </w:p>
        </w:tc>
      </w:tr>
      <w:tr w:rsidR="00110D56" w:rsidRPr="001302DC" w14:paraId="145777FA" w14:textId="77777777" w:rsidTr="006E246C">
        <w:trPr>
          <w:trHeight w:val="340"/>
          <w:jc w:val="center"/>
        </w:trPr>
        <w:tc>
          <w:tcPr>
            <w:tcW w:w="6403" w:type="dxa"/>
            <w:vAlign w:val="center"/>
          </w:tcPr>
          <w:p w14:paraId="5C5EB016" w14:textId="43B71DC2" w:rsidR="00110D56" w:rsidRPr="001302DC" w:rsidRDefault="00110D56" w:rsidP="006E246C">
            <w:pPr>
              <w:spacing w:after="60"/>
              <w:ind w:firstLine="880"/>
              <w:rPr>
                <w:i/>
                <w:color w:val="000000" w:themeColor="text1"/>
              </w:rPr>
            </w:pPr>
            <w:r w:rsidRPr="001302DC">
              <w:rPr>
                <w:i/>
                <w:color w:val="000000" w:themeColor="text1"/>
              </w:rPr>
              <w:lastRenderedPageBreak/>
              <w:t>2.</w:t>
            </w:r>
            <w:r w:rsidR="00915280">
              <w:rPr>
                <w:i/>
                <w:color w:val="000000" w:themeColor="text1"/>
              </w:rPr>
              <w:t>3</w:t>
            </w:r>
            <w:r w:rsidRPr="001302DC">
              <w:rPr>
                <w:i/>
                <w:color w:val="000000" w:themeColor="text1"/>
              </w:rPr>
              <w:t>. Ceļa un uzturēšanās izdevumi</w:t>
            </w:r>
          </w:p>
        </w:tc>
        <w:tc>
          <w:tcPr>
            <w:tcW w:w="2431" w:type="dxa"/>
            <w:vAlign w:val="center"/>
          </w:tcPr>
          <w:p w14:paraId="3796195B" w14:textId="572D2E10" w:rsidR="00110D56" w:rsidRPr="001302DC" w:rsidRDefault="00110D56" w:rsidP="006E246C">
            <w:pPr>
              <w:spacing w:after="60"/>
              <w:jc w:val="center"/>
              <w:rPr>
                <w:i/>
                <w:color w:val="000000" w:themeColor="text1"/>
              </w:rPr>
            </w:pPr>
            <w:r w:rsidRPr="001302DC">
              <w:rPr>
                <w:i/>
                <w:color w:val="000000" w:themeColor="text1"/>
              </w:rPr>
              <w:t>33</w:t>
            </w:r>
            <w:r w:rsidR="00A17164">
              <w:rPr>
                <w:i/>
                <w:color w:val="000000" w:themeColor="text1"/>
              </w:rPr>
              <w:t xml:space="preserve"> </w:t>
            </w:r>
            <w:r w:rsidRPr="001302DC">
              <w:rPr>
                <w:i/>
                <w:color w:val="000000" w:themeColor="text1"/>
              </w:rPr>
              <w:t>853</w:t>
            </w:r>
          </w:p>
        </w:tc>
      </w:tr>
      <w:tr w:rsidR="00110D56" w:rsidRPr="001302DC" w14:paraId="394C5F03" w14:textId="77777777" w:rsidTr="006E246C">
        <w:trPr>
          <w:trHeight w:val="340"/>
          <w:jc w:val="center"/>
        </w:trPr>
        <w:tc>
          <w:tcPr>
            <w:tcW w:w="6403" w:type="dxa"/>
            <w:vAlign w:val="center"/>
          </w:tcPr>
          <w:p w14:paraId="7AA262F8" w14:textId="62FD6162" w:rsidR="00110D56" w:rsidRPr="001302DC" w:rsidRDefault="00110D56" w:rsidP="006E246C">
            <w:pPr>
              <w:spacing w:after="60"/>
              <w:ind w:firstLine="880"/>
              <w:rPr>
                <w:i/>
                <w:color w:val="000000" w:themeColor="text1"/>
              </w:rPr>
            </w:pPr>
            <w:r w:rsidRPr="001302DC">
              <w:rPr>
                <w:i/>
                <w:color w:val="000000" w:themeColor="text1"/>
              </w:rPr>
              <w:t>2.</w:t>
            </w:r>
            <w:r w:rsidR="00915280">
              <w:rPr>
                <w:i/>
                <w:color w:val="000000" w:themeColor="text1"/>
              </w:rPr>
              <w:t>4</w:t>
            </w:r>
            <w:r w:rsidRPr="001302DC">
              <w:rPr>
                <w:i/>
                <w:color w:val="000000" w:themeColor="text1"/>
              </w:rPr>
              <w:t>. Citas ar projekta īstenošanu saistītās izmaksas</w:t>
            </w:r>
          </w:p>
        </w:tc>
        <w:tc>
          <w:tcPr>
            <w:tcW w:w="2431" w:type="dxa"/>
            <w:vAlign w:val="center"/>
          </w:tcPr>
          <w:p w14:paraId="42BBCA4A" w14:textId="77777777" w:rsidR="00110D56" w:rsidRPr="001302DC" w:rsidRDefault="00110D56" w:rsidP="006E246C">
            <w:pPr>
              <w:spacing w:after="60"/>
              <w:jc w:val="center"/>
              <w:rPr>
                <w:color w:val="000000" w:themeColor="text1"/>
              </w:rPr>
            </w:pPr>
            <w:r w:rsidRPr="001302DC">
              <w:rPr>
                <w:color w:val="000000" w:themeColor="text1"/>
              </w:rPr>
              <w:t>0</w:t>
            </w:r>
          </w:p>
        </w:tc>
      </w:tr>
      <w:tr w:rsidR="00110D56" w:rsidRPr="001302DC" w14:paraId="0CA9C278" w14:textId="77777777" w:rsidTr="006E246C">
        <w:trPr>
          <w:trHeight w:val="340"/>
          <w:jc w:val="center"/>
        </w:trPr>
        <w:tc>
          <w:tcPr>
            <w:tcW w:w="6403" w:type="dxa"/>
            <w:vAlign w:val="center"/>
          </w:tcPr>
          <w:p w14:paraId="41E5BFAB" w14:textId="77777777" w:rsidR="00110D56" w:rsidRPr="001302DC" w:rsidRDefault="00110D56" w:rsidP="006E246C">
            <w:pPr>
              <w:pStyle w:val="ListParagraph"/>
              <w:numPr>
                <w:ilvl w:val="0"/>
                <w:numId w:val="4"/>
              </w:numPr>
              <w:spacing w:after="60"/>
              <w:rPr>
                <w:rFonts w:ascii="Times New Roman" w:hAnsi="Times New Roman" w:cs="Times New Roman"/>
                <w:color w:val="000000" w:themeColor="text1"/>
                <w:sz w:val="24"/>
                <w:szCs w:val="24"/>
              </w:rPr>
            </w:pPr>
            <w:r w:rsidRPr="001302DC">
              <w:rPr>
                <w:rFonts w:ascii="Times New Roman" w:hAnsi="Times New Roman" w:cs="Times New Roman"/>
                <w:color w:val="000000" w:themeColor="text1"/>
                <w:sz w:val="24"/>
                <w:szCs w:val="24"/>
              </w:rPr>
              <w:t>Netiešās izmaksas</w:t>
            </w:r>
          </w:p>
        </w:tc>
        <w:tc>
          <w:tcPr>
            <w:tcW w:w="2431" w:type="dxa"/>
            <w:vAlign w:val="center"/>
          </w:tcPr>
          <w:p w14:paraId="25F6EB33" w14:textId="697238F4" w:rsidR="00110D56" w:rsidRPr="001302DC" w:rsidRDefault="00110D56" w:rsidP="006E246C">
            <w:pPr>
              <w:spacing w:after="60"/>
              <w:jc w:val="center"/>
              <w:rPr>
                <w:color w:val="000000" w:themeColor="text1"/>
              </w:rPr>
            </w:pPr>
            <w:r w:rsidRPr="001302DC">
              <w:rPr>
                <w:color w:val="000000" w:themeColor="text1"/>
              </w:rPr>
              <w:t>56</w:t>
            </w:r>
            <w:r w:rsidR="00A17164">
              <w:rPr>
                <w:color w:val="000000" w:themeColor="text1"/>
              </w:rPr>
              <w:t xml:space="preserve"> </w:t>
            </w:r>
            <w:r w:rsidRPr="001302DC">
              <w:rPr>
                <w:color w:val="000000" w:themeColor="text1"/>
              </w:rPr>
              <w:t>838</w:t>
            </w:r>
          </w:p>
        </w:tc>
      </w:tr>
      <w:tr w:rsidR="00110D56" w:rsidRPr="001302DC" w14:paraId="06E585A6" w14:textId="77777777" w:rsidTr="006E246C">
        <w:trPr>
          <w:trHeight w:val="340"/>
          <w:jc w:val="center"/>
        </w:trPr>
        <w:tc>
          <w:tcPr>
            <w:tcW w:w="6403" w:type="dxa"/>
            <w:vAlign w:val="center"/>
          </w:tcPr>
          <w:p w14:paraId="67963F3F" w14:textId="77777777" w:rsidR="00110D56" w:rsidRPr="001302DC" w:rsidRDefault="00110D56" w:rsidP="006E246C">
            <w:pPr>
              <w:spacing w:after="60"/>
              <w:rPr>
                <w:b/>
                <w:color w:val="000000" w:themeColor="text1"/>
              </w:rPr>
            </w:pPr>
            <w:r w:rsidRPr="001302DC">
              <w:rPr>
                <w:b/>
                <w:color w:val="000000" w:themeColor="text1"/>
              </w:rPr>
              <w:t>Kopējās projekta izmaksas:</w:t>
            </w:r>
          </w:p>
        </w:tc>
        <w:tc>
          <w:tcPr>
            <w:tcW w:w="2431" w:type="dxa"/>
            <w:vAlign w:val="center"/>
          </w:tcPr>
          <w:p w14:paraId="0A0542EF" w14:textId="73C47E33" w:rsidR="00110D56" w:rsidRPr="001302DC" w:rsidRDefault="00110D56" w:rsidP="006E246C">
            <w:pPr>
              <w:spacing w:after="60"/>
              <w:jc w:val="center"/>
              <w:rPr>
                <w:b/>
                <w:color w:val="000000" w:themeColor="text1"/>
              </w:rPr>
            </w:pPr>
            <w:r w:rsidRPr="001302DC">
              <w:rPr>
                <w:b/>
                <w:color w:val="000000" w:themeColor="text1"/>
              </w:rPr>
              <w:t>720</w:t>
            </w:r>
            <w:r w:rsidR="001C15AB">
              <w:rPr>
                <w:b/>
                <w:color w:val="000000" w:themeColor="text1"/>
              </w:rPr>
              <w:t xml:space="preserve"> </w:t>
            </w:r>
            <w:r w:rsidR="000F04C6">
              <w:rPr>
                <w:b/>
                <w:color w:val="000000" w:themeColor="text1"/>
              </w:rPr>
              <w:t>059</w:t>
            </w:r>
          </w:p>
        </w:tc>
      </w:tr>
    </w:tbl>
    <w:p w14:paraId="76D60F40" w14:textId="77777777" w:rsidR="00110D56" w:rsidRPr="001302DC" w:rsidRDefault="00110D56" w:rsidP="001302DC">
      <w:pPr>
        <w:ind w:firstLine="720"/>
        <w:jc w:val="right"/>
        <w:rPr>
          <w:b/>
          <w:color w:val="000000" w:themeColor="text1"/>
        </w:rPr>
      </w:pPr>
    </w:p>
    <w:p w14:paraId="0331825D" w14:textId="3120BF6A" w:rsidR="001302DC" w:rsidRPr="001302DC" w:rsidRDefault="001302DC" w:rsidP="001302DC">
      <w:pPr>
        <w:spacing w:after="60"/>
        <w:rPr>
          <w:shd w:val="clear" w:color="auto" w:fill="FFFFFF"/>
        </w:rPr>
      </w:pPr>
      <w:r w:rsidRPr="001302DC">
        <w:t xml:space="preserve">Ventspils Augstskola </w:t>
      </w:r>
      <w:r w:rsidRPr="001302DC">
        <w:rPr>
          <w:rFonts w:eastAsia="Times New Roman"/>
          <w:bdr w:val="none" w:sz="0" w:space="0" w:color="auto" w:frame="1"/>
        </w:rPr>
        <w:t xml:space="preserve">ir iesaistījusies vairāku </w:t>
      </w:r>
      <w:r w:rsidR="0083586E">
        <w:rPr>
          <w:shd w:val="clear" w:color="auto" w:fill="FFFFFF"/>
        </w:rPr>
        <w:t>ES fondu</w:t>
      </w:r>
      <w:r w:rsidRPr="001302DC">
        <w:rPr>
          <w:shd w:val="clear" w:color="auto" w:fill="FFFFFF"/>
        </w:rPr>
        <w:t xml:space="preserve"> projektu īstenošanā.</w:t>
      </w:r>
    </w:p>
    <w:p w14:paraId="0331825E" w14:textId="77777777" w:rsidR="001302DC" w:rsidRPr="001302DC" w:rsidRDefault="001302DC" w:rsidP="00267909">
      <w:pPr>
        <w:pStyle w:val="ListParagraph"/>
        <w:numPr>
          <w:ilvl w:val="0"/>
          <w:numId w:val="27"/>
        </w:numPr>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"Izaugsme un nodarbinātība" 8.2.3. specifiskā atbalsta mērķa "Nodrošināt labāku pārvaldību augstākās izglītības institūcijās" projekta Nr. 8.2.3.0/18/A/014 “</w:t>
      </w:r>
      <w:r w:rsidRPr="001302DC">
        <w:rPr>
          <w:rFonts w:ascii="Times New Roman" w:hAnsi="Times New Roman" w:cs="Times New Roman"/>
          <w:i/>
          <w:sz w:val="24"/>
          <w:szCs w:val="24"/>
        </w:rPr>
        <w:t>Ventspils Augstskolas studiju programmu satura kvalitātes pilnveide, resursu izmantošanas efektivitātes uzlabošana un labākas pārvaldības nodrošināšana</w:t>
      </w:r>
      <w:r w:rsidRPr="001302DC">
        <w:rPr>
          <w:rFonts w:ascii="Times New Roman" w:hAnsi="Times New Roman" w:cs="Times New Roman"/>
          <w:sz w:val="24"/>
          <w:szCs w:val="24"/>
        </w:rPr>
        <w:t xml:space="preserve">” ietvaros tiks izveidota konceptuālā bāze par to, kādā virzienā augstskolas studiju saturu plānots attīstīt vismaz turpmāko 5 gadu laikā. Projekta ietvaros plānots optimizēt resursus un procesus, lai </w:t>
      </w:r>
      <w:proofErr w:type="spellStart"/>
      <w:r w:rsidRPr="001302DC">
        <w:rPr>
          <w:rFonts w:ascii="Times New Roman" w:hAnsi="Times New Roman" w:cs="Times New Roman"/>
          <w:sz w:val="24"/>
          <w:szCs w:val="24"/>
        </w:rPr>
        <w:t>efektivizētu</w:t>
      </w:r>
      <w:proofErr w:type="spellEnd"/>
      <w:r w:rsidRPr="001302DC">
        <w:rPr>
          <w:rFonts w:ascii="Times New Roman" w:hAnsi="Times New Roman" w:cs="Times New Roman"/>
          <w:sz w:val="24"/>
          <w:szCs w:val="24"/>
        </w:rPr>
        <w:t xml:space="preserve"> to izmantošanu, ar mērķi veicināt satura un procesu kvalitātes pilnveidi. Balstoties uz šo konceptuālo izpratni, augstskolā jātop skaidrai attīstības virzībai visos darbības līmeņos.</w:t>
      </w:r>
    </w:p>
    <w:p w14:paraId="0331825F" w14:textId="77777777" w:rsidR="001302DC" w:rsidRPr="001302DC" w:rsidRDefault="001302DC" w:rsidP="00267909">
      <w:pPr>
        <w:pStyle w:val="ListParagraph"/>
        <w:numPr>
          <w:ilvl w:val="0"/>
          <w:numId w:val="27"/>
        </w:numPr>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"Izaugsme un nodarbinātība" 8.2.2. specifiskā atbalsta mērķa "Stiprināt augstākās izglītības institūciju akadēmisko personālu stratēģiskās specializācijas jomās" ietvaros projektā Nr. 8.2.2.0/18/A/009 “</w:t>
      </w:r>
      <w:r w:rsidRPr="001302DC">
        <w:rPr>
          <w:rFonts w:ascii="Times New Roman" w:hAnsi="Times New Roman" w:cs="Times New Roman"/>
          <w:i/>
          <w:sz w:val="24"/>
          <w:szCs w:val="24"/>
        </w:rPr>
        <w:t>Stiprināt Ventspils Augstskolas akadēmisko personālu stratēģiskās specializācijas jomās</w:t>
      </w:r>
      <w:r w:rsidRPr="001302DC">
        <w:rPr>
          <w:rFonts w:ascii="Times New Roman" w:hAnsi="Times New Roman" w:cs="Times New Roman"/>
          <w:sz w:val="24"/>
          <w:szCs w:val="24"/>
        </w:rPr>
        <w:t xml:space="preserve">”  pieejamais finansējums tiek plānots  </w:t>
      </w:r>
      <w:proofErr w:type="spellStart"/>
      <w:r w:rsidRPr="001302DC">
        <w:rPr>
          <w:rFonts w:ascii="Times New Roman" w:hAnsi="Times New Roman" w:cs="Times New Roman"/>
          <w:sz w:val="24"/>
          <w:szCs w:val="24"/>
        </w:rPr>
        <w:t>VeA</w:t>
      </w:r>
      <w:proofErr w:type="spellEnd"/>
      <w:r w:rsidRPr="001302DC">
        <w:rPr>
          <w:rFonts w:ascii="Times New Roman" w:hAnsi="Times New Roman" w:cs="Times New Roman"/>
          <w:sz w:val="24"/>
          <w:szCs w:val="24"/>
        </w:rPr>
        <w:t xml:space="preserve"> akadēmiskā personāla  kapacitātes veicināšanai, jaunu zināšanu apguvei gan individuālās un grupu mācībās, gan arī sadarbībā ar  ārvalstu akadēmisko personālu un piesaistītajiem doktorantiem. Šī projekta ietvaros akadēmiskajam personālam būs iespēja iegūt pieredzi sadarbības stiprināšanai ar industriju un IKT un līderības prasmju veicināšanai, kas būs ļoti nepieciešamas turpmāku jauna veida izglītības tehnoloģiju iekļaujošu mācību kursu izveidei  augstskolas studiju saturā.</w:t>
      </w:r>
    </w:p>
    <w:p w14:paraId="03318260" w14:textId="77777777" w:rsidR="001302DC" w:rsidRPr="001302DC" w:rsidRDefault="001302DC" w:rsidP="00267909">
      <w:pPr>
        <w:pStyle w:val="ListParagraph"/>
        <w:numPr>
          <w:ilvl w:val="0"/>
          <w:numId w:val="27"/>
        </w:numPr>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Projekta Nr. 1.1.1.5./18/A/009 ietvaros tiks veicināta starptautiskās sadarbības un finansējuma piesaiste pētniecībā un akadēmiskajā nozarē, veicināta augstskolas organizētu starptautisku un nacionāla līmeņa konferenču organizēšana, kā arī dalība starptautiskā radioastronomijas nozares tīklojumā.</w:t>
      </w:r>
    </w:p>
    <w:p w14:paraId="03318261" w14:textId="77777777" w:rsidR="001302DC" w:rsidRPr="00F80737" w:rsidRDefault="001302DC" w:rsidP="00267909">
      <w:pPr>
        <w:pStyle w:val="ListParagraph"/>
        <w:numPr>
          <w:ilvl w:val="0"/>
          <w:numId w:val="27"/>
        </w:numPr>
        <w:ind w:left="0" w:firstLine="360"/>
        <w:jc w:val="both"/>
        <w:rPr>
          <w:rFonts w:ascii="Times New Roman" w:hAnsi="Times New Roman" w:cs="Times New Roman"/>
          <w:sz w:val="24"/>
          <w:szCs w:val="24"/>
        </w:rPr>
      </w:pPr>
      <w:r w:rsidRPr="001302DC">
        <w:rPr>
          <w:rFonts w:ascii="Times New Roman" w:hAnsi="Times New Roman" w:cs="Times New Roman"/>
          <w:sz w:val="24"/>
          <w:szCs w:val="24"/>
        </w:rPr>
        <w:t>Visbeidzot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projektā “</w:t>
      </w:r>
      <w:r w:rsidRPr="001302DC">
        <w:rPr>
          <w:rFonts w:ascii="Times New Roman" w:hAnsi="Times New Roman" w:cs="Times New Roman"/>
          <w:i/>
          <w:sz w:val="24"/>
          <w:szCs w:val="24"/>
        </w:rPr>
        <w:t>Kurzemes inovāciju granti studentiem</w:t>
      </w:r>
      <w:r w:rsidRPr="001302DC">
        <w:rPr>
          <w:rFonts w:ascii="Times New Roman" w:hAnsi="Times New Roman" w:cs="Times New Roman"/>
          <w:sz w:val="24"/>
          <w:szCs w:val="24"/>
        </w:rPr>
        <w:t>” ietvaros iepriekšminēto projektu aktivitātēs ieguvušais akadēmiskais personāls varēs gan pilnvērtīgi iesaistīties studentu pētniecisko darbu attīstības atbalstā, gan veicināt praktiskā zināšanu pielietojuma aspekta integrēšanu teorētisko zināšanu kursos, ļaujot studentiem, kuri iesaistīsies minētā projekta aktivitātēs praktisko pētījumu vai uzņēmējdarbības ideju attīstīšanā, radītos rezultātus ieskaitīt kā rezultatīvo rādītāju savos mācību kursos, kā arī balstoties uz iegūto pieredzi mācību kursos iekļaut vairāk izglītības tehnoloģiju.</w:t>
      </w:r>
    </w:p>
    <w:p w14:paraId="03318262" w14:textId="18525E8A" w:rsidR="001302DC" w:rsidRDefault="0083586E" w:rsidP="0083586E">
      <w:pPr>
        <w:ind w:firstLine="720"/>
        <w:rPr>
          <w:color w:val="000000" w:themeColor="text1"/>
        </w:rPr>
      </w:pPr>
      <w:r w:rsidRPr="0083586E">
        <w:rPr>
          <w:color w:val="000000" w:themeColor="text1"/>
        </w:rPr>
        <w:t xml:space="preserve">Iepriekšminēto </w:t>
      </w:r>
      <w:r>
        <w:rPr>
          <w:color w:val="000000" w:themeColor="text1"/>
        </w:rPr>
        <w:t>ES</w:t>
      </w:r>
      <w:r w:rsidRPr="0083586E">
        <w:rPr>
          <w:color w:val="000000" w:themeColor="text1"/>
        </w:rPr>
        <w:t xml:space="preserve"> fonda projektu aktivitātes nepārklājas ar Pilsētu projekta plānotajām darbībām, vienlaikus tās ir savstarpēji papildinošas, līdz ar to </w:t>
      </w:r>
      <w:r>
        <w:rPr>
          <w:color w:val="000000" w:themeColor="text1"/>
        </w:rPr>
        <w:t>Ventspils augstskola</w:t>
      </w:r>
      <w:r w:rsidRPr="0083586E">
        <w:rPr>
          <w:color w:val="000000" w:themeColor="text1"/>
        </w:rPr>
        <w:t xml:space="preserve"> nodrošinās gan jau </w:t>
      </w:r>
      <w:r w:rsidRPr="000E09A5">
        <w:rPr>
          <w:color w:val="000000" w:themeColor="text1"/>
        </w:rPr>
        <w:t>projektu ietvaros īstenoto, gan plānoto darbību demarkāciju.</w:t>
      </w:r>
    </w:p>
    <w:p w14:paraId="2B0180CB" w14:textId="0298A7F1" w:rsidR="00E1393A" w:rsidRDefault="00E1393A" w:rsidP="0083586E">
      <w:pPr>
        <w:ind w:firstLine="720"/>
        <w:rPr>
          <w:color w:val="000000" w:themeColor="text1"/>
        </w:rPr>
      </w:pPr>
    </w:p>
    <w:p w14:paraId="356F83BF" w14:textId="361B0BCB" w:rsidR="00E1393A" w:rsidRDefault="00E1393A" w:rsidP="0083586E">
      <w:pPr>
        <w:ind w:firstLine="720"/>
        <w:rPr>
          <w:color w:val="000000" w:themeColor="text1"/>
        </w:rPr>
      </w:pPr>
    </w:p>
    <w:p w14:paraId="46A04569" w14:textId="02CE4F55" w:rsidR="00E1393A" w:rsidRDefault="00E1393A" w:rsidP="0083586E">
      <w:pPr>
        <w:ind w:firstLine="720"/>
        <w:rPr>
          <w:color w:val="000000" w:themeColor="text1"/>
        </w:rPr>
      </w:pPr>
    </w:p>
    <w:p w14:paraId="3FC628F9" w14:textId="77777777" w:rsidR="00E1393A" w:rsidRPr="000E09A5" w:rsidRDefault="00E1393A" w:rsidP="0083586E">
      <w:pPr>
        <w:ind w:firstLine="720"/>
        <w:rPr>
          <w:color w:val="000000" w:themeColor="text1"/>
        </w:rPr>
      </w:pPr>
    </w:p>
    <w:p w14:paraId="03318263" w14:textId="77777777" w:rsidR="001302DC" w:rsidRPr="000E09A5" w:rsidRDefault="001302DC" w:rsidP="001302DC">
      <w:pPr>
        <w:rPr>
          <w:color w:val="000000" w:themeColor="text1"/>
        </w:rPr>
      </w:pPr>
      <w:r w:rsidRPr="000E09A5">
        <w:rPr>
          <w:b/>
          <w:color w:val="000000" w:themeColor="text1"/>
        </w:rPr>
        <w:t>Vidzemes Augstskolai</w:t>
      </w:r>
      <w:r w:rsidRPr="000E09A5">
        <w:rPr>
          <w:color w:val="000000" w:themeColor="text1"/>
        </w:rPr>
        <w:t xml:space="preserve"> </w:t>
      </w:r>
      <w:r w:rsidRPr="000E09A5">
        <w:rPr>
          <w:color w:val="000000" w:themeColor="text1"/>
          <w:shd w:val="clear" w:color="auto" w:fill="FFFFFF"/>
        </w:rPr>
        <w:t>Pilsētu projekta</w:t>
      </w:r>
      <w:r w:rsidRPr="000E09A5">
        <w:rPr>
          <w:color w:val="000000" w:themeColor="text1"/>
        </w:rPr>
        <w:t xml:space="preserve"> ietvaros plānotas šādas aktivitātes:  </w:t>
      </w:r>
    </w:p>
    <w:p w14:paraId="03318264" w14:textId="77777777" w:rsidR="001302DC" w:rsidRPr="000E09A5" w:rsidRDefault="001302DC" w:rsidP="001302DC">
      <w:pPr>
        <w:rPr>
          <w:color w:val="000000" w:themeColor="text1"/>
          <w:u w:val="single"/>
        </w:rPr>
      </w:pPr>
    </w:p>
    <w:p w14:paraId="03318265" w14:textId="77777777" w:rsidR="001302DC" w:rsidRPr="000E09A5" w:rsidRDefault="001302DC" w:rsidP="001302DC">
      <w:pPr>
        <w:pStyle w:val="ListParagraph"/>
        <w:numPr>
          <w:ilvl w:val="0"/>
          <w:numId w:val="24"/>
        </w:numPr>
        <w:rPr>
          <w:rFonts w:ascii="Times New Roman" w:hAnsi="Times New Roman" w:cs="Times New Roman"/>
          <w:color w:val="000000" w:themeColor="text1"/>
          <w:sz w:val="24"/>
          <w:szCs w:val="24"/>
        </w:rPr>
      </w:pPr>
      <w:r w:rsidRPr="000E09A5">
        <w:rPr>
          <w:rFonts w:ascii="Times New Roman" w:hAnsi="Times New Roman" w:cs="Times New Roman"/>
          <w:b/>
          <w:color w:val="000000" w:themeColor="text1"/>
          <w:sz w:val="24"/>
          <w:szCs w:val="24"/>
        </w:rPr>
        <w:t>Paaudžu mārketinga metožu izstrāde un</w:t>
      </w:r>
      <w:r w:rsidRPr="000E09A5">
        <w:rPr>
          <w:rFonts w:ascii="Times New Roman" w:hAnsi="Times New Roman" w:cs="Times New Roman"/>
          <w:color w:val="000000" w:themeColor="text1"/>
          <w:sz w:val="24"/>
          <w:szCs w:val="24"/>
        </w:rPr>
        <w:t xml:space="preserve"> </w:t>
      </w:r>
      <w:r w:rsidRPr="000E09A5">
        <w:rPr>
          <w:rFonts w:ascii="Times New Roman" w:hAnsi="Times New Roman" w:cs="Times New Roman"/>
          <w:b/>
          <w:sz w:val="24"/>
          <w:szCs w:val="24"/>
        </w:rPr>
        <w:t>īstenošana</w:t>
      </w:r>
      <w:r w:rsidRPr="000E09A5">
        <w:rPr>
          <w:rFonts w:ascii="Times New Roman" w:hAnsi="Times New Roman" w:cs="Times New Roman"/>
          <w:sz w:val="24"/>
          <w:szCs w:val="24"/>
          <w:shd w:val="clear" w:color="auto" w:fill="FFFFFF"/>
        </w:rPr>
        <w:t xml:space="preserve">: </w:t>
      </w:r>
    </w:p>
    <w:p w14:paraId="03318266" w14:textId="77777777" w:rsidR="001302DC" w:rsidRPr="000E09A5" w:rsidRDefault="001302DC" w:rsidP="00267909">
      <w:pPr>
        <w:pStyle w:val="ListParagraph"/>
        <w:ind w:left="0" w:firstLine="72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Tiks veikts paaudžu mārketinga pētījums</w:t>
      </w:r>
      <w:r w:rsidRPr="000E09A5">
        <w:rPr>
          <w:rFonts w:ascii="Times New Roman" w:hAnsi="Times New Roman" w:cs="Times New Roman"/>
          <w:sz w:val="24"/>
          <w:szCs w:val="24"/>
        </w:rPr>
        <w:t xml:space="preserve">, lai gūtu plašāku ieskatu aktuālajā situācijā par jauniešu attieksmi un interesēm, identificējot </w:t>
      </w:r>
      <w:r w:rsidRPr="000E09A5">
        <w:rPr>
          <w:rFonts w:ascii="Times New Roman" w:hAnsi="Times New Roman" w:cs="Times New Roman"/>
          <w:color w:val="000000" w:themeColor="text1"/>
          <w:sz w:val="24"/>
          <w:szCs w:val="24"/>
        </w:rPr>
        <w:t>piemērotākās metodes un rīkus studentu piesaistei</w:t>
      </w:r>
      <w:r w:rsidRPr="000E09A5">
        <w:rPr>
          <w:rFonts w:ascii="Times New Roman" w:hAnsi="Times New Roman" w:cs="Times New Roman"/>
          <w:sz w:val="24"/>
          <w:szCs w:val="24"/>
        </w:rPr>
        <w:t>.</w:t>
      </w:r>
      <w:r w:rsidRPr="000E09A5">
        <w:rPr>
          <w:rFonts w:ascii="Times New Roman" w:hAnsi="Times New Roman" w:cs="Times New Roman"/>
          <w:color w:val="FF0000"/>
          <w:sz w:val="24"/>
          <w:szCs w:val="24"/>
        </w:rPr>
        <w:t xml:space="preserve"> </w:t>
      </w:r>
      <w:r w:rsidRPr="000E09A5">
        <w:rPr>
          <w:rFonts w:ascii="Times New Roman" w:hAnsi="Times New Roman" w:cs="Times New Roman"/>
          <w:color w:val="231F20"/>
          <w:sz w:val="24"/>
          <w:szCs w:val="24"/>
          <w:shd w:val="clear" w:color="auto" w:fill="FFFFFF"/>
        </w:rPr>
        <w:t xml:space="preserve">Pamatojoties uz paaudžu mārketinga pētījuma rezultātiem un secinājumiem tiks izstrādāta individualizēta Vidzemes Augstskolas paaudžu mārketinga stratēģija un rīcības plāns, lai īstenotu pārdomātas un mērķtiecīgas vietējo un ārvalstu studentu piesaistes aktivitātes, jo īpaši liekot uzsvaru uz studiju vietu aizpildīšanu IT programmā.  Tiks īstenots mūsdienīgs digitālais mārketings, kas izpaudīsies kā paaudzei Z piemērota satura (piemēram, </w:t>
      </w:r>
      <w:r w:rsidRPr="000E09A5">
        <w:rPr>
          <w:rFonts w:ascii="Times New Roman" w:hAnsi="Times New Roman" w:cs="Times New Roman"/>
          <w:color w:val="000000" w:themeColor="text1"/>
          <w:sz w:val="24"/>
          <w:szCs w:val="24"/>
        </w:rPr>
        <w:t xml:space="preserve">vizuālie </w:t>
      </w:r>
      <w:r w:rsidR="007F2EFD" w:rsidRPr="000E09A5">
        <w:rPr>
          <w:rFonts w:ascii="Times New Roman" w:hAnsi="Times New Roman" w:cs="Times New Roman"/>
          <w:color w:val="000000" w:themeColor="text1"/>
          <w:sz w:val="24"/>
          <w:szCs w:val="24"/>
        </w:rPr>
        <w:t xml:space="preserve">materiāli, citāti, foto, video </w:t>
      </w:r>
      <w:r w:rsidRPr="000E09A5">
        <w:rPr>
          <w:rFonts w:ascii="Times New Roman" w:hAnsi="Times New Roman" w:cs="Times New Roman"/>
          <w:color w:val="000000" w:themeColor="text1"/>
          <w:sz w:val="24"/>
          <w:szCs w:val="24"/>
        </w:rPr>
        <w:t xml:space="preserve">un </w:t>
      </w:r>
      <w:proofErr w:type="spellStart"/>
      <w:r w:rsidRPr="000E09A5">
        <w:rPr>
          <w:rFonts w:ascii="Times New Roman" w:hAnsi="Times New Roman" w:cs="Times New Roman"/>
          <w:color w:val="000000" w:themeColor="text1"/>
          <w:sz w:val="24"/>
          <w:szCs w:val="24"/>
        </w:rPr>
        <w:t>infografikas</w:t>
      </w:r>
      <w:proofErr w:type="spellEnd"/>
      <w:r w:rsidRPr="000E09A5">
        <w:rPr>
          <w:rFonts w:ascii="Times New Roman" w:hAnsi="Times New Roman" w:cs="Times New Roman"/>
          <w:color w:val="000000" w:themeColor="text1"/>
          <w:sz w:val="24"/>
          <w:szCs w:val="24"/>
        </w:rPr>
        <w:t>)</w:t>
      </w:r>
      <w:r w:rsidRPr="000E09A5">
        <w:rPr>
          <w:rFonts w:ascii="Times New Roman" w:hAnsi="Times New Roman" w:cs="Times New Roman"/>
          <w:color w:val="231F20"/>
          <w:sz w:val="24"/>
          <w:szCs w:val="24"/>
          <w:shd w:val="clear" w:color="auto" w:fill="FFFFFF"/>
        </w:rPr>
        <w:t xml:space="preserve"> sagatavošana un izplatīšana. Mārketinga aktivitātēs tiks iesaistīti arī esošie </w:t>
      </w:r>
      <w:r w:rsidRPr="000E09A5">
        <w:rPr>
          <w:rFonts w:ascii="Times New Roman" w:hAnsi="Times New Roman" w:cs="Times New Roman"/>
          <w:color w:val="000000" w:themeColor="text1"/>
          <w:sz w:val="24"/>
          <w:szCs w:val="24"/>
        </w:rPr>
        <w:t xml:space="preserve">(vietējie un ārvalstu) studenti, tādējādi nodrošinot viedokļa un satura radīšanu par mācībām augstskolā, dalīšanos ar informāciju sociālajos tīklos un platformās - </w:t>
      </w:r>
      <w:proofErr w:type="spellStart"/>
      <w:r w:rsidRPr="000E09A5">
        <w:rPr>
          <w:rFonts w:ascii="Times New Roman" w:hAnsi="Times New Roman" w:cs="Times New Roman"/>
          <w:i/>
          <w:color w:val="000000" w:themeColor="text1"/>
          <w:sz w:val="24"/>
          <w:szCs w:val="24"/>
        </w:rPr>
        <w:t>Snapchat</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Facebook</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Twitter</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YouTube</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Pinterest</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LinkedIn</w:t>
      </w:r>
      <w:proofErr w:type="spellEnd"/>
      <w:r w:rsidRPr="000E09A5">
        <w:rPr>
          <w:rFonts w:ascii="Times New Roman" w:hAnsi="Times New Roman" w:cs="Times New Roman"/>
          <w:color w:val="000000" w:themeColor="text1"/>
          <w:sz w:val="24"/>
          <w:szCs w:val="24"/>
        </w:rPr>
        <w:t xml:space="preserve">, u.c. Paredzēts uzlabot arī augstskolas mājas lapas saturs un ieviest tajā inovatīvus tehnoloģiskos risinājumus. Visbeidzot tiks īstenota paaudžu mārketinga efektivitātes izvērtēšana un gūtās pieredzes apkopošana </w:t>
      </w:r>
      <w:r w:rsidRPr="000E09A5">
        <w:rPr>
          <w:rFonts w:ascii="Times New Roman" w:hAnsi="Times New Roman" w:cs="Times New Roman"/>
          <w:sz w:val="24"/>
          <w:szCs w:val="24"/>
        </w:rPr>
        <w:t xml:space="preserve">kā rezultātā tiks izstrādātas </w:t>
      </w:r>
      <w:r w:rsidRPr="000E09A5">
        <w:rPr>
          <w:rFonts w:ascii="Times New Roman" w:hAnsi="Times New Roman" w:cs="Times New Roman"/>
          <w:color w:val="000000" w:themeColor="text1"/>
          <w:sz w:val="24"/>
          <w:szCs w:val="24"/>
        </w:rPr>
        <w:t>rekomendācijas Eiropas mazo pilsētu izglītības iestādēm.</w:t>
      </w:r>
    </w:p>
    <w:p w14:paraId="03318267" w14:textId="77777777" w:rsidR="001302DC" w:rsidRPr="000E09A5" w:rsidRDefault="001302DC" w:rsidP="001302DC">
      <w:pPr>
        <w:pStyle w:val="ListParagraph"/>
        <w:numPr>
          <w:ilvl w:val="0"/>
          <w:numId w:val="24"/>
        </w:numPr>
        <w:jc w:val="both"/>
        <w:rPr>
          <w:rFonts w:ascii="Times New Roman" w:hAnsi="Times New Roman" w:cs="Times New Roman"/>
          <w:color w:val="000000" w:themeColor="text1"/>
          <w:sz w:val="24"/>
          <w:szCs w:val="24"/>
        </w:rPr>
      </w:pPr>
      <w:r w:rsidRPr="000E09A5">
        <w:rPr>
          <w:rFonts w:ascii="Times New Roman" w:hAnsi="Times New Roman" w:cs="Times New Roman"/>
          <w:b/>
          <w:color w:val="000000" w:themeColor="text1"/>
          <w:sz w:val="24"/>
          <w:szCs w:val="24"/>
        </w:rPr>
        <w:t>Izglītības tehnoloģiju (</w:t>
      </w:r>
      <w:proofErr w:type="spellStart"/>
      <w:r w:rsidRPr="000E09A5">
        <w:rPr>
          <w:rFonts w:ascii="Times New Roman" w:hAnsi="Times New Roman" w:cs="Times New Roman"/>
          <w:b/>
          <w:color w:val="000000" w:themeColor="text1"/>
          <w:sz w:val="24"/>
          <w:szCs w:val="24"/>
        </w:rPr>
        <w:t>EdTech</w:t>
      </w:r>
      <w:proofErr w:type="spellEnd"/>
      <w:r w:rsidRPr="000E09A5">
        <w:rPr>
          <w:rFonts w:ascii="Times New Roman" w:hAnsi="Times New Roman" w:cs="Times New Roman"/>
          <w:b/>
          <w:color w:val="000000" w:themeColor="text1"/>
          <w:sz w:val="24"/>
          <w:szCs w:val="24"/>
        </w:rPr>
        <w:t>) risinājumu ieviešana augstskolā (tehniskie risinājumi, studiju programmas, pieejas un metodoloģija)</w:t>
      </w:r>
      <w:r w:rsidRPr="000E09A5">
        <w:rPr>
          <w:rFonts w:ascii="Times New Roman" w:hAnsi="Times New Roman" w:cs="Times New Roman"/>
          <w:color w:val="000000" w:themeColor="text1"/>
          <w:sz w:val="24"/>
          <w:szCs w:val="24"/>
        </w:rPr>
        <w:t>:</w:t>
      </w:r>
    </w:p>
    <w:p w14:paraId="03318268" w14:textId="77777777" w:rsidR="001302DC" w:rsidRPr="000E09A5" w:rsidRDefault="001302DC" w:rsidP="00267909">
      <w:pPr>
        <w:pStyle w:val="ListParagraph"/>
        <w:numPr>
          <w:ilvl w:val="0"/>
          <w:numId w:val="23"/>
        </w:numPr>
        <w:ind w:left="0" w:firstLine="36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 xml:space="preserve">Projekta ietvaros tiks izstrādāta </w:t>
      </w:r>
      <w:r w:rsidRPr="000E09A5">
        <w:rPr>
          <w:rFonts w:ascii="Times New Roman" w:hAnsi="Times New Roman" w:cs="Times New Roman"/>
          <w:b/>
          <w:color w:val="000000" w:themeColor="text1"/>
          <w:sz w:val="24"/>
          <w:szCs w:val="24"/>
        </w:rPr>
        <w:t>IT izglītības programma angļu valodā</w:t>
      </w:r>
      <w:r w:rsidRPr="000E09A5">
        <w:rPr>
          <w:rFonts w:ascii="Times New Roman" w:hAnsi="Times New Roman" w:cs="Times New Roman"/>
          <w:color w:val="000000" w:themeColor="text1"/>
          <w:sz w:val="24"/>
          <w:szCs w:val="24"/>
        </w:rPr>
        <w:t xml:space="preserve">, kā arī vismaz </w:t>
      </w:r>
      <w:r w:rsidR="005A3CF5" w:rsidRPr="000E09A5">
        <w:rPr>
          <w:rFonts w:ascii="Times New Roman" w:hAnsi="Times New Roman" w:cs="Times New Roman"/>
          <w:color w:val="000000" w:themeColor="text1"/>
          <w:sz w:val="24"/>
          <w:szCs w:val="24"/>
        </w:rPr>
        <w:t>piecos studiju kursos Vidzemes A</w:t>
      </w:r>
      <w:r w:rsidRPr="000E09A5">
        <w:rPr>
          <w:rFonts w:ascii="Times New Roman" w:hAnsi="Times New Roman" w:cs="Times New Roman"/>
          <w:color w:val="000000" w:themeColor="text1"/>
          <w:sz w:val="24"/>
          <w:szCs w:val="24"/>
        </w:rPr>
        <w:t xml:space="preserve">ugstskolā tiks ieviesti mūsdienīgi </w:t>
      </w:r>
      <w:proofErr w:type="spellStart"/>
      <w:r w:rsidRPr="000E09A5">
        <w:rPr>
          <w:rFonts w:ascii="Times New Roman" w:hAnsi="Times New Roman" w:cs="Times New Roman"/>
          <w:color w:val="000000" w:themeColor="text1"/>
          <w:sz w:val="24"/>
          <w:szCs w:val="24"/>
        </w:rPr>
        <w:t>EdTech</w:t>
      </w:r>
      <w:proofErr w:type="spellEnd"/>
      <w:r w:rsidRPr="000E09A5">
        <w:rPr>
          <w:rFonts w:ascii="Times New Roman" w:hAnsi="Times New Roman" w:cs="Times New Roman"/>
          <w:color w:val="000000" w:themeColor="text1"/>
          <w:sz w:val="24"/>
          <w:szCs w:val="24"/>
        </w:rPr>
        <w:t xml:space="preserve"> risinājumi balstīti uz ALC  (</w:t>
      </w:r>
      <w:proofErr w:type="spellStart"/>
      <w:r w:rsidRPr="000E09A5">
        <w:rPr>
          <w:rFonts w:ascii="Times New Roman" w:hAnsi="Times New Roman" w:cs="Times New Roman"/>
          <w:i/>
          <w:color w:val="000000" w:themeColor="text1"/>
          <w:sz w:val="24"/>
          <w:szCs w:val="24"/>
        </w:rPr>
        <w:t>Active</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Learning</w:t>
      </w:r>
      <w:proofErr w:type="spellEnd"/>
      <w:r w:rsidRPr="000E09A5">
        <w:rPr>
          <w:rFonts w:ascii="Times New Roman" w:hAnsi="Times New Roman" w:cs="Times New Roman"/>
          <w:i/>
          <w:color w:val="000000" w:themeColor="text1"/>
          <w:sz w:val="24"/>
          <w:szCs w:val="24"/>
        </w:rPr>
        <w:t xml:space="preserve"> </w:t>
      </w:r>
      <w:proofErr w:type="spellStart"/>
      <w:r w:rsidRPr="000E09A5">
        <w:rPr>
          <w:rFonts w:ascii="Times New Roman" w:hAnsi="Times New Roman" w:cs="Times New Roman"/>
          <w:i/>
          <w:color w:val="000000" w:themeColor="text1"/>
          <w:sz w:val="24"/>
          <w:szCs w:val="24"/>
        </w:rPr>
        <w:t>Classroom</w:t>
      </w:r>
      <w:proofErr w:type="spellEnd"/>
      <w:r w:rsidRPr="000E09A5">
        <w:rPr>
          <w:rFonts w:ascii="Times New Roman" w:hAnsi="Times New Roman" w:cs="Times New Roman"/>
          <w:color w:val="000000" w:themeColor="text1"/>
          <w:sz w:val="24"/>
          <w:szCs w:val="24"/>
        </w:rPr>
        <w:t xml:space="preserve">) </w:t>
      </w:r>
      <w:proofErr w:type="spellStart"/>
      <w:r w:rsidRPr="000E09A5">
        <w:rPr>
          <w:rFonts w:ascii="Times New Roman" w:hAnsi="Times New Roman" w:cs="Times New Roman"/>
          <w:color w:val="000000" w:themeColor="text1"/>
          <w:sz w:val="24"/>
          <w:szCs w:val="24"/>
        </w:rPr>
        <w:t>metadoloģiju</w:t>
      </w:r>
      <w:proofErr w:type="spellEnd"/>
      <w:r w:rsidRPr="000E09A5">
        <w:rPr>
          <w:rFonts w:ascii="Times New Roman" w:hAnsi="Times New Roman" w:cs="Times New Roman"/>
          <w:color w:val="000000" w:themeColor="text1"/>
          <w:sz w:val="24"/>
          <w:szCs w:val="24"/>
        </w:rPr>
        <w:t xml:space="preserve">. Augstskolas vajadzībām tiks pielāgota ALC </w:t>
      </w:r>
      <w:r w:rsidR="00D94534" w:rsidRPr="000E09A5">
        <w:rPr>
          <w:rFonts w:ascii="Times New Roman" w:hAnsi="Times New Roman" w:cs="Times New Roman"/>
          <w:color w:val="000000" w:themeColor="text1"/>
          <w:sz w:val="24"/>
          <w:szCs w:val="24"/>
        </w:rPr>
        <w:t>metodoloģija</w:t>
      </w:r>
      <w:r w:rsidRPr="000E09A5">
        <w:rPr>
          <w:rFonts w:ascii="Times New Roman" w:hAnsi="Times New Roman" w:cs="Times New Roman"/>
          <w:color w:val="000000" w:themeColor="text1"/>
          <w:sz w:val="24"/>
          <w:szCs w:val="24"/>
        </w:rPr>
        <w:t xml:space="preserve">, kā rezultātā mācību procesā tiks ieviesti aktīvās mācīšanās pieejas principi, kas ir vērsti uz aktīvu studentu līdzdalību mācību procesā. Lai nodrošinātu veiksmīgu ALC </w:t>
      </w:r>
      <w:r w:rsidR="00D94534" w:rsidRPr="000E09A5">
        <w:rPr>
          <w:rFonts w:ascii="Times New Roman" w:hAnsi="Times New Roman" w:cs="Times New Roman"/>
          <w:color w:val="000000" w:themeColor="text1"/>
          <w:sz w:val="24"/>
          <w:szCs w:val="24"/>
        </w:rPr>
        <w:t>metodoloģijas</w:t>
      </w:r>
      <w:r w:rsidRPr="000E09A5">
        <w:rPr>
          <w:rFonts w:ascii="Times New Roman" w:hAnsi="Times New Roman" w:cs="Times New Roman"/>
          <w:color w:val="000000" w:themeColor="text1"/>
          <w:sz w:val="24"/>
          <w:szCs w:val="24"/>
        </w:rPr>
        <w:t xml:space="preserve"> ieviešanu, tiks veikti vairāk kā 140</w:t>
      </w:r>
      <w:r w:rsidR="007F2EFD" w:rsidRPr="000E09A5">
        <w:rPr>
          <w:rFonts w:ascii="Times New Roman" w:hAnsi="Times New Roman" w:cs="Times New Roman"/>
          <w:color w:val="000000" w:themeColor="text1"/>
          <w:sz w:val="24"/>
          <w:szCs w:val="24"/>
        </w:rPr>
        <w:t xml:space="preserve"> </w:t>
      </w:r>
      <w:r w:rsidRPr="000E09A5">
        <w:rPr>
          <w:rFonts w:ascii="Times New Roman" w:hAnsi="Times New Roman" w:cs="Times New Roman"/>
          <w:color w:val="000000" w:themeColor="text1"/>
          <w:sz w:val="24"/>
          <w:szCs w:val="24"/>
        </w:rPr>
        <w:t xml:space="preserve">000 EUR lieli ieguldījumi, kas nodrošinās atbilstošas infrastruktūras (auditoriju) izveidi un mūsdienīgu e-tehnoloģiju un aprīkojuma iegādi. Projekta ietvaros tiks īstenotas arī aktivitātes, kuras būs vērstas uz izpratnes veicināšanu pasniedzēju vidū par moderno tehnoloģiju pielietošanas iespējām mācību procesā. Caur dažādiem semināriem/apmācībām </w:t>
      </w:r>
      <w:r w:rsidRPr="000E09A5">
        <w:rPr>
          <w:rFonts w:ascii="Times New Roman" w:hAnsi="Times New Roman" w:cs="Times New Roman"/>
          <w:sz w:val="24"/>
          <w:szCs w:val="24"/>
        </w:rPr>
        <w:t xml:space="preserve">akadēmiskais personāls </w:t>
      </w:r>
      <w:r w:rsidRPr="000E09A5">
        <w:rPr>
          <w:rFonts w:ascii="Times New Roman" w:hAnsi="Times New Roman" w:cs="Times New Roman"/>
          <w:color w:val="000000" w:themeColor="text1"/>
          <w:sz w:val="24"/>
          <w:szCs w:val="24"/>
        </w:rPr>
        <w:t xml:space="preserve">tiks iepazīstināts ar ALC konceptu, veidojot izpratni par to kā izglītības tehnoloģijas var pielietot mācību kursu satura veidošanā un īstenošanā. Apmācībās tiks piesaistīti arī industrijas pārstāvji, lai nodrošinātu vispusīgu ideju, viedokļu un pieredzes apmaiņu. </w:t>
      </w:r>
    </w:p>
    <w:p w14:paraId="03318269" w14:textId="77777777" w:rsidR="001302DC" w:rsidRPr="000E09A5" w:rsidRDefault="001302DC" w:rsidP="00267909">
      <w:pPr>
        <w:pStyle w:val="ListParagraph"/>
        <w:numPr>
          <w:ilvl w:val="0"/>
          <w:numId w:val="23"/>
        </w:numPr>
        <w:ind w:left="0" w:firstLine="36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 xml:space="preserve">Tiks īstenota Inženierzinātņu fakultātes IT bakalaura studiju programmas Virtuālās realitātes (VR) un Papildinātās realitātes (AR) virziena tālāka attīstība, </w:t>
      </w:r>
      <w:r w:rsidRPr="000E09A5">
        <w:rPr>
          <w:rFonts w:ascii="Times New Roman" w:hAnsi="Times New Roman" w:cs="Times New Roman"/>
          <w:b/>
          <w:color w:val="000000" w:themeColor="text1"/>
          <w:sz w:val="24"/>
          <w:szCs w:val="24"/>
        </w:rPr>
        <w:t>izstrādājot 1 uz VR/AR tehnoloģijām balstītu risinājumu</w:t>
      </w:r>
      <w:r w:rsidRPr="000E09A5">
        <w:rPr>
          <w:rFonts w:ascii="Times New Roman" w:hAnsi="Times New Roman" w:cs="Times New Roman"/>
          <w:color w:val="000000" w:themeColor="text1"/>
          <w:sz w:val="24"/>
          <w:szCs w:val="24"/>
        </w:rPr>
        <w:t xml:space="preserve"> Inženierzinātņu fakultātes </w:t>
      </w:r>
      <w:proofErr w:type="spellStart"/>
      <w:r w:rsidRPr="000E09A5">
        <w:rPr>
          <w:rFonts w:ascii="Times New Roman" w:hAnsi="Times New Roman" w:cs="Times New Roman"/>
          <w:color w:val="000000" w:themeColor="text1"/>
          <w:sz w:val="24"/>
          <w:szCs w:val="24"/>
        </w:rPr>
        <w:t>Mehatronikas</w:t>
      </w:r>
      <w:proofErr w:type="spellEnd"/>
      <w:r w:rsidRPr="000E09A5">
        <w:rPr>
          <w:rFonts w:ascii="Times New Roman" w:hAnsi="Times New Roman" w:cs="Times New Roman"/>
          <w:color w:val="000000" w:themeColor="text1"/>
          <w:sz w:val="24"/>
          <w:szCs w:val="24"/>
        </w:rPr>
        <w:t xml:space="preserve"> studiju programmai.</w:t>
      </w:r>
    </w:p>
    <w:p w14:paraId="0331826A" w14:textId="77777777" w:rsidR="001302DC" w:rsidRPr="001302DC" w:rsidRDefault="001302DC" w:rsidP="00267909">
      <w:pPr>
        <w:pStyle w:val="ListParagraph"/>
        <w:numPr>
          <w:ilvl w:val="0"/>
          <w:numId w:val="23"/>
        </w:numPr>
        <w:ind w:left="0" w:firstLine="360"/>
        <w:jc w:val="both"/>
        <w:rPr>
          <w:rFonts w:ascii="Times New Roman" w:hAnsi="Times New Roman" w:cs="Times New Roman"/>
          <w:color w:val="000000" w:themeColor="text1"/>
          <w:sz w:val="24"/>
          <w:szCs w:val="24"/>
        </w:rPr>
      </w:pPr>
      <w:r w:rsidRPr="000E09A5">
        <w:rPr>
          <w:rFonts w:ascii="Times New Roman" w:hAnsi="Times New Roman" w:cs="Times New Roman"/>
          <w:color w:val="000000" w:themeColor="text1"/>
          <w:sz w:val="24"/>
          <w:szCs w:val="24"/>
        </w:rPr>
        <w:t>Projekta ietvaros tiks izvērtētas īstenotās aktivitātes un apkopota gūtā pieredze,</w:t>
      </w:r>
      <w:r w:rsidRPr="001302DC">
        <w:rPr>
          <w:rFonts w:ascii="Times New Roman" w:hAnsi="Times New Roman" w:cs="Times New Roman"/>
          <w:color w:val="000000" w:themeColor="text1"/>
          <w:sz w:val="24"/>
          <w:szCs w:val="24"/>
        </w:rPr>
        <w:t xml:space="preserve"> veidojot pieredzes un padomu materiālus citām Eiropas mazo pilsētu izglītības ies</w:t>
      </w:r>
      <w:r w:rsidR="00387ED9">
        <w:rPr>
          <w:rFonts w:ascii="Times New Roman" w:hAnsi="Times New Roman" w:cs="Times New Roman"/>
          <w:color w:val="000000" w:themeColor="text1"/>
          <w:sz w:val="24"/>
          <w:szCs w:val="24"/>
        </w:rPr>
        <w:t>t</w:t>
      </w:r>
      <w:r w:rsidRPr="001302DC">
        <w:rPr>
          <w:rFonts w:ascii="Times New Roman" w:hAnsi="Times New Roman" w:cs="Times New Roman"/>
          <w:color w:val="000000" w:themeColor="text1"/>
          <w:sz w:val="24"/>
          <w:szCs w:val="24"/>
        </w:rPr>
        <w:t>ādēm par to, kā mācību saturā integrēt modernas tendences, metodiku un tehnoloģijas. Viena no projekta noslēdzošajām aktivitātēm būs konference par izglītības tehnoloģiju risinājumu pielietošanu izglītības nozarē. Konferencē tiks izvērtēti projekta ieguvumi, identificētie izaicinājumi un sniegtas rekomendācijas.</w:t>
      </w:r>
      <w:r w:rsidRPr="001302DC">
        <w:rPr>
          <w:rFonts w:ascii="Times New Roman" w:hAnsi="Times New Roman" w:cs="Times New Roman"/>
          <w:color w:val="333333"/>
          <w:sz w:val="24"/>
          <w:szCs w:val="24"/>
          <w:shd w:val="clear" w:color="auto" w:fill="F7F7F7"/>
        </w:rPr>
        <w:t xml:space="preserve"> </w:t>
      </w:r>
    </w:p>
    <w:p w14:paraId="0331826B" w14:textId="77777777" w:rsidR="001302DC" w:rsidRPr="00C0671F" w:rsidRDefault="001302DC" w:rsidP="001302DC">
      <w:pPr>
        <w:pStyle w:val="ListParagraph"/>
        <w:rPr>
          <w:rFonts w:ascii="Times New Roman" w:hAnsi="Times New Roman" w:cs="Times New Roman"/>
          <w:sz w:val="24"/>
          <w:szCs w:val="24"/>
        </w:rPr>
      </w:pPr>
    </w:p>
    <w:p w14:paraId="0331826E" w14:textId="28E8E847" w:rsidR="001302DC" w:rsidRPr="00C0671F" w:rsidRDefault="001302DC" w:rsidP="001302DC"/>
    <w:p w14:paraId="0A23B0A8" w14:textId="62B73F39" w:rsidR="00684196" w:rsidRDefault="00684196" w:rsidP="001302DC">
      <w:pPr>
        <w:rPr>
          <w:color w:val="000000" w:themeColor="text1"/>
        </w:rPr>
      </w:pPr>
    </w:p>
    <w:p w14:paraId="2D867D0B" w14:textId="77777777" w:rsidR="00267909" w:rsidRPr="00267909" w:rsidRDefault="001302DC" w:rsidP="001302DC">
      <w:pPr>
        <w:jc w:val="right"/>
        <w:rPr>
          <w:color w:val="000000" w:themeColor="text1"/>
        </w:rPr>
      </w:pPr>
      <w:r w:rsidRPr="00267909">
        <w:rPr>
          <w:color w:val="000000" w:themeColor="text1"/>
        </w:rPr>
        <w:t xml:space="preserve">Tabula Nr. 3 </w:t>
      </w:r>
    </w:p>
    <w:p w14:paraId="0331826F" w14:textId="30B2C037" w:rsidR="001302DC" w:rsidRPr="001302DC" w:rsidRDefault="001302DC" w:rsidP="00267909">
      <w:pPr>
        <w:jc w:val="center"/>
        <w:rPr>
          <w:b/>
          <w:color w:val="000000" w:themeColor="text1"/>
        </w:rPr>
      </w:pPr>
      <w:r w:rsidRPr="001302DC">
        <w:rPr>
          <w:b/>
          <w:bCs/>
          <w:color w:val="000000" w:themeColor="text1"/>
        </w:rPr>
        <w:t>Finanšu instrumenta</w:t>
      </w:r>
      <w:r w:rsidRPr="001302DC">
        <w:rPr>
          <w:b/>
          <w:color w:val="000000" w:themeColor="text1"/>
        </w:rPr>
        <w:t xml:space="preserve"> īstenošanai Vidzemes Augstskolai</w:t>
      </w:r>
    </w:p>
    <w:p w14:paraId="03318270" w14:textId="5484C649" w:rsidR="001302DC" w:rsidRPr="001302DC" w:rsidRDefault="001302DC" w:rsidP="00267909">
      <w:pPr>
        <w:jc w:val="center"/>
        <w:rPr>
          <w:b/>
          <w:color w:val="000000" w:themeColor="text1"/>
        </w:rPr>
      </w:pPr>
      <w:r w:rsidRPr="001302DC">
        <w:rPr>
          <w:b/>
          <w:color w:val="000000" w:themeColor="text1"/>
        </w:rPr>
        <w:t xml:space="preserve">plānotais finansējums un izdevumi pa gadiem, </w:t>
      </w:r>
      <w:r w:rsidRPr="001302DC">
        <w:rPr>
          <w:b/>
          <w:color w:val="000000" w:themeColor="text1"/>
          <w:lang w:eastAsia="lv-LV"/>
        </w:rPr>
        <w:t>EUR</w:t>
      </w:r>
    </w:p>
    <w:tbl>
      <w:tblPr>
        <w:tblW w:w="8275" w:type="dxa"/>
        <w:jc w:val="center"/>
        <w:tblLayout w:type="fixed"/>
        <w:tblLook w:val="04A0" w:firstRow="1" w:lastRow="0" w:firstColumn="1" w:lastColumn="0" w:noHBand="0" w:noVBand="1"/>
      </w:tblPr>
      <w:tblGrid>
        <w:gridCol w:w="1705"/>
        <w:gridCol w:w="1478"/>
        <w:gridCol w:w="1440"/>
        <w:gridCol w:w="1852"/>
        <w:gridCol w:w="1800"/>
      </w:tblGrid>
      <w:tr w:rsidR="00FC2444" w:rsidRPr="001302DC" w14:paraId="03318278" w14:textId="77777777" w:rsidTr="00FC2444">
        <w:trPr>
          <w:trHeight w:val="650"/>
          <w:jc w:val="center"/>
        </w:trPr>
        <w:tc>
          <w:tcPr>
            <w:tcW w:w="1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71" w14:textId="4F2776D1" w:rsidR="00FC2444" w:rsidRPr="001302DC" w:rsidRDefault="00FC2444" w:rsidP="00DA3F0B">
            <w:pPr>
              <w:jc w:val="center"/>
              <w:rPr>
                <w:rFonts w:eastAsia="Times New Roman"/>
                <w:color w:val="000000" w:themeColor="text1"/>
                <w:lang w:eastAsia="lv-LV"/>
              </w:rPr>
            </w:pPr>
            <w:r w:rsidRPr="006E246C">
              <w:rPr>
                <w:rFonts w:eastAsia="Times New Roman"/>
                <w:color w:val="000000" w:themeColor="text1"/>
                <w:lang w:eastAsia="lv-LV"/>
              </w:rPr>
              <w:t>Gads</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318272" w14:textId="58D44B58" w:rsidR="00FC2444" w:rsidRPr="001302DC" w:rsidRDefault="00FC2444" w:rsidP="00DA3F0B">
            <w:pPr>
              <w:jc w:val="center"/>
              <w:rPr>
                <w:rFonts w:eastAsia="Times New Roman"/>
                <w:color w:val="000000" w:themeColor="text1"/>
                <w:lang w:eastAsia="lv-LV"/>
              </w:rPr>
            </w:pPr>
            <w:r w:rsidRPr="006E246C">
              <w:rPr>
                <w:rFonts w:eastAsia="Times New Roman"/>
                <w:color w:val="000000" w:themeColor="text1"/>
                <w:lang w:eastAsia="lv-LV"/>
              </w:rPr>
              <w:t>Budžets kopā (EUR)</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3318273" w14:textId="7A0EF61A" w:rsidR="00FC2444" w:rsidRPr="001302DC" w:rsidRDefault="00FC2444" w:rsidP="00DA3F0B">
            <w:pPr>
              <w:jc w:val="center"/>
              <w:rPr>
                <w:rFonts w:eastAsia="Times New Roman"/>
                <w:color w:val="000000" w:themeColor="text1"/>
                <w:lang w:eastAsia="lv-LV"/>
              </w:rPr>
            </w:pPr>
            <w:r w:rsidRPr="006E246C">
              <w:rPr>
                <w:rFonts w:eastAsia="Times New Roman"/>
                <w:color w:val="000000" w:themeColor="text1"/>
                <w:lang w:eastAsia="lv-LV"/>
              </w:rPr>
              <w:t>ERAF finansējums</w:t>
            </w:r>
            <w:r>
              <w:rPr>
                <w:rFonts w:eastAsia="Times New Roman"/>
                <w:color w:val="000000" w:themeColor="text1"/>
                <w:lang w:eastAsia="lv-LV"/>
              </w:rPr>
              <w:t xml:space="preserve">, </w:t>
            </w:r>
            <w:r w:rsidR="00273BB8">
              <w:rPr>
                <w:rFonts w:eastAsia="Times New Roman"/>
                <w:color w:val="000000" w:themeColor="text1"/>
                <w:lang w:eastAsia="lv-LV"/>
              </w:rPr>
              <w:t>(EUR)</w:t>
            </w:r>
          </w:p>
        </w:tc>
        <w:tc>
          <w:tcPr>
            <w:tcW w:w="18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3318274" w14:textId="0D858E8E" w:rsidR="00FC2444" w:rsidRPr="001302DC" w:rsidRDefault="00FC2444" w:rsidP="00273BB8">
            <w:pPr>
              <w:jc w:val="center"/>
              <w:rPr>
                <w:rFonts w:eastAsia="Times New Roman"/>
                <w:color w:val="000000" w:themeColor="text1"/>
                <w:lang w:eastAsia="lv-LV"/>
              </w:rPr>
            </w:pPr>
            <w:r w:rsidRPr="006E246C">
              <w:rPr>
                <w:rFonts w:eastAsia="Times New Roman"/>
                <w:color w:val="000000" w:themeColor="text1"/>
                <w:lang w:eastAsia="lv-LV"/>
              </w:rPr>
              <w:t>Valsts līdzfinansējums</w:t>
            </w:r>
            <w:r>
              <w:rPr>
                <w:rFonts w:eastAsia="Times New Roman"/>
                <w:color w:val="000000" w:themeColor="text1"/>
                <w:lang w:eastAsia="lv-LV"/>
              </w:rPr>
              <w:t xml:space="preserve"> </w:t>
            </w:r>
            <w:r w:rsidRPr="006E246C">
              <w:rPr>
                <w:rFonts w:eastAsia="Times New Roman"/>
                <w:color w:val="000000" w:themeColor="text1"/>
                <w:lang w:eastAsia="lv-LV"/>
              </w:rPr>
              <w:t xml:space="preserve">(EUR) </w:t>
            </w:r>
          </w:p>
        </w:tc>
        <w:tc>
          <w:tcPr>
            <w:tcW w:w="18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948553F" w14:textId="4B1B38EA" w:rsidR="00FC2444" w:rsidRPr="006E246C" w:rsidRDefault="00FC2444" w:rsidP="00DA3F0B">
            <w:pPr>
              <w:spacing w:after="60"/>
              <w:jc w:val="center"/>
              <w:rPr>
                <w:rFonts w:eastAsia="Times New Roman"/>
                <w:color w:val="000000" w:themeColor="text1"/>
                <w:lang w:eastAsia="lv-LV"/>
              </w:rPr>
            </w:pPr>
            <w:r w:rsidRPr="006E246C">
              <w:rPr>
                <w:rFonts w:eastAsia="Times New Roman"/>
                <w:color w:val="000000" w:themeColor="text1"/>
                <w:lang w:eastAsia="lv-LV"/>
              </w:rPr>
              <w:t>V</w:t>
            </w:r>
            <w:r>
              <w:rPr>
                <w:rFonts w:eastAsia="Times New Roman"/>
                <w:color w:val="000000" w:themeColor="text1"/>
                <w:lang w:eastAsia="lv-LV"/>
              </w:rPr>
              <w:t>idzemes a</w:t>
            </w:r>
            <w:r w:rsidRPr="006E246C">
              <w:rPr>
                <w:rFonts w:eastAsia="Times New Roman"/>
                <w:color w:val="000000" w:themeColor="text1"/>
                <w:lang w:eastAsia="lv-LV"/>
              </w:rPr>
              <w:t>ugstskolas</w:t>
            </w:r>
          </w:p>
          <w:p w14:paraId="3BE4D0E8" w14:textId="77777777" w:rsidR="00FC2444" w:rsidRDefault="00FC2444" w:rsidP="00DA3F0B">
            <w:pPr>
              <w:jc w:val="center"/>
              <w:rPr>
                <w:rFonts w:eastAsia="Times New Roman"/>
                <w:color w:val="000000" w:themeColor="text1"/>
                <w:lang w:eastAsia="lv-LV"/>
              </w:rPr>
            </w:pPr>
            <w:r w:rsidRPr="006E246C">
              <w:rPr>
                <w:rFonts w:eastAsia="Times New Roman"/>
                <w:color w:val="000000" w:themeColor="text1"/>
                <w:lang w:eastAsia="lv-LV"/>
              </w:rPr>
              <w:t>priekš-finansējums</w:t>
            </w:r>
          </w:p>
          <w:p w14:paraId="03318276" w14:textId="5D846A09" w:rsidR="00FC2444" w:rsidRPr="001302DC" w:rsidRDefault="00FC2444" w:rsidP="00DA3F0B">
            <w:pPr>
              <w:jc w:val="center"/>
              <w:rPr>
                <w:rFonts w:eastAsia="Times New Roman"/>
                <w:color w:val="000000" w:themeColor="text1"/>
                <w:lang w:eastAsia="lv-LV"/>
              </w:rPr>
            </w:pPr>
            <w:r w:rsidRPr="006E246C">
              <w:rPr>
                <w:rFonts w:eastAsia="Times New Roman"/>
                <w:color w:val="000000" w:themeColor="text1"/>
                <w:lang w:eastAsia="lv-LV"/>
              </w:rPr>
              <w:lastRenderedPageBreak/>
              <w:t>(EUR)</w:t>
            </w:r>
          </w:p>
        </w:tc>
      </w:tr>
      <w:tr w:rsidR="00FC2444" w:rsidRPr="001302DC" w14:paraId="0331827F" w14:textId="77777777" w:rsidTr="00FC2444">
        <w:trPr>
          <w:trHeight w:val="226"/>
          <w:jc w:val="center"/>
        </w:trPr>
        <w:tc>
          <w:tcPr>
            <w:tcW w:w="1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79" w14:textId="77777777" w:rsidR="00FC2444" w:rsidRPr="001302DC" w:rsidRDefault="00FC2444" w:rsidP="006E246C">
            <w:pPr>
              <w:jc w:val="center"/>
              <w:rPr>
                <w:rFonts w:eastAsia="Times New Roman"/>
                <w:i/>
                <w:color w:val="000000" w:themeColor="text1"/>
                <w:lang w:eastAsia="lv-LV"/>
              </w:rPr>
            </w:pPr>
            <w:r w:rsidRPr="001302DC">
              <w:rPr>
                <w:rFonts w:eastAsia="Times New Roman"/>
                <w:i/>
                <w:color w:val="000000" w:themeColor="text1"/>
                <w:lang w:eastAsia="lv-LV"/>
              </w:rPr>
              <w:lastRenderedPageBreak/>
              <w:t>1</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1827A" w14:textId="77777777" w:rsidR="00FC2444" w:rsidRPr="001302DC" w:rsidRDefault="00FC2444" w:rsidP="006E246C">
            <w:pPr>
              <w:jc w:val="center"/>
              <w:rPr>
                <w:rFonts w:eastAsia="Times New Roman"/>
                <w:i/>
                <w:color w:val="000000" w:themeColor="text1"/>
                <w:lang w:eastAsia="lv-LV"/>
              </w:rPr>
            </w:pPr>
            <w:r w:rsidRPr="001302DC">
              <w:rPr>
                <w:rFonts w:eastAsia="Times New Roman"/>
                <w:i/>
                <w:color w:val="000000" w:themeColor="text1"/>
                <w:lang w:eastAsia="lv-LV"/>
              </w:rPr>
              <w:t>2</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331827B" w14:textId="77777777" w:rsidR="00FC2444" w:rsidRPr="001302DC" w:rsidRDefault="00FC2444" w:rsidP="006E246C">
            <w:pPr>
              <w:jc w:val="center"/>
              <w:rPr>
                <w:rFonts w:eastAsia="Times New Roman"/>
                <w:i/>
                <w:color w:val="000000" w:themeColor="text1"/>
                <w:lang w:eastAsia="lv-LV"/>
              </w:rPr>
            </w:pPr>
            <w:r w:rsidRPr="001302DC">
              <w:rPr>
                <w:rFonts w:eastAsia="Times New Roman"/>
                <w:i/>
                <w:color w:val="000000" w:themeColor="text1"/>
                <w:lang w:eastAsia="lv-LV"/>
              </w:rPr>
              <w:t>3</w:t>
            </w:r>
          </w:p>
        </w:tc>
        <w:tc>
          <w:tcPr>
            <w:tcW w:w="185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331827C" w14:textId="77777777" w:rsidR="00FC2444" w:rsidRPr="001302DC" w:rsidRDefault="00FC2444" w:rsidP="006E246C">
            <w:pPr>
              <w:jc w:val="center"/>
              <w:rPr>
                <w:rFonts w:eastAsia="Times New Roman"/>
                <w:i/>
                <w:color w:val="000000" w:themeColor="text1"/>
                <w:lang w:eastAsia="lv-LV"/>
              </w:rPr>
            </w:pPr>
            <w:r w:rsidRPr="001302DC">
              <w:rPr>
                <w:rFonts w:eastAsia="Times New Roman"/>
                <w:i/>
                <w:color w:val="000000" w:themeColor="text1"/>
                <w:lang w:eastAsia="lv-LV"/>
              </w:rPr>
              <w:t>4</w:t>
            </w:r>
          </w:p>
        </w:tc>
        <w:tc>
          <w:tcPr>
            <w:tcW w:w="180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331827D" w14:textId="77777777" w:rsidR="00FC2444" w:rsidRPr="001302DC" w:rsidRDefault="00FC2444" w:rsidP="006E246C">
            <w:pPr>
              <w:jc w:val="center"/>
              <w:rPr>
                <w:rFonts w:eastAsia="Times New Roman"/>
                <w:i/>
                <w:color w:val="000000" w:themeColor="text1"/>
                <w:lang w:eastAsia="lv-LV"/>
              </w:rPr>
            </w:pPr>
            <w:r w:rsidRPr="001302DC">
              <w:rPr>
                <w:rFonts w:eastAsia="Times New Roman"/>
                <w:i/>
                <w:color w:val="000000" w:themeColor="text1"/>
                <w:lang w:eastAsia="lv-LV"/>
              </w:rPr>
              <w:t>5</w:t>
            </w:r>
          </w:p>
        </w:tc>
      </w:tr>
      <w:tr w:rsidR="00FC2444" w:rsidRPr="001302DC" w14:paraId="03318286" w14:textId="77777777" w:rsidTr="00FC2444">
        <w:trPr>
          <w:trHeight w:val="511"/>
          <w:jc w:val="center"/>
        </w:trPr>
        <w:tc>
          <w:tcPr>
            <w:tcW w:w="1705" w:type="dxa"/>
            <w:tcBorders>
              <w:top w:val="nil"/>
              <w:left w:val="single" w:sz="4" w:space="0" w:color="auto"/>
              <w:bottom w:val="single" w:sz="4" w:space="0" w:color="auto"/>
              <w:right w:val="single" w:sz="4" w:space="0" w:color="auto"/>
            </w:tcBorders>
            <w:shd w:val="clear" w:color="auto" w:fill="auto"/>
            <w:vAlign w:val="center"/>
          </w:tcPr>
          <w:p w14:paraId="03318280" w14:textId="381A9083" w:rsidR="00FC2444" w:rsidRPr="00450D83" w:rsidRDefault="00FC2444" w:rsidP="00A71C7A">
            <w:pPr>
              <w:jc w:val="center"/>
              <w:rPr>
                <w:rFonts w:eastAsia="Times New Roman"/>
                <w:b/>
                <w:color w:val="000000" w:themeColor="text1"/>
                <w:lang w:eastAsia="lv-LV"/>
              </w:rPr>
            </w:pPr>
            <w:r>
              <w:rPr>
                <w:rFonts w:eastAsia="Times New Roman"/>
                <w:b/>
                <w:color w:val="000000" w:themeColor="text1"/>
                <w:lang w:eastAsia="lv-LV"/>
              </w:rPr>
              <w:t>2019 (izpilde)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03318281" w14:textId="0B087371" w:rsidR="00FC2444" w:rsidRPr="00A71C7A" w:rsidRDefault="00FC2444" w:rsidP="00A71C7A">
            <w:pPr>
              <w:jc w:val="center"/>
              <w:rPr>
                <w:rFonts w:eastAsia="Times New Roman"/>
                <w:color w:val="000000" w:themeColor="text1"/>
                <w:lang w:eastAsia="lv-LV"/>
              </w:rPr>
            </w:pPr>
            <w:r w:rsidRPr="00A71C7A">
              <w:rPr>
                <w:rFonts w:eastAsia="Times New Roman"/>
                <w:color w:val="000000" w:themeColor="text1"/>
                <w:lang w:eastAsia="lv-LV"/>
              </w:rPr>
              <w:t>46 65</w:t>
            </w:r>
            <w:r w:rsidR="00915280">
              <w:rPr>
                <w:rFonts w:eastAsia="Times New Roman"/>
                <w:color w:val="000000" w:themeColor="text1"/>
                <w:lang w:eastAsia="lv-LV"/>
              </w:rPr>
              <w:t>2</w:t>
            </w:r>
          </w:p>
        </w:tc>
        <w:tc>
          <w:tcPr>
            <w:tcW w:w="1440" w:type="dxa"/>
            <w:tcBorders>
              <w:top w:val="nil"/>
              <w:left w:val="nil"/>
              <w:bottom w:val="single" w:sz="4" w:space="0" w:color="auto"/>
              <w:right w:val="single" w:sz="4" w:space="0" w:color="auto"/>
            </w:tcBorders>
            <w:shd w:val="clear" w:color="auto" w:fill="auto"/>
            <w:vAlign w:val="center"/>
            <w:hideMark/>
          </w:tcPr>
          <w:p w14:paraId="03318282" w14:textId="0FF5A0A6" w:rsidR="00FC2444" w:rsidRPr="00A71C7A" w:rsidRDefault="00FC2444" w:rsidP="00A71C7A">
            <w:pPr>
              <w:jc w:val="center"/>
              <w:rPr>
                <w:rFonts w:eastAsia="Times New Roman"/>
                <w:color w:val="000000" w:themeColor="text1"/>
                <w:lang w:eastAsia="lv-LV"/>
              </w:rPr>
            </w:pPr>
            <w:r w:rsidRPr="00A71C7A">
              <w:rPr>
                <w:rFonts w:eastAsia="Times New Roman"/>
                <w:color w:val="000000" w:themeColor="text1"/>
                <w:lang w:eastAsia="lv-LV"/>
              </w:rPr>
              <w:t>37 32</w:t>
            </w:r>
            <w:r w:rsidR="00915280">
              <w:rPr>
                <w:rFonts w:eastAsia="Times New Roman"/>
                <w:color w:val="000000" w:themeColor="text1"/>
                <w:lang w:eastAsia="lv-LV"/>
              </w:rPr>
              <w:t>2</w:t>
            </w:r>
          </w:p>
        </w:tc>
        <w:tc>
          <w:tcPr>
            <w:tcW w:w="1852" w:type="dxa"/>
            <w:tcBorders>
              <w:top w:val="nil"/>
              <w:left w:val="nil"/>
              <w:bottom w:val="single" w:sz="4" w:space="0" w:color="auto"/>
              <w:right w:val="single" w:sz="4" w:space="0" w:color="auto"/>
            </w:tcBorders>
            <w:shd w:val="clear" w:color="auto" w:fill="auto"/>
            <w:vAlign w:val="center"/>
            <w:hideMark/>
          </w:tcPr>
          <w:p w14:paraId="03318283" w14:textId="1D2800FD" w:rsidR="00FC2444" w:rsidRPr="00A71C7A" w:rsidRDefault="00FC2444" w:rsidP="00A71C7A">
            <w:pPr>
              <w:jc w:val="center"/>
              <w:rPr>
                <w:rFonts w:eastAsia="Times New Roman"/>
                <w:lang w:eastAsia="lv-LV"/>
              </w:rPr>
            </w:pPr>
            <w:r w:rsidRPr="00A71C7A">
              <w:rPr>
                <w:rFonts w:eastAsia="Times New Roman"/>
                <w:lang w:eastAsia="lv-LV"/>
              </w:rPr>
              <w:t>0</w:t>
            </w:r>
          </w:p>
        </w:tc>
        <w:tc>
          <w:tcPr>
            <w:tcW w:w="1800" w:type="dxa"/>
            <w:tcBorders>
              <w:top w:val="nil"/>
              <w:left w:val="nil"/>
              <w:bottom w:val="single" w:sz="4" w:space="0" w:color="auto"/>
              <w:right w:val="single" w:sz="4" w:space="0" w:color="auto"/>
            </w:tcBorders>
            <w:shd w:val="clear" w:color="auto" w:fill="auto"/>
            <w:vAlign w:val="center"/>
            <w:hideMark/>
          </w:tcPr>
          <w:p w14:paraId="03318284" w14:textId="461AC59C" w:rsidR="00FC2444" w:rsidRPr="00A71C7A" w:rsidRDefault="00FC2444" w:rsidP="00A71C7A">
            <w:pPr>
              <w:jc w:val="center"/>
              <w:rPr>
                <w:rFonts w:eastAsia="Times New Roman"/>
                <w:color w:val="000000" w:themeColor="text1"/>
                <w:lang w:eastAsia="lv-LV"/>
              </w:rPr>
            </w:pPr>
            <w:r>
              <w:rPr>
                <w:rFonts w:eastAsia="Times New Roman"/>
                <w:color w:val="000000" w:themeColor="text1"/>
                <w:lang w:eastAsia="lv-LV"/>
              </w:rPr>
              <w:t>9 330</w:t>
            </w:r>
          </w:p>
        </w:tc>
      </w:tr>
      <w:tr w:rsidR="00FC2444" w:rsidRPr="001302DC" w14:paraId="0331828D" w14:textId="77777777" w:rsidTr="00FC2444">
        <w:trPr>
          <w:trHeight w:val="511"/>
          <w:jc w:val="center"/>
        </w:trPr>
        <w:tc>
          <w:tcPr>
            <w:tcW w:w="1705" w:type="dxa"/>
            <w:tcBorders>
              <w:top w:val="nil"/>
              <w:left w:val="single" w:sz="4" w:space="0" w:color="auto"/>
              <w:bottom w:val="single" w:sz="4" w:space="0" w:color="auto"/>
              <w:right w:val="single" w:sz="4" w:space="0" w:color="auto"/>
            </w:tcBorders>
            <w:vAlign w:val="center"/>
          </w:tcPr>
          <w:p w14:paraId="03318287" w14:textId="18A3844F" w:rsidR="00FC2444" w:rsidRPr="00CB6F4E" w:rsidRDefault="00FC2444" w:rsidP="00A71C7A">
            <w:pPr>
              <w:jc w:val="center"/>
              <w:rPr>
                <w:rFonts w:eastAsia="Times New Roman"/>
                <w:b/>
                <w:color w:val="000000" w:themeColor="text1"/>
                <w:lang w:eastAsia="lv-LV"/>
              </w:rPr>
            </w:pPr>
            <w:r>
              <w:rPr>
                <w:rFonts w:eastAsia="Times New Roman"/>
                <w:b/>
                <w:color w:val="000000" w:themeColor="text1"/>
                <w:lang w:eastAsia="lv-LV"/>
              </w:rPr>
              <w:t>2020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03318288" w14:textId="5D20AC70" w:rsidR="00FC2444" w:rsidRPr="00A71C7A" w:rsidRDefault="00FC2444" w:rsidP="00A71C7A">
            <w:pPr>
              <w:jc w:val="center"/>
              <w:rPr>
                <w:rFonts w:eastAsia="Times New Roman"/>
                <w:color w:val="000000" w:themeColor="text1"/>
                <w:lang w:eastAsia="lv-LV"/>
              </w:rPr>
            </w:pPr>
            <w:r w:rsidRPr="00A71C7A">
              <w:rPr>
                <w:rFonts w:eastAsia="Times New Roman"/>
                <w:color w:val="000000" w:themeColor="text1"/>
                <w:lang w:eastAsia="lv-LV"/>
              </w:rPr>
              <w:t>528 44</w:t>
            </w:r>
            <w:r w:rsidR="00915280">
              <w:rPr>
                <w:rFonts w:eastAsia="Times New Roman"/>
                <w:color w:val="000000" w:themeColor="text1"/>
                <w:lang w:eastAsia="lv-LV"/>
              </w:rPr>
              <w:t>7</w:t>
            </w:r>
          </w:p>
        </w:tc>
        <w:tc>
          <w:tcPr>
            <w:tcW w:w="1440" w:type="dxa"/>
            <w:tcBorders>
              <w:top w:val="nil"/>
              <w:left w:val="nil"/>
              <w:bottom w:val="single" w:sz="4" w:space="0" w:color="auto"/>
              <w:right w:val="single" w:sz="4" w:space="0" w:color="auto"/>
            </w:tcBorders>
            <w:shd w:val="clear" w:color="auto" w:fill="auto"/>
            <w:vAlign w:val="center"/>
            <w:hideMark/>
          </w:tcPr>
          <w:p w14:paraId="03318289" w14:textId="49841E00" w:rsidR="00FC2444" w:rsidRPr="00A71C7A" w:rsidRDefault="00FC2444" w:rsidP="00A71C7A">
            <w:pPr>
              <w:jc w:val="center"/>
              <w:rPr>
                <w:rFonts w:eastAsia="Times New Roman"/>
                <w:color w:val="000000" w:themeColor="text1"/>
                <w:lang w:eastAsia="lv-LV"/>
              </w:rPr>
            </w:pPr>
            <w:r w:rsidRPr="00A71C7A">
              <w:rPr>
                <w:rFonts w:eastAsia="Times New Roman"/>
                <w:color w:val="000000" w:themeColor="text1"/>
                <w:lang w:eastAsia="lv-LV"/>
              </w:rPr>
              <w:t>422 757</w:t>
            </w:r>
          </w:p>
        </w:tc>
        <w:tc>
          <w:tcPr>
            <w:tcW w:w="1852" w:type="dxa"/>
            <w:tcBorders>
              <w:top w:val="nil"/>
              <w:left w:val="nil"/>
              <w:bottom w:val="single" w:sz="4" w:space="0" w:color="auto"/>
              <w:right w:val="single" w:sz="4" w:space="0" w:color="auto"/>
            </w:tcBorders>
            <w:shd w:val="clear" w:color="auto" w:fill="auto"/>
            <w:vAlign w:val="center"/>
            <w:hideMark/>
          </w:tcPr>
          <w:p w14:paraId="2692801D" w14:textId="5B796825" w:rsidR="00FC2444" w:rsidRDefault="00915280" w:rsidP="00A71C7A">
            <w:pPr>
              <w:jc w:val="center"/>
              <w:rPr>
                <w:rFonts w:eastAsia="Times New Roman"/>
                <w:lang w:eastAsia="lv-LV"/>
              </w:rPr>
            </w:pPr>
            <w:r>
              <w:rPr>
                <w:rFonts w:eastAsia="Times New Roman"/>
                <w:lang w:eastAsia="lv-LV"/>
              </w:rPr>
              <w:t xml:space="preserve"> </w:t>
            </w:r>
          </w:p>
          <w:p w14:paraId="0331828A" w14:textId="6F491955" w:rsidR="00915280" w:rsidRPr="00A71C7A" w:rsidRDefault="00915280" w:rsidP="00A71C7A">
            <w:pPr>
              <w:jc w:val="center"/>
              <w:rPr>
                <w:rFonts w:eastAsia="Times New Roman"/>
                <w:lang w:eastAsia="lv-LV"/>
              </w:rPr>
            </w:pPr>
            <w:r>
              <w:rPr>
                <w:rFonts w:eastAsia="Times New Roman"/>
                <w:lang w:eastAsia="lv-LV"/>
              </w:rPr>
              <w:t>105 690</w:t>
            </w:r>
          </w:p>
        </w:tc>
        <w:tc>
          <w:tcPr>
            <w:tcW w:w="1800" w:type="dxa"/>
            <w:tcBorders>
              <w:top w:val="nil"/>
              <w:left w:val="nil"/>
              <w:bottom w:val="single" w:sz="4" w:space="0" w:color="auto"/>
              <w:right w:val="single" w:sz="4" w:space="0" w:color="auto"/>
            </w:tcBorders>
            <w:shd w:val="clear" w:color="auto" w:fill="auto"/>
            <w:vAlign w:val="center"/>
            <w:hideMark/>
          </w:tcPr>
          <w:p w14:paraId="0331828B" w14:textId="29B22DC1" w:rsidR="00FC2444" w:rsidRPr="00A71C7A" w:rsidRDefault="00915280" w:rsidP="00A71C7A">
            <w:pPr>
              <w:jc w:val="center"/>
              <w:rPr>
                <w:rFonts w:eastAsia="Times New Roman"/>
                <w:color w:val="000000" w:themeColor="text1"/>
                <w:lang w:eastAsia="lv-LV"/>
              </w:rPr>
            </w:pPr>
            <w:r>
              <w:rPr>
                <w:rFonts w:eastAsia="Times New Roman"/>
                <w:color w:val="000000" w:themeColor="text1"/>
                <w:lang w:eastAsia="lv-LV"/>
              </w:rPr>
              <w:t>0</w:t>
            </w:r>
          </w:p>
        </w:tc>
      </w:tr>
      <w:tr w:rsidR="00FC2444" w:rsidRPr="001302DC" w14:paraId="03318294" w14:textId="77777777" w:rsidTr="00FC2444">
        <w:trPr>
          <w:trHeight w:val="511"/>
          <w:jc w:val="center"/>
        </w:trPr>
        <w:tc>
          <w:tcPr>
            <w:tcW w:w="1705" w:type="dxa"/>
            <w:tcBorders>
              <w:top w:val="nil"/>
              <w:left w:val="single" w:sz="4" w:space="0" w:color="auto"/>
              <w:bottom w:val="single" w:sz="4" w:space="0" w:color="auto"/>
              <w:right w:val="single" w:sz="4" w:space="0" w:color="auto"/>
            </w:tcBorders>
            <w:vAlign w:val="center"/>
          </w:tcPr>
          <w:p w14:paraId="0331828E" w14:textId="369B7CAC" w:rsidR="00FC2444" w:rsidRPr="00CB6F4E" w:rsidRDefault="00FC2444" w:rsidP="00A71C7A">
            <w:pPr>
              <w:jc w:val="center"/>
              <w:rPr>
                <w:rFonts w:eastAsia="Times New Roman"/>
                <w:b/>
                <w:color w:val="000000" w:themeColor="text1"/>
                <w:lang w:eastAsia="lv-LV"/>
              </w:rPr>
            </w:pPr>
            <w:r>
              <w:rPr>
                <w:rFonts w:eastAsia="Times New Roman"/>
                <w:b/>
                <w:color w:val="000000" w:themeColor="text1"/>
                <w:lang w:eastAsia="lv-LV"/>
              </w:rPr>
              <w:t>2021</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0331828F" w14:textId="5B9D3B4A" w:rsidR="00FC2444" w:rsidRPr="001302DC" w:rsidRDefault="00FC2444" w:rsidP="00A71C7A">
            <w:pPr>
              <w:jc w:val="center"/>
              <w:rPr>
                <w:rFonts w:eastAsia="Times New Roman"/>
                <w:color w:val="000000" w:themeColor="text1"/>
                <w:lang w:eastAsia="lv-LV"/>
              </w:rPr>
            </w:pPr>
            <w:r>
              <w:rPr>
                <w:rFonts w:eastAsia="Times New Roman"/>
                <w:color w:val="000000" w:themeColor="text1"/>
                <w:lang w:eastAsia="lv-LV"/>
              </w:rPr>
              <w:t>63 401</w:t>
            </w:r>
          </w:p>
        </w:tc>
        <w:tc>
          <w:tcPr>
            <w:tcW w:w="1440" w:type="dxa"/>
            <w:tcBorders>
              <w:top w:val="nil"/>
              <w:left w:val="nil"/>
              <w:bottom w:val="single" w:sz="4" w:space="0" w:color="auto"/>
              <w:right w:val="single" w:sz="4" w:space="0" w:color="auto"/>
            </w:tcBorders>
            <w:shd w:val="clear" w:color="auto" w:fill="auto"/>
            <w:vAlign w:val="center"/>
            <w:hideMark/>
          </w:tcPr>
          <w:p w14:paraId="03318290" w14:textId="39F87CA5" w:rsidR="00FC2444" w:rsidRPr="001302DC" w:rsidRDefault="00FC2444" w:rsidP="00A71C7A">
            <w:pPr>
              <w:jc w:val="center"/>
              <w:rPr>
                <w:rFonts w:eastAsia="Times New Roman"/>
                <w:color w:val="000000" w:themeColor="text1"/>
                <w:lang w:eastAsia="lv-LV"/>
              </w:rPr>
            </w:pPr>
            <w:r>
              <w:rPr>
                <w:rFonts w:eastAsia="Times New Roman"/>
                <w:color w:val="000000" w:themeColor="text1"/>
                <w:lang w:eastAsia="lv-LV"/>
              </w:rPr>
              <w:t>50 721</w:t>
            </w:r>
          </w:p>
        </w:tc>
        <w:tc>
          <w:tcPr>
            <w:tcW w:w="1852" w:type="dxa"/>
            <w:tcBorders>
              <w:top w:val="nil"/>
              <w:left w:val="nil"/>
              <w:bottom w:val="single" w:sz="4" w:space="0" w:color="auto"/>
              <w:right w:val="single" w:sz="4" w:space="0" w:color="auto"/>
            </w:tcBorders>
            <w:shd w:val="clear" w:color="auto" w:fill="auto"/>
            <w:vAlign w:val="center"/>
            <w:hideMark/>
          </w:tcPr>
          <w:p w14:paraId="03318291" w14:textId="0CD29BF6" w:rsidR="00FC2444" w:rsidRPr="001302DC" w:rsidRDefault="00FC2444" w:rsidP="00A71C7A">
            <w:pPr>
              <w:jc w:val="center"/>
              <w:rPr>
                <w:rFonts w:eastAsia="Times New Roman"/>
                <w:color w:val="000000" w:themeColor="text1"/>
                <w:lang w:eastAsia="lv-LV"/>
              </w:rPr>
            </w:pPr>
            <w:r>
              <w:rPr>
                <w:rFonts w:eastAsia="Times New Roman"/>
                <w:color w:val="000000" w:themeColor="text1"/>
                <w:lang w:eastAsia="lv-LV"/>
              </w:rPr>
              <w:t>12 680</w:t>
            </w:r>
          </w:p>
        </w:tc>
        <w:tc>
          <w:tcPr>
            <w:tcW w:w="1800" w:type="dxa"/>
            <w:tcBorders>
              <w:top w:val="nil"/>
              <w:left w:val="nil"/>
              <w:bottom w:val="single" w:sz="4" w:space="0" w:color="auto"/>
              <w:right w:val="single" w:sz="4" w:space="0" w:color="auto"/>
            </w:tcBorders>
            <w:shd w:val="clear" w:color="auto" w:fill="auto"/>
            <w:vAlign w:val="center"/>
            <w:hideMark/>
          </w:tcPr>
          <w:p w14:paraId="03318292" w14:textId="61E05D02" w:rsidR="00FC2444" w:rsidRPr="001302DC" w:rsidRDefault="00915280" w:rsidP="00A71C7A">
            <w:pPr>
              <w:jc w:val="center"/>
              <w:rPr>
                <w:rFonts w:eastAsia="Times New Roman"/>
                <w:color w:val="000000" w:themeColor="text1"/>
                <w:lang w:eastAsia="lv-LV"/>
              </w:rPr>
            </w:pPr>
            <w:r>
              <w:rPr>
                <w:rFonts w:eastAsia="Times New Roman"/>
                <w:color w:val="000000" w:themeColor="text1"/>
                <w:lang w:eastAsia="lv-LV"/>
              </w:rPr>
              <w:t>0</w:t>
            </w:r>
          </w:p>
        </w:tc>
      </w:tr>
      <w:tr w:rsidR="00FC2444" w:rsidRPr="001302DC" w14:paraId="0331829B" w14:textId="77777777" w:rsidTr="00FC2444">
        <w:trPr>
          <w:trHeight w:val="511"/>
          <w:jc w:val="center"/>
        </w:trPr>
        <w:tc>
          <w:tcPr>
            <w:tcW w:w="1705" w:type="dxa"/>
            <w:tcBorders>
              <w:top w:val="nil"/>
              <w:left w:val="single" w:sz="4" w:space="0" w:color="auto"/>
              <w:bottom w:val="single" w:sz="4" w:space="0" w:color="auto"/>
              <w:right w:val="single" w:sz="4" w:space="0" w:color="auto"/>
            </w:tcBorders>
            <w:vAlign w:val="center"/>
          </w:tcPr>
          <w:p w14:paraId="03318295" w14:textId="32AF7628" w:rsidR="00FC2444" w:rsidRPr="001302DC" w:rsidRDefault="00FC2444" w:rsidP="00A71C7A">
            <w:pPr>
              <w:jc w:val="center"/>
              <w:rPr>
                <w:rFonts w:eastAsia="Times New Roman"/>
                <w:b/>
                <w:bCs/>
                <w:color w:val="000000" w:themeColor="text1"/>
                <w:lang w:eastAsia="lv-LV"/>
              </w:rPr>
            </w:pPr>
            <w:r>
              <w:rPr>
                <w:rFonts w:eastAsia="Times New Roman"/>
                <w:b/>
                <w:bCs/>
                <w:color w:val="000000" w:themeColor="text1"/>
                <w:lang w:eastAsia="lv-LV"/>
              </w:rPr>
              <w:t>Kopā:</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03318296" w14:textId="0D5B907C" w:rsidR="00FC2444" w:rsidRPr="001302DC" w:rsidRDefault="00FC2444" w:rsidP="00A71C7A">
            <w:pPr>
              <w:jc w:val="center"/>
              <w:rPr>
                <w:rFonts w:eastAsia="Times New Roman"/>
                <w:b/>
                <w:bCs/>
                <w:color w:val="000000" w:themeColor="text1"/>
                <w:lang w:eastAsia="lv-LV"/>
              </w:rPr>
            </w:pPr>
            <w:r>
              <w:rPr>
                <w:rFonts w:eastAsia="Times New Roman"/>
                <w:b/>
                <w:bCs/>
                <w:color w:val="000000" w:themeColor="text1"/>
                <w:lang w:eastAsia="lv-LV"/>
              </w:rPr>
              <w:t>638</w:t>
            </w:r>
            <w:r w:rsidR="00915280">
              <w:rPr>
                <w:rFonts w:eastAsia="Times New Roman"/>
                <w:b/>
                <w:bCs/>
                <w:color w:val="000000" w:themeColor="text1"/>
                <w:lang w:eastAsia="lv-LV"/>
              </w:rPr>
              <w:t xml:space="preserve"> 500 </w:t>
            </w:r>
          </w:p>
        </w:tc>
        <w:tc>
          <w:tcPr>
            <w:tcW w:w="1440" w:type="dxa"/>
            <w:tcBorders>
              <w:top w:val="nil"/>
              <w:left w:val="nil"/>
              <w:bottom w:val="single" w:sz="4" w:space="0" w:color="auto"/>
              <w:right w:val="single" w:sz="4" w:space="0" w:color="auto"/>
            </w:tcBorders>
            <w:shd w:val="clear" w:color="auto" w:fill="auto"/>
            <w:vAlign w:val="center"/>
            <w:hideMark/>
          </w:tcPr>
          <w:p w14:paraId="03318297" w14:textId="5F416CEE" w:rsidR="00FC2444" w:rsidRPr="001302DC" w:rsidRDefault="00FC2444" w:rsidP="00915280">
            <w:pPr>
              <w:jc w:val="center"/>
              <w:rPr>
                <w:rFonts w:eastAsia="Times New Roman"/>
                <w:b/>
                <w:color w:val="000000" w:themeColor="text1"/>
                <w:lang w:eastAsia="lv-LV"/>
              </w:rPr>
            </w:pPr>
            <w:r>
              <w:rPr>
                <w:rFonts w:eastAsia="Times New Roman"/>
                <w:b/>
                <w:color w:val="000000" w:themeColor="text1"/>
                <w:lang w:eastAsia="lv-LV"/>
              </w:rPr>
              <w:t>510</w:t>
            </w:r>
            <w:r w:rsidR="00915280">
              <w:rPr>
                <w:rFonts w:eastAsia="Times New Roman"/>
                <w:b/>
                <w:color w:val="000000" w:themeColor="text1"/>
                <w:lang w:eastAsia="lv-LV"/>
              </w:rPr>
              <w:t xml:space="preserve"> 800 </w:t>
            </w:r>
          </w:p>
        </w:tc>
        <w:tc>
          <w:tcPr>
            <w:tcW w:w="1852" w:type="dxa"/>
            <w:tcBorders>
              <w:top w:val="nil"/>
              <w:left w:val="nil"/>
              <w:bottom w:val="single" w:sz="4" w:space="0" w:color="auto"/>
              <w:right w:val="single" w:sz="4" w:space="0" w:color="auto"/>
            </w:tcBorders>
            <w:shd w:val="clear" w:color="auto" w:fill="auto"/>
            <w:vAlign w:val="center"/>
            <w:hideMark/>
          </w:tcPr>
          <w:p w14:paraId="08BEF295" w14:textId="1E03A048" w:rsidR="00FC2444" w:rsidRDefault="00915280" w:rsidP="00FC2444">
            <w:pPr>
              <w:jc w:val="center"/>
              <w:rPr>
                <w:rFonts w:eastAsia="Times New Roman"/>
                <w:b/>
                <w:color w:val="000000" w:themeColor="text1"/>
                <w:lang w:eastAsia="lv-LV"/>
              </w:rPr>
            </w:pPr>
            <w:r w:rsidDel="00915280">
              <w:rPr>
                <w:rFonts w:eastAsia="Times New Roman"/>
                <w:b/>
                <w:color w:val="000000" w:themeColor="text1"/>
                <w:lang w:eastAsia="lv-LV"/>
              </w:rPr>
              <w:t xml:space="preserve"> </w:t>
            </w:r>
          </w:p>
          <w:p w14:paraId="03318298" w14:textId="20B5BB38" w:rsidR="00915280" w:rsidRPr="001302DC" w:rsidRDefault="00915280" w:rsidP="00FC2444">
            <w:pPr>
              <w:jc w:val="center"/>
              <w:rPr>
                <w:rFonts w:eastAsia="Times New Roman"/>
                <w:b/>
                <w:color w:val="000000" w:themeColor="text1"/>
                <w:lang w:eastAsia="lv-LV"/>
              </w:rPr>
            </w:pPr>
            <w:r>
              <w:rPr>
                <w:rFonts w:eastAsia="Times New Roman"/>
                <w:b/>
                <w:color w:val="000000" w:themeColor="text1"/>
                <w:lang w:eastAsia="lv-LV"/>
              </w:rPr>
              <w:t>118 370</w:t>
            </w:r>
          </w:p>
        </w:tc>
        <w:tc>
          <w:tcPr>
            <w:tcW w:w="1800" w:type="dxa"/>
            <w:tcBorders>
              <w:top w:val="nil"/>
              <w:left w:val="nil"/>
              <w:bottom w:val="single" w:sz="4" w:space="0" w:color="auto"/>
              <w:right w:val="single" w:sz="4" w:space="0" w:color="auto"/>
            </w:tcBorders>
            <w:shd w:val="clear" w:color="auto" w:fill="auto"/>
            <w:vAlign w:val="center"/>
            <w:hideMark/>
          </w:tcPr>
          <w:p w14:paraId="03318299" w14:textId="22FEDF62" w:rsidR="00FC2444" w:rsidRPr="001302DC" w:rsidRDefault="00FC2444" w:rsidP="00A71C7A">
            <w:pPr>
              <w:jc w:val="center"/>
              <w:rPr>
                <w:rFonts w:eastAsia="Times New Roman"/>
                <w:b/>
                <w:color w:val="000000" w:themeColor="text1"/>
                <w:lang w:eastAsia="lv-LV"/>
              </w:rPr>
            </w:pPr>
            <w:r>
              <w:rPr>
                <w:rFonts w:eastAsia="Times New Roman"/>
                <w:b/>
                <w:color w:val="000000" w:themeColor="text1"/>
                <w:lang w:eastAsia="lv-LV"/>
              </w:rPr>
              <w:t>9 330</w:t>
            </w:r>
          </w:p>
        </w:tc>
      </w:tr>
    </w:tbl>
    <w:p w14:paraId="0331829C" w14:textId="77777777" w:rsidR="001302DC" w:rsidRPr="001302DC" w:rsidRDefault="001302DC" w:rsidP="001302DC">
      <w:pPr>
        <w:keepNext/>
        <w:keepLines/>
        <w:tabs>
          <w:tab w:val="left" w:pos="709"/>
        </w:tabs>
        <w:rPr>
          <w:color w:val="000000" w:themeColor="text1"/>
        </w:rPr>
      </w:pPr>
    </w:p>
    <w:p w14:paraId="0331829D" w14:textId="77777777" w:rsidR="001302DC" w:rsidRPr="001302DC" w:rsidRDefault="001302DC" w:rsidP="001302DC">
      <w:pPr>
        <w:ind w:firstLine="709"/>
        <w:rPr>
          <w:color w:val="FF0000"/>
        </w:rPr>
      </w:pPr>
      <w:r w:rsidRPr="001302DC">
        <w:rPr>
          <w:color w:val="000000" w:themeColor="text1"/>
        </w:rPr>
        <w:t xml:space="preserve">Tabulā Nr. 4 ir atspoguļotas budžeta kategorijas un plānotais budžets Vidzemes Augstskolai. </w:t>
      </w:r>
      <w:r w:rsidRPr="001302DC">
        <w:rPr>
          <w:color w:val="000000" w:themeColor="text1"/>
          <w:shd w:val="clear" w:color="auto" w:fill="FFFFFF"/>
        </w:rPr>
        <w:t>Pilsētu projekta</w:t>
      </w:r>
      <w:r w:rsidRPr="001302DC">
        <w:rPr>
          <w:color w:val="000000" w:themeColor="text1"/>
        </w:rPr>
        <w:t xml:space="preserve"> tiešās izmaksas ietver: 1) projekta īstenošanā iesaistītā personāla atlīdzību; 2) iekārtas un aprīkojumu; 3) ceļa un uzturēšanās izdevumus projekta personālam projekta sanāksmju apmeklēšanai un projekta darba grupu apmeklēšanai ārvalstīs; 4) ārpakalpojumu veikšanu, kurus neveic iesaistītās institūcijas (piemēram</w:t>
      </w:r>
      <w:r w:rsidRPr="001302DC">
        <w:t xml:space="preserve">, mārketinga stratēģijas izstrāde); 5) citus ar projektu saistītos izdevumus (infrastruktūras izveide  jeb </w:t>
      </w:r>
      <w:r w:rsidRPr="001302DC">
        <w:rPr>
          <w:i/>
        </w:rPr>
        <w:t>ALC</w:t>
      </w:r>
      <w:r w:rsidRPr="001302DC">
        <w:t xml:space="preserve"> metodoloģiju atbalstošu telpu/auditoriju pielāgošana/pārbūve-remontēšana). </w:t>
      </w:r>
    </w:p>
    <w:p w14:paraId="0331829E" w14:textId="77777777" w:rsidR="001302DC" w:rsidRPr="001302DC" w:rsidRDefault="001302DC" w:rsidP="001302DC">
      <w:pPr>
        <w:ind w:firstLine="709"/>
        <w:rPr>
          <w:color w:val="000000" w:themeColor="text1"/>
        </w:rPr>
      </w:pPr>
    </w:p>
    <w:p w14:paraId="48B339BC" w14:textId="77777777" w:rsidR="00267909" w:rsidRPr="00267909" w:rsidRDefault="001302DC" w:rsidP="001302DC">
      <w:pPr>
        <w:spacing w:after="120"/>
        <w:ind w:firstLine="720"/>
        <w:jc w:val="right"/>
        <w:rPr>
          <w:color w:val="000000" w:themeColor="text1"/>
        </w:rPr>
      </w:pPr>
      <w:r w:rsidRPr="00267909">
        <w:rPr>
          <w:color w:val="000000" w:themeColor="text1"/>
        </w:rPr>
        <w:t xml:space="preserve">Tabula Nr. 4 </w:t>
      </w:r>
    </w:p>
    <w:p w14:paraId="0331829F" w14:textId="3C58836A" w:rsidR="001302DC" w:rsidRPr="001302DC" w:rsidRDefault="001302DC" w:rsidP="00267909">
      <w:pPr>
        <w:spacing w:after="120"/>
        <w:ind w:firstLine="720"/>
        <w:jc w:val="center"/>
        <w:rPr>
          <w:b/>
          <w:color w:val="000000" w:themeColor="text1"/>
        </w:rPr>
      </w:pPr>
      <w:r w:rsidRPr="001302DC">
        <w:rPr>
          <w:b/>
          <w:color w:val="000000" w:themeColor="text1"/>
        </w:rPr>
        <w:t>Pilsētu projekta budžeta kategorijas un Vidzeme</w:t>
      </w:r>
      <w:r w:rsidR="00267909">
        <w:rPr>
          <w:b/>
          <w:color w:val="000000" w:themeColor="text1"/>
        </w:rPr>
        <w:t>s Augstskolai plānotais budžets</w:t>
      </w:r>
    </w:p>
    <w:tbl>
      <w:tblPr>
        <w:tblStyle w:val="TableGrid"/>
        <w:tblW w:w="0" w:type="auto"/>
        <w:jc w:val="center"/>
        <w:tblLook w:val="04A0" w:firstRow="1" w:lastRow="0" w:firstColumn="1" w:lastColumn="0" w:noHBand="0" w:noVBand="1"/>
      </w:tblPr>
      <w:tblGrid>
        <w:gridCol w:w="6403"/>
        <w:gridCol w:w="2431"/>
      </w:tblGrid>
      <w:tr w:rsidR="001302DC" w:rsidRPr="001302DC" w14:paraId="033182A2" w14:textId="77777777" w:rsidTr="006E246C">
        <w:trPr>
          <w:jc w:val="center"/>
        </w:trPr>
        <w:tc>
          <w:tcPr>
            <w:tcW w:w="6403" w:type="dxa"/>
            <w:vAlign w:val="center"/>
          </w:tcPr>
          <w:p w14:paraId="033182A0" w14:textId="77777777" w:rsidR="001302DC" w:rsidRPr="001302DC" w:rsidRDefault="001302DC" w:rsidP="006E246C">
            <w:pPr>
              <w:jc w:val="center"/>
              <w:rPr>
                <w:b/>
                <w:color w:val="000000" w:themeColor="text1"/>
              </w:rPr>
            </w:pPr>
            <w:r w:rsidRPr="001302DC">
              <w:rPr>
                <w:color w:val="000000" w:themeColor="text1"/>
              </w:rPr>
              <w:t>Budžeta kategorijas</w:t>
            </w:r>
          </w:p>
        </w:tc>
        <w:tc>
          <w:tcPr>
            <w:tcW w:w="2431" w:type="dxa"/>
            <w:vAlign w:val="center"/>
          </w:tcPr>
          <w:p w14:paraId="033182A1" w14:textId="77777777" w:rsidR="001302DC" w:rsidRPr="001302DC" w:rsidRDefault="001302DC" w:rsidP="006E246C">
            <w:pPr>
              <w:jc w:val="center"/>
              <w:rPr>
                <w:color w:val="000000" w:themeColor="text1"/>
              </w:rPr>
            </w:pPr>
            <w:r w:rsidRPr="001302DC">
              <w:rPr>
                <w:color w:val="000000" w:themeColor="text1"/>
              </w:rPr>
              <w:t>Plānotais budžets, EUR</w:t>
            </w:r>
          </w:p>
        </w:tc>
      </w:tr>
      <w:tr w:rsidR="001302DC" w:rsidRPr="001302DC" w14:paraId="033182A5" w14:textId="77777777" w:rsidTr="006E246C">
        <w:trPr>
          <w:trHeight w:val="340"/>
          <w:jc w:val="center"/>
        </w:trPr>
        <w:tc>
          <w:tcPr>
            <w:tcW w:w="6403" w:type="dxa"/>
          </w:tcPr>
          <w:p w14:paraId="033182A3" w14:textId="77777777" w:rsidR="001302DC" w:rsidRPr="001302DC" w:rsidRDefault="001302DC" w:rsidP="001302DC">
            <w:pPr>
              <w:pStyle w:val="ListParagraph"/>
              <w:numPr>
                <w:ilvl w:val="0"/>
                <w:numId w:val="13"/>
              </w:numPr>
              <w:contextualSpacing/>
              <w:rPr>
                <w:rFonts w:ascii="Times New Roman" w:hAnsi="Times New Roman" w:cs="Times New Roman"/>
                <w:color w:val="000000" w:themeColor="text1"/>
                <w:sz w:val="24"/>
                <w:szCs w:val="24"/>
              </w:rPr>
            </w:pPr>
            <w:r w:rsidRPr="001302DC">
              <w:rPr>
                <w:rFonts w:ascii="Times New Roman" w:hAnsi="Times New Roman" w:cs="Times New Roman"/>
                <w:color w:val="000000" w:themeColor="text1"/>
                <w:sz w:val="24"/>
                <w:szCs w:val="24"/>
              </w:rPr>
              <w:t>Tiešās izmaksas (personāla algas)</w:t>
            </w:r>
          </w:p>
        </w:tc>
        <w:tc>
          <w:tcPr>
            <w:tcW w:w="2431" w:type="dxa"/>
            <w:vAlign w:val="center"/>
          </w:tcPr>
          <w:p w14:paraId="033182A4" w14:textId="77777777" w:rsidR="001302DC" w:rsidRPr="007F2EFD" w:rsidRDefault="001302DC" w:rsidP="006E246C">
            <w:pPr>
              <w:contextualSpacing/>
              <w:jc w:val="center"/>
              <w:rPr>
                <w:color w:val="000000" w:themeColor="text1"/>
              </w:rPr>
            </w:pPr>
            <w:r w:rsidRPr="007F2EFD">
              <w:rPr>
                <w:color w:val="000000" w:themeColor="text1"/>
              </w:rPr>
              <w:t xml:space="preserve">335 010 </w:t>
            </w:r>
          </w:p>
        </w:tc>
      </w:tr>
      <w:tr w:rsidR="001302DC" w:rsidRPr="001302DC" w14:paraId="033182A8" w14:textId="77777777" w:rsidTr="006E246C">
        <w:trPr>
          <w:trHeight w:val="340"/>
          <w:jc w:val="center"/>
        </w:trPr>
        <w:tc>
          <w:tcPr>
            <w:tcW w:w="6403" w:type="dxa"/>
          </w:tcPr>
          <w:p w14:paraId="033182A6" w14:textId="77777777" w:rsidR="001302DC" w:rsidRPr="001302DC" w:rsidRDefault="001302DC" w:rsidP="001302DC">
            <w:pPr>
              <w:pStyle w:val="ListParagraph"/>
              <w:numPr>
                <w:ilvl w:val="0"/>
                <w:numId w:val="13"/>
              </w:numPr>
              <w:contextualSpacing/>
              <w:rPr>
                <w:rFonts w:ascii="Times New Roman" w:hAnsi="Times New Roman" w:cs="Times New Roman"/>
                <w:color w:val="000000" w:themeColor="text1"/>
                <w:sz w:val="24"/>
                <w:szCs w:val="24"/>
              </w:rPr>
            </w:pPr>
            <w:r w:rsidRPr="001302DC">
              <w:rPr>
                <w:rFonts w:ascii="Times New Roman" w:hAnsi="Times New Roman" w:cs="Times New Roman"/>
                <w:color w:val="000000" w:themeColor="text1"/>
                <w:sz w:val="24"/>
                <w:szCs w:val="24"/>
              </w:rPr>
              <w:t xml:space="preserve">Tiešās izmaksas (darbības izmaksas)  </w:t>
            </w:r>
          </w:p>
        </w:tc>
        <w:tc>
          <w:tcPr>
            <w:tcW w:w="2431" w:type="dxa"/>
            <w:vAlign w:val="center"/>
          </w:tcPr>
          <w:p w14:paraId="033182A7" w14:textId="6F3097D0" w:rsidR="001302DC" w:rsidRPr="007F2EFD" w:rsidRDefault="001302DC" w:rsidP="006E246C">
            <w:pPr>
              <w:contextualSpacing/>
              <w:jc w:val="center"/>
              <w:rPr>
                <w:color w:val="000000" w:themeColor="text1"/>
              </w:rPr>
            </w:pPr>
            <w:r w:rsidRPr="007F2EFD">
              <w:rPr>
                <w:color w:val="000000" w:themeColor="text1"/>
              </w:rPr>
              <w:t>253</w:t>
            </w:r>
            <w:r w:rsidR="00A17164">
              <w:rPr>
                <w:color w:val="000000" w:themeColor="text1"/>
              </w:rPr>
              <w:t xml:space="preserve"> </w:t>
            </w:r>
            <w:r w:rsidRPr="007F2EFD">
              <w:rPr>
                <w:color w:val="000000" w:themeColor="text1"/>
              </w:rPr>
              <w:t>238</w:t>
            </w:r>
          </w:p>
        </w:tc>
      </w:tr>
      <w:tr w:rsidR="001302DC" w:rsidRPr="001302DC" w14:paraId="033182AB" w14:textId="77777777" w:rsidTr="006E246C">
        <w:trPr>
          <w:trHeight w:val="340"/>
          <w:jc w:val="center"/>
        </w:trPr>
        <w:tc>
          <w:tcPr>
            <w:tcW w:w="6403" w:type="dxa"/>
          </w:tcPr>
          <w:p w14:paraId="033182A9" w14:textId="77777777" w:rsidR="001302DC" w:rsidRPr="001302DC" w:rsidRDefault="001302DC" w:rsidP="006E246C">
            <w:pPr>
              <w:ind w:firstLine="880"/>
              <w:rPr>
                <w:i/>
                <w:color w:val="000000" w:themeColor="text1"/>
              </w:rPr>
            </w:pPr>
            <w:r w:rsidRPr="001302DC">
              <w:rPr>
                <w:i/>
                <w:color w:val="000000" w:themeColor="text1"/>
              </w:rPr>
              <w:t>2.1. Iekārtas un aprīkojums</w:t>
            </w:r>
          </w:p>
        </w:tc>
        <w:tc>
          <w:tcPr>
            <w:tcW w:w="2431" w:type="dxa"/>
            <w:vAlign w:val="center"/>
          </w:tcPr>
          <w:p w14:paraId="033182AA" w14:textId="77777777" w:rsidR="001302DC" w:rsidRPr="007F2EFD" w:rsidRDefault="001302DC" w:rsidP="006E246C">
            <w:pPr>
              <w:contextualSpacing/>
              <w:jc w:val="center"/>
              <w:rPr>
                <w:color w:val="000000" w:themeColor="text1"/>
              </w:rPr>
            </w:pPr>
            <w:r w:rsidRPr="007F2EFD">
              <w:rPr>
                <w:color w:val="000000" w:themeColor="text1"/>
              </w:rPr>
              <w:t>83 693</w:t>
            </w:r>
          </w:p>
        </w:tc>
      </w:tr>
      <w:tr w:rsidR="001302DC" w:rsidRPr="001302DC" w14:paraId="033182AE" w14:textId="77777777" w:rsidTr="006E246C">
        <w:trPr>
          <w:trHeight w:val="340"/>
          <w:jc w:val="center"/>
        </w:trPr>
        <w:tc>
          <w:tcPr>
            <w:tcW w:w="6403" w:type="dxa"/>
          </w:tcPr>
          <w:p w14:paraId="033182AC" w14:textId="77777777" w:rsidR="001302DC" w:rsidRPr="001302DC" w:rsidRDefault="001302DC" w:rsidP="006E246C">
            <w:pPr>
              <w:ind w:firstLine="880"/>
              <w:rPr>
                <w:i/>
                <w:color w:val="000000" w:themeColor="text1"/>
              </w:rPr>
            </w:pPr>
            <w:r w:rsidRPr="001302DC">
              <w:rPr>
                <w:i/>
                <w:color w:val="000000" w:themeColor="text1"/>
              </w:rPr>
              <w:t>2.2. Ārpakalpojumi</w:t>
            </w:r>
          </w:p>
        </w:tc>
        <w:tc>
          <w:tcPr>
            <w:tcW w:w="2431" w:type="dxa"/>
            <w:vAlign w:val="center"/>
          </w:tcPr>
          <w:p w14:paraId="033182AD" w14:textId="77777777" w:rsidR="001302DC" w:rsidRPr="007F2EFD" w:rsidRDefault="001302DC" w:rsidP="006E246C">
            <w:pPr>
              <w:contextualSpacing/>
              <w:jc w:val="center"/>
              <w:rPr>
                <w:color w:val="000000" w:themeColor="text1"/>
              </w:rPr>
            </w:pPr>
            <w:r w:rsidRPr="007F2EFD">
              <w:rPr>
                <w:color w:val="000000" w:themeColor="text1"/>
              </w:rPr>
              <w:t>80 275</w:t>
            </w:r>
          </w:p>
        </w:tc>
      </w:tr>
      <w:tr w:rsidR="001302DC" w:rsidRPr="001302DC" w14:paraId="033182B1" w14:textId="77777777" w:rsidTr="006E246C">
        <w:trPr>
          <w:trHeight w:val="340"/>
          <w:jc w:val="center"/>
        </w:trPr>
        <w:tc>
          <w:tcPr>
            <w:tcW w:w="6403" w:type="dxa"/>
          </w:tcPr>
          <w:p w14:paraId="033182AF" w14:textId="0FA6DC56" w:rsidR="001302DC" w:rsidRPr="001302DC" w:rsidRDefault="001302DC" w:rsidP="006E246C">
            <w:pPr>
              <w:ind w:firstLine="880"/>
              <w:rPr>
                <w:i/>
                <w:color w:val="000000" w:themeColor="text1"/>
              </w:rPr>
            </w:pPr>
            <w:r w:rsidRPr="001302DC">
              <w:rPr>
                <w:i/>
                <w:color w:val="000000" w:themeColor="text1"/>
              </w:rPr>
              <w:t>2.</w:t>
            </w:r>
            <w:r w:rsidR="006A0D45">
              <w:rPr>
                <w:i/>
                <w:color w:val="000000" w:themeColor="text1"/>
              </w:rPr>
              <w:t>3</w:t>
            </w:r>
            <w:r w:rsidRPr="001302DC">
              <w:rPr>
                <w:i/>
                <w:color w:val="000000" w:themeColor="text1"/>
              </w:rPr>
              <w:t>. Ceļa un uzturēšanās izdevumi</w:t>
            </w:r>
          </w:p>
        </w:tc>
        <w:tc>
          <w:tcPr>
            <w:tcW w:w="2431" w:type="dxa"/>
            <w:vAlign w:val="center"/>
          </w:tcPr>
          <w:p w14:paraId="033182B0" w14:textId="77777777" w:rsidR="001302DC" w:rsidRPr="007F2EFD" w:rsidRDefault="001302DC" w:rsidP="006E246C">
            <w:pPr>
              <w:contextualSpacing/>
              <w:jc w:val="center"/>
              <w:rPr>
                <w:color w:val="000000" w:themeColor="text1"/>
              </w:rPr>
            </w:pPr>
            <w:r w:rsidRPr="007F2EFD">
              <w:rPr>
                <w:color w:val="000000" w:themeColor="text1"/>
              </w:rPr>
              <w:t>29 270</w:t>
            </w:r>
          </w:p>
        </w:tc>
      </w:tr>
      <w:tr w:rsidR="001302DC" w:rsidRPr="001302DC" w14:paraId="033182B4" w14:textId="77777777" w:rsidTr="006E246C">
        <w:trPr>
          <w:trHeight w:val="340"/>
          <w:jc w:val="center"/>
        </w:trPr>
        <w:tc>
          <w:tcPr>
            <w:tcW w:w="6403" w:type="dxa"/>
          </w:tcPr>
          <w:p w14:paraId="033182B2" w14:textId="0F5F8F89" w:rsidR="001302DC" w:rsidRPr="001302DC" w:rsidRDefault="001302DC" w:rsidP="006E246C">
            <w:pPr>
              <w:ind w:firstLine="880"/>
              <w:rPr>
                <w:i/>
                <w:color w:val="000000" w:themeColor="text1"/>
              </w:rPr>
            </w:pPr>
            <w:r w:rsidRPr="001302DC">
              <w:rPr>
                <w:i/>
                <w:color w:val="000000" w:themeColor="text1"/>
              </w:rPr>
              <w:t>2.</w:t>
            </w:r>
            <w:r w:rsidR="006A0D45">
              <w:rPr>
                <w:i/>
                <w:color w:val="000000" w:themeColor="text1"/>
              </w:rPr>
              <w:t>4</w:t>
            </w:r>
            <w:r w:rsidRPr="001302DC">
              <w:rPr>
                <w:i/>
                <w:color w:val="000000" w:themeColor="text1"/>
              </w:rPr>
              <w:t>. Citas ar projekta īstenošanu saistītās izmaksas</w:t>
            </w:r>
          </w:p>
        </w:tc>
        <w:tc>
          <w:tcPr>
            <w:tcW w:w="2431" w:type="dxa"/>
            <w:vAlign w:val="center"/>
          </w:tcPr>
          <w:p w14:paraId="033182B3" w14:textId="77777777" w:rsidR="001302DC" w:rsidRPr="007F2EFD" w:rsidRDefault="001302DC" w:rsidP="006E246C">
            <w:pPr>
              <w:contextualSpacing/>
              <w:jc w:val="center"/>
              <w:rPr>
                <w:color w:val="000000" w:themeColor="text1"/>
              </w:rPr>
            </w:pPr>
            <w:r w:rsidRPr="007F2EFD">
              <w:rPr>
                <w:color w:val="000000" w:themeColor="text1"/>
              </w:rPr>
              <w:t>60 000</w:t>
            </w:r>
          </w:p>
        </w:tc>
      </w:tr>
      <w:tr w:rsidR="001302DC" w:rsidRPr="001302DC" w14:paraId="033182B7" w14:textId="77777777" w:rsidTr="006E246C">
        <w:trPr>
          <w:trHeight w:val="340"/>
          <w:jc w:val="center"/>
        </w:trPr>
        <w:tc>
          <w:tcPr>
            <w:tcW w:w="6403" w:type="dxa"/>
          </w:tcPr>
          <w:p w14:paraId="033182B5" w14:textId="77777777" w:rsidR="001302DC" w:rsidRPr="001302DC" w:rsidRDefault="001302DC" w:rsidP="001302DC">
            <w:pPr>
              <w:pStyle w:val="ListParagraph"/>
              <w:numPr>
                <w:ilvl w:val="0"/>
                <w:numId w:val="13"/>
              </w:numPr>
              <w:contextualSpacing/>
              <w:rPr>
                <w:rFonts w:ascii="Times New Roman" w:hAnsi="Times New Roman" w:cs="Times New Roman"/>
                <w:color w:val="000000" w:themeColor="text1"/>
                <w:sz w:val="24"/>
                <w:szCs w:val="24"/>
              </w:rPr>
            </w:pPr>
            <w:r w:rsidRPr="001302DC">
              <w:rPr>
                <w:rFonts w:ascii="Times New Roman" w:hAnsi="Times New Roman" w:cs="Times New Roman"/>
                <w:color w:val="000000" w:themeColor="text1"/>
                <w:sz w:val="24"/>
                <w:szCs w:val="24"/>
              </w:rPr>
              <w:t>Netiešās izmaksas</w:t>
            </w:r>
          </w:p>
        </w:tc>
        <w:tc>
          <w:tcPr>
            <w:tcW w:w="2431" w:type="dxa"/>
            <w:vAlign w:val="center"/>
          </w:tcPr>
          <w:p w14:paraId="033182B6" w14:textId="5DAA3DCD" w:rsidR="001302DC" w:rsidRPr="007F2EFD" w:rsidRDefault="000D3CB4" w:rsidP="006E246C">
            <w:pPr>
              <w:jc w:val="center"/>
              <w:rPr>
                <w:color w:val="000000"/>
              </w:rPr>
            </w:pPr>
            <w:r>
              <w:rPr>
                <w:color w:val="000000"/>
              </w:rPr>
              <w:t>50 252</w:t>
            </w:r>
          </w:p>
        </w:tc>
      </w:tr>
      <w:tr w:rsidR="001302DC" w:rsidRPr="001302DC" w14:paraId="033182BA" w14:textId="77777777" w:rsidTr="006E246C">
        <w:trPr>
          <w:trHeight w:val="340"/>
          <w:jc w:val="center"/>
        </w:trPr>
        <w:tc>
          <w:tcPr>
            <w:tcW w:w="6403" w:type="dxa"/>
          </w:tcPr>
          <w:p w14:paraId="033182B8" w14:textId="77777777" w:rsidR="001302DC" w:rsidRPr="001302DC" w:rsidRDefault="001302DC" w:rsidP="006E246C">
            <w:pPr>
              <w:rPr>
                <w:b/>
                <w:color w:val="000000" w:themeColor="text1"/>
              </w:rPr>
            </w:pPr>
            <w:r w:rsidRPr="001302DC">
              <w:rPr>
                <w:b/>
                <w:color w:val="000000" w:themeColor="text1"/>
              </w:rPr>
              <w:t xml:space="preserve">Kopējās projekta izmaksas: </w:t>
            </w:r>
          </w:p>
        </w:tc>
        <w:tc>
          <w:tcPr>
            <w:tcW w:w="2431" w:type="dxa"/>
            <w:vAlign w:val="center"/>
          </w:tcPr>
          <w:p w14:paraId="033182B9" w14:textId="60122866" w:rsidR="001302DC" w:rsidRPr="001302DC" w:rsidRDefault="00584EBA" w:rsidP="006E246C">
            <w:pPr>
              <w:jc w:val="center"/>
              <w:rPr>
                <w:b/>
                <w:color w:val="000000"/>
              </w:rPr>
            </w:pPr>
            <w:r>
              <w:rPr>
                <w:b/>
                <w:color w:val="000000"/>
              </w:rPr>
              <w:t xml:space="preserve">638 </w:t>
            </w:r>
            <w:r w:rsidR="006A0D45">
              <w:rPr>
                <w:b/>
                <w:color w:val="000000"/>
              </w:rPr>
              <w:t>500</w:t>
            </w:r>
          </w:p>
        </w:tc>
      </w:tr>
    </w:tbl>
    <w:p w14:paraId="033182BB" w14:textId="77777777" w:rsidR="001302DC" w:rsidRDefault="001302DC" w:rsidP="001302DC">
      <w:pPr>
        <w:tabs>
          <w:tab w:val="left" w:pos="3360"/>
        </w:tabs>
        <w:rPr>
          <w:color w:val="000000" w:themeColor="text1"/>
        </w:rPr>
      </w:pPr>
    </w:p>
    <w:p w14:paraId="033182BC" w14:textId="77777777" w:rsidR="00822E10" w:rsidRDefault="00822E10" w:rsidP="001302DC">
      <w:pPr>
        <w:tabs>
          <w:tab w:val="left" w:pos="3360"/>
        </w:tabs>
        <w:rPr>
          <w:color w:val="000000" w:themeColor="text1"/>
        </w:rPr>
      </w:pPr>
    </w:p>
    <w:p w14:paraId="033182BD" w14:textId="12A37EBB" w:rsidR="00822E10" w:rsidRPr="001302DC" w:rsidRDefault="00822E10" w:rsidP="00822E10">
      <w:pPr>
        <w:spacing w:after="60"/>
        <w:rPr>
          <w:shd w:val="clear" w:color="auto" w:fill="FFFFFF"/>
        </w:rPr>
      </w:pPr>
      <w:r>
        <w:t>Vidzemes</w:t>
      </w:r>
      <w:r w:rsidRPr="001302DC">
        <w:t xml:space="preserve"> Augstskola </w:t>
      </w:r>
      <w:r w:rsidRPr="001302DC">
        <w:rPr>
          <w:rFonts w:eastAsia="Times New Roman"/>
          <w:bdr w:val="none" w:sz="0" w:space="0" w:color="auto" w:frame="1"/>
        </w:rPr>
        <w:t xml:space="preserve">ir iesaistījusies vairāku </w:t>
      </w:r>
      <w:r w:rsidR="0083586E">
        <w:rPr>
          <w:shd w:val="clear" w:color="auto" w:fill="FFFFFF"/>
        </w:rPr>
        <w:t>ES fondu</w:t>
      </w:r>
      <w:r w:rsidRPr="001302DC">
        <w:rPr>
          <w:shd w:val="clear" w:color="auto" w:fill="FFFFFF"/>
        </w:rPr>
        <w:t xml:space="preserve"> projektu īstenošanā.</w:t>
      </w:r>
    </w:p>
    <w:p w14:paraId="033182BE" w14:textId="77777777" w:rsidR="00822E10" w:rsidRPr="00451B4C" w:rsidRDefault="00822E10" w:rsidP="00267909">
      <w:pPr>
        <w:pStyle w:val="ListParagraph"/>
        <w:numPr>
          <w:ilvl w:val="0"/>
          <w:numId w:val="27"/>
        </w:numPr>
        <w:tabs>
          <w:tab w:val="left" w:pos="709"/>
        </w:tabs>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w:t>
      </w:r>
      <w:r>
        <w:rPr>
          <w:rFonts w:ascii="Times New Roman" w:hAnsi="Times New Roman" w:cs="Times New Roman"/>
          <w:sz w:val="24"/>
          <w:szCs w:val="24"/>
        </w:rPr>
        <w:t>Izaugsme un nodarbinātība" 8.2.1</w:t>
      </w:r>
      <w:r w:rsidRPr="001302DC">
        <w:rPr>
          <w:rFonts w:ascii="Times New Roman" w:hAnsi="Times New Roman" w:cs="Times New Roman"/>
          <w:sz w:val="24"/>
          <w:szCs w:val="24"/>
        </w:rPr>
        <w:t>. specifiskā atbalsta mērķa "</w:t>
      </w:r>
      <w:r w:rsidR="00451B4C" w:rsidRPr="00451B4C">
        <w:rPr>
          <w:rFonts w:ascii="Times New Roman" w:hAnsi="Times New Roman" w:cs="Times New Roman"/>
          <w:sz w:val="24"/>
          <w:szCs w:val="24"/>
        </w:rPr>
        <w:t>Samazināt studiju programmu fragmentāciju un stiprināt resursu koplietošanu</w:t>
      </w:r>
      <w:r w:rsidR="00451B4C">
        <w:rPr>
          <w:rFonts w:ascii="Times New Roman" w:hAnsi="Times New Roman" w:cs="Times New Roman"/>
          <w:sz w:val="24"/>
          <w:szCs w:val="24"/>
        </w:rPr>
        <w:t>" projekta Nr. 8.2.1.0/18/A/011</w:t>
      </w:r>
      <w:r w:rsidRPr="001302DC">
        <w:rPr>
          <w:rFonts w:ascii="Times New Roman" w:hAnsi="Times New Roman" w:cs="Times New Roman"/>
          <w:sz w:val="24"/>
          <w:szCs w:val="24"/>
        </w:rPr>
        <w:t xml:space="preserve"> “</w:t>
      </w:r>
      <w:r w:rsidR="00451B4C">
        <w:rPr>
          <w:rFonts w:ascii="Times New Roman" w:hAnsi="Times New Roman" w:cs="Times New Roman"/>
          <w:i/>
          <w:sz w:val="24"/>
          <w:szCs w:val="24"/>
        </w:rPr>
        <w:t>Jaunu maģistra studiju programmu izveide un aprobācija Vidzemes Augstskolas starptautiskās konkurētspējas veicināšanai</w:t>
      </w:r>
      <w:r w:rsidRPr="001302DC">
        <w:rPr>
          <w:rFonts w:ascii="Times New Roman" w:hAnsi="Times New Roman" w:cs="Times New Roman"/>
          <w:sz w:val="24"/>
          <w:szCs w:val="24"/>
        </w:rPr>
        <w:t>” ietvaros tiks izveidota</w:t>
      </w:r>
      <w:r w:rsidR="00451B4C">
        <w:rPr>
          <w:rFonts w:ascii="Times New Roman" w:hAnsi="Times New Roman" w:cs="Times New Roman"/>
          <w:sz w:val="24"/>
          <w:szCs w:val="24"/>
        </w:rPr>
        <w:t>s un aprobētas 5 maģistra studiju</w:t>
      </w:r>
      <w:r w:rsidR="00451B4C" w:rsidRPr="00451B4C">
        <w:rPr>
          <w:rFonts w:ascii="Times New Roman" w:hAnsi="Times New Roman" w:cs="Times New Roman"/>
          <w:sz w:val="24"/>
          <w:szCs w:val="24"/>
        </w:rPr>
        <w:t xml:space="preserve"> programmas angļu valodā sabiedrībai nozīmīgos studiju virzienos, sekmējot </w:t>
      </w:r>
      <w:r w:rsidR="00043B13">
        <w:rPr>
          <w:rFonts w:ascii="Times New Roman" w:hAnsi="Times New Roman" w:cs="Times New Roman"/>
          <w:sz w:val="24"/>
          <w:szCs w:val="24"/>
        </w:rPr>
        <w:t>Vidzemes Augstskolas</w:t>
      </w:r>
      <w:r w:rsidR="00451B4C" w:rsidRPr="00451B4C">
        <w:rPr>
          <w:rFonts w:ascii="Times New Roman" w:hAnsi="Times New Roman" w:cs="Times New Roman"/>
          <w:sz w:val="24"/>
          <w:szCs w:val="24"/>
        </w:rPr>
        <w:t xml:space="preserve"> stratēģisko specializāciju un ārvalstu studentu piesaisti.</w:t>
      </w:r>
      <w:r w:rsidR="00043B13">
        <w:rPr>
          <w:rFonts w:ascii="Times New Roman" w:hAnsi="Times New Roman" w:cs="Times New Roman"/>
          <w:sz w:val="24"/>
          <w:szCs w:val="24"/>
        </w:rPr>
        <w:t xml:space="preserve"> Divas no šīm maģistra programmām “Virtuālā realitāte un viedās tehnoloģijas” un “</w:t>
      </w:r>
      <w:proofErr w:type="spellStart"/>
      <w:r w:rsidR="00043B13">
        <w:rPr>
          <w:rFonts w:ascii="Times New Roman" w:hAnsi="Times New Roman" w:cs="Times New Roman"/>
          <w:sz w:val="24"/>
          <w:szCs w:val="24"/>
        </w:rPr>
        <w:t>Kiberdrošības</w:t>
      </w:r>
      <w:proofErr w:type="spellEnd"/>
      <w:r w:rsidR="00043B13">
        <w:rPr>
          <w:rFonts w:ascii="Times New Roman" w:hAnsi="Times New Roman" w:cs="Times New Roman"/>
          <w:sz w:val="24"/>
          <w:szCs w:val="24"/>
        </w:rPr>
        <w:t xml:space="preserve"> inženierija” nodrošinās tālākās izglītības iespējas izstrādātās IT angļu studiju programmas absolventiem.</w:t>
      </w:r>
    </w:p>
    <w:p w14:paraId="033182BF" w14:textId="77777777" w:rsidR="00822E10" w:rsidRPr="001302DC" w:rsidRDefault="00822E10" w:rsidP="00267909">
      <w:pPr>
        <w:pStyle w:val="ListParagraph"/>
        <w:numPr>
          <w:ilvl w:val="0"/>
          <w:numId w:val="27"/>
        </w:numPr>
        <w:tabs>
          <w:tab w:val="left" w:pos="709"/>
        </w:tabs>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"Izaugsme un nodarbinātība" 8.2.2. specifiskā atbalsta mērķa "Stiprināt augstākās izglītības institūciju akadēmisko personālu stratēģiskās specializācijas jomās" ietvar</w:t>
      </w:r>
      <w:r w:rsidR="00043B13">
        <w:rPr>
          <w:rFonts w:ascii="Times New Roman" w:hAnsi="Times New Roman" w:cs="Times New Roman"/>
          <w:sz w:val="24"/>
          <w:szCs w:val="24"/>
        </w:rPr>
        <w:t>os projekta Nr. 8.2.2.0/18/A/012</w:t>
      </w:r>
      <w:r w:rsidRPr="001302DC">
        <w:rPr>
          <w:rFonts w:ascii="Times New Roman" w:hAnsi="Times New Roman" w:cs="Times New Roman"/>
          <w:sz w:val="24"/>
          <w:szCs w:val="24"/>
        </w:rPr>
        <w:t xml:space="preserve"> “</w:t>
      </w:r>
      <w:r w:rsidR="00043B13">
        <w:rPr>
          <w:rFonts w:ascii="Times New Roman" w:hAnsi="Times New Roman" w:cs="Times New Roman"/>
          <w:i/>
          <w:sz w:val="24"/>
          <w:szCs w:val="24"/>
        </w:rPr>
        <w:t>Vidzemes Augstskolas akadēmiskā personāla pilnveide un cilvēkresursu attīstība</w:t>
      </w:r>
      <w:r w:rsidR="00043B13">
        <w:rPr>
          <w:rFonts w:ascii="Times New Roman" w:hAnsi="Times New Roman" w:cs="Times New Roman"/>
          <w:sz w:val="24"/>
          <w:szCs w:val="24"/>
        </w:rPr>
        <w:t xml:space="preserve">”  </w:t>
      </w:r>
      <w:r w:rsidR="00907F12">
        <w:rPr>
          <w:rFonts w:ascii="Times New Roman" w:hAnsi="Times New Roman" w:cs="Times New Roman"/>
          <w:sz w:val="24"/>
          <w:szCs w:val="24"/>
        </w:rPr>
        <w:t>aktivitātes paredz</w:t>
      </w:r>
      <w:r w:rsidR="00043B13">
        <w:rPr>
          <w:rFonts w:ascii="Times New Roman" w:hAnsi="Times New Roman" w:cs="Times New Roman"/>
          <w:sz w:val="24"/>
          <w:szCs w:val="24"/>
        </w:rPr>
        <w:t xml:space="preserve"> </w:t>
      </w:r>
      <w:r w:rsidR="008A3538">
        <w:rPr>
          <w:rFonts w:ascii="Times New Roman" w:hAnsi="Times New Roman" w:cs="Times New Roman"/>
          <w:sz w:val="24"/>
          <w:szCs w:val="24"/>
        </w:rPr>
        <w:t>nodrošin</w:t>
      </w:r>
      <w:r w:rsidR="00907F12">
        <w:rPr>
          <w:rFonts w:ascii="Times New Roman" w:hAnsi="Times New Roman" w:cs="Times New Roman"/>
          <w:sz w:val="24"/>
          <w:szCs w:val="24"/>
        </w:rPr>
        <w:t>ā</w:t>
      </w:r>
      <w:r w:rsidR="008A3538">
        <w:rPr>
          <w:rFonts w:ascii="Times New Roman" w:hAnsi="Times New Roman" w:cs="Times New Roman"/>
          <w:sz w:val="24"/>
          <w:szCs w:val="24"/>
        </w:rPr>
        <w:t xml:space="preserve">t specializētas angļu valodas </w:t>
      </w:r>
      <w:r w:rsidR="008A3538">
        <w:rPr>
          <w:rFonts w:ascii="Times New Roman" w:hAnsi="Times New Roman" w:cs="Times New Roman"/>
          <w:sz w:val="24"/>
          <w:szCs w:val="24"/>
        </w:rPr>
        <w:lastRenderedPageBreak/>
        <w:t xml:space="preserve">apmācības, attīstīt akadēmiskā personāla līderību un mūsdienīgu izpratni par digitālā laikmeta izaicinājumiem, attīstīt profesionālo pieredzi industriālajā vidē un </w:t>
      </w:r>
      <w:r w:rsidR="00907F12">
        <w:rPr>
          <w:rFonts w:ascii="Times New Roman" w:hAnsi="Times New Roman" w:cs="Times New Roman"/>
          <w:sz w:val="24"/>
          <w:szCs w:val="24"/>
        </w:rPr>
        <w:t>sadarbības kompetences ar industriju, piesaistīt ārvalstu docētājus un doktorantus</w:t>
      </w:r>
      <w:r w:rsidRPr="001302DC">
        <w:rPr>
          <w:rFonts w:ascii="Times New Roman" w:hAnsi="Times New Roman" w:cs="Times New Roman"/>
          <w:sz w:val="24"/>
          <w:szCs w:val="24"/>
        </w:rPr>
        <w:t>.</w:t>
      </w:r>
      <w:r w:rsidR="00907F12">
        <w:rPr>
          <w:rFonts w:ascii="Times New Roman" w:hAnsi="Times New Roman" w:cs="Times New Roman"/>
          <w:sz w:val="24"/>
          <w:szCs w:val="24"/>
        </w:rPr>
        <w:t xml:space="preserve"> Viens no studiju virzieniem, kas ir iekļauts šajā projektā kā mērķauditorija, ir </w:t>
      </w:r>
      <w:proofErr w:type="spellStart"/>
      <w:r w:rsidR="00907F12">
        <w:rPr>
          <w:rFonts w:ascii="Times New Roman" w:hAnsi="Times New Roman" w:cs="Times New Roman"/>
          <w:sz w:val="24"/>
          <w:szCs w:val="24"/>
        </w:rPr>
        <w:t>ViA</w:t>
      </w:r>
      <w:proofErr w:type="spellEnd"/>
      <w:r w:rsidR="00907F12">
        <w:rPr>
          <w:rFonts w:ascii="Times New Roman" w:hAnsi="Times New Roman" w:cs="Times New Roman"/>
          <w:sz w:val="24"/>
          <w:szCs w:val="24"/>
        </w:rPr>
        <w:t xml:space="preserve"> Informācijas tehnoloģiju studiju virziens. </w:t>
      </w:r>
    </w:p>
    <w:p w14:paraId="033182C0" w14:textId="77777777" w:rsidR="00822E10" w:rsidRPr="001302DC" w:rsidRDefault="00822E10" w:rsidP="00267909">
      <w:pPr>
        <w:pStyle w:val="ListParagraph"/>
        <w:numPr>
          <w:ilvl w:val="0"/>
          <w:numId w:val="27"/>
        </w:numPr>
        <w:tabs>
          <w:tab w:val="left" w:pos="709"/>
        </w:tabs>
        <w:spacing w:after="60"/>
        <w:ind w:left="0" w:firstLine="360"/>
        <w:jc w:val="both"/>
        <w:rPr>
          <w:rFonts w:ascii="Times New Roman" w:hAnsi="Times New Roman" w:cs="Times New Roman"/>
          <w:sz w:val="24"/>
          <w:szCs w:val="24"/>
        </w:rPr>
      </w:pPr>
      <w:r w:rsidRPr="001302DC">
        <w:rPr>
          <w:rFonts w:ascii="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w:t>
      </w:r>
      <w:r w:rsidR="005A3CF5">
        <w:rPr>
          <w:rFonts w:ascii="Times New Roman" w:hAnsi="Times New Roman" w:cs="Times New Roman"/>
          <w:sz w:val="24"/>
          <w:szCs w:val="24"/>
        </w:rPr>
        <w:t>ijās" Projekta Nr. 1.1.1.5./18/I/005 “Atbalsts Vidzemes Augstskolas efektīvai iesaistei starptautiskajā zinātnes apritē”</w:t>
      </w:r>
      <w:r w:rsidRPr="001302DC">
        <w:rPr>
          <w:rFonts w:ascii="Times New Roman" w:hAnsi="Times New Roman" w:cs="Times New Roman"/>
          <w:sz w:val="24"/>
          <w:szCs w:val="24"/>
        </w:rPr>
        <w:t xml:space="preserve"> ietvaros</w:t>
      </w:r>
      <w:r w:rsidR="005A3CF5">
        <w:rPr>
          <w:rFonts w:ascii="Times New Roman" w:hAnsi="Times New Roman" w:cs="Times New Roman"/>
          <w:sz w:val="24"/>
          <w:szCs w:val="24"/>
        </w:rPr>
        <w:t xml:space="preserve"> tiks veicināta </w:t>
      </w:r>
      <w:r w:rsidR="005A3CF5" w:rsidRPr="005A3CF5">
        <w:rPr>
          <w:rFonts w:ascii="Times New Roman" w:hAnsi="Times New Roman" w:cs="Times New Roman"/>
          <w:sz w:val="24"/>
          <w:szCs w:val="24"/>
        </w:rPr>
        <w:t>pē</w:t>
      </w:r>
      <w:r w:rsidR="005A3CF5">
        <w:rPr>
          <w:rFonts w:ascii="Times New Roman" w:hAnsi="Times New Roman" w:cs="Times New Roman"/>
          <w:sz w:val="24"/>
          <w:szCs w:val="24"/>
        </w:rPr>
        <w:t>tnieciskā personāla iesaistīšanā</w:t>
      </w:r>
      <w:r w:rsidR="005A3CF5" w:rsidRPr="005A3CF5">
        <w:rPr>
          <w:rFonts w:ascii="Times New Roman" w:hAnsi="Times New Roman" w:cs="Times New Roman"/>
          <w:sz w:val="24"/>
          <w:szCs w:val="24"/>
        </w:rPr>
        <w:t>s starptautiskos pētniecības projektos, tādā veidā stiprinot pētnieku kapacitāti starptautisku projektu izstrādē, veicinot pētnieku starptautiska kontaktu loka veidošanos un tīklošanās iespējas un at</w:t>
      </w:r>
      <w:r w:rsidR="005A3CF5">
        <w:rPr>
          <w:rFonts w:ascii="Times New Roman" w:hAnsi="Times New Roman" w:cs="Times New Roman"/>
          <w:sz w:val="24"/>
          <w:szCs w:val="24"/>
        </w:rPr>
        <w:t>tīstot pētniecības iestrādes Vidzemes Augstskolas</w:t>
      </w:r>
      <w:r w:rsidR="005A3CF5" w:rsidRPr="005A3CF5">
        <w:rPr>
          <w:rFonts w:ascii="Times New Roman" w:hAnsi="Times New Roman" w:cs="Times New Roman"/>
          <w:sz w:val="24"/>
          <w:szCs w:val="24"/>
        </w:rPr>
        <w:t xml:space="preserve"> pētījumu </w:t>
      </w:r>
      <w:proofErr w:type="spellStart"/>
      <w:r w:rsidR="005A3CF5" w:rsidRPr="005A3CF5">
        <w:rPr>
          <w:rFonts w:ascii="Times New Roman" w:hAnsi="Times New Roman" w:cs="Times New Roman"/>
          <w:sz w:val="24"/>
          <w:szCs w:val="24"/>
        </w:rPr>
        <w:t>a</w:t>
      </w:r>
      <w:r w:rsidR="005A3CF5">
        <w:rPr>
          <w:rFonts w:ascii="Times New Roman" w:hAnsi="Times New Roman" w:cs="Times New Roman"/>
          <w:sz w:val="24"/>
          <w:szCs w:val="24"/>
        </w:rPr>
        <w:t>pakšvirzienos</w:t>
      </w:r>
      <w:proofErr w:type="spellEnd"/>
      <w:r w:rsidR="005A3CF5">
        <w:rPr>
          <w:rFonts w:ascii="Times New Roman" w:hAnsi="Times New Roman" w:cs="Times New Roman"/>
          <w:sz w:val="24"/>
          <w:szCs w:val="24"/>
        </w:rPr>
        <w:t xml:space="preserve">, kā rezultātā Vidzemes Augstskola </w:t>
      </w:r>
      <w:r w:rsidR="005A3CF5" w:rsidRPr="005A3CF5">
        <w:rPr>
          <w:rFonts w:ascii="Times New Roman" w:hAnsi="Times New Roman" w:cs="Times New Roman"/>
          <w:sz w:val="24"/>
          <w:szCs w:val="24"/>
        </w:rPr>
        <w:t>piedalīsies vismaz 7 ERAF atbalstītu un virs kvalitātes sliekšņa novērtētu programmas „Apvārsnis 2020” un Eiropas Savienības 9. Ietvara programmas projektu pieteikumu sagatavošanā.</w:t>
      </w:r>
    </w:p>
    <w:p w14:paraId="033182C2" w14:textId="58533A2F" w:rsidR="00822E10" w:rsidRPr="0083586E" w:rsidRDefault="008F63A4" w:rsidP="001302DC">
      <w:pPr>
        <w:pStyle w:val="ListParagraph"/>
        <w:numPr>
          <w:ilvl w:val="0"/>
          <w:numId w:val="27"/>
        </w:numPr>
        <w:tabs>
          <w:tab w:val="left" w:pos="709"/>
          <w:tab w:val="left" w:pos="3360"/>
        </w:tabs>
        <w:ind w:left="0" w:firstLine="360"/>
        <w:jc w:val="both"/>
        <w:rPr>
          <w:color w:val="000000" w:themeColor="text1"/>
        </w:rPr>
      </w:pPr>
      <w:r w:rsidRPr="008F63A4">
        <w:rPr>
          <w:rFonts w:ascii="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8F63A4">
        <w:rPr>
          <w:rFonts w:ascii="Times New Roman" w:hAnsi="Times New Roman" w:cs="Times New Roman"/>
          <w:sz w:val="24"/>
          <w:szCs w:val="24"/>
        </w:rPr>
        <w:t>Pēcdoktorantūras</w:t>
      </w:r>
      <w:proofErr w:type="spellEnd"/>
      <w:r w:rsidRPr="008F63A4">
        <w:rPr>
          <w:rFonts w:ascii="Times New Roman" w:hAnsi="Times New Roman" w:cs="Times New Roman"/>
          <w:sz w:val="24"/>
          <w:szCs w:val="24"/>
        </w:rPr>
        <w:t xml:space="preserve"> pētniecības</w:t>
      </w:r>
      <w:r>
        <w:rPr>
          <w:rFonts w:ascii="Times New Roman" w:hAnsi="Times New Roman" w:cs="Times New Roman"/>
          <w:sz w:val="24"/>
          <w:szCs w:val="24"/>
        </w:rPr>
        <w:t xml:space="preserve"> atbalsts" </w:t>
      </w:r>
      <w:r w:rsidR="00822E10" w:rsidRPr="008F63A4">
        <w:rPr>
          <w:rFonts w:ascii="Times New Roman" w:hAnsi="Times New Roman" w:cs="Times New Roman"/>
          <w:sz w:val="24"/>
          <w:szCs w:val="24"/>
        </w:rPr>
        <w:t>projektā</w:t>
      </w:r>
      <w:r>
        <w:rPr>
          <w:rFonts w:ascii="Times New Roman" w:hAnsi="Times New Roman" w:cs="Times New Roman"/>
          <w:sz w:val="24"/>
          <w:szCs w:val="24"/>
        </w:rPr>
        <w:t xml:space="preserve"> Nr.</w:t>
      </w:r>
      <w:r w:rsidRPr="008F63A4">
        <w:rPr>
          <w:rFonts w:ascii="Times New Roman" w:hAnsi="Times New Roman" w:cs="Times New Roman"/>
          <w:sz w:val="24"/>
          <w:szCs w:val="24"/>
        </w:rPr>
        <w:t xml:space="preserve"> 1.1.1.2/VIAA/1/16/105</w:t>
      </w:r>
      <w:r w:rsidR="00822E10" w:rsidRPr="008F63A4">
        <w:rPr>
          <w:rFonts w:ascii="Times New Roman" w:hAnsi="Times New Roman" w:cs="Times New Roman"/>
          <w:sz w:val="24"/>
          <w:szCs w:val="24"/>
        </w:rPr>
        <w:t xml:space="preserve"> “</w:t>
      </w:r>
      <w:r w:rsidRPr="008F63A4">
        <w:rPr>
          <w:rFonts w:ascii="Times New Roman" w:hAnsi="Times New Roman" w:cs="Times New Roman"/>
          <w:i/>
          <w:sz w:val="24"/>
          <w:szCs w:val="24"/>
        </w:rPr>
        <w:t xml:space="preserve">Lietu Interneta elementu dinamiska </w:t>
      </w:r>
      <w:proofErr w:type="spellStart"/>
      <w:r w:rsidRPr="008F63A4">
        <w:rPr>
          <w:rFonts w:ascii="Times New Roman" w:hAnsi="Times New Roman" w:cs="Times New Roman"/>
          <w:i/>
          <w:sz w:val="24"/>
          <w:szCs w:val="24"/>
        </w:rPr>
        <w:t>trīsdimensiju</w:t>
      </w:r>
      <w:proofErr w:type="spellEnd"/>
      <w:r w:rsidRPr="008F63A4">
        <w:rPr>
          <w:rFonts w:ascii="Times New Roman" w:hAnsi="Times New Roman" w:cs="Times New Roman"/>
          <w:i/>
          <w:sz w:val="24"/>
          <w:szCs w:val="24"/>
        </w:rPr>
        <w:t xml:space="preserve"> </w:t>
      </w:r>
      <w:proofErr w:type="spellStart"/>
      <w:r w:rsidRPr="008F63A4">
        <w:rPr>
          <w:rFonts w:ascii="Times New Roman" w:hAnsi="Times New Roman" w:cs="Times New Roman"/>
          <w:i/>
          <w:sz w:val="24"/>
          <w:szCs w:val="24"/>
        </w:rPr>
        <w:t>vizualizācija</w:t>
      </w:r>
      <w:proofErr w:type="spellEnd"/>
      <w:r w:rsidRPr="008F63A4">
        <w:rPr>
          <w:rFonts w:ascii="Times New Roman" w:hAnsi="Times New Roman" w:cs="Times New Roman"/>
          <w:i/>
          <w:sz w:val="24"/>
          <w:szCs w:val="24"/>
        </w:rPr>
        <w:t xml:space="preserve"> papildinātās realitātes režīmos āra apstākļos</w:t>
      </w:r>
      <w:r w:rsidR="00822E10" w:rsidRPr="008F63A4">
        <w:rPr>
          <w:rFonts w:ascii="Times New Roman" w:hAnsi="Times New Roman" w:cs="Times New Roman"/>
          <w:sz w:val="24"/>
          <w:szCs w:val="24"/>
        </w:rPr>
        <w:t>” ietvaros</w:t>
      </w:r>
      <w:r w:rsidRPr="008F63A4">
        <w:rPr>
          <w:rFonts w:ascii="Times New Roman" w:hAnsi="Times New Roman" w:cs="Times New Roman"/>
          <w:sz w:val="24"/>
          <w:szCs w:val="24"/>
        </w:rPr>
        <w:t xml:space="preserve"> tiek veikts starptautiska līmeņa pētījums par risinājuma izstrādi lietu Interneta elementu </w:t>
      </w:r>
      <w:proofErr w:type="spellStart"/>
      <w:r w:rsidRPr="008F63A4">
        <w:rPr>
          <w:rFonts w:ascii="Times New Roman" w:hAnsi="Times New Roman" w:cs="Times New Roman"/>
          <w:sz w:val="24"/>
          <w:szCs w:val="24"/>
        </w:rPr>
        <w:t>vizualizācijai</w:t>
      </w:r>
      <w:proofErr w:type="spellEnd"/>
      <w:r w:rsidRPr="008F63A4">
        <w:rPr>
          <w:rFonts w:ascii="Times New Roman" w:hAnsi="Times New Roman" w:cs="Times New Roman"/>
          <w:sz w:val="24"/>
          <w:szCs w:val="24"/>
        </w:rPr>
        <w:t xml:space="preserve"> āra un iekštelpu apstākļos, kur attālumi līdz objektam ir virs pieciem metriem. Pētījuma </w:t>
      </w:r>
      <w:proofErr w:type="spellStart"/>
      <w:r w:rsidRPr="008F63A4">
        <w:rPr>
          <w:rFonts w:ascii="Times New Roman" w:hAnsi="Times New Roman" w:cs="Times New Roman"/>
          <w:sz w:val="24"/>
          <w:szCs w:val="24"/>
        </w:rPr>
        <w:t>pamatrezultāts</w:t>
      </w:r>
      <w:proofErr w:type="spellEnd"/>
      <w:r w:rsidRPr="008F63A4">
        <w:rPr>
          <w:rFonts w:ascii="Times New Roman" w:hAnsi="Times New Roman" w:cs="Times New Roman"/>
          <w:sz w:val="24"/>
          <w:szCs w:val="24"/>
        </w:rPr>
        <w:t xml:space="preserve"> ir nodrošināt dinamisku un animētu </w:t>
      </w:r>
      <w:proofErr w:type="spellStart"/>
      <w:r w:rsidRPr="008F63A4">
        <w:rPr>
          <w:rFonts w:ascii="Times New Roman" w:hAnsi="Times New Roman" w:cs="Times New Roman"/>
          <w:sz w:val="24"/>
          <w:szCs w:val="24"/>
        </w:rPr>
        <w:t>trīsdimensionālo</w:t>
      </w:r>
      <w:proofErr w:type="spellEnd"/>
      <w:r w:rsidRPr="008F63A4">
        <w:rPr>
          <w:rFonts w:ascii="Times New Roman" w:hAnsi="Times New Roman" w:cs="Times New Roman"/>
          <w:sz w:val="24"/>
          <w:szCs w:val="24"/>
        </w:rPr>
        <w:t xml:space="preserve"> (3D) </w:t>
      </w:r>
      <w:proofErr w:type="spellStart"/>
      <w:r w:rsidRPr="008F63A4">
        <w:rPr>
          <w:rFonts w:ascii="Times New Roman" w:hAnsi="Times New Roman" w:cs="Times New Roman"/>
          <w:sz w:val="24"/>
          <w:szCs w:val="24"/>
        </w:rPr>
        <w:t>datormodeļu</w:t>
      </w:r>
      <w:proofErr w:type="spellEnd"/>
      <w:r w:rsidRPr="008F63A4">
        <w:rPr>
          <w:rFonts w:ascii="Times New Roman" w:hAnsi="Times New Roman" w:cs="Times New Roman"/>
          <w:sz w:val="24"/>
          <w:szCs w:val="24"/>
        </w:rPr>
        <w:t xml:space="preserve"> attēlošanu papildinātās realitātes režīmā, neizmantojot tradicionālos vai attēlu bāzētos marķierus.</w:t>
      </w:r>
    </w:p>
    <w:p w14:paraId="0BEBFF3C" w14:textId="1B09FE7B" w:rsidR="0083586E" w:rsidRPr="0083586E" w:rsidRDefault="0083586E" w:rsidP="0083586E">
      <w:pPr>
        <w:tabs>
          <w:tab w:val="left" w:pos="709"/>
          <w:tab w:val="left" w:pos="3360"/>
        </w:tabs>
        <w:rPr>
          <w:color w:val="000000" w:themeColor="text1"/>
        </w:rPr>
      </w:pPr>
      <w:r>
        <w:rPr>
          <w:color w:val="000000" w:themeColor="text1"/>
        </w:rPr>
        <w:tab/>
      </w:r>
      <w:r w:rsidRPr="0083586E">
        <w:rPr>
          <w:color w:val="000000" w:themeColor="text1"/>
        </w:rPr>
        <w:t xml:space="preserve">Iepriekšminēto </w:t>
      </w:r>
      <w:r>
        <w:rPr>
          <w:color w:val="000000" w:themeColor="text1"/>
        </w:rPr>
        <w:t>ES</w:t>
      </w:r>
      <w:r w:rsidRPr="0083586E">
        <w:rPr>
          <w:color w:val="000000" w:themeColor="text1"/>
        </w:rPr>
        <w:t xml:space="preserve"> fonda projektu aktivitātes nepārklājas ar Pilsētu projekta plānotajām darbībām, vienlaikus tās ir savstarpēji papildinošas, līdz ar to </w:t>
      </w:r>
      <w:r>
        <w:rPr>
          <w:color w:val="000000" w:themeColor="text1"/>
        </w:rPr>
        <w:t>Vidzemes augstskola</w:t>
      </w:r>
      <w:r w:rsidRPr="0083586E">
        <w:rPr>
          <w:color w:val="000000" w:themeColor="text1"/>
        </w:rPr>
        <w:t xml:space="preserve"> nodrošinās gan jau projektu ietvaros īstenoto, gan plānoto darbību demarkāciju.</w:t>
      </w:r>
    </w:p>
    <w:p w14:paraId="033182C3" w14:textId="2A667F0C" w:rsidR="001302DC" w:rsidRDefault="001302DC" w:rsidP="001302DC">
      <w:pPr>
        <w:ind w:firstLine="709"/>
        <w:rPr>
          <w:color w:val="000000" w:themeColor="text1"/>
        </w:rPr>
      </w:pPr>
      <w:r w:rsidRPr="001302DC">
        <w:rPr>
          <w:color w:val="000000" w:themeColor="text1"/>
        </w:rPr>
        <w:t>Ievērojot nacionālā regulējumā</w:t>
      </w:r>
      <w:r w:rsidRPr="001302DC">
        <w:rPr>
          <w:rStyle w:val="FootnoteReference"/>
          <w:color w:val="000000" w:themeColor="text1"/>
        </w:rPr>
        <w:footnoteReference w:id="1"/>
      </w:r>
      <w:r w:rsidRPr="001302DC">
        <w:rPr>
          <w:color w:val="000000" w:themeColor="text1"/>
        </w:rPr>
        <w:t xml:space="preserve"> noteikto kārtību, kādā budžeta iestādes var uzņemties papildu saistības ES politikas instrumentu un pārējās ārvalstu finanšu palīdzības līdzfinansētos projektos un pasākumos, </w:t>
      </w:r>
      <w:r w:rsidRPr="001302DC">
        <w:rPr>
          <w:color w:val="000000" w:themeColor="text1"/>
          <w:lang w:eastAsia="lv-LV"/>
        </w:rPr>
        <w:t xml:space="preserve">Izglītības un zinātnes ministrija </w:t>
      </w:r>
      <w:r w:rsidRPr="001302DC">
        <w:rPr>
          <w:color w:val="000000" w:themeColor="text1"/>
        </w:rPr>
        <w:t xml:space="preserve">ir sagatavojusi šo informatīvo ziņojumu, lai tiktu pieņemts Ministru kabineta lēmums par atļauju uzņemties valsts budžeta saistības </w:t>
      </w:r>
      <w:r w:rsidRPr="001302DC">
        <w:rPr>
          <w:bCs/>
          <w:color w:val="000000" w:themeColor="text1"/>
        </w:rPr>
        <w:t>UIA</w:t>
      </w:r>
      <w:r w:rsidRPr="001302DC">
        <w:rPr>
          <w:bCs/>
          <w:i/>
          <w:color w:val="000000" w:themeColor="text1"/>
        </w:rPr>
        <w:t xml:space="preserve"> </w:t>
      </w:r>
      <w:r w:rsidRPr="001302DC">
        <w:rPr>
          <w:bCs/>
          <w:color w:val="000000" w:themeColor="text1"/>
        </w:rPr>
        <w:t xml:space="preserve">programmas </w:t>
      </w:r>
      <w:r w:rsidRPr="001302DC">
        <w:rPr>
          <w:color w:val="000000" w:themeColor="text1"/>
          <w:shd w:val="clear" w:color="auto" w:fill="FFFFFF"/>
        </w:rPr>
        <w:t>Pilsētu projekta</w:t>
      </w:r>
      <w:r w:rsidRPr="001302DC">
        <w:rPr>
          <w:color w:val="000000" w:themeColor="text1"/>
        </w:rPr>
        <w:t xml:space="preserve"> īstenošanai un Ministru kabineta lēmums par papildu finansējuma piešķiršanu projekta īstenošanai no 74. resora „Gadskārtējā valsts budžeta izpildes procesā pārdalāmais finansējums” 80.00.00 programmas „Nesadalītais finansējums Eiropas Savienības politiku instrumentu un pārējās ārvalstu finanšu palīdzības projektu un pasākumu īstenošanai” valsts līdzfinansējuma un ārvalstu palīdzības </w:t>
      </w:r>
      <w:proofErr w:type="spellStart"/>
      <w:r w:rsidRPr="001302DC">
        <w:rPr>
          <w:color w:val="000000" w:themeColor="text1"/>
        </w:rPr>
        <w:t>priekšfinansējuma</w:t>
      </w:r>
      <w:proofErr w:type="spellEnd"/>
      <w:r w:rsidRPr="001302DC">
        <w:rPr>
          <w:color w:val="000000" w:themeColor="text1"/>
        </w:rPr>
        <w:t xml:space="preserve"> nodrošināšanai  </w:t>
      </w:r>
      <w:r w:rsidRPr="00DE5C67">
        <w:t>20</w:t>
      </w:r>
      <w:r w:rsidR="002B1F39" w:rsidRPr="00DE5C67">
        <w:t>20</w:t>
      </w:r>
      <w:r w:rsidRPr="001302DC">
        <w:rPr>
          <w:color w:val="000000" w:themeColor="text1"/>
        </w:rPr>
        <w:t xml:space="preserve">. - 2021. gadā. </w:t>
      </w:r>
      <w:r w:rsidRPr="001302DC">
        <w:rPr>
          <w:rFonts w:eastAsia="Times New Roman"/>
          <w:bCs/>
          <w:color w:val="000000" w:themeColor="text1"/>
        </w:rPr>
        <w:t xml:space="preserve">Lūdzam, </w:t>
      </w:r>
      <w:r w:rsidRPr="001302DC">
        <w:rPr>
          <w:color w:val="000000" w:themeColor="text1"/>
          <w:shd w:val="clear" w:color="auto" w:fill="FFFFFF"/>
        </w:rPr>
        <w:t>Pilsētu projekta</w:t>
      </w:r>
      <w:r w:rsidRPr="001302DC">
        <w:rPr>
          <w:rFonts w:eastAsia="Times New Roman"/>
          <w:bCs/>
          <w:color w:val="000000" w:themeColor="text1"/>
        </w:rPr>
        <w:t xml:space="preserve"> īstenošanai piešķirt Ventspils </w:t>
      </w:r>
      <w:r w:rsidR="006A0D45">
        <w:rPr>
          <w:rFonts w:eastAsia="Times New Roman"/>
          <w:bCs/>
          <w:color w:val="000000" w:themeColor="text1"/>
        </w:rPr>
        <w:t>A</w:t>
      </w:r>
      <w:r w:rsidRPr="001302DC">
        <w:rPr>
          <w:rFonts w:eastAsia="Times New Roman"/>
          <w:bCs/>
          <w:color w:val="000000" w:themeColor="text1"/>
        </w:rPr>
        <w:t xml:space="preserve">ugstskolai valsts līdzfinansējumu </w:t>
      </w:r>
      <w:r w:rsidR="006A0D45">
        <w:rPr>
          <w:color w:val="000000" w:themeColor="text1"/>
          <w:shd w:val="clear" w:color="auto" w:fill="FFFFFF"/>
        </w:rPr>
        <w:t xml:space="preserve"> 131 455</w:t>
      </w:r>
      <w:r w:rsidRPr="001302DC">
        <w:rPr>
          <w:color w:val="000000" w:themeColor="text1"/>
          <w:shd w:val="clear" w:color="auto" w:fill="FFFFFF"/>
        </w:rPr>
        <w:t xml:space="preserve"> </w:t>
      </w:r>
      <w:r w:rsidRPr="001302DC">
        <w:rPr>
          <w:rFonts w:eastAsia="Times New Roman"/>
          <w:bCs/>
          <w:color w:val="000000" w:themeColor="text1"/>
        </w:rPr>
        <w:t xml:space="preserve">EUR un Vidzemes Augstskolai valsts līdzfinansējumu </w:t>
      </w:r>
      <w:r w:rsidR="006A0D45">
        <w:rPr>
          <w:rFonts w:eastAsia="Times New Roman"/>
          <w:bCs/>
          <w:color w:val="000000" w:themeColor="text1"/>
        </w:rPr>
        <w:t>  118 370</w:t>
      </w:r>
      <w:r w:rsidRPr="001302DC">
        <w:rPr>
          <w:rFonts w:eastAsia="Times New Roman"/>
          <w:bCs/>
          <w:color w:val="000000" w:themeColor="text1"/>
        </w:rPr>
        <w:t xml:space="preserve"> EUR apmērā. No UIA</w:t>
      </w:r>
      <w:r w:rsidRPr="001302DC">
        <w:rPr>
          <w:color w:val="000000" w:themeColor="text1"/>
        </w:rPr>
        <w:t xml:space="preserve"> un </w:t>
      </w:r>
      <w:r w:rsidRPr="001302DC">
        <w:rPr>
          <w:rFonts w:eastAsia="Times New Roman"/>
          <w:bCs/>
          <w:color w:val="000000" w:themeColor="text1"/>
        </w:rPr>
        <w:t>valsts</w:t>
      </w:r>
      <w:r w:rsidRPr="001302DC">
        <w:rPr>
          <w:color w:val="000000" w:themeColor="text1"/>
        </w:rPr>
        <w:t xml:space="preserve"> līdzfinansējuma līdzekļiem tiks segtas tikai projekta attiecināmās izmaksas. Neattiecināmās</w:t>
      </w:r>
      <w:r w:rsidR="00F80737">
        <w:rPr>
          <w:color w:val="000000" w:themeColor="text1"/>
        </w:rPr>
        <w:t xml:space="preserve"> izmaksas, ja tādas radīsies, augstskolas segs</w:t>
      </w:r>
      <w:r w:rsidRPr="001302DC">
        <w:rPr>
          <w:color w:val="000000" w:themeColor="text1"/>
        </w:rPr>
        <w:t xml:space="preserve"> no saviem līdzekļiem.</w:t>
      </w:r>
    </w:p>
    <w:p w14:paraId="1D2E675C" w14:textId="77777777" w:rsidR="00267909" w:rsidRPr="001302DC" w:rsidRDefault="00267909" w:rsidP="001302DC">
      <w:pPr>
        <w:ind w:firstLine="709"/>
        <w:rPr>
          <w:color w:val="000000" w:themeColor="text1"/>
        </w:rPr>
      </w:pPr>
    </w:p>
    <w:p w14:paraId="033182C4" w14:textId="02625DF9" w:rsidR="001302DC" w:rsidRDefault="001302DC" w:rsidP="001302DC">
      <w:pPr>
        <w:tabs>
          <w:tab w:val="left" w:pos="0"/>
        </w:tabs>
        <w:ind w:firstLine="709"/>
        <w:rPr>
          <w:color w:val="000000" w:themeColor="text1"/>
        </w:rPr>
      </w:pPr>
      <w:r w:rsidRPr="001302DC">
        <w:rPr>
          <w:color w:val="000000" w:themeColor="text1"/>
        </w:rPr>
        <w:tab/>
        <w:t xml:space="preserve">Ņemot vērā </w:t>
      </w:r>
      <w:r w:rsidRPr="001302DC">
        <w:rPr>
          <w:color w:val="000000" w:themeColor="text1"/>
          <w:shd w:val="clear" w:color="auto" w:fill="FFFFFF"/>
        </w:rPr>
        <w:t>Pilsētu projekta</w:t>
      </w:r>
      <w:r w:rsidRPr="001302DC">
        <w:rPr>
          <w:color w:val="000000" w:themeColor="text1"/>
        </w:rPr>
        <w:t xml:space="preserve"> nozīmīgumu izglītības reformas kontekstā, kā arī pieejamā EK </w:t>
      </w:r>
      <w:proofErr w:type="spellStart"/>
      <w:r w:rsidRPr="001302DC">
        <w:rPr>
          <w:color w:val="000000" w:themeColor="text1"/>
        </w:rPr>
        <w:t>granta</w:t>
      </w:r>
      <w:proofErr w:type="spellEnd"/>
      <w:r w:rsidRPr="001302DC">
        <w:rPr>
          <w:color w:val="000000" w:themeColor="text1"/>
        </w:rPr>
        <w:t xml:space="preserve"> apjomu, </w:t>
      </w:r>
      <w:r w:rsidRPr="001302DC">
        <w:rPr>
          <w:color w:val="000000" w:themeColor="text1"/>
          <w:shd w:val="clear" w:color="auto" w:fill="FFFFFF"/>
        </w:rPr>
        <w:t>Pilsētu projekta</w:t>
      </w:r>
      <w:r w:rsidRPr="001302DC">
        <w:rPr>
          <w:color w:val="000000" w:themeColor="text1"/>
        </w:rPr>
        <w:t xml:space="preserve"> īstenošanai nepieciešams:  </w:t>
      </w:r>
    </w:p>
    <w:p w14:paraId="2D5B659B" w14:textId="77777777" w:rsidR="006A0D45" w:rsidRPr="007B0D55" w:rsidRDefault="00A35700" w:rsidP="006A0D45">
      <w:pPr>
        <w:pStyle w:val="ListParagraph"/>
        <w:numPr>
          <w:ilvl w:val="0"/>
          <w:numId w:val="3"/>
        </w:numPr>
        <w:tabs>
          <w:tab w:val="left" w:pos="1134"/>
        </w:tabs>
        <w:spacing w:after="120"/>
        <w:ind w:left="0" w:firstLine="709"/>
        <w:contextualSpacing/>
        <w:jc w:val="both"/>
        <w:rPr>
          <w:rFonts w:ascii="Times New Roman" w:eastAsia="Times New Roman" w:hAnsi="Times New Roman" w:cs="Times New Roman"/>
          <w:bCs/>
          <w:i/>
          <w:color w:val="000000" w:themeColor="text1"/>
          <w:sz w:val="24"/>
          <w:szCs w:val="24"/>
        </w:rPr>
      </w:pPr>
      <w:r w:rsidRPr="001302DC">
        <w:rPr>
          <w:rFonts w:ascii="Times New Roman" w:hAnsi="Times New Roman" w:cs="Times New Roman"/>
          <w:color w:val="000000" w:themeColor="text1"/>
          <w:sz w:val="24"/>
          <w:szCs w:val="24"/>
        </w:rPr>
        <w:t xml:space="preserve">Atļaut </w:t>
      </w:r>
      <w:r>
        <w:rPr>
          <w:rFonts w:ascii="Times New Roman" w:hAnsi="Times New Roman" w:cs="Times New Roman"/>
          <w:color w:val="000000" w:themeColor="text1"/>
          <w:sz w:val="24"/>
          <w:szCs w:val="24"/>
        </w:rPr>
        <w:t>Izglītības un zinātnes ministrijai (</w:t>
      </w:r>
      <w:r w:rsidRPr="001302DC">
        <w:rPr>
          <w:rFonts w:ascii="Times New Roman" w:hAnsi="Times New Roman" w:cs="Times New Roman"/>
          <w:color w:val="000000" w:themeColor="text1"/>
          <w:sz w:val="24"/>
          <w:szCs w:val="24"/>
        </w:rPr>
        <w:t>Ventspils augstskolai un Vidzemes Augstskolai</w:t>
      </w:r>
      <w:r>
        <w:rPr>
          <w:rFonts w:ascii="Times New Roman" w:hAnsi="Times New Roman" w:cs="Times New Roman"/>
          <w:color w:val="000000" w:themeColor="text1"/>
          <w:sz w:val="24"/>
          <w:szCs w:val="24"/>
        </w:rPr>
        <w:t>)</w:t>
      </w:r>
      <w:r w:rsidRPr="00A35700">
        <w:rPr>
          <w:rFonts w:ascii="Times New Roman" w:hAnsi="Times New Roman" w:cs="Times New Roman"/>
          <w:color w:val="FF0000"/>
          <w:sz w:val="24"/>
          <w:szCs w:val="24"/>
        </w:rPr>
        <w:t xml:space="preserve"> </w:t>
      </w:r>
      <w:r w:rsidRPr="002835A7">
        <w:rPr>
          <w:rFonts w:ascii="Times New Roman" w:hAnsi="Times New Roman" w:cs="Times New Roman"/>
          <w:sz w:val="24"/>
          <w:szCs w:val="24"/>
          <w:lang w:eastAsia="lv-LV"/>
        </w:rPr>
        <w:t>2020. </w:t>
      </w:r>
      <w:r w:rsidRPr="001302DC">
        <w:rPr>
          <w:rFonts w:ascii="Times New Roman" w:hAnsi="Times New Roman" w:cs="Times New Roman"/>
          <w:color w:val="000000" w:themeColor="text1"/>
          <w:sz w:val="24"/>
          <w:szCs w:val="24"/>
          <w:lang w:eastAsia="lv-LV"/>
        </w:rPr>
        <w:noBreakHyphen/>
        <w:t xml:space="preserve"> 2021. gadā uzņemties papildu valsts budžeta ilgtermiņa saistības un īstenot </w:t>
      </w:r>
      <w:r w:rsidRPr="001302DC">
        <w:rPr>
          <w:rFonts w:ascii="Times New Roman" w:hAnsi="Times New Roman" w:cs="Times New Roman"/>
          <w:color w:val="000000" w:themeColor="text1"/>
          <w:sz w:val="24"/>
          <w:szCs w:val="24"/>
        </w:rPr>
        <w:t>UIA</w:t>
      </w:r>
      <w:r w:rsidRPr="001302DC">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 xml:space="preserve">Pilsētu </w:t>
      </w:r>
      <w:r w:rsidRPr="001302DC">
        <w:rPr>
          <w:rFonts w:ascii="Times New Roman" w:hAnsi="Times New Roman" w:cs="Times New Roman"/>
          <w:color w:val="000000" w:themeColor="text1"/>
          <w:sz w:val="24"/>
          <w:szCs w:val="24"/>
          <w:lang w:eastAsia="lv-LV"/>
        </w:rPr>
        <w:t>projektu</w:t>
      </w:r>
      <w:r w:rsidRPr="001302DC">
        <w:rPr>
          <w:rFonts w:ascii="Times New Roman" w:eastAsia="Times New Roman" w:hAnsi="Times New Roman" w:cs="Times New Roman"/>
          <w:bCs/>
          <w:color w:val="000000" w:themeColor="text1"/>
          <w:sz w:val="24"/>
          <w:szCs w:val="24"/>
        </w:rPr>
        <w:t xml:space="preserve">. </w:t>
      </w:r>
      <w:r w:rsidR="006A0D45" w:rsidRPr="00C73A22">
        <w:rPr>
          <w:rFonts w:ascii="Times New Roman" w:eastAsia="Times New Roman" w:hAnsi="Times New Roman" w:cs="Times New Roman"/>
          <w:sz w:val="24"/>
          <w:szCs w:val="28"/>
        </w:rPr>
        <w:t>P</w:t>
      </w:r>
      <w:r w:rsidR="006A0D45">
        <w:rPr>
          <w:rFonts w:ascii="Times New Roman" w:eastAsia="Times New Roman" w:hAnsi="Times New Roman" w:cs="Times New Roman"/>
          <w:sz w:val="24"/>
          <w:szCs w:val="28"/>
        </w:rPr>
        <w:t>ilsētu p</w:t>
      </w:r>
      <w:r w:rsidR="006A0D45" w:rsidRPr="007B0D55">
        <w:rPr>
          <w:rFonts w:ascii="Times New Roman" w:eastAsia="Times New Roman" w:hAnsi="Times New Roman" w:cs="Times New Roman"/>
          <w:sz w:val="24"/>
          <w:szCs w:val="28"/>
        </w:rPr>
        <w:t xml:space="preserve">rojekta kopējās izmaksas Ventspils Augstskolai ir 720 </w:t>
      </w:r>
      <w:r w:rsidR="006A0D45" w:rsidRPr="007B0D55">
        <w:rPr>
          <w:rFonts w:ascii="Times New Roman" w:eastAsia="Times New Roman" w:hAnsi="Times New Roman" w:cs="Times New Roman"/>
          <w:sz w:val="24"/>
          <w:szCs w:val="28"/>
        </w:rPr>
        <w:lastRenderedPageBreak/>
        <w:t xml:space="preserve">059 EUR, t.sk. Eiropas Reģionālās attīstības fonda finansējums 80% apmērā (576 047 EUR), Ventspils Augstskolas </w:t>
      </w:r>
      <w:proofErr w:type="spellStart"/>
      <w:r w:rsidR="006A0D45" w:rsidRPr="007B0D55">
        <w:rPr>
          <w:rFonts w:ascii="Times New Roman" w:eastAsia="Times New Roman" w:hAnsi="Times New Roman" w:cs="Times New Roman"/>
          <w:sz w:val="24"/>
          <w:szCs w:val="28"/>
        </w:rPr>
        <w:t>priekšfinansējums</w:t>
      </w:r>
      <w:proofErr w:type="spellEnd"/>
      <w:r w:rsidR="006A0D45" w:rsidRPr="007B0D55">
        <w:rPr>
          <w:rFonts w:ascii="Times New Roman" w:eastAsia="Times New Roman" w:hAnsi="Times New Roman" w:cs="Times New Roman"/>
          <w:sz w:val="24"/>
          <w:szCs w:val="28"/>
        </w:rPr>
        <w:t xml:space="preserve"> (12 557 EUR) un valsts budžeta līdzfinansējums (131 455  EUR), kas kopā veido līdzfinansējumu 20 % apmērā. Projekta kopējās izmaksas Vidzemes Augstskolai ir 638 500</w:t>
      </w:r>
      <w:r w:rsidR="006A0D45" w:rsidRPr="007B0D55">
        <w:rPr>
          <w:rFonts w:ascii="Times New Roman" w:eastAsia="Times New Roman" w:hAnsi="Times New Roman" w:cs="Times New Roman"/>
          <w:color w:val="FF0000"/>
          <w:sz w:val="24"/>
          <w:szCs w:val="28"/>
        </w:rPr>
        <w:t xml:space="preserve"> </w:t>
      </w:r>
      <w:r w:rsidR="006A0D45" w:rsidRPr="007B0D55">
        <w:rPr>
          <w:rFonts w:ascii="Times New Roman" w:eastAsia="Times New Roman" w:hAnsi="Times New Roman" w:cs="Times New Roman"/>
          <w:sz w:val="24"/>
          <w:szCs w:val="28"/>
        </w:rPr>
        <w:t xml:space="preserve">EUR, t.sk. Eiropas Reģionālās attīstības fonda finansējums 80% apmērā (510 800 EUR), Vidzemes Augstskolas </w:t>
      </w:r>
      <w:proofErr w:type="spellStart"/>
      <w:r w:rsidR="006A0D45" w:rsidRPr="007B0D55">
        <w:rPr>
          <w:rFonts w:ascii="Times New Roman" w:eastAsia="Times New Roman" w:hAnsi="Times New Roman" w:cs="Times New Roman"/>
          <w:sz w:val="24"/>
          <w:szCs w:val="28"/>
        </w:rPr>
        <w:t>priekšfinansējums</w:t>
      </w:r>
      <w:proofErr w:type="spellEnd"/>
      <w:r w:rsidR="006A0D45" w:rsidRPr="007B0D55">
        <w:rPr>
          <w:rFonts w:ascii="Times New Roman" w:eastAsia="Times New Roman" w:hAnsi="Times New Roman" w:cs="Times New Roman"/>
          <w:sz w:val="24"/>
          <w:szCs w:val="28"/>
        </w:rPr>
        <w:t xml:space="preserve"> (9 330 EUR) un valsts budžeta līdzfinansējums (118 370  EUR), kas kopā veido līdzfinansējumu 20 % apmērā.</w:t>
      </w:r>
    </w:p>
    <w:p w14:paraId="2655A947" w14:textId="77777777" w:rsidR="006A0D45" w:rsidRPr="007B0D55" w:rsidRDefault="006A0D45" w:rsidP="006A0D45">
      <w:pPr>
        <w:tabs>
          <w:tab w:val="left" w:pos="1134"/>
        </w:tabs>
        <w:spacing w:after="120"/>
        <w:contextualSpacing/>
        <w:rPr>
          <w:rFonts w:eastAsia="Times New Roman"/>
          <w:bCs/>
          <w:i/>
          <w:color w:val="000000" w:themeColor="text1"/>
        </w:rPr>
      </w:pPr>
      <w:r>
        <w:rPr>
          <w:rFonts w:eastAsia="Times New Roman"/>
          <w:szCs w:val="28"/>
        </w:rPr>
        <w:t xml:space="preserve">2. Atbalstīt </w:t>
      </w:r>
      <w:r w:rsidRPr="007B0D55">
        <w:rPr>
          <w:rFonts w:eastAsia="Times New Roman"/>
          <w:szCs w:val="28"/>
        </w:rPr>
        <w:t>minētā projekta īstenošanai nepieciešamā valsts budžeta līdzfinansējuma piešķiršanu Ventspils Augstskolai un Vidzemes Augstskolai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un Izglītības un zinātnes ministrijai  normatīvajos aktos noteiktajā kārtībā iesniegt Finanšu ministrijā pieprasījumu finansējuma pārdalei uz Izglītības un zinātnes ministrijas budžeta apakšprogrammu 70.12.00 “Eiropas Kopienas programmu projektu īstenošana”.”</w:t>
      </w:r>
    </w:p>
    <w:p w14:paraId="00F31C7F" w14:textId="79E2908E" w:rsidR="00D65389" w:rsidRPr="00CB7DEA" w:rsidRDefault="00D65389" w:rsidP="00CB7DEA">
      <w:pPr>
        <w:tabs>
          <w:tab w:val="left" w:pos="1134"/>
        </w:tabs>
        <w:spacing w:after="120"/>
        <w:contextualSpacing/>
        <w:rPr>
          <w:rFonts w:eastAsia="Times New Roman"/>
          <w:bCs/>
          <w:color w:val="000000" w:themeColor="text1"/>
        </w:rPr>
      </w:pPr>
      <w:r>
        <w:rPr>
          <w:rFonts w:eastAsia="Times New Roman"/>
          <w:bCs/>
          <w:color w:val="000000" w:themeColor="text1"/>
        </w:rPr>
        <w:tab/>
      </w:r>
    </w:p>
    <w:p w14:paraId="033182C7" w14:textId="77777777" w:rsidR="001302DC" w:rsidRPr="001302DC" w:rsidRDefault="001302DC" w:rsidP="001302DC"/>
    <w:p w14:paraId="033182C8" w14:textId="77777777" w:rsidR="001302DC" w:rsidRPr="001302DC" w:rsidRDefault="001302DC" w:rsidP="001302DC"/>
    <w:p w14:paraId="033182C9" w14:textId="77777777" w:rsidR="001302DC" w:rsidRPr="001302DC" w:rsidRDefault="001302DC" w:rsidP="001302DC">
      <w:r w:rsidRPr="001302DC">
        <w:t>Iesniedzējs:</w:t>
      </w:r>
    </w:p>
    <w:p w14:paraId="033182CA" w14:textId="35C0A5C4" w:rsidR="001302DC" w:rsidRPr="001302DC" w:rsidRDefault="001302DC" w:rsidP="001302DC">
      <w:r w:rsidRPr="001302DC">
        <w:t>Izglītības un zinātnes ministre</w:t>
      </w:r>
      <w:r w:rsidRPr="001302DC">
        <w:tab/>
      </w:r>
      <w:r w:rsidRPr="001302DC">
        <w:tab/>
      </w:r>
      <w:r w:rsidRPr="001302DC">
        <w:tab/>
      </w:r>
      <w:r w:rsidRPr="001302DC">
        <w:tab/>
      </w:r>
      <w:r w:rsidRPr="001302DC">
        <w:tab/>
        <w:t>I</w:t>
      </w:r>
      <w:r w:rsidR="00D65389">
        <w:t xml:space="preserve">. </w:t>
      </w:r>
      <w:r w:rsidRPr="001302DC">
        <w:t>Šuplinska</w:t>
      </w:r>
    </w:p>
    <w:p w14:paraId="033182CB" w14:textId="77777777" w:rsidR="001302DC" w:rsidRPr="001302DC" w:rsidRDefault="001302DC" w:rsidP="001302DC"/>
    <w:p w14:paraId="033182CC" w14:textId="77777777" w:rsidR="001302DC" w:rsidRPr="001302DC" w:rsidRDefault="001302DC" w:rsidP="001302DC"/>
    <w:p w14:paraId="033182CD" w14:textId="77777777" w:rsidR="001302DC" w:rsidRPr="001302DC" w:rsidRDefault="001302DC" w:rsidP="001302DC">
      <w:r w:rsidRPr="001302DC">
        <w:t>Vizē:</w:t>
      </w:r>
    </w:p>
    <w:p w14:paraId="033182CE" w14:textId="3AA428D8" w:rsidR="001302DC" w:rsidRPr="001302DC" w:rsidRDefault="001302DC" w:rsidP="001302DC">
      <w:r w:rsidRPr="001302DC">
        <w:t xml:space="preserve">Valsts sekretāre </w:t>
      </w:r>
      <w:r w:rsidRPr="001302DC">
        <w:tab/>
      </w:r>
      <w:r w:rsidRPr="001302DC">
        <w:tab/>
      </w:r>
      <w:r w:rsidRPr="001302DC">
        <w:tab/>
      </w:r>
      <w:r w:rsidRPr="001302DC">
        <w:tab/>
      </w:r>
      <w:r w:rsidRPr="001302DC">
        <w:tab/>
      </w:r>
      <w:r w:rsidRPr="001302DC">
        <w:tab/>
      </w:r>
      <w:r w:rsidRPr="001302DC">
        <w:tab/>
        <w:t>L</w:t>
      </w:r>
      <w:r w:rsidR="00D65389">
        <w:t xml:space="preserve">. </w:t>
      </w:r>
      <w:r w:rsidRPr="001302DC">
        <w:t>Lejiņa</w:t>
      </w:r>
    </w:p>
    <w:p w14:paraId="033182CF" w14:textId="77777777" w:rsidR="001302DC" w:rsidRPr="001302DC" w:rsidRDefault="001302DC" w:rsidP="001302DC">
      <w:pPr>
        <w:tabs>
          <w:tab w:val="left" w:pos="3360"/>
        </w:tabs>
        <w:rPr>
          <w:color w:val="000000" w:themeColor="text1"/>
        </w:rPr>
      </w:pPr>
    </w:p>
    <w:p w14:paraId="033182D0" w14:textId="77777777" w:rsidR="00FE2F03" w:rsidRDefault="00FE2F03"/>
    <w:p w14:paraId="033182D1" w14:textId="77777777" w:rsidR="00FE2F03" w:rsidRDefault="00FE2F03"/>
    <w:p w14:paraId="35499F5F" w14:textId="77777777" w:rsidR="00267909" w:rsidRDefault="00267909"/>
    <w:p w14:paraId="6473BED3" w14:textId="77777777" w:rsidR="00267909" w:rsidRDefault="00267909"/>
    <w:p w14:paraId="033182D2" w14:textId="086106B1" w:rsidR="00FE2F03" w:rsidRPr="00267909" w:rsidRDefault="00FE2F03">
      <w:pPr>
        <w:rPr>
          <w:smallCaps/>
          <w:sz w:val="20"/>
          <w:szCs w:val="20"/>
        </w:rPr>
      </w:pPr>
      <w:r w:rsidRPr="00267909">
        <w:rPr>
          <w:sz w:val="20"/>
          <w:szCs w:val="20"/>
        </w:rPr>
        <w:t>Karolis</w:t>
      </w:r>
      <w:r w:rsidR="00267909">
        <w:rPr>
          <w:sz w:val="20"/>
          <w:szCs w:val="20"/>
        </w:rPr>
        <w:t xml:space="preserve"> </w:t>
      </w:r>
      <w:r w:rsidR="00267909" w:rsidRPr="00267909">
        <w:rPr>
          <w:sz w:val="20"/>
          <w:szCs w:val="20"/>
        </w:rPr>
        <w:t>67047966</w:t>
      </w:r>
    </w:p>
    <w:p w14:paraId="033182D3" w14:textId="77777777" w:rsidR="00FE2F03" w:rsidRPr="00267909" w:rsidRDefault="00937278">
      <w:pPr>
        <w:rPr>
          <w:sz w:val="20"/>
          <w:szCs w:val="20"/>
        </w:rPr>
      </w:pPr>
      <w:hyperlink r:id="rId8" w:history="1">
        <w:r w:rsidR="00FE2F03" w:rsidRPr="00267909">
          <w:rPr>
            <w:rStyle w:val="Hyperlink"/>
            <w:sz w:val="20"/>
            <w:szCs w:val="20"/>
          </w:rPr>
          <w:t>Kaspars.karolis@izm.gov.lv</w:t>
        </w:r>
      </w:hyperlink>
    </w:p>
    <w:p w14:paraId="476C9126" w14:textId="77777777" w:rsidR="00267909" w:rsidRPr="00267909" w:rsidRDefault="00267909">
      <w:pPr>
        <w:rPr>
          <w:smallCaps/>
          <w:sz w:val="20"/>
          <w:szCs w:val="20"/>
        </w:rPr>
      </w:pPr>
    </w:p>
    <w:sectPr w:rsidR="00267909" w:rsidRPr="00267909" w:rsidSect="006E246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AFA62" w14:textId="77777777" w:rsidR="00937278" w:rsidRDefault="00937278" w:rsidP="001302DC">
      <w:r>
        <w:separator/>
      </w:r>
    </w:p>
  </w:endnote>
  <w:endnote w:type="continuationSeparator" w:id="0">
    <w:p w14:paraId="314463E6" w14:textId="77777777" w:rsidR="00937278" w:rsidRDefault="00937278" w:rsidP="001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3802"/>
      <w:docPartObj>
        <w:docPartGallery w:val="Page Numbers (Bottom of Page)"/>
        <w:docPartUnique/>
      </w:docPartObj>
    </w:sdtPr>
    <w:sdtEndPr>
      <w:rPr>
        <w:noProof/>
        <w:sz w:val="22"/>
      </w:rPr>
    </w:sdtEndPr>
    <w:sdtContent>
      <w:p w14:paraId="033182DB" w14:textId="77777777" w:rsidR="006E246C" w:rsidRDefault="006E246C" w:rsidP="006E246C">
        <w:pPr>
          <w:pStyle w:val="Header"/>
        </w:pPr>
      </w:p>
      <w:p w14:paraId="033182DC" w14:textId="3BD47D8C" w:rsidR="006E246C" w:rsidRPr="00D709B6" w:rsidRDefault="00C32255" w:rsidP="006E246C">
        <w:pPr>
          <w:pStyle w:val="Footer"/>
          <w:jc w:val="left"/>
          <w:rPr>
            <w:sz w:val="22"/>
          </w:rPr>
        </w:pPr>
        <w:r>
          <w:rPr>
            <w:noProof/>
            <w:sz w:val="22"/>
          </w:rPr>
          <w:t>IZMZino_</w:t>
        </w:r>
        <w:r w:rsidR="000D3CB4">
          <w:rPr>
            <w:noProof/>
            <w:sz w:val="22"/>
          </w:rPr>
          <w:t>1805</w:t>
        </w:r>
        <w:r w:rsidR="00E1393A">
          <w:rPr>
            <w:noProof/>
            <w:sz w:val="22"/>
          </w:rPr>
          <w:t>20</w:t>
        </w:r>
        <w:r w:rsidR="006E246C">
          <w:rPr>
            <w:noProof/>
            <w:sz w:val="22"/>
          </w:rPr>
          <w:t>_Nextgen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82DD" w14:textId="1DE58D6C" w:rsidR="006E246C" w:rsidRPr="00D709B6" w:rsidRDefault="000D3CB4" w:rsidP="00824A1C">
    <w:pPr>
      <w:pStyle w:val="Footer"/>
      <w:jc w:val="left"/>
      <w:rPr>
        <w:sz w:val="22"/>
      </w:rPr>
    </w:pPr>
    <w:r>
      <w:rPr>
        <w:noProof/>
        <w:sz w:val="22"/>
      </w:rPr>
      <w:t>IZMZino_180520</w:t>
    </w:r>
    <w:r w:rsidR="006E246C">
      <w:rPr>
        <w:noProof/>
        <w:sz w:val="22"/>
      </w:rPr>
      <w:t>_Nextgen</w:t>
    </w:r>
  </w:p>
  <w:p w14:paraId="033182DE" w14:textId="77777777" w:rsidR="006E246C" w:rsidRDefault="006E2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E847" w14:textId="77777777" w:rsidR="00937278" w:rsidRDefault="00937278" w:rsidP="001302DC">
      <w:r>
        <w:separator/>
      </w:r>
    </w:p>
  </w:footnote>
  <w:footnote w:type="continuationSeparator" w:id="0">
    <w:p w14:paraId="4616F20F" w14:textId="77777777" w:rsidR="00937278" w:rsidRDefault="00937278" w:rsidP="001302DC">
      <w:r>
        <w:continuationSeparator/>
      </w:r>
    </w:p>
  </w:footnote>
  <w:footnote w:id="1">
    <w:p w14:paraId="033182E0" w14:textId="77777777" w:rsidR="006E246C" w:rsidRPr="003B0F42" w:rsidRDefault="006E246C" w:rsidP="001302DC">
      <w:pPr>
        <w:pStyle w:val="FootnoteText"/>
        <w:jc w:val="both"/>
        <w:rPr>
          <w:rFonts w:ascii="Times New Roman" w:hAnsi="Times New Roman" w:cs="Times New Roman"/>
        </w:rPr>
      </w:pPr>
      <w:r w:rsidRPr="00D2282E">
        <w:rPr>
          <w:rStyle w:val="FootnoteReference"/>
          <w:rFonts w:ascii="Times New Roman" w:hAnsi="Times New Roman" w:cs="Times New Roman"/>
        </w:rPr>
        <w:footnoteRef/>
      </w:r>
      <w:r w:rsidRPr="00D2282E">
        <w:rPr>
          <w:rFonts w:ascii="Times New Roman" w:hAnsi="Times New Roman" w:cs="Times New Roman"/>
        </w:rPr>
        <w:t xml:space="preserve"> </w:t>
      </w:r>
      <w:r w:rsidRPr="004905F5">
        <w:rPr>
          <w:rFonts w:ascii="Times New Roman" w:hAnsi="Times New Roman" w:cs="Times New Roman"/>
          <w:sz w:val="18"/>
          <w:szCs w:val="18"/>
        </w:rPr>
        <w:t>Ministru kabineta 2018.gada 17.jūlija noteikumu Nr. 421 “Kārtība, kādā veic gadskārtējā valsts budžeta likumā noteiktās apropriācijas izmaiņas” 1.3.apakšpunkts; “Likums par budžetu un finanšu vadību” 24. panta trešā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52749"/>
      <w:docPartObj>
        <w:docPartGallery w:val="Page Numbers (Top of Page)"/>
        <w:docPartUnique/>
      </w:docPartObj>
    </w:sdtPr>
    <w:sdtEndPr>
      <w:rPr>
        <w:noProof/>
      </w:rPr>
    </w:sdtEndPr>
    <w:sdtContent>
      <w:p w14:paraId="033182D9" w14:textId="237038BF" w:rsidR="006E246C" w:rsidRDefault="006E246C">
        <w:pPr>
          <w:pStyle w:val="Header"/>
          <w:jc w:val="center"/>
        </w:pPr>
        <w:r>
          <w:fldChar w:fldCharType="begin"/>
        </w:r>
        <w:r>
          <w:instrText xml:space="preserve"> PAGE   \* MERGEFORMAT </w:instrText>
        </w:r>
        <w:r>
          <w:fldChar w:fldCharType="separate"/>
        </w:r>
        <w:r w:rsidR="003261ED">
          <w:rPr>
            <w:noProof/>
          </w:rPr>
          <w:t>8</w:t>
        </w:r>
        <w:r>
          <w:rPr>
            <w:noProof/>
          </w:rPr>
          <w:fldChar w:fldCharType="end"/>
        </w:r>
      </w:p>
    </w:sdtContent>
  </w:sdt>
  <w:p w14:paraId="033182DA" w14:textId="77777777" w:rsidR="006E246C" w:rsidRDefault="006E2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944"/>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821E5"/>
    <w:multiLevelType w:val="hybridMultilevel"/>
    <w:tmpl w:val="1E0AEAA8"/>
    <w:lvl w:ilvl="0" w:tplc="DD6E60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F94390"/>
    <w:multiLevelType w:val="hybridMultilevel"/>
    <w:tmpl w:val="3C424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A42DEA"/>
    <w:multiLevelType w:val="hybridMultilevel"/>
    <w:tmpl w:val="54B62996"/>
    <w:lvl w:ilvl="0" w:tplc="C71E7B0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BA0462"/>
    <w:multiLevelType w:val="hybridMultilevel"/>
    <w:tmpl w:val="ACC6982C"/>
    <w:lvl w:ilvl="0" w:tplc="DD6E60D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530B95"/>
    <w:multiLevelType w:val="hybridMultilevel"/>
    <w:tmpl w:val="6F440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F6597B"/>
    <w:multiLevelType w:val="hybridMultilevel"/>
    <w:tmpl w:val="D7985AC4"/>
    <w:lvl w:ilvl="0" w:tplc="48BA89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AC12DF0"/>
    <w:multiLevelType w:val="hybridMultilevel"/>
    <w:tmpl w:val="03F2D3E6"/>
    <w:lvl w:ilvl="0" w:tplc="675E0E2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8" w15:restartNumberingAfterBreak="0">
    <w:nsid w:val="3F487860"/>
    <w:multiLevelType w:val="hybridMultilevel"/>
    <w:tmpl w:val="7FD46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F35A9B"/>
    <w:multiLevelType w:val="hybridMultilevel"/>
    <w:tmpl w:val="4A1A2486"/>
    <w:lvl w:ilvl="0" w:tplc="88662E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165CA5"/>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F82F06"/>
    <w:multiLevelType w:val="hybridMultilevel"/>
    <w:tmpl w:val="8580F804"/>
    <w:lvl w:ilvl="0" w:tplc="BD56FEF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7F6278"/>
    <w:multiLevelType w:val="hybridMultilevel"/>
    <w:tmpl w:val="2A44E4A8"/>
    <w:lvl w:ilvl="0" w:tplc="7DC21E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C1639F3"/>
    <w:multiLevelType w:val="hybridMultilevel"/>
    <w:tmpl w:val="652CC754"/>
    <w:lvl w:ilvl="0" w:tplc="B554D734">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2148"/>
    <w:multiLevelType w:val="hybridMultilevel"/>
    <w:tmpl w:val="9A7275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E000C9D"/>
    <w:multiLevelType w:val="hybridMultilevel"/>
    <w:tmpl w:val="9A72758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E7347FD"/>
    <w:multiLevelType w:val="hybridMultilevel"/>
    <w:tmpl w:val="C79C5594"/>
    <w:lvl w:ilvl="0" w:tplc="AA562A1A">
      <w:start w:val="1"/>
      <w:numFmt w:val="decimal"/>
      <w:lvlText w:val="%1."/>
      <w:lvlJc w:val="left"/>
      <w:pPr>
        <w:ind w:left="927" w:hanging="360"/>
      </w:pPr>
      <w:rPr>
        <w:rFonts w:ascii="Times New Roman" w:eastAsiaTheme="minorHAnsi" w:hAnsi="Times New Roman" w:cs="Times New Roman"/>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7C7829"/>
    <w:multiLevelType w:val="hybridMultilevel"/>
    <w:tmpl w:val="1F7AE95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9" w15:restartNumberingAfterBreak="0">
    <w:nsid w:val="5A22123B"/>
    <w:multiLevelType w:val="multilevel"/>
    <w:tmpl w:val="1FB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75B41"/>
    <w:multiLevelType w:val="hybridMultilevel"/>
    <w:tmpl w:val="230E3EA0"/>
    <w:lvl w:ilvl="0" w:tplc="0426000F">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BD77573"/>
    <w:multiLevelType w:val="hybridMultilevel"/>
    <w:tmpl w:val="B05E7A86"/>
    <w:lvl w:ilvl="0" w:tplc="F1D88E2A">
      <w:start w:val="1"/>
      <w:numFmt w:val="decimal"/>
      <w:lvlText w:val="%1."/>
      <w:lvlJc w:val="left"/>
      <w:pPr>
        <w:ind w:left="1211" w:hanging="360"/>
      </w:pPr>
      <w:rPr>
        <w:rFonts w:ascii="Times New Roman" w:hAnsi="Times New Roman" w:cs="Times New Roman"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309762E"/>
    <w:multiLevelType w:val="hybridMultilevel"/>
    <w:tmpl w:val="334C60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9DF34B7"/>
    <w:multiLevelType w:val="hybridMultilevel"/>
    <w:tmpl w:val="2B388EB6"/>
    <w:lvl w:ilvl="0" w:tplc="7BC4B580">
      <w:start w:val="1"/>
      <w:numFmt w:val="decimal"/>
      <w:lvlText w:val="%1."/>
      <w:lvlJc w:val="left"/>
      <w:pPr>
        <w:ind w:left="360" w:hanging="360"/>
      </w:pPr>
      <w:rPr>
        <w:rFonts w:ascii="Times New Roman" w:eastAsiaTheme="minorHAnsi" w:hAnsi="Times New Roman" w:cs="Times New Roman"/>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A1A0414"/>
    <w:multiLevelType w:val="hybridMultilevel"/>
    <w:tmpl w:val="D654FB7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E1F3F2D"/>
    <w:multiLevelType w:val="hybridMultilevel"/>
    <w:tmpl w:val="84D69EC6"/>
    <w:lvl w:ilvl="0" w:tplc="20885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
  </w:num>
  <w:num w:numId="7">
    <w:abstractNumId w:val="9"/>
  </w:num>
  <w:num w:numId="8">
    <w:abstractNumId w:val="4"/>
  </w:num>
  <w:num w:numId="9">
    <w:abstractNumId w:val="11"/>
  </w:num>
  <w:num w:numId="10">
    <w:abstractNumId w:val="18"/>
  </w:num>
  <w:num w:numId="11">
    <w:abstractNumId w:val="7"/>
  </w:num>
  <w:num w:numId="12">
    <w:abstractNumId w:val="17"/>
  </w:num>
  <w:num w:numId="13">
    <w:abstractNumId w:val="10"/>
  </w:num>
  <w:num w:numId="14">
    <w:abstractNumId w:val="25"/>
  </w:num>
  <w:num w:numId="15">
    <w:abstractNumId w:val="15"/>
  </w:num>
  <w:num w:numId="16">
    <w:abstractNumId w:val="6"/>
  </w:num>
  <w:num w:numId="17">
    <w:abstractNumId w:val="2"/>
  </w:num>
  <w:num w:numId="18">
    <w:abstractNumId w:val="8"/>
  </w:num>
  <w:num w:numId="19">
    <w:abstractNumId w:val="19"/>
  </w:num>
  <w:num w:numId="20">
    <w:abstractNumId w:val="5"/>
  </w:num>
  <w:num w:numId="21">
    <w:abstractNumId w:val="12"/>
  </w:num>
  <w:num w:numId="22">
    <w:abstractNumId w:val="20"/>
  </w:num>
  <w:num w:numId="23">
    <w:abstractNumId w:val="3"/>
  </w:num>
  <w:num w:numId="24">
    <w:abstractNumId w:val="22"/>
  </w:num>
  <w:num w:numId="25">
    <w:abstractNumId w:val="23"/>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C"/>
    <w:rsid w:val="00043B13"/>
    <w:rsid w:val="000D3CB4"/>
    <w:rsid w:val="000D66CC"/>
    <w:rsid w:val="000E09A5"/>
    <w:rsid w:val="000E69C9"/>
    <w:rsid w:val="000F04C6"/>
    <w:rsid w:val="000F4580"/>
    <w:rsid w:val="00110D56"/>
    <w:rsid w:val="001302DC"/>
    <w:rsid w:val="001C15AB"/>
    <w:rsid w:val="00214B3F"/>
    <w:rsid w:val="00242686"/>
    <w:rsid w:val="00267909"/>
    <w:rsid w:val="00273BB8"/>
    <w:rsid w:val="002835A7"/>
    <w:rsid w:val="002B1F39"/>
    <w:rsid w:val="002E5367"/>
    <w:rsid w:val="002F49F2"/>
    <w:rsid w:val="003261ED"/>
    <w:rsid w:val="00382823"/>
    <w:rsid w:val="00387ED9"/>
    <w:rsid w:val="0040711D"/>
    <w:rsid w:val="004224A5"/>
    <w:rsid w:val="00450D83"/>
    <w:rsid w:val="00451B4C"/>
    <w:rsid w:val="004D4F1F"/>
    <w:rsid w:val="0057404E"/>
    <w:rsid w:val="00584EBA"/>
    <w:rsid w:val="005A3CF5"/>
    <w:rsid w:val="005D509B"/>
    <w:rsid w:val="005F12CC"/>
    <w:rsid w:val="00614D88"/>
    <w:rsid w:val="006316D8"/>
    <w:rsid w:val="006449D5"/>
    <w:rsid w:val="00684196"/>
    <w:rsid w:val="006A0D45"/>
    <w:rsid w:val="006A4EE9"/>
    <w:rsid w:val="006E246C"/>
    <w:rsid w:val="006E649C"/>
    <w:rsid w:val="006F3BEF"/>
    <w:rsid w:val="00711469"/>
    <w:rsid w:val="00720B00"/>
    <w:rsid w:val="0075419F"/>
    <w:rsid w:val="007F2EFD"/>
    <w:rsid w:val="00822E10"/>
    <w:rsid w:val="00824A1C"/>
    <w:rsid w:val="0083586E"/>
    <w:rsid w:val="00875A5F"/>
    <w:rsid w:val="008A3538"/>
    <w:rsid w:val="008F63A4"/>
    <w:rsid w:val="0090698A"/>
    <w:rsid w:val="00907F12"/>
    <w:rsid w:val="00915013"/>
    <w:rsid w:val="00915280"/>
    <w:rsid w:val="00915D78"/>
    <w:rsid w:val="009314F7"/>
    <w:rsid w:val="00937278"/>
    <w:rsid w:val="009B2118"/>
    <w:rsid w:val="009F0FD7"/>
    <w:rsid w:val="009F1CE5"/>
    <w:rsid w:val="00A17164"/>
    <w:rsid w:val="00A35700"/>
    <w:rsid w:val="00A53CA8"/>
    <w:rsid w:val="00A70355"/>
    <w:rsid w:val="00A71C7A"/>
    <w:rsid w:val="00AB58C5"/>
    <w:rsid w:val="00AE06CC"/>
    <w:rsid w:val="00B01D9A"/>
    <w:rsid w:val="00BA6797"/>
    <w:rsid w:val="00BB4C54"/>
    <w:rsid w:val="00BE60CA"/>
    <w:rsid w:val="00BF4DBA"/>
    <w:rsid w:val="00C0671F"/>
    <w:rsid w:val="00C2630F"/>
    <w:rsid w:val="00C32255"/>
    <w:rsid w:val="00C73CD8"/>
    <w:rsid w:val="00C77EE4"/>
    <w:rsid w:val="00CB69B1"/>
    <w:rsid w:val="00CB6F4E"/>
    <w:rsid w:val="00CB7DEA"/>
    <w:rsid w:val="00D65389"/>
    <w:rsid w:val="00D94534"/>
    <w:rsid w:val="00DA3F0B"/>
    <w:rsid w:val="00DC6F08"/>
    <w:rsid w:val="00DE2BFC"/>
    <w:rsid w:val="00DE5C67"/>
    <w:rsid w:val="00E12FBD"/>
    <w:rsid w:val="00E1393A"/>
    <w:rsid w:val="00E3290A"/>
    <w:rsid w:val="00EB3769"/>
    <w:rsid w:val="00F4463B"/>
    <w:rsid w:val="00F80737"/>
    <w:rsid w:val="00F941C8"/>
    <w:rsid w:val="00FC2444"/>
    <w:rsid w:val="00FE2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81F4"/>
  <w15:docId w15:val="{FD0BF2D3-4676-47B8-9B24-A97FD523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DC"/>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2DC"/>
    <w:rPr>
      <w:rFonts w:ascii="Times New Roman" w:hAnsi="Times New Roman" w:cs="Times New Roman" w:hint="default"/>
      <w:color w:val="0563C1"/>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302DC"/>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1302DC"/>
    <w:pPr>
      <w:ind w:left="720"/>
      <w:jc w:val="left"/>
    </w:pPr>
    <w:rPr>
      <w:rFonts w:asciiTheme="minorHAnsi" w:hAnsiTheme="minorHAnsi" w:cstheme="minorBidi"/>
      <w:sz w:val="22"/>
      <w:szCs w:val="22"/>
    </w:rPr>
  </w:style>
  <w:style w:type="table" w:styleId="TableGrid">
    <w:name w:val="Table Grid"/>
    <w:basedOn w:val="TableNormal"/>
    <w:uiPriority w:val="59"/>
    <w:rsid w:val="0013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2DC"/>
    <w:pPr>
      <w:tabs>
        <w:tab w:val="center" w:pos="4153"/>
        <w:tab w:val="right" w:pos="8306"/>
      </w:tabs>
    </w:pPr>
  </w:style>
  <w:style w:type="character" w:customStyle="1" w:styleId="HeaderChar">
    <w:name w:val="Header Char"/>
    <w:basedOn w:val="DefaultParagraphFont"/>
    <w:link w:val="Header"/>
    <w:uiPriority w:val="99"/>
    <w:rsid w:val="001302DC"/>
    <w:rPr>
      <w:rFonts w:ascii="Times New Roman" w:hAnsi="Times New Roman" w:cs="Times New Roman"/>
      <w:sz w:val="24"/>
      <w:szCs w:val="24"/>
    </w:rPr>
  </w:style>
  <w:style w:type="paragraph" w:styleId="Footer">
    <w:name w:val="footer"/>
    <w:basedOn w:val="Normal"/>
    <w:link w:val="FooterChar"/>
    <w:uiPriority w:val="99"/>
    <w:unhideWhenUsed/>
    <w:rsid w:val="001302DC"/>
    <w:pPr>
      <w:tabs>
        <w:tab w:val="center" w:pos="4153"/>
        <w:tab w:val="right" w:pos="8306"/>
      </w:tabs>
    </w:pPr>
  </w:style>
  <w:style w:type="character" w:customStyle="1" w:styleId="FooterChar">
    <w:name w:val="Footer Char"/>
    <w:basedOn w:val="DefaultParagraphFont"/>
    <w:link w:val="Footer"/>
    <w:uiPriority w:val="99"/>
    <w:rsid w:val="001302DC"/>
    <w:rPr>
      <w:rFonts w:ascii="Times New Roman" w:hAnsi="Times New Roman" w:cs="Times New Roman"/>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1302DC"/>
    <w:pPr>
      <w:jc w:val="left"/>
    </w:pPr>
    <w:rPr>
      <w:rFonts w:asciiTheme="minorHAnsi" w:eastAsiaTheme="minorEastAsia" w:hAnsiTheme="minorHAnsi" w:cstheme="minorBidi"/>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1302DC"/>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1302DC"/>
    <w:rPr>
      <w:vertAlign w:val="superscript"/>
    </w:rPr>
  </w:style>
  <w:style w:type="character" w:styleId="CommentReference">
    <w:name w:val="annotation reference"/>
    <w:basedOn w:val="DefaultParagraphFont"/>
    <w:uiPriority w:val="99"/>
    <w:semiHidden/>
    <w:unhideWhenUsed/>
    <w:rsid w:val="001302DC"/>
    <w:rPr>
      <w:sz w:val="16"/>
      <w:szCs w:val="16"/>
    </w:rPr>
  </w:style>
  <w:style w:type="paragraph" w:styleId="CommentText">
    <w:name w:val="annotation text"/>
    <w:basedOn w:val="Normal"/>
    <w:link w:val="CommentTextChar"/>
    <w:uiPriority w:val="99"/>
    <w:unhideWhenUsed/>
    <w:rsid w:val="001302DC"/>
    <w:rPr>
      <w:sz w:val="20"/>
      <w:szCs w:val="20"/>
    </w:rPr>
  </w:style>
  <w:style w:type="character" w:customStyle="1" w:styleId="CommentTextChar">
    <w:name w:val="Comment Text Char"/>
    <w:basedOn w:val="DefaultParagraphFont"/>
    <w:link w:val="CommentText"/>
    <w:uiPriority w:val="99"/>
    <w:rsid w:val="001302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2DC"/>
    <w:rPr>
      <w:b/>
      <w:bCs/>
    </w:rPr>
  </w:style>
  <w:style w:type="character" w:customStyle="1" w:styleId="CommentSubjectChar">
    <w:name w:val="Comment Subject Char"/>
    <w:basedOn w:val="CommentTextChar"/>
    <w:link w:val="CommentSubject"/>
    <w:uiPriority w:val="99"/>
    <w:semiHidden/>
    <w:rsid w:val="001302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0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DC"/>
    <w:rPr>
      <w:rFonts w:ascii="Segoe UI" w:hAnsi="Segoe UI" w:cs="Segoe UI"/>
      <w:sz w:val="18"/>
      <w:szCs w:val="18"/>
    </w:rPr>
  </w:style>
  <w:style w:type="paragraph" w:customStyle="1" w:styleId="xmsonormal">
    <w:name w:val="x_msonormal"/>
    <w:basedOn w:val="Normal"/>
    <w:rsid w:val="001302DC"/>
    <w:pPr>
      <w:spacing w:before="100" w:beforeAutospacing="1" w:after="100" w:afterAutospacing="1"/>
      <w:jc w:val="left"/>
    </w:pPr>
    <w:rPr>
      <w:rFonts w:eastAsia="Times New Roman"/>
      <w:lang w:eastAsia="lv-LV"/>
    </w:rPr>
  </w:style>
  <w:style w:type="paragraph" w:styleId="NormalWeb">
    <w:name w:val="Normal (Web)"/>
    <w:basedOn w:val="Normal"/>
    <w:uiPriority w:val="99"/>
    <w:semiHidden/>
    <w:unhideWhenUsed/>
    <w:rsid w:val="001302DC"/>
    <w:pPr>
      <w:spacing w:before="100" w:beforeAutospacing="1" w:after="100" w:afterAutospacing="1"/>
      <w:jc w:val="left"/>
    </w:pPr>
    <w:rPr>
      <w:rFonts w:eastAsia="Times New Roman"/>
      <w:lang w:eastAsia="lv-LV"/>
    </w:rPr>
  </w:style>
  <w:style w:type="paragraph" w:customStyle="1" w:styleId="Default">
    <w:name w:val="Default"/>
    <w:rsid w:val="001302DC"/>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13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EB5B-5AA8-471E-A930-D788D05A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dc:creator>
  <cp:lastModifiedBy>Kaspars Karolis</cp:lastModifiedBy>
  <cp:revision>3</cp:revision>
  <cp:lastPrinted>2019-05-17T12:19:00Z</cp:lastPrinted>
  <dcterms:created xsi:type="dcterms:W3CDTF">2020-05-18T06:17:00Z</dcterms:created>
  <dcterms:modified xsi:type="dcterms:W3CDTF">2020-05-18T09:02:00Z</dcterms:modified>
</cp:coreProperties>
</file>