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D70799" w:rsidRDefault="007356B4" w:rsidP="009E2178">
      <w:pPr>
        <w:pStyle w:val="naisnod"/>
        <w:spacing w:before="0" w:after="0"/>
        <w:rPr>
          <w:sz w:val="20"/>
          <w:szCs w:val="20"/>
        </w:rPr>
      </w:pPr>
      <w:r w:rsidRPr="00D70799">
        <w:rPr>
          <w:sz w:val="20"/>
          <w:szCs w:val="20"/>
        </w:rPr>
        <w:t xml:space="preserve">Izziņa par atzinumos sniegtajiem iebildumiem par Ministru kabineta noteikumu projektu </w:t>
      </w:r>
      <w:bookmarkStart w:id="0" w:name="OLE_LINK3"/>
      <w:bookmarkStart w:id="1" w:name="OLE_LINK4"/>
      <w:bookmarkStart w:id="2" w:name="OLE_LINK7"/>
    </w:p>
    <w:bookmarkEnd w:id="0"/>
    <w:bookmarkEnd w:id="1"/>
    <w:bookmarkEnd w:id="2"/>
    <w:p w14:paraId="6F3DCBB9" w14:textId="1F3244BB" w:rsidR="0050794A" w:rsidRDefault="00B00ADF" w:rsidP="00B00ADF">
      <w:pPr>
        <w:pStyle w:val="naisf"/>
        <w:spacing w:before="0" w:after="0"/>
        <w:jc w:val="center"/>
        <w:rPr>
          <w:b/>
          <w:bCs/>
          <w:sz w:val="20"/>
          <w:szCs w:val="20"/>
        </w:rPr>
      </w:pPr>
      <w:r w:rsidRPr="00B00ADF">
        <w:rPr>
          <w:b/>
          <w:bCs/>
          <w:sz w:val="20"/>
          <w:szCs w:val="20"/>
        </w:rPr>
        <w:t>“Grozījumi Ministru kabineta 2016. gada 5. jūlija noteikumos Nr. 447 „Par valsts budžeta mērķdotāciju pedagogu darba samaksai pašvaldību vispārējās izglītības iestādēs un valsts augstskolu vispārējās vidējās izglītības iestādēs”</w:t>
      </w:r>
    </w:p>
    <w:p w14:paraId="66838216" w14:textId="77777777" w:rsidR="00B00ADF" w:rsidRPr="00D70799" w:rsidRDefault="00B00ADF" w:rsidP="00B00ADF">
      <w:pPr>
        <w:pStyle w:val="naisf"/>
        <w:spacing w:before="0" w:after="0"/>
        <w:jc w:val="center"/>
        <w:rPr>
          <w:b/>
          <w:sz w:val="20"/>
          <w:szCs w:val="20"/>
        </w:rPr>
      </w:pPr>
    </w:p>
    <w:p w14:paraId="30BD6108" w14:textId="77777777" w:rsidR="0023626A" w:rsidRPr="00D70799" w:rsidRDefault="0023626A" w:rsidP="009E2178">
      <w:pPr>
        <w:pStyle w:val="naisf"/>
        <w:spacing w:before="0" w:after="0"/>
        <w:rPr>
          <w:b/>
          <w:sz w:val="20"/>
          <w:szCs w:val="20"/>
        </w:rPr>
      </w:pPr>
      <w:r w:rsidRPr="00D70799">
        <w:rPr>
          <w:b/>
          <w:sz w:val="20"/>
          <w:szCs w:val="20"/>
        </w:rPr>
        <w:t>I. Jautājumi, par kuriem saskaņošanā vienošanās nav panākta</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906"/>
        <w:gridCol w:w="3516"/>
        <w:gridCol w:w="2256"/>
        <w:gridCol w:w="1620"/>
        <w:gridCol w:w="3048"/>
      </w:tblGrid>
      <w:tr w:rsidR="0023626A" w:rsidRPr="00D70799" w14:paraId="67AB741B" w14:textId="77777777" w:rsidTr="00B27E66">
        <w:trPr>
          <w:trHeight w:val="1230"/>
        </w:trPr>
        <w:tc>
          <w:tcPr>
            <w:tcW w:w="231" w:type="pct"/>
            <w:vAlign w:val="center"/>
          </w:tcPr>
          <w:p w14:paraId="6C404E3D" w14:textId="77777777" w:rsidR="0023626A" w:rsidRPr="00D70799" w:rsidRDefault="0023626A" w:rsidP="009E2178">
            <w:pPr>
              <w:pStyle w:val="naisc"/>
              <w:spacing w:before="0" w:after="0"/>
              <w:jc w:val="both"/>
              <w:rPr>
                <w:sz w:val="20"/>
                <w:szCs w:val="20"/>
              </w:rPr>
            </w:pPr>
            <w:r w:rsidRPr="00D70799">
              <w:rPr>
                <w:sz w:val="20"/>
                <w:szCs w:val="20"/>
              </w:rPr>
              <w:t>Nr.</w:t>
            </w:r>
            <w:r w:rsidR="0050794A" w:rsidRPr="00D70799">
              <w:rPr>
                <w:sz w:val="20"/>
                <w:szCs w:val="20"/>
              </w:rPr>
              <w:t xml:space="preserve"> </w:t>
            </w:r>
            <w:r w:rsidRPr="00D70799">
              <w:rPr>
                <w:sz w:val="20"/>
                <w:szCs w:val="20"/>
              </w:rPr>
              <w:t>p.k.</w:t>
            </w:r>
          </w:p>
        </w:tc>
        <w:tc>
          <w:tcPr>
            <w:tcW w:w="1038" w:type="pct"/>
            <w:vAlign w:val="center"/>
          </w:tcPr>
          <w:p w14:paraId="7A066E4C" w14:textId="77777777" w:rsidR="0023626A" w:rsidRPr="00D70799" w:rsidRDefault="0023626A" w:rsidP="009E2178">
            <w:pPr>
              <w:pStyle w:val="naisc"/>
              <w:spacing w:before="0" w:after="0"/>
              <w:jc w:val="both"/>
              <w:rPr>
                <w:sz w:val="20"/>
                <w:szCs w:val="20"/>
              </w:rPr>
            </w:pPr>
            <w:r w:rsidRPr="00D70799">
              <w:rPr>
                <w:sz w:val="20"/>
                <w:szCs w:val="20"/>
              </w:rPr>
              <w:t>Saskaņošanai nosūtītā projekta redakcija (konkrēta vērtēšanas kritērija redakcija)</w:t>
            </w:r>
          </w:p>
        </w:tc>
        <w:tc>
          <w:tcPr>
            <w:tcW w:w="1256" w:type="pct"/>
            <w:vAlign w:val="center"/>
          </w:tcPr>
          <w:p w14:paraId="63C2486D" w14:textId="77777777" w:rsidR="0023626A" w:rsidRPr="00D70799" w:rsidRDefault="0023626A" w:rsidP="009E2178">
            <w:pPr>
              <w:pStyle w:val="naisc"/>
              <w:spacing w:before="0" w:after="0"/>
              <w:jc w:val="both"/>
              <w:rPr>
                <w:sz w:val="20"/>
                <w:szCs w:val="20"/>
              </w:rPr>
            </w:pPr>
            <w:r w:rsidRPr="00D70799">
              <w:rPr>
                <w:sz w:val="20"/>
                <w:szCs w:val="20"/>
              </w:rPr>
              <w:t>Atzinumā norādītais ministrijas (citas institūcijas) iebildums, kā arī saskaņošanā papildus izteiktais iebildums par projekta konkrēto punktu (pantu)</w:t>
            </w:r>
          </w:p>
        </w:tc>
        <w:tc>
          <w:tcPr>
            <w:tcW w:w="806" w:type="pct"/>
            <w:vAlign w:val="center"/>
          </w:tcPr>
          <w:p w14:paraId="2F617050" w14:textId="77777777" w:rsidR="0023626A" w:rsidRPr="00D70799" w:rsidRDefault="0023626A" w:rsidP="009E2178">
            <w:pPr>
              <w:pStyle w:val="naisc"/>
              <w:spacing w:before="0" w:after="0"/>
              <w:jc w:val="both"/>
              <w:rPr>
                <w:sz w:val="20"/>
                <w:szCs w:val="20"/>
              </w:rPr>
            </w:pPr>
            <w:r w:rsidRPr="00D70799">
              <w:rPr>
                <w:sz w:val="20"/>
                <w:szCs w:val="20"/>
              </w:rPr>
              <w:t>Atbildīgās ministrijas pamatojums iebilduma noraidījumam</w:t>
            </w:r>
          </w:p>
        </w:tc>
        <w:tc>
          <w:tcPr>
            <w:tcW w:w="579" w:type="pct"/>
          </w:tcPr>
          <w:p w14:paraId="481E8A6C" w14:textId="77777777" w:rsidR="0023626A" w:rsidRPr="00D70799" w:rsidRDefault="0023626A" w:rsidP="009E2178">
            <w:pPr>
              <w:pStyle w:val="naisc"/>
              <w:spacing w:before="0" w:after="0"/>
              <w:jc w:val="both"/>
              <w:rPr>
                <w:sz w:val="20"/>
                <w:szCs w:val="20"/>
              </w:rPr>
            </w:pPr>
            <w:r w:rsidRPr="00D70799">
              <w:rPr>
                <w:sz w:val="20"/>
                <w:szCs w:val="20"/>
              </w:rPr>
              <w:t>Atzinuma sniedzēja uzturētais iebildums, ja tas atšķiras no atzinumā norādītā iebilduma pamatojuma</w:t>
            </w:r>
          </w:p>
        </w:tc>
        <w:tc>
          <w:tcPr>
            <w:tcW w:w="1089" w:type="pct"/>
            <w:vAlign w:val="center"/>
          </w:tcPr>
          <w:p w14:paraId="56B13783" w14:textId="77777777" w:rsidR="0023626A" w:rsidRPr="00D70799" w:rsidRDefault="0023626A" w:rsidP="009E2178">
            <w:pPr>
              <w:pStyle w:val="naisc"/>
              <w:spacing w:before="0" w:after="0"/>
              <w:jc w:val="both"/>
              <w:rPr>
                <w:sz w:val="20"/>
                <w:szCs w:val="20"/>
              </w:rPr>
            </w:pPr>
            <w:r w:rsidRPr="00D70799">
              <w:rPr>
                <w:sz w:val="20"/>
                <w:szCs w:val="20"/>
              </w:rPr>
              <w:t>Projekta attiecīgā punkta (panta) galīgā redakcija</w:t>
            </w:r>
          </w:p>
        </w:tc>
      </w:tr>
      <w:tr w:rsidR="0023626A" w:rsidRPr="00D70799" w14:paraId="05F33605" w14:textId="77777777" w:rsidTr="00B27E66">
        <w:trPr>
          <w:trHeight w:val="285"/>
        </w:trPr>
        <w:tc>
          <w:tcPr>
            <w:tcW w:w="231" w:type="pct"/>
            <w:shd w:val="clear" w:color="auto" w:fill="auto"/>
            <w:vAlign w:val="center"/>
          </w:tcPr>
          <w:p w14:paraId="37920FA5" w14:textId="77777777" w:rsidR="0023626A" w:rsidRPr="00D70799" w:rsidRDefault="0023626A" w:rsidP="009E2178">
            <w:pPr>
              <w:pStyle w:val="naisc"/>
              <w:spacing w:before="0" w:after="0"/>
              <w:rPr>
                <w:sz w:val="20"/>
                <w:szCs w:val="20"/>
              </w:rPr>
            </w:pPr>
            <w:r w:rsidRPr="00D70799">
              <w:rPr>
                <w:sz w:val="20"/>
                <w:szCs w:val="20"/>
              </w:rPr>
              <w:t>1.</w:t>
            </w:r>
          </w:p>
        </w:tc>
        <w:tc>
          <w:tcPr>
            <w:tcW w:w="1038" w:type="pct"/>
            <w:shd w:val="clear" w:color="auto" w:fill="auto"/>
            <w:vAlign w:val="center"/>
          </w:tcPr>
          <w:p w14:paraId="796EECA1" w14:textId="77777777" w:rsidR="0023626A" w:rsidRPr="00D70799" w:rsidRDefault="0023626A" w:rsidP="009E2178">
            <w:pPr>
              <w:pStyle w:val="naisc"/>
              <w:spacing w:before="0" w:after="0"/>
              <w:rPr>
                <w:sz w:val="20"/>
                <w:szCs w:val="20"/>
              </w:rPr>
            </w:pPr>
            <w:r w:rsidRPr="00D70799">
              <w:rPr>
                <w:sz w:val="20"/>
                <w:szCs w:val="20"/>
              </w:rPr>
              <w:t>2.</w:t>
            </w:r>
          </w:p>
        </w:tc>
        <w:tc>
          <w:tcPr>
            <w:tcW w:w="1256" w:type="pct"/>
            <w:shd w:val="clear" w:color="auto" w:fill="auto"/>
            <w:vAlign w:val="center"/>
          </w:tcPr>
          <w:p w14:paraId="2F78C577" w14:textId="77777777" w:rsidR="0023626A" w:rsidRPr="00D70799" w:rsidRDefault="0023626A" w:rsidP="009E2178">
            <w:pPr>
              <w:pStyle w:val="naisc"/>
              <w:spacing w:before="0" w:after="0"/>
              <w:rPr>
                <w:sz w:val="20"/>
                <w:szCs w:val="20"/>
              </w:rPr>
            </w:pPr>
            <w:r w:rsidRPr="00D70799">
              <w:rPr>
                <w:sz w:val="20"/>
                <w:szCs w:val="20"/>
              </w:rPr>
              <w:t>3.</w:t>
            </w:r>
          </w:p>
        </w:tc>
        <w:tc>
          <w:tcPr>
            <w:tcW w:w="806" w:type="pct"/>
            <w:shd w:val="clear" w:color="auto" w:fill="auto"/>
            <w:vAlign w:val="center"/>
          </w:tcPr>
          <w:p w14:paraId="473C2C23" w14:textId="77777777" w:rsidR="0023626A" w:rsidRPr="00D70799" w:rsidRDefault="0023626A" w:rsidP="009E2178">
            <w:pPr>
              <w:pStyle w:val="naisc"/>
              <w:spacing w:before="0" w:after="0"/>
              <w:rPr>
                <w:sz w:val="20"/>
                <w:szCs w:val="20"/>
              </w:rPr>
            </w:pPr>
            <w:r w:rsidRPr="00D70799">
              <w:rPr>
                <w:sz w:val="20"/>
                <w:szCs w:val="20"/>
              </w:rPr>
              <w:t>4.</w:t>
            </w:r>
          </w:p>
        </w:tc>
        <w:tc>
          <w:tcPr>
            <w:tcW w:w="579" w:type="pct"/>
            <w:shd w:val="clear" w:color="auto" w:fill="auto"/>
          </w:tcPr>
          <w:p w14:paraId="6A76269C" w14:textId="77777777" w:rsidR="0023626A" w:rsidRPr="00D70799" w:rsidRDefault="0023626A" w:rsidP="009E2178">
            <w:pPr>
              <w:pStyle w:val="naisc"/>
              <w:spacing w:before="0" w:after="0"/>
              <w:rPr>
                <w:sz w:val="20"/>
                <w:szCs w:val="20"/>
              </w:rPr>
            </w:pPr>
            <w:r w:rsidRPr="00D70799">
              <w:rPr>
                <w:sz w:val="20"/>
                <w:szCs w:val="20"/>
              </w:rPr>
              <w:t>5.</w:t>
            </w:r>
          </w:p>
        </w:tc>
        <w:tc>
          <w:tcPr>
            <w:tcW w:w="1089" w:type="pct"/>
            <w:shd w:val="clear" w:color="auto" w:fill="auto"/>
            <w:vAlign w:val="center"/>
          </w:tcPr>
          <w:p w14:paraId="51B41E17" w14:textId="77777777" w:rsidR="0023626A" w:rsidRPr="00D70799" w:rsidRDefault="0023626A" w:rsidP="009E2178">
            <w:pPr>
              <w:pStyle w:val="naisc"/>
              <w:spacing w:before="0" w:after="0"/>
              <w:rPr>
                <w:sz w:val="20"/>
                <w:szCs w:val="20"/>
              </w:rPr>
            </w:pPr>
            <w:r w:rsidRPr="00D70799">
              <w:rPr>
                <w:sz w:val="20"/>
                <w:szCs w:val="20"/>
              </w:rPr>
              <w:t>6.</w:t>
            </w:r>
          </w:p>
        </w:tc>
      </w:tr>
      <w:tr w:rsidR="009F5B1E" w:rsidRPr="00D70799" w14:paraId="27B25CAF" w14:textId="77777777" w:rsidTr="009F5B1E">
        <w:trPr>
          <w:trHeight w:val="285"/>
        </w:trPr>
        <w:tc>
          <w:tcPr>
            <w:tcW w:w="231" w:type="pct"/>
            <w:shd w:val="clear" w:color="auto" w:fill="auto"/>
          </w:tcPr>
          <w:p w14:paraId="6A9A8CBE" w14:textId="64854048" w:rsidR="009F5B1E" w:rsidRPr="00D70799" w:rsidRDefault="009F5B1E" w:rsidP="009F5B1E">
            <w:pPr>
              <w:pStyle w:val="naisc"/>
              <w:spacing w:before="0" w:after="0"/>
              <w:jc w:val="left"/>
              <w:rPr>
                <w:sz w:val="20"/>
                <w:szCs w:val="20"/>
              </w:rPr>
            </w:pPr>
            <w:r>
              <w:rPr>
                <w:sz w:val="20"/>
                <w:szCs w:val="20"/>
              </w:rPr>
              <w:t>1.</w:t>
            </w:r>
          </w:p>
        </w:tc>
        <w:tc>
          <w:tcPr>
            <w:tcW w:w="1038" w:type="pct"/>
            <w:shd w:val="clear" w:color="auto" w:fill="auto"/>
            <w:vAlign w:val="center"/>
          </w:tcPr>
          <w:p w14:paraId="3DA4DCBD" w14:textId="77777777" w:rsidR="009F5B1E" w:rsidRPr="00FF1073" w:rsidRDefault="009F5B1E" w:rsidP="009F5B1E">
            <w:pPr>
              <w:pStyle w:val="naisc"/>
              <w:jc w:val="both"/>
              <w:rPr>
                <w:sz w:val="20"/>
                <w:szCs w:val="20"/>
              </w:rPr>
            </w:pPr>
            <w:r w:rsidRPr="00FF1073">
              <w:rPr>
                <w:sz w:val="20"/>
                <w:szCs w:val="20"/>
              </w:rPr>
              <w:t>“7.2. skolēnu (bērnu) skaitam, kas apgūst speciālās izglītības programmas speciālās izglītības klasēs (grupās) vai iekļaujoši vispārējās izglītības iestādēs, piemēro:</w:t>
            </w:r>
          </w:p>
          <w:p w14:paraId="78B51918" w14:textId="77777777" w:rsidR="009F5B1E" w:rsidRPr="00FF1073" w:rsidRDefault="009F5B1E" w:rsidP="009F5B1E">
            <w:pPr>
              <w:pStyle w:val="naisc"/>
              <w:jc w:val="both"/>
              <w:rPr>
                <w:sz w:val="20"/>
                <w:szCs w:val="20"/>
              </w:rPr>
            </w:pPr>
            <w:r w:rsidRPr="00FF1073">
              <w:rPr>
                <w:sz w:val="20"/>
                <w:szCs w:val="20"/>
              </w:rPr>
              <w:t xml:space="preserve">7.2.1. koeficientu 2 – izglītojamiem speciālās izglītības programmās izglītojamiem ar fiziskās attīstības traucējumiem, somatiskām saslimšanām, valodas traucējumiem, mācīšanās traucējumiem, garīgās veselības traucējumiem; </w:t>
            </w:r>
          </w:p>
          <w:p w14:paraId="5690B723" w14:textId="77777777" w:rsidR="009F5B1E" w:rsidRPr="00FF1073" w:rsidRDefault="009F5B1E" w:rsidP="009F5B1E">
            <w:pPr>
              <w:pStyle w:val="naisc"/>
              <w:jc w:val="both"/>
              <w:rPr>
                <w:sz w:val="20"/>
                <w:szCs w:val="20"/>
              </w:rPr>
            </w:pPr>
            <w:r w:rsidRPr="00FF1073">
              <w:rPr>
                <w:sz w:val="20"/>
                <w:szCs w:val="20"/>
              </w:rPr>
              <w:t>7.2.2. koeficientu 3 – izglītojamiem speciālās izglītības programmās izglītojamiem ar redzes traucējumiem, dzirdes traucējumiem, garīgās attīstības traucējumiem un bērniem no piecu gadu vecuma speciālās pirmsskolas izglītības programmās izglītojamiem ar jauktiem attīstības traucējumiem;</w:t>
            </w:r>
          </w:p>
          <w:p w14:paraId="46164E08" w14:textId="08CE98A7" w:rsidR="009F5B1E" w:rsidRPr="00D70799" w:rsidRDefault="009F5B1E" w:rsidP="009F5B1E">
            <w:pPr>
              <w:pStyle w:val="naisc"/>
              <w:spacing w:before="0" w:after="0"/>
              <w:jc w:val="both"/>
              <w:rPr>
                <w:sz w:val="20"/>
                <w:szCs w:val="20"/>
              </w:rPr>
            </w:pPr>
            <w:r w:rsidRPr="00FF1073">
              <w:rPr>
                <w:sz w:val="20"/>
                <w:szCs w:val="20"/>
              </w:rPr>
              <w:lastRenderedPageBreak/>
              <w:t>7.2.3. koeficientu 5 – izglītojamiem speciālās izglītības programmās izglītojamiem ar smagiem garīgās attīstības traucējumiem vai vairākiem sm</w:t>
            </w:r>
            <w:r>
              <w:rPr>
                <w:sz w:val="20"/>
                <w:szCs w:val="20"/>
              </w:rPr>
              <w:t>agiem attīstības</w:t>
            </w:r>
          </w:p>
        </w:tc>
        <w:tc>
          <w:tcPr>
            <w:tcW w:w="1256" w:type="pct"/>
            <w:shd w:val="clear" w:color="auto" w:fill="auto"/>
            <w:vAlign w:val="center"/>
          </w:tcPr>
          <w:p w14:paraId="2B6EA099" w14:textId="77777777" w:rsidR="009F5B1E" w:rsidRDefault="009F5B1E" w:rsidP="009F5B1E">
            <w:pPr>
              <w:pStyle w:val="naisc"/>
              <w:jc w:val="both"/>
              <w:rPr>
                <w:b/>
                <w:sz w:val="20"/>
                <w:szCs w:val="20"/>
              </w:rPr>
            </w:pPr>
            <w:r w:rsidRPr="00FF1073">
              <w:rPr>
                <w:b/>
                <w:sz w:val="20"/>
                <w:szCs w:val="20"/>
              </w:rPr>
              <w:lastRenderedPageBreak/>
              <w:t>Latvijas Izglītības un zinātnes darbinieku arodbiedrība</w:t>
            </w:r>
            <w:r>
              <w:rPr>
                <w:b/>
                <w:sz w:val="20"/>
                <w:szCs w:val="20"/>
              </w:rPr>
              <w:t xml:space="preserve"> (turpmāk – LIZDA)</w:t>
            </w:r>
            <w:r w:rsidRPr="00FF1073">
              <w:rPr>
                <w:b/>
                <w:sz w:val="20"/>
                <w:szCs w:val="20"/>
              </w:rPr>
              <w:t>:</w:t>
            </w:r>
          </w:p>
          <w:p w14:paraId="4E13E1F3" w14:textId="77777777" w:rsidR="009F5B1E" w:rsidRPr="00FF1073" w:rsidRDefault="009F5B1E" w:rsidP="009F5B1E">
            <w:pPr>
              <w:pStyle w:val="naisc"/>
              <w:jc w:val="both"/>
              <w:rPr>
                <w:sz w:val="20"/>
                <w:szCs w:val="20"/>
              </w:rPr>
            </w:pPr>
            <w:r>
              <w:rPr>
                <w:sz w:val="20"/>
                <w:szCs w:val="20"/>
              </w:rPr>
              <w:t>R</w:t>
            </w:r>
            <w:r w:rsidRPr="00FF1073">
              <w:rPr>
                <w:sz w:val="20"/>
                <w:szCs w:val="20"/>
              </w:rPr>
              <w:t>osinām 1.2. grozījumā 7.2. apakšpunktu izteikt šādā redakcijā:</w:t>
            </w:r>
          </w:p>
          <w:p w14:paraId="6BD01558" w14:textId="77777777" w:rsidR="009F5B1E" w:rsidRPr="00FF1073" w:rsidRDefault="009F5B1E" w:rsidP="009F5B1E">
            <w:pPr>
              <w:pStyle w:val="naisc"/>
              <w:jc w:val="both"/>
              <w:rPr>
                <w:sz w:val="20"/>
                <w:szCs w:val="20"/>
              </w:rPr>
            </w:pPr>
            <w:r w:rsidRPr="00FF1073">
              <w:rPr>
                <w:sz w:val="20"/>
                <w:szCs w:val="20"/>
              </w:rPr>
              <w:t>“7.2. skolēnu (bērnu) skaitam, kas apgūst speciālās izglītības programmas speciālās izglītības klasēs (grupās) vai iekļaujoši vispārējās izglītības iestādēs, piemēro:</w:t>
            </w:r>
          </w:p>
          <w:p w14:paraId="28CFCAA7" w14:textId="77777777" w:rsidR="009F5B1E" w:rsidRPr="00FF1073" w:rsidRDefault="009F5B1E" w:rsidP="009F5B1E">
            <w:pPr>
              <w:pStyle w:val="naisc"/>
              <w:jc w:val="both"/>
              <w:rPr>
                <w:sz w:val="20"/>
                <w:szCs w:val="20"/>
              </w:rPr>
            </w:pPr>
            <w:r w:rsidRPr="00FF1073">
              <w:rPr>
                <w:sz w:val="20"/>
                <w:szCs w:val="20"/>
              </w:rPr>
              <w:t>7.2.1. koeficientu 3 – izglītojamiem speciālās izglītības programmās izglītojamiem ar fiziskās attīstības traucējumiem, somatiskām saslimšanām, valodas traucējumiem, mācīšanās traucējumiem, garīgās veselības traucējumiem;</w:t>
            </w:r>
          </w:p>
          <w:p w14:paraId="469E41E8" w14:textId="77777777" w:rsidR="009F5B1E" w:rsidRDefault="009F5B1E" w:rsidP="009F5B1E">
            <w:pPr>
              <w:pStyle w:val="naisc"/>
              <w:spacing w:before="0" w:after="0"/>
              <w:jc w:val="both"/>
              <w:rPr>
                <w:sz w:val="20"/>
                <w:szCs w:val="20"/>
              </w:rPr>
            </w:pPr>
            <w:r w:rsidRPr="00FF1073">
              <w:rPr>
                <w:sz w:val="20"/>
                <w:szCs w:val="20"/>
              </w:rPr>
              <w:t xml:space="preserve">7.2.2. koeficientu 3,5 – izglītojamiem speciālās izglītības programmās izglītojamiem ar redzes traucējumiem, dzirdes traucējumiem, garīgās attīstības traucējumiem un bērniem no piecu gadu vecuma speciālās pirmsskolas izglītības programmās izglītojamiem ar jauktiem attīstības traucējumiem. </w:t>
            </w:r>
          </w:p>
          <w:p w14:paraId="60BC7028" w14:textId="405347EF" w:rsidR="009F5B1E" w:rsidRPr="00D70799" w:rsidRDefault="009F5B1E" w:rsidP="009F5B1E">
            <w:pPr>
              <w:pStyle w:val="naisc"/>
              <w:spacing w:before="0" w:after="0"/>
              <w:jc w:val="both"/>
              <w:rPr>
                <w:sz w:val="20"/>
                <w:szCs w:val="20"/>
              </w:rPr>
            </w:pPr>
            <w:r w:rsidRPr="00FF1073">
              <w:rPr>
                <w:sz w:val="20"/>
                <w:szCs w:val="20"/>
              </w:rPr>
              <w:lastRenderedPageBreak/>
              <w:t xml:space="preserve">Uzskatām, ka grozījumu projektā noteiktie koeficienti finansējumu nepalielinās tādā mērā, lai nodrošinātu iekļaujošo izglītību speciālās izglītības programmu speciālās izglītības klašu (grupās) vai iekļaujoši vispārējās izglītības iestādēs. Lai to pamatotu, IZM ir nepieciešams papildināt anotāciju ar aprēķiniem par esošo situāciju, salīdzinot ar grozījumu projekta rezultātā plānoto. Vēršam uzmanību, ka koeficienta 2 nodrošinātais finansējums izglītojamajiem speciālās izglītības programmās ar fiziskās attīstības traucējumiem, valodas traucējumiem, mācīšanās traucējumiem un garīgās veselības traucējumiem ir nepietiekams, lai nodrošinātu kvalitatīvu iekļaujošu izglītību - visu nepieciešamo atbalstu katram skolēnam ar noteiktiem attīstības traucējumiem. Koeficienta 2 piemērošana papildus dod vidēji 3 apmaksātas pedagoga darba stundas nedēļā katram izglītojamam ar speciālām vajadzībām, kas lielākoties ir nepietiekami, lai sniegtu visu nepieciešamo atbalstu ikdienas mācību procesā un apmaksātu pedagogu darbu. Kā kompromisa variants LIZDA rosinātajai koeficientu palielināšanai  līdz 3 (izglītības programmas kodi: 53, 54, 55, 56, 57) un 3.5 (izglītības programmas kodi: 51, 52, 58, 56) būtu iespēja paredzēt izglītības iestādēm, kuras īsteno pirmsskolas un pamatizglītības pirmā posma programmas un kurās ir izglītojamie ar speciālajām vajadzībām, vēl papildus vienu slodzi atbalsta speciālistam. Tas dotu iespēju izglītības iestādei atbilstoši katra izglītojamā vajadzībām piesaistīt konkrētu </w:t>
            </w:r>
            <w:r w:rsidRPr="00FF1073">
              <w:rPr>
                <w:sz w:val="20"/>
                <w:szCs w:val="20"/>
              </w:rPr>
              <w:lastRenderedPageBreak/>
              <w:t>speciālistu (speciālo pedagogu, logopēdu, psihologu vai citu speciālistu), lai nodrošinātu izglītojamiem agrīnās diagnostikas un intervences pakalpojumus, mazinātu  problēmas izglītības procesā un uzlabotu izglītojamo mācību sasniegumus;</w:t>
            </w:r>
          </w:p>
        </w:tc>
        <w:tc>
          <w:tcPr>
            <w:tcW w:w="806" w:type="pct"/>
            <w:shd w:val="clear" w:color="auto" w:fill="auto"/>
            <w:vAlign w:val="center"/>
          </w:tcPr>
          <w:p w14:paraId="1BB27CA5" w14:textId="23466F38" w:rsidR="009F5B1E" w:rsidRPr="00FD183C" w:rsidRDefault="009F5B1E" w:rsidP="009F5B1E">
            <w:pPr>
              <w:pStyle w:val="naisc"/>
              <w:spacing w:before="0" w:after="0"/>
              <w:jc w:val="both"/>
              <w:rPr>
                <w:b/>
                <w:sz w:val="20"/>
                <w:szCs w:val="20"/>
              </w:rPr>
            </w:pPr>
            <w:r>
              <w:rPr>
                <w:b/>
                <w:sz w:val="20"/>
                <w:szCs w:val="20"/>
              </w:rPr>
              <w:lastRenderedPageBreak/>
              <w:t>Nav ņemts vērā.</w:t>
            </w:r>
          </w:p>
          <w:p w14:paraId="382793E9" w14:textId="58339B04" w:rsidR="009F5B1E" w:rsidRPr="00D70799" w:rsidRDefault="009F5B1E" w:rsidP="009F5B1E">
            <w:pPr>
              <w:pStyle w:val="naisc"/>
              <w:spacing w:before="0" w:after="0"/>
              <w:jc w:val="both"/>
              <w:rPr>
                <w:sz w:val="20"/>
                <w:szCs w:val="20"/>
              </w:rPr>
            </w:pPr>
            <w:r w:rsidRPr="004928A9">
              <w:rPr>
                <w:sz w:val="20"/>
                <w:szCs w:val="20"/>
              </w:rPr>
              <w:t xml:space="preserve">Skaidrojam, ka noteikumu projekts ir jāīsteno esošā finansējuma ietvaros. Attiecīgi ietaupījums, kas tiek iegūts speciālās izglītības iestāžu reformas rezultātā tiek novirzīts citiem mērķiem, tai skaitā papildu finansējumu piešķiršanai </w:t>
            </w:r>
            <w:r>
              <w:rPr>
                <w:sz w:val="20"/>
                <w:szCs w:val="20"/>
              </w:rPr>
              <w:t xml:space="preserve">izglītojamiem, kas apgūst speciālās izglītības programmas speciālās izglītības klasēs (grupās) vai iekļaujoši vispārējās izglītības iestādēs. Vēršam uzmanību, ka šādu koeficientu noteikšana bija darba grupas ierosinājums un pēc provizoriskajiem aprēķiniem papildu tiks novirzīts pedagogu darba samaksai 2 milj. euro </w:t>
            </w:r>
            <w:r>
              <w:rPr>
                <w:sz w:val="20"/>
                <w:szCs w:val="20"/>
              </w:rPr>
              <w:lastRenderedPageBreak/>
              <w:t>gadā. Lielāka koeficientu noteikšana prasīs papildu finanšu līdzekļus</w:t>
            </w:r>
            <w:r>
              <w:rPr>
                <w:sz w:val="20"/>
                <w:szCs w:val="20"/>
              </w:rPr>
              <w:t xml:space="preserve"> aptuveni 9,4 milj. gadā </w:t>
            </w:r>
            <w:r>
              <w:rPr>
                <w:sz w:val="20"/>
                <w:szCs w:val="20"/>
              </w:rPr>
              <w:t xml:space="preserve"> un to īstenošana nav iespējama esošā finansējuma ietvaros.</w:t>
            </w:r>
          </w:p>
        </w:tc>
        <w:tc>
          <w:tcPr>
            <w:tcW w:w="579" w:type="pct"/>
            <w:shd w:val="clear" w:color="auto" w:fill="auto"/>
          </w:tcPr>
          <w:p w14:paraId="61622244" w14:textId="77777777" w:rsidR="009F5B1E" w:rsidRPr="00D70799" w:rsidRDefault="009F5B1E" w:rsidP="009E2178">
            <w:pPr>
              <w:pStyle w:val="naisc"/>
              <w:spacing w:before="0" w:after="0"/>
              <w:rPr>
                <w:sz w:val="20"/>
                <w:szCs w:val="20"/>
              </w:rPr>
            </w:pPr>
          </w:p>
        </w:tc>
        <w:tc>
          <w:tcPr>
            <w:tcW w:w="1089" w:type="pct"/>
            <w:shd w:val="clear" w:color="auto" w:fill="auto"/>
            <w:vAlign w:val="center"/>
          </w:tcPr>
          <w:p w14:paraId="316E8569" w14:textId="77777777" w:rsidR="009F5B1E" w:rsidRPr="00FF1073" w:rsidRDefault="009F5B1E" w:rsidP="009F5B1E">
            <w:pPr>
              <w:pStyle w:val="naisc"/>
              <w:jc w:val="both"/>
              <w:rPr>
                <w:sz w:val="20"/>
                <w:szCs w:val="20"/>
              </w:rPr>
            </w:pPr>
            <w:r w:rsidRPr="00FF1073">
              <w:rPr>
                <w:sz w:val="20"/>
                <w:szCs w:val="20"/>
              </w:rPr>
              <w:t>“7.2. skolēnu (bērnu) skaitam, kas apgūst speciālās izglītības programmas speciālās izglītības klasēs (grupās) vai iekļaujoši vispārējās izglītības iestādēs, piemēro:</w:t>
            </w:r>
          </w:p>
          <w:p w14:paraId="7800E0B0" w14:textId="77777777" w:rsidR="009F5B1E" w:rsidRPr="00FF1073" w:rsidRDefault="009F5B1E" w:rsidP="009F5B1E">
            <w:pPr>
              <w:pStyle w:val="naisc"/>
              <w:jc w:val="both"/>
              <w:rPr>
                <w:sz w:val="20"/>
                <w:szCs w:val="20"/>
              </w:rPr>
            </w:pPr>
            <w:r w:rsidRPr="00FF1073">
              <w:rPr>
                <w:sz w:val="20"/>
                <w:szCs w:val="20"/>
              </w:rPr>
              <w:t xml:space="preserve">7.2.1. koeficientu 2 – izglītojamiem speciālās izglītības programmās izglītojamiem ar fiziskās attīstības traucējumiem, somatiskām saslimšanām, valodas traucējumiem, mācīšanās traucējumiem, garīgās veselības traucējumiem; </w:t>
            </w:r>
          </w:p>
          <w:p w14:paraId="54B8AE15" w14:textId="77777777" w:rsidR="009F5B1E" w:rsidRPr="00FF1073" w:rsidRDefault="009F5B1E" w:rsidP="009F5B1E">
            <w:pPr>
              <w:pStyle w:val="naisc"/>
              <w:jc w:val="both"/>
              <w:rPr>
                <w:sz w:val="20"/>
                <w:szCs w:val="20"/>
              </w:rPr>
            </w:pPr>
            <w:r w:rsidRPr="00FF1073">
              <w:rPr>
                <w:sz w:val="20"/>
                <w:szCs w:val="20"/>
              </w:rPr>
              <w:t>7.2.2. koeficientu 3 – izglītojamiem speciālās izglītības programmās izglītojamiem ar redzes traucējumiem, dzirdes traucējumiem, garīgās attīstības traucējumiem un bērniem no piecu gadu vecuma speciālās pirmsskolas izglītības programmās izglītojamiem ar jauktiem attīstības traucējumiem;</w:t>
            </w:r>
          </w:p>
          <w:p w14:paraId="0CC975A1" w14:textId="4BFB3611" w:rsidR="009F5B1E" w:rsidRPr="00D70799" w:rsidRDefault="009F5B1E" w:rsidP="009F5B1E">
            <w:pPr>
              <w:pStyle w:val="naisc"/>
              <w:spacing w:before="0" w:after="0"/>
              <w:jc w:val="both"/>
              <w:rPr>
                <w:sz w:val="20"/>
                <w:szCs w:val="20"/>
              </w:rPr>
            </w:pPr>
            <w:r w:rsidRPr="00FF1073">
              <w:rPr>
                <w:sz w:val="20"/>
                <w:szCs w:val="20"/>
              </w:rPr>
              <w:lastRenderedPageBreak/>
              <w:t>7.2.3. koeficientu 5 – izglītojamiem speciālās izglītības programmās izglītojamiem ar smagiem garīgās attīstības traucējumiem vai vairākiem sm</w:t>
            </w:r>
            <w:r>
              <w:rPr>
                <w:sz w:val="20"/>
                <w:szCs w:val="20"/>
              </w:rPr>
              <w:t>agiem attīstības traucējumiem;”</w:t>
            </w:r>
          </w:p>
        </w:tc>
      </w:tr>
      <w:tr w:rsidR="009F5B1E" w:rsidRPr="00D70799" w14:paraId="7C1FF01A" w14:textId="77777777" w:rsidTr="009F5B1E">
        <w:trPr>
          <w:trHeight w:val="285"/>
        </w:trPr>
        <w:tc>
          <w:tcPr>
            <w:tcW w:w="231" w:type="pct"/>
            <w:shd w:val="clear" w:color="auto" w:fill="auto"/>
          </w:tcPr>
          <w:p w14:paraId="27A4B42D" w14:textId="66FFF3CE" w:rsidR="009F5B1E" w:rsidRPr="00D70799" w:rsidRDefault="009F5B1E" w:rsidP="009F5B1E">
            <w:pPr>
              <w:pStyle w:val="naisc"/>
              <w:spacing w:before="0" w:after="0"/>
              <w:jc w:val="left"/>
              <w:rPr>
                <w:sz w:val="20"/>
                <w:szCs w:val="20"/>
              </w:rPr>
            </w:pPr>
            <w:r>
              <w:rPr>
                <w:sz w:val="20"/>
                <w:szCs w:val="20"/>
              </w:rPr>
              <w:lastRenderedPageBreak/>
              <w:t>2.</w:t>
            </w:r>
          </w:p>
        </w:tc>
        <w:tc>
          <w:tcPr>
            <w:tcW w:w="1038" w:type="pct"/>
            <w:shd w:val="clear" w:color="auto" w:fill="auto"/>
          </w:tcPr>
          <w:p w14:paraId="74A0DFC9" w14:textId="0F772518" w:rsidR="009F5B1E" w:rsidRPr="00D70799" w:rsidRDefault="009F5B1E" w:rsidP="009F5B1E">
            <w:pPr>
              <w:pStyle w:val="naisc"/>
              <w:spacing w:before="0" w:after="0"/>
              <w:jc w:val="left"/>
              <w:rPr>
                <w:sz w:val="20"/>
                <w:szCs w:val="20"/>
              </w:rPr>
            </w:pPr>
            <w:r>
              <w:rPr>
                <w:sz w:val="20"/>
                <w:szCs w:val="20"/>
              </w:rPr>
              <w:t>Noteikumu projekts</w:t>
            </w:r>
          </w:p>
        </w:tc>
        <w:tc>
          <w:tcPr>
            <w:tcW w:w="1256" w:type="pct"/>
            <w:shd w:val="clear" w:color="auto" w:fill="auto"/>
          </w:tcPr>
          <w:p w14:paraId="475151B3" w14:textId="77777777" w:rsidR="009F5B1E" w:rsidRDefault="009F5B1E" w:rsidP="009F5B1E">
            <w:pPr>
              <w:pStyle w:val="Default"/>
              <w:rPr>
                <w:b/>
                <w:color w:val="auto"/>
                <w:sz w:val="20"/>
                <w:szCs w:val="20"/>
              </w:rPr>
            </w:pPr>
            <w:r>
              <w:rPr>
                <w:b/>
                <w:color w:val="auto"/>
                <w:sz w:val="20"/>
                <w:szCs w:val="20"/>
              </w:rPr>
              <w:t>LIZDA:</w:t>
            </w:r>
          </w:p>
          <w:p w14:paraId="15B829E8" w14:textId="77777777" w:rsidR="009F5B1E" w:rsidRPr="001811A9" w:rsidRDefault="009F5B1E" w:rsidP="009F5B1E">
            <w:pPr>
              <w:pStyle w:val="Default"/>
              <w:rPr>
                <w:color w:val="auto"/>
                <w:sz w:val="20"/>
                <w:szCs w:val="20"/>
              </w:rPr>
            </w:pPr>
            <w:r w:rsidRPr="001811A9">
              <w:rPr>
                <w:color w:val="auto"/>
                <w:sz w:val="20"/>
                <w:szCs w:val="20"/>
              </w:rPr>
              <w:t>Rosinām papildināt ar 1.11 grozījumu un izsakot to  šādā redakcijā: “1., 4., 7., 10. klašu pedagogu mērķdotācijas aprēķinam piemēro koeficientu 1,5, kuru reizina ar kopējo jauno kompetencēs balstītā satura plānoto kontaktstundu skaitu.”</w:t>
            </w:r>
          </w:p>
          <w:p w14:paraId="5AB6201F" w14:textId="552C66A6" w:rsidR="009F5B1E" w:rsidRPr="00FF1073" w:rsidRDefault="009F5B1E" w:rsidP="009F5B1E">
            <w:pPr>
              <w:pStyle w:val="naisc"/>
              <w:jc w:val="left"/>
              <w:rPr>
                <w:b/>
                <w:sz w:val="20"/>
                <w:szCs w:val="20"/>
              </w:rPr>
            </w:pPr>
            <w:r w:rsidRPr="001811A9">
              <w:rPr>
                <w:sz w:val="20"/>
                <w:szCs w:val="20"/>
              </w:rPr>
              <w:t>Ņemot vērā, ka ar 2020.gada 1.septembri 1., 4., 7., 10. klasēs sāk realizēt jauno kompetencēs balstīto mācību saturu, aktualizējam, ka pedagogiem būs jāiegulda daudz papildus darba, jo nav pietiekami mācību priekšmetu programmu paraugi. Nepieciešams izvērtēt šo pedagogu darba slodzes organizēšanu, lai ir laiks gatavoties, veidot materiālus, apgūt jauno pieeju, jo profesionāli pilnveidoties šajā jomā visiem  pedagogiem vēl nav  bijis pietiekami laika.</w:t>
            </w:r>
          </w:p>
        </w:tc>
        <w:tc>
          <w:tcPr>
            <w:tcW w:w="806" w:type="pct"/>
            <w:shd w:val="clear" w:color="auto" w:fill="auto"/>
            <w:vAlign w:val="center"/>
          </w:tcPr>
          <w:p w14:paraId="4802CB94" w14:textId="6A9C5DEE" w:rsidR="009F5B1E" w:rsidRDefault="009F5B1E" w:rsidP="009F5B1E">
            <w:pPr>
              <w:jc w:val="both"/>
              <w:rPr>
                <w:b/>
                <w:sz w:val="20"/>
                <w:szCs w:val="20"/>
              </w:rPr>
            </w:pPr>
            <w:r>
              <w:rPr>
                <w:b/>
                <w:sz w:val="20"/>
                <w:szCs w:val="20"/>
              </w:rPr>
              <w:t>Nav ņemts vērā.</w:t>
            </w:r>
          </w:p>
          <w:p w14:paraId="2E48D13F" w14:textId="77777777" w:rsidR="009F5B1E" w:rsidRDefault="009F5B1E" w:rsidP="009F5B1E">
            <w:pPr>
              <w:jc w:val="both"/>
              <w:rPr>
                <w:sz w:val="20"/>
                <w:szCs w:val="20"/>
              </w:rPr>
            </w:pPr>
            <w:r w:rsidRPr="00D64550">
              <w:rPr>
                <w:sz w:val="20"/>
                <w:szCs w:val="20"/>
              </w:rPr>
              <w:t xml:space="preserve">Kompetencēs balstītā izglītības satura ieviešanai ir nodrošināts plašs valsts </w:t>
            </w:r>
            <w:r>
              <w:rPr>
                <w:sz w:val="20"/>
                <w:szCs w:val="20"/>
              </w:rPr>
              <w:t>atbalsts šādā apjomā. Projektā S</w:t>
            </w:r>
            <w:r w:rsidRPr="00D64550">
              <w:rPr>
                <w:sz w:val="20"/>
                <w:szCs w:val="20"/>
              </w:rPr>
              <w:t>kola2030 apgūti 12 747 004.18 EUR, 4 gadu  laikā līdztekus projekta finansējumam pedagogu profesionālajai pilnveidei kompetenču pieejā izlietoti 1 177 000 Eur valsts budžeta finansējuma. Tajā skaitā mācību priekšmetu programmu un mācību līdzekļu komplektu izstrādei pirmsskolai, pamatizglītībai un vidējai izglītībai visās mācību jomā</w:t>
            </w:r>
            <w:r>
              <w:rPr>
                <w:sz w:val="20"/>
                <w:szCs w:val="20"/>
              </w:rPr>
              <w:t>s un priekšmetos</w:t>
            </w:r>
            <w:r w:rsidRPr="00D64550">
              <w:rPr>
                <w:sz w:val="20"/>
                <w:szCs w:val="20"/>
              </w:rPr>
              <w:t xml:space="preserve">. Ņemot vērā, ka jaunais mācību saturs atšķirībā no esošā paredz galvenokārt pieejas maiņu, nevis jaunu akadēmisko zināšanu apguvi, kuras visiem pedagogiem jau ir, uzsvars ir likts uz pedagogu metodisko profesionālo pilnveidi gan Skola2030 kursos, </w:t>
            </w:r>
            <w:r w:rsidRPr="00D64550">
              <w:rPr>
                <w:sz w:val="20"/>
                <w:szCs w:val="20"/>
              </w:rPr>
              <w:lastRenderedPageBreak/>
              <w:t>semināros un vebināros, gan VISC rīkotajos kursos. Līdz 2020.gada 1.martam Skola2030 pedagogu profesionālās pilnveides kursos un semināros piedalījušies 10340 pedagogi. V</w:t>
            </w:r>
            <w:r>
              <w:rPr>
                <w:sz w:val="20"/>
                <w:szCs w:val="20"/>
              </w:rPr>
              <w:t>alsts izglītības satura centra</w:t>
            </w:r>
            <w:r w:rsidRPr="00D64550">
              <w:rPr>
                <w:sz w:val="20"/>
                <w:szCs w:val="20"/>
              </w:rPr>
              <w:t xml:space="preserve"> organizētos kursos par kompetenču pieeju izglītībā līdz gada beigām būs apguvuši 6112 pedagogi. Papildus satura ieviešanas atbalstam ir sagatavoti 1069 mācību jomu koordinatori un 305 mācību konsultanti, tajā skaitā 92 mācību konsultanti -</w:t>
            </w:r>
            <w:r>
              <w:rPr>
                <w:sz w:val="20"/>
                <w:szCs w:val="20"/>
              </w:rPr>
              <w:t xml:space="preserve"> </w:t>
            </w:r>
            <w:r w:rsidRPr="00D64550">
              <w:rPr>
                <w:sz w:val="20"/>
                <w:szCs w:val="20"/>
              </w:rPr>
              <w:t>eksperti visās pašvaldībās. Šogad ir uzsāktas mācības 200 mācību jomu koordinatoriem un 40 mācību konsultantiem profesionālās izglītības iestādēs.</w:t>
            </w:r>
          </w:p>
          <w:p w14:paraId="17FB3A14" w14:textId="3A90279E" w:rsidR="009F5B1E" w:rsidRDefault="009F5B1E" w:rsidP="009F5B1E">
            <w:pPr>
              <w:pStyle w:val="naisc"/>
              <w:spacing w:before="0" w:after="0"/>
              <w:jc w:val="both"/>
              <w:rPr>
                <w:b/>
                <w:sz w:val="20"/>
                <w:szCs w:val="20"/>
              </w:rPr>
            </w:pPr>
            <w:r w:rsidRPr="00811551">
              <w:rPr>
                <w:sz w:val="20"/>
                <w:szCs w:val="20"/>
              </w:rPr>
              <w:t xml:space="preserve">Aprēķinot mērķdotāciju pedagogu darba samaksai, sākot no 2016. gada 1.septembra tiek aprēķināts finansējums papildus pienākumu veikšanai ne mazāk kā 14,5 % apmērā, un 2019./2020.m.g. šis finansējums palielinājies līdz 16,6%, kuru iestādes vadītājs izvērtējot pedagogu ieguldījumu var izmantot pedagogu </w:t>
            </w:r>
            <w:r w:rsidRPr="00811551">
              <w:rPr>
                <w:sz w:val="20"/>
                <w:szCs w:val="20"/>
              </w:rPr>
              <w:lastRenderedPageBreak/>
              <w:t>atalgojuma paaugstināšanai un papildus pienākumu atmaksai.</w:t>
            </w:r>
          </w:p>
        </w:tc>
        <w:tc>
          <w:tcPr>
            <w:tcW w:w="579" w:type="pct"/>
            <w:shd w:val="clear" w:color="auto" w:fill="auto"/>
          </w:tcPr>
          <w:p w14:paraId="1BEFCB90" w14:textId="77777777" w:rsidR="009F5B1E" w:rsidRPr="00D70799" w:rsidRDefault="009F5B1E" w:rsidP="009E2178">
            <w:pPr>
              <w:pStyle w:val="naisc"/>
              <w:spacing w:before="0" w:after="0"/>
              <w:rPr>
                <w:sz w:val="20"/>
                <w:szCs w:val="20"/>
              </w:rPr>
            </w:pPr>
          </w:p>
        </w:tc>
        <w:tc>
          <w:tcPr>
            <w:tcW w:w="1089" w:type="pct"/>
            <w:shd w:val="clear" w:color="auto" w:fill="auto"/>
          </w:tcPr>
          <w:p w14:paraId="596112ED" w14:textId="6167C1DE" w:rsidR="009F5B1E" w:rsidRPr="00FF1073" w:rsidRDefault="009F5B1E" w:rsidP="009F5B1E">
            <w:pPr>
              <w:pStyle w:val="naisc"/>
              <w:jc w:val="both"/>
              <w:rPr>
                <w:sz w:val="20"/>
                <w:szCs w:val="20"/>
              </w:rPr>
            </w:pPr>
            <w:r>
              <w:rPr>
                <w:sz w:val="20"/>
                <w:szCs w:val="20"/>
              </w:rPr>
              <w:t>Noteikumu projekta 1.11. grozījums netiek papildināts.</w:t>
            </w:r>
          </w:p>
        </w:tc>
      </w:tr>
      <w:tr w:rsidR="00296335" w:rsidRPr="00D70799" w14:paraId="7129FD90" w14:textId="77777777" w:rsidTr="009F5B1E">
        <w:trPr>
          <w:trHeight w:val="285"/>
        </w:trPr>
        <w:tc>
          <w:tcPr>
            <w:tcW w:w="231" w:type="pct"/>
            <w:shd w:val="clear" w:color="auto" w:fill="auto"/>
          </w:tcPr>
          <w:p w14:paraId="7C05F197" w14:textId="39D4FC97" w:rsidR="00296335" w:rsidRDefault="009F5B1E" w:rsidP="000376F1">
            <w:pPr>
              <w:pStyle w:val="naisc"/>
              <w:spacing w:before="0" w:after="0"/>
              <w:rPr>
                <w:sz w:val="20"/>
                <w:szCs w:val="20"/>
              </w:rPr>
            </w:pPr>
            <w:r>
              <w:rPr>
                <w:sz w:val="20"/>
                <w:szCs w:val="20"/>
              </w:rPr>
              <w:lastRenderedPageBreak/>
              <w:t>3</w:t>
            </w:r>
            <w:r w:rsidR="00296335">
              <w:rPr>
                <w:sz w:val="20"/>
                <w:szCs w:val="20"/>
              </w:rPr>
              <w:t>.</w:t>
            </w:r>
          </w:p>
        </w:tc>
        <w:tc>
          <w:tcPr>
            <w:tcW w:w="1038" w:type="pct"/>
            <w:shd w:val="clear" w:color="auto" w:fill="auto"/>
          </w:tcPr>
          <w:p w14:paraId="6068DC6E" w14:textId="77777777" w:rsidR="00862AAC" w:rsidRPr="00862AAC" w:rsidRDefault="00862AAC" w:rsidP="009F5B1E">
            <w:pPr>
              <w:pStyle w:val="naisc"/>
              <w:jc w:val="both"/>
              <w:rPr>
                <w:sz w:val="20"/>
                <w:szCs w:val="20"/>
              </w:rPr>
            </w:pPr>
            <w:r w:rsidRPr="00862AAC">
              <w:rPr>
                <w:sz w:val="20"/>
                <w:szCs w:val="20"/>
              </w:rPr>
              <w:t>“7.2. skolēnu (bērnu) skaitam, kas apgūst speciālās izglītības programmas speciālās izglītības klasēs (grupās) vai iekļaujoši vispārējās izglītības iestādēs, piemēro:</w:t>
            </w:r>
          </w:p>
          <w:p w14:paraId="31DD5655" w14:textId="77777777" w:rsidR="00862AAC" w:rsidRPr="00862AAC" w:rsidRDefault="00862AAC" w:rsidP="009F5B1E">
            <w:pPr>
              <w:pStyle w:val="naisc"/>
              <w:jc w:val="both"/>
              <w:rPr>
                <w:sz w:val="20"/>
                <w:szCs w:val="20"/>
              </w:rPr>
            </w:pPr>
            <w:r w:rsidRPr="00862AAC">
              <w:rPr>
                <w:sz w:val="20"/>
                <w:szCs w:val="20"/>
              </w:rPr>
              <w:t xml:space="preserve">7.2.1. koeficientu 2 – izglītojamiem speciālās izglītības programmās izglītojamiem ar fiziskās attīstības traucējumiem, somatiskām saslimšanām, valodas traucējumiem, mācīšanās traucējumiem, garīgās veselības traucējumiem; </w:t>
            </w:r>
          </w:p>
          <w:p w14:paraId="1345C3B6" w14:textId="77777777" w:rsidR="00862AAC" w:rsidRPr="00862AAC" w:rsidRDefault="00862AAC" w:rsidP="009F5B1E">
            <w:pPr>
              <w:pStyle w:val="naisc"/>
              <w:jc w:val="both"/>
              <w:rPr>
                <w:sz w:val="20"/>
                <w:szCs w:val="20"/>
              </w:rPr>
            </w:pPr>
            <w:r w:rsidRPr="00862AAC">
              <w:rPr>
                <w:sz w:val="20"/>
                <w:szCs w:val="20"/>
              </w:rPr>
              <w:t>7.2.2. koeficientu 3 – izglītojamiem speciālās izglītības programmās izglītojamiem ar redzes traucējumiem, dzirdes traucējumiem, garīgās attīstības traucējumiem un bērniem no piecu gadu vecuma speciālās pirmsskolas izglītības programmās izglītojamiem ar jauktiem attīstības traucējumiem;</w:t>
            </w:r>
          </w:p>
          <w:p w14:paraId="0B122080" w14:textId="7671E5DF" w:rsidR="00296335" w:rsidRPr="00296335" w:rsidRDefault="00862AAC" w:rsidP="009F5B1E">
            <w:pPr>
              <w:pStyle w:val="naisc"/>
              <w:spacing w:before="0" w:after="0"/>
              <w:jc w:val="both"/>
              <w:rPr>
                <w:sz w:val="20"/>
                <w:szCs w:val="20"/>
              </w:rPr>
            </w:pPr>
            <w:r w:rsidRPr="00862AAC">
              <w:rPr>
                <w:sz w:val="20"/>
                <w:szCs w:val="20"/>
              </w:rPr>
              <w:t>7.2.3. koeficientu 5 – izglītojamiem speciālās izglītības programmās izglītojamiem ar smagiem garīgās attīstības traucējumiem vai vairākiem smagiem attīstības traucējumiem;”</w:t>
            </w:r>
          </w:p>
        </w:tc>
        <w:tc>
          <w:tcPr>
            <w:tcW w:w="1256" w:type="pct"/>
            <w:shd w:val="clear" w:color="auto" w:fill="auto"/>
          </w:tcPr>
          <w:p w14:paraId="3138E9F1" w14:textId="4D63BF16" w:rsidR="00296335" w:rsidRDefault="00296335" w:rsidP="00B27E66">
            <w:pPr>
              <w:pStyle w:val="Default"/>
              <w:adjustRightInd/>
              <w:jc w:val="both"/>
              <w:rPr>
                <w:b/>
                <w:color w:val="auto"/>
                <w:sz w:val="20"/>
                <w:szCs w:val="20"/>
              </w:rPr>
            </w:pPr>
            <w:r>
              <w:rPr>
                <w:b/>
                <w:color w:val="auto"/>
                <w:sz w:val="20"/>
                <w:szCs w:val="20"/>
              </w:rPr>
              <w:t>Latvijas Lielo pilsētu asociācija</w:t>
            </w:r>
            <w:r w:rsidR="00862AAC">
              <w:rPr>
                <w:b/>
                <w:color w:val="auto"/>
                <w:sz w:val="20"/>
                <w:szCs w:val="20"/>
              </w:rPr>
              <w:t xml:space="preserve"> (turpmāk – LLPA)</w:t>
            </w:r>
            <w:r>
              <w:rPr>
                <w:b/>
                <w:color w:val="auto"/>
                <w:sz w:val="20"/>
                <w:szCs w:val="20"/>
              </w:rPr>
              <w:t>:</w:t>
            </w:r>
          </w:p>
          <w:p w14:paraId="1CF51C18" w14:textId="77777777" w:rsidR="00862AAC" w:rsidRPr="00862AAC" w:rsidRDefault="00862AAC" w:rsidP="00862AAC">
            <w:pPr>
              <w:pStyle w:val="Default"/>
              <w:jc w:val="both"/>
              <w:rPr>
                <w:color w:val="auto"/>
                <w:sz w:val="20"/>
                <w:szCs w:val="20"/>
              </w:rPr>
            </w:pPr>
            <w:r w:rsidRPr="00862AAC">
              <w:rPr>
                <w:color w:val="auto"/>
                <w:sz w:val="20"/>
                <w:szCs w:val="20"/>
              </w:rPr>
              <w:t>Ir jāpalielina noteiktie koeficienti, nodrošinot iespēju kvalitatīvi finansēt iekļaujošo izglītību:</w:t>
            </w:r>
          </w:p>
          <w:p w14:paraId="02438469" w14:textId="77777777" w:rsidR="00862AAC" w:rsidRPr="00862AAC" w:rsidRDefault="00862AAC" w:rsidP="00862AAC">
            <w:pPr>
              <w:pStyle w:val="Default"/>
              <w:jc w:val="both"/>
              <w:rPr>
                <w:color w:val="auto"/>
                <w:sz w:val="20"/>
                <w:szCs w:val="20"/>
              </w:rPr>
            </w:pPr>
            <w:r w:rsidRPr="00862AAC">
              <w:rPr>
                <w:color w:val="auto"/>
                <w:sz w:val="20"/>
                <w:szCs w:val="20"/>
              </w:rPr>
              <w:t>7.2.1. koeficientu - 3</w:t>
            </w:r>
          </w:p>
          <w:p w14:paraId="51757EAE" w14:textId="733B72C1" w:rsidR="00296335" w:rsidRPr="004930E9" w:rsidRDefault="00862AAC" w:rsidP="00862AAC">
            <w:pPr>
              <w:pStyle w:val="Default"/>
              <w:adjustRightInd/>
              <w:jc w:val="both"/>
              <w:rPr>
                <w:b/>
                <w:color w:val="auto"/>
                <w:sz w:val="20"/>
                <w:szCs w:val="20"/>
              </w:rPr>
            </w:pPr>
            <w:r w:rsidRPr="00862AAC">
              <w:rPr>
                <w:color w:val="auto"/>
                <w:sz w:val="20"/>
                <w:szCs w:val="20"/>
              </w:rPr>
              <w:t>7.2.2. koeficientu – 4</w:t>
            </w:r>
          </w:p>
        </w:tc>
        <w:tc>
          <w:tcPr>
            <w:tcW w:w="806" w:type="pct"/>
            <w:shd w:val="clear" w:color="auto" w:fill="auto"/>
          </w:tcPr>
          <w:p w14:paraId="1C5368B6" w14:textId="77777777" w:rsidR="00BB620F" w:rsidRPr="00FD183C" w:rsidRDefault="00BB620F" w:rsidP="00BB620F">
            <w:pPr>
              <w:pStyle w:val="naisc"/>
              <w:spacing w:before="0" w:after="0"/>
              <w:jc w:val="both"/>
              <w:rPr>
                <w:b/>
                <w:sz w:val="20"/>
                <w:szCs w:val="20"/>
              </w:rPr>
            </w:pPr>
            <w:r w:rsidRPr="00FD183C">
              <w:rPr>
                <w:b/>
                <w:sz w:val="20"/>
                <w:szCs w:val="20"/>
              </w:rPr>
              <w:t>Nav ņemts  vērā.</w:t>
            </w:r>
          </w:p>
          <w:p w14:paraId="2389AB2F" w14:textId="1B49A195" w:rsidR="00DC766B" w:rsidRPr="00DC766B" w:rsidRDefault="00BB620F" w:rsidP="00D669A6">
            <w:pPr>
              <w:jc w:val="both"/>
              <w:rPr>
                <w:sz w:val="20"/>
                <w:szCs w:val="20"/>
              </w:rPr>
            </w:pPr>
            <w:r w:rsidRPr="004928A9">
              <w:rPr>
                <w:sz w:val="20"/>
                <w:szCs w:val="20"/>
              </w:rPr>
              <w:t xml:space="preserve">Skaidrojam, ka noteikumu projekts ir jāīsteno esošā finansējuma ietvaros. Attiecīgi ietaupījums, kas tiek iegūts speciālās izglītības iestāžu reformas rezultātā tiek novirzīts citiem mērķiem, tai skaitā papildu finansējumu piešķiršanai </w:t>
            </w:r>
            <w:r>
              <w:rPr>
                <w:sz w:val="20"/>
                <w:szCs w:val="20"/>
              </w:rPr>
              <w:t xml:space="preserve">izglītojamiem, kas apgūst speciālās izglītības programmas speciālās izglītības klasēs (grupās) vai iekļaujoši vispārējās izglītības iestādēs. Vēršam uzmanību, ka šādu koeficientu noteikšana bija darba grupas ierosinājums un pēc provizoriskajiem aprēķiniem papildu tiks novirzīts pedagogu darba samaksai 2 milj. euro gadā. Lielāka koeficientu noteikšana prasīs papildu finanšu līdzekļus </w:t>
            </w:r>
            <w:r w:rsidR="00D669A6">
              <w:rPr>
                <w:sz w:val="20"/>
                <w:szCs w:val="20"/>
              </w:rPr>
              <w:t xml:space="preserve">(pēc provizoriskajiem aprēķiniem koeficientu paaugstināšanai būtu nepieciešams 10 milj. euro) </w:t>
            </w:r>
            <w:r>
              <w:rPr>
                <w:sz w:val="20"/>
                <w:szCs w:val="20"/>
              </w:rPr>
              <w:t>un to īstenošana nav iespējama esošā finansējuma ietvaros.</w:t>
            </w:r>
          </w:p>
        </w:tc>
        <w:tc>
          <w:tcPr>
            <w:tcW w:w="579" w:type="pct"/>
            <w:shd w:val="clear" w:color="auto" w:fill="auto"/>
          </w:tcPr>
          <w:p w14:paraId="7378F8F9" w14:textId="77777777" w:rsidR="00296335" w:rsidRPr="00D70799" w:rsidRDefault="00296335" w:rsidP="00B27E66">
            <w:pPr>
              <w:pStyle w:val="naisc"/>
              <w:spacing w:before="0" w:after="0"/>
              <w:rPr>
                <w:sz w:val="20"/>
                <w:szCs w:val="20"/>
              </w:rPr>
            </w:pPr>
          </w:p>
        </w:tc>
        <w:tc>
          <w:tcPr>
            <w:tcW w:w="1089" w:type="pct"/>
            <w:shd w:val="clear" w:color="auto" w:fill="auto"/>
            <w:vAlign w:val="center"/>
          </w:tcPr>
          <w:p w14:paraId="43F511D8" w14:textId="77777777" w:rsidR="00801EFD" w:rsidRPr="00460515" w:rsidRDefault="00801EFD" w:rsidP="00801EFD">
            <w:pPr>
              <w:pStyle w:val="naisc"/>
              <w:jc w:val="both"/>
              <w:rPr>
                <w:sz w:val="20"/>
                <w:szCs w:val="20"/>
              </w:rPr>
            </w:pPr>
            <w:r w:rsidRPr="00460515">
              <w:rPr>
                <w:sz w:val="20"/>
                <w:szCs w:val="20"/>
              </w:rPr>
              <w:t>“7.2. skolēnu (bērnu) skaitam, kas apgūst speciālās izglītības programmas speciālās izglītības klasēs (grupās) vai iekļaujoši vispārējās izglītības iestādēs, piemēro:</w:t>
            </w:r>
          </w:p>
          <w:p w14:paraId="2BBA647C" w14:textId="77777777" w:rsidR="00801EFD" w:rsidRPr="00460515" w:rsidRDefault="00801EFD" w:rsidP="00801EFD">
            <w:pPr>
              <w:pStyle w:val="naisc"/>
              <w:jc w:val="both"/>
              <w:rPr>
                <w:sz w:val="20"/>
                <w:szCs w:val="20"/>
              </w:rPr>
            </w:pPr>
            <w:r w:rsidRPr="00460515">
              <w:rPr>
                <w:sz w:val="20"/>
                <w:szCs w:val="20"/>
              </w:rPr>
              <w:t xml:space="preserve">7.2.1. koeficientu 2 – izglītojamiem speciālās izglītības programmās izglītojamiem ar fiziskās attīstības traucējumiem, somatiskām saslimšanām, valodas traucējumiem, mācīšanās traucējumiem, garīgās veselības traucējumiem; </w:t>
            </w:r>
          </w:p>
          <w:p w14:paraId="28ADBACC" w14:textId="77777777" w:rsidR="00801EFD" w:rsidRPr="00460515" w:rsidRDefault="00801EFD" w:rsidP="00801EFD">
            <w:pPr>
              <w:pStyle w:val="naisc"/>
              <w:jc w:val="both"/>
              <w:rPr>
                <w:sz w:val="20"/>
                <w:szCs w:val="20"/>
              </w:rPr>
            </w:pPr>
            <w:r w:rsidRPr="00460515">
              <w:rPr>
                <w:sz w:val="20"/>
                <w:szCs w:val="20"/>
              </w:rPr>
              <w:t>7.2.2. koeficientu 3 – izglītojamiem speciālās izglītības programmās izglītojamiem ar redzes traucējumiem, dzirdes traucējumiem, garīgās attīstības traucējumiem un bērniem no piecu gadu vecuma speciālās pirmsskolas izglītības programmās izglītojamiem ar jauktiem attīstības traucējumiem;</w:t>
            </w:r>
          </w:p>
          <w:p w14:paraId="02F44C91" w14:textId="2BE3DE1B" w:rsidR="00296335" w:rsidRPr="00D70799" w:rsidRDefault="00801EFD" w:rsidP="00801EFD">
            <w:pPr>
              <w:pStyle w:val="naisc"/>
              <w:spacing w:before="0" w:after="0"/>
              <w:jc w:val="both"/>
              <w:rPr>
                <w:sz w:val="20"/>
                <w:szCs w:val="20"/>
              </w:rPr>
            </w:pPr>
            <w:r w:rsidRPr="00460515">
              <w:rPr>
                <w:sz w:val="20"/>
                <w:szCs w:val="20"/>
              </w:rPr>
              <w:t>7.2.3. koeficientu 5 – izglītojamiem speciālās izglītības programmās izglītojamiem ar smagiem garīgās attīstības traucējumiem vai vairākiem smagiem attīstības traucējumiem;”</w:t>
            </w:r>
          </w:p>
        </w:tc>
      </w:tr>
      <w:tr w:rsidR="00460515" w:rsidRPr="00D70799" w14:paraId="536711C4" w14:textId="77777777" w:rsidTr="000376F1">
        <w:trPr>
          <w:trHeight w:val="285"/>
        </w:trPr>
        <w:tc>
          <w:tcPr>
            <w:tcW w:w="231" w:type="pct"/>
            <w:shd w:val="clear" w:color="auto" w:fill="auto"/>
          </w:tcPr>
          <w:p w14:paraId="7EA0E2A5" w14:textId="65782BD1" w:rsidR="00460515" w:rsidRDefault="009F5B1E" w:rsidP="000376F1">
            <w:pPr>
              <w:pStyle w:val="naisc"/>
              <w:spacing w:before="0" w:after="0"/>
              <w:rPr>
                <w:sz w:val="20"/>
                <w:szCs w:val="20"/>
              </w:rPr>
            </w:pPr>
            <w:r>
              <w:rPr>
                <w:sz w:val="20"/>
                <w:szCs w:val="20"/>
              </w:rPr>
              <w:lastRenderedPageBreak/>
              <w:t>4</w:t>
            </w:r>
            <w:r w:rsidR="00ED3E8A">
              <w:rPr>
                <w:sz w:val="20"/>
                <w:szCs w:val="20"/>
              </w:rPr>
              <w:t>.</w:t>
            </w:r>
          </w:p>
        </w:tc>
        <w:tc>
          <w:tcPr>
            <w:tcW w:w="1038" w:type="pct"/>
            <w:shd w:val="clear" w:color="auto" w:fill="auto"/>
          </w:tcPr>
          <w:p w14:paraId="7D23D364" w14:textId="1BD5710B" w:rsidR="00460515" w:rsidRPr="00E065B3" w:rsidRDefault="00ED3E8A" w:rsidP="009F5B1E">
            <w:pPr>
              <w:pStyle w:val="naisc"/>
              <w:jc w:val="both"/>
              <w:rPr>
                <w:sz w:val="20"/>
                <w:szCs w:val="20"/>
              </w:rPr>
            </w:pPr>
            <w:r w:rsidRPr="00ED3E8A">
              <w:rPr>
                <w:sz w:val="20"/>
                <w:szCs w:val="20"/>
              </w:rPr>
              <w:t>“7.4.1 skolēnu skaitam, kuri vispārējās izglītības programmas apgūst ieslodzījuma vi</w:t>
            </w:r>
            <w:r>
              <w:rPr>
                <w:sz w:val="20"/>
                <w:szCs w:val="20"/>
              </w:rPr>
              <w:t>etās, piemēro koeficientu 1,3;”</w:t>
            </w:r>
          </w:p>
        </w:tc>
        <w:tc>
          <w:tcPr>
            <w:tcW w:w="1256" w:type="pct"/>
            <w:shd w:val="clear" w:color="auto" w:fill="auto"/>
          </w:tcPr>
          <w:p w14:paraId="342168BE" w14:textId="24CCA98A" w:rsidR="00460515" w:rsidRDefault="000B0AB5" w:rsidP="00B27E66">
            <w:pPr>
              <w:pStyle w:val="Default"/>
              <w:adjustRightInd/>
              <w:jc w:val="both"/>
              <w:rPr>
                <w:b/>
                <w:color w:val="auto"/>
                <w:sz w:val="20"/>
                <w:szCs w:val="20"/>
              </w:rPr>
            </w:pPr>
            <w:r>
              <w:rPr>
                <w:b/>
                <w:color w:val="auto"/>
                <w:sz w:val="20"/>
                <w:szCs w:val="20"/>
              </w:rPr>
              <w:t xml:space="preserve">Tieslietu ministrija (turpmāk – </w:t>
            </w:r>
            <w:r w:rsidR="00460515">
              <w:rPr>
                <w:b/>
                <w:color w:val="auto"/>
                <w:sz w:val="20"/>
                <w:szCs w:val="20"/>
              </w:rPr>
              <w:t>TM</w:t>
            </w:r>
            <w:r>
              <w:rPr>
                <w:b/>
                <w:color w:val="auto"/>
                <w:sz w:val="20"/>
                <w:szCs w:val="20"/>
              </w:rPr>
              <w:t>)</w:t>
            </w:r>
            <w:r w:rsidR="00460515">
              <w:rPr>
                <w:b/>
                <w:color w:val="auto"/>
                <w:sz w:val="20"/>
                <w:szCs w:val="20"/>
              </w:rPr>
              <w:t>:</w:t>
            </w:r>
          </w:p>
          <w:p w14:paraId="6271A27B" w14:textId="5AD70BE5" w:rsidR="00460515" w:rsidRPr="00460515" w:rsidRDefault="00460515" w:rsidP="00B27E66">
            <w:pPr>
              <w:pStyle w:val="Default"/>
              <w:adjustRightInd/>
              <w:jc w:val="both"/>
              <w:rPr>
                <w:color w:val="auto"/>
                <w:sz w:val="20"/>
                <w:szCs w:val="20"/>
              </w:rPr>
            </w:pPr>
            <w:r w:rsidRPr="00460515">
              <w:rPr>
                <w:color w:val="auto"/>
                <w:sz w:val="20"/>
                <w:szCs w:val="20"/>
              </w:rPr>
              <w:t xml:space="preserve">Projekta par izglītības iestāžu finansēšanu 1.3. apakšpunktā tiek paredzēts papildināt izglītības iestāžu finansēšanas noteikumus ar 7.4.1 apakšpunktu, nosakot, ka  izglītojamo skaitam, kuri vispārējās izglītības programmas apgūst ieslodzījuma vietās, piemēro koeficientu 1,3, kas nodrošinās nepieciešamo mērķdotāciju, lai pedagogiem nodrošinātu piemaksu 30% apmērā no darba algas. Ieslodzījuma vietu pārvalde kopā ar atsevišķu skolu, kas nodrošina ieslodzīto izglītību, ir paudusi viedokli, ka minētajā apakšpunktā ietvertais koeficients 1,3 ir pietiekams (provizoriski), lai nodrošinātu mācību procesa organizāciju (kontaktstundu norisi, konsultācijas, rakstu darbu labošanu un gatavošanos stundām), bet ir nepietiekams, lai nodrošinātu attiecīgu procentuālā atalgojuma apjomu administratīvajiem darbiniekiem (direktors, vietnieks u.c. nepieciešamais pedagoģiskais un atbalsta personāls), kas ir iesaistīts klašu darba organizācijā ieslodzījuma vietā. Direktora, vietnieku u.c. nepieciešama pedagoģiskā un atbalsta personāla atalgojums tiek finansēts no kopējā, skolai piešķirtā algas fonda, kurā ietilpst arī finansējums, kas tiek piešķirts skolai, pamatojoties uz ieslodzījuma vietā esošo izglītojamo skaitu. Līdz ar to, daļa no finansējuma, kas tiek piešķirts skolai, pamatojoties uz ieslodzījuma vietā esošo izglītojamo skaitu, tiek virzīta arī iepriekš minēto darbinieku atalgojumam. Tas nozīmē, ka koeficients 1,3 nenodrošina pilnīgu nepieciešamā finansējuma apjomu. Ņemot vērā minēto, projekta par </w:t>
            </w:r>
            <w:r w:rsidRPr="00460515">
              <w:rPr>
                <w:color w:val="auto"/>
                <w:sz w:val="20"/>
                <w:szCs w:val="20"/>
              </w:rPr>
              <w:lastRenderedPageBreak/>
              <w:t>izglītības iestāžu finansēšanu 1.3. apakšpunktā ietverto koeficientu nepieciešams palielināt.</w:t>
            </w:r>
          </w:p>
        </w:tc>
        <w:tc>
          <w:tcPr>
            <w:tcW w:w="806" w:type="pct"/>
            <w:shd w:val="clear" w:color="auto" w:fill="auto"/>
          </w:tcPr>
          <w:p w14:paraId="5C67E85D" w14:textId="77777777" w:rsidR="00460515" w:rsidRDefault="001E599A" w:rsidP="005B2631">
            <w:pPr>
              <w:jc w:val="both"/>
              <w:rPr>
                <w:b/>
                <w:sz w:val="20"/>
                <w:szCs w:val="20"/>
              </w:rPr>
            </w:pPr>
            <w:r w:rsidRPr="001E599A">
              <w:rPr>
                <w:b/>
                <w:sz w:val="20"/>
                <w:szCs w:val="20"/>
              </w:rPr>
              <w:lastRenderedPageBreak/>
              <w:t>Nav ņemts vērā.</w:t>
            </w:r>
          </w:p>
          <w:p w14:paraId="194A11A0" w14:textId="77777777" w:rsidR="001E599A" w:rsidRDefault="001E599A" w:rsidP="005B2631">
            <w:pPr>
              <w:jc w:val="both"/>
              <w:rPr>
                <w:b/>
                <w:sz w:val="20"/>
                <w:szCs w:val="20"/>
              </w:rPr>
            </w:pPr>
          </w:p>
          <w:p w14:paraId="4BF048D2" w14:textId="77777777" w:rsidR="001E599A" w:rsidRDefault="001E599A" w:rsidP="00313D32">
            <w:pPr>
              <w:jc w:val="both"/>
              <w:rPr>
                <w:sz w:val="20"/>
                <w:szCs w:val="20"/>
              </w:rPr>
            </w:pPr>
            <w:r w:rsidRPr="001E599A">
              <w:rPr>
                <w:sz w:val="20"/>
                <w:szCs w:val="20"/>
              </w:rPr>
              <w:t>Šobrīd pēc provizoriskajiem aprēķiniem papildu šāda koeficienta ieviešanai ir nepieciešams papildu finansējums</w:t>
            </w:r>
            <w:r>
              <w:rPr>
                <w:sz w:val="20"/>
                <w:szCs w:val="20"/>
              </w:rPr>
              <w:t xml:space="preserve"> </w:t>
            </w:r>
            <w:r w:rsidR="00CE39CF">
              <w:rPr>
                <w:sz w:val="20"/>
                <w:szCs w:val="20"/>
              </w:rPr>
              <w:t>-</w:t>
            </w:r>
            <w:r>
              <w:rPr>
                <w:sz w:val="20"/>
                <w:szCs w:val="20"/>
              </w:rPr>
              <w:t xml:space="preserve"> aptuveni 100 000 euro gadā</w:t>
            </w:r>
            <w:r w:rsidRPr="001E599A">
              <w:rPr>
                <w:sz w:val="20"/>
                <w:szCs w:val="20"/>
              </w:rPr>
              <w:t xml:space="preserve">, kas </w:t>
            </w:r>
            <w:r>
              <w:rPr>
                <w:sz w:val="20"/>
                <w:szCs w:val="20"/>
              </w:rPr>
              <w:t xml:space="preserve">tiks novirzīts </w:t>
            </w:r>
            <w:r w:rsidRPr="001E599A">
              <w:rPr>
                <w:sz w:val="20"/>
                <w:szCs w:val="20"/>
              </w:rPr>
              <w:t>7</w:t>
            </w:r>
            <w:r>
              <w:rPr>
                <w:sz w:val="20"/>
                <w:szCs w:val="20"/>
              </w:rPr>
              <w:t xml:space="preserve"> pašvaldību izglītības iestāžu pedagogu, </w:t>
            </w:r>
            <w:r w:rsidRPr="001E599A">
              <w:rPr>
                <w:sz w:val="20"/>
                <w:szCs w:val="20"/>
              </w:rPr>
              <w:t>kuri izglītības programmas īsteno ieslodzījuma vietās</w:t>
            </w:r>
            <w:r>
              <w:rPr>
                <w:sz w:val="20"/>
                <w:szCs w:val="20"/>
              </w:rPr>
              <w:t xml:space="preserve"> darba samaksai. </w:t>
            </w:r>
            <w:r w:rsidR="00313D32">
              <w:rPr>
                <w:sz w:val="20"/>
                <w:szCs w:val="20"/>
              </w:rPr>
              <w:t>Finansējuma apjoms ir atkarīgs no izglītojamo skaita, jo ir finansēšanas princips “nauda seko skolēnam”.  Piemērojot koeficientu 1,3 izglītojamo skaitam, papildus iegūst ne tikai pedagoģiskās likmes, bet ņemot vērā aprēķina metodiku, proporcionāli paliel</w:t>
            </w:r>
            <w:r w:rsidR="00CE39CF">
              <w:rPr>
                <w:sz w:val="20"/>
                <w:szCs w:val="20"/>
              </w:rPr>
              <w:t>inās gan papildus finansējums (</w:t>
            </w:r>
            <w:r w:rsidR="00313D32">
              <w:rPr>
                <w:sz w:val="20"/>
                <w:szCs w:val="20"/>
              </w:rPr>
              <w:t>noteikumos Nr.447 8.3. apakšpunkts – ne mazāk kā 14,5%), gan arī finansējums administrācijai un atbalsta personālam (noteikumos Nr.447 8.4. apakšpunkts – 20,43%)</w:t>
            </w:r>
            <w:r w:rsidR="00CE39CF">
              <w:rPr>
                <w:sz w:val="20"/>
                <w:szCs w:val="20"/>
              </w:rPr>
              <w:t xml:space="preserve">. </w:t>
            </w:r>
          </w:p>
          <w:p w14:paraId="3C732BF7" w14:textId="755EEBB9" w:rsidR="00CE39CF" w:rsidRPr="001E599A" w:rsidRDefault="000376F1" w:rsidP="000376F1">
            <w:pPr>
              <w:jc w:val="both"/>
              <w:rPr>
                <w:sz w:val="20"/>
                <w:szCs w:val="20"/>
              </w:rPr>
            </w:pPr>
            <w:r w:rsidRPr="000376F1">
              <w:rPr>
                <w:sz w:val="20"/>
                <w:szCs w:val="20"/>
              </w:rPr>
              <w:t xml:space="preserve">Skaidrojam, ka noteikumu projekts ir jāīsteno esošā finansējuma ietvaros. </w:t>
            </w:r>
            <w:r>
              <w:rPr>
                <w:sz w:val="20"/>
                <w:szCs w:val="20"/>
              </w:rPr>
              <w:t>A</w:t>
            </w:r>
            <w:r w:rsidR="00767812">
              <w:rPr>
                <w:sz w:val="20"/>
                <w:szCs w:val="20"/>
              </w:rPr>
              <w:t xml:space="preserve">ttiecīgi ietaupījums, kas tiek iegūts speciālās </w:t>
            </w:r>
            <w:r w:rsidR="00767812">
              <w:rPr>
                <w:sz w:val="20"/>
                <w:szCs w:val="20"/>
              </w:rPr>
              <w:lastRenderedPageBreak/>
              <w:t>izglītības iestāžu reformas rezultātā tiek novirzīts citiem mērķiem, tai skaitā papildu finansējumu piešķiršanai</w:t>
            </w:r>
            <w:r w:rsidR="00767812">
              <w:t xml:space="preserve"> </w:t>
            </w:r>
            <w:r w:rsidR="00767812" w:rsidRPr="00767812">
              <w:rPr>
                <w:sz w:val="20"/>
                <w:szCs w:val="20"/>
              </w:rPr>
              <w:t>pedagogu, kuri izglītības programmas īsteno ieslodzījuma vietās darba samaksai</w:t>
            </w:r>
            <w:r w:rsidR="00767812">
              <w:rPr>
                <w:sz w:val="20"/>
                <w:szCs w:val="20"/>
              </w:rPr>
              <w:t>.</w:t>
            </w:r>
            <w:r>
              <w:rPr>
                <w:sz w:val="20"/>
                <w:szCs w:val="20"/>
              </w:rPr>
              <w:t xml:space="preserve"> </w:t>
            </w:r>
            <w:r w:rsidR="00767812">
              <w:rPr>
                <w:sz w:val="20"/>
                <w:szCs w:val="20"/>
              </w:rPr>
              <w:t xml:space="preserve"> </w:t>
            </w:r>
          </w:p>
        </w:tc>
        <w:tc>
          <w:tcPr>
            <w:tcW w:w="579" w:type="pct"/>
            <w:shd w:val="clear" w:color="auto" w:fill="auto"/>
          </w:tcPr>
          <w:p w14:paraId="296A700F" w14:textId="77777777" w:rsidR="00460515" w:rsidRPr="00D70799" w:rsidRDefault="00460515" w:rsidP="00B27E66">
            <w:pPr>
              <w:pStyle w:val="naisc"/>
              <w:spacing w:before="0" w:after="0"/>
              <w:rPr>
                <w:sz w:val="20"/>
                <w:szCs w:val="20"/>
              </w:rPr>
            </w:pPr>
          </w:p>
        </w:tc>
        <w:tc>
          <w:tcPr>
            <w:tcW w:w="1089" w:type="pct"/>
            <w:shd w:val="clear" w:color="auto" w:fill="auto"/>
          </w:tcPr>
          <w:p w14:paraId="7359B44E" w14:textId="13C0B4ED" w:rsidR="00460515" w:rsidRPr="00D70799" w:rsidRDefault="000376F1" w:rsidP="000376F1">
            <w:pPr>
              <w:pStyle w:val="naisc"/>
              <w:spacing w:before="0" w:after="0"/>
              <w:jc w:val="both"/>
              <w:rPr>
                <w:sz w:val="20"/>
                <w:szCs w:val="20"/>
              </w:rPr>
            </w:pPr>
            <w:r w:rsidRPr="000376F1">
              <w:rPr>
                <w:sz w:val="20"/>
                <w:szCs w:val="20"/>
              </w:rPr>
              <w:t>“7.4.1 skolēnu skaitam, kuri vispārējās izglītības programmas apgūst ieslodzījuma vietās, piemēro koeficientu 1,3;”</w:t>
            </w:r>
          </w:p>
        </w:tc>
      </w:tr>
    </w:tbl>
    <w:p w14:paraId="40DC24EE" w14:textId="00BC0104" w:rsidR="0023626A" w:rsidRPr="00D70799" w:rsidRDefault="0023626A" w:rsidP="009E2178">
      <w:pPr>
        <w:pStyle w:val="naisf"/>
        <w:spacing w:before="0" w:after="0"/>
        <w:rPr>
          <w:b/>
          <w:sz w:val="20"/>
          <w:szCs w:val="20"/>
        </w:rPr>
      </w:pPr>
    </w:p>
    <w:p w14:paraId="58818651" w14:textId="77777777" w:rsidR="0023626A" w:rsidRPr="00D70799" w:rsidRDefault="0023626A" w:rsidP="009E2178">
      <w:pPr>
        <w:pStyle w:val="naisf"/>
        <w:spacing w:before="0" w:after="0"/>
        <w:rPr>
          <w:b/>
          <w:sz w:val="20"/>
          <w:szCs w:val="20"/>
        </w:rPr>
      </w:pPr>
      <w:r w:rsidRPr="00D70799">
        <w:rPr>
          <w:b/>
          <w:sz w:val="20"/>
          <w:szCs w:val="20"/>
        </w:rPr>
        <w:t xml:space="preserve">Informācija par starpministriju (starpinstitūciju) sanāksmi vai </w:t>
      </w:r>
      <w:r w:rsidRPr="00D70799">
        <w:rPr>
          <w:b/>
          <w:sz w:val="20"/>
          <w:szCs w:val="20"/>
          <w:u w:val="single"/>
        </w:rPr>
        <w:t>elektronisko saskaņošanu</w:t>
      </w:r>
    </w:p>
    <w:p w14:paraId="7C0AB2AE" w14:textId="77777777" w:rsidR="00796743" w:rsidRPr="00D70799" w:rsidRDefault="00796743" w:rsidP="009E2178">
      <w:pPr>
        <w:pStyle w:val="naisf"/>
        <w:spacing w:before="0" w:after="0"/>
        <w:rPr>
          <w:b/>
          <w:sz w:val="20"/>
          <w:szCs w:val="20"/>
        </w:rPr>
      </w:pPr>
    </w:p>
    <w:tbl>
      <w:tblPr>
        <w:tblW w:w="14601" w:type="dxa"/>
        <w:tblInd w:w="-459" w:type="dxa"/>
        <w:tblLook w:val="00A0" w:firstRow="1" w:lastRow="0" w:firstColumn="1" w:lastColumn="0" w:noHBand="0" w:noVBand="0"/>
      </w:tblPr>
      <w:tblGrid>
        <w:gridCol w:w="7371"/>
        <w:gridCol w:w="282"/>
        <w:gridCol w:w="6948"/>
      </w:tblGrid>
      <w:tr w:rsidR="0023626A" w:rsidRPr="00D70799" w14:paraId="37C197E0" w14:textId="77777777" w:rsidTr="0094320F">
        <w:trPr>
          <w:trHeight w:val="201"/>
        </w:trPr>
        <w:tc>
          <w:tcPr>
            <w:tcW w:w="7371" w:type="dxa"/>
          </w:tcPr>
          <w:p w14:paraId="4175B492" w14:textId="3EA45BA1" w:rsidR="0023626A" w:rsidRPr="00D70799" w:rsidRDefault="0023626A" w:rsidP="00ED3E8A">
            <w:pPr>
              <w:pStyle w:val="naisf"/>
              <w:spacing w:before="0" w:after="0"/>
              <w:ind w:firstLine="0"/>
              <w:rPr>
                <w:sz w:val="20"/>
                <w:szCs w:val="20"/>
              </w:rPr>
            </w:pPr>
            <w:r w:rsidRPr="00D70799">
              <w:rPr>
                <w:sz w:val="20"/>
                <w:szCs w:val="20"/>
              </w:rPr>
              <w:t>Datums</w:t>
            </w:r>
            <w:r w:rsidR="00032BE2" w:rsidRPr="00D70799">
              <w:rPr>
                <w:sz w:val="20"/>
                <w:szCs w:val="20"/>
              </w:rPr>
              <w:t xml:space="preserve"> </w:t>
            </w:r>
          </w:p>
        </w:tc>
        <w:tc>
          <w:tcPr>
            <w:tcW w:w="7230" w:type="dxa"/>
            <w:gridSpan w:val="2"/>
            <w:tcBorders>
              <w:bottom w:val="single" w:sz="4" w:space="0" w:color="auto"/>
            </w:tcBorders>
          </w:tcPr>
          <w:p w14:paraId="5B9D2C84" w14:textId="1AA534B0" w:rsidR="0023626A" w:rsidRPr="00D70799" w:rsidRDefault="0094320F" w:rsidP="0094320F">
            <w:pPr>
              <w:pStyle w:val="NormalWeb"/>
              <w:spacing w:before="0" w:beforeAutospacing="0" w:after="0" w:afterAutospacing="0"/>
              <w:ind w:firstLine="210"/>
              <w:jc w:val="both"/>
              <w:rPr>
                <w:sz w:val="20"/>
                <w:szCs w:val="20"/>
              </w:rPr>
            </w:pPr>
            <w:r>
              <w:rPr>
                <w:sz w:val="20"/>
                <w:szCs w:val="20"/>
              </w:rPr>
              <w:t>2020.gada 8.jūnijs</w:t>
            </w:r>
          </w:p>
        </w:tc>
      </w:tr>
      <w:tr w:rsidR="0023626A" w:rsidRPr="00D70799" w14:paraId="3E00288C" w14:textId="77777777" w:rsidTr="0094320F">
        <w:trPr>
          <w:trHeight w:val="201"/>
        </w:trPr>
        <w:tc>
          <w:tcPr>
            <w:tcW w:w="7371" w:type="dxa"/>
          </w:tcPr>
          <w:p w14:paraId="18EC30A3" w14:textId="77777777" w:rsidR="0023626A" w:rsidRPr="00D70799" w:rsidRDefault="0023626A" w:rsidP="009E2178">
            <w:pPr>
              <w:pStyle w:val="naisf"/>
              <w:spacing w:before="0" w:after="0"/>
              <w:rPr>
                <w:sz w:val="20"/>
                <w:szCs w:val="20"/>
              </w:rPr>
            </w:pPr>
          </w:p>
        </w:tc>
        <w:tc>
          <w:tcPr>
            <w:tcW w:w="7230" w:type="dxa"/>
            <w:gridSpan w:val="2"/>
            <w:tcBorders>
              <w:top w:val="single" w:sz="4" w:space="0" w:color="auto"/>
            </w:tcBorders>
          </w:tcPr>
          <w:p w14:paraId="3812A2E6" w14:textId="77777777" w:rsidR="0023626A" w:rsidRPr="00D70799" w:rsidRDefault="0023626A" w:rsidP="009E2178">
            <w:pPr>
              <w:pStyle w:val="NormalWeb"/>
              <w:spacing w:before="0" w:beforeAutospacing="0" w:after="0" w:afterAutospacing="0"/>
              <w:ind w:firstLine="720"/>
              <w:jc w:val="both"/>
              <w:rPr>
                <w:sz w:val="20"/>
                <w:szCs w:val="20"/>
              </w:rPr>
            </w:pPr>
          </w:p>
        </w:tc>
      </w:tr>
      <w:tr w:rsidR="0023626A" w:rsidRPr="00D70799" w14:paraId="310014DE" w14:textId="77777777" w:rsidTr="0094320F">
        <w:trPr>
          <w:trHeight w:val="201"/>
        </w:trPr>
        <w:tc>
          <w:tcPr>
            <w:tcW w:w="7371" w:type="dxa"/>
          </w:tcPr>
          <w:p w14:paraId="27205848" w14:textId="77777777" w:rsidR="0023626A" w:rsidRPr="00D70799" w:rsidRDefault="0023626A" w:rsidP="009E2178">
            <w:pPr>
              <w:pStyle w:val="naiskr"/>
              <w:spacing w:before="0" w:after="0"/>
              <w:jc w:val="both"/>
              <w:rPr>
                <w:sz w:val="20"/>
                <w:szCs w:val="20"/>
              </w:rPr>
            </w:pPr>
            <w:r w:rsidRPr="00D70799">
              <w:rPr>
                <w:sz w:val="20"/>
                <w:szCs w:val="20"/>
              </w:rPr>
              <w:t>Saskaņošanas dalībnieki</w:t>
            </w:r>
            <w:r w:rsidR="00DF26D2" w:rsidRPr="00D70799">
              <w:rPr>
                <w:sz w:val="20"/>
                <w:szCs w:val="20"/>
              </w:rPr>
              <w:t xml:space="preserve"> </w:t>
            </w:r>
          </w:p>
        </w:tc>
        <w:tc>
          <w:tcPr>
            <w:tcW w:w="7230" w:type="dxa"/>
            <w:gridSpan w:val="2"/>
            <w:tcBorders>
              <w:bottom w:val="single" w:sz="4" w:space="0" w:color="auto"/>
            </w:tcBorders>
          </w:tcPr>
          <w:p w14:paraId="1EE77855" w14:textId="5F8CC943" w:rsidR="00B14A57" w:rsidRPr="00D70799" w:rsidRDefault="0094320F" w:rsidP="0094320F">
            <w:pPr>
              <w:pStyle w:val="naiskr"/>
              <w:spacing w:before="0" w:after="0"/>
              <w:ind w:left="210" w:hanging="210"/>
              <w:jc w:val="both"/>
              <w:rPr>
                <w:sz w:val="20"/>
                <w:szCs w:val="20"/>
              </w:rPr>
            </w:pPr>
            <w:r>
              <w:rPr>
                <w:sz w:val="20"/>
                <w:szCs w:val="20"/>
              </w:rPr>
              <w:t xml:space="preserve">     Finanšu ministrija, Tieslietu ministrija, Latvijas Izglītības un zinātnes darbinieku     arodbiedrība, Latvijas Pašvaldību savienība, Latvijas Lielo pilsētu asociācija</w:t>
            </w:r>
          </w:p>
        </w:tc>
      </w:tr>
      <w:tr w:rsidR="0023626A" w:rsidRPr="00D70799" w14:paraId="38843C9D" w14:textId="77777777" w:rsidTr="0094320F">
        <w:trPr>
          <w:trHeight w:val="210"/>
        </w:trPr>
        <w:tc>
          <w:tcPr>
            <w:tcW w:w="7371" w:type="dxa"/>
          </w:tcPr>
          <w:p w14:paraId="6B2D6721" w14:textId="77777777" w:rsidR="0023626A" w:rsidRPr="00D70799" w:rsidRDefault="0023626A" w:rsidP="009E2178">
            <w:pPr>
              <w:pStyle w:val="naiskr"/>
              <w:spacing w:before="0" w:after="0"/>
              <w:jc w:val="both"/>
              <w:rPr>
                <w:sz w:val="20"/>
                <w:szCs w:val="20"/>
              </w:rPr>
            </w:pPr>
          </w:p>
        </w:tc>
        <w:tc>
          <w:tcPr>
            <w:tcW w:w="282" w:type="dxa"/>
          </w:tcPr>
          <w:p w14:paraId="47DA5F10" w14:textId="77777777" w:rsidR="0023626A" w:rsidRPr="00D70799" w:rsidRDefault="0023626A" w:rsidP="009E2178">
            <w:pPr>
              <w:pStyle w:val="naiskr"/>
              <w:spacing w:before="0" w:after="0"/>
              <w:ind w:firstLine="720"/>
              <w:jc w:val="both"/>
              <w:rPr>
                <w:sz w:val="20"/>
                <w:szCs w:val="20"/>
              </w:rPr>
            </w:pPr>
          </w:p>
        </w:tc>
        <w:tc>
          <w:tcPr>
            <w:tcW w:w="6948" w:type="dxa"/>
          </w:tcPr>
          <w:p w14:paraId="1F7DCF3E" w14:textId="77777777" w:rsidR="0023626A" w:rsidRPr="00D70799" w:rsidRDefault="0023626A" w:rsidP="009E2178">
            <w:pPr>
              <w:pStyle w:val="naiskr"/>
              <w:spacing w:before="0" w:after="0"/>
              <w:ind w:firstLine="12"/>
              <w:jc w:val="both"/>
              <w:rPr>
                <w:sz w:val="20"/>
                <w:szCs w:val="20"/>
              </w:rPr>
            </w:pPr>
          </w:p>
        </w:tc>
      </w:tr>
      <w:tr w:rsidR="0023626A" w:rsidRPr="00D70799" w14:paraId="1759B5E5" w14:textId="77777777" w:rsidTr="0094320F">
        <w:trPr>
          <w:trHeight w:val="210"/>
        </w:trPr>
        <w:tc>
          <w:tcPr>
            <w:tcW w:w="7371" w:type="dxa"/>
          </w:tcPr>
          <w:p w14:paraId="44162AA0" w14:textId="77777777" w:rsidR="0023626A" w:rsidRPr="00D70799" w:rsidRDefault="0023626A" w:rsidP="009E2178">
            <w:pPr>
              <w:pStyle w:val="naiskr"/>
              <w:spacing w:before="0" w:after="0"/>
              <w:jc w:val="both"/>
              <w:rPr>
                <w:sz w:val="20"/>
                <w:szCs w:val="20"/>
              </w:rPr>
            </w:pPr>
            <w:r w:rsidRPr="00D70799">
              <w:rPr>
                <w:sz w:val="20"/>
                <w:szCs w:val="20"/>
              </w:rPr>
              <w:br w:type="page"/>
              <w:t>Saskaņošanas dalībnieki izskatīja šādu ministriju (citu institūciju) iebildumus</w:t>
            </w:r>
          </w:p>
        </w:tc>
        <w:tc>
          <w:tcPr>
            <w:tcW w:w="282" w:type="dxa"/>
            <w:tcBorders>
              <w:bottom w:val="single" w:sz="4" w:space="0" w:color="auto"/>
            </w:tcBorders>
          </w:tcPr>
          <w:p w14:paraId="216E22EE" w14:textId="77777777" w:rsidR="0023626A" w:rsidRPr="00D70799" w:rsidRDefault="0023626A" w:rsidP="009E2178">
            <w:pPr>
              <w:pStyle w:val="naiskr"/>
              <w:spacing w:before="0" w:after="0"/>
              <w:ind w:firstLine="720"/>
              <w:jc w:val="both"/>
              <w:rPr>
                <w:sz w:val="20"/>
                <w:szCs w:val="20"/>
              </w:rPr>
            </w:pPr>
          </w:p>
        </w:tc>
        <w:tc>
          <w:tcPr>
            <w:tcW w:w="6948" w:type="dxa"/>
            <w:tcBorders>
              <w:bottom w:val="single" w:sz="4" w:space="0" w:color="auto"/>
            </w:tcBorders>
            <w:vAlign w:val="bottom"/>
          </w:tcPr>
          <w:p w14:paraId="193EC008" w14:textId="386E6ADC" w:rsidR="00FF1A42" w:rsidRPr="00D70799" w:rsidRDefault="0094320F" w:rsidP="0094320F">
            <w:pPr>
              <w:pStyle w:val="naiskr"/>
              <w:spacing w:before="0" w:after="0"/>
              <w:jc w:val="both"/>
              <w:rPr>
                <w:sz w:val="20"/>
                <w:szCs w:val="20"/>
              </w:rPr>
            </w:pPr>
            <w:r w:rsidRPr="0094320F">
              <w:rPr>
                <w:sz w:val="20"/>
                <w:szCs w:val="20"/>
              </w:rPr>
              <w:t>Tieslietu ministrija, Latvijas Izglītības un zinātnes darbinieku arodbiedrība, Latvijas Pašvaldību savienība, Latvijas Lielo pilsētu asociācija</w:t>
            </w:r>
          </w:p>
        </w:tc>
      </w:tr>
      <w:tr w:rsidR="0023626A" w:rsidRPr="00D70799" w14:paraId="131C2931" w14:textId="77777777" w:rsidTr="0094320F">
        <w:trPr>
          <w:trHeight w:val="343"/>
        </w:trPr>
        <w:tc>
          <w:tcPr>
            <w:tcW w:w="14601" w:type="dxa"/>
            <w:gridSpan w:val="3"/>
          </w:tcPr>
          <w:p w14:paraId="67A3D480" w14:textId="77777777" w:rsidR="0023626A" w:rsidRPr="00D70799" w:rsidRDefault="0023626A" w:rsidP="009E2178">
            <w:pPr>
              <w:pStyle w:val="naisc"/>
              <w:spacing w:before="0" w:after="0"/>
              <w:jc w:val="both"/>
              <w:rPr>
                <w:sz w:val="20"/>
                <w:szCs w:val="20"/>
              </w:rPr>
            </w:pPr>
          </w:p>
        </w:tc>
      </w:tr>
      <w:tr w:rsidR="0023626A" w:rsidRPr="00D70799" w14:paraId="54D70F5D" w14:textId="77777777" w:rsidTr="0094320F">
        <w:trPr>
          <w:trHeight w:val="612"/>
        </w:trPr>
        <w:tc>
          <w:tcPr>
            <w:tcW w:w="7371" w:type="dxa"/>
          </w:tcPr>
          <w:p w14:paraId="3A64E57D" w14:textId="77777777" w:rsidR="0023626A" w:rsidRPr="00D70799" w:rsidRDefault="0023626A" w:rsidP="009E2178">
            <w:pPr>
              <w:pStyle w:val="naiskr"/>
              <w:spacing w:before="0" w:after="0"/>
              <w:jc w:val="both"/>
              <w:rPr>
                <w:sz w:val="20"/>
                <w:szCs w:val="20"/>
              </w:rPr>
            </w:pPr>
            <w:r w:rsidRPr="00D70799">
              <w:rPr>
                <w:sz w:val="20"/>
                <w:szCs w:val="20"/>
              </w:rPr>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D70799" w:rsidRDefault="0023626A" w:rsidP="009E2178">
            <w:pPr>
              <w:pStyle w:val="naiskr"/>
              <w:spacing w:before="0" w:after="0"/>
              <w:jc w:val="both"/>
              <w:rPr>
                <w:sz w:val="20"/>
                <w:szCs w:val="20"/>
              </w:rPr>
            </w:pPr>
          </w:p>
        </w:tc>
      </w:tr>
      <w:tr w:rsidR="0023626A" w:rsidRPr="00D70799" w14:paraId="2AFEE836" w14:textId="77777777" w:rsidTr="0094320F">
        <w:trPr>
          <w:trHeight w:val="210"/>
        </w:trPr>
        <w:tc>
          <w:tcPr>
            <w:tcW w:w="7371" w:type="dxa"/>
          </w:tcPr>
          <w:p w14:paraId="597547CA" w14:textId="77777777" w:rsidR="0023626A" w:rsidRPr="00D70799" w:rsidRDefault="0023626A" w:rsidP="009E2178">
            <w:pPr>
              <w:pStyle w:val="naiskr"/>
              <w:spacing w:before="0" w:after="0"/>
              <w:ind w:firstLine="720"/>
              <w:jc w:val="both"/>
              <w:rPr>
                <w:sz w:val="20"/>
                <w:szCs w:val="20"/>
              </w:rPr>
            </w:pPr>
            <w:r w:rsidRPr="00D70799">
              <w:rPr>
                <w:sz w:val="20"/>
                <w:szCs w:val="20"/>
              </w:rPr>
              <w:t>  </w:t>
            </w:r>
          </w:p>
        </w:tc>
        <w:tc>
          <w:tcPr>
            <w:tcW w:w="7230" w:type="dxa"/>
            <w:gridSpan w:val="2"/>
            <w:tcBorders>
              <w:top w:val="single" w:sz="6" w:space="0" w:color="000000"/>
              <w:bottom w:val="single" w:sz="6" w:space="0" w:color="000000"/>
            </w:tcBorders>
          </w:tcPr>
          <w:p w14:paraId="034FE488" w14:textId="77777777" w:rsidR="0023626A" w:rsidRPr="00D70799" w:rsidRDefault="0023626A" w:rsidP="009E2178">
            <w:pPr>
              <w:pStyle w:val="naiskr"/>
              <w:spacing w:before="0" w:after="0"/>
              <w:ind w:firstLine="720"/>
              <w:jc w:val="both"/>
              <w:rPr>
                <w:sz w:val="20"/>
                <w:szCs w:val="20"/>
              </w:rPr>
            </w:pPr>
          </w:p>
        </w:tc>
      </w:tr>
    </w:tbl>
    <w:p w14:paraId="787316E0" w14:textId="77777777" w:rsidR="00A2202D" w:rsidRDefault="00A2202D">
      <w:r>
        <w:br w:type="page"/>
      </w:r>
    </w:p>
    <w:p w14:paraId="200D25AB" w14:textId="77777777" w:rsidR="007B4C0F" w:rsidRPr="00D70799" w:rsidRDefault="007B4C0F" w:rsidP="009E2178">
      <w:pPr>
        <w:pStyle w:val="naisf"/>
        <w:spacing w:before="0" w:after="0"/>
        <w:ind w:firstLine="0"/>
        <w:rPr>
          <w:b/>
          <w:sz w:val="20"/>
          <w:szCs w:val="20"/>
        </w:rPr>
      </w:pPr>
      <w:r w:rsidRPr="00D70799">
        <w:rPr>
          <w:b/>
          <w:sz w:val="20"/>
          <w:szCs w:val="20"/>
        </w:rPr>
        <w:lastRenderedPageBreak/>
        <w:t>II. </w:t>
      </w:r>
      <w:r w:rsidR="00134188" w:rsidRPr="00D70799">
        <w:rPr>
          <w:b/>
          <w:sz w:val="20"/>
          <w:szCs w:val="20"/>
        </w:rPr>
        <w:t>Jautājumi, par kuriem saskaņošanā vienošan</w:t>
      </w:r>
      <w:r w:rsidR="00144622" w:rsidRPr="00D70799">
        <w:rPr>
          <w:b/>
          <w:sz w:val="20"/>
          <w:szCs w:val="20"/>
        </w:rPr>
        <w:t>ā</w:t>
      </w:r>
      <w:r w:rsidR="00134188" w:rsidRPr="00D70799">
        <w:rPr>
          <w:b/>
          <w:sz w:val="20"/>
          <w:szCs w:val="20"/>
        </w:rPr>
        <w:t>s ir panākta</w:t>
      </w:r>
    </w:p>
    <w:tbl>
      <w:tblPr>
        <w:tblW w:w="527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2393"/>
        <w:gridCol w:w="4961"/>
        <w:gridCol w:w="3238"/>
        <w:gridCol w:w="2887"/>
      </w:tblGrid>
      <w:tr w:rsidR="000D6CDB" w:rsidRPr="00D70799" w14:paraId="1AE1E91F" w14:textId="77777777" w:rsidTr="002D2043">
        <w:trPr>
          <w:trHeight w:val="148"/>
        </w:trPr>
        <w:tc>
          <w:tcPr>
            <w:tcW w:w="438" w:type="pct"/>
            <w:shd w:val="clear" w:color="auto" w:fill="FFFFFF" w:themeFill="background1"/>
            <w:vAlign w:val="center"/>
          </w:tcPr>
          <w:p w14:paraId="336AD408" w14:textId="77777777" w:rsidR="00134188" w:rsidRPr="00D70799" w:rsidRDefault="003903CE" w:rsidP="009E2178">
            <w:pPr>
              <w:pStyle w:val="naisc"/>
              <w:spacing w:before="0" w:after="0"/>
              <w:jc w:val="both"/>
              <w:rPr>
                <w:sz w:val="20"/>
                <w:szCs w:val="20"/>
              </w:rPr>
            </w:pPr>
            <w:r w:rsidRPr="00D70799">
              <w:rPr>
                <w:sz w:val="20"/>
                <w:szCs w:val="20"/>
              </w:rPr>
              <w:t>Nr.</w:t>
            </w:r>
            <w:r w:rsidR="00690E99" w:rsidRPr="00D70799">
              <w:rPr>
                <w:sz w:val="20"/>
                <w:szCs w:val="20"/>
              </w:rPr>
              <w:t xml:space="preserve"> </w:t>
            </w:r>
            <w:r w:rsidR="00134188" w:rsidRPr="00D70799">
              <w:rPr>
                <w:sz w:val="20"/>
                <w:szCs w:val="20"/>
              </w:rPr>
              <w:t>p.k.</w:t>
            </w:r>
          </w:p>
        </w:tc>
        <w:tc>
          <w:tcPr>
            <w:tcW w:w="810" w:type="pct"/>
            <w:vAlign w:val="center"/>
          </w:tcPr>
          <w:p w14:paraId="2455189D" w14:textId="77777777" w:rsidR="00134188" w:rsidRPr="00D70799" w:rsidRDefault="00134188" w:rsidP="009E2178">
            <w:pPr>
              <w:pStyle w:val="naisc"/>
              <w:spacing w:before="0" w:after="0"/>
              <w:ind w:firstLine="12"/>
              <w:jc w:val="both"/>
              <w:rPr>
                <w:sz w:val="20"/>
                <w:szCs w:val="20"/>
              </w:rPr>
            </w:pPr>
            <w:r w:rsidRPr="00D70799">
              <w:rPr>
                <w:sz w:val="20"/>
                <w:szCs w:val="20"/>
              </w:rPr>
              <w:t>Saskaņošanai nosūtītā projekta redakcija (konkrēta punkta (panta) redakcija)</w:t>
            </w:r>
          </w:p>
        </w:tc>
        <w:tc>
          <w:tcPr>
            <w:tcW w:w="1679" w:type="pct"/>
            <w:vAlign w:val="center"/>
          </w:tcPr>
          <w:p w14:paraId="6F9E137A" w14:textId="77777777" w:rsidR="00134188" w:rsidRPr="00D70799" w:rsidRDefault="00134188" w:rsidP="009E2178">
            <w:pPr>
              <w:pStyle w:val="naisc"/>
              <w:spacing w:before="0" w:after="0"/>
              <w:jc w:val="both"/>
              <w:rPr>
                <w:sz w:val="20"/>
                <w:szCs w:val="20"/>
              </w:rPr>
            </w:pPr>
            <w:r w:rsidRPr="00D70799">
              <w:rPr>
                <w:sz w:val="20"/>
                <w:szCs w:val="20"/>
              </w:rPr>
              <w:t>Atzinumā norādītais ministrijas (citas institūcijas) iebildums, kā arī saskaņošanā papildus izteiktais iebildums par projekta konkrēto punktu (pantu)</w:t>
            </w:r>
          </w:p>
        </w:tc>
        <w:tc>
          <w:tcPr>
            <w:tcW w:w="1096" w:type="pct"/>
            <w:vAlign w:val="center"/>
          </w:tcPr>
          <w:p w14:paraId="1E5E245C" w14:textId="77777777" w:rsidR="00134188" w:rsidRPr="00D70799" w:rsidRDefault="00134188" w:rsidP="009E2178">
            <w:pPr>
              <w:pStyle w:val="naisc"/>
              <w:spacing w:before="0" w:after="0"/>
              <w:ind w:firstLine="21"/>
              <w:jc w:val="both"/>
              <w:rPr>
                <w:sz w:val="20"/>
                <w:szCs w:val="20"/>
              </w:rPr>
            </w:pPr>
            <w:r w:rsidRPr="00D70799">
              <w:rPr>
                <w:sz w:val="20"/>
                <w:szCs w:val="20"/>
              </w:rPr>
              <w:t>Atbildīgās ministrijas norāde</w:t>
            </w:r>
            <w:r w:rsidR="006C1C48" w:rsidRPr="00D70799">
              <w:rPr>
                <w:sz w:val="20"/>
                <w:szCs w:val="20"/>
              </w:rPr>
              <w:t xml:space="preserve"> par to, ka </w:t>
            </w:r>
            <w:r w:rsidRPr="00D70799">
              <w:rPr>
                <w:sz w:val="20"/>
                <w:szCs w:val="20"/>
              </w:rPr>
              <w:t>iebildums ir ņemts vērā</w:t>
            </w:r>
            <w:r w:rsidR="006455E7" w:rsidRPr="00D70799">
              <w:rPr>
                <w:sz w:val="20"/>
                <w:szCs w:val="20"/>
              </w:rPr>
              <w:t>,</w:t>
            </w:r>
            <w:r w:rsidRPr="00D70799">
              <w:rPr>
                <w:sz w:val="20"/>
                <w:szCs w:val="20"/>
              </w:rPr>
              <w:t xml:space="preserve"> vai </w:t>
            </w:r>
            <w:r w:rsidR="006C1C48" w:rsidRPr="00D70799">
              <w:rPr>
                <w:sz w:val="20"/>
                <w:szCs w:val="20"/>
              </w:rPr>
              <w:t xml:space="preserve">informācija par saskaņošanā </w:t>
            </w:r>
            <w:r w:rsidR="00022B0F" w:rsidRPr="00D70799">
              <w:rPr>
                <w:sz w:val="20"/>
                <w:szCs w:val="20"/>
              </w:rPr>
              <w:t>panākto alternatīvo risinājumu</w:t>
            </w:r>
          </w:p>
        </w:tc>
        <w:tc>
          <w:tcPr>
            <w:tcW w:w="977" w:type="pct"/>
            <w:vAlign w:val="center"/>
          </w:tcPr>
          <w:p w14:paraId="1CA5ACC6" w14:textId="77777777" w:rsidR="00134188" w:rsidRPr="00D70799" w:rsidRDefault="00134188" w:rsidP="009E2178">
            <w:pPr>
              <w:jc w:val="both"/>
              <w:rPr>
                <w:sz w:val="20"/>
                <w:szCs w:val="20"/>
              </w:rPr>
            </w:pPr>
            <w:r w:rsidRPr="00D70799">
              <w:rPr>
                <w:sz w:val="20"/>
                <w:szCs w:val="20"/>
              </w:rPr>
              <w:t>Projekta attiecīgā punkta (panta) galīgā redakcija</w:t>
            </w:r>
          </w:p>
        </w:tc>
      </w:tr>
      <w:tr w:rsidR="000D6CDB" w:rsidRPr="00D70799" w14:paraId="270351AB" w14:textId="77777777" w:rsidTr="002D2043">
        <w:trPr>
          <w:trHeight w:val="283"/>
        </w:trPr>
        <w:tc>
          <w:tcPr>
            <w:tcW w:w="438" w:type="pct"/>
            <w:shd w:val="clear" w:color="auto" w:fill="FFFFFF" w:themeFill="background1"/>
          </w:tcPr>
          <w:p w14:paraId="67B8FEC9" w14:textId="77777777" w:rsidR="00134188" w:rsidRPr="00D70799" w:rsidRDefault="003B71E0" w:rsidP="009E2178">
            <w:pPr>
              <w:pStyle w:val="naisc"/>
              <w:spacing w:before="0" w:after="0"/>
              <w:rPr>
                <w:sz w:val="20"/>
                <w:szCs w:val="20"/>
              </w:rPr>
            </w:pPr>
            <w:r w:rsidRPr="00D70799">
              <w:rPr>
                <w:sz w:val="20"/>
                <w:szCs w:val="20"/>
              </w:rPr>
              <w:t>1</w:t>
            </w:r>
          </w:p>
        </w:tc>
        <w:tc>
          <w:tcPr>
            <w:tcW w:w="810" w:type="pct"/>
          </w:tcPr>
          <w:p w14:paraId="3F134B86" w14:textId="77777777" w:rsidR="00134188" w:rsidRPr="00D70799" w:rsidRDefault="00F34AAB" w:rsidP="009E2178">
            <w:pPr>
              <w:pStyle w:val="naisc"/>
              <w:spacing w:before="0" w:after="0"/>
              <w:ind w:firstLine="720"/>
              <w:rPr>
                <w:sz w:val="20"/>
                <w:szCs w:val="20"/>
              </w:rPr>
            </w:pPr>
            <w:r w:rsidRPr="00D70799">
              <w:rPr>
                <w:sz w:val="20"/>
                <w:szCs w:val="20"/>
              </w:rPr>
              <w:t>2</w:t>
            </w:r>
          </w:p>
        </w:tc>
        <w:tc>
          <w:tcPr>
            <w:tcW w:w="1679" w:type="pct"/>
          </w:tcPr>
          <w:p w14:paraId="624519BC" w14:textId="77777777" w:rsidR="00134188" w:rsidRPr="00D70799" w:rsidRDefault="003B71E0" w:rsidP="009E2178">
            <w:pPr>
              <w:pStyle w:val="naisc"/>
              <w:spacing w:before="0" w:after="0"/>
              <w:ind w:firstLine="720"/>
              <w:rPr>
                <w:sz w:val="20"/>
                <w:szCs w:val="20"/>
              </w:rPr>
            </w:pPr>
            <w:r w:rsidRPr="00D70799">
              <w:rPr>
                <w:sz w:val="20"/>
                <w:szCs w:val="20"/>
              </w:rPr>
              <w:t>3</w:t>
            </w:r>
          </w:p>
        </w:tc>
        <w:tc>
          <w:tcPr>
            <w:tcW w:w="1096" w:type="pct"/>
          </w:tcPr>
          <w:p w14:paraId="0FF93B22" w14:textId="77777777" w:rsidR="00134188" w:rsidRPr="00D70799" w:rsidRDefault="003B71E0" w:rsidP="009E2178">
            <w:pPr>
              <w:pStyle w:val="naisc"/>
              <w:spacing w:before="0" w:after="0"/>
              <w:rPr>
                <w:sz w:val="20"/>
                <w:szCs w:val="20"/>
              </w:rPr>
            </w:pPr>
            <w:r w:rsidRPr="00D70799">
              <w:rPr>
                <w:sz w:val="20"/>
                <w:szCs w:val="20"/>
              </w:rPr>
              <w:t>4</w:t>
            </w:r>
          </w:p>
        </w:tc>
        <w:tc>
          <w:tcPr>
            <w:tcW w:w="977" w:type="pct"/>
          </w:tcPr>
          <w:p w14:paraId="675E482A" w14:textId="77777777" w:rsidR="00134188" w:rsidRPr="00D70799" w:rsidRDefault="003B71E0" w:rsidP="009E2178">
            <w:pPr>
              <w:jc w:val="center"/>
              <w:rPr>
                <w:sz w:val="20"/>
                <w:szCs w:val="20"/>
              </w:rPr>
            </w:pPr>
            <w:r w:rsidRPr="00D70799">
              <w:rPr>
                <w:sz w:val="20"/>
                <w:szCs w:val="20"/>
              </w:rPr>
              <w:t>5</w:t>
            </w:r>
          </w:p>
        </w:tc>
      </w:tr>
      <w:tr w:rsidR="004930E9" w:rsidRPr="00D70799" w14:paraId="18515B51" w14:textId="77777777" w:rsidTr="002D2043">
        <w:trPr>
          <w:trHeight w:val="274"/>
        </w:trPr>
        <w:tc>
          <w:tcPr>
            <w:tcW w:w="438" w:type="pct"/>
            <w:shd w:val="clear" w:color="auto" w:fill="FFFFFF" w:themeFill="background1"/>
          </w:tcPr>
          <w:p w14:paraId="521A8186" w14:textId="77777777" w:rsidR="004930E9" w:rsidRPr="00D70799" w:rsidRDefault="004930E9" w:rsidP="000B0AB5">
            <w:pPr>
              <w:numPr>
                <w:ilvl w:val="0"/>
                <w:numId w:val="31"/>
              </w:numPr>
              <w:tabs>
                <w:tab w:val="center" w:pos="284"/>
              </w:tabs>
              <w:ind w:left="0" w:firstLine="0"/>
              <w:jc w:val="center"/>
              <w:rPr>
                <w:sz w:val="20"/>
                <w:szCs w:val="20"/>
              </w:rPr>
            </w:pPr>
          </w:p>
        </w:tc>
        <w:tc>
          <w:tcPr>
            <w:tcW w:w="810" w:type="pct"/>
            <w:shd w:val="clear" w:color="auto" w:fill="auto"/>
          </w:tcPr>
          <w:p w14:paraId="5DE7D3D6" w14:textId="19E52F66" w:rsidR="004930E9" w:rsidRPr="000B0AB5" w:rsidRDefault="000B0AB5" w:rsidP="004E3681">
            <w:pPr>
              <w:pStyle w:val="ListParagraph"/>
              <w:ind w:left="0"/>
              <w:jc w:val="both"/>
              <w:rPr>
                <w:rFonts w:ascii="Times New Roman" w:hAnsi="Times New Roman"/>
                <w:sz w:val="20"/>
                <w:szCs w:val="20"/>
              </w:rPr>
            </w:pPr>
            <w:r w:rsidRPr="000B0AB5">
              <w:rPr>
                <w:rFonts w:ascii="Times New Roman" w:hAnsi="Times New Roman"/>
                <w:sz w:val="20"/>
                <w:szCs w:val="20"/>
              </w:rPr>
              <w:t>“1.1. papildināt norādi, uz kāda likuma pamata noteikumi ir izdoti, aiz skaitļa un vārda “3.2 punktu” ar skaitli un vārdiem “un 30. panta septīto daļu”</w:t>
            </w:r>
          </w:p>
        </w:tc>
        <w:tc>
          <w:tcPr>
            <w:tcW w:w="1679" w:type="pct"/>
            <w:shd w:val="clear" w:color="auto" w:fill="auto"/>
          </w:tcPr>
          <w:p w14:paraId="175FCCEC" w14:textId="20BEF1CA" w:rsidR="000B0AB5" w:rsidRDefault="000B0AB5" w:rsidP="000B0AB5">
            <w:pPr>
              <w:pStyle w:val="Default"/>
              <w:adjustRightInd/>
              <w:jc w:val="both"/>
              <w:rPr>
                <w:b/>
                <w:color w:val="auto"/>
                <w:sz w:val="20"/>
                <w:szCs w:val="20"/>
              </w:rPr>
            </w:pPr>
            <w:r>
              <w:rPr>
                <w:b/>
                <w:color w:val="auto"/>
                <w:sz w:val="20"/>
                <w:szCs w:val="20"/>
              </w:rPr>
              <w:t xml:space="preserve"> TM:</w:t>
            </w:r>
          </w:p>
          <w:p w14:paraId="21B690A3" w14:textId="51452D36" w:rsidR="004930E9" w:rsidRPr="004930E9" w:rsidRDefault="000B0AB5" w:rsidP="000B0AB5">
            <w:pPr>
              <w:pStyle w:val="Default"/>
              <w:adjustRightInd/>
              <w:jc w:val="both"/>
              <w:rPr>
                <w:b/>
                <w:color w:val="auto"/>
                <w:sz w:val="20"/>
                <w:szCs w:val="20"/>
              </w:rPr>
            </w:pPr>
            <w:r w:rsidRPr="00460515">
              <w:rPr>
                <w:color w:val="auto"/>
                <w:sz w:val="20"/>
                <w:szCs w:val="20"/>
              </w:rPr>
              <w:t>Projekta par izglītības iestāžu finansēšanu 1.1. apakšpunkts paredz papildināt norādi uz izglītības iestāžu finansēšanas noteikumu izdošanas tiesisko pamatu ar Vispārējās izglītības likuma 30. panta septīto daļu, kas pilnvaro Ministru kabinetu noteikt prasības to pamatizglītības programmu izstrādei, kuras kādā no mācību jomām vai daļā no jomas nosaka augstākus izglītības satura apguves plānotos rezultātus par valsts vispārējās izglītības standartā noteiktajiem vispārējās izglītības obligātā satura apguves plānotajiem rezultātiem, prasības izglītības satura apguvē sasniedzamajiem rezultātiem mācību jomā vai daļā no jomas, kā arī nosacījumus un kārtību, kādā piešķir papildu valsts budžeta finansējumu šo pamatizglītības programmu īstenošanā iesaistīto pedagogu darba samaksai. No projekta par izglītības iestāžu finansēšanu anotācijas izriet, ka ar projektu par izglītības iestāžu finansēšanu paredzēts izpildīt Ministru kabinetam doto pilnvarojumu noteikt nosacījumus un kārtību, kādā piešķir papildu valsts budžeta finansējumu šo pamatizglītības programmu īstenošanā iesaistīto pedagogu darba samaksai. Ņemot vērā to, ka izglītības iestāžu finansēšanas noteikumi neparedz papildu valsts budžeta finansējuma piešķiršanu, ko paredzēts noteikt ar projektu par izglītības iestāžu finansēšanu, vienlaikus nepieciešams papildināt izglītības iestāžu finansēšanas noteikumu 1. punktu atbilstoši Ministru kabineta 2009. gada 3. februāra noteikumu Nr. 108 "Normatīvo aktu projektu sagatavošanas noteikumi" 100. punktā noteiktajam. Līdz ar to lūdzam papildināt projektu par izglītības iestāžu finansēšanu ar jaunu punktu.</w:t>
            </w:r>
          </w:p>
        </w:tc>
        <w:tc>
          <w:tcPr>
            <w:tcW w:w="1096" w:type="pct"/>
            <w:shd w:val="clear" w:color="auto" w:fill="auto"/>
          </w:tcPr>
          <w:p w14:paraId="56EA242B" w14:textId="77777777" w:rsidR="000B0AB5" w:rsidRPr="000B0AB5" w:rsidRDefault="000B0AB5" w:rsidP="000B0AB5">
            <w:pPr>
              <w:jc w:val="both"/>
              <w:rPr>
                <w:b/>
                <w:sz w:val="20"/>
                <w:szCs w:val="20"/>
              </w:rPr>
            </w:pPr>
            <w:r w:rsidRPr="000B0AB5">
              <w:rPr>
                <w:b/>
                <w:sz w:val="20"/>
                <w:szCs w:val="20"/>
              </w:rPr>
              <w:t>Ņemts vērā.</w:t>
            </w:r>
          </w:p>
          <w:p w14:paraId="6F7A65E7" w14:textId="77777777" w:rsidR="000B0AB5" w:rsidRPr="000B0AB5" w:rsidRDefault="000B0AB5" w:rsidP="000B0AB5">
            <w:pPr>
              <w:jc w:val="both"/>
              <w:rPr>
                <w:b/>
                <w:sz w:val="20"/>
                <w:szCs w:val="20"/>
              </w:rPr>
            </w:pPr>
          </w:p>
          <w:p w14:paraId="45A4386B" w14:textId="77777777" w:rsidR="000B0AB5" w:rsidRPr="000B0AB5" w:rsidRDefault="000B0AB5" w:rsidP="000B0AB5">
            <w:pPr>
              <w:jc w:val="both"/>
              <w:rPr>
                <w:sz w:val="20"/>
                <w:szCs w:val="20"/>
              </w:rPr>
            </w:pPr>
            <w:r w:rsidRPr="000B0AB5">
              <w:rPr>
                <w:sz w:val="20"/>
                <w:szCs w:val="20"/>
              </w:rPr>
              <w:t>Ņemot vērā, ka 1.2.apakšpunktā ir atrunāts saīsinājums, tad tiek precizēts arī 7.1 punkts šādā redakcijā:</w:t>
            </w:r>
          </w:p>
          <w:p w14:paraId="73D77329" w14:textId="4815311E" w:rsidR="004930E9" w:rsidRDefault="000B0AB5" w:rsidP="000B0AB5">
            <w:pPr>
              <w:jc w:val="both"/>
              <w:rPr>
                <w:b/>
                <w:sz w:val="20"/>
                <w:szCs w:val="20"/>
              </w:rPr>
            </w:pPr>
            <w:r w:rsidRPr="000B0AB5">
              <w:rPr>
                <w:sz w:val="20"/>
                <w:szCs w:val="20"/>
              </w:rPr>
              <w:t>“7.1 Ministrija piešķir papildu finansējumu to pedagogu darba samaksai, kuri iesaistīti pamatizglītības programmu ar augstākiem plānotajiem rezultātiem īstenošanā, ja izglītības iestāde […]”</w:t>
            </w:r>
          </w:p>
        </w:tc>
        <w:tc>
          <w:tcPr>
            <w:tcW w:w="977" w:type="pct"/>
            <w:shd w:val="clear" w:color="auto" w:fill="auto"/>
          </w:tcPr>
          <w:p w14:paraId="7713E086" w14:textId="77777777" w:rsidR="000B0AB5" w:rsidRPr="009857F7" w:rsidRDefault="000B0AB5" w:rsidP="000B0AB5">
            <w:pPr>
              <w:pStyle w:val="naisc"/>
              <w:spacing w:before="0" w:after="0"/>
              <w:jc w:val="both"/>
              <w:rPr>
                <w:sz w:val="20"/>
                <w:szCs w:val="20"/>
              </w:rPr>
            </w:pPr>
            <w:r w:rsidRPr="009857F7">
              <w:rPr>
                <w:sz w:val="20"/>
                <w:szCs w:val="20"/>
              </w:rPr>
              <w:t>“1. Noteikumi nosaka:</w:t>
            </w:r>
          </w:p>
          <w:p w14:paraId="5099696B" w14:textId="77777777" w:rsidR="000B0AB5" w:rsidRPr="009857F7" w:rsidRDefault="000B0AB5" w:rsidP="000B0AB5">
            <w:pPr>
              <w:pStyle w:val="naisc"/>
              <w:spacing w:before="0" w:after="0"/>
              <w:jc w:val="both"/>
              <w:rPr>
                <w:sz w:val="20"/>
                <w:szCs w:val="20"/>
              </w:rPr>
            </w:pPr>
            <w:r w:rsidRPr="009857F7">
              <w:rPr>
                <w:sz w:val="20"/>
                <w:szCs w:val="20"/>
              </w:rPr>
              <w:t>1.1.</w:t>
            </w:r>
            <w:r w:rsidRPr="009857F7">
              <w:rPr>
                <w:sz w:val="20"/>
                <w:szCs w:val="20"/>
              </w:rPr>
              <w:tab/>
              <w:t>kārtību, kādā aprēķina un sadala valsts budžeta mērķdotāciju (turpmāk – mērķdotācija) pašvaldību izglītības iestādēm bērnu no piecu gadu vecuma izglītošanā nodarbināto pirmsskolas izglītības pedagogu darba samaksai un pašvaldību vispārējās pamatizglītības un vispārējās vidējās izglītības iestāžu, kā arī valsts augstskolu vispārējās vidējās izglītības iestāžu pedagogu (turpmāk – pedagogi) darba samaksai;</w:t>
            </w:r>
          </w:p>
          <w:p w14:paraId="2B69E3B5" w14:textId="286E07B6" w:rsidR="004930E9" w:rsidRPr="002B5C7C" w:rsidRDefault="000B0AB5" w:rsidP="000B0AB5">
            <w:pPr>
              <w:jc w:val="both"/>
              <w:rPr>
                <w:sz w:val="20"/>
                <w:szCs w:val="20"/>
              </w:rPr>
            </w:pPr>
            <w:r w:rsidRPr="009857F7">
              <w:rPr>
                <w:sz w:val="20"/>
                <w:szCs w:val="20"/>
              </w:rPr>
              <w:t>1.2.</w:t>
            </w:r>
            <w:r w:rsidRPr="009857F7">
              <w:rPr>
                <w:sz w:val="20"/>
                <w:szCs w:val="20"/>
              </w:rPr>
              <w:tab/>
              <w:t>nosacījumus un kārtību, kādā piešķir papildu valsts budžeta finansējumu pamatizglītības programmu, kas kādā no mācību jomām vai daļā no jomas nosaka augstākus izglītības satura apguves plānotos rezultātus par valsts vispārējās izglītības standartā noteiktajiem vispārējās izglītības obligātā satura apguves plānotajiem rezultātiem (turpmāk – pamatizglītības programma ar augstākiem plānotajiem rezultātiem), īstenošanā iesaistīto pedagogu darba samaksai.””</w:t>
            </w:r>
          </w:p>
        </w:tc>
      </w:tr>
      <w:tr w:rsidR="000D3A0A" w:rsidRPr="00D70799" w14:paraId="34446235" w14:textId="77777777" w:rsidTr="002D2043">
        <w:trPr>
          <w:trHeight w:val="274"/>
        </w:trPr>
        <w:tc>
          <w:tcPr>
            <w:tcW w:w="438" w:type="pct"/>
            <w:shd w:val="clear" w:color="auto" w:fill="FFFFFF" w:themeFill="background1"/>
          </w:tcPr>
          <w:p w14:paraId="4A6EB33E" w14:textId="77777777" w:rsidR="000D3A0A" w:rsidRPr="00D70799" w:rsidRDefault="000D3A0A" w:rsidP="000D3A0A">
            <w:pPr>
              <w:numPr>
                <w:ilvl w:val="0"/>
                <w:numId w:val="31"/>
              </w:numPr>
              <w:tabs>
                <w:tab w:val="center" w:pos="284"/>
              </w:tabs>
              <w:ind w:left="0" w:firstLine="0"/>
              <w:jc w:val="center"/>
              <w:rPr>
                <w:sz w:val="20"/>
                <w:szCs w:val="20"/>
              </w:rPr>
            </w:pPr>
          </w:p>
        </w:tc>
        <w:tc>
          <w:tcPr>
            <w:tcW w:w="810" w:type="pct"/>
            <w:shd w:val="clear" w:color="auto" w:fill="auto"/>
          </w:tcPr>
          <w:p w14:paraId="13DF2EF6" w14:textId="3E785B81" w:rsidR="000D3A0A" w:rsidRPr="00FF1073" w:rsidRDefault="000D3A0A" w:rsidP="000D3A0A">
            <w:pPr>
              <w:pStyle w:val="naisc"/>
              <w:jc w:val="both"/>
              <w:rPr>
                <w:sz w:val="20"/>
                <w:szCs w:val="20"/>
              </w:rPr>
            </w:pPr>
            <w:r w:rsidRPr="00FF1073">
              <w:rPr>
                <w:sz w:val="20"/>
                <w:szCs w:val="20"/>
              </w:rPr>
              <w:t xml:space="preserve">“7.5. valsts ģimnāziju īstenotajās programmās skolēnu skaitam 10.–12. </w:t>
            </w:r>
            <w:r w:rsidRPr="00FF1073">
              <w:rPr>
                <w:sz w:val="20"/>
                <w:szCs w:val="20"/>
              </w:rPr>
              <w:lastRenderedPageBreak/>
              <w:t>klasēs piemēro koeficientu</w:t>
            </w:r>
            <w:r>
              <w:rPr>
                <w:sz w:val="20"/>
                <w:szCs w:val="20"/>
              </w:rPr>
              <w:t xml:space="preserve"> 1,22;”</w:t>
            </w:r>
          </w:p>
        </w:tc>
        <w:tc>
          <w:tcPr>
            <w:tcW w:w="1679" w:type="pct"/>
            <w:shd w:val="clear" w:color="auto" w:fill="auto"/>
            <w:vAlign w:val="center"/>
          </w:tcPr>
          <w:p w14:paraId="3F0FB49E" w14:textId="77777777" w:rsidR="000D3A0A" w:rsidRPr="00D70799" w:rsidRDefault="000D3A0A" w:rsidP="000D3A0A">
            <w:pPr>
              <w:pStyle w:val="Default"/>
              <w:adjustRightInd/>
              <w:jc w:val="both"/>
              <w:rPr>
                <w:b/>
                <w:color w:val="auto"/>
                <w:sz w:val="20"/>
                <w:szCs w:val="20"/>
              </w:rPr>
            </w:pPr>
            <w:r>
              <w:rPr>
                <w:b/>
                <w:color w:val="auto"/>
                <w:sz w:val="20"/>
                <w:szCs w:val="20"/>
              </w:rPr>
              <w:lastRenderedPageBreak/>
              <w:t>LIZDA:</w:t>
            </w:r>
          </w:p>
          <w:p w14:paraId="5890E8C3" w14:textId="77777777" w:rsidR="000D3A0A" w:rsidRPr="00FF1073" w:rsidRDefault="000D3A0A" w:rsidP="000D3A0A">
            <w:pPr>
              <w:pStyle w:val="Default"/>
              <w:jc w:val="both"/>
              <w:rPr>
                <w:color w:val="auto"/>
                <w:sz w:val="20"/>
                <w:szCs w:val="20"/>
              </w:rPr>
            </w:pPr>
            <w:r>
              <w:rPr>
                <w:color w:val="auto"/>
                <w:sz w:val="20"/>
                <w:szCs w:val="20"/>
              </w:rPr>
              <w:t>Rosina</w:t>
            </w:r>
            <w:r w:rsidRPr="00FF1073">
              <w:rPr>
                <w:color w:val="auto"/>
                <w:sz w:val="20"/>
                <w:szCs w:val="20"/>
              </w:rPr>
              <w:t xml:space="preserve"> 1.4 grozījumā 7.5. apakšpunktu izteikt šādā redakcijā:</w:t>
            </w:r>
          </w:p>
          <w:p w14:paraId="4A3E7919" w14:textId="77777777" w:rsidR="000D3A0A" w:rsidRPr="00FF1073" w:rsidRDefault="000D3A0A" w:rsidP="000D3A0A">
            <w:pPr>
              <w:pStyle w:val="Default"/>
              <w:jc w:val="both"/>
              <w:rPr>
                <w:color w:val="auto"/>
                <w:sz w:val="20"/>
                <w:szCs w:val="20"/>
              </w:rPr>
            </w:pPr>
            <w:r w:rsidRPr="00FF1073">
              <w:rPr>
                <w:color w:val="auto"/>
                <w:sz w:val="20"/>
                <w:szCs w:val="20"/>
              </w:rPr>
              <w:lastRenderedPageBreak/>
              <w:t>“7.5. valsts ģimnāziju īstenotajās programmās skolēnu skaitam 7.–12. klasēs piemēro koeficientu 1,22 un visās pārējās izglītības iestādēs, kurās īsteno vidējās izglītības programmas skolēnu skaitam 10. –12. klasēs piemēro koeficientu 1,1;</w:t>
            </w:r>
          </w:p>
          <w:p w14:paraId="59B8A260" w14:textId="77777777" w:rsidR="000D3A0A" w:rsidRPr="00FF1073" w:rsidRDefault="000D3A0A" w:rsidP="000D3A0A">
            <w:pPr>
              <w:pStyle w:val="Default"/>
              <w:jc w:val="both"/>
              <w:rPr>
                <w:color w:val="auto"/>
                <w:sz w:val="20"/>
                <w:szCs w:val="20"/>
              </w:rPr>
            </w:pPr>
            <w:r w:rsidRPr="00FF1073">
              <w:rPr>
                <w:color w:val="auto"/>
                <w:sz w:val="20"/>
                <w:szCs w:val="20"/>
              </w:rPr>
              <w:t xml:space="preserve">Iebilstam pret papildus koeficienta 1,22 piemērošanu valsts ģimnāziju skolēnu skaitam tikai 10. – 12.klasēs un prasām  piemērot šo koeficientu skolēnu skaitam 7. – 12.klasēs. Vēršam uzmanību, ka noteikumu projektā “Kritēriji un kārtība, kādā tiek piešķirts un anulēts valsts ģimnāzijas statuss”, kas tika izsludināts VSS 2020.gada 5.martā ir noteikti kritēriji, kuru izpildi var nodrošināt tikai tad, ja iesaistās visi izglītības iestādes pedagogi un izglītojamie. Saskatām pretrunu - tiek noteikti papildus kritēriji Valsts ģimnāzijas statusam, bet finansējums to īstenošanai tiek samazināts un tiek diskriminēti vienā izglītības iestādē strādājoši pedagogi. Valsts ģimnāzijas līdz šim ir veikušas metodiskā darba funkcijas reģionā ne tikai vidusskolas posmā, bet arī pamatizglītības posmā. Metodiskā darba īstenošanā iesaistījās arī ģimnāziju pamatizglītības posmā strādājoši pedagogi. LIZDA norāda, ka finansējums samazināsies Valsts ģimnāzijām reģionos, jo, piemēram, 7.-9.klasēs skolēnu skaits ir divreiz lielāks (5-7 paralēlklases), bet 10.-12. klasēs  - 3 paralēlklases.  Grozījumu projektā plānotais koeficients 1,22 nenosegs mērķdotācijas zaudējumu. Grozījumu projekta redakcija norāda, ka piemaksa pienāksies tikai vidusskolas posmā strādājošajiem. Priekšlikums ir saglabāt papildus piemaksu 10.-12.klašu pedagogiem, neatņemot šobrīd esošo piemaksu 7.-9.klašu pedagogiem. LIZDA turpmākai diskusijai par grozījumu Nr.1.4. pieprasa IZM papildināt grozījumu projekta anotāciju ar: </w:t>
            </w:r>
          </w:p>
          <w:p w14:paraId="1B3A251A" w14:textId="77777777" w:rsidR="000D3A0A" w:rsidRPr="00FF1073" w:rsidRDefault="000D3A0A" w:rsidP="000D3A0A">
            <w:pPr>
              <w:pStyle w:val="Default"/>
              <w:jc w:val="both"/>
              <w:rPr>
                <w:color w:val="auto"/>
                <w:sz w:val="20"/>
                <w:szCs w:val="20"/>
              </w:rPr>
            </w:pPr>
            <w:r w:rsidRPr="00FF1073">
              <w:rPr>
                <w:color w:val="auto"/>
                <w:sz w:val="20"/>
                <w:szCs w:val="20"/>
              </w:rPr>
              <w:t>a) skaitļos balstītiem faktiem, ka finansējums nevienā no Latvijas izglītības iestādēm saistībā ar koeficienta maiņu (7.-9.klasēm) netiek samazināts;</w:t>
            </w:r>
          </w:p>
          <w:p w14:paraId="74195A3F" w14:textId="20AE2353" w:rsidR="000D3A0A" w:rsidRPr="00FF1073" w:rsidRDefault="000D3A0A" w:rsidP="000D3A0A">
            <w:pPr>
              <w:pStyle w:val="naisc"/>
              <w:jc w:val="both"/>
              <w:rPr>
                <w:b/>
                <w:sz w:val="20"/>
                <w:szCs w:val="20"/>
              </w:rPr>
            </w:pPr>
            <w:r w:rsidRPr="00FF1073">
              <w:rPr>
                <w:sz w:val="20"/>
                <w:szCs w:val="20"/>
              </w:rPr>
              <w:t xml:space="preserve"> b) skaidrojumu, ka koeficients 1.22, attiecas, tikai uz kopējās mērķdotācijas valsts ģimnāzijai aprēķinu, bet šis finansējums netiek “iezīmēts” tikai un vienīgi 10.-12.klašu pedagogu darba samaksai, bet gan attiecināms uz visu ģimnāzijas pedagogu darba samaksu.</w:t>
            </w:r>
          </w:p>
        </w:tc>
        <w:tc>
          <w:tcPr>
            <w:tcW w:w="1096" w:type="pct"/>
            <w:shd w:val="clear" w:color="auto" w:fill="auto"/>
          </w:tcPr>
          <w:p w14:paraId="0C37B926" w14:textId="06B14E25" w:rsidR="000D3A0A" w:rsidRDefault="000D3A0A" w:rsidP="000D3A0A">
            <w:pPr>
              <w:jc w:val="both"/>
              <w:rPr>
                <w:b/>
                <w:sz w:val="20"/>
                <w:szCs w:val="20"/>
              </w:rPr>
            </w:pPr>
            <w:r>
              <w:rPr>
                <w:b/>
                <w:sz w:val="20"/>
                <w:szCs w:val="20"/>
              </w:rPr>
              <w:lastRenderedPageBreak/>
              <w:t xml:space="preserve">Saskaņošanas sanāksmē panākta vienošanās. </w:t>
            </w:r>
          </w:p>
          <w:p w14:paraId="5B0F882E" w14:textId="4D94A6F9" w:rsidR="000D3A0A" w:rsidRDefault="000D3A0A" w:rsidP="000D3A0A">
            <w:pPr>
              <w:jc w:val="both"/>
              <w:rPr>
                <w:b/>
                <w:sz w:val="20"/>
                <w:szCs w:val="20"/>
              </w:rPr>
            </w:pPr>
            <w:r>
              <w:rPr>
                <w:b/>
                <w:sz w:val="20"/>
                <w:szCs w:val="20"/>
              </w:rPr>
              <w:lastRenderedPageBreak/>
              <w:t xml:space="preserve">Papildināta anotācija ar izziņā iekļauto informāciju. </w:t>
            </w:r>
          </w:p>
          <w:p w14:paraId="50C6AC0A" w14:textId="77777777" w:rsidR="000D3A0A" w:rsidRDefault="000D3A0A" w:rsidP="000D3A0A">
            <w:pPr>
              <w:jc w:val="both"/>
              <w:rPr>
                <w:sz w:val="20"/>
                <w:szCs w:val="20"/>
              </w:rPr>
            </w:pPr>
            <w:r w:rsidRPr="008072E8">
              <w:rPr>
                <w:sz w:val="20"/>
                <w:szCs w:val="20"/>
              </w:rPr>
              <w:t xml:space="preserve">Skaidrojam, ka noteikumu projekts ir jāīsteno esošā finansējuma ietvaros. Attiecīgi ietaupījums, kas tiek iegūts speciālās izglītības iestāžu reformas rezultātā tiek novirzīts citiem mērķiem, tai </w:t>
            </w:r>
            <w:r>
              <w:rPr>
                <w:sz w:val="20"/>
                <w:szCs w:val="20"/>
              </w:rPr>
              <w:t>skaitā pedagogu darba samaksai valsts ģimnāzijās. P</w:t>
            </w:r>
            <w:r w:rsidRPr="008072E8">
              <w:rPr>
                <w:sz w:val="20"/>
                <w:szCs w:val="20"/>
              </w:rPr>
              <w:t xml:space="preserve">ēc provizoriskajiem aprēķiniem papildu </w:t>
            </w:r>
            <w:r>
              <w:rPr>
                <w:sz w:val="20"/>
                <w:szCs w:val="20"/>
              </w:rPr>
              <w:t xml:space="preserve">valsts ģimnāzijām </w:t>
            </w:r>
            <w:r w:rsidRPr="008072E8">
              <w:rPr>
                <w:sz w:val="20"/>
                <w:szCs w:val="20"/>
              </w:rPr>
              <w:t xml:space="preserve">tiks novirzīts pedagogu darba samaksai </w:t>
            </w:r>
            <w:r>
              <w:rPr>
                <w:sz w:val="20"/>
                <w:szCs w:val="20"/>
              </w:rPr>
              <w:t xml:space="preserve">aptuveni 158 000 </w:t>
            </w:r>
            <w:r w:rsidRPr="008072E8">
              <w:rPr>
                <w:sz w:val="20"/>
                <w:szCs w:val="20"/>
              </w:rPr>
              <w:t>euro gadā. Lielāka koeficientu noteikšana prasīs papildu finanšu līdzekļus un to īstenošana nav iespējama esošā finansējuma ietvaros.</w:t>
            </w:r>
            <w:r>
              <w:rPr>
                <w:sz w:val="20"/>
                <w:szCs w:val="20"/>
              </w:rPr>
              <w:t xml:space="preserve"> Noteikumu projekts paredz piešķir papildu finansējumu pamatojoties tieši uz izglītojamo skaitu 10.-12.klasē. Papildu finansējums ir paredzēts ne tikai piemaksas nodrošināšanai, bet arī papildus atbalsta pasākumu finansēšanai – piemēram, individuālās konsultācijas, grupu dalīšana, papildus mācību kursu nodrošināšana u.c. </w:t>
            </w:r>
          </w:p>
          <w:p w14:paraId="0BA81CA6" w14:textId="70C2CF2D" w:rsidR="000D3A0A" w:rsidRDefault="000D3A0A" w:rsidP="000D3A0A">
            <w:pPr>
              <w:pStyle w:val="naisc"/>
              <w:spacing w:before="0" w:after="0"/>
              <w:jc w:val="both"/>
              <w:rPr>
                <w:b/>
                <w:sz w:val="20"/>
                <w:szCs w:val="20"/>
              </w:rPr>
            </w:pPr>
            <w:r>
              <w:rPr>
                <w:sz w:val="20"/>
                <w:szCs w:val="20"/>
              </w:rPr>
              <w:t>Skaidrojam, ka finansējums netiek “iezīmēts” tikai un vienīgi 10.-12.klašu pedagogu darba samaksai, bet gan attiecināms uz visu ģimnāzijas pedagogu darba samaksu.</w:t>
            </w:r>
          </w:p>
        </w:tc>
        <w:tc>
          <w:tcPr>
            <w:tcW w:w="977" w:type="pct"/>
            <w:shd w:val="clear" w:color="auto" w:fill="auto"/>
          </w:tcPr>
          <w:p w14:paraId="4B5FC639" w14:textId="4A785DBF" w:rsidR="000D3A0A" w:rsidRPr="00460515" w:rsidRDefault="000D3A0A" w:rsidP="000D3A0A">
            <w:pPr>
              <w:pStyle w:val="naisc"/>
              <w:jc w:val="both"/>
              <w:rPr>
                <w:sz w:val="20"/>
                <w:szCs w:val="20"/>
              </w:rPr>
            </w:pPr>
            <w:r w:rsidRPr="00FF1073">
              <w:rPr>
                <w:sz w:val="20"/>
                <w:szCs w:val="20"/>
              </w:rPr>
              <w:lastRenderedPageBreak/>
              <w:t xml:space="preserve">“7.5. valsts ģimnāziju īstenotajās programmās skolēnu skaitam </w:t>
            </w:r>
            <w:r w:rsidRPr="00FF1073">
              <w:rPr>
                <w:sz w:val="20"/>
                <w:szCs w:val="20"/>
              </w:rPr>
              <w:lastRenderedPageBreak/>
              <w:t>10.–12. klasēs piemēro koeficientu</w:t>
            </w:r>
            <w:r>
              <w:rPr>
                <w:sz w:val="20"/>
                <w:szCs w:val="20"/>
              </w:rPr>
              <w:t xml:space="preserve"> 1,22;”</w:t>
            </w:r>
          </w:p>
        </w:tc>
      </w:tr>
      <w:tr w:rsidR="00EC2C89" w:rsidRPr="00D70799" w14:paraId="5054889D" w14:textId="77777777" w:rsidTr="002D2043">
        <w:trPr>
          <w:trHeight w:val="274"/>
        </w:trPr>
        <w:tc>
          <w:tcPr>
            <w:tcW w:w="438" w:type="pct"/>
            <w:shd w:val="clear" w:color="auto" w:fill="FFFFFF" w:themeFill="background1"/>
          </w:tcPr>
          <w:p w14:paraId="5A3DC061" w14:textId="77777777" w:rsidR="00EC2C89" w:rsidRPr="00D70799" w:rsidRDefault="00EC2C89" w:rsidP="000D3A0A">
            <w:pPr>
              <w:numPr>
                <w:ilvl w:val="0"/>
                <w:numId w:val="31"/>
              </w:numPr>
              <w:tabs>
                <w:tab w:val="center" w:pos="284"/>
              </w:tabs>
              <w:ind w:left="0" w:firstLine="0"/>
              <w:jc w:val="center"/>
              <w:rPr>
                <w:sz w:val="20"/>
                <w:szCs w:val="20"/>
              </w:rPr>
            </w:pPr>
          </w:p>
        </w:tc>
        <w:tc>
          <w:tcPr>
            <w:tcW w:w="810" w:type="pct"/>
            <w:shd w:val="clear" w:color="auto" w:fill="auto"/>
          </w:tcPr>
          <w:p w14:paraId="26501327" w14:textId="77777777" w:rsidR="00EC2C89" w:rsidRPr="00EC2C89" w:rsidRDefault="00EC2C89" w:rsidP="00EC2C89">
            <w:pPr>
              <w:pStyle w:val="naisc"/>
              <w:jc w:val="both"/>
              <w:rPr>
                <w:sz w:val="20"/>
                <w:szCs w:val="20"/>
              </w:rPr>
            </w:pPr>
            <w:r w:rsidRPr="00EC2C89">
              <w:rPr>
                <w:sz w:val="20"/>
                <w:szCs w:val="20"/>
              </w:rPr>
              <w:t>7.21. pamatizglītības programmā ar augstākiem plānotajiem rezultātiem mācību jomas “Kultūras izpratnes un pašizpausmes mākslā” daļā “Mūzika” nepārsniedz 30% no vidējā mērķdotācijā paredzētā finansējuma pedagogu darba samaksai par vienu izglītojamo attiecīgajā izglītības iestādē;</w:t>
            </w:r>
          </w:p>
          <w:p w14:paraId="0E0A2B53" w14:textId="68FB915D" w:rsidR="00EC2C89" w:rsidRDefault="00EC2C89" w:rsidP="00EC2C89">
            <w:pPr>
              <w:pStyle w:val="naisc"/>
              <w:jc w:val="both"/>
              <w:rPr>
                <w:sz w:val="20"/>
                <w:szCs w:val="20"/>
              </w:rPr>
            </w:pPr>
            <w:r w:rsidRPr="00EC2C89">
              <w:rPr>
                <w:sz w:val="20"/>
                <w:szCs w:val="20"/>
              </w:rPr>
              <w:t>7.22. pamatizglītības programmā ar augstākiem plānotajiem rezultātiem (izņemot mācību jomas “Kultūras izpratnes un pašizpausmes mākslā” daļā “Mūzika”) nepārsniedz 20% no vidējā mērķdotācijā paredzētā finansējuma pedagogu darba samaksai par vienu izglītojamo attiecīgajā izglītības iestādē.”;</w:t>
            </w:r>
          </w:p>
        </w:tc>
        <w:tc>
          <w:tcPr>
            <w:tcW w:w="1679" w:type="pct"/>
            <w:shd w:val="clear" w:color="auto" w:fill="auto"/>
          </w:tcPr>
          <w:p w14:paraId="7B436B65" w14:textId="77777777" w:rsidR="00EC2C89" w:rsidRDefault="00EC2C89" w:rsidP="00EC2C89">
            <w:pPr>
              <w:pStyle w:val="Default"/>
              <w:adjustRightInd/>
              <w:jc w:val="both"/>
              <w:rPr>
                <w:b/>
                <w:color w:val="auto"/>
                <w:sz w:val="20"/>
                <w:szCs w:val="20"/>
              </w:rPr>
            </w:pPr>
            <w:r>
              <w:rPr>
                <w:b/>
                <w:color w:val="auto"/>
                <w:sz w:val="20"/>
                <w:szCs w:val="20"/>
              </w:rPr>
              <w:t>LLPA:</w:t>
            </w:r>
          </w:p>
          <w:p w14:paraId="647C09AF" w14:textId="77777777" w:rsidR="00EC2C89" w:rsidRPr="00E065B3" w:rsidRDefault="00EC2C89" w:rsidP="00EC2C89">
            <w:pPr>
              <w:pStyle w:val="Default"/>
              <w:jc w:val="both"/>
              <w:rPr>
                <w:color w:val="auto"/>
                <w:sz w:val="20"/>
                <w:szCs w:val="20"/>
              </w:rPr>
            </w:pPr>
            <w:r w:rsidRPr="00E065B3">
              <w:rPr>
                <w:color w:val="auto"/>
                <w:sz w:val="20"/>
                <w:szCs w:val="20"/>
              </w:rPr>
              <w:t>% jāpalielina uz 40%, lai nodrošinātu kvalitatīvu un ar augstākiem plānotajiem rezultātiem mācību jomas “Kultūras izpratnes un pašizpausmes mākslā” daļā “Mūzika” individuālo instrumentu spēli.</w:t>
            </w:r>
          </w:p>
          <w:p w14:paraId="372CB9B6" w14:textId="058C727E" w:rsidR="00EC2C89" w:rsidRDefault="00EC2C89" w:rsidP="00EC2C89">
            <w:pPr>
              <w:pStyle w:val="Default"/>
              <w:jc w:val="both"/>
              <w:rPr>
                <w:b/>
                <w:color w:val="auto"/>
                <w:sz w:val="20"/>
                <w:szCs w:val="20"/>
              </w:rPr>
            </w:pPr>
            <w:r w:rsidRPr="00E065B3">
              <w:rPr>
                <w:color w:val="auto"/>
                <w:sz w:val="20"/>
                <w:szCs w:val="20"/>
              </w:rPr>
              <w:t>Nepieciešams definēt, ko nozīmē termins “nepārsniedz”, nosakot skaidrus kritērijus, kas tiks ņemti vērā, nosakot finansējuma apmēru. Šobrīd nav skaidrs, no kā atkarīgs papildus finansējuma apjoms, kā arī šis formulējums rada nenoteiktības sajūtu.</w:t>
            </w:r>
          </w:p>
        </w:tc>
        <w:tc>
          <w:tcPr>
            <w:tcW w:w="1096" w:type="pct"/>
            <w:shd w:val="clear" w:color="auto" w:fill="auto"/>
          </w:tcPr>
          <w:p w14:paraId="5CAC0CDC" w14:textId="2EBA0A15" w:rsidR="00EC2C89" w:rsidRPr="00C905B6" w:rsidRDefault="00EC2C89" w:rsidP="00EC2C89">
            <w:pPr>
              <w:jc w:val="both"/>
              <w:rPr>
                <w:b/>
                <w:sz w:val="20"/>
                <w:szCs w:val="20"/>
              </w:rPr>
            </w:pPr>
            <w:r>
              <w:rPr>
                <w:b/>
                <w:sz w:val="20"/>
                <w:szCs w:val="20"/>
              </w:rPr>
              <w:t>Saskaņošanas sanāksmē panākta vienošanās.</w:t>
            </w:r>
          </w:p>
          <w:p w14:paraId="49DD5B8D" w14:textId="4F763374" w:rsidR="00EC2C89" w:rsidRDefault="00EC2C89" w:rsidP="00EC2C89">
            <w:pPr>
              <w:jc w:val="both"/>
              <w:rPr>
                <w:b/>
                <w:sz w:val="20"/>
                <w:szCs w:val="20"/>
              </w:rPr>
            </w:pPr>
            <w:r w:rsidRPr="00C905B6">
              <w:rPr>
                <w:sz w:val="20"/>
                <w:szCs w:val="20"/>
              </w:rPr>
              <w:t>Ņemot vērā, ka šobrīd ir grūti prognozēt iespējamo pamatizglītības programmu ar augstākiem plānotajiem rezultātiem, kā arī izglītojamo skaitu tajā, kas ir tieši saistīts ar papildu finansējuma aprēķināšanu, papildu finansējuma piešķiršana plānota 2022./2023.m.g. esošā finansējuma ietvarā</w:t>
            </w:r>
            <w:r>
              <w:rPr>
                <w:sz w:val="20"/>
                <w:szCs w:val="20"/>
              </w:rPr>
              <w:t>. Formulējums “nepārsniedz” ir, jo finansējuma apmērs būs atkarīgs no izglītojamo skaita, kas būs šajās pamatizglītības programmās ar augstākiem plānotajiem rezultātiem. Attiecīgi, ja iepriekš minētās programmas īstenos neliels izglītības iestāžu skaits, tai skaitā arī neliels izglītojamo skaits, pieejamo finansējumu sadalīs atbilstoši izglītojamo skaitam, taču finansējums uz vienu izglītojamo nepārsniegs 30% no vidējā mērķdotācijā paredzētā finansējuma pedagogu darba samaksai par vienu izglītojamo attiecīgajā izglītības iestādē.</w:t>
            </w:r>
          </w:p>
        </w:tc>
        <w:tc>
          <w:tcPr>
            <w:tcW w:w="977" w:type="pct"/>
            <w:shd w:val="clear" w:color="auto" w:fill="auto"/>
          </w:tcPr>
          <w:p w14:paraId="3632D835" w14:textId="77777777" w:rsidR="00EC2C89" w:rsidRPr="00EC2C89" w:rsidRDefault="00EC2C89" w:rsidP="00EC2C89">
            <w:pPr>
              <w:pStyle w:val="naisc"/>
              <w:jc w:val="both"/>
              <w:rPr>
                <w:sz w:val="20"/>
                <w:szCs w:val="20"/>
              </w:rPr>
            </w:pPr>
            <w:r w:rsidRPr="00EC2C89">
              <w:rPr>
                <w:sz w:val="20"/>
                <w:szCs w:val="20"/>
              </w:rPr>
              <w:t>7.21. pamatizglītības programmā ar augstākiem plānotajiem rezultātiem mācību jomas “Kultūras izpratnes un pašizpausmes mākslā” daļā “Mūzika” nepārsniedz 30% no vidējā mērķdotācijā paredzētā finansējuma pedagogu darba samaksai par vienu izglītojamo attiecīgajā izglītības iestādē;</w:t>
            </w:r>
          </w:p>
          <w:p w14:paraId="4C0E014B" w14:textId="579D281E" w:rsidR="00EC2C89" w:rsidRDefault="00EC2C89" w:rsidP="00EC2C89">
            <w:pPr>
              <w:pStyle w:val="naisc"/>
              <w:jc w:val="both"/>
              <w:rPr>
                <w:sz w:val="20"/>
                <w:szCs w:val="20"/>
              </w:rPr>
            </w:pPr>
            <w:r w:rsidRPr="00EC2C89">
              <w:rPr>
                <w:sz w:val="20"/>
                <w:szCs w:val="20"/>
              </w:rPr>
              <w:t>7.22. pamatizglītības programmā ar augstākiem plānotajiem rezultātiem (izņemot mācību jomas “Kultūras izpratnes un pašizpausmes mākslā” daļā “Mūzika”) nepārsniedz 20% no vidējā mērķdotācijā paredzētā finansējuma pedagogu darba samaksai par vienu izglītojamo attiecīgajā izglītības iestādē.”;</w:t>
            </w:r>
          </w:p>
        </w:tc>
      </w:tr>
      <w:tr w:rsidR="00EC2C89" w:rsidRPr="00D70799" w14:paraId="240D8649" w14:textId="77777777" w:rsidTr="002D2043">
        <w:trPr>
          <w:trHeight w:val="274"/>
        </w:trPr>
        <w:tc>
          <w:tcPr>
            <w:tcW w:w="438" w:type="pct"/>
            <w:shd w:val="clear" w:color="auto" w:fill="FFFFFF" w:themeFill="background1"/>
          </w:tcPr>
          <w:p w14:paraId="4532093E" w14:textId="77777777" w:rsidR="00EC2C89" w:rsidRPr="00D70799" w:rsidRDefault="00EC2C89" w:rsidP="000D3A0A">
            <w:pPr>
              <w:numPr>
                <w:ilvl w:val="0"/>
                <w:numId w:val="31"/>
              </w:numPr>
              <w:tabs>
                <w:tab w:val="center" w:pos="284"/>
              </w:tabs>
              <w:ind w:left="0" w:firstLine="0"/>
              <w:jc w:val="center"/>
              <w:rPr>
                <w:sz w:val="20"/>
                <w:szCs w:val="20"/>
              </w:rPr>
            </w:pPr>
          </w:p>
        </w:tc>
        <w:tc>
          <w:tcPr>
            <w:tcW w:w="810" w:type="pct"/>
            <w:shd w:val="clear" w:color="auto" w:fill="auto"/>
          </w:tcPr>
          <w:p w14:paraId="2B9973DB" w14:textId="713179D2" w:rsidR="00EC2C89" w:rsidRPr="00EC2C89" w:rsidRDefault="00EC2C89" w:rsidP="00EC2C89">
            <w:pPr>
              <w:pStyle w:val="naisc"/>
              <w:jc w:val="both"/>
              <w:rPr>
                <w:sz w:val="20"/>
                <w:szCs w:val="20"/>
              </w:rPr>
            </w:pPr>
            <w:r w:rsidRPr="00EC2C89">
              <w:rPr>
                <w:sz w:val="20"/>
                <w:szCs w:val="20"/>
              </w:rPr>
              <w:t>“7.5. valsts ģimnāziju īstenotajās programmās skolēnu skaitam 10.-12. klasēs piemēro koeficientu 1,22;”</w:t>
            </w:r>
          </w:p>
        </w:tc>
        <w:tc>
          <w:tcPr>
            <w:tcW w:w="1679" w:type="pct"/>
            <w:shd w:val="clear" w:color="auto" w:fill="auto"/>
          </w:tcPr>
          <w:p w14:paraId="0699BE7F" w14:textId="77777777" w:rsidR="00EC2C89" w:rsidRDefault="00EC2C89" w:rsidP="00EC2C89">
            <w:pPr>
              <w:pStyle w:val="Default"/>
              <w:adjustRightInd/>
              <w:jc w:val="both"/>
              <w:rPr>
                <w:b/>
                <w:color w:val="auto"/>
                <w:sz w:val="20"/>
                <w:szCs w:val="20"/>
              </w:rPr>
            </w:pPr>
            <w:r>
              <w:rPr>
                <w:b/>
                <w:color w:val="auto"/>
                <w:sz w:val="20"/>
                <w:szCs w:val="20"/>
              </w:rPr>
              <w:t>LLPA:</w:t>
            </w:r>
          </w:p>
          <w:p w14:paraId="532DBFD0" w14:textId="77777777" w:rsidR="00EC2C89" w:rsidRPr="00E065B3" w:rsidRDefault="00EC2C89" w:rsidP="00EC2C89">
            <w:pPr>
              <w:pStyle w:val="Default"/>
              <w:jc w:val="both"/>
              <w:rPr>
                <w:color w:val="auto"/>
                <w:sz w:val="20"/>
                <w:szCs w:val="20"/>
              </w:rPr>
            </w:pPr>
            <w:r w:rsidRPr="00E065B3">
              <w:rPr>
                <w:color w:val="auto"/>
                <w:sz w:val="20"/>
                <w:szCs w:val="20"/>
              </w:rPr>
              <w:t xml:space="preserve">Rosinām izteikt šādā redakcijā: </w:t>
            </w:r>
          </w:p>
          <w:p w14:paraId="1D2478D0" w14:textId="77777777" w:rsidR="00EC2C89" w:rsidRPr="00E065B3" w:rsidRDefault="00EC2C89" w:rsidP="00EC2C89">
            <w:pPr>
              <w:pStyle w:val="Default"/>
              <w:jc w:val="both"/>
              <w:rPr>
                <w:color w:val="auto"/>
                <w:sz w:val="20"/>
                <w:szCs w:val="20"/>
              </w:rPr>
            </w:pPr>
            <w:r w:rsidRPr="00E065B3">
              <w:rPr>
                <w:color w:val="auto"/>
                <w:sz w:val="20"/>
                <w:szCs w:val="20"/>
              </w:rPr>
              <w:t xml:space="preserve">“7.5. valsts ģimnāziju vispārējās vidējās izglītības īstenotajās programmās skolēnu skaitam 10.- 12.klasēs piemēro koeficientu 1,22” </w:t>
            </w:r>
          </w:p>
          <w:p w14:paraId="1B3B8CC5" w14:textId="77777777" w:rsidR="00EC2C89" w:rsidRPr="00E065B3" w:rsidRDefault="00EC2C89" w:rsidP="00EC2C89">
            <w:pPr>
              <w:pStyle w:val="Default"/>
              <w:jc w:val="both"/>
              <w:rPr>
                <w:color w:val="auto"/>
                <w:sz w:val="20"/>
                <w:szCs w:val="20"/>
              </w:rPr>
            </w:pPr>
            <w:r w:rsidRPr="00E065B3">
              <w:rPr>
                <w:color w:val="auto"/>
                <w:sz w:val="20"/>
                <w:szCs w:val="20"/>
              </w:rPr>
              <w:t xml:space="preserve">jo grozījumos Ministru kabineta 2016. gada 5. jūlija noteikumos Nr.445 “Pedagogu darba samaksas noteikumi” 22. punkts nosaka, ka Valsts ģimnāziju pedagogiem, kuri īsteno vispārējās vidējās izglītības programmas, nosaka piemaksu 10 procentu apmērā no mēneša darba algas par vispārējās vidējās izglītības programmas īstenošanu un profesionālās izglītības kompetences centru pedagogiem (izņemot pedagogus, kuri īsteno pirmā līmeņa profesionālās </w:t>
            </w:r>
            <w:r w:rsidRPr="00E065B3">
              <w:rPr>
                <w:color w:val="auto"/>
                <w:sz w:val="20"/>
                <w:szCs w:val="20"/>
              </w:rPr>
              <w:lastRenderedPageBreak/>
              <w:t>augstākās izglītības programmas) nosaka piemaksu 10 procentu apmērā no mēneša darba algas.</w:t>
            </w:r>
          </w:p>
          <w:p w14:paraId="38FE545A" w14:textId="569426CD" w:rsidR="00EC2C89" w:rsidRDefault="00EC2C89" w:rsidP="00EC2C89">
            <w:pPr>
              <w:pStyle w:val="Default"/>
              <w:adjustRightInd/>
              <w:jc w:val="both"/>
              <w:rPr>
                <w:b/>
                <w:color w:val="auto"/>
                <w:sz w:val="20"/>
                <w:szCs w:val="20"/>
              </w:rPr>
            </w:pPr>
            <w:r w:rsidRPr="00E065B3">
              <w:rPr>
                <w:color w:val="auto"/>
                <w:sz w:val="20"/>
                <w:szCs w:val="20"/>
              </w:rPr>
              <w:t>Nav pamatojuma valsts ģimnāziju īstenotajās programmās skolēnu skaitam tikai 10.-12. klasēs piemērot koeficientu 1,22. Tikpat liela nozīme valsts ģimnāziju izglītības kvalitātes nodrošināšanā ir pamatskolas pedagogiem. Tā ka vismaz 7.-12. klasēm jāpiemēro līdzīgs koeficients.</w:t>
            </w:r>
          </w:p>
        </w:tc>
        <w:tc>
          <w:tcPr>
            <w:tcW w:w="1096" w:type="pct"/>
            <w:shd w:val="clear" w:color="auto" w:fill="auto"/>
          </w:tcPr>
          <w:p w14:paraId="6C976315" w14:textId="77777777" w:rsidR="00EC2C89" w:rsidRDefault="00EC2C89" w:rsidP="00EC2C89">
            <w:pPr>
              <w:jc w:val="both"/>
              <w:rPr>
                <w:b/>
                <w:sz w:val="20"/>
                <w:szCs w:val="20"/>
              </w:rPr>
            </w:pPr>
            <w:r w:rsidRPr="00283860">
              <w:rPr>
                <w:b/>
                <w:sz w:val="20"/>
                <w:szCs w:val="20"/>
              </w:rPr>
              <w:lastRenderedPageBreak/>
              <w:t xml:space="preserve">Daļēji ņemts vērā. </w:t>
            </w:r>
          </w:p>
          <w:p w14:paraId="61432144" w14:textId="6B8C7FF7" w:rsidR="00EC2C89" w:rsidRPr="00283860" w:rsidRDefault="00EC2C89" w:rsidP="00EC2C89">
            <w:pPr>
              <w:jc w:val="both"/>
              <w:rPr>
                <w:b/>
                <w:sz w:val="20"/>
                <w:szCs w:val="20"/>
              </w:rPr>
            </w:pPr>
            <w:r>
              <w:rPr>
                <w:b/>
                <w:sz w:val="20"/>
                <w:szCs w:val="20"/>
              </w:rPr>
              <w:t>Par pārējo iebilduma daļu vienošanās sanāksmē panākta vienošanās.</w:t>
            </w:r>
          </w:p>
          <w:p w14:paraId="06C1066E" w14:textId="77777777" w:rsidR="00EC2C89" w:rsidRDefault="00EC2C89" w:rsidP="00EC2C89">
            <w:pPr>
              <w:jc w:val="both"/>
              <w:rPr>
                <w:sz w:val="20"/>
                <w:szCs w:val="20"/>
              </w:rPr>
            </w:pPr>
            <w:r>
              <w:rPr>
                <w:sz w:val="20"/>
                <w:szCs w:val="20"/>
              </w:rPr>
              <w:t>Ierosinājums precizēt 7.5. apakšpunktu, precizējot normu par vispārējās vidējās izglītības īstenotajās programmās, ņemts vērā.</w:t>
            </w:r>
          </w:p>
          <w:p w14:paraId="36206FB8" w14:textId="77777777" w:rsidR="00EC2C89" w:rsidRDefault="00EC2C89" w:rsidP="00EC2C89">
            <w:pPr>
              <w:jc w:val="both"/>
              <w:rPr>
                <w:sz w:val="20"/>
                <w:szCs w:val="20"/>
              </w:rPr>
            </w:pPr>
          </w:p>
          <w:p w14:paraId="0FF6D897" w14:textId="156AC3CF" w:rsidR="00EC2C89" w:rsidRDefault="00EC2C89" w:rsidP="00EC2C89">
            <w:pPr>
              <w:jc w:val="both"/>
              <w:rPr>
                <w:b/>
                <w:sz w:val="20"/>
                <w:szCs w:val="20"/>
              </w:rPr>
            </w:pPr>
            <w:r>
              <w:rPr>
                <w:sz w:val="20"/>
                <w:szCs w:val="20"/>
              </w:rPr>
              <w:t xml:space="preserve"> </w:t>
            </w:r>
            <w:r w:rsidRPr="008072E8">
              <w:rPr>
                <w:sz w:val="20"/>
                <w:szCs w:val="20"/>
              </w:rPr>
              <w:t xml:space="preserve">Skaidrojam, ka noteikumu projekts ir jāīsteno esošā finansējuma ietvaros. Attiecīgi ietaupījums, kas tiek iegūts speciālās izglītības iestāžu reformas rezultātā tiek novirzīts citiem </w:t>
            </w:r>
            <w:r w:rsidRPr="008072E8">
              <w:rPr>
                <w:sz w:val="20"/>
                <w:szCs w:val="20"/>
              </w:rPr>
              <w:lastRenderedPageBreak/>
              <w:t xml:space="preserve">mērķiem, tai </w:t>
            </w:r>
            <w:r>
              <w:rPr>
                <w:sz w:val="20"/>
                <w:szCs w:val="20"/>
              </w:rPr>
              <w:t>skaitā pedagogu darba samaksai valsts ģimnāzijās. P</w:t>
            </w:r>
            <w:r w:rsidRPr="008072E8">
              <w:rPr>
                <w:sz w:val="20"/>
                <w:szCs w:val="20"/>
              </w:rPr>
              <w:t xml:space="preserve">ēc provizoriskajiem aprēķiniem papildu </w:t>
            </w:r>
            <w:r>
              <w:rPr>
                <w:sz w:val="20"/>
                <w:szCs w:val="20"/>
              </w:rPr>
              <w:t xml:space="preserve">valsts ģimnāzijām </w:t>
            </w:r>
            <w:r w:rsidRPr="008072E8">
              <w:rPr>
                <w:sz w:val="20"/>
                <w:szCs w:val="20"/>
              </w:rPr>
              <w:t xml:space="preserve">tiks novirzīts pedagogu darba samaksai </w:t>
            </w:r>
            <w:r>
              <w:rPr>
                <w:sz w:val="20"/>
                <w:szCs w:val="20"/>
              </w:rPr>
              <w:t xml:space="preserve">aptuveni 158 000 </w:t>
            </w:r>
            <w:r w:rsidRPr="008072E8">
              <w:rPr>
                <w:sz w:val="20"/>
                <w:szCs w:val="20"/>
              </w:rPr>
              <w:t>euro gadā.</w:t>
            </w:r>
            <w:r>
              <w:rPr>
                <w:sz w:val="20"/>
                <w:szCs w:val="20"/>
              </w:rPr>
              <w:t xml:space="preserve"> Lielāka koeficientu noteikšana, ka arī paplašinot loku, kam piešķir papildu </w:t>
            </w:r>
            <w:r w:rsidRPr="008072E8">
              <w:rPr>
                <w:sz w:val="20"/>
                <w:szCs w:val="20"/>
              </w:rPr>
              <w:t>prasīs papildu finanšu līdzekļus un to īstenošana nav iespējama esošā finansējuma ietvaros.</w:t>
            </w:r>
          </w:p>
        </w:tc>
        <w:tc>
          <w:tcPr>
            <w:tcW w:w="977" w:type="pct"/>
            <w:shd w:val="clear" w:color="auto" w:fill="auto"/>
          </w:tcPr>
          <w:p w14:paraId="690E3639" w14:textId="77777777" w:rsidR="00EC2C89" w:rsidRPr="00E065B3" w:rsidRDefault="00EC2C89" w:rsidP="00EC2C89">
            <w:pPr>
              <w:pStyle w:val="Default"/>
              <w:jc w:val="both"/>
              <w:rPr>
                <w:color w:val="auto"/>
                <w:sz w:val="20"/>
                <w:szCs w:val="20"/>
              </w:rPr>
            </w:pPr>
            <w:r w:rsidRPr="00E065B3">
              <w:rPr>
                <w:color w:val="auto"/>
                <w:sz w:val="20"/>
                <w:szCs w:val="20"/>
              </w:rPr>
              <w:lastRenderedPageBreak/>
              <w:t>“7.5. valsts ģimnāziju vispārējās vidējās izglītības īstenotajās programmās skolēnu skaitam 10.- 12.klasēs piemēro koeficientu 1,22</w:t>
            </w:r>
            <w:r>
              <w:rPr>
                <w:color w:val="auto"/>
                <w:sz w:val="20"/>
                <w:szCs w:val="20"/>
              </w:rPr>
              <w:t>;</w:t>
            </w:r>
            <w:r w:rsidRPr="00E065B3">
              <w:rPr>
                <w:color w:val="auto"/>
                <w:sz w:val="20"/>
                <w:szCs w:val="20"/>
              </w:rPr>
              <w:t xml:space="preserve">” </w:t>
            </w:r>
          </w:p>
          <w:p w14:paraId="0BDFCECF" w14:textId="77777777" w:rsidR="00EC2C89" w:rsidRPr="00EC2C89" w:rsidRDefault="00EC2C89" w:rsidP="00EC2C89">
            <w:pPr>
              <w:pStyle w:val="naisc"/>
              <w:jc w:val="both"/>
              <w:rPr>
                <w:sz w:val="20"/>
                <w:szCs w:val="20"/>
              </w:rPr>
            </w:pPr>
          </w:p>
        </w:tc>
      </w:tr>
      <w:tr w:rsidR="002D2043" w:rsidRPr="00D70799" w14:paraId="3F93A338" w14:textId="77777777" w:rsidTr="002D2043">
        <w:trPr>
          <w:trHeight w:val="274"/>
        </w:trPr>
        <w:tc>
          <w:tcPr>
            <w:tcW w:w="438" w:type="pct"/>
            <w:shd w:val="clear" w:color="auto" w:fill="FFFFFF" w:themeFill="background1"/>
          </w:tcPr>
          <w:p w14:paraId="19CFC473" w14:textId="77777777" w:rsidR="002D2043" w:rsidRPr="00D70799" w:rsidRDefault="002D2043" w:rsidP="000D3A0A">
            <w:pPr>
              <w:numPr>
                <w:ilvl w:val="0"/>
                <w:numId w:val="31"/>
              </w:numPr>
              <w:tabs>
                <w:tab w:val="center" w:pos="284"/>
              </w:tabs>
              <w:ind w:left="0" w:firstLine="0"/>
              <w:jc w:val="center"/>
              <w:rPr>
                <w:sz w:val="20"/>
                <w:szCs w:val="20"/>
              </w:rPr>
            </w:pPr>
          </w:p>
        </w:tc>
        <w:tc>
          <w:tcPr>
            <w:tcW w:w="810" w:type="pct"/>
            <w:shd w:val="clear" w:color="auto" w:fill="auto"/>
          </w:tcPr>
          <w:p w14:paraId="1DE9715D" w14:textId="77777777" w:rsidR="002D2043" w:rsidRPr="00460515" w:rsidRDefault="002D2043" w:rsidP="002D2043">
            <w:pPr>
              <w:pStyle w:val="naisc"/>
              <w:jc w:val="both"/>
              <w:rPr>
                <w:sz w:val="20"/>
                <w:szCs w:val="20"/>
              </w:rPr>
            </w:pPr>
            <w:r w:rsidRPr="00460515">
              <w:rPr>
                <w:sz w:val="20"/>
                <w:szCs w:val="20"/>
              </w:rPr>
              <w:t>“7.2. skolēnu (bērnu) skaitam, kas apgūst speciālās izglītības programmas speciālās izglītības klasēs (grupās) vai iekļaujoši vispārējās izglītības iestādēs, piemēro:</w:t>
            </w:r>
          </w:p>
          <w:p w14:paraId="1FAEC458" w14:textId="77777777" w:rsidR="002D2043" w:rsidRPr="00460515" w:rsidRDefault="002D2043" w:rsidP="002D2043">
            <w:pPr>
              <w:pStyle w:val="naisc"/>
              <w:jc w:val="both"/>
              <w:rPr>
                <w:sz w:val="20"/>
                <w:szCs w:val="20"/>
              </w:rPr>
            </w:pPr>
            <w:r w:rsidRPr="00460515">
              <w:rPr>
                <w:sz w:val="20"/>
                <w:szCs w:val="20"/>
              </w:rPr>
              <w:t xml:space="preserve">7.2.1. koeficientu 2 – izglītojamiem speciālās izglītības programmās izglītojamiem ar fiziskās attīstības traucējumiem, somatiskām saslimšanām, valodas traucējumiem, mācīšanās traucējumiem, garīgās veselības traucējumiem; </w:t>
            </w:r>
          </w:p>
          <w:p w14:paraId="0EAF295B" w14:textId="77777777" w:rsidR="002D2043" w:rsidRPr="00460515" w:rsidRDefault="002D2043" w:rsidP="002D2043">
            <w:pPr>
              <w:pStyle w:val="naisc"/>
              <w:jc w:val="both"/>
              <w:rPr>
                <w:sz w:val="20"/>
                <w:szCs w:val="20"/>
              </w:rPr>
            </w:pPr>
            <w:r w:rsidRPr="00460515">
              <w:rPr>
                <w:sz w:val="20"/>
                <w:szCs w:val="20"/>
              </w:rPr>
              <w:t xml:space="preserve">7.2.2. koeficientu 3 – izglītojamiem speciālās izglītības programmās izglītojamiem ar redzes traucējumiem, dzirdes traucējumiem, garīgās attīstības traucējumiem un bērniem no piecu gadu vecuma speciālās pirmsskolas izglītības programmās izglītojamiem </w:t>
            </w:r>
            <w:r w:rsidRPr="00460515">
              <w:rPr>
                <w:sz w:val="20"/>
                <w:szCs w:val="20"/>
              </w:rPr>
              <w:lastRenderedPageBreak/>
              <w:t>ar jauktiem attīstības traucējumiem;</w:t>
            </w:r>
          </w:p>
          <w:p w14:paraId="52B020B4" w14:textId="70D2432D" w:rsidR="002D2043" w:rsidRPr="00EC2C89" w:rsidRDefault="002D2043" w:rsidP="002D2043">
            <w:pPr>
              <w:pStyle w:val="naisc"/>
              <w:jc w:val="both"/>
              <w:rPr>
                <w:sz w:val="20"/>
                <w:szCs w:val="20"/>
              </w:rPr>
            </w:pPr>
            <w:r w:rsidRPr="00460515">
              <w:rPr>
                <w:sz w:val="20"/>
                <w:szCs w:val="20"/>
              </w:rPr>
              <w:t>7.2.3. koeficientu 5 – izglītojamiem speciālās izglītības programmās izglītojamiem ar smagiem garīgās attīstības traucējumiem vai vairākiem smagiem attīstības traucējumiem;”</w:t>
            </w:r>
          </w:p>
        </w:tc>
        <w:tc>
          <w:tcPr>
            <w:tcW w:w="1679" w:type="pct"/>
            <w:shd w:val="clear" w:color="auto" w:fill="auto"/>
          </w:tcPr>
          <w:p w14:paraId="43225CF7" w14:textId="77777777" w:rsidR="002D2043" w:rsidRDefault="002D2043" w:rsidP="002D2043">
            <w:pPr>
              <w:pStyle w:val="Default"/>
              <w:adjustRightInd/>
              <w:jc w:val="both"/>
              <w:rPr>
                <w:b/>
                <w:color w:val="auto"/>
                <w:sz w:val="20"/>
                <w:szCs w:val="20"/>
              </w:rPr>
            </w:pPr>
            <w:r>
              <w:rPr>
                <w:b/>
                <w:color w:val="auto"/>
                <w:sz w:val="20"/>
                <w:szCs w:val="20"/>
              </w:rPr>
              <w:lastRenderedPageBreak/>
              <w:t>Latvijas Pašvaldību savienība:</w:t>
            </w:r>
          </w:p>
          <w:p w14:paraId="18553711" w14:textId="77777777" w:rsidR="002D2043" w:rsidRPr="00E009B2" w:rsidRDefault="002D2043" w:rsidP="002D2043">
            <w:pPr>
              <w:pStyle w:val="Default"/>
              <w:jc w:val="both"/>
              <w:rPr>
                <w:color w:val="auto"/>
                <w:sz w:val="20"/>
                <w:szCs w:val="20"/>
              </w:rPr>
            </w:pPr>
            <w:r w:rsidRPr="00E009B2">
              <w:rPr>
                <w:color w:val="auto"/>
                <w:sz w:val="20"/>
                <w:szCs w:val="20"/>
              </w:rPr>
              <w:t>Lai jēgpilni un atbilstoši izglītojamā vajadzībām valstī realizētu iekļaujošu izglītību: rosinām 1.2. izteikt 7.2. apakšpunktu šādā redakcijā:</w:t>
            </w:r>
          </w:p>
          <w:p w14:paraId="182E37A8" w14:textId="77777777" w:rsidR="002D2043" w:rsidRPr="00E009B2" w:rsidRDefault="002D2043" w:rsidP="002D2043">
            <w:pPr>
              <w:pStyle w:val="Default"/>
              <w:jc w:val="both"/>
              <w:rPr>
                <w:color w:val="auto"/>
                <w:sz w:val="20"/>
                <w:szCs w:val="20"/>
              </w:rPr>
            </w:pPr>
            <w:r w:rsidRPr="00E009B2">
              <w:rPr>
                <w:color w:val="auto"/>
                <w:sz w:val="20"/>
                <w:szCs w:val="20"/>
              </w:rPr>
              <w:t>[..]</w:t>
            </w:r>
          </w:p>
          <w:p w14:paraId="4019EF83" w14:textId="77777777" w:rsidR="002D2043" w:rsidRPr="00E009B2" w:rsidRDefault="002D2043" w:rsidP="002D2043">
            <w:pPr>
              <w:pStyle w:val="Default"/>
              <w:jc w:val="both"/>
              <w:rPr>
                <w:color w:val="auto"/>
                <w:sz w:val="20"/>
                <w:szCs w:val="20"/>
              </w:rPr>
            </w:pPr>
            <w:r w:rsidRPr="00E009B2">
              <w:rPr>
                <w:color w:val="auto"/>
                <w:sz w:val="20"/>
                <w:szCs w:val="20"/>
              </w:rPr>
              <w:t xml:space="preserve">7.2.1. koeficientu 3 – izglītojamiem speciālās izglītības programmās izglītojamiem ar fiziskās attīstības traucējumiem, somatiskām saslimšanām, valodas traucējumiem, mācīšanās traucējumiem, garīgās veselības traucējumiem; </w:t>
            </w:r>
          </w:p>
          <w:p w14:paraId="49E38AAF" w14:textId="3E06595E" w:rsidR="002D2043" w:rsidRDefault="002D2043" w:rsidP="002D2043">
            <w:pPr>
              <w:pStyle w:val="Default"/>
              <w:adjustRightInd/>
              <w:jc w:val="both"/>
              <w:rPr>
                <w:b/>
                <w:color w:val="auto"/>
                <w:sz w:val="20"/>
                <w:szCs w:val="20"/>
              </w:rPr>
            </w:pPr>
            <w:r w:rsidRPr="00E009B2">
              <w:rPr>
                <w:color w:val="auto"/>
                <w:sz w:val="20"/>
                <w:szCs w:val="20"/>
              </w:rPr>
              <w:t>7.2.2. koeficientu 4 – izglītojamiem speciālās izglītības programmās izglītojamiem ar redzes traucējumiem, dzirdes traucējumiem, garīgās attīstības traucējumiem un bērniem no piecu gadu vecuma speciālās pirmsskolas izglītības programmās izglītojamiem ar jauktiem attīstības traucējumiem</w:t>
            </w:r>
            <w:r>
              <w:rPr>
                <w:color w:val="auto"/>
                <w:sz w:val="20"/>
                <w:szCs w:val="20"/>
              </w:rPr>
              <w:t>;</w:t>
            </w:r>
          </w:p>
        </w:tc>
        <w:tc>
          <w:tcPr>
            <w:tcW w:w="1096" w:type="pct"/>
            <w:shd w:val="clear" w:color="auto" w:fill="auto"/>
          </w:tcPr>
          <w:p w14:paraId="71E1812E" w14:textId="7F12A16F" w:rsidR="002D2043" w:rsidRPr="00FD183C" w:rsidRDefault="002D2043" w:rsidP="002D2043">
            <w:pPr>
              <w:pStyle w:val="naisc"/>
              <w:spacing w:before="0" w:after="0"/>
              <w:jc w:val="both"/>
              <w:rPr>
                <w:b/>
                <w:sz w:val="20"/>
                <w:szCs w:val="20"/>
              </w:rPr>
            </w:pPr>
            <w:r>
              <w:rPr>
                <w:b/>
                <w:sz w:val="20"/>
                <w:szCs w:val="20"/>
              </w:rPr>
              <w:t xml:space="preserve">Saskaņošanas sanāksmē panākta vienošanās. </w:t>
            </w:r>
          </w:p>
          <w:p w14:paraId="394C27A1" w14:textId="08C80B99" w:rsidR="002D2043" w:rsidRPr="00283860" w:rsidRDefault="002D2043" w:rsidP="002D2043">
            <w:pPr>
              <w:jc w:val="both"/>
              <w:rPr>
                <w:b/>
                <w:sz w:val="20"/>
                <w:szCs w:val="20"/>
              </w:rPr>
            </w:pPr>
            <w:r w:rsidRPr="004928A9">
              <w:rPr>
                <w:sz w:val="20"/>
                <w:szCs w:val="20"/>
              </w:rPr>
              <w:t xml:space="preserve">Skaidrojam, ka noteikumu projekts ir jāīsteno esošā finansējuma ietvaros. Attiecīgi ietaupījums, kas tiek iegūts speciālās izglītības iestāžu reformas rezultātā tiek novirzīts citiem mērķiem, tai skaitā papildu finansējumu piešķiršanai </w:t>
            </w:r>
            <w:r>
              <w:rPr>
                <w:sz w:val="20"/>
                <w:szCs w:val="20"/>
              </w:rPr>
              <w:t>izglītojamiem, kas apgūst speciālās izglītības programmas speciālās izglītības klasēs (grupās) vai iekļaujoši vispārējās izglītības iestādēs. Vēršam uzmanību, ka šādu koeficientu noteikšana bija darba grupas ierosinājums un pēc provizoriskajiem aprēķiniem papildu tiks novirzīts pedagogu darba samaksai 2 milj. euro gadā. Lielāka koeficientu noteikšana prasīs papildu finanšu līdzekļus (pēc provizoriskajiem aprēķiniem koeficientu paaugstināšanai būtu nepieciešams 10 milj. euro) un to īstenošana nav iespējama esošā finansējuma ietvaros.</w:t>
            </w:r>
          </w:p>
        </w:tc>
        <w:tc>
          <w:tcPr>
            <w:tcW w:w="977" w:type="pct"/>
            <w:shd w:val="clear" w:color="auto" w:fill="auto"/>
          </w:tcPr>
          <w:p w14:paraId="6FCD89BA" w14:textId="77777777" w:rsidR="002D2043" w:rsidRPr="00460515" w:rsidRDefault="002D2043" w:rsidP="002D2043">
            <w:pPr>
              <w:pStyle w:val="naisc"/>
              <w:jc w:val="both"/>
              <w:rPr>
                <w:sz w:val="20"/>
                <w:szCs w:val="20"/>
              </w:rPr>
            </w:pPr>
            <w:r w:rsidRPr="00460515">
              <w:rPr>
                <w:sz w:val="20"/>
                <w:szCs w:val="20"/>
              </w:rPr>
              <w:t>“7.2. skolēnu (bērnu) skaitam, kas apgūst speciālās izglītības programmas speciālās izglītības klasēs (grupās) vai iekļaujoši vispārējās izglītības iestādēs, piemēro:</w:t>
            </w:r>
          </w:p>
          <w:p w14:paraId="3B299CD5" w14:textId="77777777" w:rsidR="002D2043" w:rsidRPr="00460515" w:rsidRDefault="002D2043" w:rsidP="002D2043">
            <w:pPr>
              <w:pStyle w:val="naisc"/>
              <w:jc w:val="both"/>
              <w:rPr>
                <w:sz w:val="20"/>
                <w:szCs w:val="20"/>
              </w:rPr>
            </w:pPr>
            <w:r w:rsidRPr="00460515">
              <w:rPr>
                <w:sz w:val="20"/>
                <w:szCs w:val="20"/>
              </w:rPr>
              <w:t xml:space="preserve">7.2.1. koeficientu 2 – izglītojamiem speciālās izglītības programmās izglītojamiem ar fiziskās attīstības traucējumiem, somatiskām saslimšanām, valodas traucējumiem, mācīšanās traucējumiem, garīgās veselības traucējumiem; </w:t>
            </w:r>
          </w:p>
          <w:p w14:paraId="46725F63" w14:textId="77777777" w:rsidR="002D2043" w:rsidRPr="00460515" w:rsidRDefault="002D2043" w:rsidP="002D2043">
            <w:pPr>
              <w:pStyle w:val="naisc"/>
              <w:jc w:val="both"/>
              <w:rPr>
                <w:sz w:val="20"/>
                <w:szCs w:val="20"/>
              </w:rPr>
            </w:pPr>
            <w:r w:rsidRPr="00460515">
              <w:rPr>
                <w:sz w:val="20"/>
                <w:szCs w:val="20"/>
              </w:rPr>
              <w:t>7.2.2. koeficientu 3 – izglītojamiem speciālās izglītības programmās izglītojamiem ar redzes traucējumiem, dzirdes traucējumiem, garīgās attīstības traucējumiem un bērniem no piecu gadu vecuma speciālās pirmsskolas izglītības programmās izglītojamiem ar jauktiem attīstības traucējumiem;</w:t>
            </w:r>
          </w:p>
          <w:p w14:paraId="39990CFA" w14:textId="2CC221CC" w:rsidR="002D2043" w:rsidRPr="00E065B3" w:rsidRDefault="002D2043" w:rsidP="002D2043">
            <w:pPr>
              <w:pStyle w:val="Default"/>
              <w:jc w:val="both"/>
              <w:rPr>
                <w:color w:val="auto"/>
                <w:sz w:val="20"/>
                <w:szCs w:val="20"/>
              </w:rPr>
            </w:pPr>
            <w:r w:rsidRPr="00460515">
              <w:rPr>
                <w:sz w:val="20"/>
                <w:szCs w:val="20"/>
              </w:rPr>
              <w:t xml:space="preserve">7.2.3. koeficientu 5 – izglītojamiem speciālās izglītības programmās izglītojamiem ar smagiem garīgās attīstības traucējumiem vai vairākiem </w:t>
            </w:r>
            <w:r w:rsidRPr="00460515">
              <w:rPr>
                <w:sz w:val="20"/>
                <w:szCs w:val="20"/>
              </w:rPr>
              <w:lastRenderedPageBreak/>
              <w:t>smagiem attīstības traucējumiem;”</w:t>
            </w:r>
          </w:p>
        </w:tc>
      </w:tr>
      <w:tr w:rsidR="00811551" w:rsidRPr="00D70799" w14:paraId="534B37DE" w14:textId="77777777" w:rsidTr="002D2043">
        <w:trPr>
          <w:trHeight w:val="274"/>
        </w:trPr>
        <w:tc>
          <w:tcPr>
            <w:tcW w:w="5000" w:type="pct"/>
            <w:gridSpan w:val="5"/>
            <w:shd w:val="clear" w:color="auto" w:fill="FFFFFF" w:themeFill="background1"/>
          </w:tcPr>
          <w:p w14:paraId="5A10D86A" w14:textId="3780F8E5" w:rsidR="00811551" w:rsidRPr="00FF1073" w:rsidRDefault="00811551" w:rsidP="000D3A0A">
            <w:pPr>
              <w:pStyle w:val="naisc"/>
              <w:jc w:val="both"/>
              <w:rPr>
                <w:sz w:val="20"/>
                <w:szCs w:val="20"/>
              </w:rPr>
            </w:pPr>
            <w:r>
              <w:rPr>
                <w:sz w:val="20"/>
                <w:szCs w:val="20"/>
              </w:rPr>
              <w:lastRenderedPageBreak/>
              <w:t>Priekšlikumi:</w:t>
            </w:r>
          </w:p>
        </w:tc>
      </w:tr>
      <w:tr w:rsidR="000D3A0A" w:rsidRPr="00D70799" w14:paraId="66122247" w14:textId="77777777" w:rsidTr="002D2043">
        <w:trPr>
          <w:trHeight w:val="274"/>
        </w:trPr>
        <w:tc>
          <w:tcPr>
            <w:tcW w:w="438" w:type="pct"/>
            <w:shd w:val="clear" w:color="auto" w:fill="FFFFFF" w:themeFill="background1"/>
          </w:tcPr>
          <w:p w14:paraId="4567A2EA" w14:textId="57FF98FA" w:rsidR="000D3A0A" w:rsidRPr="004930E9" w:rsidRDefault="000D3A0A" w:rsidP="000D3A0A">
            <w:pPr>
              <w:pStyle w:val="ListParagraph"/>
              <w:numPr>
                <w:ilvl w:val="0"/>
                <w:numId w:val="47"/>
              </w:numPr>
              <w:tabs>
                <w:tab w:val="center" w:pos="284"/>
              </w:tabs>
              <w:ind w:hanging="686"/>
              <w:rPr>
                <w:sz w:val="20"/>
                <w:szCs w:val="20"/>
              </w:rPr>
            </w:pPr>
          </w:p>
        </w:tc>
        <w:tc>
          <w:tcPr>
            <w:tcW w:w="810" w:type="pct"/>
            <w:shd w:val="clear" w:color="auto" w:fill="auto"/>
          </w:tcPr>
          <w:p w14:paraId="33E1C11A" w14:textId="77777777" w:rsidR="000D3A0A" w:rsidRPr="002B5C7C" w:rsidRDefault="000D3A0A" w:rsidP="000D3A0A">
            <w:pPr>
              <w:pStyle w:val="ListParagraph"/>
              <w:ind w:left="0"/>
              <w:jc w:val="both"/>
              <w:rPr>
                <w:rFonts w:ascii="Times New Roman" w:hAnsi="Times New Roman"/>
                <w:sz w:val="20"/>
                <w:szCs w:val="20"/>
              </w:rPr>
            </w:pPr>
          </w:p>
        </w:tc>
        <w:tc>
          <w:tcPr>
            <w:tcW w:w="1679" w:type="pct"/>
            <w:shd w:val="clear" w:color="auto" w:fill="auto"/>
          </w:tcPr>
          <w:p w14:paraId="1E582DD3" w14:textId="30424306" w:rsidR="000D3A0A" w:rsidRPr="004930E9" w:rsidRDefault="000D3A0A" w:rsidP="000D3A0A">
            <w:pPr>
              <w:tabs>
                <w:tab w:val="left" w:pos="709"/>
              </w:tabs>
              <w:jc w:val="both"/>
              <w:rPr>
                <w:b/>
                <w:sz w:val="20"/>
                <w:szCs w:val="20"/>
              </w:rPr>
            </w:pPr>
            <w:r>
              <w:rPr>
                <w:b/>
                <w:sz w:val="20"/>
                <w:szCs w:val="20"/>
              </w:rPr>
              <w:t>LLPA</w:t>
            </w:r>
            <w:r w:rsidRPr="004930E9">
              <w:rPr>
                <w:b/>
                <w:sz w:val="20"/>
                <w:szCs w:val="20"/>
              </w:rPr>
              <w:t>:</w:t>
            </w:r>
          </w:p>
          <w:p w14:paraId="4074890E" w14:textId="77777777" w:rsidR="000D3A0A" w:rsidRPr="00862AAC" w:rsidRDefault="000D3A0A" w:rsidP="000D3A0A">
            <w:pPr>
              <w:tabs>
                <w:tab w:val="left" w:pos="709"/>
              </w:tabs>
              <w:jc w:val="both"/>
              <w:rPr>
                <w:sz w:val="20"/>
                <w:szCs w:val="20"/>
              </w:rPr>
            </w:pPr>
            <w:r w:rsidRPr="00862AAC">
              <w:rPr>
                <w:sz w:val="20"/>
                <w:szCs w:val="20"/>
              </w:rPr>
              <w:t>Priekšlikums papildināt 7. punktu ar apakšpunktu:</w:t>
            </w:r>
          </w:p>
          <w:p w14:paraId="76B9D0F8" w14:textId="51BAC077" w:rsidR="000D3A0A" w:rsidRPr="004930E9" w:rsidRDefault="000D3A0A" w:rsidP="000D3A0A">
            <w:pPr>
              <w:tabs>
                <w:tab w:val="left" w:pos="709"/>
              </w:tabs>
              <w:jc w:val="both"/>
              <w:rPr>
                <w:sz w:val="20"/>
                <w:szCs w:val="20"/>
              </w:rPr>
            </w:pPr>
            <w:r w:rsidRPr="00862AAC">
              <w:rPr>
                <w:sz w:val="20"/>
                <w:szCs w:val="20"/>
              </w:rPr>
              <w:t>“Profesionāli orientēta virziena pamatizglītības programmā ar padziļinātu jūras zinību apguvi skolēnu skaitam piemēro koeficientu 1,3.”</w:t>
            </w:r>
          </w:p>
        </w:tc>
        <w:tc>
          <w:tcPr>
            <w:tcW w:w="1096" w:type="pct"/>
            <w:shd w:val="clear" w:color="auto" w:fill="auto"/>
          </w:tcPr>
          <w:p w14:paraId="431225D1" w14:textId="77777777" w:rsidR="000D3A0A" w:rsidRPr="00A60837" w:rsidRDefault="000D3A0A" w:rsidP="000D3A0A">
            <w:pPr>
              <w:jc w:val="both"/>
              <w:rPr>
                <w:b/>
                <w:sz w:val="20"/>
                <w:szCs w:val="20"/>
              </w:rPr>
            </w:pPr>
            <w:r w:rsidRPr="00A60837">
              <w:rPr>
                <w:b/>
                <w:sz w:val="20"/>
                <w:szCs w:val="20"/>
              </w:rPr>
              <w:t xml:space="preserve">Nav ņemts vērā. </w:t>
            </w:r>
          </w:p>
          <w:p w14:paraId="5192A1B8" w14:textId="5AE52602" w:rsidR="000D3A0A" w:rsidRPr="00EF5CF7" w:rsidRDefault="000D3A0A" w:rsidP="000D3A0A">
            <w:pPr>
              <w:jc w:val="both"/>
              <w:rPr>
                <w:sz w:val="20"/>
                <w:szCs w:val="20"/>
              </w:rPr>
            </w:pPr>
            <w:r>
              <w:rPr>
                <w:sz w:val="20"/>
                <w:szCs w:val="20"/>
              </w:rPr>
              <w:t>Grozījumi Izglītības likumā paredz, ka pieteikties uz papildu finansējumu līdz 2022.gada 31.augustam var tikai tās iestādes, kas iepriekšējā periodā ir saņēmušas finansējumus. Sākot ar</w:t>
            </w:r>
            <w:r w:rsidRPr="00A60837">
              <w:rPr>
                <w:sz w:val="20"/>
                <w:szCs w:val="20"/>
              </w:rPr>
              <w:t xml:space="preserve"> 2022./2023.m.</w:t>
            </w:r>
            <w:r>
              <w:rPr>
                <w:sz w:val="20"/>
                <w:szCs w:val="20"/>
              </w:rPr>
              <w:t xml:space="preserve">g. izglītības iestādes </w:t>
            </w:r>
            <w:r w:rsidRPr="00A60837">
              <w:rPr>
                <w:sz w:val="20"/>
                <w:szCs w:val="20"/>
              </w:rPr>
              <w:t>var</w:t>
            </w:r>
            <w:r>
              <w:rPr>
                <w:sz w:val="20"/>
                <w:szCs w:val="20"/>
              </w:rPr>
              <w:t>ēs</w:t>
            </w:r>
            <w:r w:rsidRPr="00A60837">
              <w:rPr>
                <w:sz w:val="20"/>
                <w:szCs w:val="20"/>
              </w:rPr>
              <w:t xml:space="preserve"> īstenot tās izstrādātu pamatizglītības programmu, kas kādā no mācību jomām vai daļā no jomas </w:t>
            </w:r>
            <w:r>
              <w:rPr>
                <w:sz w:val="20"/>
                <w:szCs w:val="20"/>
              </w:rPr>
              <w:t xml:space="preserve">(tai skaitā arī ar padziļinātu jūras zinību apguvi) </w:t>
            </w:r>
            <w:r w:rsidRPr="00A60837">
              <w:rPr>
                <w:sz w:val="20"/>
                <w:szCs w:val="20"/>
              </w:rPr>
              <w:t>nosaka augstākus izglītības satura apguves plānotos rezultātus par valsts vispārējās izglītības standartā noteiktajiem vispārējās izglītības obligātā satura apguves plānotajiem r</w:t>
            </w:r>
            <w:r>
              <w:rPr>
                <w:sz w:val="20"/>
                <w:szCs w:val="20"/>
              </w:rPr>
              <w:t xml:space="preserve">ezultātiem un pretendēt uz papildu finansējumu. </w:t>
            </w:r>
          </w:p>
        </w:tc>
        <w:tc>
          <w:tcPr>
            <w:tcW w:w="977" w:type="pct"/>
            <w:shd w:val="clear" w:color="auto" w:fill="auto"/>
          </w:tcPr>
          <w:p w14:paraId="0152F1C7" w14:textId="77777777" w:rsidR="000D3A0A" w:rsidRPr="002B5C7C" w:rsidRDefault="000D3A0A" w:rsidP="000D3A0A">
            <w:pPr>
              <w:jc w:val="both"/>
              <w:rPr>
                <w:sz w:val="20"/>
                <w:szCs w:val="20"/>
              </w:rPr>
            </w:pPr>
          </w:p>
        </w:tc>
      </w:tr>
    </w:tbl>
    <w:p w14:paraId="6CABB975" w14:textId="2A419E1D" w:rsidR="006B3DE2" w:rsidRPr="00D70799" w:rsidRDefault="006B3DE2" w:rsidP="009E2178">
      <w:pPr>
        <w:jc w:val="both"/>
        <w:rPr>
          <w:sz w:val="20"/>
          <w:szCs w:val="20"/>
        </w:rPr>
      </w:pPr>
    </w:p>
    <w:p w14:paraId="5BF58CC6" w14:textId="77777777" w:rsidR="004A3F03" w:rsidRDefault="004A3F03" w:rsidP="00A93EEB">
      <w:pPr>
        <w:rPr>
          <w:sz w:val="20"/>
          <w:szCs w:val="20"/>
        </w:rPr>
      </w:pPr>
    </w:p>
    <w:p w14:paraId="34BE9E33" w14:textId="77777777" w:rsidR="0094320F" w:rsidRPr="0094320F" w:rsidRDefault="0094320F" w:rsidP="0094320F">
      <w:pPr>
        <w:shd w:val="clear" w:color="auto" w:fill="FFFFFF"/>
        <w:tabs>
          <w:tab w:val="left" w:pos="240"/>
          <w:tab w:val="left" w:pos="720"/>
        </w:tabs>
      </w:pPr>
      <w:r w:rsidRPr="0094320F">
        <w:t>Atbildīgā amatpersona</w:t>
      </w:r>
      <w:r w:rsidRPr="0094320F">
        <w:tab/>
        <w:t>_________________________________________________________________</w:t>
      </w:r>
    </w:p>
    <w:p w14:paraId="0FC7E6EB" w14:textId="77777777" w:rsidR="0094320F" w:rsidRPr="0094320F" w:rsidRDefault="0094320F" w:rsidP="0094320F">
      <w:pPr>
        <w:shd w:val="clear" w:color="auto" w:fill="FFFFFF"/>
        <w:tabs>
          <w:tab w:val="left" w:pos="240"/>
          <w:tab w:val="left" w:pos="720"/>
        </w:tabs>
      </w:pPr>
      <w:r w:rsidRPr="0094320F">
        <w:tab/>
      </w:r>
    </w:p>
    <w:p w14:paraId="02F2776D" w14:textId="77777777" w:rsidR="0094320F" w:rsidRPr="0094320F" w:rsidRDefault="0094320F" w:rsidP="0094320F">
      <w:pPr>
        <w:shd w:val="clear" w:color="auto" w:fill="FFFFFF"/>
        <w:tabs>
          <w:tab w:val="left" w:pos="240"/>
          <w:tab w:val="left" w:pos="720"/>
        </w:tabs>
      </w:pPr>
      <w:r w:rsidRPr="0094320F">
        <w:tab/>
      </w:r>
      <w:r w:rsidRPr="0094320F">
        <w:tab/>
      </w:r>
      <w:r w:rsidRPr="0094320F">
        <w:tab/>
      </w:r>
      <w:r w:rsidRPr="0094320F">
        <w:tab/>
      </w:r>
      <w:r w:rsidRPr="0094320F">
        <w:tab/>
      </w:r>
      <w:r w:rsidRPr="0094320F">
        <w:tab/>
      </w:r>
      <w:r w:rsidRPr="0094320F">
        <w:tab/>
      </w:r>
      <w:r w:rsidRPr="0094320F">
        <w:tab/>
      </w:r>
      <w:r w:rsidRPr="0094320F">
        <w:tab/>
      </w:r>
      <w:r w:rsidRPr="0094320F">
        <w:tab/>
        <w:t>(paraksts)</w:t>
      </w:r>
    </w:p>
    <w:p w14:paraId="23EFF7DD" w14:textId="6CD0AA4B" w:rsidR="00C922DA" w:rsidRPr="00600B68" w:rsidRDefault="009F70F4" w:rsidP="00A93EEB">
      <w:pPr>
        <w:rPr>
          <w:sz w:val="20"/>
          <w:szCs w:val="20"/>
        </w:rPr>
      </w:pPr>
      <w:r>
        <w:rPr>
          <w:sz w:val="20"/>
          <w:szCs w:val="20"/>
        </w:rPr>
        <w:t>11</w:t>
      </w:r>
      <w:r w:rsidR="0094320F">
        <w:rPr>
          <w:sz w:val="20"/>
          <w:szCs w:val="20"/>
        </w:rPr>
        <w:t>.06.2020.</w:t>
      </w:r>
    </w:p>
    <w:p w14:paraId="093ADEF3" w14:textId="77777777" w:rsidR="0094320F" w:rsidRDefault="004A3F03" w:rsidP="00A93EEB">
      <w:pPr>
        <w:rPr>
          <w:sz w:val="20"/>
          <w:szCs w:val="20"/>
        </w:rPr>
      </w:pPr>
      <w:r>
        <w:rPr>
          <w:sz w:val="20"/>
          <w:szCs w:val="20"/>
        </w:rPr>
        <w:t>A.Trokša</w:t>
      </w:r>
      <w:r w:rsidR="0094320F">
        <w:rPr>
          <w:sz w:val="20"/>
          <w:szCs w:val="20"/>
        </w:rPr>
        <w:t>.</w:t>
      </w:r>
    </w:p>
    <w:p w14:paraId="3D801C1A" w14:textId="3D875BB3" w:rsidR="009F70F4" w:rsidRPr="009F70F4" w:rsidRDefault="004A3F03" w:rsidP="009F70F4">
      <w:pPr>
        <w:rPr>
          <w:sz w:val="20"/>
          <w:szCs w:val="20"/>
        </w:rPr>
      </w:pPr>
      <w:r>
        <w:rPr>
          <w:sz w:val="20"/>
          <w:szCs w:val="20"/>
        </w:rPr>
        <w:t>67047858</w:t>
      </w:r>
      <w:r w:rsidR="0094320F">
        <w:rPr>
          <w:sz w:val="20"/>
          <w:szCs w:val="20"/>
        </w:rPr>
        <w:t xml:space="preserve">, </w:t>
      </w:r>
      <w:hyperlink r:id="rId8" w:history="1">
        <w:r w:rsidRPr="009A0679">
          <w:rPr>
            <w:rStyle w:val="Hyperlink"/>
            <w:sz w:val="20"/>
            <w:szCs w:val="20"/>
          </w:rPr>
          <w:t>alise.troksa@izm.gov.lv</w:t>
        </w:r>
      </w:hyperlink>
      <w:bookmarkStart w:id="3" w:name="_GoBack"/>
      <w:bookmarkEnd w:id="3"/>
    </w:p>
    <w:p w14:paraId="5D188A21" w14:textId="76C2F852" w:rsidR="009F70F4" w:rsidRDefault="009F70F4" w:rsidP="009F70F4">
      <w:pPr>
        <w:rPr>
          <w:sz w:val="20"/>
          <w:szCs w:val="20"/>
        </w:rPr>
      </w:pPr>
    </w:p>
    <w:p w14:paraId="30BD4AB1" w14:textId="68E7272A" w:rsidR="00A93EEB" w:rsidRPr="009F70F4" w:rsidRDefault="009F70F4" w:rsidP="009F70F4">
      <w:pPr>
        <w:tabs>
          <w:tab w:val="left" w:pos="2220"/>
        </w:tabs>
        <w:rPr>
          <w:sz w:val="20"/>
          <w:szCs w:val="20"/>
        </w:rPr>
      </w:pPr>
      <w:r>
        <w:rPr>
          <w:sz w:val="20"/>
          <w:szCs w:val="20"/>
        </w:rPr>
        <w:tab/>
      </w:r>
    </w:p>
    <w:sectPr w:rsidR="00A93EEB" w:rsidRPr="009F70F4" w:rsidSect="004B6353">
      <w:headerReference w:type="even" r:id="rId9"/>
      <w:headerReference w:type="default"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EC70" w14:textId="77777777" w:rsidR="00EB30BA" w:rsidRDefault="00EB30BA">
      <w:r>
        <w:separator/>
      </w:r>
    </w:p>
  </w:endnote>
  <w:endnote w:type="continuationSeparator" w:id="0">
    <w:p w14:paraId="6FAE73F3" w14:textId="77777777" w:rsidR="00EB30BA" w:rsidRDefault="00E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17D3" w14:textId="5AB10A98" w:rsidR="00FF1073" w:rsidRPr="00426C1E" w:rsidRDefault="00FF1073" w:rsidP="00FF1073">
    <w:pPr>
      <w:ind w:left="-567"/>
      <w:contextualSpacing/>
      <w:jc w:val="both"/>
      <w:rPr>
        <w:b/>
        <w:bCs/>
        <w:noProof/>
        <w:vanish/>
        <w:color w:val="000000"/>
        <w:sz w:val="18"/>
        <w:szCs w:val="18"/>
      </w:rPr>
    </w:pPr>
    <w:r w:rsidRPr="00426C1E">
      <w:rPr>
        <w:noProof/>
        <w:color w:val="000000" w:themeColor="text1"/>
        <w:sz w:val="18"/>
        <w:szCs w:val="18"/>
      </w:rPr>
      <w:fldChar w:fldCharType="begin"/>
    </w:r>
    <w:r w:rsidRPr="00426C1E">
      <w:rPr>
        <w:noProof/>
        <w:color w:val="000000" w:themeColor="text1"/>
        <w:sz w:val="18"/>
        <w:szCs w:val="18"/>
      </w:rPr>
      <w:instrText xml:space="preserve"> FILENAME   \* MERGEFORMAT </w:instrText>
    </w:r>
    <w:r w:rsidRPr="00426C1E">
      <w:rPr>
        <w:noProof/>
        <w:color w:val="000000" w:themeColor="text1"/>
        <w:sz w:val="18"/>
        <w:szCs w:val="18"/>
      </w:rPr>
      <w:fldChar w:fldCharType="separate"/>
    </w:r>
    <w:r w:rsidR="000D3A0A">
      <w:rPr>
        <w:noProof/>
        <w:color w:val="000000" w:themeColor="text1"/>
        <w:sz w:val="18"/>
        <w:szCs w:val="18"/>
      </w:rPr>
      <w:t>IZMizz_11</w:t>
    </w:r>
    <w:r w:rsidR="009278EF">
      <w:rPr>
        <w:noProof/>
        <w:color w:val="000000" w:themeColor="text1"/>
        <w:sz w:val="18"/>
        <w:szCs w:val="18"/>
      </w:rPr>
      <w:t>06</w:t>
    </w:r>
    <w:r>
      <w:rPr>
        <w:noProof/>
        <w:color w:val="000000" w:themeColor="text1"/>
        <w:sz w:val="18"/>
        <w:szCs w:val="18"/>
      </w:rPr>
      <w:t>20_</w:t>
    </w:r>
    <w:r w:rsidR="009278EF">
      <w:rPr>
        <w:noProof/>
        <w:color w:val="000000" w:themeColor="text1"/>
        <w:sz w:val="18"/>
        <w:szCs w:val="18"/>
      </w:rPr>
      <w:t>Groz</w:t>
    </w:r>
    <w:r>
      <w:rPr>
        <w:noProof/>
        <w:color w:val="000000" w:themeColor="text1"/>
        <w:sz w:val="18"/>
        <w:szCs w:val="18"/>
      </w:rPr>
      <w:t>447</w:t>
    </w:r>
    <w:r w:rsidRPr="00426C1E">
      <w:rPr>
        <w:noProof/>
        <w:color w:val="000000" w:themeColor="text1"/>
        <w:sz w:val="18"/>
        <w:szCs w:val="18"/>
      </w:rPr>
      <w:fldChar w:fldCharType="end"/>
    </w:r>
  </w:p>
  <w:p w14:paraId="3DDB0E1A" w14:textId="53A7CE10" w:rsidR="00E36E54" w:rsidRPr="00FF1073" w:rsidRDefault="00E36E54" w:rsidP="00FF1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3115B4F5" w:rsidR="00E36E54" w:rsidRPr="00426C1E" w:rsidRDefault="00E36E54" w:rsidP="008610BC">
    <w:pPr>
      <w:ind w:left="-567"/>
      <w:contextualSpacing/>
      <w:jc w:val="both"/>
      <w:rPr>
        <w:b/>
        <w:bCs/>
        <w:noProof/>
        <w:vanish/>
        <w:color w:val="000000"/>
        <w:sz w:val="18"/>
        <w:szCs w:val="18"/>
      </w:rPr>
    </w:pPr>
    <w:r w:rsidRPr="00426C1E">
      <w:rPr>
        <w:noProof/>
        <w:color w:val="000000" w:themeColor="text1"/>
        <w:sz w:val="18"/>
        <w:szCs w:val="18"/>
      </w:rPr>
      <w:fldChar w:fldCharType="begin"/>
    </w:r>
    <w:r w:rsidRPr="00426C1E">
      <w:rPr>
        <w:noProof/>
        <w:color w:val="000000" w:themeColor="text1"/>
        <w:sz w:val="18"/>
        <w:szCs w:val="18"/>
      </w:rPr>
      <w:instrText xml:space="preserve"> FILENAME   \* MERGEFORMAT </w:instrText>
    </w:r>
    <w:r w:rsidRPr="00426C1E">
      <w:rPr>
        <w:noProof/>
        <w:color w:val="000000" w:themeColor="text1"/>
        <w:sz w:val="18"/>
        <w:szCs w:val="18"/>
      </w:rPr>
      <w:fldChar w:fldCharType="separate"/>
    </w:r>
    <w:r w:rsidR="000D3A0A">
      <w:rPr>
        <w:noProof/>
        <w:color w:val="000000" w:themeColor="text1"/>
        <w:sz w:val="18"/>
        <w:szCs w:val="18"/>
      </w:rPr>
      <w:t>IZMizz_11</w:t>
    </w:r>
    <w:r w:rsidR="009278EF">
      <w:rPr>
        <w:noProof/>
        <w:color w:val="000000" w:themeColor="text1"/>
        <w:sz w:val="18"/>
        <w:szCs w:val="18"/>
      </w:rPr>
      <w:t>06</w:t>
    </w:r>
    <w:r w:rsidR="00FF1073">
      <w:rPr>
        <w:noProof/>
        <w:color w:val="000000" w:themeColor="text1"/>
        <w:sz w:val="18"/>
        <w:szCs w:val="18"/>
      </w:rPr>
      <w:t>20_</w:t>
    </w:r>
    <w:r w:rsidR="009278EF">
      <w:rPr>
        <w:noProof/>
        <w:color w:val="000000" w:themeColor="text1"/>
        <w:sz w:val="18"/>
        <w:szCs w:val="18"/>
      </w:rPr>
      <w:t>Groz</w:t>
    </w:r>
    <w:r w:rsidR="00FF1073">
      <w:rPr>
        <w:noProof/>
        <w:color w:val="000000" w:themeColor="text1"/>
        <w:sz w:val="18"/>
        <w:szCs w:val="18"/>
      </w:rPr>
      <w:t>447</w:t>
    </w:r>
    <w:r w:rsidRPr="00426C1E">
      <w:rPr>
        <w:noProof/>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86C3" w14:textId="77777777" w:rsidR="00EB30BA" w:rsidRDefault="00EB30BA">
      <w:r>
        <w:separator/>
      </w:r>
    </w:p>
  </w:footnote>
  <w:footnote w:type="continuationSeparator" w:id="0">
    <w:p w14:paraId="13C28DF4" w14:textId="77777777" w:rsidR="00EB30BA" w:rsidRDefault="00EB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E36E54" w:rsidRDefault="00E36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E36E54" w:rsidRDefault="00E36E5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B1E">
      <w:rPr>
        <w:rStyle w:val="PageNumber"/>
        <w:noProof/>
      </w:rPr>
      <w:t>2</w:t>
    </w:r>
    <w:r>
      <w:rPr>
        <w:rStyle w:val="PageNumber"/>
      </w:rPr>
      <w:fldChar w:fldCharType="end"/>
    </w:r>
  </w:p>
  <w:p w14:paraId="1F87B2A5" w14:textId="77777777" w:rsidR="00E36E54" w:rsidRDefault="00E3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E36E54" w:rsidRPr="006C4AF5" w:rsidRDefault="00E36E54"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770"/>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9C2A04"/>
    <w:multiLevelType w:val="hybridMultilevel"/>
    <w:tmpl w:val="9EDC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231C"/>
    <w:multiLevelType w:val="hybridMultilevel"/>
    <w:tmpl w:val="A4AAA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4C82618"/>
    <w:multiLevelType w:val="hybridMultilevel"/>
    <w:tmpl w:val="EF88F6CC"/>
    <w:lvl w:ilvl="0" w:tplc="39C4A5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F438D5"/>
    <w:multiLevelType w:val="hybridMultilevel"/>
    <w:tmpl w:val="02CEDA54"/>
    <w:lvl w:ilvl="0" w:tplc="C590D0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983921"/>
    <w:multiLevelType w:val="hybridMultilevel"/>
    <w:tmpl w:val="AAC60E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671A81"/>
    <w:multiLevelType w:val="hybridMultilevel"/>
    <w:tmpl w:val="E85A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187A77"/>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894291"/>
    <w:multiLevelType w:val="hybridMultilevel"/>
    <w:tmpl w:val="CA9A289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A521CF"/>
    <w:multiLevelType w:val="hybridMultilevel"/>
    <w:tmpl w:val="7EB203CA"/>
    <w:lvl w:ilvl="0" w:tplc="9D147BF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16F72EC8"/>
    <w:multiLevelType w:val="hybridMultilevel"/>
    <w:tmpl w:val="E8E43440"/>
    <w:lvl w:ilvl="0" w:tplc="17461F08">
      <w:start w:val="1"/>
      <w:numFmt w:val="lowerLetter"/>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D8777D"/>
    <w:multiLevelType w:val="hybridMultilevel"/>
    <w:tmpl w:val="B728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8062D"/>
    <w:multiLevelType w:val="hybridMultilevel"/>
    <w:tmpl w:val="88688F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D0139"/>
    <w:multiLevelType w:val="hybridMultilevel"/>
    <w:tmpl w:val="0D002E2C"/>
    <w:lvl w:ilvl="0" w:tplc="5F604D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D849BB"/>
    <w:multiLevelType w:val="hybridMultilevel"/>
    <w:tmpl w:val="C3AE8FC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2B701C03"/>
    <w:multiLevelType w:val="hybridMultilevel"/>
    <w:tmpl w:val="7C64870A"/>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4748C8"/>
    <w:multiLevelType w:val="multilevel"/>
    <w:tmpl w:val="6D9C5786"/>
    <w:lvl w:ilvl="0">
      <w:start w:val="2"/>
      <w:numFmt w:val="decimal"/>
      <w:lvlText w:val="%1."/>
      <w:lvlJc w:val="left"/>
      <w:pPr>
        <w:ind w:left="720" w:hanging="360"/>
      </w:pPr>
      <w:rPr>
        <w:rFonts w:hint="default"/>
        <w:b w:val="0"/>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2966A9B"/>
    <w:multiLevelType w:val="hybridMultilevel"/>
    <w:tmpl w:val="ED3CBD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EB720F"/>
    <w:multiLevelType w:val="hybridMultilevel"/>
    <w:tmpl w:val="A1A8505C"/>
    <w:lvl w:ilvl="0" w:tplc="FD16EDF0">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4" w15:restartNumberingAfterBreak="0">
    <w:nsid w:val="417A316B"/>
    <w:multiLevelType w:val="hybridMultilevel"/>
    <w:tmpl w:val="19982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01778C"/>
    <w:multiLevelType w:val="hybridMultilevel"/>
    <w:tmpl w:val="AA006FDC"/>
    <w:lvl w:ilvl="0" w:tplc="7FC2D93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AF10A7"/>
    <w:multiLevelType w:val="hybridMultilevel"/>
    <w:tmpl w:val="5DD40A00"/>
    <w:lvl w:ilvl="0" w:tplc="1DB4E9E4">
      <w:start w:val="1"/>
      <w:numFmt w:val="decimal"/>
      <w:lvlText w:val="%1."/>
      <w:lvlJc w:val="left"/>
      <w:pPr>
        <w:ind w:left="644" w:hanging="360"/>
      </w:pPr>
      <w:rPr>
        <w:color w:val="auto"/>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7" w15:restartNumberingAfterBreak="0">
    <w:nsid w:val="4D0F6EA4"/>
    <w:multiLevelType w:val="hybridMultilevel"/>
    <w:tmpl w:val="084E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2447C4"/>
    <w:multiLevelType w:val="hybridMultilevel"/>
    <w:tmpl w:val="FA5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E6743"/>
    <w:multiLevelType w:val="hybridMultilevel"/>
    <w:tmpl w:val="2EDE6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D17466"/>
    <w:multiLevelType w:val="hybridMultilevel"/>
    <w:tmpl w:val="1DF82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DC4A0C"/>
    <w:multiLevelType w:val="hybridMultilevel"/>
    <w:tmpl w:val="32BCA3C0"/>
    <w:lvl w:ilvl="0" w:tplc="B83078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4154BD"/>
    <w:multiLevelType w:val="hybridMultilevel"/>
    <w:tmpl w:val="9D6834D0"/>
    <w:lvl w:ilvl="0" w:tplc="7ACC51F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58FF6DD8"/>
    <w:multiLevelType w:val="hybridMultilevel"/>
    <w:tmpl w:val="AB9067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224D1"/>
    <w:multiLevelType w:val="hybridMultilevel"/>
    <w:tmpl w:val="52F4EC2A"/>
    <w:lvl w:ilvl="0" w:tplc="C09E1B66">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46258EE"/>
    <w:multiLevelType w:val="hybridMultilevel"/>
    <w:tmpl w:val="917CDCCA"/>
    <w:lvl w:ilvl="0" w:tplc="6C765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59717EB"/>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5B34612"/>
    <w:multiLevelType w:val="hybridMultilevel"/>
    <w:tmpl w:val="AC44300E"/>
    <w:lvl w:ilvl="0" w:tplc="93825D88">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E52782"/>
    <w:multiLevelType w:val="hybridMultilevel"/>
    <w:tmpl w:val="DEEEE2B2"/>
    <w:lvl w:ilvl="0" w:tplc="539CE9E0">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461263"/>
    <w:multiLevelType w:val="hybridMultilevel"/>
    <w:tmpl w:val="0F58E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74A06B19"/>
    <w:multiLevelType w:val="hybridMultilevel"/>
    <w:tmpl w:val="42FE75B8"/>
    <w:lvl w:ilvl="0" w:tplc="9E8AC608">
      <w:start w:val="1"/>
      <w:numFmt w:val="decimal"/>
      <w:lvlText w:val="%1."/>
      <w:lvlJc w:val="left"/>
      <w:pPr>
        <w:ind w:left="720" w:hanging="360"/>
      </w:pPr>
      <w:rPr>
        <w:rFonts w:ascii="Times New Roman" w:hAnsi="Times New Roman" w:cs="Times New Roman" w:hint="default"/>
        <w:b w:val="0"/>
        <w:i w:val="0"/>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56C0947"/>
    <w:multiLevelType w:val="hybridMultilevel"/>
    <w:tmpl w:val="39F03C72"/>
    <w:lvl w:ilvl="0" w:tplc="597EA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557685"/>
    <w:multiLevelType w:val="hybridMultilevel"/>
    <w:tmpl w:val="EE6C6008"/>
    <w:lvl w:ilvl="0" w:tplc="4BE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E5B3103"/>
    <w:multiLevelType w:val="hybridMultilevel"/>
    <w:tmpl w:val="ADBED14A"/>
    <w:lvl w:ilvl="0" w:tplc="0426000F">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30"/>
  </w:num>
  <w:num w:numId="3">
    <w:abstractNumId w:val="21"/>
  </w:num>
  <w:num w:numId="4">
    <w:abstractNumId w:val="45"/>
  </w:num>
  <w:num w:numId="5">
    <w:abstractNumId w:val="39"/>
  </w:num>
  <w:num w:numId="6">
    <w:abstractNumId w:val="5"/>
  </w:num>
  <w:num w:numId="7">
    <w:abstractNumId w:val="27"/>
  </w:num>
  <w:num w:numId="8">
    <w:abstractNumId w:val="22"/>
  </w:num>
  <w:num w:numId="9">
    <w:abstractNumId w:val="3"/>
  </w:num>
  <w:num w:numId="10">
    <w:abstractNumId w:val="13"/>
  </w:num>
  <w:num w:numId="11">
    <w:abstractNumId w:val="24"/>
  </w:num>
  <w:num w:numId="12">
    <w:abstractNumId w:val="8"/>
  </w:num>
  <w:num w:numId="13">
    <w:abstractNumId w:val="12"/>
  </w:num>
  <w:num w:numId="14">
    <w:abstractNumId w:val="20"/>
  </w:num>
  <w:num w:numId="15">
    <w:abstractNumId w:val="33"/>
  </w:num>
  <w:num w:numId="16">
    <w:abstractNumId w:val="9"/>
  </w:num>
  <w:num w:numId="17">
    <w:abstractNumId w:val="6"/>
  </w:num>
  <w:num w:numId="18">
    <w:abstractNumId w:val="41"/>
  </w:num>
  <w:num w:numId="19">
    <w:abstractNumId w:val="29"/>
  </w:num>
  <w:num w:numId="20">
    <w:abstractNumId w:val="34"/>
  </w:num>
  <w:num w:numId="21">
    <w:abstractNumId w:val="16"/>
  </w:num>
  <w:num w:numId="22">
    <w:abstractNumId w:val="4"/>
  </w:num>
  <w:num w:numId="23">
    <w:abstractNumId w:val="7"/>
  </w:num>
  <w:num w:numId="24">
    <w:abstractNumId w:val="23"/>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19"/>
  </w:num>
  <w:num w:numId="34">
    <w:abstractNumId w:val="25"/>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0"/>
  </w:num>
  <w:num w:numId="38">
    <w:abstractNumId w:val="36"/>
  </w:num>
  <w:num w:numId="39">
    <w:abstractNumId w:val="43"/>
  </w:num>
  <w:num w:numId="40">
    <w:abstractNumId w:val="44"/>
  </w:num>
  <w:num w:numId="41">
    <w:abstractNumId w:val="31"/>
  </w:num>
  <w:num w:numId="42">
    <w:abstractNumId w:val="3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8"/>
  </w:num>
  <w:num w:numId="46">
    <w:abstractNumId w:val="32"/>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DB"/>
    <w:rsid w:val="00011950"/>
    <w:rsid w:val="000119A9"/>
    <w:rsid w:val="0001249F"/>
    <w:rsid w:val="000125C0"/>
    <w:rsid w:val="0001270C"/>
    <w:rsid w:val="000136AA"/>
    <w:rsid w:val="00013929"/>
    <w:rsid w:val="00013B4C"/>
    <w:rsid w:val="00013B77"/>
    <w:rsid w:val="00013BF6"/>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4A9"/>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4F43"/>
    <w:rsid w:val="00035067"/>
    <w:rsid w:val="0003557A"/>
    <w:rsid w:val="000356FA"/>
    <w:rsid w:val="00035C06"/>
    <w:rsid w:val="00035EF0"/>
    <w:rsid w:val="000366DF"/>
    <w:rsid w:val="00036C6D"/>
    <w:rsid w:val="00036C93"/>
    <w:rsid w:val="00037524"/>
    <w:rsid w:val="000376CD"/>
    <w:rsid w:val="000376F1"/>
    <w:rsid w:val="000379CE"/>
    <w:rsid w:val="00037A77"/>
    <w:rsid w:val="00037B6B"/>
    <w:rsid w:val="00037B8C"/>
    <w:rsid w:val="00040A5C"/>
    <w:rsid w:val="00040CCD"/>
    <w:rsid w:val="000417C6"/>
    <w:rsid w:val="0004194C"/>
    <w:rsid w:val="00041F91"/>
    <w:rsid w:val="00043005"/>
    <w:rsid w:val="000433A6"/>
    <w:rsid w:val="0004345F"/>
    <w:rsid w:val="00043484"/>
    <w:rsid w:val="000434DA"/>
    <w:rsid w:val="000435C1"/>
    <w:rsid w:val="00043EFE"/>
    <w:rsid w:val="00044026"/>
    <w:rsid w:val="00044106"/>
    <w:rsid w:val="000453CF"/>
    <w:rsid w:val="00045F34"/>
    <w:rsid w:val="00046075"/>
    <w:rsid w:val="00046382"/>
    <w:rsid w:val="0004669C"/>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5BA"/>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5680"/>
    <w:rsid w:val="0008656F"/>
    <w:rsid w:val="00086AB9"/>
    <w:rsid w:val="00086BCE"/>
    <w:rsid w:val="00086F36"/>
    <w:rsid w:val="000872E9"/>
    <w:rsid w:val="000874B8"/>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5F43"/>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85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AB5"/>
    <w:rsid w:val="000B0C94"/>
    <w:rsid w:val="000B15E5"/>
    <w:rsid w:val="000B1BD7"/>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2427"/>
    <w:rsid w:val="000D2786"/>
    <w:rsid w:val="000D2A3B"/>
    <w:rsid w:val="000D2A8F"/>
    <w:rsid w:val="000D3602"/>
    <w:rsid w:val="000D3A0A"/>
    <w:rsid w:val="000D3E45"/>
    <w:rsid w:val="000D3FDF"/>
    <w:rsid w:val="000D424E"/>
    <w:rsid w:val="000D4358"/>
    <w:rsid w:val="000D47F3"/>
    <w:rsid w:val="000D4D89"/>
    <w:rsid w:val="000D640C"/>
    <w:rsid w:val="000D6B7E"/>
    <w:rsid w:val="000D6BBD"/>
    <w:rsid w:val="000D6CDB"/>
    <w:rsid w:val="000D6D90"/>
    <w:rsid w:val="000D7606"/>
    <w:rsid w:val="000D7751"/>
    <w:rsid w:val="000D7769"/>
    <w:rsid w:val="000D7BFE"/>
    <w:rsid w:val="000D7C23"/>
    <w:rsid w:val="000E0527"/>
    <w:rsid w:val="000E0A16"/>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0E"/>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1853"/>
    <w:rsid w:val="0011254D"/>
    <w:rsid w:val="00112D97"/>
    <w:rsid w:val="00112DDA"/>
    <w:rsid w:val="00112F8E"/>
    <w:rsid w:val="001135C7"/>
    <w:rsid w:val="001139C2"/>
    <w:rsid w:val="00114559"/>
    <w:rsid w:val="001149DC"/>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A68"/>
    <w:rsid w:val="00162C51"/>
    <w:rsid w:val="00162E08"/>
    <w:rsid w:val="001633F1"/>
    <w:rsid w:val="00163600"/>
    <w:rsid w:val="0016363B"/>
    <w:rsid w:val="0016416D"/>
    <w:rsid w:val="00164271"/>
    <w:rsid w:val="00164477"/>
    <w:rsid w:val="00164ED9"/>
    <w:rsid w:val="0016531E"/>
    <w:rsid w:val="0016565C"/>
    <w:rsid w:val="00165A08"/>
    <w:rsid w:val="00166314"/>
    <w:rsid w:val="00166746"/>
    <w:rsid w:val="0016680B"/>
    <w:rsid w:val="00166A1F"/>
    <w:rsid w:val="00167590"/>
    <w:rsid w:val="00167918"/>
    <w:rsid w:val="00167A9A"/>
    <w:rsid w:val="00167C1E"/>
    <w:rsid w:val="0017037A"/>
    <w:rsid w:val="0017043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1A9"/>
    <w:rsid w:val="0018147D"/>
    <w:rsid w:val="00181853"/>
    <w:rsid w:val="00181BAA"/>
    <w:rsid w:val="00181D2D"/>
    <w:rsid w:val="001820A4"/>
    <w:rsid w:val="0018210A"/>
    <w:rsid w:val="001828FD"/>
    <w:rsid w:val="00182DE0"/>
    <w:rsid w:val="00183627"/>
    <w:rsid w:val="00183787"/>
    <w:rsid w:val="0018386C"/>
    <w:rsid w:val="00184479"/>
    <w:rsid w:val="0018455F"/>
    <w:rsid w:val="0018457C"/>
    <w:rsid w:val="001846F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212"/>
    <w:rsid w:val="001A5223"/>
    <w:rsid w:val="001A531C"/>
    <w:rsid w:val="001A5C13"/>
    <w:rsid w:val="001A61CB"/>
    <w:rsid w:val="001A662A"/>
    <w:rsid w:val="001A6A1C"/>
    <w:rsid w:val="001A6D86"/>
    <w:rsid w:val="001A7147"/>
    <w:rsid w:val="001A72A7"/>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4BA"/>
    <w:rsid w:val="001C28FD"/>
    <w:rsid w:val="001C309E"/>
    <w:rsid w:val="001C3163"/>
    <w:rsid w:val="001C3349"/>
    <w:rsid w:val="001C3E58"/>
    <w:rsid w:val="001C4ABA"/>
    <w:rsid w:val="001C509E"/>
    <w:rsid w:val="001C546B"/>
    <w:rsid w:val="001C553B"/>
    <w:rsid w:val="001C5EA2"/>
    <w:rsid w:val="001C6608"/>
    <w:rsid w:val="001C6680"/>
    <w:rsid w:val="001C6C7D"/>
    <w:rsid w:val="001C79E3"/>
    <w:rsid w:val="001C7A3E"/>
    <w:rsid w:val="001D01B3"/>
    <w:rsid w:val="001D0393"/>
    <w:rsid w:val="001D1CB1"/>
    <w:rsid w:val="001D2232"/>
    <w:rsid w:val="001D260F"/>
    <w:rsid w:val="001D26D8"/>
    <w:rsid w:val="001D2AC0"/>
    <w:rsid w:val="001D2DBA"/>
    <w:rsid w:val="001D2FD0"/>
    <w:rsid w:val="001D3830"/>
    <w:rsid w:val="001D39B3"/>
    <w:rsid w:val="001D3A53"/>
    <w:rsid w:val="001D3BA6"/>
    <w:rsid w:val="001D4F43"/>
    <w:rsid w:val="001D4F79"/>
    <w:rsid w:val="001D4FEC"/>
    <w:rsid w:val="001D5564"/>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6"/>
    <w:rsid w:val="001E480E"/>
    <w:rsid w:val="001E4DDC"/>
    <w:rsid w:val="001E58C0"/>
    <w:rsid w:val="001E599A"/>
    <w:rsid w:val="001E5EAA"/>
    <w:rsid w:val="001E62BC"/>
    <w:rsid w:val="001E6BFD"/>
    <w:rsid w:val="001E73AA"/>
    <w:rsid w:val="001E7716"/>
    <w:rsid w:val="001E774F"/>
    <w:rsid w:val="001E78AC"/>
    <w:rsid w:val="001E7C1D"/>
    <w:rsid w:val="001E7F44"/>
    <w:rsid w:val="001E7F89"/>
    <w:rsid w:val="001F073F"/>
    <w:rsid w:val="001F07B8"/>
    <w:rsid w:val="001F19B5"/>
    <w:rsid w:val="001F2AA2"/>
    <w:rsid w:val="001F3009"/>
    <w:rsid w:val="001F3358"/>
    <w:rsid w:val="001F35CB"/>
    <w:rsid w:val="001F36A2"/>
    <w:rsid w:val="001F390F"/>
    <w:rsid w:val="001F3A8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B53"/>
    <w:rsid w:val="00211273"/>
    <w:rsid w:val="002114BA"/>
    <w:rsid w:val="00211548"/>
    <w:rsid w:val="00211698"/>
    <w:rsid w:val="00211793"/>
    <w:rsid w:val="002117BD"/>
    <w:rsid w:val="002119B2"/>
    <w:rsid w:val="00211C11"/>
    <w:rsid w:val="00212345"/>
    <w:rsid w:val="002129DC"/>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C8D"/>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D9A"/>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50229"/>
    <w:rsid w:val="00250340"/>
    <w:rsid w:val="00250D76"/>
    <w:rsid w:val="00250EDA"/>
    <w:rsid w:val="00251108"/>
    <w:rsid w:val="00251356"/>
    <w:rsid w:val="00251502"/>
    <w:rsid w:val="002518E8"/>
    <w:rsid w:val="002519FA"/>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28B"/>
    <w:rsid w:val="0026484B"/>
    <w:rsid w:val="00264B86"/>
    <w:rsid w:val="00265417"/>
    <w:rsid w:val="002654F6"/>
    <w:rsid w:val="00265593"/>
    <w:rsid w:val="00265A04"/>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2E0"/>
    <w:rsid w:val="0027333D"/>
    <w:rsid w:val="00273485"/>
    <w:rsid w:val="002734BD"/>
    <w:rsid w:val="0027380D"/>
    <w:rsid w:val="002738AC"/>
    <w:rsid w:val="00273974"/>
    <w:rsid w:val="00273BE6"/>
    <w:rsid w:val="00274097"/>
    <w:rsid w:val="002740C8"/>
    <w:rsid w:val="0027468E"/>
    <w:rsid w:val="00274826"/>
    <w:rsid w:val="00274E43"/>
    <w:rsid w:val="00275005"/>
    <w:rsid w:val="002752AB"/>
    <w:rsid w:val="002756D6"/>
    <w:rsid w:val="0027573C"/>
    <w:rsid w:val="00276B5A"/>
    <w:rsid w:val="00277860"/>
    <w:rsid w:val="00277905"/>
    <w:rsid w:val="00277DFF"/>
    <w:rsid w:val="00277F1D"/>
    <w:rsid w:val="0028148A"/>
    <w:rsid w:val="002814A7"/>
    <w:rsid w:val="002815D0"/>
    <w:rsid w:val="002820A7"/>
    <w:rsid w:val="002827B0"/>
    <w:rsid w:val="002836A6"/>
    <w:rsid w:val="00283860"/>
    <w:rsid w:val="00283B82"/>
    <w:rsid w:val="00283E13"/>
    <w:rsid w:val="00283F3B"/>
    <w:rsid w:val="00284763"/>
    <w:rsid w:val="0028532A"/>
    <w:rsid w:val="00286478"/>
    <w:rsid w:val="002866A8"/>
    <w:rsid w:val="00286B53"/>
    <w:rsid w:val="00287222"/>
    <w:rsid w:val="0028727C"/>
    <w:rsid w:val="00287EDD"/>
    <w:rsid w:val="00290A94"/>
    <w:rsid w:val="00290C7A"/>
    <w:rsid w:val="0029141B"/>
    <w:rsid w:val="00291F6D"/>
    <w:rsid w:val="0029202F"/>
    <w:rsid w:val="002927D3"/>
    <w:rsid w:val="00292EC8"/>
    <w:rsid w:val="002938AD"/>
    <w:rsid w:val="00293DC7"/>
    <w:rsid w:val="00294BDE"/>
    <w:rsid w:val="00294EA6"/>
    <w:rsid w:val="00295DB6"/>
    <w:rsid w:val="00296335"/>
    <w:rsid w:val="002965C0"/>
    <w:rsid w:val="00296D3B"/>
    <w:rsid w:val="00296E1A"/>
    <w:rsid w:val="00296E3F"/>
    <w:rsid w:val="0029788B"/>
    <w:rsid w:val="00297D1B"/>
    <w:rsid w:val="00297F4D"/>
    <w:rsid w:val="002A0226"/>
    <w:rsid w:val="002A0290"/>
    <w:rsid w:val="002A0661"/>
    <w:rsid w:val="002A0B7F"/>
    <w:rsid w:val="002A115D"/>
    <w:rsid w:val="002A1CF2"/>
    <w:rsid w:val="002A1F59"/>
    <w:rsid w:val="002A2018"/>
    <w:rsid w:val="002A2044"/>
    <w:rsid w:val="002A228D"/>
    <w:rsid w:val="002A2ED0"/>
    <w:rsid w:val="002A329F"/>
    <w:rsid w:val="002A33D9"/>
    <w:rsid w:val="002A3474"/>
    <w:rsid w:val="002A35BF"/>
    <w:rsid w:val="002A3A84"/>
    <w:rsid w:val="002A3BBF"/>
    <w:rsid w:val="002A3CEC"/>
    <w:rsid w:val="002A4223"/>
    <w:rsid w:val="002A4568"/>
    <w:rsid w:val="002A4AA8"/>
    <w:rsid w:val="002A4C3E"/>
    <w:rsid w:val="002A56BC"/>
    <w:rsid w:val="002A5C53"/>
    <w:rsid w:val="002A6156"/>
    <w:rsid w:val="002A66AD"/>
    <w:rsid w:val="002A6AD6"/>
    <w:rsid w:val="002A72CC"/>
    <w:rsid w:val="002A76AB"/>
    <w:rsid w:val="002A79C7"/>
    <w:rsid w:val="002A7A4F"/>
    <w:rsid w:val="002A7AFE"/>
    <w:rsid w:val="002B011D"/>
    <w:rsid w:val="002B01DB"/>
    <w:rsid w:val="002B05EB"/>
    <w:rsid w:val="002B09C0"/>
    <w:rsid w:val="002B100F"/>
    <w:rsid w:val="002B107A"/>
    <w:rsid w:val="002B125E"/>
    <w:rsid w:val="002B13B3"/>
    <w:rsid w:val="002B183D"/>
    <w:rsid w:val="002B1A70"/>
    <w:rsid w:val="002B1B11"/>
    <w:rsid w:val="002B1DBF"/>
    <w:rsid w:val="002B1DC8"/>
    <w:rsid w:val="002B1DD8"/>
    <w:rsid w:val="002B1FD4"/>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81B"/>
    <w:rsid w:val="002B5C7C"/>
    <w:rsid w:val="002B6176"/>
    <w:rsid w:val="002B6732"/>
    <w:rsid w:val="002B7D9C"/>
    <w:rsid w:val="002B7E7E"/>
    <w:rsid w:val="002C00C2"/>
    <w:rsid w:val="002C019F"/>
    <w:rsid w:val="002C0745"/>
    <w:rsid w:val="002C1543"/>
    <w:rsid w:val="002C196B"/>
    <w:rsid w:val="002C1EF3"/>
    <w:rsid w:val="002C2448"/>
    <w:rsid w:val="002C2892"/>
    <w:rsid w:val="002C2E22"/>
    <w:rsid w:val="002C4037"/>
    <w:rsid w:val="002C43D0"/>
    <w:rsid w:val="002C4992"/>
    <w:rsid w:val="002C5067"/>
    <w:rsid w:val="002C5081"/>
    <w:rsid w:val="002C54AB"/>
    <w:rsid w:val="002C58AB"/>
    <w:rsid w:val="002C64F1"/>
    <w:rsid w:val="002C652C"/>
    <w:rsid w:val="002C6708"/>
    <w:rsid w:val="002C6B15"/>
    <w:rsid w:val="002C6D84"/>
    <w:rsid w:val="002C6EE1"/>
    <w:rsid w:val="002C7D21"/>
    <w:rsid w:val="002C7D8E"/>
    <w:rsid w:val="002D10B2"/>
    <w:rsid w:val="002D1564"/>
    <w:rsid w:val="002D190C"/>
    <w:rsid w:val="002D1B9B"/>
    <w:rsid w:val="002D1CA4"/>
    <w:rsid w:val="002D1CFA"/>
    <w:rsid w:val="002D1FF8"/>
    <w:rsid w:val="002D2043"/>
    <w:rsid w:val="002D29FD"/>
    <w:rsid w:val="002D2C09"/>
    <w:rsid w:val="002D2C45"/>
    <w:rsid w:val="002D2D40"/>
    <w:rsid w:val="002D3461"/>
    <w:rsid w:val="002D3FC5"/>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0E5F"/>
    <w:rsid w:val="002E13BE"/>
    <w:rsid w:val="002E171A"/>
    <w:rsid w:val="002E17EF"/>
    <w:rsid w:val="002E194A"/>
    <w:rsid w:val="002E1D62"/>
    <w:rsid w:val="002E1E81"/>
    <w:rsid w:val="002E1EA1"/>
    <w:rsid w:val="002E2A24"/>
    <w:rsid w:val="002E2D2C"/>
    <w:rsid w:val="002E3D66"/>
    <w:rsid w:val="002E3F11"/>
    <w:rsid w:val="002E4B11"/>
    <w:rsid w:val="002E4F70"/>
    <w:rsid w:val="002E57CE"/>
    <w:rsid w:val="002E5886"/>
    <w:rsid w:val="002E5AD3"/>
    <w:rsid w:val="002E635D"/>
    <w:rsid w:val="002E645A"/>
    <w:rsid w:val="002E7562"/>
    <w:rsid w:val="002E7AE1"/>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26F0"/>
    <w:rsid w:val="00302E83"/>
    <w:rsid w:val="003033B5"/>
    <w:rsid w:val="00303F2B"/>
    <w:rsid w:val="00303FE0"/>
    <w:rsid w:val="003042C9"/>
    <w:rsid w:val="00304607"/>
    <w:rsid w:val="0030467A"/>
    <w:rsid w:val="00304D4E"/>
    <w:rsid w:val="00304D61"/>
    <w:rsid w:val="00304EF8"/>
    <w:rsid w:val="00304FFD"/>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46F"/>
    <w:rsid w:val="0031150D"/>
    <w:rsid w:val="00311747"/>
    <w:rsid w:val="00311795"/>
    <w:rsid w:val="003117B1"/>
    <w:rsid w:val="00311B70"/>
    <w:rsid w:val="00311CBE"/>
    <w:rsid w:val="00312280"/>
    <w:rsid w:val="0031237C"/>
    <w:rsid w:val="00312CD0"/>
    <w:rsid w:val="00312F94"/>
    <w:rsid w:val="003130B8"/>
    <w:rsid w:val="00313D32"/>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8A5"/>
    <w:rsid w:val="00317DC7"/>
    <w:rsid w:val="003200F9"/>
    <w:rsid w:val="003202E0"/>
    <w:rsid w:val="00320CEB"/>
    <w:rsid w:val="00320F38"/>
    <w:rsid w:val="00321183"/>
    <w:rsid w:val="00321694"/>
    <w:rsid w:val="003217DE"/>
    <w:rsid w:val="00321F0A"/>
    <w:rsid w:val="0032216D"/>
    <w:rsid w:val="003223CE"/>
    <w:rsid w:val="00322A2D"/>
    <w:rsid w:val="00322C61"/>
    <w:rsid w:val="00322E80"/>
    <w:rsid w:val="00323002"/>
    <w:rsid w:val="00323DF7"/>
    <w:rsid w:val="00324D5B"/>
    <w:rsid w:val="00325045"/>
    <w:rsid w:val="0032580D"/>
    <w:rsid w:val="00325AF2"/>
    <w:rsid w:val="00325D91"/>
    <w:rsid w:val="00325E13"/>
    <w:rsid w:val="00325E20"/>
    <w:rsid w:val="00326349"/>
    <w:rsid w:val="003267B4"/>
    <w:rsid w:val="00326F51"/>
    <w:rsid w:val="003278EC"/>
    <w:rsid w:val="00327A31"/>
    <w:rsid w:val="00327EF6"/>
    <w:rsid w:val="0033015C"/>
    <w:rsid w:val="003303B7"/>
    <w:rsid w:val="00331193"/>
    <w:rsid w:val="00331F2E"/>
    <w:rsid w:val="00331F65"/>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E9C"/>
    <w:rsid w:val="00346EB6"/>
    <w:rsid w:val="00347874"/>
    <w:rsid w:val="00347EDB"/>
    <w:rsid w:val="00350529"/>
    <w:rsid w:val="00350797"/>
    <w:rsid w:val="00351A85"/>
    <w:rsid w:val="003522E8"/>
    <w:rsid w:val="003522FA"/>
    <w:rsid w:val="0035298C"/>
    <w:rsid w:val="003530F2"/>
    <w:rsid w:val="0035370E"/>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BB6"/>
    <w:rsid w:val="00364CBA"/>
    <w:rsid w:val="00364D6B"/>
    <w:rsid w:val="003651DA"/>
    <w:rsid w:val="00365408"/>
    <w:rsid w:val="003659CC"/>
    <w:rsid w:val="00365CC0"/>
    <w:rsid w:val="003666BE"/>
    <w:rsid w:val="003668DF"/>
    <w:rsid w:val="0036735D"/>
    <w:rsid w:val="003675DD"/>
    <w:rsid w:val="00367688"/>
    <w:rsid w:val="003679DE"/>
    <w:rsid w:val="003703FB"/>
    <w:rsid w:val="00371B54"/>
    <w:rsid w:val="00372221"/>
    <w:rsid w:val="003729E8"/>
    <w:rsid w:val="00372CF2"/>
    <w:rsid w:val="00373368"/>
    <w:rsid w:val="00373A53"/>
    <w:rsid w:val="00374726"/>
    <w:rsid w:val="003749F1"/>
    <w:rsid w:val="00374ADE"/>
    <w:rsid w:val="00374C7E"/>
    <w:rsid w:val="00374F80"/>
    <w:rsid w:val="003761C7"/>
    <w:rsid w:val="003761FE"/>
    <w:rsid w:val="003770D6"/>
    <w:rsid w:val="00377353"/>
    <w:rsid w:val="0037736B"/>
    <w:rsid w:val="0037798B"/>
    <w:rsid w:val="00377B8B"/>
    <w:rsid w:val="003803C5"/>
    <w:rsid w:val="003809F9"/>
    <w:rsid w:val="00381BDA"/>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EF8"/>
    <w:rsid w:val="003921AE"/>
    <w:rsid w:val="00392447"/>
    <w:rsid w:val="00392F8F"/>
    <w:rsid w:val="00392FBD"/>
    <w:rsid w:val="00393B5B"/>
    <w:rsid w:val="00393BC8"/>
    <w:rsid w:val="00394EAB"/>
    <w:rsid w:val="00394FAD"/>
    <w:rsid w:val="00397458"/>
    <w:rsid w:val="003974B5"/>
    <w:rsid w:val="00397982"/>
    <w:rsid w:val="00397A96"/>
    <w:rsid w:val="003A02EE"/>
    <w:rsid w:val="003A04A5"/>
    <w:rsid w:val="003A0546"/>
    <w:rsid w:val="003A157A"/>
    <w:rsid w:val="003A18CC"/>
    <w:rsid w:val="003A2634"/>
    <w:rsid w:val="003A283F"/>
    <w:rsid w:val="003A2A16"/>
    <w:rsid w:val="003A2B4C"/>
    <w:rsid w:val="003A2FDD"/>
    <w:rsid w:val="003A3AFD"/>
    <w:rsid w:val="003A3C43"/>
    <w:rsid w:val="003A422B"/>
    <w:rsid w:val="003A4285"/>
    <w:rsid w:val="003A59AD"/>
    <w:rsid w:val="003A5ABE"/>
    <w:rsid w:val="003A5CCC"/>
    <w:rsid w:val="003A5E66"/>
    <w:rsid w:val="003A622E"/>
    <w:rsid w:val="003A6B7F"/>
    <w:rsid w:val="003A6F92"/>
    <w:rsid w:val="003A70FF"/>
    <w:rsid w:val="003A74D2"/>
    <w:rsid w:val="003A756B"/>
    <w:rsid w:val="003A764B"/>
    <w:rsid w:val="003A7902"/>
    <w:rsid w:val="003A7BD4"/>
    <w:rsid w:val="003A7D70"/>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82B"/>
    <w:rsid w:val="003D4B4C"/>
    <w:rsid w:val="003D53C4"/>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9D"/>
    <w:rsid w:val="003F7DB7"/>
    <w:rsid w:val="00400061"/>
    <w:rsid w:val="0040068A"/>
    <w:rsid w:val="00400755"/>
    <w:rsid w:val="00400813"/>
    <w:rsid w:val="00400E17"/>
    <w:rsid w:val="00400F9D"/>
    <w:rsid w:val="004010D5"/>
    <w:rsid w:val="004013AD"/>
    <w:rsid w:val="004013C9"/>
    <w:rsid w:val="00402215"/>
    <w:rsid w:val="004022AA"/>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2B3F"/>
    <w:rsid w:val="0041310F"/>
    <w:rsid w:val="004132FD"/>
    <w:rsid w:val="00414066"/>
    <w:rsid w:val="00415294"/>
    <w:rsid w:val="004155A0"/>
    <w:rsid w:val="004155EF"/>
    <w:rsid w:val="00415900"/>
    <w:rsid w:val="00415ADC"/>
    <w:rsid w:val="00415D75"/>
    <w:rsid w:val="00416277"/>
    <w:rsid w:val="00416621"/>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1E"/>
    <w:rsid w:val="00426C32"/>
    <w:rsid w:val="00426E9B"/>
    <w:rsid w:val="00427149"/>
    <w:rsid w:val="004271DE"/>
    <w:rsid w:val="00427ABC"/>
    <w:rsid w:val="00427D55"/>
    <w:rsid w:val="00430429"/>
    <w:rsid w:val="00430A76"/>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3CA"/>
    <w:rsid w:val="004478D4"/>
    <w:rsid w:val="00450380"/>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515"/>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58AF"/>
    <w:rsid w:val="004661AF"/>
    <w:rsid w:val="004662AD"/>
    <w:rsid w:val="00466516"/>
    <w:rsid w:val="00466692"/>
    <w:rsid w:val="0046719C"/>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8A9"/>
    <w:rsid w:val="00492C5E"/>
    <w:rsid w:val="00492EAB"/>
    <w:rsid w:val="004930E9"/>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3F03"/>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B0A74"/>
    <w:rsid w:val="004B17F2"/>
    <w:rsid w:val="004B1F07"/>
    <w:rsid w:val="004B22F8"/>
    <w:rsid w:val="004B2B2A"/>
    <w:rsid w:val="004B2CAD"/>
    <w:rsid w:val="004B3AC8"/>
    <w:rsid w:val="004B3E61"/>
    <w:rsid w:val="004B3EC7"/>
    <w:rsid w:val="004B4216"/>
    <w:rsid w:val="004B5664"/>
    <w:rsid w:val="004B592C"/>
    <w:rsid w:val="004B6353"/>
    <w:rsid w:val="004B63DA"/>
    <w:rsid w:val="004B68C1"/>
    <w:rsid w:val="004B6E09"/>
    <w:rsid w:val="004C01AC"/>
    <w:rsid w:val="004C047A"/>
    <w:rsid w:val="004C0CAB"/>
    <w:rsid w:val="004C1204"/>
    <w:rsid w:val="004C1922"/>
    <w:rsid w:val="004C2107"/>
    <w:rsid w:val="004C2E42"/>
    <w:rsid w:val="004C3A76"/>
    <w:rsid w:val="004C4F79"/>
    <w:rsid w:val="004C56A1"/>
    <w:rsid w:val="004C5FC6"/>
    <w:rsid w:val="004C6435"/>
    <w:rsid w:val="004C649B"/>
    <w:rsid w:val="004C6AF2"/>
    <w:rsid w:val="004C6CB2"/>
    <w:rsid w:val="004C6F8E"/>
    <w:rsid w:val="004C70BF"/>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7CF"/>
    <w:rsid w:val="004E280F"/>
    <w:rsid w:val="004E2880"/>
    <w:rsid w:val="004E2897"/>
    <w:rsid w:val="004E2C77"/>
    <w:rsid w:val="004E2C8E"/>
    <w:rsid w:val="004E35E8"/>
    <w:rsid w:val="004E3681"/>
    <w:rsid w:val="004E38EB"/>
    <w:rsid w:val="004E4879"/>
    <w:rsid w:val="004E50F0"/>
    <w:rsid w:val="004E6A03"/>
    <w:rsid w:val="004E6BCF"/>
    <w:rsid w:val="004E763A"/>
    <w:rsid w:val="004F0070"/>
    <w:rsid w:val="004F0087"/>
    <w:rsid w:val="004F0409"/>
    <w:rsid w:val="004F0468"/>
    <w:rsid w:val="004F0C3D"/>
    <w:rsid w:val="004F0C51"/>
    <w:rsid w:val="004F118A"/>
    <w:rsid w:val="004F2073"/>
    <w:rsid w:val="004F263C"/>
    <w:rsid w:val="004F2BB1"/>
    <w:rsid w:val="004F2EC7"/>
    <w:rsid w:val="004F38B8"/>
    <w:rsid w:val="004F3CE8"/>
    <w:rsid w:val="004F3D09"/>
    <w:rsid w:val="004F3FD2"/>
    <w:rsid w:val="004F44AD"/>
    <w:rsid w:val="004F5D78"/>
    <w:rsid w:val="004F6BFB"/>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6191"/>
    <w:rsid w:val="005070FF"/>
    <w:rsid w:val="00507172"/>
    <w:rsid w:val="0050794A"/>
    <w:rsid w:val="00510605"/>
    <w:rsid w:val="00511393"/>
    <w:rsid w:val="005114D4"/>
    <w:rsid w:val="00511CB0"/>
    <w:rsid w:val="00512868"/>
    <w:rsid w:val="00512A71"/>
    <w:rsid w:val="00512BBC"/>
    <w:rsid w:val="0051335E"/>
    <w:rsid w:val="005134FB"/>
    <w:rsid w:val="005135FD"/>
    <w:rsid w:val="0051366C"/>
    <w:rsid w:val="00513686"/>
    <w:rsid w:val="005136E3"/>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4F77"/>
    <w:rsid w:val="00525101"/>
    <w:rsid w:val="0052550F"/>
    <w:rsid w:val="00525E2F"/>
    <w:rsid w:val="00526C0F"/>
    <w:rsid w:val="0052702A"/>
    <w:rsid w:val="005273BD"/>
    <w:rsid w:val="005276E9"/>
    <w:rsid w:val="00530397"/>
    <w:rsid w:val="005303FC"/>
    <w:rsid w:val="00530717"/>
    <w:rsid w:val="0053084C"/>
    <w:rsid w:val="00530F73"/>
    <w:rsid w:val="005327B5"/>
    <w:rsid w:val="005327C0"/>
    <w:rsid w:val="00532A7B"/>
    <w:rsid w:val="00533438"/>
    <w:rsid w:val="0053352F"/>
    <w:rsid w:val="005337FE"/>
    <w:rsid w:val="005339A2"/>
    <w:rsid w:val="00533B8E"/>
    <w:rsid w:val="00533C7F"/>
    <w:rsid w:val="00533E09"/>
    <w:rsid w:val="00533FF3"/>
    <w:rsid w:val="00534143"/>
    <w:rsid w:val="0053435F"/>
    <w:rsid w:val="005351B4"/>
    <w:rsid w:val="00535417"/>
    <w:rsid w:val="0053564E"/>
    <w:rsid w:val="00535833"/>
    <w:rsid w:val="00535EF6"/>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A69"/>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72D8"/>
    <w:rsid w:val="00577775"/>
    <w:rsid w:val="00577AE1"/>
    <w:rsid w:val="00577E35"/>
    <w:rsid w:val="00580182"/>
    <w:rsid w:val="005804F0"/>
    <w:rsid w:val="00580B4C"/>
    <w:rsid w:val="0058121A"/>
    <w:rsid w:val="0058179C"/>
    <w:rsid w:val="00581863"/>
    <w:rsid w:val="00581DE7"/>
    <w:rsid w:val="00581EA3"/>
    <w:rsid w:val="0058205A"/>
    <w:rsid w:val="0058260B"/>
    <w:rsid w:val="00582C15"/>
    <w:rsid w:val="00582FD0"/>
    <w:rsid w:val="005837AF"/>
    <w:rsid w:val="005844AC"/>
    <w:rsid w:val="005844AD"/>
    <w:rsid w:val="005846C1"/>
    <w:rsid w:val="00584D1E"/>
    <w:rsid w:val="00584DC4"/>
    <w:rsid w:val="005850C8"/>
    <w:rsid w:val="00585475"/>
    <w:rsid w:val="00586795"/>
    <w:rsid w:val="005867CB"/>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308A"/>
    <w:rsid w:val="005A3127"/>
    <w:rsid w:val="005A31EB"/>
    <w:rsid w:val="005A3389"/>
    <w:rsid w:val="005A3590"/>
    <w:rsid w:val="005A4A1C"/>
    <w:rsid w:val="005A4C0D"/>
    <w:rsid w:val="005A5BD8"/>
    <w:rsid w:val="005A692A"/>
    <w:rsid w:val="005A6AB8"/>
    <w:rsid w:val="005A7495"/>
    <w:rsid w:val="005A773F"/>
    <w:rsid w:val="005B0412"/>
    <w:rsid w:val="005B0925"/>
    <w:rsid w:val="005B0A6B"/>
    <w:rsid w:val="005B11C2"/>
    <w:rsid w:val="005B14CD"/>
    <w:rsid w:val="005B16D6"/>
    <w:rsid w:val="005B180A"/>
    <w:rsid w:val="005B25B7"/>
    <w:rsid w:val="005B2631"/>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3B3"/>
    <w:rsid w:val="005C04A7"/>
    <w:rsid w:val="005C088F"/>
    <w:rsid w:val="005C0E8C"/>
    <w:rsid w:val="005C17A4"/>
    <w:rsid w:val="005C1929"/>
    <w:rsid w:val="005C1A33"/>
    <w:rsid w:val="005C2373"/>
    <w:rsid w:val="005C2775"/>
    <w:rsid w:val="005C27CC"/>
    <w:rsid w:val="005C3224"/>
    <w:rsid w:val="005C370D"/>
    <w:rsid w:val="005C3992"/>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5F3"/>
    <w:rsid w:val="005D7A8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7005"/>
    <w:rsid w:val="005E7AB0"/>
    <w:rsid w:val="005E7C18"/>
    <w:rsid w:val="005E7F14"/>
    <w:rsid w:val="005E7FA8"/>
    <w:rsid w:val="005F0154"/>
    <w:rsid w:val="005F0176"/>
    <w:rsid w:val="005F021D"/>
    <w:rsid w:val="005F1179"/>
    <w:rsid w:val="005F1AD3"/>
    <w:rsid w:val="005F1EAC"/>
    <w:rsid w:val="005F1FEC"/>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38B"/>
    <w:rsid w:val="00603AF5"/>
    <w:rsid w:val="006041C2"/>
    <w:rsid w:val="00604C54"/>
    <w:rsid w:val="00605310"/>
    <w:rsid w:val="0060537B"/>
    <w:rsid w:val="006053E9"/>
    <w:rsid w:val="00605A40"/>
    <w:rsid w:val="00605EC3"/>
    <w:rsid w:val="00606379"/>
    <w:rsid w:val="00606C66"/>
    <w:rsid w:val="006075B7"/>
    <w:rsid w:val="00607935"/>
    <w:rsid w:val="00610145"/>
    <w:rsid w:val="00610D1F"/>
    <w:rsid w:val="00610F4A"/>
    <w:rsid w:val="00610FF3"/>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3AA"/>
    <w:rsid w:val="006436FA"/>
    <w:rsid w:val="00643852"/>
    <w:rsid w:val="00643C27"/>
    <w:rsid w:val="0064403C"/>
    <w:rsid w:val="0064447A"/>
    <w:rsid w:val="00644874"/>
    <w:rsid w:val="00644B1B"/>
    <w:rsid w:val="006455E7"/>
    <w:rsid w:val="00645758"/>
    <w:rsid w:val="00645812"/>
    <w:rsid w:val="006461A1"/>
    <w:rsid w:val="00646872"/>
    <w:rsid w:val="00646DAC"/>
    <w:rsid w:val="006471A3"/>
    <w:rsid w:val="00647422"/>
    <w:rsid w:val="00647E6B"/>
    <w:rsid w:val="0065082A"/>
    <w:rsid w:val="00650E84"/>
    <w:rsid w:val="0065198B"/>
    <w:rsid w:val="006523CE"/>
    <w:rsid w:val="006525AF"/>
    <w:rsid w:val="0065266A"/>
    <w:rsid w:val="00652EF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C85"/>
    <w:rsid w:val="00663F5D"/>
    <w:rsid w:val="00664695"/>
    <w:rsid w:val="00664840"/>
    <w:rsid w:val="00664B44"/>
    <w:rsid w:val="0066501A"/>
    <w:rsid w:val="006652BF"/>
    <w:rsid w:val="006656BF"/>
    <w:rsid w:val="0066630C"/>
    <w:rsid w:val="00666D02"/>
    <w:rsid w:val="00667A33"/>
    <w:rsid w:val="00667BBD"/>
    <w:rsid w:val="00667D69"/>
    <w:rsid w:val="00670FF0"/>
    <w:rsid w:val="00671149"/>
    <w:rsid w:val="0067137F"/>
    <w:rsid w:val="00671615"/>
    <w:rsid w:val="00671741"/>
    <w:rsid w:val="00671766"/>
    <w:rsid w:val="00671911"/>
    <w:rsid w:val="00672914"/>
    <w:rsid w:val="00672A01"/>
    <w:rsid w:val="00672DD5"/>
    <w:rsid w:val="0067392D"/>
    <w:rsid w:val="00673E1C"/>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5DC"/>
    <w:rsid w:val="00682A31"/>
    <w:rsid w:val="00682E11"/>
    <w:rsid w:val="00683081"/>
    <w:rsid w:val="006830F2"/>
    <w:rsid w:val="0068335B"/>
    <w:rsid w:val="006845BD"/>
    <w:rsid w:val="00684C95"/>
    <w:rsid w:val="00684EAE"/>
    <w:rsid w:val="006850D3"/>
    <w:rsid w:val="00685249"/>
    <w:rsid w:val="006856B9"/>
    <w:rsid w:val="00685BDE"/>
    <w:rsid w:val="00686085"/>
    <w:rsid w:val="00686761"/>
    <w:rsid w:val="00687423"/>
    <w:rsid w:val="006877E4"/>
    <w:rsid w:val="00687B1C"/>
    <w:rsid w:val="00687C0D"/>
    <w:rsid w:val="00690E99"/>
    <w:rsid w:val="00691237"/>
    <w:rsid w:val="006914CC"/>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D5"/>
    <w:rsid w:val="006A1F1C"/>
    <w:rsid w:val="006A2532"/>
    <w:rsid w:val="006A30DF"/>
    <w:rsid w:val="006A3836"/>
    <w:rsid w:val="006A3DD3"/>
    <w:rsid w:val="006A4625"/>
    <w:rsid w:val="006A47AE"/>
    <w:rsid w:val="006A48AE"/>
    <w:rsid w:val="006A4C66"/>
    <w:rsid w:val="006A58CB"/>
    <w:rsid w:val="006A5B22"/>
    <w:rsid w:val="006A5B5E"/>
    <w:rsid w:val="006A67CB"/>
    <w:rsid w:val="006A72F7"/>
    <w:rsid w:val="006A7BFB"/>
    <w:rsid w:val="006A7CAA"/>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A8"/>
    <w:rsid w:val="006B56D1"/>
    <w:rsid w:val="006B56FC"/>
    <w:rsid w:val="006B6017"/>
    <w:rsid w:val="006B659A"/>
    <w:rsid w:val="006B678D"/>
    <w:rsid w:val="006B6B03"/>
    <w:rsid w:val="006B6DDA"/>
    <w:rsid w:val="006B73D9"/>
    <w:rsid w:val="006B786B"/>
    <w:rsid w:val="006B7DF0"/>
    <w:rsid w:val="006B7E74"/>
    <w:rsid w:val="006C0166"/>
    <w:rsid w:val="006C05EE"/>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754A"/>
    <w:rsid w:val="006D7B9C"/>
    <w:rsid w:val="006E0025"/>
    <w:rsid w:val="006E04C6"/>
    <w:rsid w:val="006E0A65"/>
    <w:rsid w:val="006E1B01"/>
    <w:rsid w:val="006E1E2A"/>
    <w:rsid w:val="006E27BB"/>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635"/>
    <w:rsid w:val="007258C4"/>
    <w:rsid w:val="007260F4"/>
    <w:rsid w:val="00726730"/>
    <w:rsid w:val="0072681F"/>
    <w:rsid w:val="00730598"/>
    <w:rsid w:val="00730719"/>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4EB3"/>
    <w:rsid w:val="00765531"/>
    <w:rsid w:val="007657EB"/>
    <w:rsid w:val="007658F1"/>
    <w:rsid w:val="00765B6E"/>
    <w:rsid w:val="00765FC5"/>
    <w:rsid w:val="00766D90"/>
    <w:rsid w:val="0076730D"/>
    <w:rsid w:val="00767812"/>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781"/>
    <w:rsid w:val="0077746F"/>
    <w:rsid w:val="007776CC"/>
    <w:rsid w:val="007777FC"/>
    <w:rsid w:val="00777922"/>
    <w:rsid w:val="00777CE9"/>
    <w:rsid w:val="007802F6"/>
    <w:rsid w:val="0078056B"/>
    <w:rsid w:val="00780D05"/>
    <w:rsid w:val="00782AB1"/>
    <w:rsid w:val="00782BBD"/>
    <w:rsid w:val="007839AC"/>
    <w:rsid w:val="00783B28"/>
    <w:rsid w:val="00783C7B"/>
    <w:rsid w:val="00784C24"/>
    <w:rsid w:val="00784EBA"/>
    <w:rsid w:val="00784EE6"/>
    <w:rsid w:val="0078556C"/>
    <w:rsid w:val="007855C5"/>
    <w:rsid w:val="007856D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521"/>
    <w:rsid w:val="007B26E1"/>
    <w:rsid w:val="007B2C10"/>
    <w:rsid w:val="007B2C3D"/>
    <w:rsid w:val="007B3045"/>
    <w:rsid w:val="007B3180"/>
    <w:rsid w:val="007B33AF"/>
    <w:rsid w:val="007B3B55"/>
    <w:rsid w:val="007B4C0F"/>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6A3"/>
    <w:rsid w:val="007E0BC6"/>
    <w:rsid w:val="007E0D81"/>
    <w:rsid w:val="007E0F93"/>
    <w:rsid w:val="007E1513"/>
    <w:rsid w:val="007E16E2"/>
    <w:rsid w:val="007E19FE"/>
    <w:rsid w:val="007E1AAC"/>
    <w:rsid w:val="007E2C7E"/>
    <w:rsid w:val="007E3B9C"/>
    <w:rsid w:val="007E4A2F"/>
    <w:rsid w:val="007E4F4E"/>
    <w:rsid w:val="007E587D"/>
    <w:rsid w:val="007E5A25"/>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DFB"/>
    <w:rsid w:val="007F0E99"/>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C4"/>
    <w:rsid w:val="008011CC"/>
    <w:rsid w:val="00801363"/>
    <w:rsid w:val="00801404"/>
    <w:rsid w:val="008017AA"/>
    <w:rsid w:val="008017EC"/>
    <w:rsid w:val="00801CBA"/>
    <w:rsid w:val="00801D92"/>
    <w:rsid w:val="00801EFD"/>
    <w:rsid w:val="008020D0"/>
    <w:rsid w:val="00802A4F"/>
    <w:rsid w:val="00803DB7"/>
    <w:rsid w:val="008041B8"/>
    <w:rsid w:val="00804BCF"/>
    <w:rsid w:val="00804F83"/>
    <w:rsid w:val="00804FA4"/>
    <w:rsid w:val="00805275"/>
    <w:rsid w:val="00805883"/>
    <w:rsid w:val="0080590D"/>
    <w:rsid w:val="008063DF"/>
    <w:rsid w:val="00806A62"/>
    <w:rsid w:val="00806E55"/>
    <w:rsid w:val="00806EFB"/>
    <w:rsid w:val="0080716A"/>
    <w:rsid w:val="008072E8"/>
    <w:rsid w:val="008075CE"/>
    <w:rsid w:val="00807D35"/>
    <w:rsid w:val="0081096A"/>
    <w:rsid w:val="00810AD4"/>
    <w:rsid w:val="00810E00"/>
    <w:rsid w:val="008111CB"/>
    <w:rsid w:val="00811325"/>
    <w:rsid w:val="00811551"/>
    <w:rsid w:val="00811CA9"/>
    <w:rsid w:val="00812179"/>
    <w:rsid w:val="008124E2"/>
    <w:rsid w:val="0081299C"/>
    <w:rsid w:val="00812D10"/>
    <w:rsid w:val="0081300B"/>
    <w:rsid w:val="0081303D"/>
    <w:rsid w:val="0081373B"/>
    <w:rsid w:val="00813928"/>
    <w:rsid w:val="008152C5"/>
    <w:rsid w:val="00815321"/>
    <w:rsid w:val="00815D9A"/>
    <w:rsid w:val="008166DB"/>
    <w:rsid w:val="0081688E"/>
    <w:rsid w:val="008173E0"/>
    <w:rsid w:val="008175C1"/>
    <w:rsid w:val="00817DB6"/>
    <w:rsid w:val="00820074"/>
    <w:rsid w:val="008200D4"/>
    <w:rsid w:val="00820370"/>
    <w:rsid w:val="00820CC6"/>
    <w:rsid w:val="008211E9"/>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250"/>
    <w:rsid w:val="00831411"/>
    <w:rsid w:val="008315AD"/>
    <w:rsid w:val="0083184A"/>
    <w:rsid w:val="00831B4E"/>
    <w:rsid w:val="00831D1D"/>
    <w:rsid w:val="00831D8D"/>
    <w:rsid w:val="00831F3E"/>
    <w:rsid w:val="008322D9"/>
    <w:rsid w:val="00832C21"/>
    <w:rsid w:val="00832D5E"/>
    <w:rsid w:val="00832EC3"/>
    <w:rsid w:val="0083310A"/>
    <w:rsid w:val="008331CD"/>
    <w:rsid w:val="008333B7"/>
    <w:rsid w:val="008334B0"/>
    <w:rsid w:val="0083354D"/>
    <w:rsid w:val="008336EC"/>
    <w:rsid w:val="008337B9"/>
    <w:rsid w:val="00833A95"/>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3663"/>
    <w:rsid w:val="00853776"/>
    <w:rsid w:val="008540C6"/>
    <w:rsid w:val="0085465C"/>
    <w:rsid w:val="00854967"/>
    <w:rsid w:val="00854F9F"/>
    <w:rsid w:val="0085540B"/>
    <w:rsid w:val="00855511"/>
    <w:rsid w:val="0085582C"/>
    <w:rsid w:val="008559E2"/>
    <w:rsid w:val="00855FD3"/>
    <w:rsid w:val="0085665F"/>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AAC"/>
    <w:rsid w:val="00862BBD"/>
    <w:rsid w:val="00863624"/>
    <w:rsid w:val="00863ABC"/>
    <w:rsid w:val="00863B14"/>
    <w:rsid w:val="00863BA5"/>
    <w:rsid w:val="00863C9F"/>
    <w:rsid w:val="008645D6"/>
    <w:rsid w:val="00864986"/>
    <w:rsid w:val="0086552B"/>
    <w:rsid w:val="008655A2"/>
    <w:rsid w:val="008656B2"/>
    <w:rsid w:val="0086584F"/>
    <w:rsid w:val="00865A50"/>
    <w:rsid w:val="00865CD4"/>
    <w:rsid w:val="00866113"/>
    <w:rsid w:val="0086715D"/>
    <w:rsid w:val="008671C7"/>
    <w:rsid w:val="00867A44"/>
    <w:rsid w:val="00867B5D"/>
    <w:rsid w:val="00867BAD"/>
    <w:rsid w:val="00867EB8"/>
    <w:rsid w:val="00870335"/>
    <w:rsid w:val="00870AA2"/>
    <w:rsid w:val="00870D4B"/>
    <w:rsid w:val="00871262"/>
    <w:rsid w:val="0087133B"/>
    <w:rsid w:val="008718ED"/>
    <w:rsid w:val="00871C6E"/>
    <w:rsid w:val="008727DC"/>
    <w:rsid w:val="00872DE3"/>
    <w:rsid w:val="00872FFE"/>
    <w:rsid w:val="00873A9E"/>
    <w:rsid w:val="00873D88"/>
    <w:rsid w:val="0087433B"/>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0C5C"/>
    <w:rsid w:val="008A1218"/>
    <w:rsid w:val="008A15B6"/>
    <w:rsid w:val="008A1A6E"/>
    <w:rsid w:val="008A202A"/>
    <w:rsid w:val="008A2CFF"/>
    <w:rsid w:val="008A34FD"/>
    <w:rsid w:val="008A369F"/>
    <w:rsid w:val="008A36C9"/>
    <w:rsid w:val="008A467B"/>
    <w:rsid w:val="008A4ED9"/>
    <w:rsid w:val="008A571D"/>
    <w:rsid w:val="008A5AF9"/>
    <w:rsid w:val="008A5E18"/>
    <w:rsid w:val="008A68D0"/>
    <w:rsid w:val="008A7028"/>
    <w:rsid w:val="008A771F"/>
    <w:rsid w:val="008B0343"/>
    <w:rsid w:val="008B1228"/>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6869"/>
    <w:rsid w:val="008B6934"/>
    <w:rsid w:val="008B6CF8"/>
    <w:rsid w:val="008B70A6"/>
    <w:rsid w:val="008B7154"/>
    <w:rsid w:val="008B72F6"/>
    <w:rsid w:val="008C0D50"/>
    <w:rsid w:val="008C119E"/>
    <w:rsid w:val="008C1E24"/>
    <w:rsid w:val="008C296B"/>
    <w:rsid w:val="008C2A46"/>
    <w:rsid w:val="008C3087"/>
    <w:rsid w:val="008C3158"/>
    <w:rsid w:val="008C31AE"/>
    <w:rsid w:val="008C3719"/>
    <w:rsid w:val="008C4278"/>
    <w:rsid w:val="008C520E"/>
    <w:rsid w:val="008C563B"/>
    <w:rsid w:val="008C567E"/>
    <w:rsid w:val="008C5DEE"/>
    <w:rsid w:val="008C6285"/>
    <w:rsid w:val="008C6748"/>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9C5"/>
    <w:rsid w:val="008E0AA7"/>
    <w:rsid w:val="008E17D0"/>
    <w:rsid w:val="008E1DF8"/>
    <w:rsid w:val="008E2355"/>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304"/>
    <w:rsid w:val="008F443C"/>
    <w:rsid w:val="008F57DD"/>
    <w:rsid w:val="008F5AEE"/>
    <w:rsid w:val="008F5DAB"/>
    <w:rsid w:val="008F617B"/>
    <w:rsid w:val="008F625E"/>
    <w:rsid w:val="008F6964"/>
    <w:rsid w:val="008F69B1"/>
    <w:rsid w:val="008F6B98"/>
    <w:rsid w:val="008F6EAA"/>
    <w:rsid w:val="008F77FF"/>
    <w:rsid w:val="008F7800"/>
    <w:rsid w:val="008F7BCA"/>
    <w:rsid w:val="00900824"/>
    <w:rsid w:val="00900F4D"/>
    <w:rsid w:val="00901408"/>
    <w:rsid w:val="00901611"/>
    <w:rsid w:val="0090167B"/>
    <w:rsid w:val="00901BEB"/>
    <w:rsid w:val="00901BF0"/>
    <w:rsid w:val="009021E1"/>
    <w:rsid w:val="00902361"/>
    <w:rsid w:val="00902BD1"/>
    <w:rsid w:val="00902DEC"/>
    <w:rsid w:val="0090342E"/>
    <w:rsid w:val="00903981"/>
    <w:rsid w:val="00903BDC"/>
    <w:rsid w:val="00903D3A"/>
    <w:rsid w:val="009044B9"/>
    <w:rsid w:val="009047B1"/>
    <w:rsid w:val="00904C86"/>
    <w:rsid w:val="00904E21"/>
    <w:rsid w:val="0090555A"/>
    <w:rsid w:val="009067F5"/>
    <w:rsid w:val="0090680D"/>
    <w:rsid w:val="00906C65"/>
    <w:rsid w:val="00907B6C"/>
    <w:rsid w:val="0091045D"/>
    <w:rsid w:val="009110BF"/>
    <w:rsid w:val="0091129E"/>
    <w:rsid w:val="00911CDC"/>
    <w:rsid w:val="00911DCF"/>
    <w:rsid w:val="00911E48"/>
    <w:rsid w:val="00911ED8"/>
    <w:rsid w:val="0091281A"/>
    <w:rsid w:val="0091298B"/>
    <w:rsid w:val="00912B24"/>
    <w:rsid w:val="00913774"/>
    <w:rsid w:val="009139B5"/>
    <w:rsid w:val="00913A3C"/>
    <w:rsid w:val="00913D2A"/>
    <w:rsid w:val="00914514"/>
    <w:rsid w:val="00914549"/>
    <w:rsid w:val="00914BFC"/>
    <w:rsid w:val="00914C08"/>
    <w:rsid w:val="00914C3F"/>
    <w:rsid w:val="00914F2F"/>
    <w:rsid w:val="00915BF7"/>
    <w:rsid w:val="00915FE0"/>
    <w:rsid w:val="00916057"/>
    <w:rsid w:val="0091667F"/>
    <w:rsid w:val="00916AD1"/>
    <w:rsid w:val="00917637"/>
    <w:rsid w:val="00917946"/>
    <w:rsid w:val="00917FEE"/>
    <w:rsid w:val="0092023D"/>
    <w:rsid w:val="0092035F"/>
    <w:rsid w:val="00920472"/>
    <w:rsid w:val="00920916"/>
    <w:rsid w:val="00920CC8"/>
    <w:rsid w:val="00921034"/>
    <w:rsid w:val="009210EF"/>
    <w:rsid w:val="00921251"/>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8EF"/>
    <w:rsid w:val="00927D0B"/>
    <w:rsid w:val="009302D4"/>
    <w:rsid w:val="009303D4"/>
    <w:rsid w:val="009307F2"/>
    <w:rsid w:val="00930CEC"/>
    <w:rsid w:val="00930F4A"/>
    <w:rsid w:val="00931158"/>
    <w:rsid w:val="00932068"/>
    <w:rsid w:val="0093279F"/>
    <w:rsid w:val="00932B2D"/>
    <w:rsid w:val="0093340C"/>
    <w:rsid w:val="0093375E"/>
    <w:rsid w:val="00933BEF"/>
    <w:rsid w:val="00934B8B"/>
    <w:rsid w:val="00934B9D"/>
    <w:rsid w:val="00934FFC"/>
    <w:rsid w:val="00935321"/>
    <w:rsid w:val="0093787E"/>
    <w:rsid w:val="00940A67"/>
    <w:rsid w:val="009412CC"/>
    <w:rsid w:val="009427EB"/>
    <w:rsid w:val="00942A91"/>
    <w:rsid w:val="00942B2D"/>
    <w:rsid w:val="009431A9"/>
    <w:rsid w:val="0094320F"/>
    <w:rsid w:val="00943419"/>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B17"/>
    <w:rsid w:val="00951B8D"/>
    <w:rsid w:val="009522F5"/>
    <w:rsid w:val="00952EC9"/>
    <w:rsid w:val="009532AF"/>
    <w:rsid w:val="009536A8"/>
    <w:rsid w:val="0095397E"/>
    <w:rsid w:val="00954596"/>
    <w:rsid w:val="00955851"/>
    <w:rsid w:val="00957E23"/>
    <w:rsid w:val="00957F30"/>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3F1D"/>
    <w:rsid w:val="0097405A"/>
    <w:rsid w:val="0097419A"/>
    <w:rsid w:val="009748E4"/>
    <w:rsid w:val="00975EC7"/>
    <w:rsid w:val="009766DA"/>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7F7"/>
    <w:rsid w:val="00985939"/>
    <w:rsid w:val="0098637F"/>
    <w:rsid w:val="009864C5"/>
    <w:rsid w:val="009864CE"/>
    <w:rsid w:val="00986A9B"/>
    <w:rsid w:val="00986B9C"/>
    <w:rsid w:val="0098731F"/>
    <w:rsid w:val="00987B14"/>
    <w:rsid w:val="00987BAB"/>
    <w:rsid w:val="009905F8"/>
    <w:rsid w:val="009906BF"/>
    <w:rsid w:val="00990A0A"/>
    <w:rsid w:val="009913F3"/>
    <w:rsid w:val="00991DA1"/>
    <w:rsid w:val="009927F1"/>
    <w:rsid w:val="0099291A"/>
    <w:rsid w:val="00992DD9"/>
    <w:rsid w:val="009936C4"/>
    <w:rsid w:val="00993E3A"/>
    <w:rsid w:val="009943AD"/>
    <w:rsid w:val="009948ED"/>
    <w:rsid w:val="00994987"/>
    <w:rsid w:val="00994A29"/>
    <w:rsid w:val="00994BFC"/>
    <w:rsid w:val="009952B4"/>
    <w:rsid w:val="00995861"/>
    <w:rsid w:val="00995ADA"/>
    <w:rsid w:val="009962C4"/>
    <w:rsid w:val="0099643A"/>
    <w:rsid w:val="00996719"/>
    <w:rsid w:val="00997431"/>
    <w:rsid w:val="009974CB"/>
    <w:rsid w:val="0099780E"/>
    <w:rsid w:val="00997959"/>
    <w:rsid w:val="009A04A6"/>
    <w:rsid w:val="009A0AD5"/>
    <w:rsid w:val="009A0BAF"/>
    <w:rsid w:val="009A0CAA"/>
    <w:rsid w:val="009A1134"/>
    <w:rsid w:val="009A13B9"/>
    <w:rsid w:val="009A1431"/>
    <w:rsid w:val="009A153D"/>
    <w:rsid w:val="009A1634"/>
    <w:rsid w:val="009A16B8"/>
    <w:rsid w:val="009A1B91"/>
    <w:rsid w:val="009A1F18"/>
    <w:rsid w:val="009A28F9"/>
    <w:rsid w:val="009A2972"/>
    <w:rsid w:val="009A351B"/>
    <w:rsid w:val="009A3A34"/>
    <w:rsid w:val="009A3FE2"/>
    <w:rsid w:val="009A400C"/>
    <w:rsid w:val="009A4B2C"/>
    <w:rsid w:val="009A5592"/>
    <w:rsid w:val="009A59BA"/>
    <w:rsid w:val="009A613B"/>
    <w:rsid w:val="009A6417"/>
    <w:rsid w:val="009A6A9C"/>
    <w:rsid w:val="009A6F53"/>
    <w:rsid w:val="009A7B97"/>
    <w:rsid w:val="009B01DF"/>
    <w:rsid w:val="009B020D"/>
    <w:rsid w:val="009B0239"/>
    <w:rsid w:val="009B072F"/>
    <w:rsid w:val="009B0773"/>
    <w:rsid w:val="009B07A1"/>
    <w:rsid w:val="009B09CC"/>
    <w:rsid w:val="009B173B"/>
    <w:rsid w:val="009B192A"/>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3CB"/>
    <w:rsid w:val="009B561F"/>
    <w:rsid w:val="009B569F"/>
    <w:rsid w:val="009B5773"/>
    <w:rsid w:val="009B5D2D"/>
    <w:rsid w:val="009B5E61"/>
    <w:rsid w:val="009B609E"/>
    <w:rsid w:val="009B6228"/>
    <w:rsid w:val="009B6FC6"/>
    <w:rsid w:val="009B799C"/>
    <w:rsid w:val="009C058F"/>
    <w:rsid w:val="009C1355"/>
    <w:rsid w:val="009C16E0"/>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15C"/>
    <w:rsid w:val="009E13FD"/>
    <w:rsid w:val="009E1B5E"/>
    <w:rsid w:val="009E1C19"/>
    <w:rsid w:val="009E1E3D"/>
    <w:rsid w:val="009E1F2F"/>
    <w:rsid w:val="009E2040"/>
    <w:rsid w:val="009E2178"/>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77"/>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B1E"/>
    <w:rsid w:val="009F660B"/>
    <w:rsid w:val="009F671E"/>
    <w:rsid w:val="009F67F2"/>
    <w:rsid w:val="009F6F96"/>
    <w:rsid w:val="009F70F4"/>
    <w:rsid w:val="009F7142"/>
    <w:rsid w:val="009F7ED1"/>
    <w:rsid w:val="00A00303"/>
    <w:rsid w:val="00A00A46"/>
    <w:rsid w:val="00A00F76"/>
    <w:rsid w:val="00A0149B"/>
    <w:rsid w:val="00A0156F"/>
    <w:rsid w:val="00A01607"/>
    <w:rsid w:val="00A0162D"/>
    <w:rsid w:val="00A018D4"/>
    <w:rsid w:val="00A019E6"/>
    <w:rsid w:val="00A028E0"/>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E36"/>
    <w:rsid w:val="00A11BD9"/>
    <w:rsid w:val="00A11BEA"/>
    <w:rsid w:val="00A11D3C"/>
    <w:rsid w:val="00A12114"/>
    <w:rsid w:val="00A12835"/>
    <w:rsid w:val="00A12979"/>
    <w:rsid w:val="00A131A9"/>
    <w:rsid w:val="00A13222"/>
    <w:rsid w:val="00A1496E"/>
    <w:rsid w:val="00A14D6B"/>
    <w:rsid w:val="00A14F84"/>
    <w:rsid w:val="00A15060"/>
    <w:rsid w:val="00A156D5"/>
    <w:rsid w:val="00A16037"/>
    <w:rsid w:val="00A1650A"/>
    <w:rsid w:val="00A16D6D"/>
    <w:rsid w:val="00A16D6F"/>
    <w:rsid w:val="00A175B0"/>
    <w:rsid w:val="00A17C75"/>
    <w:rsid w:val="00A20DBF"/>
    <w:rsid w:val="00A21039"/>
    <w:rsid w:val="00A211C8"/>
    <w:rsid w:val="00A21203"/>
    <w:rsid w:val="00A2121E"/>
    <w:rsid w:val="00A21E7C"/>
    <w:rsid w:val="00A21EAC"/>
    <w:rsid w:val="00A21FA2"/>
    <w:rsid w:val="00A21FC3"/>
    <w:rsid w:val="00A2202D"/>
    <w:rsid w:val="00A221DE"/>
    <w:rsid w:val="00A22598"/>
    <w:rsid w:val="00A228FD"/>
    <w:rsid w:val="00A229D4"/>
    <w:rsid w:val="00A22CB2"/>
    <w:rsid w:val="00A22D65"/>
    <w:rsid w:val="00A23138"/>
    <w:rsid w:val="00A2349C"/>
    <w:rsid w:val="00A23940"/>
    <w:rsid w:val="00A23E2F"/>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A0F"/>
    <w:rsid w:val="00A57DA9"/>
    <w:rsid w:val="00A57F0C"/>
    <w:rsid w:val="00A60837"/>
    <w:rsid w:val="00A60CA5"/>
    <w:rsid w:val="00A60E4E"/>
    <w:rsid w:val="00A60E72"/>
    <w:rsid w:val="00A60FA5"/>
    <w:rsid w:val="00A60FAC"/>
    <w:rsid w:val="00A6176D"/>
    <w:rsid w:val="00A61C7D"/>
    <w:rsid w:val="00A61F0C"/>
    <w:rsid w:val="00A61FF0"/>
    <w:rsid w:val="00A62580"/>
    <w:rsid w:val="00A62CB9"/>
    <w:rsid w:val="00A62D9E"/>
    <w:rsid w:val="00A632DB"/>
    <w:rsid w:val="00A6357E"/>
    <w:rsid w:val="00A63717"/>
    <w:rsid w:val="00A63AC9"/>
    <w:rsid w:val="00A64370"/>
    <w:rsid w:val="00A64502"/>
    <w:rsid w:val="00A64B5F"/>
    <w:rsid w:val="00A64D4F"/>
    <w:rsid w:val="00A64F17"/>
    <w:rsid w:val="00A65125"/>
    <w:rsid w:val="00A65EA0"/>
    <w:rsid w:val="00A66517"/>
    <w:rsid w:val="00A66A69"/>
    <w:rsid w:val="00A66E80"/>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1331"/>
    <w:rsid w:val="00A91873"/>
    <w:rsid w:val="00A92692"/>
    <w:rsid w:val="00A92741"/>
    <w:rsid w:val="00A92DD4"/>
    <w:rsid w:val="00A92FC6"/>
    <w:rsid w:val="00A9326D"/>
    <w:rsid w:val="00A933D5"/>
    <w:rsid w:val="00A93534"/>
    <w:rsid w:val="00A9365C"/>
    <w:rsid w:val="00A938E6"/>
    <w:rsid w:val="00A93EEB"/>
    <w:rsid w:val="00A94200"/>
    <w:rsid w:val="00A94D0F"/>
    <w:rsid w:val="00A94DFA"/>
    <w:rsid w:val="00A94F13"/>
    <w:rsid w:val="00A952F8"/>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D0328"/>
    <w:rsid w:val="00AD0756"/>
    <w:rsid w:val="00AD0B00"/>
    <w:rsid w:val="00AD11DC"/>
    <w:rsid w:val="00AD1885"/>
    <w:rsid w:val="00AD1966"/>
    <w:rsid w:val="00AD19E8"/>
    <w:rsid w:val="00AD1DAE"/>
    <w:rsid w:val="00AD2253"/>
    <w:rsid w:val="00AD2B03"/>
    <w:rsid w:val="00AD2E07"/>
    <w:rsid w:val="00AD2F3E"/>
    <w:rsid w:val="00AD30D5"/>
    <w:rsid w:val="00AD322C"/>
    <w:rsid w:val="00AD3237"/>
    <w:rsid w:val="00AD38A9"/>
    <w:rsid w:val="00AD3E97"/>
    <w:rsid w:val="00AD4071"/>
    <w:rsid w:val="00AD44EA"/>
    <w:rsid w:val="00AD4516"/>
    <w:rsid w:val="00AD4782"/>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66BA"/>
    <w:rsid w:val="00AF687C"/>
    <w:rsid w:val="00AF72C3"/>
    <w:rsid w:val="00AF75F5"/>
    <w:rsid w:val="00AF7A6C"/>
    <w:rsid w:val="00B0076F"/>
    <w:rsid w:val="00B009A9"/>
    <w:rsid w:val="00B00ADF"/>
    <w:rsid w:val="00B00C24"/>
    <w:rsid w:val="00B00DB3"/>
    <w:rsid w:val="00B00F93"/>
    <w:rsid w:val="00B013C3"/>
    <w:rsid w:val="00B01555"/>
    <w:rsid w:val="00B01BBE"/>
    <w:rsid w:val="00B02E28"/>
    <w:rsid w:val="00B03399"/>
    <w:rsid w:val="00B03EFF"/>
    <w:rsid w:val="00B03F92"/>
    <w:rsid w:val="00B043C6"/>
    <w:rsid w:val="00B047AA"/>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FA5"/>
    <w:rsid w:val="00B143E3"/>
    <w:rsid w:val="00B146C1"/>
    <w:rsid w:val="00B146E7"/>
    <w:rsid w:val="00B147DD"/>
    <w:rsid w:val="00B14A57"/>
    <w:rsid w:val="00B14D0B"/>
    <w:rsid w:val="00B156DF"/>
    <w:rsid w:val="00B15ABB"/>
    <w:rsid w:val="00B15CF8"/>
    <w:rsid w:val="00B15D3D"/>
    <w:rsid w:val="00B160CF"/>
    <w:rsid w:val="00B16973"/>
    <w:rsid w:val="00B16BB1"/>
    <w:rsid w:val="00B16F9E"/>
    <w:rsid w:val="00B17027"/>
    <w:rsid w:val="00B2036A"/>
    <w:rsid w:val="00B206F9"/>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27E66"/>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453"/>
    <w:rsid w:val="00B35A93"/>
    <w:rsid w:val="00B35BEB"/>
    <w:rsid w:val="00B35C56"/>
    <w:rsid w:val="00B35F0A"/>
    <w:rsid w:val="00B36248"/>
    <w:rsid w:val="00B363B1"/>
    <w:rsid w:val="00B36736"/>
    <w:rsid w:val="00B36AD4"/>
    <w:rsid w:val="00B36C11"/>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10A"/>
    <w:rsid w:val="00B439D0"/>
    <w:rsid w:val="00B443BF"/>
    <w:rsid w:val="00B446EE"/>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600C6"/>
    <w:rsid w:val="00B60167"/>
    <w:rsid w:val="00B60FC0"/>
    <w:rsid w:val="00B61281"/>
    <w:rsid w:val="00B6155A"/>
    <w:rsid w:val="00B61665"/>
    <w:rsid w:val="00B6229D"/>
    <w:rsid w:val="00B63528"/>
    <w:rsid w:val="00B63922"/>
    <w:rsid w:val="00B63C3F"/>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C2F"/>
    <w:rsid w:val="00B95DAD"/>
    <w:rsid w:val="00B9607B"/>
    <w:rsid w:val="00B96C0C"/>
    <w:rsid w:val="00B96D51"/>
    <w:rsid w:val="00B9734D"/>
    <w:rsid w:val="00B9772B"/>
    <w:rsid w:val="00B97732"/>
    <w:rsid w:val="00B97B97"/>
    <w:rsid w:val="00B97FBA"/>
    <w:rsid w:val="00BA055F"/>
    <w:rsid w:val="00BA0AD5"/>
    <w:rsid w:val="00BA1FD3"/>
    <w:rsid w:val="00BA25BA"/>
    <w:rsid w:val="00BA27F4"/>
    <w:rsid w:val="00BA29AF"/>
    <w:rsid w:val="00BA2BEE"/>
    <w:rsid w:val="00BA2E40"/>
    <w:rsid w:val="00BA3CB7"/>
    <w:rsid w:val="00BA41DE"/>
    <w:rsid w:val="00BA4566"/>
    <w:rsid w:val="00BA45B3"/>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620F"/>
    <w:rsid w:val="00BB6664"/>
    <w:rsid w:val="00BB682C"/>
    <w:rsid w:val="00BB6BEB"/>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49BC"/>
    <w:rsid w:val="00BC4BB8"/>
    <w:rsid w:val="00BC5748"/>
    <w:rsid w:val="00BC713C"/>
    <w:rsid w:val="00BC7A0C"/>
    <w:rsid w:val="00BC7DC6"/>
    <w:rsid w:val="00BD0B25"/>
    <w:rsid w:val="00BD1039"/>
    <w:rsid w:val="00BD129A"/>
    <w:rsid w:val="00BD13B5"/>
    <w:rsid w:val="00BD1F70"/>
    <w:rsid w:val="00BD270B"/>
    <w:rsid w:val="00BD2C4B"/>
    <w:rsid w:val="00BD2E32"/>
    <w:rsid w:val="00BD2EFC"/>
    <w:rsid w:val="00BD340E"/>
    <w:rsid w:val="00BD3F0A"/>
    <w:rsid w:val="00BD3F8D"/>
    <w:rsid w:val="00BD43E4"/>
    <w:rsid w:val="00BD4857"/>
    <w:rsid w:val="00BD4D39"/>
    <w:rsid w:val="00BD52D8"/>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A60"/>
    <w:rsid w:val="00BF3085"/>
    <w:rsid w:val="00BF34E9"/>
    <w:rsid w:val="00BF3863"/>
    <w:rsid w:val="00BF3DEE"/>
    <w:rsid w:val="00BF4AE6"/>
    <w:rsid w:val="00BF54AC"/>
    <w:rsid w:val="00BF54BD"/>
    <w:rsid w:val="00BF58B5"/>
    <w:rsid w:val="00BF5C34"/>
    <w:rsid w:val="00BF6B8E"/>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848"/>
    <w:rsid w:val="00C13C20"/>
    <w:rsid w:val="00C13F74"/>
    <w:rsid w:val="00C146D3"/>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C7"/>
    <w:rsid w:val="00C33429"/>
    <w:rsid w:val="00C3355E"/>
    <w:rsid w:val="00C3359F"/>
    <w:rsid w:val="00C335DA"/>
    <w:rsid w:val="00C33D3E"/>
    <w:rsid w:val="00C33EFA"/>
    <w:rsid w:val="00C33F43"/>
    <w:rsid w:val="00C34952"/>
    <w:rsid w:val="00C34970"/>
    <w:rsid w:val="00C35AEA"/>
    <w:rsid w:val="00C35CC0"/>
    <w:rsid w:val="00C35D9C"/>
    <w:rsid w:val="00C362E0"/>
    <w:rsid w:val="00C363AF"/>
    <w:rsid w:val="00C36743"/>
    <w:rsid w:val="00C36BB0"/>
    <w:rsid w:val="00C36ED4"/>
    <w:rsid w:val="00C36FAF"/>
    <w:rsid w:val="00C376CC"/>
    <w:rsid w:val="00C400F7"/>
    <w:rsid w:val="00C40185"/>
    <w:rsid w:val="00C40699"/>
    <w:rsid w:val="00C40EC6"/>
    <w:rsid w:val="00C417AA"/>
    <w:rsid w:val="00C419AD"/>
    <w:rsid w:val="00C41B5F"/>
    <w:rsid w:val="00C41B7E"/>
    <w:rsid w:val="00C41BD0"/>
    <w:rsid w:val="00C41C0F"/>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4B3"/>
    <w:rsid w:val="00C508F4"/>
    <w:rsid w:val="00C50982"/>
    <w:rsid w:val="00C50986"/>
    <w:rsid w:val="00C50ABF"/>
    <w:rsid w:val="00C50BAA"/>
    <w:rsid w:val="00C50EF2"/>
    <w:rsid w:val="00C50F90"/>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5E45"/>
    <w:rsid w:val="00C564F2"/>
    <w:rsid w:val="00C56525"/>
    <w:rsid w:val="00C5658B"/>
    <w:rsid w:val="00C56B12"/>
    <w:rsid w:val="00C56F11"/>
    <w:rsid w:val="00C576B0"/>
    <w:rsid w:val="00C60330"/>
    <w:rsid w:val="00C60E5E"/>
    <w:rsid w:val="00C610A7"/>
    <w:rsid w:val="00C615A2"/>
    <w:rsid w:val="00C61E88"/>
    <w:rsid w:val="00C61F3A"/>
    <w:rsid w:val="00C61FDF"/>
    <w:rsid w:val="00C629CB"/>
    <w:rsid w:val="00C62B75"/>
    <w:rsid w:val="00C639FA"/>
    <w:rsid w:val="00C63AD4"/>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7087"/>
    <w:rsid w:val="00C7776C"/>
    <w:rsid w:val="00C777BC"/>
    <w:rsid w:val="00C81026"/>
    <w:rsid w:val="00C81586"/>
    <w:rsid w:val="00C81AB2"/>
    <w:rsid w:val="00C827E8"/>
    <w:rsid w:val="00C82EB1"/>
    <w:rsid w:val="00C830C2"/>
    <w:rsid w:val="00C837B8"/>
    <w:rsid w:val="00C8398D"/>
    <w:rsid w:val="00C84BC2"/>
    <w:rsid w:val="00C84F50"/>
    <w:rsid w:val="00C85139"/>
    <w:rsid w:val="00C85657"/>
    <w:rsid w:val="00C8566D"/>
    <w:rsid w:val="00C860B8"/>
    <w:rsid w:val="00C870B9"/>
    <w:rsid w:val="00C873D8"/>
    <w:rsid w:val="00C8748B"/>
    <w:rsid w:val="00C87E6C"/>
    <w:rsid w:val="00C9046C"/>
    <w:rsid w:val="00C90475"/>
    <w:rsid w:val="00C905B6"/>
    <w:rsid w:val="00C90819"/>
    <w:rsid w:val="00C91618"/>
    <w:rsid w:val="00C91989"/>
    <w:rsid w:val="00C91C88"/>
    <w:rsid w:val="00C91DF2"/>
    <w:rsid w:val="00C922DA"/>
    <w:rsid w:val="00C929DA"/>
    <w:rsid w:val="00C92DBF"/>
    <w:rsid w:val="00C939C3"/>
    <w:rsid w:val="00C94228"/>
    <w:rsid w:val="00C94657"/>
    <w:rsid w:val="00C9543D"/>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03B"/>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88F"/>
    <w:rsid w:val="00CB3D93"/>
    <w:rsid w:val="00CB4441"/>
    <w:rsid w:val="00CB4769"/>
    <w:rsid w:val="00CB4B1A"/>
    <w:rsid w:val="00CB4B9F"/>
    <w:rsid w:val="00CB4E1F"/>
    <w:rsid w:val="00CB5713"/>
    <w:rsid w:val="00CB5BF8"/>
    <w:rsid w:val="00CB5EC6"/>
    <w:rsid w:val="00CB65F2"/>
    <w:rsid w:val="00CB7872"/>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5D18"/>
    <w:rsid w:val="00CD6210"/>
    <w:rsid w:val="00CD624A"/>
    <w:rsid w:val="00CD6702"/>
    <w:rsid w:val="00CD6FA3"/>
    <w:rsid w:val="00CD717C"/>
    <w:rsid w:val="00CD75B9"/>
    <w:rsid w:val="00CD7D61"/>
    <w:rsid w:val="00CE0D13"/>
    <w:rsid w:val="00CE1AE5"/>
    <w:rsid w:val="00CE2184"/>
    <w:rsid w:val="00CE28FA"/>
    <w:rsid w:val="00CE2C1F"/>
    <w:rsid w:val="00CE39C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B9A"/>
    <w:rsid w:val="00CF0EA8"/>
    <w:rsid w:val="00CF150A"/>
    <w:rsid w:val="00CF15F4"/>
    <w:rsid w:val="00CF1E4E"/>
    <w:rsid w:val="00CF1E5A"/>
    <w:rsid w:val="00CF2225"/>
    <w:rsid w:val="00CF25E7"/>
    <w:rsid w:val="00CF2C29"/>
    <w:rsid w:val="00CF30BC"/>
    <w:rsid w:val="00CF377B"/>
    <w:rsid w:val="00CF39B5"/>
    <w:rsid w:val="00CF3A45"/>
    <w:rsid w:val="00CF3C77"/>
    <w:rsid w:val="00CF3F5B"/>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A20"/>
    <w:rsid w:val="00D04DA4"/>
    <w:rsid w:val="00D051D3"/>
    <w:rsid w:val="00D06776"/>
    <w:rsid w:val="00D06E46"/>
    <w:rsid w:val="00D06F95"/>
    <w:rsid w:val="00D07012"/>
    <w:rsid w:val="00D07357"/>
    <w:rsid w:val="00D104C7"/>
    <w:rsid w:val="00D1158C"/>
    <w:rsid w:val="00D11600"/>
    <w:rsid w:val="00D118C1"/>
    <w:rsid w:val="00D118E6"/>
    <w:rsid w:val="00D119A2"/>
    <w:rsid w:val="00D1248A"/>
    <w:rsid w:val="00D124DD"/>
    <w:rsid w:val="00D12657"/>
    <w:rsid w:val="00D12E31"/>
    <w:rsid w:val="00D13069"/>
    <w:rsid w:val="00D137F9"/>
    <w:rsid w:val="00D1458C"/>
    <w:rsid w:val="00D14ABF"/>
    <w:rsid w:val="00D150FB"/>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DF6"/>
    <w:rsid w:val="00D35094"/>
    <w:rsid w:val="00D35277"/>
    <w:rsid w:val="00D35C6B"/>
    <w:rsid w:val="00D35DC1"/>
    <w:rsid w:val="00D35E80"/>
    <w:rsid w:val="00D36018"/>
    <w:rsid w:val="00D36242"/>
    <w:rsid w:val="00D36251"/>
    <w:rsid w:val="00D36254"/>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A17"/>
    <w:rsid w:val="00D46B81"/>
    <w:rsid w:val="00D47226"/>
    <w:rsid w:val="00D4742E"/>
    <w:rsid w:val="00D503E5"/>
    <w:rsid w:val="00D508BE"/>
    <w:rsid w:val="00D50B21"/>
    <w:rsid w:val="00D50CE9"/>
    <w:rsid w:val="00D51349"/>
    <w:rsid w:val="00D516F8"/>
    <w:rsid w:val="00D51D06"/>
    <w:rsid w:val="00D521DE"/>
    <w:rsid w:val="00D524CA"/>
    <w:rsid w:val="00D526C8"/>
    <w:rsid w:val="00D527AF"/>
    <w:rsid w:val="00D52853"/>
    <w:rsid w:val="00D529E1"/>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1477"/>
    <w:rsid w:val="00D61764"/>
    <w:rsid w:val="00D619E2"/>
    <w:rsid w:val="00D61E89"/>
    <w:rsid w:val="00D62036"/>
    <w:rsid w:val="00D620CC"/>
    <w:rsid w:val="00D6223F"/>
    <w:rsid w:val="00D6253E"/>
    <w:rsid w:val="00D62F1C"/>
    <w:rsid w:val="00D63305"/>
    <w:rsid w:val="00D634B8"/>
    <w:rsid w:val="00D63EF3"/>
    <w:rsid w:val="00D6407C"/>
    <w:rsid w:val="00D642F4"/>
    <w:rsid w:val="00D64441"/>
    <w:rsid w:val="00D6449E"/>
    <w:rsid w:val="00D64550"/>
    <w:rsid w:val="00D645D9"/>
    <w:rsid w:val="00D64DF1"/>
    <w:rsid w:val="00D64FA4"/>
    <w:rsid w:val="00D6511E"/>
    <w:rsid w:val="00D65497"/>
    <w:rsid w:val="00D654DA"/>
    <w:rsid w:val="00D6609E"/>
    <w:rsid w:val="00D661DD"/>
    <w:rsid w:val="00D66562"/>
    <w:rsid w:val="00D669A6"/>
    <w:rsid w:val="00D66AC3"/>
    <w:rsid w:val="00D678E2"/>
    <w:rsid w:val="00D67A9F"/>
    <w:rsid w:val="00D67C20"/>
    <w:rsid w:val="00D70034"/>
    <w:rsid w:val="00D7033F"/>
    <w:rsid w:val="00D70799"/>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381"/>
    <w:rsid w:val="00D775E7"/>
    <w:rsid w:val="00D777D5"/>
    <w:rsid w:val="00D777E7"/>
    <w:rsid w:val="00D77813"/>
    <w:rsid w:val="00D77B9E"/>
    <w:rsid w:val="00D77CD6"/>
    <w:rsid w:val="00D80415"/>
    <w:rsid w:val="00D80534"/>
    <w:rsid w:val="00D818AB"/>
    <w:rsid w:val="00D81A7C"/>
    <w:rsid w:val="00D81CA9"/>
    <w:rsid w:val="00D81E4E"/>
    <w:rsid w:val="00D82203"/>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A40"/>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2C0"/>
    <w:rsid w:val="00DA46C1"/>
    <w:rsid w:val="00DA5C96"/>
    <w:rsid w:val="00DA5FAD"/>
    <w:rsid w:val="00DA6463"/>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D0A"/>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05D"/>
    <w:rsid w:val="00DC72E3"/>
    <w:rsid w:val="00DC766B"/>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D7024"/>
    <w:rsid w:val="00DE0E5D"/>
    <w:rsid w:val="00DE0F26"/>
    <w:rsid w:val="00DE1288"/>
    <w:rsid w:val="00DE1994"/>
    <w:rsid w:val="00DE1F74"/>
    <w:rsid w:val="00DE2414"/>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39A"/>
    <w:rsid w:val="00DF0ABC"/>
    <w:rsid w:val="00DF0EA5"/>
    <w:rsid w:val="00DF11BF"/>
    <w:rsid w:val="00DF133D"/>
    <w:rsid w:val="00DF187A"/>
    <w:rsid w:val="00DF1F1D"/>
    <w:rsid w:val="00DF23A5"/>
    <w:rsid w:val="00DF26D2"/>
    <w:rsid w:val="00DF2F90"/>
    <w:rsid w:val="00DF3AAE"/>
    <w:rsid w:val="00DF4586"/>
    <w:rsid w:val="00DF4C6E"/>
    <w:rsid w:val="00DF50B2"/>
    <w:rsid w:val="00DF5560"/>
    <w:rsid w:val="00DF5744"/>
    <w:rsid w:val="00DF59BB"/>
    <w:rsid w:val="00DF5CA4"/>
    <w:rsid w:val="00DF6666"/>
    <w:rsid w:val="00DF745E"/>
    <w:rsid w:val="00DF762E"/>
    <w:rsid w:val="00E00019"/>
    <w:rsid w:val="00E0044E"/>
    <w:rsid w:val="00E00816"/>
    <w:rsid w:val="00E009B2"/>
    <w:rsid w:val="00E0224C"/>
    <w:rsid w:val="00E0239F"/>
    <w:rsid w:val="00E0267B"/>
    <w:rsid w:val="00E02E70"/>
    <w:rsid w:val="00E03A6C"/>
    <w:rsid w:val="00E04041"/>
    <w:rsid w:val="00E04441"/>
    <w:rsid w:val="00E04846"/>
    <w:rsid w:val="00E04B19"/>
    <w:rsid w:val="00E05805"/>
    <w:rsid w:val="00E05ADD"/>
    <w:rsid w:val="00E05F03"/>
    <w:rsid w:val="00E05F35"/>
    <w:rsid w:val="00E05F74"/>
    <w:rsid w:val="00E060A5"/>
    <w:rsid w:val="00E06297"/>
    <w:rsid w:val="00E06370"/>
    <w:rsid w:val="00E065B3"/>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640"/>
    <w:rsid w:val="00E16B19"/>
    <w:rsid w:val="00E16BB9"/>
    <w:rsid w:val="00E16CE8"/>
    <w:rsid w:val="00E1740F"/>
    <w:rsid w:val="00E200CF"/>
    <w:rsid w:val="00E21398"/>
    <w:rsid w:val="00E22E89"/>
    <w:rsid w:val="00E23535"/>
    <w:rsid w:val="00E237C7"/>
    <w:rsid w:val="00E237EF"/>
    <w:rsid w:val="00E23D34"/>
    <w:rsid w:val="00E24287"/>
    <w:rsid w:val="00E25573"/>
    <w:rsid w:val="00E258B8"/>
    <w:rsid w:val="00E25FE3"/>
    <w:rsid w:val="00E261F0"/>
    <w:rsid w:val="00E2675D"/>
    <w:rsid w:val="00E27C34"/>
    <w:rsid w:val="00E27E38"/>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6E54"/>
    <w:rsid w:val="00E372F7"/>
    <w:rsid w:val="00E37533"/>
    <w:rsid w:val="00E37638"/>
    <w:rsid w:val="00E37B8D"/>
    <w:rsid w:val="00E37E9D"/>
    <w:rsid w:val="00E37EE3"/>
    <w:rsid w:val="00E4032F"/>
    <w:rsid w:val="00E40361"/>
    <w:rsid w:val="00E40442"/>
    <w:rsid w:val="00E40918"/>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71A3"/>
    <w:rsid w:val="00E4723D"/>
    <w:rsid w:val="00E47C7E"/>
    <w:rsid w:val="00E50514"/>
    <w:rsid w:val="00E5077C"/>
    <w:rsid w:val="00E509F7"/>
    <w:rsid w:val="00E50EC8"/>
    <w:rsid w:val="00E510C3"/>
    <w:rsid w:val="00E514D9"/>
    <w:rsid w:val="00E5159B"/>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03B"/>
    <w:rsid w:val="00E62426"/>
    <w:rsid w:val="00E62695"/>
    <w:rsid w:val="00E6275F"/>
    <w:rsid w:val="00E628E4"/>
    <w:rsid w:val="00E62FA5"/>
    <w:rsid w:val="00E64453"/>
    <w:rsid w:val="00E647F7"/>
    <w:rsid w:val="00E64CFA"/>
    <w:rsid w:val="00E64EAB"/>
    <w:rsid w:val="00E65588"/>
    <w:rsid w:val="00E65C44"/>
    <w:rsid w:val="00E65FF5"/>
    <w:rsid w:val="00E66857"/>
    <w:rsid w:val="00E668D4"/>
    <w:rsid w:val="00E673EA"/>
    <w:rsid w:val="00E67556"/>
    <w:rsid w:val="00E679C5"/>
    <w:rsid w:val="00E70257"/>
    <w:rsid w:val="00E70E8A"/>
    <w:rsid w:val="00E71225"/>
    <w:rsid w:val="00E7137A"/>
    <w:rsid w:val="00E71A18"/>
    <w:rsid w:val="00E7252F"/>
    <w:rsid w:val="00E7255C"/>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4DA"/>
    <w:rsid w:val="00E8559A"/>
    <w:rsid w:val="00E8599A"/>
    <w:rsid w:val="00E8602B"/>
    <w:rsid w:val="00E86B5F"/>
    <w:rsid w:val="00E87647"/>
    <w:rsid w:val="00E87D05"/>
    <w:rsid w:val="00E90A6A"/>
    <w:rsid w:val="00E9109C"/>
    <w:rsid w:val="00E914F3"/>
    <w:rsid w:val="00E91614"/>
    <w:rsid w:val="00E91F96"/>
    <w:rsid w:val="00E925E0"/>
    <w:rsid w:val="00E92E99"/>
    <w:rsid w:val="00E932FF"/>
    <w:rsid w:val="00E9503E"/>
    <w:rsid w:val="00E95B5D"/>
    <w:rsid w:val="00E95BED"/>
    <w:rsid w:val="00E968FD"/>
    <w:rsid w:val="00E96D55"/>
    <w:rsid w:val="00E97993"/>
    <w:rsid w:val="00EA04B5"/>
    <w:rsid w:val="00EA09D9"/>
    <w:rsid w:val="00EA0AD8"/>
    <w:rsid w:val="00EA0D5D"/>
    <w:rsid w:val="00EA1192"/>
    <w:rsid w:val="00EA153F"/>
    <w:rsid w:val="00EA1847"/>
    <w:rsid w:val="00EA1B57"/>
    <w:rsid w:val="00EA2332"/>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0A61"/>
    <w:rsid w:val="00EB112F"/>
    <w:rsid w:val="00EB1B69"/>
    <w:rsid w:val="00EB1C78"/>
    <w:rsid w:val="00EB2AFA"/>
    <w:rsid w:val="00EB2C05"/>
    <w:rsid w:val="00EB2E04"/>
    <w:rsid w:val="00EB30BA"/>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C89"/>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BC"/>
    <w:rsid w:val="00ED2FEC"/>
    <w:rsid w:val="00ED3496"/>
    <w:rsid w:val="00ED3891"/>
    <w:rsid w:val="00ED3E8A"/>
    <w:rsid w:val="00ED3F67"/>
    <w:rsid w:val="00ED40CD"/>
    <w:rsid w:val="00ED43D7"/>
    <w:rsid w:val="00ED440A"/>
    <w:rsid w:val="00ED460D"/>
    <w:rsid w:val="00ED4F54"/>
    <w:rsid w:val="00ED50EA"/>
    <w:rsid w:val="00ED52C0"/>
    <w:rsid w:val="00ED66CC"/>
    <w:rsid w:val="00ED7971"/>
    <w:rsid w:val="00ED7E96"/>
    <w:rsid w:val="00EE0748"/>
    <w:rsid w:val="00EE089B"/>
    <w:rsid w:val="00EE1095"/>
    <w:rsid w:val="00EE14EF"/>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CF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2795B"/>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DA9"/>
    <w:rsid w:val="00F511B6"/>
    <w:rsid w:val="00F5120B"/>
    <w:rsid w:val="00F522F1"/>
    <w:rsid w:val="00F52AD4"/>
    <w:rsid w:val="00F530E6"/>
    <w:rsid w:val="00F532C7"/>
    <w:rsid w:val="00F532D1"/>
    <w:rsid w:val="00F5380B"/>
    <w:rsid w:val="00F5393C"/>
    <w:rsid w:val="00F5416F"/>
    <w:rsid w:val="00F54929"/>
    <w:rsid w:val="00F549A4"/>
    <w:rsid w:val="00F54EE5"/>
    <w:rsid w:val="00F5504E"/>
    <w:rsid w:val="00F55358"/>
    <w:rsid w:val="00F55B5B"/>
    <w:rsid w:val="00F5603C"/>
    <w:rsid w:val="00F5605C"/>
    <w:rsid w:val="00F564B9"/>
    <w:rsid w:val="00F57522"/>
    <w:rsid w:val="00F57905"/>
    <w:rsid w:val="00F57909"/>
    <w:rsid w:val="00F57B94"/>
    <w:rsid w:val="00F6050E"/>
    <w:rsid w:val="00F609C0"/>
    <w:rsid w:val="00F6106F"/>
    <w:rsid w:val="00F612D6"/>
    <w:rsid w:val="00F61D27"/>
    <w:rsid w:val="00F6272A"/>
    <w:rsid w:val="00F63400"/>
    <w:rsid w:val="00F6354C"/>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43AF"/>
    <w:rsid w:val="00F844F0"/>
    <w:rsid w:val="00F84710"/>
    <w:rsid w:val="00F84895"/>
    <w:rsid w:val="00F84E9D"/>
    <w:rsid w:val="00F8626F"/>
    <w:rsid w:val="00F862EC"/>
    <w:rsid w:val="00F8659E"/>
    <w:rsid w:val="00F86975"/>
    <w:rsid w:val="00F869CC"/>
    <w:rsid w:val="00F86CE4"/>
    <w:rsid w:val="00F86F42"/>
    <w:rsid w:val="00F87D39"/>
    <w:rsid w:val="00F90433"/>
    <w:rsid w:val="00F912F9"/>
    <w:rsid w:val="00F914B6"/>
    <w:rsid w:val="00F9152E"/>
    <w:rsid w:val="00F91828"/>
    <w:rsid w:val="00F91941"/>
    <w:rsid w:val="00F92156"/>
    <w:rsid w:val="00F92E3F"/>
    <w:rsid w:val="00F93697"/>
    <w:rsid w:val="00F937A0"/>
    <w:rsid w:val="00F938D2"/>
    <w:rsid w:val="00F93BA9"/>
    <w:rsid w:val="00F9515E"/>
    <w:rsid w:val="00F959E2"/>
    <w:rsid w:val="00F95B9D"/>
    <w:rsid w:val="00F96057"/>
    <w:rsid w:val="00F960FF"/>
    <w:rsid w:val="00F96389"/>
    <w:rsid w:val="00F9650E"/>
    <w:rsid w:val="00F96B73"/>
    <w:rsid w:val="00F96EA6"/>
    <w:rsid w:val="00F9755E"/>
    <w:rsid w:val="00F977C7"/>
    <w:rsid w:val="00F97C0B"/>
    <w:rsid w:val="00F97C96"/>
    <w:rsid w:val="00FA0890"/>
    <w:rsid w:val="00FA0BC3"/>
    <w:rsid w:val="00FA0BF5"/>
    <w:rsid w:val="00FA0CFA"/>
    <w:rsid w:val="00FA164A"/>
    <w:rsid w:val="00FA1D3C"/>
    <w:rsid w:val="00FA21DD"/>
    <w:rsid w:val="00FA251C"/>
    <w:rsid w:val="00FA2533"/>
    <w:rsid w:val="00FA261D"/>
    <w:rsid w:val="00FA2703"/>
    <w:rsid w:val="00FA3513"/>
    <w:rsid w:val="00FA3BFC"/>
    <w:rsid w:val="00FA3F3E"/>
    <w:rsid w:val="00FA4272"/>
    <w:rsid w:val="00FA4855"/>
    <w:rsid w:val="00FA4ACD"/>
    <w:rsid w:val="00FA4FF9"/>
    <w:rsid w:val="00FA55FF"/>
    <w:rsid w:val="00FA5BE9"/>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39C"/>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83C"/>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61F"/>
    <w:rsid w:val="00FE3C87"/>
    <w:rsid w:val="00FE3E3C"/>
    <w:rsid w:val="00FE419B"/>
    <w:rsid w:val="00FE43B1"/>
    <w:rsid w:val="00FE43E7"/>
    <w:rsid w:val="00FE44FC"/>
    <w:rsid w:val="00FE48EB"/>
    <w:rsid w:val="00FE4B37"/>
    <w:rsid w:val="00FE4B66"/>
    <w:rsid w:val="00FE4DFE"/>
    <w:rsid w:val="00FE4F18"/>
    <w:rsid w:val="00FE4F6E"/>
    <w:rsid w:val="00FE5202"/>
    <w:rsid w:val="00FE583F"/>
    <w:rsid w:val="00FE5B49"/>
    <w:rsid w:val="00FE5CC4"/>
    <w:rsid w:val="00FE5CE0"/>
    <w:rsid w:val="00FE6B13"/>
    <w:rsid w:val="00FE7575"/>
    <w:rsid w:val="00FF1070"/>
    <w:rsid w:val="00FF1073"/>
    <w:rsid w:val="00FF1203"/>
    <w:rsid w:val="00FF13E2"/>
    <w:rsid w:val="00FF1A27"/>
    <w:rsid w:val="00FF1A42"/>
    <w:rsid w:val="00FF2237"/>
    <w:rsid w:val="00FF2934"/>
    <w:rsid w:val="00FF3399"/>
    <w:rsid w:val="00FF343E"/>
    <w:rsid w:val="00FF3645"/>
    <w:rsid w:val="00FF409E"/>
    <w:rsid w:val="00FF41D2"/>
    <w:rsid w:val="00FF47FA"/>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5787A495-ADE0-4B2A-B5F9-98B9EF8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0F"/>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character" w:customStyle="1" w:styleId="super">
    <w:name w:val="super"/>
    <w:basedOn w:val="DefaultParagraphFont"/>
    <w:rsid w:val="00E8599A"/>
  </w:style>
  <w:style w:type="paragraph" w:styleId="EndnoteText">
    <w:name w:val="endnote text"/>
    <w:basedOn w:val="Normal"/>
    <w:link w:val="EndnoteTextChar"/>
    <w:rsid w:val="002B5C7C"/>
    <w:rPr>
      <w:sz w:val="20"/>
      <w:szCs w:val="20"/>
    </w:rPr>
  </w:style>
  <w:style w:type="character" w:customStyle="1" w:styleId="EndnoteTextChar">
    <w:name w:val="Endnote Text Char"/>
    <w:basedOn w:val="DefaultParagraphFont"/>
    <w:link w:val="EndnoteText"/>
    <w:rsid w:val="002B5C7C"/>
  </w:style>
  <w:style w:type="character" w:styleId="EndnoteReference">
    <w:name w:val="endnote reference"/>
    <w:basedOn w:val="DefaultParagraphFont"/>
    <w:rsid w:val="002B5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47211692">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30150630">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42808543">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12122454">
      <w:bodyDiv w:val="1"/>
      <w:marLeft w:val="0"/>
      <w:marRight w:val="0"/>
      <w:marTop w:val="0"/>
      <w:marBottom w:val="0"/>
      <w:divBdr>
        <w:top w:val="none" w:sz="0" w:space="0" w:color="auto"/>
        <w:left w:val="none" w:sz="0" w:space="0" w:color="auto"/>
        <w:bottom w:val="none" w:sz="0" w:space="0" w:color="auto"/>
        <w:right w:val="none" w:sz="0" w:space="0" w:color="auto"/>
      </w:divBdr>
      <w:divsChild>
        <w:div w:id="1080634448">
          <w:marLeft w:val="0"/>
          <w:marRight w:val="0"/>
          <w:marTop w:val="480"/>
          <w:marBottom w:val="240"/>
          <w:divBdr>
            <w:top w:val="none" w:sz="0" w:space="0" w:color="auto"/>
            <w:left w:val="none" w:sz="0" w:space="0" w:color="auto"/>
            <w:bottom w:val="none" w:sz="0" w:space="0" w:color="auto"/>
            <w:right w:val="none" w:sz="0" w:space="0" w:color="auto"/>
          </w:divBdr>
        </w:div>
        <w:div w:id="318968854">
          <w:marLeft w:val="0"/>
          <w:marRight w:val="0"/>
          <w:marTop w:val="0"/>
          <w:marBottom w:val="567"/>
          <w:divBdr>
            <w:top w:val="none" w:sz="0" w:space="0" w:color="auto"/>
            <w:left w:val="none" w:sz="0" w:space="0" w:color="auto"/>
            <w:bottom w:val="none" w:sz="0" w:space="0" w:color="auto"/>
            <w:right w:val="none" w:sz="0" w:space="0" w:color="auto"/>
          </w:divBdr>
        </w:div>
        <w:div w:id="690765286">
          <w:marLeft w:val="0"/>
          <w:marRight w:val="0"/>
          <w:marTop w:val="0"/>
          <w:marBottom w:val="0"/>
          <w:divBdr>
            <w:top w:val="none" w:sz="0" w:space="0" w:color="auto"/>
            <w:left w:val="none" w:sz="0" w:space="0" w:color="auto"/>
            <w:bottom w:val="none" w:sz="0" w:space="0" w:color="auto"/>
            <w:right w:val="none" w:sz="0" w:space="0" w:color="auto"/>
          </w:divBdr>
        </w:div>
        <w:div w:id="1264534738">
          <w:marLeft w:val="0"/>
          <w:marRight w:val="0"/>
          <w:marTop w:val="0"/>
          <w:marBottom w:val="0"/>
          <w:divBdr>
            <w:top w:val="none" w:sz="0" w:space="0" w:color="auto"/>
            <w:left w:val="none" w:sz="0" w:space="0" w:color="auto"/>
            <w:bottom w:val="none" w:sz="0" w:space="0" w:color="auto"/>
            <w:right w:val="none" w:sz="0" w:space="0" w:color="auto"/>
          </w:divBdr>
        </w:div>
        <w:div w:id="1141919168">
          <w:marLeft w:val="0"/>
          <w:marRight w:val="0"/>
          <w:marTop w:val="0"/>
          <w:marBottom w:val="0"/>
          <w:divBdr>
            <w:top w:val="none" w:sz="0" w:space="0" w:color="auto"/>
            <w:left w:val="none" w:sz="0" w:space="0" w:color="auto"/>
            <w:bottom w:val="none" w:sz="0" w:space="0" w:color="auto"/>
            <w:right w:val="none" w:sz="0" w:space="0" w:color="auto"/>
          </w:divBdr>
        </w:div>
      </w:divsChild>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85BC-259A-489D-A43D-B98FE97E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2009. gada 24. marta noteikumos Nr. 265 "Noteikumi par darbības programmas "Infrastruktūra un pakalpojumi" papildinājuma 3.1.2.1.1.apakšakti</vt:lpstr>
    </vt:vector>
  </TitlesOfParts>
  <Company>LabMin</Company>
  <LinksUpToDate>false</LinksUpToDate>
  <CharactersWithSpaces>30223</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Izziņa</dc:subject>
  <dc:creator>Inta Švirksta</dc:creator>
  <cp:keywords/>
  <dc:description>inta.svirksta@izm.gov.lv
26047878</dc:description>
  <cp:lastModifiedBy>Alise Trokša</cp:lastModifiedBy>
  <cp:revision>9</cp:revision>
  <cp:lastPrinted>2017-09-08T06:42:00Z</cp:lastPrinted>
  <dcterms:created xsi:type="dcterms:W3CDTF">2020-06-11T04:41:00Z</dcterms:created>
  <dcterms:modified xsi:type="dcterms:W3CDTF">2020-06-11T06:04:00Z</dcterms:modified>
  <cp:category>Izglītības un zinātnes  ministrija</cp:category>
</cp:coreProperties>
</file>