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6E" w:rsidRDefault="00891D6E" w:rsidP="00891D6E">
      <w:pPr>
        <w:pStyle w:val="naisnod"/>
        <w:spacing w:before="0" w:after="0"/>
      </w:pPr>
      <w:r>
        <w:t>Izziņa par atzinumos sniegtajiem iebildumiem</w:t>
      </w:r>
    </w:p>
    <w:p w:rsidR="00891D6E" w:rsidRPr="008E70B8" w:rsidRDefault="00891D6E" w:rsidP="00891D6E">
      <w:pPr>
        <w:pStyle w:val="naisnod"/>
        <w:spacing w:before="0" w:after="0"/>
      </w:pPr>
      <w:r>
        <w:t>likumprojektam “Grozījumi Elektronisko sakaru likumā</w:t>
      </w:r>
      <w:r w:rsidRPr="008E70B8">
        <w:t>”</w:t>
      </w:r>
    </w:p>
    <w:p w:rsidR="00891D6E" w:rsidRDefault="00891D6E" w:rsidP="00891D6E">
      <w:pPr>
        <w:pStyle w:val="naisf"/>
        <w:spacing w:before="0" w:after="0"/>
        <w:ind w:firstLine="0"/>
        <w:jc w:val="center"/>
      </w:pPr>
    </w:p>
    <w:p w:rsidR="00891D6E" w:rsidRDefault="00891D6E" w:rsidP="00891D6E">
      <w:pPr>
        <w:pStyle w:val="naisf"/>
        <w:numPr>
          <w:ilvl w:val="0"/>
          <w:numId w:val="1"/>
        </w:numPr>
        <w:spacing w:before="0" w:after="0"/>
        <w:jc w:val="center"/>
        <w:rPr>
          <w:b/>
        </w:rPr>
      </w:pPr>
      <w:r w:rsidRPr="00712B66">
        <w:rPr>
          <w:b/>
        </w:rPr>
        <w:t>Jautājumi, par kuriem saskaņošanā vienošanās nav panākta</w:t>
      </w:r>
    </w:p>
    <w:p w:rsidR="00891D6E" w:rsidRDefault="00891D6E" w:rsidP="00E5071A">
      <w:pPr>
        <w:pStyle w:val="naisf"/>
        <w:tabs>
          <w:tab w:val="left" w:pos="9356"/>
        </w:tabs>
        <w:spacing w:before="0" w:after="0"/>
        <w:ind w:left="1080" w:firstLine="0"/>
        <w:rPr>
          <w:b/>
        </w:rPr>
      </w:pPr>
      <w:bookmarkStart w:id="0" w:name="_GoBack"/>
      <w:bookmarkEnd w:id="0"/>
    </w:p>
    <w:tbl>
      <w:tblPr>
        <w:tblW w:w="14276"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8"/>
        <w:gridCol w:w="3086"/>
        <w:gridCol w:w="2543"/>
        <w:gridCol w:w="210"/>
        <w:gridCol w:w="365"/>
        <w:gridCol w:w="628"/>
        <w:gridCol w:w="1099"/>
        <w:gridCol w:w="1250"/>
        <w:gridCol w:w="2010"/>
        <w:gridCol w:w="675"/>
        <w:gridCol w:w="956"/>
        <w:gridCol w:w="738"/>
      </w:tblGrid>
      <w:tr w:rsidR="00891D6E" w:rsidRPr="00712B66" w:rsidTr="00501FA2">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vAlign w:val="center"/>
          </w:tcPr>
          <w:p w:rsidR="00891D6E" w:rsidRPr="00712B66" w:rsidRDefault="00891D6E" w:rsidP="00501FA2">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891D6E" w:rsidRPr="00712B66" w:rsidRDefault="00891D6E" w:rsidP="00501FA2">
            <w:pPr>
              <w:pStyle w:val="naisc"/>
              <w:spacing w:before="0" w:after="0"/>
              <w:ind w:firstLine="12"/>
            </w:pPr>
            <w:r w:rsidRPr="00712B66">
              <w:t>Saskaņošanai nosūtītā projekta redakcija (konkrēta punkta (panta) redakcija)</w:t>
            </w:r>
          </w:p>
        </w:tc>
        <w:tc>
          <w:tcPr>
            <w:tcW w:w="3118" w:type="dxa"/>
            <w:gridSpan w:val="3"/>
            <w:tcBorders>
              <w:top w:val="single" w:sz="6" w:space="0" w:color="000000"/>
              <w:left w:val="single" w:sz="6" w:space="0" w:color="000000"/>
              <w:bottom w:val="single" w:sz="6" w:space="0" w:color="000000"/>
              <w:right w:val="single" w:sz="6" w:space="0" w:color="000000"/>
            </w:tcBorders>
            <w:vAlign w:val="center"/>
          </w:tcPr>
          <w:p w:rsidR="00891D6E" w:rsidRPr="00712B66" w:rsidRDefault="00891D6E" w:rsidP="00501FA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rsidR="00891D6E" w:rsidRPr="00712B66" w:rsidRDefault="00891D6E" w:rsidP="00501FA2">
            <w:pPr>
              <w:pStyle w:val="naisc"/>
              <w:spacing w:before="0" w:after="0"/>
              <w:ind w:hanging="82"/>
            </w:pPr>
            <w:r w:rsidRPr="00712B66">
              <w:t>Atbildīgās ministrijas pamatojums iebilduma noraidījumam</w:t>
            </w:r>
          </w:p>
        </w:tc>
        <w:tc>
          <w:tcPr>
            <w:tcW w:w="2010" w:type="dxa"/>
            <w:tcBorders>
              <w:top w:val="single" w:sz="4" w:space="0" w:color="auto"/>
              <w:left w:val="single" w:sz="4" w:space="0" w:color="auto"/>
              <w:bottom w:val="single" w:sz="4" w:space="0" w:color="auto"/>
              <w:right w:val="single" w:sz="4" w:space="0" w:color="auto"/>
            </w:tcBorders>
            <w:vAlign w:val="center"/>
          </w:tcPr>
          <w:p w:rsidR="00891D6E" w:rsidRPr="00712B66" w:rsidRDefault="00891D6E" w:rsidP="00501FA2">
            <w:pPr>
              <w:jc w:val="center"/>
            </w:pPr>
            <w:r w:rsidRPr="00712B66">
              <w:t>Atzinuma sniedzēja uzturētais iebildums, ja tas atšķiras no atzinumā norādītā iebilduma pamatojuma</w:t>
            </w:r>
          </w:p>
        </w:tc>
        <w:tc>
          <w:tcPr>
            <w:tcW w:w="2369" w:type="dxa"/>
            <w:gridSpan w:val="3"/>
            <w:tcBorders>
              <w:top w:val="single" w:sz="4" w:space="0" w:color="auto"/>
              <w:left w:val="single" w:sz="4" w:space="0" w:color="auto"/>
              <w:bottom w:val="single" w:sz="4" w:space="0" w:color="auto"/>
            </w:tcBorders>
            <w:vAlign w:val="center"/>
          </w:tcPr>
          <w:p w:rsidR="00891D6E" w:rsidRPr="00712B66" w:rsidRDefault="00891D6E" w:rsidP="00501FA2">
            <w:pPr>
              <w:jc w:val="center"/>
            </w:pPr>
            <w:r w:rsidRPr="00712B66">
              <w:t>Projekta attiecīgā punkta (panta) galīgā redakcija</w:t>
            </w:r>
          </w:p>
        </w:tc>
      </w:tr>
      <w:tr w:rsidR="00891D6E" w:rsidRPr="008A36C9" w:rsidTr="00501FA2">
        <w:trPr>
          <w:gridBefore w:val="1"/>
          <w:wBefore w:w="8" w:type="dxa"/>
          <w:trHeight w:val="135"/>
        </w:trPr>
        <w:tc>
          <w:tcPr>
            <w:tcW w:w="708" w:type="dxa"/>
            <w:tcBorders>
              <w:top w:val="single" w:sz="6" w:space="0" w:color="000000"/>
              <w:left w:val="single" w:sz="4" w:space="0" w:color="auto"/>
              <w:bottom w:val="single" w:sz="4" w:space="0" w:color="auto"/>
              <w:right w:val="single" w:sz="6" w:space="0" w:color="000000"/>
            </w:tcBorders>
          </w:tcPr>
          <w:p w:rsidR="00891D6E" w:rsidRPr="008A36C9" w:rsidRDefault="00891D6E" w:rsidP="00501FA2">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4" w:space="0" w:color="auto"/>
              <w:right w:val="single" w:sz="6" w:space="0" w:color="000000"/>
            </w:tcBorders>
          </w:tcPr>
          <w:p w:rsidR="00891D6E" w:rsidRPr="008A36C9" w:rsidRDefault="00891D6E" w:rsidP="00501FA2">
            <w:pPr>
              <w:pStyle w:val="naisc"/>
              <w:spacing w:before="0" w:after="0"/>
              <w:ind w:firstLine="720"/>
              <w:rPr>
                <w:sz w:val="20"/>
                <w:szCs w:val="20"/>
              </w:rPr>
            </w:pPr>
            <w:r w:rsidRPr="008A36C9">
              <w:rPr>
                <w:sz w:val="20"/>
                <w:szCs w:val="20"/>
              </w:rPr>
              <w:t>2</w:t>
            </w:r>
          </w:p>
        </w:tc>
        <w:tc>
          <w:tcPr>
            <w:tcW w:w="3118" w:type="dxa"/>
            <w:gridSpan w:val="3"/>
            <w:tcBorders>
              <w:top w:val="single" w:sz="6" w:space="0" w:color="000000"/>
              <w:left w:val="single" w:sz="6" w:space="0" w:color="000000"/>
              <w:bottom w:val="single" w:sz="4" w:space="0" w:color="auto"/>
              <w:right w:val="single" w:sz="6" w:space="0" w:color="000000"/>
            </w:tcBorders>
          </w:tcPr>
          <w:p w:rsidR="00891D6E" w:rsidRPr="008A36C9" w:rsidRDefault="00891D6E" w:rsidP="00501FA2">
            <w:pPr>
              <w:pStyle w:val="naisc"/>
              <w:spacing w:before="0" w:after="0"/>
              <w:ind w:firstLine="720"/>
              <w:rPr>
                <w:sz w:val="20"/>
                <w:szCs w:val="20"/>
              </w:rPr>
            </w:pPr>
            <w:r w:rsidRPr="008A36C9">
              <w:rPr>
                <w:sz w:val="20"/>
                <w:szCs w:val="20"/>
              </w:rPr>
              <w:t>3</w:t>
            </w:r>
          </w:p>
        </w:tc>
        <w:tc>
          <w:tcPr>
            <w:tcW w:w="2977" w:type="dxa"/>
            <w:gridSpan w:val="3"/>
            <w:tcBorders>
              <w:top w:val="single" w:sz="6" w:space="0" w:color="000000"/>
              <w:left w:val="single" w:sz="6" w:space="0" w:color="000000"/>
              <w:bottom w:val="single" w:sz="4" w:space="0" w:color="auto"/>
              <w:right w:val="single" w:sz="6" w:space="0" w:color="000000"/>
            </w:tcBorders>
          </w:tcPr>
          <w:p w:rsidR="00891D6E" w:rsidRPr="008A36C9" w:rsidRDefault="00891D6E" w:rsidP="00501FA2">
            <w:pPr>
              <w:pStyle w:val="naisc"/>
              <w:spacing w:before="0" w:after="0"/>
              <w:ind w:hanging="82"/>
              <w:rPr>
                <w:sz w:val="20"/>
                <w:szCs w:val="20"/>
              </w:rPr>
            </w:pPr>
            <w:r w:rsidRPr="008A36C9">
              <w:rPr>
                <w:sz w:val="20"/>
                <w:szCs w:val="20"/>
              </w:rPr>
              <w:t>4</w:t>
            </w:r>
          </w:p>
        </w:tc>
        <w:tc>
          <w:tcPr>
            <w:tcW w:w="2010" w:type="dxa"/>
            <w:tcBorders>
              <w:top w:val="single" w:sz="4" w:space="0" w:color="auto"/>
              <w:left w:val="single" w:sz="4" w:space="0" w:color="auto"/>
              <w:bottom w:val="single" w:sz="4" w:space="0" w:color="auto"/>
              <w:right w:val="single" w:sz="4" w:space="0" w:color="auto"/>
            </w:tcBorders>
          </w:tcPr>
          <w:p w:rsidR="00891D6E" w:rsidRPr="008A36C9" w:rsidRDefault="00891D6E" w:rsidP="00501FA2">
            <w:pPr>
              <w:jc w:val="center"/>
              <w:rPr>
                <w:sz w:val="20"/>
                <w:szCs w:val="20"/>
              </w:rPr>
            </w:pPr>
            <w:r w:rsidRPr="008A36C9">
              <w:rPr>
                <w:sz w:val="20"/>
                <w:szCs w:val="20"/>
              </w:rPr>
              <w:t>5</w:t>
            </w:r>
          </w:p>
        </w:tc>
        <w:tc>
          <w:tcPr>
            <w:tcW w:w="2369" w:type="dxa"/>
            <w:gridSpan w:val="3"/>
            <w:tcBorders>
              <w:top w:val="single" w:sz="4" w:space="0" w:color="auto"/>
              <w:left w:val="single" w:sz="4" w:space="0" w:color="auto"/>
              <w:bottom w:val="single" w:sz="4" w:space="0" w:color="auto"/>
            </w:tcBorders>
          </w:tcPr>
          <w:p w:rsidR="00891D6E" w:rsidRPr="00C42CEC" w:rsidRDefault="00891D6E" w:rsidP="00501FA2">
            <w:pPr>
              <w:ind w:left="10"/>
              <w:jc w:val="center"/>
            </w:pPr>
            <w:r w:rsidRPr="00C42CEC">
              <w:t>6</w:t>
            </w:r>
          </w:p>
        </w:tc>
      </w:tr>
      <w:tr w:rsidR="00891D6E" w:rsidRPr="00712B66" w:rsidTr="00501FA2">
        <w:tblPrEx>
          <w:tblBorders>
            <w:top w:val="none" w:sz="0" w:space="0" w:color="auto"/>
            <w:left w:val="none" w:sz="0" w:space="0" w:color="auto"/>
            <w:bottom w:val="none" w:sz="0" w:space="0" w:color="auto"/>
            <w:right w:val="none" w:sz="0" w:space="0" w:color="auto"/>
          </w:tblBorders>
        </w:tblPrEx>
        <w:trPr>
          <w:gridAfter w:val="2"/>
          <w:wAfter w:w="1694" w:type="dxa"/>
          <w:trHeight w:val="646"/>
        </w:trPr>
        <w:tc>
          <w:tcPr>
            <w:tcW w:w="6345" w:type="dxa"/>
            <w:gridSpan w:val="4"/>
          </w:tcPr>
          <w:p w:rsidR="00891D6E" w:rsidRDefault="00891D6E" w:rsidP="00501FA2">
            <w:pPr>
              <w:pStyle w:val="naiskr"/>
              <w:spacing w:before="0" w:after="0"/>
            </w:pPr>
          </w:p>
          <w:p w:rsidR="00891D6E" w:rsidRPr="00C11F64" w:rsidRDefault="00891D6E" w:rsidP="00501FA2">
            <w:pPr>
              <w:pStyle w:val="naisf"/>
              <w:spacing w:before="0" w:after="0"/>
              <w:ind w:firstLine="0"/>
              <w:rPr>
                <w:b/>
              </w:rPr>
            </w:pPr>
            <w:r w:rsidRPr="00C11F64">
              <w:rPr>
                <w:b/>
              </w:rPr>
              <w:t>Informācija par starpministriju (starpinstitūciju) sanāksmi vai elektronisko saskaņošanu</w:t>
            </w:r>
          </w:p>
          <w:tbl>
            <w:tblPr>
              <w:tblW w:w="12582" w:type="dxa"/>
              <w:tblLayout w:type="fixed"/>
              <w:tblLook w:val="00A0" w:firstRow="1" w:lastRow="0" w:firstColumn="1" w:lastColumn="0" w:noHBand="0" w:noVBand="0"/>
            </w:tblPr>
            <w:tblGrid>
              <w:gridCol w:w="6345"/>
              <w:gridCol w:w="6237"/>
            </w:tblGrid>
            <w:tr w:rsidR="00891D6E" w:rsidRPr="00C11F64" w:rsidTr="00501FA2">
              <w:tc>
                <w:tcPr>
                  <w:tcW w:w="6345" w:type="dxa"/>
                </w:tcPr>
                <w:p w:rsidR="00891D6E" w:rsidRDefault="00891D6E" w:rsidP="00501FA2">
                  <w:pPr>
                    <w:pStyle w:val="naisf"/>
                    <w:spacing w:before="0" w:after="0"/>
                    <w:ind w:firstLine="0"/>
                  </w:pPr>
                </w:p>
                <w:p w:rsidR="00891D6E" w:rsidRPr="00C11F64" w:rsidRDefault="00891D6E" w:rsidP="00501FA2">
                  <w:pPr>
                    <w:pStyle w:val="naisf"/>
                    <w:spacing w:before="0" w:after="0"/>
                    <w:ind w:firstLine="0"/>
                  </w:pPr>
                  <w:r w:rsidRPr="00C11F64">
                    <w:t>Datums</w:t>
                  </w:r>
                  <w:r>
                    <w:t xml:space="preserve">               </w:t>
                  </w:r>
                </w:p>
              </w:tc>
              <w:tc>
                <w:tcPr>
                  <w:tcW w:w="6237" w:type="dxa"/>
                  <w:tcBorders>
                    <w:bottom w:val="single" w:sz="4" w:space="0" w:color="auto"/>
                  </w:tcBorders>
                </w:tcPr>
                <w:p w:rsidR="00891D6E" w:rsidRPr="00C11F64" w:rsidRDefault="00891D6E" w:rsidP="00501FA2">
                  <w:pPr>
                    <w:pStyle w:val="NormalWeb"/>
                    <w:spacing w:before="0" w:beforeAutospacing="0" w:after="0" w:afterAutospacing="0"/>
                    <w:ind w:firstLine="720"/>
                  </w:pPr>
                  <w:r w:rsidRPr="00C11F64">
                    <w:t>19.09.2019.</w:t>
                  </w:r>
                </w:p>
              </w:tc>
            </w:tr>
            <w:tr w:rsidR="00891D6E" w:rsidRPr="00C11F64" w:rsidTr="00501FA2">
              <w:tc>
                <w:tcPr>
                  <w:tcW w:w="6345" w:type="dxa"/>
                </w:tcPr>
                <w:p w:rsidR="00891D6E" w:rsidRPr="00C11F64" w:rsidRDefault="00891D6E" w:rsidP="00501FA2">
                  <w:pPr>
                    <w:pStyle w:val="naisf"/>
                    <w:spacing w:before="0" w:after="0"/>
                    <w:ind w:firstLine="0"/>
                  </w:pPr>
                </w:p>
              </w:tc>
              <w:tc>
                <w:tcPr>
                  <w:tcW w:w="6237" w:type="dxa"/>
                  <w:tcBorders>
                    <w:top w:val="single" w:sz="4" w:space="0" w:color="auto"/>
                  </w:tcBorders>
                </w:tcPr>
                <w:p w:rsidR="00891D6E" w:rsidRPr="00C11F64" w:rsidRDefault="00891D6E" w:rsidP="00501FA2">
                  <w:pPr>
                    <w:pStyle w:val="NormalWeb"/>
                    <w:spacing w:before="0" w:beforeAutospacing="0" w:after="0" w:afterAutospacing="0"/>
                    <w:ind w:firstLine="720"/>
                  </w:pPr>
                </w:p>
              </w:tc>
            </w:tr>
          </w:tbl>
          <w:p w:rsidR="00891D6E" w:rsidRPr="00712B66" w:rsidRDefault="00891D6E" w:rsidP="00501FA2">
            <w:pPr>
              <w:pStyle w:val="naiskr"/>
              <w:spacing w:before="0" w:after="0"/>
            </w:pPr>
            <w:r>
              <w:t>Saskaņošanas d</w:t>
            </w:r>
            <w:r w:rsidRPr="00712B66">
              <w:t>alībnieki</w:t>
            </w:r>
          </w:p>
        </w:tc>
        <w:tc>
          <w:tcPr>
            <w:tcW w:w="6237" w:type="dxa"/>
            <w:gridSpan w:val="7"/>
          </w:tcPr>
          <w:p w:rsidR="00891D6E" w:rsidRDefault="00891D6E" w:rsidP="00501FA2">
            <w:pPr>
              <w:pStyle w:val="NormalWeb"/>
              <w:spacing w:before="0" w:beforeAutospacing="0" w:after="0" w:afterAutospacing="0"/>
              <w:ind w:firstLine="720"/>
            </w:pPr>
          </w:p>
          <w:p w:rsidR="00891D6E" w:rsidRDefault="00891D6E" w:rsidP="00501FA2">
            <w:pPr>
              <w:pStyle w:val="NormalWeb"/>
              <w:spacing w:before="0" w:beforeAutospacing="0" w:after="0" w:afterAutospacing="0"/>
              <w:ind w:firstLine="720"/>
            </w:pPr>
          </w:p>
          <w:p w:rsidR="00891D6E" w:rsidRDefault="00891D6E" w:rsidP="00501FA2">
            <w:pPr>
              <w:pStyle w:val="NormalWeb"/>
              <w:spacing w:before="0" w:beforeAutospacing="0" w:after="0" w:afterAutospacing="0"/>
              <w:ind w:firstLine="720"/>
            </w:pPr>
          </w:p>
          <w:p w:rsidR="00891D6E" w:rsidRDefault="00891D6E" w:rsidP="00501FA2">
            <w:pPr>
              <w:pStyle w:val="NormalWeb"/>
              <w:spacing w:before="0" w:beforeAutospacing="0" w:after="0" w:afterAutospacing="0"/>
              <w:ind w:firstLine="720"/>
              <w:jc w:val="right"/>
            </w:pPr>
          </w:p>
          <w:p w:rsidR="00891D6E" w:rsidRDefault="00891D6E" w:rsidP="00501FA2">
            <w:pPr>
              <w:pStyle w:val="NormalWeb"/>
              <w:spacing w:before="0" w:beforeAutospacing="0" w:after="0" w:afterAutospacing="0"/>
              <w:ind w:firstLine="720"/>
            </w:pPr>
          </w:p>
          <w:p w:rsidR="00891D6E" w:rsidRDefault="00891D6E" w:rsidP="00501FA2">
            <w:pPr>
              <w:pStyle w:val="NormalWeb"/>
              <w:spacing w:before="0" w:beforeAutospacing="0" w:after="0" w:afterAutospacing="0"/>
            </w:pPr>
            <w:r>
              <w:t xml:space="preserve">Tieslietu ministrija, </w:t>
            </w:r>
          </w:p>
          <w:p w:rsidR="00891D6E" w:rsidRDefault="00891D6E" w:rsidP="00501FA2">
            <w:pPr>
              <w:pStyle w:val="NormalWeb"/>
              <w:spacing w:before="0" w:beforeAutospacing="0" w:after="0" w:afterAutospacing="0"/>
            </w:pPr>
            <w:r>
              <w:t xml:space="preserve">Finanšu ministrija, </w:t>
            </w:r>
          </w:p>
          <w:p w:rsidR="00891D6E" w:rsidRPr="00712B66" w:rsidRDefault="00891D6E" w:rsidP="00501FA2">
            <w:pPr>
              <w:pStyle w:val="NormalWeb"/>
              <w:spacing w:before="0" w:beforeAutospacing="0" w:after="0" w:afterAutospacing="0"/>
            </w:pPr>
            <w:r>
              <w:t>Satiksmes ministrija, SIA “Latvijas Mobilais Telefons”, SIA “Tele2”, SIA “Bite Latvija”</w:t>
            </w:r>
          </w:p>
        </w:tc>
      </w:tr>
      <w:tr w:rsidR="00891D6E" w:rsidRPr="00712B66" w:rsidTr="00501FA2">
        <w:tblPrEx>
          <w:tblBorders>
            <w:top w:val="none" w:sz="0" w:space="0" w:color="auto"/>
            <w:left w:val="none" w:sz="0" w:space="0" w:color="auto"/>
            <w:bottom w:val="none" w:sz="0" w:space="0" w:color="auto"/>
            <w:right w:val="none" w:sz="0" w:space="0" w:color="auto"/>
          </w:tblBorders>
        </w:tblPrEx>
        <w:trPr>
          <w:gridAfter w:val="2"/>
          <w:wAfter w:w="1694" w:type="dxa"/>
        </w:trPr>
        <w:tc>
          <w:tcPr>
            <w:tcW w:w="6345" w:type="dxa"/>
            <w:gridSpan w:val="4"/>
          </w:tcPr>
          <w:p w:rsidR="00891D6E" w:rsidRPr="00712B66" w:rsidRDefault="00891D6E" w:rsidP="00501FA2">
            <w:pPr>
              <w:pStyle w:val="naiskr"/>
              <w:spacing w:before="0" w:after="0"/>
              <w:ind w:firstLine="720"/>
            </w:pPr>
            <w:r w:rsidRPr="00712B66">
              <w:t>  </w:t>
            </w:r>
          </w:p>
        </w:tc>
        <w:tc>
          <w:tcPr>
            <w:tcW w:w="6237" w:type="dxa"/>
            <w:gridSpan w:val="7"/>
            <w:tcBorders>
              <w:top w:val="single" w:sz="6" w:space="0" w:color="000000"/>
              <w:bottom w:val="single" w:sz="6" w:space="0" w:color="000000"/>
            </w:tcBorders>
          </w:tcPr>
          <w:p w:rsidR="00891D6E" w:rsidRPr="00712B66" w:rsidRDefault="00891D6E" w:rsidP="00501FA2">
            <w:pPr>
              <w:pStyle w:val="naiskr"/>
              <w:spacing w:before="0" w:after="0"/>
              <w:ind w:firstLine="720"/>
            </w:pPr>
          </w:p>
        </w:tc>
      </w:tr>
      <w:tr w:rsidR="00891D6E" w:rsidRPr="00712B66" w:rsidTr="00501FA2">
        <w:tblPrEx>
          <w:tblBorders>
            <w:top w:val="none" w:sz="0" w:space="0" w:color="auto"/>
            <w:left w:val="none" w:sz="0" w:space="0" w:color="auto"/>
            <w:bottom w:val="none" w:sz="0" w:space="0" w:color="auto"/>
            <w:right w:val="none" w:sz="0" w:space="0" w:color="auto"/>
          </w:tblBorders>
        </w:tblPrEx>
        <w:trPr>
          <w:gridAfter w:val="2"/>
          <w:wAfter w:w="1694" w:type="dxa"/>
          <w:trHeight w:val="285"/>
        </w:trPr>
        <w:tc>
          <w:tcPr>
            <w:tcW w:w="6345" w:type="dxa"/>
            <w:gridSpan w:val="4"/>
          </w:tcPr>
          <w:p w:rsidR="00891D6E" w:rsidRPr="00712B66" w:rsidRDefault="00891D6E" w:rsidP="00501FA2">
            <w:pPr>
              <w:pStyle w:val="naiskr"/>
              <w:spacing w:before="0" w:after="0"/>
            </w:pPr>
          </w:p>
        </w:tc>
        <w:tc>
          <w:tcPr>
            <w:tcW w:w="1203" w:type="dxa"/>
            <w:gridSpan w:val="3"/>
          </w:tcPr>
          <w:p w:rsidR="00891D6E" w:rsidRPr="00712B66" w:rsidRDefault="00891D6E" w:rsidP="00501FA2">
            <w:pPr>
              <w:pStyle w:val="naiskr"/>
              <w:spacing w:before="0" w:after="0"/>
              <w:ind w:firstLine="720"/>
            </w:pPr>
          </w:p>
        </w:tc>
        <w:tc>
          <w:tcPr>
            <w:tcW w:w="5034" w:type="dxa"/>
            <w:gridSpan w:val="4"/>
          </w:tcPr>
          <w:p w:rsidR="00891D6E" w:rsidRPr="00712B66" w:rsidRDefault="00891D6E" w:rsidP="00501FA2">
            <w:pPr>
              <w:pStyle w:val="naiskr"/>
              <w:spacing w:before="0" w:after="0"/>
              <w:ind w:firstLine="12"/>
            </w:pPr>
          </w:p>
        </w:tc>
      </w:tr>
      <w:tr w:rsidR="00891D6E" w:rsidRPr="00712B66" w:rsidTr="00501FA2">
        <w:tblPrEx>
          <w:tblBorders>
            <w:top w:val="none" w:sz="0" w:space="0" w:color="auto"/>
            <w:left w:val="none" w:sz="0" w:space="0" w:color="auto"/>
            <w:bottom w:val="none" w:sz="0" w:space="0" w:color="auto"/>
            <w:right w:val="none" w:sz="0" w:space="0" w:color="auto"/>
          </w:tblBorders>
        </w:tblPrEx>
        <w:trPr>
          <w:gridAfter w:val="1"/>
          <w:wAfter w:w="738" w:type="dxa"/>
          <w:trHeight w:val="285"/>
        </w:trPr>
        <w:tc>
          <w:tcPr>
            <w:tcW w:w="6555" w:type="dxa"/>
            <w:gridSpan w:val="5"/>
          </w:tcPr>
          <w:p w:rsidR="00891D6E" w:rsidRPr="00712B66" w:rsidRDefault="00891D6E" w:rsidP="00501FA2">
            <w:pPr>
              <w:pStyle w:val="naiskr"/>
              <w:spacing w:before="0" w:after="0"/>
            </w:pPr>
            <w:r>
              <w:br w:type="page"/>
              <w:t>Saskaņošanas d</w:t>
            </w:r>
            <w:r w:rsidRPr="00712B66">
              <w:t xml:space="preserve">alībnieki izskatīja šādu ministriju </w:t>
            </w:r>
            <w:r>
              <w:t>(c</w:t>
            </w:r>
            <w:r w:rsidRPr="00712B66">
              <w:t>itu institūciju</w:t>
            </w:r>
            <w:r>
              <w:t>)</w:t>
            </w:r>
            <w:r w:rsidRPr="00712B66">
              <w:t xml:space="preserve"> iebildumus</w:t>
            </w:r>
          </w:p>
        </w:tc>
        <w:tc>
          <w:tcPr>
            <w:tcW w:w="2092" w:type="dxa"/>
            <w:gridSpan w:val="3"/>
          </w:tcPr>
          <w:p w:rsidR="00891D6E" w:rsidRPr="00712B66" w:rsidRDefault="00891D6E" w:rsidP="00501FA2">
            <w:pPr>
              <w:pStyle w:val="naiskr"/>
              <w:spacing w:before="0" w:after="0"/>
            </w:pPr>
          </w:p>
        </w:tc>
        <w:tc>
          <w:tcPr>
            <w:tcW w:w="4891" w:type="dxa"/>
            <w:gridSpan w:val="4"/>
          </w:tcPr>
          <w:p w:rsidR="00891D6E" w:rsidRPr="00712B66" w:rsidRDefault="00891D6E" w:rsidP="00501FA2">
            <w:pPr>
              <w:pStyle w:val="naiskr"/>
              <w:spacing w:before="0" w:after="0"/>
              <w:ind w:firstLine="12"/>
            </w:pPr>
          </w:p>
        </w:tc>
      </w:tr>
      <w:tr w:rsidR="00891D6E" w:rsidRPr="00712B66" w:rsidTr="00501FA2">
        <w:tblPrEx>
          <w:tblBorders>
            <w:top w:val="none" w:sz="0" w:space="0" w:color="auto"/>
            <w:left w:val="none" w:sz="0" w:space="0" w:color="auto"/>
            <w:bottom w:val="none" w:sz="0" w:space="0" w:color="auto"/>
            <w:right w:val="none" w:sz="0" w:space="0" w:color="auto"/>
          </w:tblBorders>
        </w:tblPrEx>
        <w:trPr>
          <w:gridAfter w:val="1"/>
          <w:wAfter w:w="738" w:type="dxa"/>
          <w:trHeight w:val="465"/>
        </w:trPr>
        <w:tc>
          <w:tcPr>
            <w:tcW w:w="13538" w:type="dxa"/>
            <w:gridSpan w:val="12"/>
          </w:tcPr>
          <w:p w:rsidR="00891D6E" w:rsidRPr="00712B66" w:rsidRDefault="00891D6E" w:rsidP="00501FA2">
            <w:pPr>
              <w:pStyle w:val="naisc"/>
              <w:spacing w:before="0" w:after="0"/>
              <w:ind w:left="4820" w:firstLine="720"/>
            </w:pPr>
          </w:p>
        </w:tc>
      </w:tr>
      <w:tr w:rsidR="00891D6E" w:rsidRPr="00712B66" w:rsidTr="00501FA2">
        <w:tblPrEx>
          <w:tblBorders>
            <w:top w:val="none" w:sz="0" w:space="0" w:color="auto"/>
            <w:left w:val="none" w:sz="0" w:space="0" w:color="auto"/>
            <w:bottom w:val="none" w:sz="0" w:space="0" w:color="auto"/>
            <w:right w:val="none" w:sz="0" w:space="0" w:color="auto"/>
          </w:tblBorders>
        </w:tblPrEx>
        <w:trPr>
          <w:gridAfter w:val="1"/>
          <w:wAfter w:w="738" w:type="dxa"/>
        </w:trPr>
        <w:tc>
          <w:tcPr>
            <w:tcW w:w="6555" w:type="dxa"/>
            <w:gridSpan w:val="5"/>
          </w:tcPr>
          <w:p w:rsidR="00891D6E" w:rsidRPr="00712B66" w:rsidRDefault="00891D6E" w:rsidP="00501FA2">
            <w:pPr>
              <w:pStyle w:val="naiskr"/>
              <w:spacing w:before="0" w:after="0"/>
            </w:pPr>
            <w:r w:rsidRPr="00712B66">
              <w:t>Ministrijas (citas institūcijas), kuras nav ieradušās uz sanāksmi vai kuras nav atbildējušas uz uzaicinājumu piedalīties elektroniskajā saskaņošanā</w:t>
            </w:r>
          </w:p>
        </w:tc>
        <w:tc>
          <w:tcPr>
            <w:tcW w:w="6983" w:type="dxa"/>
            <w:gridSpan w:val="7"/>
          </w:tcPr>
          <w:p w:rsidR="00891D6E" w:rsidRPr="00712B66" w:rsidRDefault="00891D6E" w:rsidP="00501FA2">
            <w:pPr>
              <w:pStyle w:val="naiskr"/>
              <w:spacing w:before="0" w:after="0"/>
              <w:ind w:firstLine="720"/>
            </w:pPr>
          </w:p>
        </w:tc>
      </w:tr>
    </w:tbl>
    <w:p w:rsidR="00891D6E" w:rsidRPr="00712B66" w:rsidRDefault="00891D6E" w:rsidP="00891D6E">
      <w:pPr>
        <w:pStyle w:val="naisf"/>
        <w:spacing w:before="0" w:after="0"/>
        <w:ind w:firstLine="720"/>
      </w:pPr>
    </w:p>
    <w:p w:rsidR="00891D6E" w:rsidRPr="00712B66" w:rsidRDefault="00891D6E" w:rsidP="00891D6E">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00891D6E" w:rsidRPr="00712B66" w:rsidRDefault="00891D6E" w:rsidP="00891D6E">
      <w:pPr>
        <w:pStyle w:val="naisf"/>
        <w:spacing w:before="0" w:after="0"/>
        <w:ind w:firstLine="720"/>
      </w:pPr>
    </w:p>
    <w:tbl>
      <w:tblPr>
        <w:tblW w:w="14992" w:type="dxa"/>
        <w:tblInd w:w="-4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479"/>
        <w:gridCol w:w="3226"/>
      </w:tblGrid>
      <w:tr w:rsidR="00891D6E" w:rsidRPr="00712B66" w:rsidTr="00501FA2">
        <w:tc>
          <w:tcPr>
            <w:tcW w:w="708" w:type="dxa"/>
            <w:tcBorders>
              <w:top w:val="single" w:sz="6" w:space="0" w:color="000000"/>
              <w:left w:val="single" w:sz="6" w:space="0" w:color="000000"/>
              <w:bottom w:val="single" w:sz="6" w:space="0" w:color="000000"/>
              <w:right w:val="single" w:sz="6" w:space="0" w:color="000000"/>
            </w:tcBorders>
            <w:vAlign w:val="center"/>
          </w:tcPr>
          <w:p w:rsidR="00891D6E" w:rsidRPr="00712B66" w:rsidRDefault="00891D6E" w:rsidP="00501FA2">
            <w:pPr>
              <w:pStyle w:val="naisc"/>
              <w:spacing w:before="0" w:after="0"/>
            </w:pPr>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891D6E" w:rsidRPr="00712B66" w:rsidRDefault="00891D6E" w:rsidP="00501FA2">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891D6E" w:rsidRPr="00712B66" w:rsidRDefault="00891D6E" w:rsidP="00501FA2">
            <w:pPr>
              <w:pStyle w:val="naisc"/>
              <w:spacing w:before="0" w:after="0"/>
              <w:ind w:right="3"/>
            </w:pPr>
            <w:r w:rsidRPr="00712B66">
              <w:t>Atzinumā norādītais ministrijas (citas institūcijas) iebildums, kā arī saskaņošanā papildus izteiktais iebildums par projekta konkrēto punktu (pantu)</w:t>
            </w:r>
          </w:p>
        </w:tc>
        <w:tc>
          <w:tcPr>
            <w:tcW w:w="3578" w:type="dxa"/>
            <w:gridSpan w:val="2"/>
            <w:tcBorders>
              <w:top w:val="single" w:sz="6" w:space="0" w:color="000000"/>
              <w:left w:val="single" w:sz="6" w:space="0" w:color="000000"/>
              <w:bottom w:val="single" w:sz="6" w:space="0" w:color="000000"/>
              <w:right w:val="single" w:sz="6" w:space="0" w:color="000000"/>
            </w:tcBorders>
            <w:vAlign w:val="center"/>
          </w:tcPr>
          <w:p w:rsidR="00891D6E" w:rsidRPr="00712B66" w:rsidRDefault="00891D6E" w:rsidP="00501FA2">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226" w:type="dxa"/>
            <w:tcBorders>
              <w:top w:val="single" w:sz="4" w:space="0" w:color="auto"/>
              <w:left w:val="single" w:sz="4" w:space="0" w:color="auto"/>
              <w:bottom w:val="single" w:sz="4" w:space="0" w:color="auto"/>
            </w:tcBorders>
            <w:vAlign w:val="center"/>
          </w:tcPr>
          <w:p w:rsidR="00891D6E" w:rsidRPr="00712B66" w:rsidRDefault="00891D6E" w:rsidP="00501FA2">
            <w:pPr>
              <w:jc w:val="center"/>
            </w:pPr>
            <w:r w:rsidRPr="00712B66">
              <w:t>Projekta attiecīgā punkta (panta) galīgā redakcija</w:t>
            </w:r>
          </w:p>
        </w:tc>
      </w:tr>
      <w:tr w:rsidR="00891D6E" w:rsidRPr="003B71E0" w:rsidTr="00501FA2">
        <w:tc>
          <w:tcPr>
            <w:tcW w:w="708" w:type="dxa"/>
            <w:tcBorders>
              <w:top w:val="single" w:sz="6" w:space="0" w:color="000000"/>
              <w:left w:val="single" w:sz="6" w:space="0" w:color="000000"/>
              <w:bottom w:val="single" w:sz="6" w:space="0" w:color="000000"/>
              <w:right w:val="single" w:sz="6" w:space="0" w:color="000000"/>
            </w:tcBorders>
          </w:tcPr>
          <w:p w:rsidR="00891D6E" w:rsidRPr="003B71E0" w:rsidRDefault="00891D6E" w:rsidP="00501FA2">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891D6E" w:rsidRPr="003B71E0" w:rsidRDefault="00891D6E" w:rsidP="00501FA2">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891D6E" w:rsidRPr="003B71E0" w:rsidRDefault="00891D6E" w:rsidP="00501FA2">
            <w:pPr>
              <w:pStyle w:val="naisc"/>
              <w:spacing w:before="0" w:after="0"/>
              <w:ind w:firstLine="720"/>
              <w:rPr>
                <w:sz w:val="20"/>
                <w:szCs w:val="20"/>
              </w:rPr>
            </w:pPr>
            <w:r w:rsidRPr="003B71E0">
              <w:rPr>
                <w:sz w:val="20"/>
                <w:szCs w:val="20"/>
              </w:rPr>
              <w:t>3</w:t>
            </w:r>
          </w:p>
        </w:tc>
        <w:tc>
          <w:tcPr>
            <w:tcW w:w="3578" w:type="dxa"/>
            <w:gridSpan w:val="2"/>
            <w:tcBorders>
              <w:top w:val="single" w:sz="6" w:space="0" w:color="000000"/>
              <w:left w:val="single" w:sz="6" w:space="0" w:color="000000"/>
              <w:bottom w:val="single" w:sz="6" w:space="0" w:color="000000"/>
              <w:right w:val="single" w:sz="6" w:space="0" w:color="000000"/>
            </w:tcBorders>
          </w:tcPr>
          <w:p w:rsidR="00891D6E" w:rsidRPr="003B71E0" w:rsidRDefault="00891D6E" w:rsidP="00501FA2">
            <w:pPr>
              <w:pStyle w:val="naisc"/>
              <w:spacing w:before="0" w:after="0"/>
              <w:ind w:firstLine="720"/>
              <w:rPr>
                <w:sz w:val="20"/>
                <w:szCs w:val="20"/>
              </w:rPr>
            </w:pPr>
            <w:r w:rsidRPr="003B71E0">
              <w:rPr>
                <w:sz w:val="20"/>
                <w:szCs w:val="20"/>
              </w:rPr>
              <w:t>4</w:t>
            </w:r>
          </w:p>
        </w:tc>
        <w:tc>
          <w:tcPr>
            <w:tcW w:w="3226" w:type="dxa"/>
            <w:tcBorders>
              <w:top w:val="single" w:sz="4" w:space="0" w:color="auto"/>
              <w:left w:val="single" w:sz="4" w:space="0" w:color="auto"/>
              <w:bottom w:val="single" w:sz="4" w:space="0" w:color="auto"/>
            </w:tcBorders>
          </w:tcPr>
          <w:p w:rsidR="00891D6E" w:rsidRPr="003B71E0" w:rsidRDefault="00891D6E" w:rsidP="00501FA2">
            <w:pPr>
              <w:jc w:val="center"/>
              <w:rPr>
                <w:sz w:val="20"/>
                <w:szCs w:val="20"/>
              </w:rPr>
            </w:pPr>
            <w:r w:rsidRPr="003B71E0">
              <w:rPr>
                <w:sz w:val="20"/>
                <w:szCs w:val="20"/>
              </w:rPr>
              <w:t>5</w:t>
            </w:r>
          </w:p>
        </w:tc>
      </w:tr>
      <w:tr w:rsidR="00891D6E" w:rsidRPr="003B71E0" w:rsidTr="00501FA2">
        <w:tc>
          <w:tcPr>
            <w:tcW w:w="708" w:type="dxa"/>
            <w:tcBorders>
              <w:top w:val="single" w:sz="6" w:space="0" w:color="000000"/>
              <w:left w:val="single" w:sz="6" w:space="0" w:color="000000"/>
              <w:bottom w:val="single" w:sz="6" w:space="0" w:color="000000"/>
              <w:right w:val="single" w:sz="6" w:space="0" w:color="000000"/>
            </w:tcBorders>
          </w:tcPr>
          <w:p w:rsidR="00891D6E" w:rsidRPr="00FC7F43" w:rsidRDefault="00891D6E" w:rsidP="00501FA2">
            <w:pPr>
              <w:pStyle w:val="naisc"/>
              <w:spacing w:before="0" w:after="0"/>
            </w:pPr>
            <w:r w:rsidRPr="00FC7F43">
              <w:t>1.</w:t>
            </w:r>
          </w:p>
        </w:tc>
        <w:tc>
          <w:tcPr>
            <w:tcW w:w="3086" w:type="dxa"/>
            <w:gridSpan w:val="2"/>
            <w:tcBorders>
              <w:top w:val="single" w:sz="6" w:space="0" w:color="000000"/>
              <w:left w:val="single" w:sz="6" w:space="0" w:color="000000"/>
              <w:bottom w:val="single" w:sz="6" w:space="0" w:color="000000"/>
              <w:right w:val="single" w:sz="6" w:space="0" w:color="000000"/>
            </w:tcBorders>
          </w:tcPr>
          <w:p w:rsidR="00891D6E" w:rsidRPr="00891D6E" w:rsidRDefault="00891D6E" w:rsidP="00891D6E">
            <w:pPr>
              <w:spacing w:before="100" w:beforeAutospacing="1" w:after="100" w:afterAutospacing="1"/>
              <w:jc w:val="both"/>
            </w:pPr>
            <w:r w:rsidRPr="00891D6E">
              <w:t>1. Papildināt likuma 19.pantu pirmo daļu ar 26</w:t>
            </w:r>
            <w:r w:rsidRPr="00891D6E">
              <w:rPr>
                <w:vertAlign w:val="superscript"/>
              </w:rPr>
              <w:t>1</w:t>
            </w:r>
            <w:r w:rsidRPr="00891D6E">
              <w:t>.punktu šādā redakcijā:</w:t>
            </w:r>
          </w:p>
          <w:p w:rsidR="00891D6E" w:rsidRPr="00891D6E" w:rsidRDefault="00891D6E" w:rsidP="00891D6E">
            <w:pPr>
              <w:contextualSpacing/>
              <w:jc w:val="both"/>
              <w:rPr>
                <w:shd w:val="clear" w:color="auto" w:fill="FFFFFF"/>
              </w:rPr>
            </w:pPr>
            <w:r w:rsidRPr="00891D6E">
              <w:t>“26</w:t>
            </w:r>
            <w:r w:rsidRPr="00891D6E">
              <w:rPr>
                <w:vertAlign w:val="superscript"/>
              </w:rPr>
              <w:t>1</w:t>
            </w:r>
            <w:r w:rsidRPr="00891D6E">
              <w:t xml:space="preserve">) </w:t>
            </w:r>
            <w:r w:rsidRPr="00891D6E">
              <w:rPr>
                <w:shd w:val="clear" w:color="auto" w:fill="FFFFFF"/>
              </w:rPr>
              <w:t>ja elektronisko sakaru komersants nodrošina publisko mobilo elektronisko sakaru tīklu, tas, saņēmis Valsts ugunsdzēsības un glābšanas dienesta paziņojumu par katastrofu vai katastrofas draudiem, kas saistīti ar personas dzīvības vai veselības apdraudējumu, pēc iespējas ātrāk nosūta īsziņā saviem sakaru lietotājiem un abonentiem Valsts ugunsdzēsības un glābšanas dienesta sagatavoto informāciju par nepieciešamo rīcību draudu situācijā;”</w:t>
            </w:r>
          </w:p>
          <w:p w:rsidR="00891D6E" w:rsidRPr="00891D6E" w:rsidRDefault="00891D6E" w:rsidP="00501FA2">
            <w:pPr>
              <w:tabs>
                <w:tab w:val="left" w:pos="567"/>
              </w:tabs>
              <w:ind w:left="27"/>
              <w:jc w:val="both"/>
              <w:rPr>
                <w:rFonts w:eastAsiaTheme="minorHAnsi"/>
                <w:b/>
                <w:lang w:eastAsia="en-US"/>
              </w:rPr>
            </w:pPr>
          </w:p>
        </w:tc>
        <w:tc>
          <w:tcPr>
            <w:tcW w:w="4394" w:type="dxa"/>
            <w:tcBorders>
              <w:top w:val="single" w:sz="6" w:space="0" w:color="000000"/>
              <w:left w:val="single" w:sz="6" w:space="0" w:color="000000"/>
              <w:bottom w:val="single" w:sz="6" w:space="0" w:color="000000"/>
              <w:right w:val="single" w:sz="6" w:space="0" w:color="000000"/>
            </w:tcBorders>
          </w:tcPr>
          <w:p w:rsidR="00891D6E" w:rsidRDefault="00891D6E" w:rsidP="00891D6E">
            <w:pPr>
              <w:spacing w:line="240" w:lineRule="atLeast"/>
              <w:jc w:val="center"/>
              <w:rPr>
                <w:rFonts w:eastAsia="Calibri"/>
                <w:b/>
              </w:rPr>
            </w:pPr>
            <w:r>
              <w:rPr>
                <w:rFonts w:eastAsia="Calibri"/>
                <w:b/>
              </w:rPr>
              <w:t>Tieslietu ministrija</w:t>
            </w:r>
          </w:p>
          <w:p w:rsidR="00891D6E" w:rsidRDefault="00891D6E" w:rsidP="00891D6E">
            <w:pPr>
              <w:spacing w:line="240" w:lineRule="atLeast"/>
              <w:jc w:val="both"/>
              <w:rPr>
                <w:rFonts w:eastAsia="Calibri"/>
                <w:b/>
              </w:rPr>
            </w:pPr>
          </w:p>
          <w:p w:rsidR="00891D6E" w:rsidRPr="00891D6E" w:rsidRDefault="00891D6E" w:rsidP="00891D6E">
            <w:pPr>
              <w:spacing w:line="240" w:lineRule="atLeast"/>
              <w:jc w:val="both"/>
              <w:rPr>
                <w:rFonts w:eastAsia="Calibri"/>
                <w:b/>
              </w:rPr>
            </w:pPr>
            <w:r w:rsidRPr="00013D3F">
              <w:rPr>
                <w:sz w:val="26"/>
                <w:szCs w:val="26"/>
              </w:rPr>
              <w:t>Projekta anotācijā tiek norādīts, ka regulējums Elektronisko sakaru likumā (turpmāk – ESL) nepieciešams Civilās aizsardzības un katastrofas pārvaldīšanas likumā (turpmāk – Katastrofu pārvaldīšanas likums) noteiktā regulējuma ieviešanai. Tieslietu ministrija piekrīt anotācijā paustajam, bet vienlaikus vēlas norādīt, ka Katastrofu pārvaldīšanas likuma 6. panta pirmajā daļā ir noteiktas katastrofu pārvaldīšanā iesaistītās ministrijas un pašvaldības. Vienlaikus vēlamies norādīt, ka Vides aizsardzības un reģionālās attīstības ministrija ir vadošā iestāde informācijas sabiedrības, elektroniskās pārvaldes un valsts informācijas un komunikācijas tehnoloģiju pārvaldības jomā. Savukārt likuma “Par ārkārtējo situāciju un izņēmuma stāvokli” 4.</w:t>
            </w:r>
            <w:r>
              <w:rPr>
                <w:sz w:val="26"/>
                <w:szCs w:val="26"/>
              </w:rPr>
              <w:t> </w:t>
            </w:r>
            <w:r w:rsidRPr="00013D3F">
              <w:rPr>
                <w:sz w:val="26"/>
                <w:szCs w:val="26"/>
              </w:rPr>
              <w:t xml:space="preserve">panta otrā daļa paredz, ka ārkārtējo situāciju var izsludināt tāda valsts apdraudējuma gadījumā, kas saistīts ar katastrofu, tās </w:t>
            </w:r>
            <w:r w:rsidRPr="00013D3F">
              <w:rPr>
                <w:sz w:val="26"/>
                <w:szCs w:val="26"/>
              </w:rPr>
              <w:lastRenderedPageBreak/>
              <w:t xml:space="preserve">draudiem vai kritiskās infrastruktūras apdraudējumu, ja būtiski apdraudēta valsts, sabiedrības, vides, saimnieciskās darbības drošība vai cilvēku veselība un dzīvība. Tādējādi katastrofas vai to draudi ir tieši saistīti ar iespēju izsludināt ārkārtējo situāciju. </w:t>
            </w:r>
          </w:p>
          <w:p w:rsidR="00891D6E" w:rsidRPr="00013D3F" w:rsidRDefault="00891D6E" w:rsidP="00891D6E">
            <w:pPr>
              <w:ind w:firstLine="720"/>
              <w:jc w:val="both"/>
              <w:rPr>
                <w:sz w:val="26"/>
                <w:szCs w:val="26"/>
              </w:rPr>
            </w:pPr>
            <w:r w:rsidRPr="00013D3F">
              <w:rPr>
                <w:sz w:val="26"/>
                <w:szCs w:val="26"/>
              </w:rPr>
              <w:t>ESL ar 1. panta 5.</w:t>
            </w:r>
            <w:r w:rsidRPr="00013D3F">
              <w:rPr>
                <w:sz w:val="26"/>
                <w:szCs w:val="26"/>
                <w:vertAlign w:val="superscript"/>
              </w:rPr>
              <w:t>2</w:t>
            </w:r>
            <w:r w:rsidRPr="00013D3F">
              <w:rPr>
                <w:sz w:val="26"/>
                <w:szCs w:val="26"/>
              </w:rPr>
              <w:t> punktu un 25.</w:t>
            </w:r>
            <w:r w:rsidRPr="00013D3F">
              <w:rPr>
                <w:sz w:val="26"/>
                <w:szCs w:val="26"/>
                <w:vertAlign w:val="superscript"/>
              </w:rPr>
              <w:t>1</w:t>
            </w:r>
            <w:r w:rsidRPr="00013D3F">
              <w:rPr>
                <w:sz w:val="26"/>
                <w:szCs w:val="26"/>
              </w:rPr>
              <w:t xml:space="preserve"> pantu paredz īpašu </w:t>
            </w:r>
            <w:bookmarkStart w:id="1" w:name="_Hlk40110755"/>
            <w:r w:rsidRPr="00013D3F">
              <w:rPr>
                <w:sz w:val="26"/>
                <w:szCs w:val="26"/>
              </w:rPr>
              <w:t>ārkārtas situāciju valsts elektronisko sakaru tīklu</w:t>
            </w:r>
            <w:bookmarkEnd w:id="1"/>
            <w:r w:rsidRPr="00013D3F">
              <w:rPr>
                <w:sz w:val="26"/>
                <w:szCs w:val="26"/>
              </w:rPr>
              <w:t>, kas ir elektronisko sakaru tīkls, kas tiek izveidots un izmantots informācijas aprites nodrošināšanai ārkārtas situācijās, kā arī aizsargātās informācijas pārraidīšanai. Projekta anotācijā par minēto regulējumu skaidrojums vai informācija netiek sniegti, bet var pieļaut, ka jebkurā katastrofas vai tās draudu gadījumā var tikt izmantots ārkārtas situāciju valsts elektronisko sakaru tīkls, iesaistot tajā ziņu nodošanai arī mob</w:t>
            </w:r>
            <w:r>
              <w:rPr>
                <w:sz w:val="26"/>
                <w:szCs w:val="26"/>
              </w:rPr>
              <w:t>i</w:t>
            </w:r>
            <w:r w:rsidRPr="00013D3F">
              <w:rPr>
                <w:sz w:val="26"/>
                <w:szCs w:val="26"/>
              </w:rPr>
              <w:t xml:space="preserve">lo sakaru operatorus. </w:t>
            </w:r>
          </w:p>
          <w:p w:rsidR="00891D6E" w:rsidRPr="00013D3F" w:rsidRDefault="00891D6E" w:rsidP="00891D6E">
            <w:pPr>
              <w:ind w:firstLine="720"/>
              <w:jc w:val="both"/>
              <w:rPr>
                <w:sz w:val="26"/>
                <w:szCs w:val="26"/>
              </w:rPr>
            </w:pPr>
            <w:r w:rsidRPr="00013D3F">
              <w:rPr>
                <w:sz w:val="26"/>
                <w:szCs w:val="26"/>
              </w:rPr>
              <w:t xml:space="preserve">Projekta pavadvēstulē tā steidzamība esošās ārkārtējās situācijas apstākļos nav </w:t>
            </w:r>
            <w:r>
              <w:rPr>
                <w:sz w:val="26"/>
                <w:szCs w:val="26"/>
              </w:rPr>
              <w:t>atbilstoši</w:t>
            </w:r>
            <w:r w:rsidRPr="00013D3F">
              <w:rPr>
                <w:sz w:val="26"/>
                <w:szCs w:val="26"/>
              </w:rPr>
              <w:t xml:space="preserve"> pamatota. Ievērojot minēto, Tieslietu ministrija aicina Iekšlietu ministriju projekta virzību nodrošināt parastajā kārtībā, proti, izsludināt to Valsts sekretāru sanāksmē un saskaņot to ar visām </w:t>
            </w:r>
            <w:r w:rsidRPr="00013D3F">
              <w:rPr>
                <w:sz w:val="26"/>
                <w:szCs w:val="26"/>
              </w:rPr>
              <w:lastRenderedPageBreak/>
              <w:t>katastrofu pārvaldībā iesaistītajām institūcijām, kā arī mob</w:t>
            </w:r>
            <w:r>
              <w:rPr>
                <w:sz w:val="26"/>
                <w:szCs w:val="26"/>
              </w:rPr>
              <w:t>i</w:t>
            </w:r>
            <w:r w:rsidRPr="00013D3F">
              <w:rPr>
                <w:sz w:val="26"/>
                <w:szCs w:val="26"/>
              </w:rPr>
              <w:t>lo sakaru nodrošināšanas nozares pārstāvjiem, lai sabiedrības apziņošanai katastrofas vai tās draudu gadījumā izvēlētos atbilstošāko tehnisko risinājumu, un ESL regulējumu veidotu ar pietiekamu vispārinājuma pakāpi, kas būtu piemērojams dažādās institūcijās</w:t>
            </w:r>
            <w:r>
              <w:rPr>
                <w:sz w:val="26"/>
                <w:szCs w:val="26"/>
              </w:rPr>
              <w:t xml:space="preserve">, piemēram, šobrīd saistībā ar epidēmiju informāciju izplata Slimību profilakses un kontroles centrs. </w:t>
            </w:r>
          </w:p>
          <w:p w:rsidR="00891D6E" w:rsidRPr="00C93CD0" w:rsidRDefault="00891D6E" w:rsidP="00891D6E">
            <w:pPr>
              <w:spacing w:line="240" w:lineRule="atLeast"/>
              <w:jc w:val="both"/>
              <w:rPr>
                <w:rFonts w:eastAsia="Calibri"/>
                <w:b/>
              </w:rPr>
            </w:pPr>
          </w:p>
        </w:tc>
        <w:tc>
          <w:tcPr>
            <w:tcW w:w="3578" w:type="dxa"/>
            <w:gridSpan w:val="2"/>
            <w:tcBorders>
              <w:top w:val="single" w:sz="6" w:space="0" w:color="000000"/>
              <w:left w:val="single" w:sz="6" w:space="0" w:color="000000"/>
              <w:bottom w:val="single" w:sz="6" w:space="0" w:color="000000"/>
              <w:right w:val="single" w:sz="6" w:space="0" w:color="000000"/>
            </w:tcBorders>
          </w:tcPr>
          <w:p w:rsidR="00891D6E" w:rsidRDefault="00891D6E" w:rsidP="00501FA2">
            <w:pPr>
              <w:pStyle w:val="naisc"/>
              <w:spacing w:before="0" w:after="0"/>
              <w:jc w:val="both"/>
              <w:rPr>
                <w:b/>
              </w:rPr>
            </w:pPr>
          </w:p>
          <w:p w:rsidR="00891D6E" w:rsidRDefault="00891D6E" w:rsidP="00891D6E">
            <w:pPr>
              <w:pStyle w:val="naisf"/>
              <w:spacing w:before="0" w:after="0"/>
              <w:ind w:firstLine="457"/>
              <w:rPr>
                <w:sz w:val="28"/>
                <w:szCs w:val="28"/>
              </w:rPr>
            </w:pPr>
          </w:p>
          <w:p w:rsidR="00891D6E" w:rsidRPr="00891D6E" w:rsidRDefault="00891D6E" w:rsidP="00891D6E">
            <w:pPr>
              <w:pStyle w:val="naisf"/>
              <w:spacing w:before="0" w:after="0"/>
              <w:ind w:firstLine="457"/>
            </w:pPr>
            <w:r w:rsidRPr="00891D6E">
              <w:t>Atbilstoši izteiktajam iebildumam ir precizēts pavadvēstulē ietvertais steidzamības kārtības pamatojums, projekts un anotācija.</w:t>
            </w:r>
          </w:p>
          <w:p w:rsidR="00891D6E" w:rsidRPr="00891D6E" w:rsidRDefault="00891D6E" w:rsidP="00501FA2">
            <w:pPr>
              <w:pStyle w:val="naisc"/>
              <w:spacing w:before="0" w:after="0"/>
              <w:jc w:val="both"/>
              <w:rPr>
                <w:b/>
              </w:rPr>
            </w:pPr>
          </w:p>
        </w:tc>
        <w:tc>
          <w:tcPr>
            <w:tcW w:w="3226" w:type="dxa"/>
            <w:tcBorders>
              <w:top w:val="single" w:sz="4" w:space="0" w:color="auto"/>
              <w:left w:val="single" w:sz="4" w:space="0" w:color="auto"/>
              <w:bottom w:val="single" w:sz="4" w:space="0" w:color="auto"/>
            </w:tcBorders>
          </w:tcPr>
          <w:p w:rsidR="00891D6E" w:rsidRPr="00891D6E" w:rsidRDefault="00891D6E" w:rsidP="00501FA2">
            <w:pPr>
              <w:jc w:val="center"/>
            </w:pPr>
          </w:p>
          <w:p w:rsidR="00891D6E" w:rsidRPr="00891D6E" w:rsidRDefault="00891D6E" w:rsidP="00501FA2">
            <w:pPr>
              <w:jc w:val="center"/>
            </w:pPr>
          </w:p>
          <w:p w:rsidR="00891D6E" w:rsidRPr="00891D6E" w:rsidRDefault="00891D6E" w:rsidP="00501FA2">
            <w:pPr>
              <w:jc w:val="center"/>
            </w:pPr>
          </w:p>
          <w:p w:rsidR="00891D6E" w:rsidRPr="00891D6E" w:rsidRDefault="00891D6E" w:rsidP="00891D6E">
            <w:pPr>
              <w:jc w:val="both"/>
            </w:pPr>
            <w:r w:rsidRPr="00891D6E">
              <w:t>Skatīt pavadvēstulē ietverto 12.punktu un anotācijas I sadaļas 2.punktu.</w:t>
            </w:r>
          </w:p>
          <w:p w:rsidR="00891D6E" w:rsidRPr="00891D6E" w:rsidRDefault="00891D6E" w:rsidP="00891D6E">
            <w:pPr>
              <w:spacing w:before="100" w:beforeAutospacing="1" w:after="100" w:afterAutospacing="1"/>
              <w:jc w:val="both"/>
            </w:pPr>
            <w:r w:rsidRPr="00891D6E">
              <w:t>1. Papildināt likuma 19.pantu pirmo daļu ar 26</w:t>
            </w:r>
            <w:r w:rsidRPr="00891D6E">
              <w:rPr>
                <w:vertAlign w:val="superscript"/>
              </w:rPr>
              <w:t>1</w:t>
            </w:r>
            <w:r w:rsidRPr="00891D6E">
              <w:t>.punktu šādā redakcijā:</w:t>
            </w:r>
          </w:p>
          <w:p w:rsidR="00891D6E" w:rsidRPr="00891D6E" w:rsidRDefault="00891D6E" w:rsidP="00891D6E">
            <w:pPr>
              <w:contextualSpacing/>
              <w:jc w:val="both"/>
              <w:rPr>
                <w:shd w:val="clear" w:color="auto" w:fill="FFFFFF"/>
              </w:rPr>
            </w:pPr>
            <w:r w:rsidRPr="00891D6E">
              <w:t>“26</w:t>
            </w:r>
            <w:r w:rsidRPr="00891D6E">
              <w:rPr>
                <w:vertAlign w:val="superscript"/>
              </w:rPr>
              <w:t>1</w:t>
            </w:r>
            <w:r w:rsidRPr="00891D6E">
              <w:t xml:space="preserve">) </w:t>
            </w:r>
            <w:r w:rsidRPr="00891D6E">
              <w:rPr>
                <w:shd w:val="clear" w:color="auto" w:fill="FFFFFF"/>
              </w:rPr>
              <w:t xml:space="preserve">ja elektronisko sakaru komersants nodrošina publisko mobilo elektronisko sakaru tīklu, tas, saņēmis Valsts ugunsdzēsības un glābšanas dienesta paziņojumu par katastrofu vai katastrofas draudiem, kas saistīti ar personas dzīvības, veselības vai īpašuma apdraudējumu, pēc iespējas ātrāk nosūta paziņojumu uz galiekārtu saviem sakaru lietotājiem un abonentiem Valsts ugunsdzēsības un glābšanas dienesta sagatavoto </w:t>
            </w:r>
            <w:r w:rsidRPr="00891D6E">
              <w:rPr>
                <w:shd w:val="clear" w:color="auto" w:fill="FFFFFF"/>
              </w:rPr>
              <w:lastRenderedPageBreak/>
              <w:t>informāciju par nepieciešamo rīcību draudu situācijā;”</w:t>
            </w:r>
          </w:p>
          <w:p w:rsidR="00891D6E" w:rsidRPr="00891D6E" w:rsidRDefault="00891D6E" w:rsidP="00891D6E">
            <w:pPr>
              <w:jc w:val="both"/>
            </w:pPr>
          </w:p>
          <w:p w:rsidR="00891D6E" w:rsidRPr="00891D6E" w:rsidRDefault="00891D6E" w:rsidP="00891D6E">
            <w:pPr>
              <w:jc w:val="both"/>
            </w:pPr>
          </w:p>
          <w:p w:rsidR="00891D6E" w:rsidRPr="00891D6E" w:rsidRDefault="00891D6E" w:rsidP="00891D6E">
            <w:pPr>
              <w:jc w:val="both"/>
            </w:pPr>
          </w:p>
        </w:tc>
      </w:tr>
      <w:tr w:rsidR="00891D6E" w:rsidRPr="003B71E0" w:rsidTr="00501FA2">
        <w:tc>
          <w:tcPr>
            <w:tcW w:w="708" w:type="dxa"/>
            <w:tcBorders>
              <w:top w:val="single" w:sz="6" w:space="0" w:color="000000"/>
              <w:left w:val="single" w:sz="6" w:space="0" w:color="000000"/>
              <w:bottom w:val="single" w:sz="6" w:space="0" w:color="000000"/>
              <w:right w:val="single" w:sz="6" w:space="0" w:color="000000"/>
            </w:tcBorders>
          </w:tcPr>
          <w:p w:rsidR="00891D6E" w:rsidRPr="00FC7F43" w:rsidRDefault="00891D6E" w:rsidP="00501FA2">
            <w:pPr>
              <w:pStyle w:val="naisc"/>
              <w:spacing w:before="0" w:after="0"/>
            </w:pPr>
            <w:r>
              <w:lastRenderedPageBreak/>
              <w:t xml:space="preserve">2. </w:t>
            </w:r>
          </w:p>
        </w:tc>
        <w:tc>
          <w:tcPr>
            <w:tcW w:w="3086" w:type="dxa"/>
            <w:gridSpan w:val="2"/>
            <w:tcBorders>
              <w:top w:val="single" w:sz="6" w:space="0" w:color="000000"/>
              <w:left w:val="single" w:sz="6" w:space="0" w:color="000000"/>
              <w:bottom w:val="single" w:sz="6" w:space="0" w:color="000000"/>
              <w:right w:val="single" w:sz="6" w:space="0" w:color="000000"/>
            </w:tcBorders>
          </w:tcPr>
          <w:p w:rsidR="00891D6E" w:rsidRPr="00891D6E" w:rsidRDefault="00891D6E" w:rsidP="00891D6E">
            <w:pPr>
              <w:spacing w:before="100" w:beforeAutospacing="1" w:after="100" w:afterAutospacing="1"/>
              <w:jc w:val="both"/>
            </w:pPr>
            <w:r w:rsidRPr="00891D6E">
              <w:t>1. Papildināt likuma 19.pantu pirmo daļu ar 26</w:t>
            </w:r>
            <w:r w:rsidRPr="00891D6E">
              <w:rPr>
                <w:vertAlign w:val="superscript"/>
              </w:rPr>
              <w:t>1</w:t>
            </w:r>
            <w:r w:rsidRPr="00891D6E">
              <w:t>.punktu šādā redakcijā:</w:t>
            </w:r>
          </w:p>
          <w:p w:rsidR="00891D6E" w:rsidRPr="00891D6E" w:rsidRDefault="00891D6E" w:rsidP="00891D6E">
            <w:pPr>
              <w:contextualSpacing/>
              <w:jc w:val="both"/>
              <w:rPr>
                <w:shd w:val="clear" w:color="auto" w:fill="FFFFFF"/>
              </w:rPr>
            </w:pPr>
            <w:r w:rsidRPr="00891D6E">
              <w:t>“26</w:t>
            </w:r>
            <w:r w:rsidRPr="00891D6E">
              <w:rPr>
                <w:vertAlign w:val="superscript"/>
              </w:rPr>
              <w:t>1</w:t>
            </w:r>
            <w:r w:rsidRPr="00891D6E">
              <w:t xml:space="preserve">) </w:t>
            </w:r>
            <w:r w:rsidRPr="00891D6E">
              <w:rPr>
                <w:shd w:val="clear" w:color="auto" w:fill="FFFFFF"/>
              </w:rPr>
              <w:t xml:space="preserve">ja elektronisko sakaru komersants nodrošina publisko mobilo elektronisko sakaru tīklu, tas, saņēmis Valsts ugunsdzēsības un glābšanas dienesta paziņojumu par katastrofu vai katastrofas draudiem, kas saistīti ar personas dzīvības vai veselības apdraudējumu, pēc iespējas ātrāk nosūta īsziņā saviem sakaru lietotājiem un abonentiem Valsts ugunsdzēsības un glābšanas dienesta sagatavoto </w:t>
            </w:r>
            <w:r w:rsidRPr="00891D6E">
              <w:rPr>
                <w:shd w:val="clear" w:color="auto" w:fill="FFFFFF"/>
              </w:rPr>
              <w:lastRenderedPageBreak/>
              <w:t>informāciju par nepieciešamo rīcību draudu situācijā;”</w:t>
            </w:r>
          </w:p>
          <w:p w:rsidR="00891D6E" w:rsidRPr="00891D6E" w:rsidRDefault="00891D6E" w:rsidP="00891D6E">
            <w:pPr>
              <w:spacing w:before="100" w:beforeAutospacing="1" w:after="100" w:afterAutospacing="1"/>
              <w:jc w:val="both"/>
            </w:pPr>
          </w:p>
        </w:tc>
        <w:tc>
          <w:tcPr>
            <w:tcW w:w="4394" w:type="dxa"/>
            <w:tcBorders>
              <w:top w:val="single" w:sz="6" w:space="0" w:color="000000"/>
              <w:left w:val="single" w:sz="6" w:space="0" w:color="000000"/>
              <w:bottom w:val="single" w:sz="6" w:space="0" w:color="000000"/>
              <w:right w:val="single" w:sz="6" w:space="0" w:color="000000"/>
            </w:tcBorders>
          </w:tcPr>
          <w:p w:rsidR="00891D6E" w:rsidRPr="00891D6E" w:rsidRDefault="00891D6E" w:rsidP="00891D6E">
            <w:pPr>
              <w:spacing w:line="240" w:lineRule="atLeast"/>
              <w:jc w:val="center"/>
              <w:rPr>
                <w:rFonts w:eastAsia="Calibri"/>
                <w:b/>
              </w:rPr>
            </w:pPr>
            <w:r w:rsidRPr="00891D6E">
              <w:rPr>
                <w:rFonts w:eastAsia="Calibri"/>
                <w:b/>
              </w:rPr>
              <w:lastRenderedPageBreak/>
              <w:t>SIA “Latvijas Mobilais Telefons”</w:t>
            </w:r>
          </w:p>
          <w:p w:rsidR="00891D6E" w:rsidRPr="00891D6E" w:rsidRDefault="00891D6E" w:rsidP="00891D6E">
            <w:pPr>
              <w:spacing w:line="240" w:lineRule="atLeast"/>
              <w:jc w:val="center"/>
              <w:rPr>
                <w:rFonts w:eastAsia="Calibri"/>
                <w:b/>
              </w:rPr>
            </w:pPr>
          </w:p>
          <w:p w:rsidR="00891D6E" w:rsidRPr="00891D6E" w:rsidRDefault="00891D6E" w:rsidP="00891D6E">
            <w:pPr>
              <w:spacing w:before="120"/>
              <w:jc w:val="both"/>
            </w:pPr>
            <w:r w:rsidRPr="00891D6E">
              <w:t>LMT konceptuāli atbalsta likumprojektā ietverto regulējumu, kas nosaka kārtību, kādā Valsts ugunsdzēsības un glābšanas dienests informē sabiedrību par situācijām, kas saistītas ar personas veselības vai dzīvības apdraudējumu. Lai pilnvērtīgāk sasniegtu piedāvātā regulējuma mērķus, piedāvājam normu redakcionāli precizēt, izsakot to šādā redakcijā:</w:t>
            </w:r>
          </w:p>
          <w:p w:rsidR="00891D6E" w:rsidRPr="00891D6E" w:rsidRDefault="00891D6E" w:rsidP="00891D6E">
            <w:pPr>
              <w:spacing w:before="120"/>
              <w:jc w:val="both"/>
              <w:rPr>
                <w:i/>
                <w:iCs/>
              </w:rPr>
            </w:pPr>
            <w:r w:rsidRPr="00891D6E">
              <w:rPr>
                <w:i/>
                <w:iCs/>
              </w:rPr>
              <w:t>“26</w:t>
            </w:r>
            <w:r w:rsidRPr="00891D6E">
              <w:rPr>
                <w:i/>
                <w:iCs/>
                <w:vertAlign w:val="superscript"/>
              </w:rPr>
              <w:t>1</w:t>
            </w:r>
            <w:r w:rsidRPr="00891D6E">
              <w:rPr>
                <w:i/>
                <w:iCs/>
              </w:rPr>
              <w:t xml:space="preserve">) ja elektronisko sakaru komersants nodrošina publisko mobilo elektronisko sakaru tīklu, tas, saņēmis Valsts ugunsdzēsības un glābšanas dienesta paziņojumu par </w:t>
            </w:r>
            <w:r w:rsidRPr="00891D6E">
              <w:rPr>
                <w:i/>
                <w:iCs/>
                <w:u w:val="single"/>
              </w:rPr>
              <w:t>tiešu vai draudošu ārkārtas situāciju vai katastrofu, kas saistīta ar sabiedrības dzīvības vai veselības apdraudējumu</w:t>
            </w:r>
            <w:r w:rsidRPr="00891D6E">
              <w:rPr>
                <w:i/>
                <w:iCs/>
              </w:rPr>
              <w:t>, pēc iespējas ātrāk</w:t>
            </w:r>
            <w:r w:rsidRPr="00891D6E">
              <w:rPr>
                <w:i/>
                <w:iCs/>
                <w:u w:val="single"/>
              </w:rPr>
              <w:t xml:space="preserve">, savu </w:t>
            </w:r>
            <w:r w:rsidRPr="00891D6E">
              <w:rPr>
                <w:i/>
                <w:iCs/>
                <w:u w:val="single"/>
              </w:rPr>
              <w:lastRenderedPageBreak/>
              <w:t>tehnisko iespēju robežās,</w:t>
            </w:r>
            <w:r w:rsidRPr="00891D6E">
              <w:rPr>
                <w:i/>
                <w:iCs/>
              </w:rPr>
              <w:t xml:space="preserve"> nosūta īsziņā saviem sakaru lietotājiem un abonentiem Valsts ugunsdzēsības un glābšanas dienesta sagatavoto informāciju par nepieciešamo rīcību draudu situācijā;”</w:t>
            </w:r>
          </w:p>
          <w:p w:rsidR="00891D6E" w:rsidRPr="00891D6E" w:rsidRDefault="00891D6E" w:rsidP="00891D6E">
            <w:pPr>
              <w:spacing w:before="120"/>
              <w:jc w:val="both"/>
            </w:pPr>
            <w:r w:rsidRPr="00891D6E">
              <w:t>Vienlaikus vēlamies vērst uzmanību uz apstākli, ka Satiksmes ministrijā šobrīd tiek izstrādāta jauna Elektronisko sakaru likuma redakcija. Ievērojot Eiropas parlamenta un padomes 2018.gada 11.decembra direktīvas (ES) 2018/1972 par Eiropas Elektronisko sakaru kodeksa izveidi 124.panta prasības, direktīvai ir jātiek ieviestai nacionālajos normatīvajos aktos līdz 2020.gada 21.decembrim. Aicinām Iekšlietu ministriju izskatīt iespēju piedāvāto regulējumu ietvert Satiksmes ministrijas izstrādātajā Elektronisko sakaru likuma projektā.</w:t>
            </w:r>
          </w:p>
          <w:p w:rsidR="00891D6E" w:rsidRPr="00891D6E" w:rsidRDefault="00891D6E" w:rsidP="00891D6E">
            <w:pPr>
              <w:spacing w:line="240" w:lineRule="atLeast"/>
              <w:jc w:val="center"/>
              <w:rPr>
                <w:rFonts w:eastAsia="Calibri"/>
                <w:b/>
              </w:rPr>
            </w:pPr>
          </w:p>
        </w:tc>
        <w:tc>
          <w:tcPr>
            <w:tcW w:w="3578" w:type="dxa"/>
            <w:gridSpan w:val="2"/>
            <w:tcBorders>
              <w:top w:val="single" w:sz="6" w:space="0" w:color="000000"/>
              <w:left w:val="single" w:sz="6" w:space="0" w:color="000000"/>
              <w:bottom w:val="single" w:sz="6" w:space="0" w:color="000000"/>
              <w:right w:val="single" w:sz="6" w:space="0" w:color="000000"/>
            </w:tcBorders>
          </w:tcPr>
          <w:p w:rsidR="00891D6E" w:rsidRPr="00891D6E" w:rsidRDefault="00891D6E" w:rsidP="00891D6E">
            <w:pPr>
              <w:pStyle w:val="naisf"/>
              <w:spacing w:before="0" w:after="0"/>
              <w:ind w:firstLine="457"/>
            </w:pPr>
            <w:r w:rsidRPr="00891D6E">
              <w:lastRenderedPageBreak/>
              <w:t xml:space="preserve">Atbilstoši izteiktajam </w:t>
            </w:r>
            <w:r w:rsidR="00F61993">
              <w:t>redakcionālajam ierosinājumam</w:t>
            </w:r>
            <w:r w:rsidRPr="00891D6E">
              <w:t xml:space="preserve"> ir precizēts pavadvēstulē ietvertais steidzamības kārtības pamatojums, projekts un anotācija.</w:t>
            </w:r>
          </w:p>
          <w:p w:rsidR="00891D6E" w:rsidRDefault="00891D6E" w:rsidP="00501FA2">
            <w:pPr>
              <w:pStyle w:val="naisc"/>
              <w:spacing w:before="0" w:after="0"/>
              <w:jc w:val="both"/>
              <w:rPr>
                <w:b/>
              </w:rPr>
            </w:pPr>
          </w:p>
        </w:tc>
        <w:tc>
          <w:tcPr>
            <w:tcW w:w="3226" w:type="dxa"/>
            <w:tcBorders>
              <w:top w:val="single" w:sz="4" w:space="0" w:color="auto"/>
              <w:left w:val="single" w:sz="4" w:space="0" w:color="auto"/>
              <w:bottom w:val="single" w:sz="4" w:space="0" w:color="auto"/>
            </w:tcBorders>
          </w:tcPr>
          <w:p w:rsidR="00F61993" w:rsidRPr="00891D6E" w:rsidRDefault="00F61993" w:rsidP="00F61993">
            <w:pPr>
              <w:jc w:val="both"/>
            </w:pPr>
            <w:r w:rsidRPr="00891D6E">
              <w:t>Skatīt pavadvēstulē ietverto 12.punktu un anotācijas I sadaļas 2.punktu.</w:t>
            </w:r>
          </w:p>
          <w:p w:rsidR="00F61993" w:rsidRPr="00891D6E" w:rsidRDefault="00F61993" w:rsidP="00F61993">
            <w:pPr>
              <w:spacing w:before="100" w:beforeAutospacing="1" w:after="100" w:afterAutospacing="1"/>
              <w:jc w:val="both"/>
            </w:pPr>
            <w:r w:rsidRPr="00891D6E">
              <w:t>1. Papildināt likuma 19.pantu pirmo daļu ar 26</w:t>
            </w:r>
            <w:r w:rsidRPr="00891D6E">
              <w:rPr>
                <w:vertAlign w:val="superscript"/>
              </w:rPr>
              <w:t>1</w:t>
            </w:r>
            <w:r w:rsidRPr="00891D6E">
              <w:t>.punktu šādā redakcijā:</w:t>
            </w:r>
          </w:p>
          <w:p w:rsidR="00F61993" w:rsidRPr="00891D6E" w:rsidRDefault="00F61993" w:rsidP="00F61993">
            <w:pPr>
              <w:contextualSpacing/>
              <w:jc w:val="both"/>
              <w:rPr>
                <w:shd w:val="clear" w:color="auto" w:fill="FFFFFF"/>
              </w:rPr>
            </w:pPr>
            <w:r w:rsidRPr="00891D6E">
              <w:t>“26</w:t>
            </w:r>
            <w:r w:rsidRPr="00891D6E">
              <w:rPr>
                <w:vertAlign w:val="superscript"/>
              </w:rPr>
              <w:t>1</w:t>
            </w:r>
            <w:r w:rsidRPr="00891D6E">
              <w:t xml:space="preserve">) </w:t>
            </w:r>
            <w:r w:rsidRPr="00891D6E">
              <w:rPr>
                <w:shd w:val="clear" w:color="auto" w:fill="FFFFFF"/>
              </w:rPr>
              <w:t xml:space="preserve">ja elektronisko sakaru komersants nodrošina publisko mobilo elektronisko sakaru tīklu, tas, saņēmis Valsts ugunsdzēsības un glābšanas dienesta paziņojumu par katastrofu vai katastrofas draudiem, kas saistīti ar personas dzīvības, veselības vai īpašuma apdraudējumu, pēc iespējas ātrāk nosūta </w:t>
            </w:r>
            <w:r w:rsidRPr="00891D6E">
              <w:rPr>
                <w:shd w:val="clear" w:color="auto" w:fill="FFFFFF"/>
              </w:rPr>
              <w:lastRenderedPageBreak/>
              <w:t>paziņojumu uz galiekārtu saviem sakaru lietotājiem un abonentiem Valsts ugunsdzēsības un glābšanas dienesta sagatavoto informāciju par nepieciešamo rīcību draudu situācijā;”</w:t>
            </w:r>
          </w:p>
          <w:p w:rsidR="00891D6E" w:rsidRPr="00891D6E" w:rsidRDefault="00891D6E" w:rsidP="00501FA2">
            <w:pPr>
              <w:jc w:val="center"/>
            </w:pPr>
          </w:p>
        </w:tc>
      </w:tr>
      <w:tr w:rsidR="00891D6E" w:rsidRPr="00712B66" w:rsidTr="00501FA2">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891D6E" w:rsidRDefault="00891D6E" w:rsidP="00501FA2">
            <w:pPr>
              <w:pStyle w:val="naiskr"/>
              <w:spacing w:before="0" w:after="0"/>
            </w:pPr>
          </w:p>
          <w:p w:rsidR="00891D6E" w:rsidRPr="00712B66" w:rsidRDefault="00891D6E" w:rsidP="00501FA2">
            <w:pPr>
              <w:pStyle w:val="naiskr"/>
              <w:spacing w:before="0" w:after="0"/>
            </w:pPr>
            <w:r w:rsidRPr="00712B66">
              <w:t>Atbildīgā amatpersona</w:t>
            </w:r>
          </w:p>
        </w:tc>
        <w:tc>
          <w:tcPr>
            <w:tcW w:w="6179" w:type="dxa"/>
            <w:gridSpan w:val="3"/>
          </w:tcPr>
          <w:p w:rsidR="00891D6E" w:rsidRPr="00712B66" w:rsidRDefault="00891D6E" w:rsidP="00501FA2">
            <w:pPr>
              <w:pStyle w:val="naiskr"/>
              <w:spacing w:before="0" w:after="0"/>
              <w:ind w:firstLine="720"/>
            </w:pPr>
            <w:r w:rsidRPr="00712B66">
              <w:t>  </w:t>
            </w:r>
          </w:p>
        </w:tc>
      </w:tr>
      <w:tr w:rsidR="00891D6E" w:rsidRPr="00712B66" w:rsidTr="00501FA2">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891D6E" w:rsidRPr="00712B66" w:rsidRDefault="00891D6E" w:rsidP="00501FA2">
            <w:pPr>
              <w:pStyle w:val="naiskr"/>
              <w:spacing w:before="0" w:after="0"/>
              <w:ind w:firstLine="720"/>
            </w:pPr>
          </w:p>
        </w:tc>
        <w:tc>
          <w:tcPr>
            <w:tcW w:w="6179" w:type="dxa"/>
            <w:gridSpan w:val="3"/>
            <w:tcBorders>
              <w:top w:val="single" w:sz="6" w:space="0" w:color="000000"/>
            </w:tcBorders>
          </w:tcPr>
          <w:p w:rsidR="00891D6E" w:rsidRPr="00712B66" w:rsidRDefault="00891D6E" w:rsidP="00501FA2">
            <w:pPr>
              <w:pStyle w:val="naisc"/>
              <w:spacing w:before="0" w:after="0"/>
              <w:ind w:firstLine="720"/>
            </w:pPr>
            <w:r w:rsidRPr="00712B66">
              <w:t>(paraksts)*</w:t>
            </w:r>
          </w:p>
        </w:tc>
      </w:tr>
    </w:tbl>
    <w:p w:rsidR="00891D6E" w:rsidRPr="00712B66" w:rsidRDefault="00891D6E" w:rsidP="00891D6E">
      <w:pPr>
        <w:pStyle w:val="naisf"/>
        <w:spacing w:before="0" w:after="0"/>
        <w:ind w:firstLine="720"/>
      </w:pPr>
    </w:p>
    <w:p w:rsidR="00891D6E" w:rsidRPr="00712B66" w:rsidRDefault="00891D6E" w:rsidP="00891D6E">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891D6E" w:rsidRDefault="00891D6E" w:rsidP="00891D6E"/>
    <w:p w:rsidR="00891D6E" w:rsidRDefault="00891D6E" w:rsidP="00891D6E"/>
    <w:p w:rsidR="00891D6E" w:rsidRDefault="00891D6E" w:rsidP="00891D6E">
      <w:r>
        <w:t>Dace Radzeviča</w:t>
      </w:r>
    </w:p>
    <w:p w:rsidR="00891D6E" w:rsidRDefault="00891D6E" w:rsidP="00891D6E">
      <w:r>
        <w:t xml:space="preserve">Juridiskā departamenta </w:t>
      </w:r>
    </w:p>
    <w:p w:rsidR="00891D6E" w:rsidRDefault="00891D6E" w:rsidP="00891D6E">
      <w:r>
        <w:t>Normatīvo aktu nodaļas juriskonsulte</w:t>
      </w:r>
    </w:p>
    <w:p w:rsidR="00891D6E" w:rsidRDefault="00891D6E" w:rsidP="00891D6E">
      <w:r>
        <w:t>67219418, dace.radzevica@iem.gov.lv</w:t>
      </w:r>
    </w:p>
    <w:p w:rsidR="00895E2C" w:rsidRDefault="00895E2C"/>
    <w:sectPr w:rsidR="00895E2C" w:rsidSect="00FC7F43">
      <w:headerReference w:type="default" r:id="rId7"/>
      <w:footerReference w:type="default" r:id="rId8"/>
      <w:footerReference w:type="first" r:id="rId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D6E" w:rsidRDefault="00891D6E" w:rsidP="00891D6E">
      <w:r>
        <w:separator/>
      </w:r>
    </w:p>
  </w:endnote>
  <w:endnote w:type="continuationSeparator" w:id="0">
    <w:p w:rsidR="00891D6E" w:rsidRDefault="00891D6E" w:rsidP="0089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43" w:rsidRPr="00D10965" w:rsidRDefault="00F61993" w:rsidP="00FC7F43">
    <w:pPr>
      <w:pStyle w:val="Footer"/>
      <w:rPr>
        <w:sz w:val="20"/>
        <w:szCs w:val="20"/>
      </w:rPr>
    </w:pPr>
    <w:r w:rsidRPr="00D10965">
      <w:rPr>
        <w:sz w:val="20"/>
        <w:szCs w:val="20"/>
      </w:rPr>
      <w:t>IeMIzz_</w:t>
    </w:r>
    <w:r>
      <w:rPr>
        <w:sz w:val="20"/>
        <w:szCs w:val="20"/>
      </w:rPr>
      <w:t>1</w:t>
    </w:r>
    <w:r w:rsidR="00891D6E">
      <w:rPr>
        <w:sz w:val="20"/>
        <w:szCs w:val="20"/>
      </w:rPr>
      <w:t>4</w:t>
    </w:r>
    <w:r>
      <w:rPr>
        <w:sz w:val="20"/>
        <w:szCs w:val="20"/>
      </w:rPr>
      <w:t>0</w:t>
    </w:r>
    <w:r w:rsidR="00891D6E">
      <w:rPr>
        <w:sz w:val="20"/>
        <w:szCs w:val="20"/>
      </w:rPr>
      <w:t>5</w:t>
    </w:r>
    <w:r>
      <w:rPr>
        <w:sz w:val="20"/>
        <w:szCs w:val="20"/>
      </w:rPr>
      <w:t>2020</w:t>
    </w:r>
  </w:p>
  <w:p w:rsidR="00D10965" w:rsidRDefault="00E5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65" w:rsidRPr="00D10965" w:rsidRDefault="00F61993">
    <w:pPr>
      <w:pStyle w:val="Footer"/>
      <w:rPr>
        <w:sz w:val="20"/>
        <w:szCs w:val="20"/>
      </w:rPr>
    </w:pPr>
    <w:r w:rsidRPr="00D10965">
      <w:rPr>
        <w:sz w:val="20"/>
        <w:szCs w:val="20"/>
      </w:rPr>
      <w:t>IeMIzz_</w:t>
    </w:r>
    <w:r>
      <w:rPr>
        <w:sz w:val="20"/>
        <w:szCs w:val="20"/>
      </w:rPr>
      <w:t>15012020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D6E" w:rsidRDefault="00891D6E" w:rsidP="00891D6E">
      <w:r>
        <w:separator/>
      </w:r>
    </w:p>
  </w:footnote>
  <w:footnote w:type="continuationSeparator" w:id="0">
    <w:p w:rsidR="00891D6E" w:rsidRDefault="00891D6E" w:rsidP="0089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31760"/>
      <w:docPartObj>
        <w:docPartGallery w:val="Page Numbers (Top of Page)"/>
        <w:docPartUnique/>
      </w:docPartObj>
    </w:sdtPr>
    <w:sdtEndPr>
      <w:rPr>
        <w:noProof/>
      </w:rPr>
    </w:sdtEndPr>
    <w:sdtContent>
      <w:p w:rsidR="00254CA3" w:rsidRDefault="00F61993">
        <w:pPr>
          <w:pStyle w:val="Header"/>
          <w:jc w:val="center"/>
        </w:pPr>
        <w:r>
          <w:fldChar w:fldCharType="begin"/>
        </w:r>
        <w:r>
          <w:instrText xml:space="preserve"> PAGE   \* MERGEFORMAT </w:instrText>
        </w:r>
        <w:r>
          <w:fldChar w:fldCharType="separate"/>
        </w:r>
        <w:r w:rsidR="00E5071A">
          <w:rPr>
            <w:noProof/>
          </w:rPr>
          <w:t>5</w:t>
        </w:r>
        <w:r>
          <w:rPr>
            <w:noProof/>
          </w:rPr>
          <w:fldChar w:fldCharType="end"/>
        </w:r>
      </w:p>
    </w:sdtContent>
  </w:sdt>
  <w:p w:rsidR="00254CA3" w:rsidRDefault="00E50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4C"/>
    <w:multiLevelType w:val="hybridMultilevel"/>
    <w:tmpl w:val="537AD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482EEF"/>
    <w:multiLevelType w:val="hybridMultilevel"/>
    <w:tmpl w:val="1128A00E"/>
    <w:lvl w:ilvl="0" w:tplc="E56AA0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D463A0"/>
    <w:multiLevelType w:val="hybridMultilevel"/>
    <w:tmpl w:val="510CA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6E"/>
    <w:rsid w:val="00891D6E"/>
    <w:rsid w:val="00895E2C"/>
    <w:rsid w:val="00E5071A"/>
    <w:rsid w:val="00F619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D491"/>
  <w15:chartTrackingRefBased/>
  <w15:docId w15:val="{DB827913-2CF3-4C28-8E06-6B578D49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D6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1D6E"/>
    <w:pPr>
      <w:spacing w:before="100" w:beforeAutospacing="1" w:after="100" w:afterAutospacing="1"/>
    </w:pPr>
  </w:style>
  <w:style w:type="paragraph" w:customStyle="1" w:styleId="naisf">
    <w:name w:val="naisf"/>
    <w:basedOn w:val="Normal"/>
    <w:rsid w:val="00891D6E"/>
    <w:pPr>
      <w:spacing w:before="75" w:after="75"/>
      <w:ind w:firstLine="375"/>
      <w:jc w:val="both"/>
    </w:pPr>
  </w:style>
  <w:style w:type="paragraph" w:customStyle="1" w:styleId="naisnod">
    <w:name w:val="naisnod"/>
    <w:basedOn w:val="Normal"/>
    <w:uiPriority w:val="99"/>
    <w:rsid w:val="00891D6E"/>
    <w:pPr>
      <w:spacing w:before="150" w:after="150"/>
      <w:jc w:val="center"/>
    </w:pPr>
    <w:rPr>
      <w:b/>
      <w:bCs/>
    </w:rPr>
  </w:style>
  <w:style w:type="paragraph" w:customStyle="1" w:styleId="naiskr">
    <w:name w:val="naiskr"/>
    <w:basedOn w:val="Normal"/>
    <w:rsid w:val="00891D6E"/>
    <w:pPr>
      <w:spacing w:before="75" w:after="75"/>
    </w:pPr>
  </w:style>
  <w:style w:type="paragraph" w:customStyle="1" w:styleId="naisc">
    <w:name w:val="naisc"/>
    <w:basedOn w:val="Normal"/>
    <w:rsid w:val="00891D6E"/>
    <w:pPr>
      <w:spacing w:before="75" w:after="75"/>
      <w:jc w:val="center"/>
    </w:pPr>
  </w:style>
  <w:style w:type="paragraph" w:styleId="Header">
    <w:name w:val="header"/>
    <w:basedOn w:val="Normal"/>
    <w:link w:val="HeaderChar"/>
    <w:uiPriority w:val="99"/>
    <w:unhideWhenUsed/>
    <w:rsid w:val="00891D6E"/>
    <w:pPr>
      <w:tabs>
        <w:tab w:val="center" w:pos="4153"/>
        <w:tab w:val="right" w:pos="8306"/>
      </w:tabs>
    </w:pPr>
  </w:style>
  <w:style w:type="character" w:customStyle="1" w:styleId="HeaderChar">
    <w:name w:val="Header Char"/>
    <w:basedOn w:val="DefaultParagraphFont"/>
    <w:link w:val="Header"/>
    <w:uiPriority w:val="99"/>
    <w:rsid w:val="00891D6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91D6E"/>
    <w:pPr>
      <w:tabs>
        <w:tab w:val="center" w:pos="4153"/>
        <w:tab w:val="right" w:pos="8306"/>
      </w:tabs>
    </w:pPr>
  </w:style>
  <w:style w:type="character" w:customStyle="1" w:styleId="FooterChar">
    <w:name w:val="Footer Char"/>
    <w:basedOn w:val="DefaultParagraphFont"/>
    <w:link w:val="Footer"/>
    <w:uiPriority w:val="99"/>
    <w:rsid w:val="00891D6E"/>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91D6E"/>
    <w:rPr>
      <w:color w:val="0563C1" w:themeColor="hyperlink"/>
      <w:u w:val="single"/>
    </w:rPr>
  </w:style>
  <w:style w:type="paragraph" w:styleId="ListParagraph">
    <w:name w:val="List Paragraph"/>
    <w:basedOn w:val="Normal"/>
    <w:uiPriority w:val="34"/>
    <w:qFormat/>
    <w:rsid w:val="00891D6E"/>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50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1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5328</Words>
  <Characters>3038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2</cp:revision>
  <cp:lastPrinted>2020-05-14T10:20:00Z</cp:lastPrinted>
  <dcterms:created xsi:type="dcterms:W3CDTF">2020-05-14T08:37:00Z</dcterms:created>
  <dcterms:modified xsi:type="dcterms:W3CDTF">2020-05-14T10:21:00Z</dcterms:modified>
</cp:coreProperties>
</file>