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15ED9" w:rsidR="00A906DF" w:rsidP="008B0344" w:rsidRDefault="134A09D4">
      <w:pPr>
        <w:jc w:val="center"/>
        <w:outlineLvl w:val="0"/>
        <w:rPr>
          <w:b/>
          <w:bCs/>
        </w:rPr>
      </w:pPr>
      <w:bookmarkStart w:name="_GoBack" w:id="0"/>
      <w:bookmarkEnd w:id="0"/>
      <w:r w:rsidRPr="2B495B53">
        <w:rPr>
          <w:b/>
          <w:bCs/>
        </w:rPr>
        <w:t xml:space="preserve"> </w:t>
      </w:r>
      <w:r w:rsidRPr="2B495B53" w:rsidR="0F2422CC">
        <w:rPr>
          <w:b/>
          <w:bCs/>
        </w:rPr>
        <w:t>Ministru kabineta rīkojuma projekta</w:t>
      </w:r>
    </w:p>
    <w:p w:rsidRPr="00A15ED9" w:rsidR="00A906DF" w:rsidP="008B0344" w:rsidRDefault="00A906DF">
      <w:pPr>
        <w:jc w:val="center"/>
        <w:rPr>
          <w:b/>
          <w:bCs/>
        </w:rPr>
      </w:pPr>
      <w:r w:rsidRPr="00A15ED9">
        <w:rPr>
          <w:b/>
          <w:bCs/>
        </w:rPr>
        <w:t xml:space="preserve">„Par finanšu līdzekļu piešķiršanu no valsts budžeta programmas </w:t>
      </w:r>
    </w:p>
    <w:p w:rsidRPr="00A15ED9" w:rsidR="00A906DF" w:rsidP="008B0344" w:rsidRDefault="00A906DF">
      <w:pPr>
        <w:jc w:val="center"/>
        <w:rPr>
          <w:b/>
          <w:bCs/>
        </w:rPr>
      </w:pPr>
      <w:r w:rsidRPr="00A15ED9">
        <w:rPr>
          <w:b/>
          <w:bCs/>
        </w:rPr>
        <w:t xml:space="preserve">„Līdzekļi neparedzētiem gadījumiem”” sākotnējās ietekmes novērtējuma </w:t>
      </w:r>
    </w:p>
    <w:p w:rsidRPr="00A15ED9" w:rsidR="00A906DF" w:rsidP="008B0344" w:rsidRDefault="00A906DF">
      <w:pPr>
        <w:jc w:val="center"/>
        <w:rPr>
          <w:b/>
          <w:bCs/>
        </w:rPr>
      </w:pPr>
      <w:r w:rsidRPr="00A15ED9">
        <w:rPr>
          <w:b/>
          <w:bCs/>
        </w:rPr>
        <w:t>ziņojums (anotācija)</w:t>
      </w:r>
    </w:p>
    <w:p w:rsidR="00A906DF" w:rsidP="008B0344" w:rsidRDefault="00A906DF">
      <w:pPr>
        <w:jc w:val="center"/>
        <w:rPr>
          <w:b/>
          <w:bCs/>
        </w:rPr>
      </w:pPr>
    </w:p>
    <w:tbl>
      <w:tblPr>
        <w:tblW w:w="5000"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0A0"/>
      </w:tblPr>
      <w:tblGrid>
        <w:gridCol w:w="3531"/>
        <w:gridCol w:w="5690"/>
      </w:tblGrid>
      <w:tr w:rsidRPr="00075796" w:rsidR="00075796" w:rsidTr="00075796">
        <w:trPr>
          <w:trHeight w:val="405"/>
          <w:tblCellSpacing w:w="15" w:type="dxa"/>
        </w:trPr>
        <w:tc>
          <w:tcPr>
            <w:tcW w:w="4967" w:type="pct"/>
            <w:gridSpan w:val="2"/>
            <w:vAlign w:val="center"/>
          </w:tcPr>
          <w:p w:rsidRPr="00075796" w:rsidR="00075796" w:rsidP="00075796" w:rsidRDefault="00075796">
            <w:pPr>
              <w:jc w:val="center"/>
              <w:rPr>
                <w:b/>
                <w:bCs/>
              </w:rPr>
            </w:pPr>
            <w:r w:rsidRPr="00075796">
              <w:rPr>
                <w:b/>
                <w:bCs/>
                <w:lang w:eastAsia="en-US"/>
              </w:rPr>
              <w:t>Tiesību akta projekta anotācijas kopsavilkums</w:t>
            </w:r>
          </w:p>
        </w:tc>
      </w:tr>
      <w:tr w:rsidRPr="00075796" w:rsidR="00075796" w:rsidTr="00075796">
        <w:trPr>
          <w:trHeight w:val="405"/>
          <w:tblCellSpacing w:w="15" w:type="dxa"/>
        </w:trPr>
        <w:tc>
          <w:tcPr>
            <w:tcW w:w="1896" w:type="pct"/>
          </w:tcPr>
          <w:p w:rsidRPr="00075796" w:rsidR="00075796" w:rsidP="00075796" w:rsidRDefault="00075796">
            <w:r w:rsidRPr="00075796">
              <w:rPr>
                <w:lang w:eastAsia="en-US"/>
              </w:rPr>
              <w:t>Mērķis, risinājums un projekta spēkā stāšanās laiks (500 zīmes bez atstarpēm)</w:t>
            </w:r>
          </w:p>
        </w:tc>
        <w:tc>
          <w:tcPr>
            <w:tcW w:w="3055" w:type="pct"/>
          </w:tcPr>
          <w:p w:rsidRPr="00075796" w:rsidR="00075796" w:rsidP="0069660C" w:rsidRDefault="00075796">
            <w:pPr>
              <w:jc w:val="both"/>
            </w:pPr>
            <w:r w:rsidRPr="00075796">
              <w:rPr>
                <w:lang w:eastAsia="en-US"/>
              </w:rPr>
              <w:t>Ministru kabineta rīkojuma projekts „Par finanšu līdzekļu piešķiršanu no valsts budžeta programmas „Līdzekļi neparedzētiem gadījumiem”” (turpmāk – Projekts) šo jomu neskar.</w:t>
            </w:r>
          </w:p>
        </w:tc>
      </w:tr>
    </w:tbl>
    <w:p w:rsidR="00075796" w:rsidP="008B0344" w:rsidRDefault="00075796">
      <w:pPr>
        <w:jc w:val="center"/>
        <w:rPr>
          <w:b/>
          <w:bC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525"/>
        <w:gridCol w:w="2994"/>
        <w:gridCol w:w="5702"/>
      </w:tblGrid>
      <w:tr w:rsidRPr="00075796" w:rsidR="00A906DF" w:rsidTr="00075796">
        <w:trPr>
          <w:trHeight w:val="405"/>
          <w:tblCellSpacing w:w="15" w:type="dxa"/>
        </w:trPr>
        <w:tc>
          <w:tcPr>
            <w:tcW w:w="4967" w:type="pct"/>
            <w:gridSpan w:val="3"/>
            <w:tcBorders>
              <w:top w:val="outset" w:color="auto" w:sz="6" w:space="0"/>
              <w:bottom w:val="outset" w:color="auto" w:sz="6" w:space="0"/>
            </w:tcBorders>
            <w:vAlign w:val="center"/>
          </w:tcPr>
          <w:p w:rsidRPr="00075796" w:rsidR="00A906DF" w:rsidP="00075796" w:rsidRDefault="00A906DF">
            <w:pPr>
              <w:jc w:val="center"/>
              <w:rPr>
                <w:b/>
                <w:bCs/>
              </w:rPr>
            </w:pPr>
            <w:r w:rsidRPr="00075796">
              <w:rPr>
                <w:b/>
                <w:bCs/>
              </w:rPr>
              <w:t>I. Tiesību akta projekta izstrādes nepieciešamība</w:t>
            </w:r>
          </w:p>
        </w:tc>
      </w:tr>
      <w:tr w:rsidRPr="00075796" w:rsidR="00A906DF" w:rsidTr="00075796">
        <w:trPr>
          <w:trHeight w:val="405"/>
          <w:tblCellSpacing w:w="15" w:type="dxa"/>
        </w:trPr>
        <w:tc>
          <w:tcPr>
            <w:tcW w:w="262" w:type="pct"/>
            <w:tcBorders>
              <w:top w:val="outset" w:color="auto" w:sz="6" w:space="0"/>
              <w:bottom w:val="outset" w:color="auto" w:sz="6" w:space="0"/>
              <w:right w:val="outset" w:color="auto" w:sz="6" w:space="0"/>
            </w:tcBorders>
          </w:tcPr>
          <w:p w:rsidRPr="00075796" w:rsidR="00A906DF" w:rsidP="00075796" w:rsidRDefault="00A906DF">
            <w:pPr>
              <w:jc w:val="center"/>
            </w:pPr>
            <w:r w:rsidRPr="00075796">
              <w:t>1.</w:t>
            </w:r>
          </w:p>
        </w:tc>
        <w:tc>
          <w:tcPr>
            <w:tcW w:w="1618" w:type="pct"/>
            <w:tcBorders>
              <w:top w:val="outset" w:color="auto" w:sz="6" w:space="0"/>
              <w:left w:val="outset" w:color="auto" w:sz="6" w:space="0"/>
              <w:bottom w:val="outset" w:color="auto" w:sz="6" w:space="0"/>
              <w:right w:val="outset" w:color="auto" w:sz="6" w:space="0"/>
            </w:tcBorders>
          </w:tcPr>
          <w:p w:rsidRPr="00075796" w:rsidR="00A906DF" w:rsidP="00075796" w:rsidRDefault="00A906DF">
            <w:r w:rsidRPr="00075796">
              <w:t>Pamatojums</w:t>
            </w:r>
          </w:p>
        </w:tc>
        <w:tc>
          <w:tcPr>
            <w:tcW w:w="3055" w:type="pct"/>
            <w:tcBorders>
              <w:top w:val="outset" w:color="auto" w:sz="6" w:space="0"/>
              <w:left w:val="outset" w:color="auto" w:sz="6" w:space="0"/>
              <w:bottom w:val="outset" w:color="auto" w:sz="6" w:space="0"/>
            </w:tcBorders>
          </w:tcPr>
          <w:p w:rsidRPr="00075796" w:rsidR="00A906DF" w:rsidP="0069660C" w:rsidRDefault="00075796">
            <w:pPr>
              <w:jc w:val="both"/>
            </w:pPr>
            <w:r>
              <w:t xml:space="preserve">Projekts </w:t>
            </w:r>
            <w:r w:rsidRPr="00075796" w:rsidR="00A906DF">
              <w:t xml:space="preserve">sagatavots saskaņā ar Ministru kabineta </w:t>
            </w:r>
            <w:r w:rsidR="007F58FE">
              <w:br/>
            </w:r>
            <w:r w:rsidRPr="00075796" w:rsidR="00A906DF">
              <w:t>20</w:t>
            </w:r>
            <w:r w:rsidRPr="00075796" w:rsidR="00A334C8">
              <w:t>18</w:t>
            </w:r>
            <w:r w:rsidRPr="00075796" w:rsidR="00A906DF">
              <w:t xml:space="preserve">.gada </w:t>
            </w:r>
            <w:r w:rsidRPr="00075796" w:rsidR="00A334C8">
              <w:t>17</w:t>
            </w:r>
            <w:r w:rsidRPr="00075796" w:rsidR="00A906DF">
              <w:t>.</w:t>
            </w:r>
            <w:r w:rsidRPr="00075796" w:rsidR="00A334C8">
              <w:t>jūlija</w:t>
            </w:r>
            <w:r w:rsidRPr="00075796" w:rsidR="00A906DF">
              <w:t xml:space="preserve"> noteikumu Nr.</w:t>
            </w:r>
            <w:r w:rsidR="007F58FE">
              <w:t xml:space="preserve"> </w:t>
            </w:r>
            <w:r w:rsidRPr="00075796" w:rsidR="00A906DF">
              <w:t>4</w:t>
            </w:r>
            <w:r w:rsidRPr="00075796" w:rsidR="00A334C8">
              <w:t>21</w:t>
            </w:r>
            <w:r w:rsidRPr="00075796" w:rsidR="00A906DF">
              <w:t xml:space="preserve"> „Kārtība, kādā </w:t>
            </w:r>
            <w:r w:rsidRPr="00075796" w:rsidR="00A334C8">
              <w:t>veic</w:t>
            </w:r>
            <w:r w:rsidRPr="00075796" w:rsidR="00A906DF">
              <w:t xml:space="preserve"> </w:t>
            </w:r>
            <w:r w:rsidRPr="00075796" w:rsidR="00A334C8">
              <w:t>gadskārtējā valsts budžeta likumā noteiktās apropriācijas izmaiņas</w:t>
            </w:r>
            <w:r w:rsidRPr="00075796" w:rsidR="00A906DF">
              <w:t xml:space="preserve">” </w:t>
            </w:r>
            <w:r w:rsidRPr="00075796" w:rsidR="00A334C8">
              <w:t>4</w:t>
            </w:r>
            <w:r w:rsidRPr="00075796" w:rsidR="00A906DF">
              <w:t xml:space="preserve">3.punktu. </w:t>
            </w:r>
          </w:p>
        </w:tc>
      </w:tr>
      <w:tr w:rsidRPr="00075796" w:rsidR="007329B2" w:rsidTr="00075796">
        <w:trPr>
          <w:trHeight w:val="465"/>
          <w:tblCellSpacing w:w="15" w:type="dxa"/>
        </w:trPr>
        <w:tc>
          <w:tcPr>
            <w:tcW w:w="262" w:type="pct"/>
            <w:tcBorders>
              <w:top w:val="outset" w:color="auto" w:sz="6" w:space="0"/>
              <w:bottom w:val="outset" w:color="auto" w:sz="6" w:space="0"/>
              <w:right w:val="outset" w:color="auto" w:sz="6" w:space="0"/>
            </w:tcBorders>
          </w:tcPr>
          <w:p w:rsidRPr="00075796" w:rsidR="00A906DF" w:rsidP="00075796" w:rsidRDefault="00A906DF">
            <w:pPr>
              <w:jc w:val="center"/>
            </w:pPr>
            <w:r w:rsidRPr="00075796">
              <w:t>2.</w:t>
            </w:r>
          </w:p>
        </w:tc>
        <w:tc>
          <w:tcPr>
            <w:tcW w:w="1618" w:type="pct"/>
            <w:tcBorders>
              <w:top w:val="outset" w:color="auto" w:sz="6" w:space="0"/>
              <w:left w:val="outset" w:color="auto" w:sz="6" w:space="0"/>
              <w:bottom w:val="outset" w:color="auto" w:sz="6" w:space="0"/>
              <w:right w:val="outset" w:color="auto" w:sz="6" w:space="0"/>
            </w:tcBorders>
          </w:tcPr>
          <w:p w:rsidRPr="00075796" w:rsidR="00A906DF" w:rsidP="00075796" w:rsidRDefault="00A906DF">
            <w:r w:rsidRPr="00075796">
              <w:t>Pašreizējā situācija un problēmas, kuru risināšanai tiesību akta projekts izstrādāts, tiesiskā regulējuma mērķis un būtība</w:t>
            </w:r>
          </w:p>
        </w:tc>
        <w:tc>
          <w:tcPr>
            <w:tcW w:w="3055" w:type="pct"/>
            <w:tcBorders>
              <w:top w:val="outset" w:color="auto" w:sz="6" w:space="0"/>
              <w:left w:val="outset" w:color="auto" w:sz="6" w:space="0"/>
              <w:bottom w:val="outset" w:color="auto" w:sz="6" w:space="0"/>
            </w:tcBorders>
          </w:tcPr>
          <w:p w:rsidR="2B495B53" w:rsidP="0069660C" w:rsidRDefault="003D659D">
            <w:pPr>
              <w:jc w:val="both"/>
            </w:pPr>
            <w:r w:rsidRPr="00F91A67">
              <w:t>VSIA</w:t>
            </w:r>
            <w:r w:rsidR="004D78C3">
              <w:t xml:space="preserve"> „</w:t>
            </w:r>
            <w:r w:rsidRPr="00F91A67">
              <w:t xml:space="preserve">Latvijas Televīzija” (turpmāk – LTV) </w:t>
            </w:r>
            <w:r w:rsidRPr="00F91A67" w:rsidR="00B84028">
              <w:t xml:space="preserve">2019.gada 20.maijā </w:t>
            </w:r>
            <w:r w:rsidRPr="00F91A67">
              <w:t xml:space="preserve">izsludināja atklātu iepirkumu konkursu </w:t>
            </w:r>
            <w:r w:rsidR="00B84028">
              <w:t>„</w:t>
            </w:r>
            <w:r w:rsidRPr="00F91A67">
              <w:t xml:space="preserve">Par programmu izlaides kompleksa (PIK) iegādi” (turpmāk – Konkurss). LTV iepirkumu komisija saņēma divus piedāvājumus, kuru atbilstības izvērtējums Konkursa prasību nosacījumiem ir pabeigts 2020.gada 19.februārī. </w:t>
            </w:r>
          </w:p>
          <w:p w:rsidR="003D659D" w:rsidP="0069660C" w:rsidRDefault="003D659D">
            <w:pPr>
              <w:jc w:val="both"/>
            </w:pPr>
          </w:p>
          <w:p w:rsidR="00B368E2" w:rsidP="0069660C" w:rsidRDefault="00B368E2">
            <w:pPr>
              <w:jc w:val="both"/>
            </w:pPr>
            <w:r w:rsidRPr="00F91A67">
              <w:t>Latvijas elektronisko mediju nozares vājais finanšu veiktspējas līmenis ir iemesls kritiski nepietiekošiem ieguldījumu apjomiem tehnoloģiskās attīstības vajadzību nodrošināšanai, jo īpaši tas attiecināms uz sabiedrisko mediju tehnoloģiskās izaugsmes nodrošināšanu. Minēto iemeslu dēļ Latvijā pastāv salīdzinoši vāja konkurence tehnoloģisko risinājumu piedāvājumu jomā. LTV novērojumi liecina, ka uzņēmuma organizētajos publisko iepirkumu konkursos reti kad tiek iesniegti vairāk kā divi piedāvājumi.</w:t>
            </w:r>
          </w:p>
          <w:p w:rsidRPr="00075796" w:rsidR="00B368E2" w:rsidP="0069660C" w:rsidRDefault="00B368E2">
            <w:pPr>
              <w:jc w:val="both"/>
            </w:pPr>
          </w:p>
          <w:p w:rsidRPr="00075796" w:rsidR="003B0855" w:rsidP="0069660C" w:rsidRDefault="00B368E2">
            <w:pPr>
              <w:jc w:val="both"/>
            </w:pPr>
            <w:r w:rsidRPr="00F91A67">
              <w:t xml:space="preserve">Saskaņā ar 2020.gada 19.februāra LTV ekspertu atzinumā minēto, kā arī 2019.gada 16.oktobra neatkarīgo ekspertu atzinumā minēto viena Konkursa pretendenta piedāvājums ir atzīts par neatbilstošu Konkursa prasībām, jo ir konstatētas vairākas neatbilstības Konkursa nolikuma 2.pielikuma C sadaļas </w:t>
            </w:r>
            <w:r w:rsidR="00B84028">
              <w:t>„</w:t>
            </w:r>
            <w:r w:rsidRPr="00F91A67">
              <w:t xml:space="preserve">Tehniskā specifikācija” prasībām. Otra pretendenta piedāvājums atzīts par atbilstošu Konkursa prasībām. </w:t>
            </w:r>
            <w:r w:rsidRPr="00075796" w:rsidR="00C12510">
              <w:t xml:space="preserve"> </w:t>
            </w:r>
          </w:p>
          <w:p w:rsidRPr="00075796" w:rsidR="003B0855" w:rsidP="0069660C" w:rsidRDefault="003B0855">
            <w:pPr>
              <w:jc w:val="both"/>
            </w:pPr>
          </w:p>
          <w:p w:rsidR="00075796" w:rsidP="0069660C" w:rsidRDefault="00B368E2">
            <w:pPr>
              <w:jc w:val="both"/>
            </w:pPr>
            <w:r w:rsidRPr="00F91A67">
              <w:t>LTV iepirkuma komisija ir saņēmusi Konkursa prasībām atbilstošā piedāvājum</w:t>
            </w:r>
            <w:r w:rsidR="00B84028">
              <w:t>a</w:t>
            </w:r>
            <w:r w:rsidRPr="00F91A67">
              <w:t xml:space="preserve"> iesniedzēja (turpmāk </w:t>
            </w:r>
            <w:r w:rsidR="007F58FE">
              <w:t>–</w:t>
            </w:r>
            <w:r w:rsidRPr="00F91A67">
              <w:t xml:space="preserve"> Pretendents) apstiprinājumu, ka Pretendenta finanšu piedāvājums ir spēkā 12 mēnešus, skaitot no 2019.gada 20.jūnija (līdz 2020.gada 20.jūnijam) un apliecināja, ka </w:t>
            </w:r>
            <w:r w:rsidRPr="00F91A67">
              <w:lastRenderedPageBreak/>
              <w:t xml:space="preserve">finanšu piedāvājuma kopējā summa 1 538 564,00 </w:t>
            </w:r>
            <w:r w:rsidRPr="00075796">
              <w:rPr>
                <w:i/>
              </w:rPr>
              <w:t>euro</w:t>
            </w:r>
            <w:r w:rsidRPr="00F91A67">
              <w:t xml:space="preserve"> bez PVN (21%) ir nemainīga un iekļauj jebkādas izmaksas, kas varētu rasties, izpildot iepirkuma līgumā noteiktos darbus un piegādes, un nodrošinot garantijas saistības.</w:t>
            </w:r>
          </w:p>
          <w:p w:rsidRPr="00075796" w:rsidR="00BE2D51" w:rsidP="0069660C" w:rsidRDefault="00A364D6">
            <w:pPr>
              <w:jc w:val="both"/>
            </w:pPr>
            <w:r w:rsidRPr="00075796">
              <w:t xml:space="preserve"> </w:t>
            </w:r>
          </w:p>
          <w:p w:rsidR="00192CF9" w:rsidP="0069660C" w:rsidRDefault="00B368E2">
            <w:pPr>
              <w:jc w:val="both"/>
            </w:pPr>
            <w:r w:rsidRPr="00F91A67">
              <w:t xml:space="preserve">Viens no sekmīgas iepirkuma procedūras pabeigšanas priekšnosacījumiem ir nepieciešamā papildu finansējuma pieejamība. </w:t>
            </w:r>
            <w:r w:rsidRPr="00075796" w:rsidR="00B84028">
              <w:t>LTV</w:t>
            </w:r>
            <w:r w:rsidR="00B84028">
              <w:t xml:space="preserve"> P</w:t>
            </w:r>
            <w:r w:rsidRPr="00075796" w:rsidR="00B84028">
              <w:t xml:space="preserve">rogrammu izlaides kompleksa </w:t>
            </w:r>
            <w:r w:rsidR="00B84028">
              <w:t xml:space="preserve">(turpmāk – </w:t>
            </w:r>
            <w:r w:rsidRPr="00075796" w:rsidR="00B84028">
              <w:t>PIK</w:t>
            </w:r>
            <w:r w:rsidR="00B84028">
              <w:t>)</w:t>
            </w:r>
            <w:r w:rsidRPr="00075796" w:rsidR="00B84028">
              <w:t xml:space="preserve"> </w:t>
            </w:r>
            <w:r w:rsidRPr="00F91A67">
              <w:t xml:space="preserve"> iegādi ir spējīga nodrošināt tikai ar papildu kopējā finansējuma piešķīrumu </w:t>
            </w:r>
            <w:r w:rsidRPr="007F58FE">
              <w:t>1 861 </w:t>
            </w:r>
            <w:r w:rsidRPr="007F58FE">
              <w:rPr>
                <w:bCs/>
              </w:rPr>
              <w:t>66</w:t>
            </w:r>
            <w:r w:rsidR="00B84028">
              <w:rPr>
                <w:bCs/>
              </w:rPr>
              <w:t>3</w:t>
            </w:r>
            <w:r w:rsidRPr="007F58FE">
              <w:t xml:space="preserve"> </w:t>
            </w:r>
            <w:r w:rsidRPr="007F58FE">
              <w:rPr>
                <w:i/>
              </w:rPr>
              <w:t>euro</w:t>
            </w:r>
            <w:r w:rsidRPr="00F91A67">
              <w:t xml:space="preserve"> apjomā. LTV pastāvīgā iepirkumu komisija līdz šim nav pieņēmusi lēmumu attiecībā uz izsludinātā Konkursa rezultātu.</w:t>
            </w:r>
            <w:r w:rsidRPr="00075796" w:rsidR="00A364D6">
              <w:t xml:space="preserve"> </w:t>
            </w:r>
          </w:p>
          <w:p w:rsidR="00075796" w:rsidP="0069660C" w:rsidRDefault="00075796">
            <w:pPr>
              <w:jc w:val="both"/>
            </w:pPr>
          </w:p>
          <w:p w:rsidR="00CE6185" w:rsidP="0069660C" w:rsidRDefault="00CE6185">
            <w:pPr>
              <w:jc w:val="both"/>
            </w:pPr>
            <w:r>
              <w:t>LTV</w:t>
            </w:r>
            <w:r w:rsidRPr="00CE6185">
              <w:t xml:space="preserve"> ir iesniegusi Nacionāla</w:t>
            </w:r>
            <w:r w:rsidR="00231870">
              <w:t>ja</w:t>
            </w:r>
            <w:r w:rsidRPr="00CE6185">
              <w:t>i elektronisko plašsaziņas līdzekļu padomei visus PIK iepirkuma procedūras ietvaros saņemtos piedāvāj</w:t>
            </w:r>
            <w:r>
              <w:t>uma dokumentus, tai skaitā arī P</w:t>
            </w:r>
            <w:r w:rsidRPr="00CE6185">
              <w:t>retendenta finanšu piedāvājumu ar detalizētu aprēķinu. Visi izmantojamie finanšu līdzekļi ir attiecināmi uz maksājumiem par ilgtermiņa ieguldījumu iegādi. Iesniegtie dokumenti satur komecnoslēpumu un ir izsniedzami pēc atsevišķa un pamatota pieprasījuma.</w:t>
            </w:r>
          </w:p>
          <w:p w:rsidRPr="00075796" w:rsidR="00CE6185" w:rsidP="0069660C" w:rsidRDefault="00CE6185">
            <w:pPr>
              <w:jc w:val="both"/>
            </w:pPr>
          </w:p>
          <w:p w:rsidRPr="00075796" w:rsidR="00C11DAC" w:rsidP="0069660C" w:rsidRDefault="00B368E2">
            <w:pPr>
              <w:jc w:val="both"/>
            </w:pPr>
            <w:r w:rsidRPr="00F91A67">
              <w:t xml:space="preserve">Atkarībā no pieņemtā lēmuma pastāv divi tālākas attīstības scenāriji: gadījumā, ja LTV netiks piešķirti nepieciešamie līdzekļi PIK iegādes darījuma finansēšanai, Konkurss tiks izbeigts bez rezultāta. Gadījumā, ja LTV savlaicīgi tiks piešķirti nepieciešamie līdzekļi PIK iegādes darījuma finansēšanai, par Konkursa uzvarētāju tiks atzīts Pretendents, ar kuru tiks slēgts atbilstošs iepirkuma līgums. Pretendents savā 2020.gada 10.februāra vēstulē ir apstiprinājis, ka piedāvājuma derīguma termiņš ir 12 mēneši, skaitot no 2019.gada </w:t>
            </w:r>
            <w:r w:rsidR="0069660C">
              <w:br/>
            </w:r>
            <w:r w:rsidRPr="00F91A67">
              <w:t>20.jūnija.</w:t>
            </w:r>
          </w:p>
          <w:p w:rsidRPr="00075796" w:rsidR="2B495B53" w:rsidP="0069660C" w:rsidRDefault="2B495B53">
            <w:pPr>
              <w:jc w:val="both"/>
            </w:pPr>
          </w:p>
          <w:p w:rsidRPr="00075796" w:rsidR="1845905C" w:rsidP="0069660C" w:rsidRDefault="00B84028">
            <w:pPr>
              <w:jc w:val="both"/>
            </w:pPr>
            <w:r w:rsidRPr="00F91A67">
              <w:t xml:space="preserve">LTV valde </w:t>
            </w:r>
            <w:r w:rsidRPr="00F91A67" w:rsidR="00B368E2">
              <w:t xml:space="preserve">2020.gada 14.aprīlī piedalījās attālinātā Saeimas Cilvēktiesību un sabiedrisko lietu komisijas (turpmāk – Komisija) sēdē, kuras laikā tika nolemts noskaidrot pirmsšķietamas PIK funkcionalitātes ārpakalpojuma darījuma izmaksu aplēses. </w:t>
            </w:r>
            <w:r w:rsidRPr="00F91A67">
              <w:t xml:space="preserve">LTV </w:t>
            </w:r>
            <w:r w:rsidRPr="00F91A67" w:rsidR="00B368E2">
              <w:t>2020.gada</w:t>
            </w:r>
            <w:r>
              <w:t xml:space="preserve"> </w:t>
            </w:r>
            <w:r w:rsidRPr="00F91A67" w:rsidR="00B368E2">
              <w:t>17.aprīlī iesniedza vēstuli Komisijai un Nacionālajai elektronisko plašsaziņas līdzekļu padomei ar divu iespējamo pretendentu veiktajām cenu piedāvājuma aplēsēm. Papildus tika veiktas aplēses arī scenārijam, ja PIK tiktu nomāts. Ņemot vērā faktu, ka Konkursa prasībās tika iekļauta obligāta prasība nodrošināt PIK ar piecu gadu ražotāju garantiju, arī ārpakalpojuma finanšu piedāvājumu aplēses tika lūgts iesniegt piecu gadu darījumam.</w:t>
            </w:r>
            <w:r w:rsidRPr="00075796" w:rsidR="1845905C">
              <w:t xml:space="preserve"> </w:t>
            </w:r>
          </w:p>
          <w:p w:rsidR="00075796" w:rsidP="0069660C" w:rsidRDefault="00075796">
            <w:pPr>
              <w:jc w:val="both"/>
            </w:pPr>
          </w:p>
          <w:p w:rsidRPr="00075796" w:rsidR="1845905C" w:rsidP="0069660C" w:rsidRDefault="00B368E2">
            <w:pPr>
              <w:jc w:val="both"/>
              <w:rPr>
                <w:color w:val="9BBB59" w:themeColor="accent3"/>
              </w:rPr>
            </w:pPr>
            <w:r w:rsidRPr="0069660C">
              <w:lastRenderedPageBreak/>
              <w:t xml:space="preserve">LTV saņēma divas ārpakalpojuma aplēses ar gada pakalpojuma maksu 510 000 </w:t>
            </w:r>
            <w:r w:rsidRPr="0069660C">
              <w:rPr>
                <w:i/>
              </w:rPr>
              <w:t>euro</w:t>
            </w:r>
            <w:r w:rsidRPr="0069660C">
              <w:t xml:space="preserve"> bez PVN (21%) un 360 000 </w:t>
            </w:r>
            <w:r w:rsidRPr="0069660C">
              <w:rPr>
                <w:i/>
              </w:rPr>
              <w:t>euro</w:t>
            </w:r>
            <w:r w:rsidRPr="0069660C">
              <w:t xml:space="preserve"> bez PVN (21%), kas attiecīgi veido </w:t>
            </w:r>
            <w:r w:rsidRPr="0069660C">
              <w:rPr>
                <w:bCs/>
              </w:rPr>
              <w:t xml:space="preserve">3 085 500 </w:t>
            </w:r>
            <w:r w:rsidRPr="0069660C">
              <w:rPr>
                <w:bCs/>
                <w:i/>
              </w:rPr>
              <w:t>euro</w:t>
            </w:r>
            <w:r w:rsidRPr="0069660C">
              <w:rPr>
                <w:bCs/>
              </w:rPr>
              <w:t xml:space="preserve"> ar PVN</w:t>
            </w:r>
            <w:r w:rsidRPr="0069660C">
              <w:t xml:space="preserve"> un </w:t>
            </w:r>
            <w:r w:rsidRPr="0069660C">
              <w:rPr>
                <w:bCs/>
              </w:rPr>
              <w:t xml:space="preserve">2 178 000 </w:t>
            </w:r>
            <w:r w:rsidRPr="0069660C">
              <w:rPr>
                <w:bCs/>
                <w:i/>
              </w:rPr>
              <w:t>euro</w:t>
            </w:r>
            <w:r w:rsidRPr="0069660C">
              <w:rPr>
                <w:bCs/>
              </w:rPr>
              <w:t xml:space="preserve"> ar PVN</w:t>
            </w:r>
            <w:r w:rsidRPr="00F91A67">
              <w:t xml:space="preserve"> piecu gadu periodā, tādējādi uzskatāmi redzams, ka abi ārpakalpojuma piedāvājumi PIK iespējamajai nomai būtiski pārsniedz PIK iegādes izmaksas.</w:t>
            </w:r>
          </w:p>
          <w:p w:rsidRPr="00075796" w:rsidR="2B495B53" w:rsidP="0069660C" w:rsidRDefault="2B495B53">
            <w:pPr>
              <w:jc w:val="both"/>
            </w:pPr>
          </w:p>
          <w:p w:rsidRPr="00075796" w:rsidR="006D593A" w:rsidP="0069660C" w:rsidRDefault="00B368E2">
            <w:pPr>
              <w:jc w:val="both"/>
            </w:pPr>
            <w:r w:rsidRPr="00F91A67">
              <w:t xml:space="preserve">Starp diviem iespējamajiem scenārijiem – PIK noma vai PIK iegāde – Nacionālā elektronisko plašsaziņas līdzekļu padome ir pieņēmusi lēmumu izvēlēties otru scenāriju, kas ir ne vien ekonomiski izdevīgāks, bet balstīts arī uz no Valsts drošības dienesta saņemto informāciju, ka PIK noma nav valsts drošības interesēs, tādējādi </w:t>
            </w:r>
            <w:r w:rsidRPr="00F91A67" w:rsidR="00B84028">
              <w:t>Valsts drošības dienest</w:t>
            </w:r>
            <w:r w:rsidR="00B84028">
              <w:t>s</w:t>
            </w:r>
            <w:r w:rsidRPr="00F91A67">
              <w:t xml:space="preserve"> rekomendē PIK iegādāties.</w:t>
            </w:r>
          </w:p>
          <w:p w:rsidRPr="00075796" w:rsidR="006D593A" w:rsidP="0069660C" w:rsidRDefault="006D593A">
            <w:pPr>
              <w:jc w:val="both"/>
            </w:pPr>
          </w:p>
          <w:p w:rsidRPr="0069660C" w:rsidR="00B368E2" w:rsidP="0069660C" w:rsidRDefault="00B368E2">
            <w:pPr>
              <w:jc w:val="both"/>
            </w:pPr>
            <w:r w:rsidRPr="00F91A67">
              <w:t xml:space="preserve">Pašreiz ekspluatācijā esošais PIK tika iegādāts </w:t>
            </w:r>
            <w:r w:rsidR="0069660C">
              <w:br/>
            </w:r>
            <w:r w:rsidRPr="00F91A67">
              <w:t xml:space="preserve">2010.gadā kā iepriekš lietots aprīkojumu kopums. Tehnoloģiju ražotāji jau, sākot ar 2014.gadu, pakāpeniski ir atteikušies no kompleksa tehnoloģisko vienību atbalsta nodrošināšanas. LTV rīcībā ir izsīkušas </w:t>
            </w:r>
            <w:r w:rsidRPr="0069660C">
              <w:t>rezerves daļas, lai savlaicīgi spētu atjaunot esošā kompleksa veiktspēju. LTV jau pašreiz nav spējīga atjaunot daļu no nepieciešamās PIK funkcionalitātes. Tas savukārt nozīmē, ka jebkura PIK tehnoloģiskā ražošanas procesa vienības bojājuma gadījumā LTV darbība būs apdraudēta</w:t>
            </w:r>
            <w:r w:rsidRPr="0069660C">
              <w:rPr>
                <w:bCs/>
              </w:rPr>
              <w:t xml:space="preserve">. </w:t>
            </w:r>
            <w:r w:rsidRPr="0069660C">
              <w:t xml:space="preserve"> </w:t>
            </w:r>
          </w:p>
          <w:p w:rsidRPr="0069660C" w:rsidR="00A4165D" w:rsidP="0069660C" w:rsidRDefault="3AFDAA01">
            <w:pPr>
              <w:jc w:val="both"/>
            </w:pPr>
            <w:r w:rsidRPr="0069660C">
              <w:t xml:space="preserve"> </w:t>
            </w:r>
          </w:p>
          <w:p w:rsidRPr="00F91A67" w:rsidR="00B368E2" w:rsidP="0069660C" w:rsidRDefault="00B368E2">
            <w:pPr>
              <w:jc w:val="both"/>
            </w:pPr>
            <w:r w:rsidRPr="0069660C">
              <w:t>PIK turpmākas darbības nepārtrauktības nodrošināšana, jo īpaši ņemot vērā apstākļus, ka PIK tehnoloģisko iekārtu ražotāji ir atteikuši apkalpošanas atbalstu, tuvākajā perspektīvā ir praktiski neiespējama sekojošu darbības nepārtrauktības risku pastiprinošu apstākļu dēļ:</w:t>
            </w:r>
          </w:p>
          <w:p w:rsidRPr="00F91A67" w:rsidR="00B368E2" w:rsidP="00B84028" w:rsidRDefault="00B368E2">
            <w:pPr>
              <w:ind w:left="357" w:hanging="357"/>
              <w:jc w:val="both"/>
            </w:pPr>
            <w:r w:rsidRPr="00F91A67">
              <w:t>•</w:t>
            </w:r>
            <w:r w:rsidRPr="00F91A67">
              <w:tab/>
            </w:r>
            <w:r w:rsidR="00B84028">
              <w:t>k</w:t>
            </w:r>
            <w:r w:rsidRPr="00F91A67">
              <w:t>opš 2014.gada ražotāja atbalsts neattiecas uz serveri, kas nodrošina zemās izšķirtspējas video failu ģenerēšanu un serveri, kas nodrošina lietotāju piekļuvi zemās izšķirtspējas video failu caurskatīšanu;</w:t>
            </w:r>
          </w:p>
          <w:p w:rsidRPr="00F91A67" w:rsidR="00B368E2" w:rsidP="00B84028" w:rsidRDefault="00B368E2">
            <w:pPr>
              <w:ind w:left="357" w:hanging="357"/>
              <w:jc w:val="both"/>
            </w:pPr>
            <w:r w:rsidRPr="00F91A67">
              <w:t>•</w:t>
            </w:r>
            <w:r w:rsidRPr="00F91A67">
              <w:tab/>
            </w:r>
            <w:r w:rsidR="00B84028">
              <w:t>k</w:t>
            </w:r>
            <w:r w:rsidRPr="00F91A67">
              <w:t>opš 2015.gada ražotāja atbalsts neattiecas uz vienkanāla multivides pieslēgvietu (ports) MIP-1001A (2 gab.) un vienkanāla multivides pieslēgvietu (ports) MIP-1003A (8 gab.);</w:t>
            </w:r>
          </w:p>
          <w:p w:rsidRPr="00F91A67" w:rsidR="00B368E2" w:rsidP="00B84028" w:rsidRDefault="00B368E2">
            <w:pPr>
              <w:ind w:left="357" w:hanging="357"/>
              <w:jc w:val="both"/>
            </w:pPr>
            <w:r w:rsidRPr="00F91A67">
              <w:t>•</w:t>
            </w:r>
            <w:r w:rsidRPr="00F91A67">
              <w:tab/>
            </w:r>
            <w:r w:rsidR="00B84028">
              <w:t>k</w:t>
            </w:r>
            <w:r w:rsidRPr="00F91A67">
              <w:t>opš 2016.gada ražotāja atbalsts neattiecas uz seškanālu multivides pieslēgvietu (ports) MIP-3006 (1 gab.);</w:t>
            </w:r>
          </w:p>
          <w:p w:rsidRPr="00F91A67" w:rsidR="00B368E2" w:rsidP="00B84028" w:rsidRDefault="00B368E2">
            <w:pPr>
              <w:ind w:left="357" w:hanging="357"/>
              <w:jc w:val="both"/>
            </w:pPr>
            <w:r w:rsidRPr="00F91A67">
              <w:t>•</w:t>
            </w:r>
            <w:r w:rsidRPr="00F91A67">
              <w:tab/>
            </w:r>
            <w:r w:rsidR="00B84028">
              <w:t>k</w:t>
            </w:r>
            <w:r w:rsidRPr="00F91A67">
              <w:t xml:space="preserve">opš 2017.gada ražotāja atbalsts neattiecas uz </w:t>
            </w:r>
            <w:r w:rsidR="00B84028">
              <w:t>„</w:t>
            </w:r>
            <w:r w:rsidRPr="00F91A67">
              <w:t>Media Director” MCP-2101 video serveriem (2 gab.), kuri ir apvienoti, lai nodrošinātu sistēmas kopējo drošumu.</w:t>
            </w:r>
          </w:p>
          <w:p w:rsidRPr="00075796" w:rsidR="00D45500" w:rsidP="00B84028" w:rsidRDefault="00B368E2">
            <w:pPr>
              <w:ind w:left="357" w:hanging="357"/>
              <w:jc w:val="both"/>
            </w:pPr>
            <w:r w:rsidRPr="00F91A67">
              <w:t>•</w:t>
            </w:r>
            <w:r w:rsidRPr="00F91A67">
              <w:tab/>
            </w:r>
            <w:r w:rsidR="00B84028">
              <w:t>k</w:t>
            </w:r>
            <w:r w:rsidRPr="00F91A67">
              <w:t xml:space="preserve">opš 2018.gada ražotāja atbalsts neattiecas uz pilnīgi visām sistēmas komponentēm, kuras ir piegādājis </w:t>
            </w:r>
            <w:r w:rsidR="00B84028">
              <w:t>„</w:t>
            </w:r>
            <w:r w:rsidRPr="00F91A67">
              <w:t xml:space="preserve">Harmonic Inc.” ražotājs. Atsevišķiem disku </w:t>
            </w:r>
            <w:r w:rsidRPr="00F91A67">
              <w:lastRenderedPageBreak/>
              <w:t>masīviem ražotājs piekrita pagarināt savu atbalstu tikai līdz 2019.gada 30. novembrim.</w:t>
            </w:r>
          </w:p>
          <w:p w:rsidRPr="00075796" w:rsidR="0016158C" w:rsidP="0069660C" w:rsidRDefault="0016158C">
            <w:pPr>
              <w:jc w:val="both"/>
            </w:pPr>
          </w:p>
          <w:p w:rsidRPr="00075796" w:rsidR="00D45500" w:rsidP="0069660C" w:rsidRDefault="00B368E2">
            <w:pPr>
              <w:jc w:val="both"/>
            </w:pPr>
            <w:r w:rsidRPr="00F91A67">
              <w:t xml:space="preserve">Minētie tehniskā atbalsta atteikumi saistīti ar ražotāju nespēju nodrošināt morāli un fiziski novecojušu tehnoloģisko vienību aizstāšanu vai remontēšanu ar rezerves daļām. Tāpat esošā PIK ekspluatāciju nodrošina </w:t>
            </w:r>
            <w:r w:rsidR="00B84028">
              <w:t>„</w:t>
            </w:r>
            <w:r w:rsidRPr="00F91A67">
              <w:t>Windows XP” operētājsistēmas programmatūra, kuras atbalstu tās izveidotājs Microsoft ir pārtraucis jau sākot ar 2014.gada 8.aprīli. Šāda veida tehnoloģiskie risinājumi jau labu laiku iepriekš tika izņemti no ražotāju produktu un pakalpojumu piedāvājumu portfeļa. Tādējādi ražotāja rīcībā nav atbilstošas kvalifikācijas speciālistu, lai sekmīgi novērstu iespējamus ar programmatūras darbības kļūdām saistītus darbības traucējumus.</w:t>
            </w:r>
          </w:p>
          <w:p w:rsidRPr="00075796" w:rsidR="00AE433B" w:rsidP="0069660C" w:rsidRDefault="00AE433B">
            <w:pPr>
              <w:jc w:val="both"/>
            </w:pPr>
          </w:p>
          <w:p w:rsidRPr="00075796" w:rsidR="72A1F2BB" w:rsidP="0069660C" w:rsidRDefault="00B368E2">
            <w:pPr>
              <w:jc w:val="both"/>
              <w:rPr>
                <w:color w:val="9BBB59" w:themeColor="accent3"/>
              </w:rPr>
            </w:pPr>
            <w:r w:rsidRPr="00F91A67">
              <w:t xml:space="preserve">Reaģējot uz ražotāju atteikumiem nodrošināt tehnoloģisko iekārtu uzturēšanu un darbības nepārtrauktības atbalstu, LTV ir veiktas jaunu un lietotu rezerves daļu iegādes, tai skaitā tādās interneta vietnēs kā Ebay.com. Nopirktās aprīkojuma vienības tiek izjauktas, lai to sastāvdaļas tiktu izmantotas kā remonta rezerves daļu nodrošinājums. Šobrīd daļa no PIK funkcionalitātes jau ir zaudēta (piemēram, zemas izšķirtspējas kopiju </w:t>
            </w:r>
            <w:r w:rsidRPr="0069660C">
              <w:t>veidošana ienākošajiem ierakstiem), tas rada būtisku papildus laika patēriņu ikdienas funkciju nodrošināšanai. Daļai no darbību nodrošinošo iekārtu vairs nav rezerves vienību, līdz ar to jebkurš šo iekārtu bojājums rada tūlītējus draudus PIK darbības apturēšanai vai paša kompleksa neatgriezeniskam zaudējumam.</w:t>
            </w:r>
          </w:p>
          <w:p w:rsidRPr="00075796" w:rsidR="72A1F2BB" w:rsidP="0069660C" w:rsidRDefault="72A1F2BB">
            <w:pPr>
              <w:jc w:val="both"/>
            </w:pPr>
          </w:p>
          <w:p w:rsidRPr="00075796" w:rsidR="72A1F2BB" w:rsidP="0069660C" w:rsidRDefault="00B368E2">
            <w:pPr>
              <w:jc w:val="both"/>
            </w:pPr>
            <w:r w:rsidRPr="00F91A67">
              <w:t xml:space="preserve">LTV ir apliecinājusi, ka 2019.gada 6.septembrī no esošā PIK uzturētāja </w:t>
            </w:r>
            <w:r w:rsidR="00B84028">
              <w:t>„</w:t>
            </w:r>
            <w:r w:rsidRPr="00F91A67">
              <w:t>Tilts Integration Ltd.” saņemta detalizēta informācija par konstatētajiem PIK darbības traucējumiem. Papildus ir saņemts LTV tehniskā direktora Arņa Šeibes iesniegums, kurā aprakstītas esošā PIK darbības uzturēšanas aktivitātes.</w:t>
            </w:r>
          </w:p>
          <w:p w:rsidR="00A4165D" w:rsidP="0069660C" w:rsidRDefault="00A4165D">
            <w:pPr>
              <w:jc w:val="both"/>
            </w:pPr>
          </w:p>
          <w:p w:rsidRPr="00075796" w:rsidR="72A1F2BB" w:rsidP="0069660C" w:rsidRDefault="00B368E2">
            <w:pPr>
              <w:jc w:val="both"/>
              <w:rPr>
                <w:color w:val="9BBB59" w:themeColor="accent3"/>
              </w:rPr>
            </w:pPr>
            <w:r w:rsidRPr="00F91A67">
              <w:t>Līdz ar to LTV izsaka nopietnas bažas par esošā PIK turpmākas darbības nepārtrauktības nodrošināšanas iespējām.</w:t>
            </w:r>
          </w:p>
          <w:p w:rsidR="0040660F" w:rsidP="0069660C" w:rsidRDefault="0040660F">
            <w:pPr>
              <w:jc w:val="both"/>
            </w:pPr>
          </w:p>
          <w:p w:rsidR="00375F31" w:rsidP="0069660C" w:rsidRDefault="00B3556C">
            <w:pPr>
              <w:jc w:val="both"/>
            </w:pPr>
            <w:r>
              <w:t>LTV valde kā atbildīgs un gādīgs saimnieks, šobrīd pieprasot PIK iegādei nepieciešamo finansējumu, norāda, ka</w:t>
            </w:r>
            <w:r w:rsidRPr="00375F31" w:rsidR="00375F31">
              <w:t xml:space="preserve"> apstākļos, kad nav pieejamas nepieciešamās ekspertu atbalsta garantijas un nav pieejamas PIK darbības nodrošināšanai nepieciešamās aizvietojošās komponentes</w:t>
            </w:r>
            <w:r>
              <w:t>,</w:t>
            </w:r>
            <w:r w:rsidRPr="00375F31" w:rsidR="00375F31">
              <w:t xml:space="preserve"> neparedzētā gadījuma iestāšanās </w:t>
            </w:r>
            <w:r w:rsidR="004C3DD0">
              <w:t xml:space="preserve">(piemēram, traucēta PIK darbība) </w:t>
            </w:r>
            <w:r w:rsidRPr="00375F31" w:rsidR="00375F31">
              <w:t>nozīmētu vismaz 6 līdz 8 mēnešu darbības apturēšanu, kā arī būtiskus riskus attiecībā uz PIK iegādes cenas sadārdzinājumu.</w:t>
            </w:r>
          </w:p>
          <w:p w:rsidRPr="00075796" w:rsidR="0040660F" w:rsidP="0069660C" w:rsidRDefault="4C400675">
            <w:pPr>
              <w:jc w:val="both"/>
            </w:pPr>
            <w:r w:rsidRPr="00075796">
              <w:lastRenderedPageBreak/>
              <w:t>PIK iegāde ir arī būtisks nosacījums, lai LTV nodrošinātu pāreju uz augstas izšķirtspējas apraides (HD) kvalitātes standartiem.</w:t>
            </w:r>
          </w:p>
          <w:p w:rsidRPr="00075796" w:rsidR="0040660F" w:rsidP="0069660C" w:rsidRDefault="0040660F">
            <w:pPr>
              <w:jc w:val="both"/>
            </w:pPr>
          </w:p>
          <w:p w:rsidRPr="00075796" w:rsidR="00A906DF" w:rsidP="0069660C" w:rsidRDefault="00B84028">
            <w:pPr>
              <w:jc w:val="both"/>
            </w:pPr>
            <w:r w:rsidRPr="00075796">
              <w:t xml:space="preserve">Ņemot vērā iepriekš norādīto, lai nodrošinātu LTV darbības un satura raidīšanas nepārtrauktību, </w:t>
            </w:r>
            <w:r>
              <w:t xml:space="preserve">Projekts paredz </w:t>
            </w:r>
            <w:r w:rsidRPr="00A4165D">
              <w:t xml:space="preserve">no valsts budžeta programmas 02.00.00 „Līdzekļi neparedzētiem gadījumiem” piešķirt Nacionālajai elektronisko plašsaziņas līdzekļu padomei </w:t>
            </w:r>
            <w:r>
              <w:t>finansējumu 1 </w:t>
            </w:r>
            <w:r w:rsidRPr="00A4165D">
              <w:t xml:space="preserve">861 663 </w:t>
            </w:r>
            <w:r w:rsidRPr="00A4165D">
              <w:rPr>
                <w:i/>
              </w:rPr>
              <w:t>euro</w:t>
            </w:r>
            <w:r w:rsidRPr="00A4165D">
              <w:t xml:space="preserve"> </w:t>
            </w:r>
            <w:r>
              <w:t xml:space="preserve">apmērā </w:t>
            </w:r>
            <w:r w:rsidRPr="00A4165D">
              <w:t xml:space="preserve">pārskaitīšanai </w:t>
            </w:r>
            <w:r>
              <w:t>LTV</w:t>
            </w:r>
            <w:r w:rsidRPr="00A4165D">
              <w:t xml:space="preserve"> </w:t>
            </w:r>
            <w:r>
              <w:t>PIK</w:t>
            </w:r>
            <w:r w:rsidRPr="00A4165D">
              <w:t xml:space="preserve"> iegādei</w:t>
            </w:r>
            <w:r>
              <w:t>.</w:t>
            </w:r>
            <w:r w:rsidRPr="00075796">
              <w:t xml:space="preserve"> LTV apņemas </w:t>
            </w:r>
            <w:r>
              <w:t xml:space="preserve">piešķirto finansējumu </w:t>
            </w:r>
            <w:r w:rsidRPr="00075796">
              <w:t>izlietot līdz 2020</w:t>
            </w:r>
            <w:r>
              <w:t>.</w:t>
            </w:r>
            <w:r w:rsidRPr="00075796">
              <w:t>gada beigām.</w:t>
            </w:r>
          </w:p>
        </w:tc>
      </w:tr>
      <w:tr w:rsidRPr="00075796" w:rsidR="00A906DF" w:rsidTr="00075796">
        <w:trPr>
          <w:trHeight w:val="465"/>
          <w:tblCellSpacing w:w="15" w:type="dxa"/>
        </w:trPr>
        <w:tc>
          <w:tcPr>
            <w:tcW w:w="262" w:type="pct"/>
            <w:tcBorders>
              <w:top w:val="outset" w:color="auto" w:sz="6" w:space="0"/>
              <w:bottom w:val="outset" w:color="auto" w:sz="6" w:space="0"/>
              <w:right w:val="outset" w:color="auto" w:sz="6" w:space="0"/>
            </w:tcBorders>
          </w:tcPr>
          <w:p w:rsidRPr="00075796" w:rsidR="00A906DF" w:rsidP="00075796" w:rsidRDefault="00A906DF">
            <w:pPr>
              <w:jc w:val="center"/>
            </w:pPr>
            <w:r w:rsidRPr="00075796">
              <w:lastRenderedPageBreak/>
              <w:t>3.</w:t>
            </w:r>
          </w:p>
        </w:tc>
        <w:tc>
          <w:tcPr>
            <w:tcW w:w="1618" w:type="pct"/>
            <w:tcBorders>
              <w:top w:val="outset" w:color="auto" w:sz="6" w:space="0"/>
              <w:left w:val="outset" w:color="auto" w:sz="6" w:space="0"/>
              <w:bottom w:val="outset" w:color="auto" w:sz="6" w:space="0"/>
              <w:right w:val="outset" w:color="auto" w:sz="6" w:space="0"/>
            </w:tcBorders>
          </w:tcPr>
          <w:p w:rsidRPr="00075796" w:rsidR="00A906DF" w:rsidP="00075796" w:rsidRDefault="00075796">
            <w:r w:rsidRPr="00B46A8A">
              <w:t>Projekta izstrādē iesaistītās institūcijas un publiskas personas kapitālsabiedrības</w:t>
            </w:r>
          </w:p>
        </w:tc>
        <w:tc>
          <w:tcPr>
            <w:tcW w:w="3055" w:type="pct"/>
            <w:tcBorders>
              <w:top w:val="outset" w:color="auto" w:sz="6" w:space="0"/>
              <w:left w:val="outset" w:color="auto" w:sz="6" w:space="0"/>
              <w:bottom w:val="outset" w:color="auto" w:sz="6" w:space="0"/>
            </w:tcBorders>
          </w:tcPr>
          <w:p w:rsidRPr="00075796" w:rsidR="00A906DF" w:rsidP="0069660C" w:rsidRDefault="00A906DF">
            <w:pPr>
              <w:jc w:val="both"/>
              <w:rPr>
                <w:color w:val="808080"/>
              </w:rPr>
            </w:pPr>
            <w:r w:rsidRPr="00075796">
              <w:t>Nacionālā elektronisko plašsaziņas līdze</w:t>
            </w:r>
            <w:r w:rsidRPr="00075796" w:rsidR="00B10099">
              <w:t xml:space="preserve">kļu padome, </w:t>
            </w:r>
            <w:r w:rsidR="00A4165D">
              <w:t xml:space="preserve">LTV, </w:t>
            </w:r>
            <w:r w:rsidRPr="00075796" w:rsidR="00A4165D">
              <w:t>Kultūras ministrija</w:t>
            </w:r>
            <w:r w:rsidR="00A4165D">
              <w:t>.</w:t>
            </w:r>
          </w:p>
        </w:tc>
      </w:tr>
      <w:tr w:rsidRPr="00075796" w:rsidR="00A906DF" w:rsidTr="00075796">
        <w:trPr>
          <w:tblCellSpacing w:w="15" w:type="dxa"/>
        </w:trPr>
        <w:tc>
          <w:tcPr>
            <w:tcW w:w="262" w:type="pct"/>
            <w:tcBorders>
              <w:top w:val="outset" w:color="auto" w:sz="6" w:space="0"/>
              <w:bottom w:val="outset" w:color="auto" w:sz="6" w:space="0"/>
              <w:right w:val="outset" w:color="auto" w:sz="6" w:space="0"/>
            </w:tcBorders>
          </w:tcPr>
          <w:p w:rsidRPr="00075796" w:rsidR="00A906DF" w:rsidP="00075796" w:rsidRDefault="00A906DF">
            <w:pPr>
              <w:jc w:val="center"/>
            </w:pPr>
            <w:r w:rsidRPr="00075796">
              <w:t>4.</w:t>
            </w:r>
          </w:p>
        </w:tc>
        <w:tc>
          <w:tcPr>
            <w:tcW w:w="1618" w:type="pct"/>
            <w:tcBorders>
              <w:top w:val="outset" w:color="auto" w:sz="6" w:space="0"/>
              <w:left w:val="outset" w:color="auto" w:sz="6" w:space="0"/>
              <w:bottom w:val="outset" w:color="auto" w:sz="6" w:space="0"/>
              <w:right w:val="outset" w:color="auto" w:sz="6" w:space="0"/>
            </w:tcBorders>
          </w:tcPr>
          <w:p w:rsidRPr="00075796" w:rsidR="00A906DF" w:rsidP="00075796" w:rsidRDefault="00A906DF">
            <w:r w:rsidRPr="00075796">
              <w:t>Cita informācija</w:t>
            </w:r>
          </w:p>
        </w:tc>
        <w:tc>
          <w:tcPr>
            <w:tcW w:w="3055" w:type="pct"/>
            <w:tcBorders>
              <w:top w:val="outset" w:color="auto" w:sz="6" w:space="0"/>
              <w:left w:val="outset" w:color="auto" w:sz="6" w:space="0"/>
              <w:bottom w:val="outset" w:color="auto" w:sz="6" w:space="0"/>
            </w:tcBorders>
          </w:tcPr>
          <w:p w:rsidRPr="00075796" w:rsidR="00A906DF" w:rsidP="00075796" w:rsidRDefault="00A906DF">
            <w:pPr>
              <w:jc w:val="both"/>
            </w:pPr>
            <w:r w:rsidRPr="00075796">
              <w:t>Nav</w:t>
            </w:r>
          </w:p>
        </w:tc>
      </w:tr>
    </w:tbl>
    <w:p w:rsidRPr="00A15ED9" w:rsidR="00A906DF" w:rsidP="00E554D1" w:rsidRDefault="00A906DF">
      <w:pPr>
        <w:jc w:val="center"/>
        <w:rPr>
          <w:i/>
          <w:iCs/>
        </w:rPr>
      </w:pPr>
    </w:p>
    <w:tbl>
      <w:tblPr>
        <w:tblW w:w="5036"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9287"/>
      </w:tblGrid>
      <w:tr w:rsidRPr="00A15ED9" w:rsidR="00A906DF" w:rsidTr="0079382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rPr>
                <w:b/>
                <w:bCs/>
              </w:rPr>
            </w:pPr>
            <w:r w:rsidRPr="00A15ED9">
              <w:rPr>
                <w:b/>
              </w:rPr>
              <w:t>II. Tiesību akta projekta ietekme uz sabiedrību, tautsaimniecības attīstību un administratīvo slogu</w:t>
            </w:r>
          </w:p>
        </w:tc>
      </w:tr>
      <w:tr w:rsidRPr="00A15ED9" w:rsidR="00A906DF" w:rsidTr="0079382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pPr>
            <w:r w:rsidRPr="00A15ED9">
              <w:t>Projekts šo jomu neskar.</w:t>
            </w:r>
          </w:p>
        </w:tc>
      </w:tr>
    </w:tbl>
    <w:p w:rsidR="00A906DF" w:rsidP="008B0344" w:rsidRDefault="00A906DF">
      <w:pPr>
        <w:jc w:val="center"/>
        <w:rPr>
          <w:i/>
          <w:iCs/>
        </w:rPr>
      </w:pPr>
    </w:p>
    <w:tbl>
      <w:tblPr>
        <w:tblW w:w="5062"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tblPr>
      <w:tblGrid>
        <w:gridCol w:w="1602"/>
        <w:gridCol w:w="113"/>
        <w:gridCol w:w="961"/>
        <w:gridCol w:w="1078"/>
        <w:gridCol w:w="1204"/>
        <w:gridCol w:w="995"/>
        <w:gridCol w:w="852"/>
        <w:gridCol w:w="995"/>
        <w:gridCol w:w="1333"/>
        <w:gridCol w:w="111"/>
      </w:tblGrid>
      <w:tr w:rsidRPr="001768EC" w:rsidR="00F966A3" w:rsidTr="00231870">
        <w:trPr>
          <w:gridAfter w:val="1"/>
          <w:wAfter w:w="61" w:type="pct"/>
        </w:trPr>
        <w:tc>
          <w:tcPr>
            <w:tcW w:w="4939" w:type="pct"/>
            <w:gridSpan w:val="9"/>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center"/>
              <w:rPr>
                <w:b/>
                <w:bCs/>
              </w:rPr>
            </w:pPr>
            <w:r w:rsidRPr="001768EC">
              <w:rPr>
                <w:b/>
                <w:bCs/>
              </w:rPr>
              <w:t>III. Tiesību akta projekta ietekme uz valsts budžetu un pašvaldību budžetiem</w:t>
            </w:r>
          </w:p>
        </w:tc>
      </w:tr>
      <w:tr w:rsidRPr="001768EC" w:rsidR="00F966A3" w:rsidTr="00231870">
        <w:trPr>
          <w:gridAfter w:val="1"/>
          <w:wAfter w:w="61" w:type="pct"/>
        </w:trPr>
        <w:tc>
          <w:tcPr>
            <w:tcW w:w="867" w:type="pct"/>
            <w:vMerge w:val="restart"/>
            <w:tcBorders>
              <w:top w:val="outset" w:color="414142" w:sz="6" w:space="0"/>
              <w:left w:val="outset" w:color="414142" w:sz="6" w:space="0"/>
              <w:bottom w:val="outset" w:color="414142" w:sz="6" w:space="0"/>
              <w:right w:val="single" w:color="auto" w:sz="4" w:space="0"/>
            </w:tcBorders>
            <w:vAlign w:val="center"/>
          </w:tcPr>
          <w:p w:rsidRPr="001768EC" w:rsidR="00F966A3" w:rsidP="00BF0823" w:rsidRDefault="00F966A3">
            <w:pPr>
              <w:spacing w:before="100" w:beforeAutospacing="1" w:after="100" w:afterAutospacing="1" w:line="228" w:lineRule="atLeast"/>
              <w:jc w:val="both"/>
            </w:pPr>
            <w:r w:rsidRPr="001768EC">
              <w:t>Rādītāji</w:t>
            </w:r>
          </w:p>
        </w:tc>
        <w:tc>
          <w:tcPr>
            <w:tcW w:w="1163" w:type="pct"/>
            <w:gridSpan w:val="3"/>
            <w:vMerge w:val="restart"/>
            <w:tcBorders>
              <w:top w:val="outset" w:color="414142" w:sz="6" w:space="0"/>
              <w:left w:val="single" w:color="auto" w:sz="4" w:space="0"/>
              <w:bottom w:val="single" w:color="auto" w:sz="4" w:space="0"/>
              <w:right w:val="outset" w:color="414142" w:sz="6" w:space="0"/>
            </w:tcBorders>
            <w:vAlign w:val="center"/>
          </w:tcPr>
          <w:p w:rsidRPr="001768EC" w:rsidR="00F966A3" w:rsidP="00BF0823" w:rsidRDefault="00F966A3">
            <w:pPr>
              <w:spacing w:before="100" w:beforeAutospacing="1" w:after="100" w:afterAutospacing="1" w:line="228" w:lineRule="atLeast"/>
              <w:jc w:val="center"/>
            </w:pPr>
            <w:r w:rsidRPr="001768EC">
              <w:t>2020.gads</w:t>
            </w:r>
          </w:p>
        </w:tc>
        <w:tc>
          <w:tcPr>
            <w:tcW w:w="2908" w:type="pct"/>
            <w:gridSpan w:val="5"/>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center"/>
            </w:pPr>
            <w:r w:rsidRPr="001768EC">
              <w:t>Turpmākie trīs gadi (</w:t>
            </w:r>
            <w:r w:rsidRPr="001768EC">
              <w:rPr>
                <w:i/>
                <w:iCs/>
              </w:rPr>
              <w:t>euro</w:t>
            </w:r>
            <w:r w:rsidRPr="001768EC">
              <w:t>)</w:t>
            </w:r>
          </w:p>
        </w:tc>
      </w:tr>
      <w:tr w:rsidRPr="001768EC" w:rsidR="00F966A3" w:rsidTr="00231870">
        <w:trPr>
          <w:gridAfter w:val="1"/>
          <w:wAfter w:w="61" w:type="pct"/>
        </w:trPr>
        <w:tc>
          <w:tcPr>
            <w:tcW w:w="867" w:type="pct"/>
            <w:vMerge/>
            <w:tcBorders>
              <w:right w:val="single" w:color="auto" w:sz="4" w:space="0"/>
            </w:tcBorders>
            <w:vAlign w:val="center"/>
          </w:tcPr>
          <w:p w:rsidRPr="001768EC" w:rsidR="00F966A3" w:rsidP="00BF0823" w:rsidRDefault="00F966A3">
            <w:pPr>
              <w:jc w:val="both"/>
            </w:pPr>
          </w:p>
        </w:tc>
        <w:tc>
          <w:tcPr>
            <w:tcW w:w="1163" w:type="pct"/>
            <w:gridSpan w:val="3"/>
            <w:vMerge/>
            <w:tcBorders>
              <w:top w:val="outset" w:color="414142" w:sz="6" w:space="0"/>
              <w:left w:val="single" w:color="auto" w:sz="4" w:space="0"/>
              <w:bottom w:val="single" w:color="auto" w:sz="4" w:space="0"/>
            </w:tcBorders>
            <w:vAlign w:val="center"/>
          </w:tcPr>
          <w:p w:rsidRPr="001768EC" w:rsidR="00F966A3" w:rsidP="00BF0823" w:rsidRDefault="00F966A3"/>
        </w:tc>
        <w:tc>
          <w:tcPr>
            <w:tcW w:w="1188"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center"/>
            </w:pPr>
            <w:r w:rsidRPr="001768EC">
              <w:t>2021.gads</w:t>
            </w:r>
          </w:p>
        </w:tc>
        <w:tc>
          <w:tcPr>
            <w:tcW w:w="999"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center"/>
            </w:pPr>
            <w:r w:rsidRPr="001768EC">
              <w:t>2022.gads</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center"/>
            </w:pPr>
            <w:r w:rsidRPr="001768EC">
              <w:t>2023.gads</w:t>
            </w:r>
          </w:p>
        </w:tc>
      </w:tr>
      <w:tr w:rsidRPr="001768EC" w:rsidR="00F966A3" w:rsidTr="00231870">
        <w:trPr>
          <w:gridAfter w:val="1"/>
          <w:wAfter w:w="61" w:type="pct"/>
        </w:trPr>
        <w:tc>
          <w:tcPr>
            <w:tcW w:w="867" w:type="pct"/>
            <w:vMerge/>
            <w:vAlign w:val="center"/>
          </w:tcPr>
          <w:p w:rsidRPr="001768EC" w:rsidR="00F966A3" w:rsidP="00BF0823" w:rsidRDefault="00F966A3">
            <w:pPr>
              <w:jc w:val="both"/>
            </w:pPr>
          </w:p>
        </w:tc>
        <w:tc>
          <w:tcPr>
            <w:tcW w:w="581" w:type="pct"/>
            <w:gridSpan w:val="2"/>
            <w:tcBorders>
              <w:top w:val="single" w:color="auto" w:sz="4"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saskaņā ar valsts budžetu kārtējam gadam</w:t>
            </w:r>
          </w:p>
        </w:tc>
        <w:tc>
          <w:tcPr>
            <w:tcW w:w="583" w:type="pct"/>
            <w:tcBorders>
              <w:top w:val="single" w:color="auto" w:sz="4"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izmaiņas kārtējā gadā, salīdzinot ar valsts budžetu kārtējam gadam</w:t>
            </w:r>
          </w:p>
        </w:tc>
        <w:tc>
          <w:tcPr>
            <w:tcW w:w="651"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saskaņā ar vidēja termiņa budžeta ietvaru</w:t>
            </w:r>
          </w:p>
        </w:tc>
        <w:tc>
          <w:tcPr>
            <w:tcW w:w="538"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izmaiņas, salīdzinot ar vidēja termiņa budžeta ietvaru 2021. gadam</w:t>
            </w:r>
          </w:p>
        </w:tc>
        <w:tc>
          <w:tcPr>
            <w:tcW w:w="461"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saskaņā ar vidēja termiņa budžeta ietvaru</w:t>
            </w:r>
          </w:p>
        </w:tc>
        <w:tc>
          <w:tcPr>
            <w:tcW w:w="538"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pPr>
              <w:spacing w:before="100" w:beforeAutospacing="1" w:after="100" w:afterAutospacing="1" w:line="228" w:lineRule="atLeast"/>
              <w:jc w:val="center"/>
            </w:pPr>
            <w:r w:rsidRPr="001768EC">
              <w:t>izmaiņas, salīdzinot ar vidēja termiņa budžeta ietvaru 2022. gadam</w:t>
            </w:r>
          </w:p>
        </w:tc>
        <w:tc>
          <w:tcPr>
            <w:tcW w:w="721" w:type="pct"/>
            <w:tcBorders>
              <w:top w:val="outset" w:color="414142" w:sz="6" w:space="0"/>
              <w:left w:val="outset" w:color="414142" w:sz="6" w:space="0"/>
              <w:bottom w:val="outset" w:color="414142" w:sz="6" w:space="0"/>
              <w:right w:val="outset" w:color="414142" w:sz="6" w:space="0"/>
            </w:tcBorders>
          </w:tcPr>
          <w:p w:rsidR="00F966A3" w:rsidP="00BF0823" w:rsidRDefault="00F966A3">
            <w:pPr>
              <w:jc w:val="center"/>
            </w:pPr>
            <w:r w:rsidRPr="001768EC">
              <w:t xml:space="preserve">izmaiņas, salīdzinot ar vidēja termiņa budžeta ietvaru </w:t>
            </w:r>
          </w:p>
          <w:p w:rsidR="00F966A3" w:rsidP="00BF0823" w:rsidRDefault="00F966A3">
            <w:pPr>
              <w:jc w:val="center"/>
            </w:pPr>
            <w:r w:rsidRPr="001768EC">
              <w:t xml:space="preserve">2022. </w:t>
            </w:r>
          </w:p>
          <w:p w:rsidRPr="001768EC" w:rsidR="00F966A3" w:rsidP="00BF0823" w:rsidRDefault="00F966A3">
            <w:pPr>
              <w:jc w:val="center"/>
            </w:pPr>
            <w:r w:rsidRPr="001768EC">
              <w:t>gadam</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1</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2</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3</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4</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5</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6</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7</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spacing w:before="100" w:beforeAutospacing="1" w:after="100" w:afterAutospacing="1" w:line="228" w:lineRule="atLeast"/>
              <w:jc w:val="both"/>
            </w:pPr>
            <w:r w:rsidRPr="001768EC">
              <w:t>8</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1. Budžeta ieņēmumi</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1.1. valsts pamatbudžets, tai skaitā ieņēmumi no maksas pakalpojumiem un citi pašu ieņēmumi</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1.2. valsts speciālais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lastRenderedPageBreak/>
              <w:t>1.3. pašvaldību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2. Budžeta izdevumi</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rPr>
                <w:highlight w:val="yellow"/>
              </w:rPr>
            </w:pPr>
            <w:r>
              <w:t>1 861 66</w:t>
            </w:r>
            <w:r w:rsidR="0090306F">
              <w:t>3</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2.1. valsts pamatbudžets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rPr>
                <w:highlight w:val="yellow"/>
              </w:rPr>
            </w:pPr>
            <w:r>
              <w:t>1 861 66</w:t>
            </w:r>
            <w:r w:rsidR="0090306F">
              <w:t>3</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2.2. valsts speciālais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2.3. pašvaldību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3. Finansiālā ietekme</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F966A3" w:rsidRDefault="00F966A3">
            <w:pPr>
              <w:jc w:val="both"/>
            </w:pPr>
            <w:r>
              <w:t>-1 861 66</w:t>
            </w:r>
            <w:r w:rsidR="0090306F">
              <w:t>3</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3.1. valsts pamatbudžets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t>-1 861 66</w:t>
            </w:r>
            <w:r w:rsidR="0090306F">
              <w:t>3</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3.2. speciālais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outset" w:color="414142" w:sz="6" w:space="0"/>
              <w:right w:val="outset" w:color="414142" w:sz="6" w:space="0"/>
            </w:tcBorders>
          </w:tcPr>
          <w:p w:rsidRPr="001768EC" w:rsidR="00F966A3" w:rsidP="00BF0823" w:rsidRDefault="00F966A3">
            <w:r w:rsidRPr="001768EC">
              <w:t>3.3. pašvaldību budžets</w:t>
            </w:r>
          </w:p>
        </w:tc>
        <w:tc>
          <w:tcPr>
            <w:tcW w:w="581" w:type="pct"/>
            <w:gridSpan w:val="2"/>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83"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65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538"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outset" w:color="414142" w:sz="6"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outset" w:color="414142" w:sz="6" w:space="0"/>
              <w:left w:val="outset" w:color="414142" w:sz="6" w:space="0"/>
              <w:bottom w:val="single" w:color="auto" w:sz="4" w:space="0"/>
              <w:right w:val="outset" w:color="414142" w:sz="6" w:space="0"/>
            </w:tcBorders>
          </w:tcPr>
          <w:p w:rsidRPr="001768EC" w:rsidR="00F966A3" w:rsidP="00BF0823" w:rsidRDefault="00F966A3">
            <w:r w:rsidRPr="001768EC">
              <w:t>4. Finanšu līdzekļi papildu izdevumu finansēšanai (kompensējošu izdevumu samazinājumu norāda ar "+" zīmi)</w:t>
            </w:r>
          </w:p>
        </w:tc>
        <w:tc>
          <w:tcPr>
            <w:tcW w:w="581" w:type="pct"/>
            <w:gridSpan w:val="2"/>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X</w:t>
            </w:r>
          </w:p>
        </w:tc>
        <w:tc>
          <w:tcPr>
            <w:tcW w:w="583"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t>1 861 66</w:t>
            </w:r>
            <w:r w:rsidR="0090306F">
              <w:t>3</w:t>
            </w:r>
          </w:p>
        </w:tc>
        <w:tc>
          <w:tcPr>
            <w:tcW w:w="651"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X</w:t>
            </w:r>
          </w:p>
        </w:tc>
        <w:tc>
          <w:tcPr>
            <w:tcW w:w="538"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0</w:t>
            </w:r>
          </w:p>
        </w:tc>
        <w:tc>
          <w:tcPr>
            <w:tcW w:w="461"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X</w:t>
            </w:r>
          </w:p>
        </w:tc>
        <w:tc>
          <w:tcPr>
            <w:tcW w:w="538"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0</w:t>
            </w:r>
          </w:p>
        </w:tc>
        <w:tc>
          <w:tcPr>
            <w:tcW w:w="721" w:type="pct"/>
            <w:tcBorders>
              <w:top w:val="outset" w:color="414142" w:sz="6" w:space="0"/>
              <w:left w:val="outset" w:color="414142" w:sz="6" w:space="0"/>
              <w:bottom w:val="single" w:color="auto" w:sz="4" w:space="0"/>
              <w:right w:val="outset" w:color="414142" w:sz="6"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single" w:color="auto" w:sz="4" w:space="0"/>
              <w:left w:val="single" w:color="auto" w:sz="4" w:space="0"/>
              <w:bottom w:val="single" w:color="auto" w:sz="4" w:space="0"/>
              <w:right w:val="single" w:color="auto" w:sz="4" w:space="0"/>
            </w:tcBorders>
          </w:tcPr>
          <w:p w:rsidRPr="001768EC" w:rsidR="00F966A3" w:rsidP="00BF0823" w:rsidRDefault="00F966A3">
            <w:r w:rsidRPr="001768EC">
              <w:t>5. Precizēta finansiālā ietekme</w:t>
            </w:r>
          </w:p>
        </w:tc>
        <w:tc>
          <w:tcPr>
            <w:tcW w:w="581" w:type="pct"/>
            <w:gridSpan w:val="2"/>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X</w:t>
            </w:r>
          </w:p>
        </w:tc>
        <w:tc>
          <w:tcPr>
            <w:tcW w:w="583"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65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X</w:t>
            </w: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46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X</w:t>
            </w: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72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single" w:color="auto" w:sz="4" w:space="0"/>
              <w:left w:val="single" w:color="auto" w:sz="4" w:space="0"/>
              <w:bottom w:val="single" w:color="auto" w:sz="4" w:space="0"/>
              <w:right w:val="single" w:color="auto" w:sz="4" w:space="0"/>
            </w:tcBorders>
          </w:tcPr>
          <w:p w:rsidRPr="001768EC" w:rsidR="00F966A3" w:rsidP="00BF0823" w:rsidRDefault="00F966A3">
            <w:r w:rsidRPr="001768EC">
              <w:t>5.1. valsts pamatbudžets</w:t>
            </w:r>
          </w:p>
        </w:tc>
        <w:tc>
          <w:tcPr>
            <w:tcW w:w="581" w:type="pct"/>
            <w:gridSpan w:val="2"/>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83"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65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46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72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single" w:color="auto" w:sz="4" w:space="0"/>
              <w:left w:val="single" w:color="auto" w:sz="4" w:space="0"/>
              <w:bottom w:val="single" w:color="auto" w:sz="4" w:space="0"/>
              <w:right w:val="single" w:color="auto" w:sz="4" w:space="0"/>
            </w:tcBorders>
          </w:tcPr>
          <w:p w:rsidRPr="001768EC" w:rsidR="00F966A3" w:rsidP="00BF0823" w:rsidRDefault="00F966A3">
            <w:r w:rsidRPr="001768EC">
              <w:t>5.2. speciālais budžets</w:t>
            </w:r>
          </w:p>
        </w:tc>
        <w:tc>
          <w:tcPr>
            <w:tcW w:w="581" w:type="pct"/>
            <w:gridSpan w:val="2"/>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83"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65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46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72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r>
      <w:tr w:rsidRPr="001768EC" w:rsidR="00F966A3" w:rsidTr="00231870">
        <w:trPr>
          <w:gridAfter w:val="1"/>
          <w:wAfter w:w="61" w:type="pct"/>
        </w:trPr>
        <w:tc>
          <w:tcPr>
            <w:tcW w:w="867" w:type="pct"/>
            <w:tcBorders>
              <w:top w:val="single" w:color="auto" w:sz="4" w:space="0"/>
              <w:left w:val="single" w:color="auto" w:sz="4" w:space="0"/>
              <w:bottom w:val="single" w:color="auto" w:sz="4" w:space="0"/>
              <w:right w:val="single" w:color="auto" w:sz="4" w:space="0"/>
            </w:tcBorders>
          </w:tcPr>
          <w:p w:rsidRPr="001768EC" w:rsidR="00F966A3" w:rsidP="00BF0823" w:rsidRDefault="00F966A3">
            <w:r w:rsidRPr="001768EC">
              <w:t>5.3. pašvaldību budžets</w:t>
            </w:r>
          </w:p>
        </w:tc>
        <w:tc>
          <w:tcPr>
            <w:tcW w:w="581" w:type="pct"/>
            <w:gridSpan w:val="2"/>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83"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65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46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p>
        </w:tc>
        <w:tc>
          <w:tcPr>
            <w:tcW w:w="538"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c>
          <w:tcPr>
            <w:tcW w:w="721" w:type="pct"/>
            <w:tcBorders>
              <w:top w:val="single" w:color="auto" w:sz="4" w:space="0"/>
              <w:left w:val="single" w:color="auto" w:sz="4" w:space="0"/>
              <w:bottom w:val="single" w:color="auto" w:sz="4" w:space="0"/>
              <w:right w:val="single" w:color="auto" w:sz="4" w:space="0"/>
            </w:tcBorders>
            <w:vAlign w:val="center"/>
          </w:tcPr>
          <w:p w:rsidRPr="001768EC" w:rsidR="00F966A3" w:rsidP="00BF0823" w:rsidRDefault="00F966A3">
            <w:pPr>
              <w:jc w:val="both"/>
            </w:pPr>
            <w:r w:rsidRPr="001768EC">
              <w:t> 0</w:t>
            </w:r>
          </w:p>
        </w:tc>
      </w:tr>
      <w:tr w:rsidRPr="00A15ED9" w:rsidR="00401137" w:rsidTr="00231870">
        <w:tblPrEx>
          <w:jc w:val="center"/>
          <w:tblCellSpacing w:w="15" w:type="dxa"/>
          <w:tblBorders>
            <w:top w:val="outset" w:color="auto" w:sz="6" w:space="0"/>
            <w:left w:val="outset" w:color="auto" w:sz="6" w:space="0"/>
            <w:bottom w:val="outset" w:color="auto" w:sz="6" w:space="0"/>
            <w:right w:val="outset" w:color="auto" w:sz="6" w:space="0"/>
          </w:tblBorders>
        </w:tblPrEx>
        <w:trPr>
          <w:trHeight w:val="4045"/>
          <w:tblCellSpacing w:w="15" w:type="dxa"/>
          <w:jc w:val="center"/>
        </w:trPr>
        <w:tc>
          <w:tcPr>
            <w:tcW w:w="928" w:type="pct"/>
            <w:gridSpan w:val="2"/>
            <w:tcBorders>
              <w:top w:val="outset" w:color="auto" w:sz="6" w:space="0"/>
              <w:bottom w:val="outset" w:color="auto" w:sz="6" w:space="0"/>
              <w:right w:val="outset" w:color="auto" w:sz="6" w:space="0"/>
            </w:tcBorders>
          </w:tcPr>
          <w:p w:rsidRPr="00A15ED9" w:rsidR="00A906DF" w:rsidP="003952E6" w:rsidRDefault="00A906DF">
            <w:r w:rsidRPr="00A15ED9">
              <w:lastRenderedPageBreak/>
              <w:t>6. Detalizēts ieņēmumu un izdevumu aprēķins (ja nepieciešams, detalizētu ieņēmumu un izdevumu aprēķinu var pievienot anotācijas pielikumā):</w:t>
            </w:r>
          </w:p>
        </w:tc>
        <w:tc>
          <w:tcPr>
            <w:tcW w:w="4072" w:type="pct"/>
            <w:gridSpan w:val="8"/>
            <w:vMerge w:val="restart"/>
            <w:tcBorders>
              <w:top w:val="outset" w:color="auto" w:sz="6" w:space="0"/>
              <w:left w:val="outset" w:color="auto" w:sz="6" w:space="0"/>
              <w:bottom w:val="outset" w:color="auto" w:sz="6" w:space="0"/>
            </w:tcBorders>
          </w:tcPr>
          <w:p w:rsidRPr="0069660C" w:rsidR="00645A37" w:rsidP="0069660C" w:rsidRDefault="00645A37">
            <w:pPr>
              <w:spacing w:line="276" w:lineRule="auto"/>
            </w:pPr>
          </w:p>
          <w:p w:rsidRPr="0069660C" w:rsidR="00530C98" w:rsidP="00E91C3F" w:rsidRDefault="00932DD2">
            <w:pPr>
              <w:jc w:val="both"/>
            </w:pPr>
            <w:r w:rsidRPr="0069660C">
              <w:t>Piešķirtie finanšu līdzekļi tiks izmantoti LTV</w:t>
            </w:r>
            <w:r w:rsidRPr="0069660C" w:rsidR="00515EC6">
              <w:t xml:space="preserve"> </w:t>
            </w:r>
            <w:r w:rsidRPr="0069660C" w:rsidR="00A4165D">
              <w:t>PIK iegādei 2020.</w:t>
            </w:r>
            <w:r w:rsidRPr="0069660C" w:rsidR="003A13B8">
              <w:t>gadā.</w:t>
            </w:r>
            <w:r w:rsidRPr="0069660C" w:rsidR="00515EC6">
              <w:t xml:space="preserve"> </w:t>
            </w:r>
          </w:p>
          <w:p w:rsidRPr="0069660C" w:rsidR="00530C98" w:rsidP="00E91C3F" w:rsidRDefault="00530C98">
            <w:pPr>
              <w:jc w:val="both"/>
            </w:pPr>
          </w:p>
          <w:p w:rsidRPr="0069660C" w:rsidR="00EA514F" w:rsidP="00E91C3F" w:rsidRDefault="00EA514F">
            <w:pPr>
              <w:jc w:val="both"/>
            </w:pPr>
            <w:r w:rsidRPr="0069660C">
              <w:t>Finanšu resu</w:t>
            </w:r>
            <w:r w:rsidRPr="0069660C" w:rsidR="00AF059F">
              <w:t xml:space="preserve">rsu izlietojuma sadalījums </w:t>
            </w:r>
            <w:r w:rsidRPr="0069660C" w:rsidR="00EA159B">
              <w:t xml:space="preserve">provizoriski </w:t>
            </w:r>
            <w:r w:rsidRPr="0069660C" w:rsidR="00AF059F">
              <w:t xml:space="preserve">tiek plānots sekojošā </w:t>
            </w:r>
            <w:r w:rsidRPr="0069660C" w:rsidR="00A70A94">
              <w:t xml:space="preserve">mēnešu un ekonomisko kategoriju kodu (EKK) </w:t>
            </w:r>
            <w:r w:rsidRPr="0069660C" w:rsidR="00AF059F">
              <w:t>dalījumā:</w:t>
            </w:r>
          </w:p>
          <w:p w:rsidRPr="0069660C" w:rsidR="001421D1" w:rsidP="00E91C3F" w:rsidRDefault="001421D1"/>
          <w:tbl>
            <w:tblPr>
              <w:tblStyle w:val="Reatabula"/>
              <w:tblW w:w="0" w:type="auto"/>
              <w:tblInd w:w="232" w:type="dxa"/>
              <w:tblLook w:val="04A0"/>
            </w:tblPr>
            <w:tblGrid>
              <w:gridCol w:w="3315"/>
              <w:gridCol w:w="3548"/>
            </w:tblGrid>
            <w:tr w:rsidRPr="0069660C" w:rsidR="001421D1" w:rsidTr="00075796">
              <w:tc>
                <w:tcPr>
                  <w:tcW w:w="3315" w:type="dxa"/>
                </w:tcPr>
                <w:p w:rsidRPr="0069660C" w:rsidR="001421D1" w:rsidP="00E91C3F" w:rsidRDefault="001421D1">
                  <w:pPr>
                    <w:jc w:val="center"/>
                    <w:rPr>
                      <w:b/>
                      <w:bCs/>
                    </w:rPr>
                  </w:pPr>
                  <w:r w:rsidRPr="0069660C">
                    <w:rPr>
                      <w:b/>
                      <w:bCs/>
                    </w:rPr>
                    <w:t>Mēnesis</w:t>
                  </w:r>
                </w:p>
              </w:tc>
              <w:tc>
                <w:tcPr>
                  <w:tcW w:w="3548" w:type="dxa"/>
                </w:tcPr>
                <w:p w:rsidRPr="0069660C" w:rsidR="001421D1" w:rsidP="00E91C3F" w:rsidRDefault="00A4165D">
                  <w:pPr>
                    <w:jc w:val="center"/>
                    <w:rPr>
                      <w:b/>
                      <w:bCs/>
                      <w:i/>
                    </w:rPr>
                  </w:pPr>
                  <w:r w:rsidRPr="0069660C">
                    <w:rPr>
                      <w:b/>
                      <w:bCs/>
                      <w:i/>
                    </w:rPr>
                    <w:t>euro</w:t>
                  </w:r>
                </w:p>
              </w:tc>
            </w:tr>
            <w:tr w:rsidRPr="0069660C" w:rsidR="00BF528B" w:rsidTr="00075796">
              <w:tc>
                <w:tcPr>
                  <w:tcW w:w="3315" w:type="dxa"/>
                </w:tcPr>
                <w:p w:rsidRPr="0069660C" w:rsidR="00BF528B" w:rsidP="00E91C3F" w:rsidRDefault="00BF528B"/>
              </w:tc>
              <w:tc>
                <w:tcPr>
                  <w:tcW w:w="3548" w:type="dxa"/>
                </w:tcPr>
                <w:p w:rsidRPr="0069660C" w:rsidR="00BF528B" w:rsidP="00E91C3F" w:rsidRDefault="00BF528B">
                  <w:pPr>
                    <w:jc w:val="center"/>
                  </w:pPr>
                </w:p>
              </w:tc>
            </w:tr>
            <w:tr w:rsidRPr="0069660C" w:rsidR="00BF528B" w:rsidTr="00075796">
              <w:tc>
                <w:tcPr>
                  <w:tcW w:w="3315" w:type="dxa"/>
                </w:tcPr>
                <w:p w:rsidRPr="0069660C" w:rsidR="00BF528B" w:rsidP="00E91C3F" w:rsidRDefault="00851398">
                  <w:r w:rsidRPr="0069660C">
                    <w:t>Novembris</w:t>
                  </w:r>
                  <w:r w:rsidRPr="0069660C" w:rsidR="00BF528B">
                    <w:t xml:space="preserve"> 2020</w:t>
                  </w:r>
                </w:p>
              </w:tc>
              <w:tc>
                <w:tcPr>
                  <w:tcW w:w="3548" w:type="dxa"/>
                </w:tcPr>
                <w:p w:rsidRPr="0069660C" w:rsidR="00BF528B" w:rsidP="00E91C3F" w:rsidRDefault="00851398">
                  <w:pPr>
                    <w:jc w:val="center"/>
                  </w:pPr>
                  <w:r w:rsidRPr="0069660C">
                    <w:t>1 861 66</w:t>
                  </w:r>
                  <w:r w:rsidRPr="0069660C" w:rsidR="0090306F">
                    <w:t>3</w:t>
                  </w:r>
                </w:p>
              </w:tc>
            </w:tr>
            <w:tr w:rsidRPr="0069660C" w:rsidR="00BF528B" w:rsidTr="00075796">
              <w:tc>
                <w:tcPr>
                  <w:tcW w:w="3315" w:type="dxa"/>
                </w:tcPr>
                <w:p w:rsidRPr="0069660C" w:rsidR="00BF528B" w:rsidP="00E91C3F" w:rsidRDefault="00851398">
                  <w:r w:rsidRPr="0069660C">
                    <w:t>Decembris</w:t>
                  </w:r>
                  <w:r w:rsidRPr="0069660C" w:rsidR="00BF528B">
                    <w:t xml:space="preserve"> 2020</w:t>
                  </w:r>
                </w:p>
              </w:tc>
              <w:tc>
                <w:tcPr>
                  <w:tcW w:w="3548" w:type="dxa"/>
                </w:tcPr>
                <w:p w:rsidRPr="0069660C" w:rsidR="00BF528B" w:rsidP="00E91C3F" w:rsidRDefault="00851398">
                  <w:pPr>
                    <w:jc w:val="center"/>
                  </w:pPr>
                  <w:r w:rsidRPr="0069660C">
                    <w:t>-</w:t>
                  </w:r>
                </w:p>
              </w:tc>
            </w:tr>
          </w:tbl>
          <w:p w:rsidRPr="0069660C" w:rsidR="0090104C" w:rsidP="00E91C3F" w:rsidRDefault="0090104C">
            <w:pPr>
              <w:rPr>
                <w:color w:val="00B0F0"/>
              </w:rPr>
            </w:pPr>
          </w:p>
          <w:p w:rsidRPr="0069660C" w:rsidR="0090104C" w:rsidP="00E91C3F" w:rsidRDefault="0090104C">
            <w:pPr>
              <w:rPr>
                <w:color w:val="00B0F0"/>
              </w:rPr>
            </w:pPr>
          </w:p>
          <w:tbl>
            <w:tblPr>
              <w:tblStyle w:val="Reatabula"/>
              <w:tblW w:w="0" w:type="auto"/>
              <w:jc w:val="center"/>
              <w:tblLook w:val="04A0"/>
            </w:tblPr>
            <w:tblGrid>
              <w:gridCol w:w="1022"/>
              <w:gridCol w:w="2090"/>
              <w:gridCol w:w="1656"/>
              <w:gridCol w:w="2327"/>
            </w:tblGrid>
            <w:tr w:rsidRPr="0069660C" w:rsidR="00D42DE5" w:rsidTr="004C3DD0">
              <w:trPr>
                <w:jc w:val="center"/>
              </w:trPr>
              <w:tc>
                <w:tcPr>
                  <w:tcW w:w="1022" w:type="dxa"/>
                  <w:vAlign w:val="center"/>
                </w:tcPr>
                <w:p w:rsidRPr="0069660C" w:rsidR="001421D1" w:rsidP="00E91C3F" w:rsidRDefault="001421D1">
                  <w:pPr>
                    <w:jc w:val="center"/>
                    <w:rPr>
                      <w:b/>
                    </w:rPr>
                  </w:pPr>
                  <w:r w:rsidRPr="0069660C">
                    <w:rPr>
                      <w:b/>
                    </w:rPr>
                    <w:t>EKK kods</w:t>
                  </w:r>
                </w:p>
              </w:tc>
              <w:tc>
                <w:tcPr>
                  <w:tcW w:w="2090" w:type="dxa"/>
                  <w:vAlign w:val="center"/>
                </w:tcPr>
                <w:p w:rsidRPr="0069660C" w:rsidR="001421D1" w:rsidP="00E91C3F" w:rsidRDefault="001421D1">
                  <w:pPr>
                    <w:jc w:val="center"/>
                    <w:rPr>
                      <w:b/>
                    </w:rPr>
                  </w:pPr>
                  <w:r w:rsidRPr="0069660C">
                    <w:rPr>
                      <w:b/>
                    </w:rPr>
                    <w:t>EKK nosaukums</w:t>
                  </w:r>
                </w:p>
              </w:tc>
              <w:tc>
                <w:tcPr>
                  <w:tcW w:w="1656" w:type="dxa"/>
                  <w:vAlign w:val="center"/>
                </w:tcPr>
                <w:p w:rsidRPr="0069660C" w:rsidR="001421D1" w:rsidP="00E91C3F" w:rsidRDefault="00A4165D">
                  <w:pPr>
                    <w:jc w:val="center"/>
                    <w:rPr>
                      <w:b/>
                    </w:rPr>
                  </w:pPr>
                  <w:r w:rsidRPr="0069660C">
                    <w:rPr>
                      <w:b/>
                      <w:bCs/>
                      <w:i/>
                    </w:rPr>
                    <w:t>euro</w:t>
                  </w:r>
                </w:p>
              </w:tc>
              <w:tc>
                <w:tcPr>
                  <w:tcW w:w="2327" w:type="dxa"/>
                  <w:vAlign w:val="center"/>
                </w:tcPr>
                <w:p w:rsidRPr="0069660C" w:rsidR="001421D1" w:rsidP="00E91C3F" w:rsidRDefault="001421D1">
                  <w:pPr>
                    <w:jc w:val="center"/>
                    <w:rPr>
                      <w:b/>
                    </w:rPr>
                  </w:pPr>
                  <w:r w:rsidRPr="0069660C">
                    <w:rPr>
                      <w:b/>
                    </w:rPr>
                    <w:t>Skaidrojumi</w:t>
                  </w:r>
                </w:p>
              </w:tc>
            </w:tr>
            <w:tr w:rsidRPr="0069660C" w:rsidR="00D42DE5" w:rsidTr="004C3DD0">
              <w:trPr>
                <w:jc w:val="center"/>
              </w:trPr>
              <w:tc>
                <w:tcPr>
                  <w:tcW w:w="1022" w:type="dxa"/>
                </w:tcPr>
                <w:p w:rsidRPr="0069660C" w:rsidR="001421D1" w:rsidP="00E91C3F" w:rsidRDefault="00244792">
                  <w:pPr>
                    <w:jc w:val="center"/>
                  </w:pPr>
                  <w:r w:rsidRPr="0069660C">
                    <w:t>1000</w:t>
                  </w:r>
                </w:p>
              </w:tc>
              <w:tc>
                <w:tcPr>
                  <w:tcW w:w="2090" w:type="dxa"/>
                </w:tcPr>
                <w:p w:rsidRPr="0069660C" w:rsidR="001421D1" w:rsidP="00E91C3F" w:rsidRDefault="001421D1">
                  <w:pPr>
                    <w:jc w:val="center"/>
                  </w:pPr>
                  <w:r w:rsidRPr="0069660C">
                    <w:t>Atlīdzība</w:t>
                  </w:r>
                </w:p>
              </w:tc>
              <w:tc>
                <w:tcPr>
                  <w:tcW w:w="1656" w:type="dxa"/>
                </w:tcPr>
                <w:p w:rsidRPr="0069660C" w:rsidR="001421D1" w:rsidP="00E91C3F" w:rsidRDefault="009666DA">
                  <w:pPr>
                    <w:jc w:val="center"/>
                  </w:pPr>
                  <w:r w:rsidRPr="0069660C">
                    <w:t>-</w:t>
                  </w:r>
                </w:p>
              </w:tc>
              <w:tc>
                <w:tcPr>
                  <w:tcW w:w="2327" w:type="dxa"/>
                  <w:vMerge w:val="restart"/>
                </w:tcPr>
                <w:p w:rsidRPr="0069660C" w:rsidR="001421D1" w:rsidP="00E91C3F" w:rsidRDefault="004314CD">
                  <w:pPr>
                    <w:jc w:val="center"/>
                  </w:pPr>
                  <w:r w:rsidRPr="0069660C">
                    <w:t>Konkurs</w:t>
                  </w:r>
                  <w:r w:rsidRPr="0069660C" w:rsidR="0050540E">
                    <w:t>ā</w:t>
                  </w:r>
                  <w:r w:rsidRPr="0069660C">
                    <w:t xml:space="preserve"> </w:t>
                  </w:r>
                  <w:r w:rsidRPr="0069660C" w:rsidR="00535A69">
                    <w:t xml:space="preserve">pasludināmā </w:t>
                  </w:r>
                  <w:r w:rsidRPr="0069660C">
                    <w:t xml:space="preserve">uzvarētāja iesniegtā </w:t>
                  </w:r>
                  <w:r w:rsidRPr="0069660C" w:rsidR="00AB4DC8">
                    <w:t xml:space="preserve">PIK piegādes </w:t>
                  </w:r>
                  <w:r w:rsidRPr="0069660C">
                    <w:t>finanšu piedāvājuma cena ar PVN 21%</w:t>
                  </w:r>
                </w:p>
              </w:tc>
            </w:tr>
            <w:tr w:rsidRPr="0069660C" w:rsidR="00D42DE5" w:rsidTr="004C3DD0">
              <w:trPr>
                <w:jc w:val="center"/>
              </w:trPr>
              <w:tc>
                <w:tcPr>
                  <w:tcW w:w="1022" w:type="dxa"/>
                </w:tcPr>
                <w:p w:rsidRPr="0069660C" w:rsidR="001421D1" w:rsidP="00E91C3F" w:rsidRDefault="00D42DE5">
                  <w:pPr>
                    <w:jc w:val="center"/>
                  </w:pPr>
                  <w:r w:rsidRPr="0069660C">
                    <w:t>2000</w:t>
                  </w:r>
                </w:p>
              </w:tc>
              <w:tc>
                <w:tcPr>
                  <w:tcW w:w="2090" w:type="dxa"/>
                </w:tcPr>
                <w:p w:rsidRPr="0069660C" w:rsidR="001421D1" w:rsidP="00E91C3F" w:rsidRDefault="00D42DE5">
                  <w:pPr>
                    <w:jc w:val="center"/>
                  </w:pPr>
                  <w:r w:rsidRPr="0069660C">
                    <w:t xml:space="preserve">Preces un </w:t>
                  </w:r>
                  <w:r w:rsidRPr="0069660C" w:rsidR="001421D1">
                    <w:t>Pakalpojumi</w:t>
                  </w:r>
                </w:p>
              </w:tc>
              <w:tc>
                <w:tcPr>
                  <w:tcW w:w="1656" w:type="dxa"/>
                </w:tcPr>
                <w:p w:rsidRPr="0069660C" w:rsidR="001421D1" w:rsidP="00E91C3F" w:rsidRDefault="009666DA">
                  <w:pPr>
                    <w:jc w:val="center"/>
                  </w:pPr>
                  <w:r w:rsidRPr="0069660C">
                    <w:t>-</w:t>
                  </w:r>
                </w:p>
              </w:tc>
              <w:tc>
                <w:tcPr>
                  <w:tcW w:w="2327" w:type="dxa"/>
                  <w:vMerge/>
                </w:tcPr>
                <w:p w:rsidRPr="0069660C" w:rsidR="001421D1" w:rsidP="00E91C3F" w:rsidRDefault="001421D1">
                  <w:pPr>
                    <w:jc w:val="center"/>
                  </w:pPr>
                </w:p>
              </w:tc>
            </w:tr>
            <w:tr w:rsidRPr="0069660C" w:rsidR="00D42DE5" w:rsidTr="004C3DD0">
              <w:trPr>
                <w:jc w:val="center"/>
              </w:trPr>
              <w:tc>
                <w:tcPr>
                  <w:tcW w:w="1022" w:type="dxa"/>
                </w:tcPr>
                <w:p w:rsidRPr="0069660C" w:rsidR="001421D1" w:rsidP="00E91C3F" w:rsidRDefault="00D42DE5">
                  <w:pPr>
                    <w:jc w:val="center"/>
                  </w:pPr>
                  <w:r w:rsidRPr="0069660C">
                    <w:t>5000</w:t>
                  </w:r>
                </w:p>
              </w:tc>
              <w:tc>
                <w:tcPr>
                  <w:tcW w:w="2090" w:type="dxa"/>
                </w:tcPr>
                <w:p w:rsidRPr="0069660C" w:rsidR="001421D1" w:rsidP="00E91C3F" w:rsidRDefault="00F93216">
                  <w:pPr>
                    <w:jc w:val="center"/>
                  </w:pPr>
                  <w:r w:rsidRPr="0069660C">
                    <w:t>Pamatkapitāla veidošana</w:t>
                  </w:r>
                </w:p>
              </w:tc>
              <w:tc>
                <w:tcPr>
                  <w:tcW w:w="1656" w:type="dxa"/>
                </w:tcPr>
                <w:p w:rsidRPr="0069660C" w:rsidR="001421D1" w:rsidP="00E91C3F" w:rsidRDefault="000B2487">
                  <w:pPr>
                    <w:jc w:val="center"/>
                  </w:pPr>
                  <w:r w:rsidRPr="0069660C">
                    <w:t>1 861</w:t>
                  </w:r>
                  <w:r w:rsidRPr="0069660C" w:rsidR="00611DFC">
                    <w:t xml:space="preserve"> 6</w:t>
                  </w:r>
                  <w:r w:rsidRPr="0069660C">
                    <w:t>6</w:t>
                  </w:r>
                  <w:r w:rsidRPr="0069660C" w:rsidR="0090306F">
                    <w:t>3</w:t>
                  </w:r>
                </w:p>
              </w:tc>
              <w:tc>
                <w:tcPr>
                  <w:tcW w:w="2327" w:type="dxa"/>
                  <w:vMerge/>
                </w:tcPr>
                <w:p w:rsidRPr="0069660C" w:rsidR="001421D1" w:rsidP="00E91C3F" w:rsidRDefault="001421D1">
                  <w:pPr>
                    <w:jc w:val="center"/>
                  </w:pPr>
                </w:p>
              </w:tc>
            </w:tr>
            <w:tr w:rsidRPr="0069660C" w:rsidR="00D42DE5" w:rsidTr="004C3DD0">
              <w:trPr>
                <w:jc w:val="center"/>
              </w:trPr>
              <w:tc>
                <w:tcPr>
                  <w:tcW w:w="1022" w:type="dxa"/>
                </w:tcPr>
                <w:p w:rsidRPr="0069660C" w:rsidR="001421D1" w:rsidP="00E91C3F" w:rsidRDefault="001421D1">
                  <w:pPr>
                    <w:jc w:val="center"/>
                  </w:pPr>
                </w:p>
              </w:tc>
              <w:tc>
                <w:tcPr>
                  <w:tcW w:w="2090" w:type="dxa"/>
                </w:tcPr>
                <w:p w:rsidRPr="0069660C" w:rsidR="001421D1" w:rsidP="00E91C3F" w:rsidRDefault="001421D1">
                  <w:pPr>
                    <w:jc w:val="center"/>
                  </w:pPr>
                </w:p>
              </w:tc>
              <w:tc>
                <w:tcPr>
                  <w:tcW w:w="1656" w:type="dxa"/>
                </w:tcPr>
                <w:p w:rsidRPr="0069660C" w:rsidR="001421D1" w:rsidP="00E91C3F" w:rsidRDefault="001421D1">
                  <w:pPr>
                    <w:jc w:val="center"/>
                  </w:pPr>
                </w:p>
              </w:tc>
              <w:tc>
                <w:tcPr>
                  <w:tcW w:w="2327" w:type="dxa"/>
                  <w:vMerge/>
                </w:tcPr>
                <w:p w:rsidRPr="0069660C" w:rsidR="001421D1" w:rsidP="00E91C3F" w:rsidRDefault="001421D1">
                  <w:pPr>
                    <w:jc w:val="center"/>
                  </w:pPr>
                </w:p>
              </w:tc>
            </w:tr>
          </w:tbl>
          <w:p w:rsidRPr="0069660C" w:rsidR="00EF28D4" w:rsidP="00E91C3F" w:rsidRDefault="00EF28D4">
            <w:pPr>
              <w:jc w:val="center"/>
            </w:pPr>
          </w:p>
          <w:p w:rsidRPr="0069660C" w:rsidR="0061021A" w:rsidP="0069660C" w:rsidRDefault="0061021A">
            <w:pPr>
              <w:spacing w:line="276" w:lineRule="auto"/>
              <w:jc w:val="both"/>
            </w:pPr>
          </w:p>
        </w:tc>
      </w:tr>
      <w:tr w:rsidRPr="00A15ED9" w:rsidR="00401137" w:rsidTr="00231870">
        <w:tblPrEx>
          <w:jc w:val="center"/>
          <w:tblCellSpacing w:w="15" w:type="dxa"/>
          <w:tblBorders>
            <w:top w:val="outset" w:color="auto" w:sz="6" w:space="0"/>
            <w:left w:val="outset" w:color="auto" w:sz="6" w:space="0"/>
            <w:bottom w:val="outset" w:color="auto" w:sz="6" w:space="0"/>
            <w:right w:val="outset" w:color="auto" w:sz="6" w:space="0"/>
          </w:tblBorders>
        </w:tblPrEx>
        <w:trPr>
          <w:tblCellSpacing w:w="15" w:type="dxa"/>
          <w:jc w:val="center"/>
        </w:trPr>
        <w:tc>
          <w:tcPr>
            <w:tcW w:w="928" w:type="pct"/>
            <w:gridSpan w:val="2"/>
            <w:tcBorders>
              <w:top w:val="outset" w:color="auto" w:sz="6" w:space="0"/>
              <w:bottom w:val="outset" w:color="auto" w:sz="6" w:space="0"/>
              <w:right w:val="outset" w:color="auto" w:sz="6" w:space="0"/>
            </w:tcBorders>
          </w:tcPr>
          <w:p w:rsidRPr="00A15ED9" w:rsidR="00A906DF" w:rsidP="008B0344" w:rsidRDefault="00A906DF">
            <w:r w:rsidRPr="00A15ED9">
              <w:t>6.1. detalizēts ieņēmumu aprēķins</w:t>
            </w:r>
          </w:p>
        </w:tc>
        <w:tc>
          <w:tcPr>
            <w:tcW w:w="4072" w:type="pct"/>
            <w:gridSpan w:val="8"/>
            <w:vMerge/>
            <w:tcBorders>
              <w:top w:val="outset" w:color="auto" w:sz="6" w:space="0"/>
              <w:left w:val="outset" w:color="auto" w:sz="6" w:space="0"/>
              <w:bottom w:val="outset" w:color="auto" w:sz="6" w:space="0"/>
            </w:tcBorders>
            <w:vAlign w:val="center"/>
          </w:tcPr>
          <w:p w:rsidRPr="0069660C" w:rsidR="00A906DF" w:rsidP="0069660C" w:rsidRDefault="00A906DF">
            <w:pPr>
              <w:spacing w:line="276" w:lineRule="auto"/>
            </w:pPr>
          </w:p>
        </w:tc>
      </w:tr>
      <w:tr w:rsidRPr="00A15ED9" w:rsidR="00401137" w:rsidTr="00231870">
        <w:tblPrEx>
          <w:jc w:val="center"/>
          <w:tblCellSpacing w:w="15" w:type="dxa"/>
          <w:tblBorders>
            <w:top w:val="outset" w:color="auto" w:sz="6" w:space="0"/>
            <w:left w:val="outset" w:color="auto" w:sz="6" w:space="0"/>
            <w:bottom w:val="outset" w:color="auto" w:sz="6" w:space="0"/>
            <w:right w:val="outset" w:color="auto" w:sz="6" w:space="0"/>
          </w:tblBorders>
        </w:tblPrEx>
        <w:trPr>
          <w:trHeight w:val="795"/>
          <w:tblCellSpacing w:w="15" w:type="dxa"/>
          <w:jc w:val="center"/>
        </w:trPr>
        <w:tc>
          <w:tcPr>
            <w:tcW w:w="928" w:type="pct"/>
            <w:gridSpan w:val="2"/>
            <w:tcBorders>
              <w:top w:val="outset" w:color="auto" w:sz="6" w:space="0"/>
              <w:bottom w:val="outset" w:color="auto" w:sz="6" w:space="0"/>
              <w:right w:val="outset" w:color="auto" w:sz="6" w:space="0"/>
            </w:tcBorders>
          </w:tcPr>
          <w:p w:rsidRPr="00A15ED9" w:rsidR="00A906DF" w:rsidP="008B0344" w:rsidRDefault="00A906DF">
            <w:r w:rsidRPr="00A15ED9">
              <w:t>6.2. detalizēts izdevumu aprēķins</w:t>
            </w:r>
          </w:p>
        </w:tc>
        <w:tc>
          <w:tcPr>
            <w:tcW w:w="4072" w:type="pct"/>
            <w:gridSpan w:val="8"/>
            <w:vMerge/>
            <w:tcBorders>
              <w:top w:val="outset" w:color="auto" w:sz="6" w:space="0"/>
              <w:left w:val="outset" w:color="auto" w:sz="6" w:space="0"/>
              <w:bottom w:val="outset" w:color="auto" w:sz="6" w:space="0"/>
            </w:tcBorders>
            <w:vAlign w:val="center"/>
          </w:tcPr>
          <w:p w:rsidRPr="0069660C" w:rsidR="00A906DF" w:rsidP="0069660C" w:rsidRDefault="00A906DF">
            <w:pPr>
              <w:spacing w:line="276" w:lineRule="auto"/>
            </w:pPr>
          </w:p>
        </w:tc>
      </w:tr>
      <w:tr w:rsidRPr="00A15ED9" w:rsidR="00401137" w:rsidTr="00231870">
        <w:tblPrEx>
          <w:jc w:val="center"/>
          <w:tblCellSpacing w:w="15" w:type="dxa"/>
          <w:tblBorders>
            <w:top w:val="outset" w:color="auto" w:sz="6" w:space="0"/>
            <w:left w:val="outset" w:color="auto" w:sz="6" w:space="0"/>
            <w:bottom w:val="outset" w:color="auto" w:sz="6" w:space="0"/>
            <w:right w:val="outset" w:color="auto" w:sz="6" w:space="0"/>
          </w:tblBorders>
        </w:tblPrEx>
        <w:trPr>
          <w:trHeight w:val="555"/>
          <w:tblCellSpacing w:w="15" w:type="dxa"/>
          <w:jc w:val="center"/>
        </w:trPr>
        <w:tc>
          <w:tcPr>
            <w:tcW w:w="928" w:type="pct"/>
            <w:gridSpan w:val="2"/>
            <w:tcBorders>
              <w:top w:val="outset" w:color="auto" w:sz="6" w:space="0"/>
              <w:bottom w:val="outset" w:color="auto" w:sz="6" w:space="0"/>
              <w:right w:val="outset" w:color="auto" w:sz="6" w:space="0"/>
            </w:tcBorders>
          </w:tcPr>
          <w:p w:rsidRPr="00A15ED9" w:rsidR="00A906DF" w:rsidP="008B0344" w:rsidRDefault="00A906DF">
            <w:r w:rsidRPr="00A15ED9">
              <w:t>7. Cita informācija</w:t>
            </w:r>
          </w:p>
        </w:tc>
        <w:tc>
          <w:tcPr>
            <w:tcW w:w="4072" w:type="pct"/>
            <w:gridSpan w:val="8"/>
            <w:tcBorders>
              <w:top w:val="outset" w:color="auto" w:sz="6" w:space="0"/>
              <w:left w:val="outset" w:color="auto" w:sz="6" w:space="0"/>
              <w:bottom w:val="outset" w:color="auto" w:sz="6" w:space="0"/>
            </w:tcBorders>
          </w:tcPr>
          <w:p w:rsidRPr="0069660C" w:rsidR="00A906DF" w:rsidP="00B3556C" w:rsidRDefault="00B368E2">
            <w:pPr>
              <w:jc w:val="both"/>
            </w:pPr>
            <w:r w:rsidRPr="0069660C">
              <w:t xml:space="preserve">Izdevumus sedz no valsts budžeta programmas 02.00.00 „Līdzekļi neparedzētiem gadījumiem” atbilstoši Ministru kabineta 2018.gada </w:t>
            </w:r>
            <w:r w:rsidRPr="0069660C" w:rsidR="0069660C">
              <w:br/>
            </w:r>
            <w:r w:rsidRPr="0069660C">
              <w:t xml:space="preserve">17.jūlija noteikumiem Nr.421 „Kārtība, kādā veic gadskārtējā valsts budžeta likumā noteiktās apropriācijas izmaiņas”, jo LTV rīcībā nav finanšu līdzekļu, lai nodrošinātu finanšu saistību izpildi gadījumā, ja atklāta konkursa rezultātā tiks slēgts iepirkuma līgums </w:t>
            </w:r>
            <w:r w:rsidR="00E91C3F">
              <w:t>„</w:t>
            </w:r>
            <w:r w:rsidRPr="0069660C">
              <w:t>Par Programmu izlaides kompleksa piegādi”.</w:t>
            </w:r>
            <w:r w:rsidRPr="0069660C" w:rsidR="00EC33F6">
              <w:t xml:space="preserve"> </w:t>
            </w:r>
          </w:p>
          <w:p w:rsidR="00B3556C" w:rsidP="00B3556C" w:rsidRDefault="00B3556C">
            <w:pPr>
              <w:jc w:val="both"/>
            </w:pPr>
          </w:p>
          <w:p w:rsidR="00B3556C" w:rsidP="00B3556C" w:rsidRDefault="00B3556C">
            <w:pPr>
              <w:jc w:val="both"/>
            </w:pPr>
            <w:r>
              <w:t xml:space="preserve">LTV kopējais ilgtermiņa ieguldījumu budžeta apjoms svārstās robežās no 900 000 </w:t>
            </w:r>
            <w:r w:rsidRPr="00B3556C">
              <w:rPr>
                <w:i/>
              </w:rPr>
              <w:t>euro</w:t>
            </w:r>
            <w:r>
              <w:t xml:space="preserve"> līdz 1 400 000 </w:t>
            </w:r>
            <w:r w:rsidRPr="00B3556C">
              <w:rPr>
                <w:i/>
              </w:rPr>
              <w:t>euro</w:t>
            </w:r>
            <w:r>
              <w:t xml:space="preserve"> gadā. PIK iegādes iepirkuma piedāvājuma summa ir 1 861 663 </w:t>
            </w:r>
            <w:r w:rsidRPr="00B3556C">
              <w:rPr>
                <w:i/>
              </w:rPr>
              <w:t>euro</w:t>
            </w:r>
            <w:r>
              <w:t>, kas kopsummā var veidot LTV pusotra gada kopējo ilgtermiņa ieguldījumu budžeta apjomu. Šāda mēroga kapitālieguldījumu projektu LTV bez papildus piesaistīta finansējuma ar tikai no savā rīcībā pieejamiem finanšu resursiem nav spējīga realizēt, jo īpaši ņemot vērā to, ka lēmumi veikt ilgtermiņa ieguldījumus balstās uz galējas nepieciešamības apzināšanu vai pastāvošiem augstas pakāpes darbības nepārtrauktības draudiem.</w:t>
            </w:r>
          </w:p>
          <w:p w:rsidR="00B3556C" w:rsidP="00B3556C" w:rsidRDefault="00B3556C">
            <w:pPr>
              <w:jc w:val="both"/>
            </w:pPr>
          </w:p>
          <w:p w:rsidR="00B368E2" w:rsidP="00B3556C" w:rsidRDefault="00B368E2">
            <w:pPr>
              <w:jc w:val="both"/>
            </w:pPr>
            <w:r w:rsidRPr="0069660C">
              <w:t>Ņemot vērā PIK iegādes cenas īpatsvaru</w:t>
            </w:r>
            <w:r w:rsidR="00E91C3F">
              <w:t>,</w:t>
            </w:r>
            <w:r w:rsidRPr="0069660C">
              <w:t xml:space="preserve"> LTV ik gada budžeta sadalē tūlītēja jauna PIK iegādes finansēšana no pašu līdzekļiem nav iespējama. PIK iegādes finansēšana no līdzekļiem, kas piešķirti kā kompensācija par reklāmas tirgus pamešanu būtu iespējama, ja </w:t>
            </w:r>
            <w:r w:rsidR="00F56CE4">
              <w:t>k</w:t>
            </w:r>
            <w:r w:rsidRPr="0069660C">
              <w:t>ompensācijas summa neatšķirtos no LTV pieprasītās, pie tam, lai nodrošinātu šādu PIK iegādes finansējumu, būs nepieciešama kreditora (visticamāk kredītiestādes) piesaiste. Tas nozīmētu jauna PIK un kreditēšanas pakalpojuma iepirkuma organizēšanu, kuru rezultātā PIK iegādi būtu iespējams nodrošināt ne ātrāk kā 2021.</w:t>
            </w:r>
            <w:r w:rsidR="00E91C3F">
              <w:t>gada</w:t>
            </w:r>
            <w:r w:rsidRPr="0069660C">
              <w:t xml:space="preserve"> pirmajā pusgadā.</w:t>
            </w:r>
          </w:p>
          <w:p w:rsidRPr="0069660C" w:rsidR="00F56CE4" w:rsidP="00B3556C" w:rsidRDefault="00F56CE4">
            <w:pPr>
              <w:jc w:val="both"/>
            </w:pPr>
          </w:p>
          <w:p w:rsidRPr="0069660C" w:rsidR="00C11DAC" w:rsidP="00F56CE4" w:rsidRDefault="00B368E2">
            <w:pPr>
              <w:jc w:val="both"/>
              <w:rPr>
                <w:color w:val="000000"/>
              </w:rPr>
            </w:pPr>
            <w:r w:rsidRPr="0069660C">
              <w:lastRenderedPageBreak/>
              <w:t xml:space="preserve">Aptuvenais laika posms jauna PIK ierīkošanai ir 6 mēneši kopš iepirkuma līguma parakstīšanas. Pastāv iespēja, ka LTV iepirkuma komisijas lēmums tiek apstrīdēts, nosūtot sūdzību Iepirkumu </w:t>
            </w:r>
            <w:r w:rsidR="00F56CE4">
              <w:t>u</w:t>
            </w:r>
            <w:r w:rsidRPr="0069660C">
              <w:t xml:space="preserve">zraudzības </w:t>
            </w:r>
            <w:r w:rsidR="00F56CE4">
              <w:t>b</w:t>
            </w:r>
            <w:r w:rsidRPr="0069660C">
              <w:t xml:space="preserve">irojam, kuram mēneša laikā sūdzība ir jāizskata. Līdz ar to LTV iepirkumu komisijai lēmums par </w:t>
            </w:r>
            <w:r w:rsidR="00F56CE4">
              <w:t>P</w:t>
            </w:r>
            <w:r w:rsidRPr="0069660C">
              <w:t xml:space="preserve">retendenta atzīšanu par uzvarētāju jāpieņem </w:t>
            </w:r>
            <w:r w:rsidR="00B3556C">
              <w:t>iespējami ātrāk</w:t>
            </w:r>
            <w:r w:rsidRPr="0069660C">
              <w:t>.</w:t>
            </w:r>
          </w:p>
        </w:tc>
      </w:tr>
    </w:tbl>
    <w:p w:rsidRPr="00A15ED9" w:rsidR="00A906DF" w:rsidP="008B0344" w:rsidRDefault="00A906DF">
      <w:pPr>
        <w:tabs>
          <w:tab w:val="left" w:pos="6804"/>
        </w:tabs>
        <w:jc w:val="both"/>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9221"/>
      </w:tblGrid>
      <w:tr w:rsidRPr="00A15ED9" w:rsidR="00A906DF" w:rsidTr="00B3556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rPr>
                <w:b/>
                <w:bCs/>
              </w:rPr>
            </w:pPr>
            <w:r w:rsidRPr="00A15ED9">
              <w:rPr>
                <w:b/>
                <w:bCs/>
              </w:rPr>
              <w:t>IV. Tiesību akta projekta ietekme uz spēkā esošo tiesību normu sistēmu</w:t>
            </w:r>
          </w:p>
        </w:tc>
      </w:tr>
      <w:tr w:rsidRPr="00A15ED9" w:rsidR="00A906DF" w:rsidTr="00B3556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pPr>
            <w:r w:rsidRPr="00A15ED9">
              <w:t>Projekts šo jomu neskar.</w:t>
            </w:r>
          </w:p>
        </w:tc>
      </w:tr>
    </w:tbl>
    <w:p w:rsidRPr="00A15ED9" w:rsidR="00A906DF" w:rsidP="008B0344" w:rsidRDefault="00A906DF">
      <w:pPr>
        <w:tabs>
          <w:tab w:val="left" w:pos="6804"/>
        </w:tabs>
        <w:jc w:val="both"/>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9221"/>
      </w:tblGrid>
      <w:tr w:rsidRPr="00A15ED9" w:rsidR="00A906DF" w:rsidTr="00B3556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rPr>
                <w:b/>
                <w:bCs/>
              </w:rPr>
            </w:pPr>
            <w:r w:rsidRPr="00A15ED9">
              <w:rPr>
                <w:b/>
                <w:bCs/>
              </w:rPr>
              <w:t>V. Tiesību akta projekta atbilstība Latvijas Republikas starptautiskajām saistībām</w:t>
            </w:r>
          </w:p>
        </w:tc>
      </w:tr>
      <w:tr w:rsidRPr="00A15ED9" w:rsidR="00A906DF" w:rsidTr="00B3556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pPr>
            <w:r w:rsidRPr="00A15ED9">
              <w:t>Projekts šo jomu neskar.</w:t>
            </w:r>
          </w:p>
        </w:tc>
      </w:tr>
    </w:tbl>
    <w:p w:rsidRPr="00A15ED9" w:rsidR="00A906DF" w:rsidP="008B0344" w:rsidRDefault="00A906DF">
      <w:pPr>
        <w:tabs>
          <w:tab w:val="left" w:pos="6804"/>
        </w:tabs>
        <w:jc w:val="both"/>
      </w:pPr>
    </w:p>
    <w:tbl>
      <w:tblPr>
        <w:tblW w:w="5036"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9287"/>
      </w:tblGrid>
      <w:tr w:rsidRPr="00A15ED9" w:rsidR="00A906DF" w:rsidTr="0079382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rPr>
                <w:b/>
                <w:bCs/>
              </w:rPr>
            </w:pPr>
            <w:r w:rsidRPr="00A15ED9">
              <w:rPr>
                <w:b/>
                <w:bCs/>
              </w:rPr>
              <w:t>VI. Sabiedrības līdzdalība un komunikācijas aktivitātes</w:t>
            </w:r>
          </w:p>
        </w:tc>
      </w:tr>
      <w:tr w:rsidRPr="00A15ED9" w:rsidR="00A906DF" w:rsidTr="0079382C">
        <w:trPr>
          <w:trHeight w:val="375"/>
          <w:tblCellSpacing w:w="15" w:type="dxa"/>
          <w:jc w:val="center"/>
        </w:trPr>
        <w:tc>
          <w:tcPr>
            <w:tcW w:w="4968" w:type="pct"/>
            <w:tcBorders>
              <w:top w:val="outset" w:color="auto" w:sz="6" w:space="0"/>
              <w:bottom w:val="outset" w:color="auto" w:sz="6" w:space="0"/>
            </w:tcBorders>
            <w:vAlign w:val="center"/>
          </w:tcPr>
          <w:p w:rsidRPr="00A15ED9" w:rsidR="00A906DF" w:rsidP="0079382C" w:rsidRDefault="00A906DF">
            <w:pPr>
              <w:spacing w:before="100" w:beforeAutospacing="1" w:after="100" w:afterAutospacing="1"/>
              <w:jc w:val="center"/>
            </w:pPr>
            <w:r w:rsidRPr="00A15ED9">
              <w:t>Projekts šo jomu neskar.</w:t>
            </w:r>
          </w:p>
        </w:tc>
      </w:tr>
    </w:tbl>
    <w:p w:rsidRPr="00A15ED9" w:rsidR="00A906DF" w:rsidP="008B0344" w:rsidRDefault="00A906DF">
      <w:pPr>
        <w:tabs>
          <w:tab w:val="left" w:pos="6804"/>
        </w:tabs>
        <w:jc w:val="both"/>
      </w:pPr>
    </w:p>
    <w:tbl>
      <w:tblPr>
        <w:tblW w:w="5036"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A0"/>
      </w:tblPr>
      <w:tblGrid>
        <w:gridCol w:w="488"/>
        <w:gridCol w:w="3985"/>
        <w:gridCol w:w="4814"/>
      </w:tblGrid>
      <w:tr w:rsidRPr="00A15ED9" w:rsidR="00A906DF" w:rsidTr="00805179">
        <w:trPr>
          <w:trHeight w:val="375"/>
          <w:tblCellSpacing w:w="15" w:type="dxa"/>
          <w:jc w:val="center"/>
        </w:trPr>
        <w:tc>
          <w:tcPr>
            <w:tcW w:w="4968" w:type="pct"/>
            <w:gridSpan w:val="3"/>
            <w:tcBorders>
              <w:top w:val="outset" w:color="auto" w:sz="6" w:space="0"/>
              <w:bottom w:val="outset" w:color="auto" w:sz="6" w:space="0"/>
            </w:tcBorders>
            <w:vAlign w:val="center"/>
          </w:tcPr>
          <w:p w:rsidRPr="00A15ED9" w:rsidR="00A906DF" w:rsidP="00164CCB" w:rsidRDefault="00A906DF">
            <w:pPr>
              <w:spacing w:before="100" w:beforeAutospacing="1" w:after="100" w:afterAutospacing="1"/>
              <w:jc w:val="center"/>
              <w:rPr>
                <w:b/>
                <w:bCs/>
              </w:rPr>
            </w:pPr>
            <w:r w:rsidRPr="00A15ED9">
              <w:t> </w:t>
            </w:r>
            <w:r w:rsidRPr="00A15ED9">
              <w:rPr>
                <w:b/>
                <w:bCs/>
              </w:rPr>
              <w:t>VII. Tiesību akta projekta izpildes nodrošināšana un tās ietekme uz institūcijām</w:t>
            </w:r>
          </w:p>
        </w:tc>
      </w:tr>
      <w:tr w:rsidRPr="00A15ED9" w:rsidR="00A906DF" w:rsidTr="00805179">
        <w:trPr>
          <w:trHeight w:val="420"/>
          <w:tblCellSpacing w:w="15" w:type="dxa"/>
          <w:jc w:val="center"/>
        </w:trPr>
        <w:tc>
          <w:tcPr>
            <w:tcW w:w="240" w:type="pct"/>
            <w:tcBorders>
              <w:top w:val="outset" w:color="auto" w:sz="6" w:space="0"/>
              <w:bottom w:val="outset" w:color="auto" w:sz="6" w:space="0"/>
              <w:right w:val="outset" w:color="auto" w:sz="6" w:space="0"/>
            </w:tcBorders>
          </w:tcPr>
          <w:p w:rsidRPr="00A15ED9" w:rsidR="00A906DF" w:rsidP="00805179" w:rsidRDefault="00A906DF">
            <w:pPr>
              <w:jc w:val="center"/>
            </w:pPr>
            <w:r w:rsidRPr="00A15ED9">
              <w:t>1.</w:t>
            </w:r>
          </w:p>
        </w:tc>
        <w:tc>
          <w:tcPr>
            <w:tcW w:w="2144" w:type="pct"/>
            <w:tcBorders>
              <w:top w:val="outset" w:color="auto" w:sz="6" w:space="0"/>
              <w:left w:val="outset" w:color="auto" w:sz="6" w:space="0"/>
              <w:bottom w:val="outset" w:color="auto" w:sz="6" w:space="0"/>
              <w:right w:val="outset" w:color="auto" w:sz="6" w:space="0"/>
            </w:tcBorders>
          </w:tcPr>
          <w:p w:rsidRPr="00A15ED9" w:rsidR="00A906DF" w:rsidP="00164CCB" w:rsidRDefault="00A906DF">
            <w:r w:rsidRPr="00A15ED9">
              <w:t>Projekta izpildē iesaistītās institūcijas</w:t>
            </w:r>
          </w:p>
        </w:tc>
        <w:tc>
          <w:tcPr>
            <w:tcW w:w="2551" w:type="pct"/>
            <w:tcBorders>
              <w:top w:val="outset" w:color="auto" w:sz="6" w:space="0"/>
              <w:left w:val="outset" w:color="auto" w:sz="6" w:space="0"/>
              <w:bottom w:val="outset" w:color="auto" w:sz="6" w:space="0"/>
            </w:tcBorders>
          </w:tcPr>
          <w:p w:rsidRPr="00A15ED9" w:rsidR="00A906DF" w:rsidP="006803B6" w:rsidRDefault="00A906DF">
            <w:pPr>
              <w:jc w:val="both"/>
            </w:pPr>
            <w:r w:rsidRPr="00A15ED9">
              <w:t xml:space="preserve">Nacionālā elektronisko plašsaziņas līdzekļu padome, </w:t>
            </w:r>
            <w:r w:rsidR="00A4165D">
              <w:t xml:space="preserve">LTV, </w:t>
            </w:r>
            <w:r w:rsidRPr="00A15ED9">
              <w:t>Finanšu ministrija.</w:t>
            </w:r>
          </w:p>
        </w:tc>
      </w:tr>
      <w:tr w:rsidRPr="00A15ED9" w:rsidR="00A906DF" w:rsidTr="00805179">
        <w:trPr>
          <w:trHeight w:val="450"/>
          <w:tblCellSpacing w:w="15" w:type="dxa"/>
          <w:jc w:val="center"/>
        </w:trPr>
        <w:tc>
          <w:tcPr>
            <w:tcW w:w="240" w:type="pct"/>
            <w:tcBorders>
              <w:top w:val="outset" w:color="auto" w:sz="6" w:space="0"/>
              <w:bottom w:val="outset" w:color="auto" w:sz="6" w:space="0"/>
              <w:right w:val="outset" w:color="auto" w:sz="6" w:space="0"/>
            </w:tcBorders>
          </w:tcPr>
          <w:p w:rsidRPr="00A15ED9" w:rsidR="00A906DF" w:rsidP="00805179" w:rsidRDefault="00A906DF">
            <w:pPr>
              <w:jc w:val="center"/>
            </w:pPr>
            <w:r w:rsidRPr="00A15ED9">
              <w:t>2.</w:t>
            </w:r>
          </w:p>
        </w:tc>
        <w:tc>
          <w:tcPr>
            <w:tcW w:w="2144" w:type="pct"/>
            <w:tcBorders>
              <w:top w:val="outset" w:color="auto" w:sz="6" w:space="0"/>
              <w:left w:val="outset" w:color="auto" w:sz="6" w:space="0"/>
              <w:bottom w:val="outset" w:color="auto" w:sz="6" w:space="0"/>
              <w:right w:val="outset" w:color="auto" w:sz="6" w:space="0"/>
            </w:tcBorders>
          </w:tcPr>
          <w:p w:rsidRPr="00A15ED9" w:rsidR="00A906DF" w:rsidP="00805179" w:rsidRDefault="00A906DF">
            <w:r w:rsidRPr="00A15ED9">
              <w:t xml:space="preserve">Projekta izpildes ietekme uz pārvaldes funkcijām un institucionālo struktūru. </w:t>
            </w:r>
          </w:p>
          <w:p w:rsidRPr="00A15ED9" w:rsidR="00A906DF" w:rsidP="00805179" w:rsidRDefault="00A906DF"/>
          <w:p w:rsidRPr="00A15ED9" w:rsidR="00A906DF" w:rsidP="00805179" w:rsidRDefault="00A906DF">
            <w:r w:rsidRPr="00A15ED9">
              <w:t>Jaunu institūciju izveide, esošu institūciju likvidācija vai reorganizācija, to ietekme uz institūcijas cilvēkresursiem</w:t>
            </w:r>
          </w:p>
        </w:tc>
        <w:tc>
          <w:tcPr>
            <w:tcW w:w="2551" w:type="pct"/>
            <w:tcBorders>
              <w:top w:val="outset" w:color="auto" w:sz="6" w:space="0"/>
              <w:left w:val="outset" w:color="auto" w:sz="6" w:space="0"/>
              <w:bottom w:val="outset" w:color="auto" w:sz="6" w:space="0"/>
            </w:tcBorders>
          </w:tcPr>
          <w:p w:rsidRPr="00A15ED9" w:rsidR="00A906DF" w:rsidP="00164CCB" w:rsidRDefault="00A906DF">
            <w:pPr>
              <w:jc w:val="both"/>
            </w:pPr>
            <w:r w:rsidRPr="00A15ED9">
              <w:t>Projekts šo jomu neskar.</w:t>
            </w:r>
          </w:p>
        </w:tc>
      </w:tr>
      <w:tr w:rsidRPr="00A15ED9" w:rsidR="00A906DF" w:rsidTr="00805179">
        <w:trPr>
          <w:trHeight w:val="390"/>
          <w:tblCellSpacing w:w="15" w:type="dxa"/>
          <w:jc w:val="center"/>
        </w:trPr>
        <w:tc>
          <w:tcPr>
            <w:tcW w:w="240" w:type="pct"/>
            <w:tcBorders>
              <w:top w:val="outset" w:color="auto" w:sz="6" w:space="0"/>
              <w:bottom w:val="outset" w:color="auto" w:sz="6" w:space="0"/>
              <w:right w:val="outset" w:color="auto" w:sz="6" w:space="0"/>
            </w:tcBorders>
          </w:tcPr>
          <w:p w:rsidRPr="00A15ED9" w:rsidR="00A906DF" w:rsidP="00805179" w:rsidRDefault="00A906DF">
            <w:pPr>
              <w:jc w:val="center"/>
            </w:pPr>
            <w:r w:rsidRPr="00A15ED9">
              <w:t>3.</w:t>
            </w:r>
          </w:p>
        </w:tc>
        <w:tc>
          <w:tcPr>
            <w:tcW w:w="2144" w:type="pct"/>
            <w:tcBorders>
              <w:top w:val="outset" w:color="auto" w:sz="6" w:space="0"/>
              <w:left w:val="outset" w:color="auto" w:sz="6" w:space="0"/>
              <w:bottom w:val="outset" w:color="auto" w:sz="6" w:space="0"/>
              <w:right w:val="outset" w:color="auto" w:sz="6" w:space="0"/>
            </w:tcBorders>
          </w:tcPr>
          <w:p w:rsidRPr="00A15ED9" w:rsidR="00A906DF" w:rsidP="00164CCB" w:rsidRDefault="00A906DF">
            <w:r w:rsidRPr="00A15ED9">
              <w:t>Cita informācija</w:t>
            </w:r>
          </w:p>
        </w:tc>
        <w:tc>
          <w:tcPr>
            <w:tcW w:w="2551" w:type="pct"/>
            <w:tcBorders>
              <w:top w:val="outset" w:color="auto" w:sz="6" w:space="0"/>
              <w:left w:val="outset" w:color="auto" w:sz="6" w:space="0"/>
              <w:bottom w:val="outset" w:color="auto" w:sz="6" w:space="0"/>
            </w:tcBorders>
          </w:tcPr>
          <w:p w:rsidRPr="00A15ED9" w:rsidR="00A906DF" w:rsidP="00164CCB" w:rsidRDefault="00A906DF">
            <w:pPr>
              <w:spacing w:before="100" w:beforeAutospacing="1" w:after="100" w:afterAutospacing="1"/>
            </w:pPr>
            <w:r w:rsidRPr="00A15ED9">
              <w:t>Nav</w:t>
            </w:r>
          </w:p>
        </w:tc>
      </w:tr>
    </w:tbl>
    <w:p w:rsidRPr="00A15ED9" w:rsidR="00A906DF" w:rsidP="008B0344" w:rsidRDefault="00A906DF">
      <w:pPr>
        <w:tabs>
          <w:tab w:val="left" w:pos="6804"/>
        </w:tabs>
        <w:jc w:val="both"/>
      </w:pPr>
    </w:p>
    <w:p w:rsidRPr="00A15ED9" w:rsidR="00CF0029" w:rsidP="008B0344" w:rsidRDefault="00CF0029">
      <w:pPr>
        <w:tabs>
          <w:tab w:val="left" w:pos="6804"/>
        </w:tabs>
        <w:jc w:val="both"/>
      </w:pPr>
    </w:p>
    <w:p w:rsidRPr="00A15ED9" w:rsidR="00A906DF" w:rsidP="00027089" w:rsidRDefault="00A906DF">
      <w:pPr>
        <w:tabs>
          <w:tab w:val="left" w:pos="6804"/>
        </w:tabs>
        <w:ind w:left="142"/>
        <w:jc w:val="both"/>
      </w:pPr>
      <w:r w:rsidRPr="00A15ED9">
        <w:t>Kultūras ministr</w:t>
      </w:r>
      <w:r w:rsidRPr="00A15ED9" w:rsidR="00FF6BB2">
        <w:t>s</w:t>
      </w:r>
      <w:r w:rsidRPr="00A15ED9">
        <w:t>                                                           </w:t>
      </w:r>
      <w:r w:rsidRPr="00A15ED9">
        <w:tab/>
      </w:r>
      <w:r w:rsidRPr="00A15ED9">
        <w:tab/>
      </w:r>
      <w:r w:rsidRPr="00A15ED9" w:rsidR="00FF6BB2">
        <w:t>N</w:t>
      </w:r>
      <w:r w:rsidRPr="00A15ED9">
        <w:t>.</w:t>
      </w:r>
      <w:r w:rsidRPr="00A15ED9" w:rsidR="00FF6BB2">
        <w:t>Puntulis</w:t>
      </w:r>
    </w:p>
    <w:p w:rsidRPr="00A15ED9" w:rsidR="00A906DF" w:rsidP="00027089" w:rsidRDefault="00A906DF">
      <w:pPr>
        <w:ind w:left="142"/>
      </w:pPr>
    </w:p>
    <w:p w:rsidRPr="00A15ED9" w:rsidR="00A906DF" w:rsidP="00027089" w:rsidRDefault="00A906DF">
      <w:pPr>
        <w:tabs>
          <w:tab w:val="left" w:pos="6120"/>
        </w:tabs>
        <w:ind w:left="142"/>
        <w:jc w:val="both"/>
      </w:pPr>
      <w:r w:rsidRPr="00A15ED9">
        <w:t xml:space="preserve">Vīza: Valsts sekretāre </w:t>
      </w:r>
      <w:r w:rsidRPr="00A15ED9">
        <w:tab/>
      </w:r>
      <w:r w:rsidRPr="00A15ED9">
        <w:tab/>
      </w:r>
      <w:r w:rsidRPr="00A15ED9">
        <w:tab/>
        <w:t>D.Vilsone</w:t>
      </w:r>
    </w:p>
    <w:p w:rsidR="00A906DF" w:rsidP="00166847" w:rsidRDefault="00A906DF">
      <w:pPr>
        <w:tabs>
          <w:tab w:val="left" w:pos="720"/>
          <w:tab w:val="center" w:pos="4153"/>
          <w:tab w:val="right" w:pos="8306"/>
        </w:tabs>
        <w:ind w:left="284"/>
      </w:pPr>
    </w:p>
    <w:p w:rsidR="00E91C3F" w:rsidP="00166847" w:rsidRDefault="00E91C3F">
      <w:pPr>
        <w:tabs>
          <w:tab w:val="left" w:pos="720"/>
          <w:tab w:val="center" w:pos="4153"/>
          <w:tab w:val="right" w:pos="8306"/>
        </w:tabs>
        <w:ind w:left="284"/>
      </w:pPr>
    </w:p>
    <w:p w:rsidR="00E91C3F" w:rsidP="00166847" w:rsidRDefault="00E91C3F">
      <w:pPr>
        <w:tabs>
          <w:tab w:val="left" w:pos="720"/>
          <w:tab w:val="center" w:pos="4153"/>
          <w:tab w:val="right" w:pos="8306"/>
        </w:tabs>
        <w:ind w:left="284"/>
      </w:pPr>
    </w:p>
    <w:p w:rsidR="00E91C3F" w:rsidP="00166847" w:rsidRDefault="00E91C3F">
      <w:pPr>
        <w:tabs>
          <w:tab w:val="left" w:pos="720"/>
          <w:tab w:val="center" w:pos="4153"/>
          <w:tab w:val="right" w:pos="8306"/>
        </w:tabs>
        <w:ind w:left="284"/>
      </w:pPr>
    </w:p>
    <w:p w:rsidR="00E91C3F" w:rsidP="00166847" w:rsidRDefault="00E91C3F">
      <w:pPr>
        <w:tabs>
          <w:tab w:val="left" w:pos="720"/>
          <w:tab w:val="center" w:pos="4153"/>
          <w:tab w:val="right" w:pos="8306"/>
        </w:tabs>
        <w:ind w:left="284"/>
      </w:pPr>
    </w:p>
    <w:p w:rsidR="00E91C3F" w:rsidP="00166847" w:rsidRDefault="00E91C3F">
      <w:pPr>
        <w:tabs>
          <w:tab w:val="left" w:pos="720"/>
          <w:tab w:val="center" w:pos="4153"/>
          <w:tab w:val="right" w:pos="8306"/>
        </w:tabs>
        <w:ind w:left="284"/>
      </w:pPr>
    </w:p>
    <w:p w:rsidRPr="00A15ED9" w:rsidR="00E91C3F" w:rsidP="00166847" w:rsidRDefault="00E91C3F">
      <w:pPr>
        <w:tabs>
          <w:tab w:val="left" w:pos="720"/>
          <w:tab w:val="center" w:pos="4153"/>
          <w:tab w:val="right" w:pos="8306"/>
        </w:tabs>
        <w:ind w:left="284"/>
      </w:pPr>
    </w:p>
    <w:p w:rsidRPr="001C54F0" w:rsidR="00A906DF" w:rsidP="0002465C" w:rsidRDefault="009B01AE">
      <w:pPr>
        <w:tabs>
          <w:tab w:val="center" w:pos="4535"/>
        </w:tabs>
        <w:rPr>
          <w:sz w:val="20"/>
        </w:rPr>
      </w:pPr>
      <w:r w:rsidRPr="001C54F0">
        <w:rPr>
          <w:sz w:val="20"/>
        </w:rPr>
        <w:t>Priede 67200315</w:t>
      </w:r>
    </w:p>
    <w:p w:rsidRPr="001C54F0" w:rsidR="00A906DF" w:rsidP="008B0344" w:rsidRDefault="0014630E">
      <w:pPr>
        <w:rPr>
          <w:sz w:val="20"/>
        </w:rPr>
      </w:pPr>
      <w:hyperlink w:history="1" r:id="rId10">
        <w:r w:rsidRPr="003F01D9" w:rsidR="00075796">
          <w:rPr>
            <w:rStyle w:val="Hipersaite"/>
            <w:sz w:val="20"/>
          </w:rPr>
          <w:t>Ivars.Priede@ltv.lv</w:t>
        </w:r>
      </w:hyperlink>
    </w:p>
    <w:sectPr w:rsidRPr="001C54F0" w:rsidR="00A906DF" w:rsidSect="00B11A71">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70" w:rsidRDefault="00231870">
      <w:r>
        <w:separator/>
      </w:r>
    </w:p>
    <w:p w:rsidR="00231870" w:rsidRDefault="00231870"/>
  </w:endnote>
  <w:endnote w:type="continuationSeparator" w:id="0">
    <w:p w:rsidR="00231870" w:rsidRDefault="00231870">
      <w:r>
        <w:continuationSeparator/>
      </w:r>
    </w:p>
    <w:p w:rsidR="00231870" w:rsidRDefault="00231870"/>
  </w:endnote>
  <w:endnote w:type="continuationNotice" w:id="1">
    <w:p w:rsidR="00231870" w:rsidRDefault="002318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70" w:rsidRPr="00075796" w:rsidRDefault="00231870" w:rsidP="00075796">
    <w:pPr>
      <w:pStyle w:val="Kjene"/>
      <w:rPr>
        <w:sz w:val="20"/>
      </w:rPr>
    </w:pPr>
    <w:r>
      <w:rPr>
        <w:sz w:val="20"/>
      </w:rPr>
      <w:t>KMAnot_030620_LNG_PIK_LTV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70" w:rsidRPr="00075796" w:rsidRDefault="00231870">
    <w:pPr>
      <w:pStyle w:val="Kjene"/>
      <w:rPr>
        <w:sz w:val="20"/>
      </w:rPr>
    </w:pPr>
    <w:r>
      <w:rPr>
        <w:sz w:val="20"/>
      </w:rPr>
      <w:t>KMAnot_030620_LNG_PIK_LTV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70" w:rsidRDefault="00231870">
      <w:r>
        <w:separator/>
      </w:r>
    </w:p>
    <w:p w:rsidR="00231870" w:rsidRDefault="00231870"/>
  </w:footnote>
  <w:footnote w:type="continuationSeparator" w:id="0">
    <w:p w:rsidR="00231870" w:rsidRDefault="00231870">
      <w:r>
        <w:continuationSeparator/>
      </w:r>
    </w:p>
    <w:p w:rsidR="00231870" w:rsidRDefault="00231870"/>
  </w:footnote>
  <w:footnote w:type="continuationNotice" w:id="1">
    <w:p w:rsidR="00231870" w:rsidRDefault="002318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E2556C" w:rsidR="00231870" w:rsidP="003C449B" w:rsidRDefault="0014630E">
    <w:pPr>
      <w:pStyle w:val="Galvene"/>
      <w:framePr w:wrap="auto" w:hAnchor="margin" w:vAnchor="text" w:xAlign="center" w:y="1"/>
      <w:rPr>
        <w:rStyle w:val="Lappusesnumurs"/>
        <w:sz w:val="22"/>
        <w:szCs w:val="22"/>
      </w:rPr>
    </w:pPr>
    <w:r w:rsidRPr="00E2556C">
      <w:rPr>
        <w:rStyle w:val="Lappusesnumurs"/>
        <w:sz w:val="22"/>
        <w:szCs w:val="22"/>
      </w:rPr>
      <w:fldChar w:fldCharType="begin"/>
    </w:r>
    <w:r w:rsidRPr="00E2556C" w:rsidR="00231870">
      <w:rPr>
        <w:rStyle w:val="Lappusesnumurs"/>
        <w:sz w:val="22"/>
        <w:szCs w:val="22"/>
      </w:rPr>
      <w:instrText xml:space="preserve">PAGE  </w:instrText>
    </w:r>
    <w:r w:rsidRPr="00E2556C">
      <w:rPr>
        <w:rStyle w:val="Lappusesnumurs"/>
        <w:sz w:val="22"/>
        <w:szCs w:val="22"/>
      </w:rPr>
      <w:fldChar w:fldCharType="separate"/>
    </w:r>
    <w:r w:rsidR="005F5579">
      <w:rPr>
        <w:rStyle w:val="Lappusesnumurs"/>
        <w:noProof/>
        <w:sz w:val="22"/>
        <w:szCs w:val="22"/>
      </w:rPr>
      <w:t>8</w:t>
    </w:r>
    <w:r w:rsidRPr="00E2556C">
      <w:rPr>
        <w:rStyle w:val="Lappusesnumurs"/>
        <w:sz w:val="22"/>
        <w:szCs w:val="22"/>
      </w:rPr>
      <w:fldChar w:fldCharType="end"/>
    </w:r>
  </w:p>
  <w:p w:rsidR="00231870" w:rsidP="00166847" w:rsidRDefault="002318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4258"/>
    <w:multiLevelType w:val="hybridMultilevel"/>
    <w:tmpl w:val="37DAF1DC"/>
    <w:lvl w:ilvl="0" w:tplc="FBD85826">
      <w:start w:val="1"/>
      <w:numFmt w:val="decimal"/>
      <w:lvlText w:val="%1)"/>
      <w:lvlJc w:val="left"/>
      <w:pPr>
        <w:ind w:left="420" w:hanging="360"/>
      </w:pPr>
      <w:rPr>
        <w:rFonts w:cs="Times New Roman"/>
      </w:rPr>
    </w:lvl>
    <w:lvl w:ilvl="1" w:tplc="04260019">
      <w:start w:val="1"/>
      <w:numFmt w:val="lowerLetter"/>
      <w:lvlText w:val="%2."/>
      <w:lvlJc w:val="left"/>
      <w:pPr>
        <w:ind w:left="1140" w:hanging="360"/>
      </w:pPr>
      <w:rPr>
        <w:rFonts w:cs="Times New Roman"/>
      </w:rPr>
    </w:lvl>
    <w:lvl w:ilvl="2" w:tplc="0426001B">
      <w:start w:val="1"/>
      <w:numFmt w:val="lowerRoman"/>
      <w:lvlText w:val="%3."/>
      <w:lvlJc w:val="right"/>
      <w:pPr>
        <w:ind w:left="1860" w:hanging="180"/>
      </w:pPr>
      <w:rPr>
        <w:rFonts w:cs="Times New Roman"/>
      </w:rPr>
    </w:lvl>
    <w:lvl w:ilvl="3" w:tplc="0426000F">
      <w:start w:val="1"/>
      <w:numFmt w:val="decimal"/>
      <w:lvlText w:val="%4."/>
      <w:lvlJc w:val="left"/>
      <w:pPr>
        <w:ind w:left="2580" w:hanging="360"/>
      </w:pPr>
      <w:rPr>
        <w:rFonts w:cs="Times New Roman"/>
      </w:rPr>
    </w:lvl>
    <w:lvl w:ilvl="4" w:tplc="04260019">
      <w:start w:val="1"/>
      <w:numFmt w:val="lowerLetter"/>
      <w:lvlText w:val="%5."/>
      <w:lvlJc w:val="left"/>
      <w:pPr>
        <w:ind w:left="3300" w:hanging="360"/>
      </w:pPr>
      <w:rPr>
        <w:rFonts w:cs="Times New Roman"/>
      </w:rPr>
    </w:lvl>
    <w:lvl w:ilvl="5" w:tplc="0426001B">
      <w:start w:val="1"/>
      <w:numFmt w:val="lowerRoman"/>
      <w:lvlText w:val="%6."/>
      <w:lvlJc w:val="right"/>
      <w:pPr>
        <w:ind w:left="4020" w:hanging="180"/>
      </w:pPr>
      <w:rPr>
        <w:rFonts w:cs="Times New Roman"/>
      </w:rPr>
    </w:lvl>
    <w:lvl w:ilvl="6" w:tplc="0426000F">
      <w:start w:val="1"/>
      <w:numFmt w:val="decimal"/>
      <w:lvlText w:val="%7."/>
      <w:lvlJc w:val="left"/>
      <w:pPr>
        <w:ind w:left="4740" w:hanging="360"/>
      </w:pPr>
      <w:rPr>
        <w:rFonts w:cs="Times New Roman"/>
      </w:rPr>
    </w:lvl>
    <w:lvl w:ilvl="7" w:tplc="04260019">
      <w:start w:val="1"/>
      <w:numFmt w:val="lowerLetter"/>
      <w:lvlText w:val="%8."/>
      <w:lvlJc w:val="left"/>
      <w:pPr>
        <w:ind w:left="5460" w:hanging="360"/>
      </w:pPr>
      <w:rPr>
        <w:rFonts w:cs="Times New Roman"/>
      </w:rPr>
    </w:lvl>
    <w:lvl w:ilvl="8" w:tplc="0426001B">
      <w:start w:val="1"/>
      <w:numFmt w:val="lowerRoman"/>
      <w:lvlText w:val="%9."/>
      <w:lvlJc w:val="right"/>
      <w:pPr>
        <w:ind w:left="6180" w:hanging="180"/>
      </w:pPr>
      <w:rPr>
        <w:rFonts w:cs="Times New Roman"/>
      </w:rPr>
    </w:lvl>
  </w:abstractNum>
  <w:abstractNum w:abstractNumId="1">
    <w:nsid w:val="31154185"/>
    <w:multiLevelType w:val="hybridMultilevel"/>
    <w:tmpl w:val="74C29E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43A40E0"/>
    <w:multiLevelType w:val="multilevel"/>
    <w:tmpl w:val="F48C5508"/>
    <w:lvl w:ilvl="0">
      <w:start w:val="1"/>
      <w:numFmt w:val="decimal"/>
      <w:lvlText w:val="%1."/>
      <w:lvlJc w:val="left"/>
      <w:pPr>
        <w:ind w:left="1080" w:hanging="360"/>
      </w:pPr>
      <w:rPr>
        <w:rFonts w:cs="Times New Roman" w:hint="default"/>
      </w:rPr>
    </w:lvl>
    <w:lvl w:ilvl="1">
      <w:start w:val="1"/>
      <w:numFmt w:val="decimal"/>
      <w:isLgl/>
      <w:lvlText w:val="%1.%2."/>
      <w:lvlJc w:val="left"/>
      <w:pPr>
        <w:ind w:left="1826" w:hanging="720"/>
      </w:pPr>
      <w:rPr>
        <w:rFonts w:cs="Times New Roman" w:hint="default"/>
        <w:i w:val="0"/>
      </w:rPr>
    </w:lvl>
    <w:lvl w:ilvl="2">
      <w:start w:val="1"/>
      <w:numFmt w:val="decimal"/>
      <w:isLgl/>
      <w:lvlText w:val="%1.%2.%3."/>
      <w:lvlJc w:val="left"/>
      <w:pPr>
        <w:ind w:left="2212" w:hanging="720"/>
      </w:pPr>
      <w:rPr>
        <w:rFonts w:cs="Times New Roman" w:hint="default"/>
        <w:i w:val="0"/>
      </w:rPr>
    </w:lvl>
    <w:lvl w:ilvl="3">
      <w:start w:val="1"/>
      <w:numFmt w:val="decimal"/>
      <w:isLgl/>
      <w:lvlText w:val="%1.%2.%3.%4."/>
      <w:lvlJc w:val="left"/>
      <w:pPr>
        <w:ind w:left="2958" w:hanging="1080"/>
      </w:pPr>
      <w:rPr>
        <w:rFonts w:cs="Times New Roman" w:hint="default"/>
        <w:i w:val="0"/>
      </w:rPr>
    </w:lvl>
    <w:lvl w:ilvl="4">
      <w:start w:val="1"/>
      <w:numFmt w:val="decimal"/>
      <w:isLgl/>
      <w:lvlText w:val="%1.%2.%3.%4.%5."/>
      <w:lvlJc w:val="left"/>
      <w:pPr>
        <w:ind w:left="3344" w:hanging="1080"/>
      </w:pPr>
      <w:rPr>
        <w:rFonts w:cs="Times New Roman" w:hint="default"/>
        <w:i w:val="0"/>
      </w:rPr>
    </w:lvl>
    <w:lvl w:ilvl="5">
      <w:start w:val="1"/>
      <w:numFmt w:val="decimal"/>
      <w:isLgl/>
      <w:lvlText w:val="%1.%2.%3.%4.%5.%6."/>
      <w:lvlJc w:val="left"/>
      <w:pPr>
        <w:ind w:left="4090" w:hanging="1440"/>
      </w:pPr>
      <w:rPr>
        <w:rFonts w:cs="Times New Roman" w:hint="default"/>
        <w:i w:val="0"/>
      </w:rPr>
    </w:lvl>
    <w:lvl w:ilvl="6">
      <w:start w:val="1"/>
      <w:numFmt w:val="decimal"/>
      <w:isLgl/>
      <w:lvlText w:val="%1.%2.%3.%4.%5.%6.%7."/>
      <w:lvlJc w:val="left"/>
      <w:pPr>
        <w:ind w:left="4836" w:hanging="1800"/>
      </w:pPr>
      <w:rPr>
        <w:rFonts w:cs="Times New Roman" w:hint="default"/>
        <w:i w:val="0"/>
      </w:rPr>
    </w:lvl>
    <w:lvl w:ilvl="7">
      <w:start w:val="1"/>
      <w:numFmt w:val="decimal"/>
      <w:isLgl/>
      <w:lvlText w:val="%1.%2.%3.%4.%5.%6.%7.%8."/>
      <w:lvlJc w:val="left"/>
      <w:pPr>
        <w:ind w:left="5222" w:hanging="1800"/>
      </w:pPr>
      <w:rPr>
        <w:rFonts w:cs="Times New Roman" w:hint="default"/>
        <w:i w:val="0"/>
      </w:rPr>
    </w:lvl>
    <w:lvl w:ilvl="8">
      <w:start w:val="1"/>
      <w:numFmt w:val="decimal"/>
      <w:isLgl/>
      <w:lvlText w:val="%1.%2.%3.%4.%5.%6.%7.%8.%9."/>
      <w:lvlJc w:val="left"/>
      <w:pPr>
        <w:ind w:left="5968" w:hanging="2160"/>
      </w:pPr>
      <w:rPr>
        <w:rFonts w:cs="Times New Roman" w:hint="default"/>
        <w:i w:val="0"/>
      </w:rPr>
    </w:lvl>
  </w:abstractNum>
  <w:abstractNum w:abstractNumId="3">
    <w:nsid w:val="36202BFE"/>
    <w:multiLevelType w:val="hybridMultilevel"/>
    <w:tmpl w:val="3B743DCC"/>
    <w:lvl w:ilvl="0" w:tplc="27BA7F96">
      <w:start w:val="2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3C6A98"/>
    <w:multiLevelType w:val="hybridMultilevel"/>
    <w:tmpl w:val="25BE3F8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0F81D77"/>
    <w:multiLevelType w:val="hybridMultilevel"/>
    <w:tmpl w:val="28D264E6"/>
    <w:lvl w:ilvl="0" w:tplc="3B686808">
      <w:start w:val="1"/>
      <w:numFmt w:val="decimal"/>
      <w:lvlText w:val="%1)"/>
      <w:lvlJc w:val="left"/>
      <w:pPr>
        <w:ind w:left="1069" w:hanging="360"/>
      </w:pPr>
      <w:rPr>
        <w:rFonts w:cs="Times New Roman" w:hint="default"/>
        <w:color w:val="auto"/>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4D46447C"/>
    <w:multiLevelType w:val="hybridMultilevel"/>
    <w:tmpl w:val="C0AACF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0367CE0"/>
    <w:multiLevelType w:val="hybridMultilevel"/>
    <w:tmpl w:val="04B274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609874EA"/>
    <w:multiLevelType w:val="hybridMultilevel"/>
    <w:tmpl w:val="28D264E6"/>
    <w:lvl w:ilvl="0" w:tplc="3B686808">
      <w:start w:val="1"/>
      <w:numFmt w:val="decimal"/>
      <w:lvlText w:val="%1)"/>
      <w:lvlJc w:val="left"/>
      <w:pPr>
        <w:ind w:left="1069" w:hanging="360"/>
      </w:pPr>
      <w:rPr>
        <w:rFonts w:cs="Times New Roman" w:hint="default"/>
        <w:color w:val="auto"/>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61FD7215"/>
    <w:multiLevelType w:val="hybridMultilevel"/>
    <w:tmpl w:val="1508365A"/>
    <w:lvl w:ilvl="0" w:tplc="8B166E94">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75BA3027"/>
    <w:multiLevelType w:val="hybridMultilevel"/>
    <w:tmpl w:val="F912D3B4"/>
    <w:lvl w:ilvl="0" w:tplc="4BF6A72A">
      <w:start w:val="1"/>
      <w:numFmt w:val="decimal"/>
      <w:lvlText w:val="%1."/>
      <w:lvlJc w:val="left"/>
      <w:pPr>
        <w:ind w:left="720" w:hanging="360"/>
      </w:pPr>
    </w:lvl>
    <w:lvl w:ilvl="1" w:tplc="83F60A84">
      <w:start w:val="1"/>
      <w:numFmt w:val="lowerLetter"/>
      <w:lvlText w:val="%2."/>
      <w:lvlJc w:val="left"/>
      <w:pPr>
        <w:ind w:left="1440" w:hanging="360"/>
      </w:pPr>
    </w:lvl>
    <w:lvl w:ilvl="2" w:tplc="A9022CDE">
      <w:start w:val="1"/>
      <w:numFmt w:val="lowerRoman"/>
      <w:lvlText w:val="%3."/>
      <w:lvlJc w:val="right"/>
      <w:pPr>
        <w:ind w:left="2160" w:hanging="180"/>
      </w:pPr>
    </w:lvl>
    <w:lvl w:ilvl="3" w:tplc="C8C2788C">
      <w:start w:val="1"/>
      <w:numFmt w:val="decimal"/>
      <w:lvlText w:val="%4."/>
      <w:lvlJc w:val="left"/>
      <w:pPr>
        <w:ind w:left="2880" w:hanging="360"/>
      </w:pPr>
    </w:lvl>
    <w:lvl w:ilvl="4" w:tplc="F1B69708">
      <w:start w:val="1"/>
      <w:numFmt w:val="lowerLetter"/>
      <w:lvlText w:val="%5."/>
      <w:lvlJc w:val="left"/>
      <w:pPr>
        <w:ind w:left="3600" w:hanging="360"/>
      </w:pPr>
    </w:lvl>
    <w:lvl w:ilvl="5" w:tplc="9AC6489A">
      <w:start w:val="1"/>
      <w:numFmt w:val="lowerRoman"/>
      <w:lvlText w:val="%6."/>
      <w:lvlJc w:val="right"/>
      <w:pPr>
        <w:ind w:left="4320" w:hanging="180"/>
      </w:pPr>
    </w:lvl>
    <w:lvl w:ilvl="6" w:tplc="C5664C82">
      <w:start w:val="1"/>
      <w:numFmt w:val="decimal"/>
      <w:lvlText w:val="%7."/>
      <w:lvlJc w:val="left"/>
      <w:pPr>
        <w:ind w:left="5040" w:hanging="360"/>
      </w:pPr>
    </w:lvl>
    <w:lvl w:ilvl="7" w:tplc="6908DE9E">
      <w:start w:val="1"/>
      <w:numFmt w:val="lowerLetter"/>
      <w:lvlText w:val="%8."/>
      <w:lvlJc w:val="left"/>
      <w:pPr>
        <w:ind w:left="5760" w:hanging="360"/>
      </w:pPr>
    </w:lvl>
    <w:lvl w:ilvl="8" w:tplc="D0142B6E">
      <w:start w:val="1"/>
      <w:numFmt w:val="lowerRoman"/>
      <w:lvlText w:val="%9."/>
      <w:lvlJc w:val="right"/>
      <w:pPr>
        <w:ind w:left="6480" w:hanging="180"/>
      </w:pPr>
    </w:lvl>
  </w:abstractNum>
  <w:num w:numId="1">
    <w:abstractNumId w:val="10"/>
  </w:num>
  <w:num w:numId="2">
    <w:abstractNumId w:val="9"/>
  </w:num>
  <w:num w:numId="3">
    <w:abstractNumId w:val="3"/>
  </w:num>
  <w:num w:numId="4">
    <w:abstractNumId w:val="6"/>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 w:numId="11">
    <w:abstractNumId w:val="0"/>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rsids>
    <w:rsidRoot w:val="008C5649"/>
    <w:rsid w:val="0000188E"/>
    <w:rsid w:val="000047A0"/>
    <w:rsid w:val="00010ABD"/>
    <w:rsid w:val="00011D24"/>
    <w:rsid w:val="00012427"/>
    <w:rsid w:val="000128FE"/>
    <w:rsid w:val="00012A6E"/>
    <w:rsid w:val="000135EB"/>
    <w:rsid w:val="000139C9"/>
    <w:rsid w:val="00013FF4"/>
    <w:rsid w:val="00015181"/>
    <w:rsid w:val="00015380"/>
    <w:rsid w:val="00016BD1"/>
    <w:rsid w:val="00020FE1"/>
    <w:rsid w:val="00022BB9"/>
    <w:rsid w:val="00022E13"/>
    <w:rsid w:val="00023C23"/>
    <w:rsid w:val="0002465C"/>
    <w:rsid w:val="00024734"/>
    <w:rsid w:val="00024D3F"/>
    <w:rsid w:val="000253A1"/>
    <w:rsid w:val="00025885"/>
    <w:rsid w:val="00026C76"/>
    <w:rsid w:val="00027089"/>
    <w:rsid w:val="000275D7"/>
    <w:rsid w:val="00027D88"/>
    <w:rsid w:val="00030348"/>
    <w:rsid w:val="000303D5"/>
    <w:rsid w:val="00030FDC"/>
    <w:rsid w:val="00032388"/>
    <w:rsid w:val="000334C3"/>
    <w:rsid w:val="00034C8A"/>
    <w:rsid w:val="00035013"/>
    <w:rsid w:val="00035159"/>
    <w:rsid w:val="00035989"/>
    <w:rsid w:val="00035CE2"/>
    <w:rsid w:val="00035EF1"/>
    <w:rsid w:val="00037FD3"/>
    <w:rsid w:val="00040FDC"/>
    <w:rsid w:val="00043D65"/>
    <w:rsid w:val="00043F41"/>
    <w:rsid w:val="00045374"/>
    <w:rsid w:val="000459AF"/>
    <w:rsid w:val="00045D87"/>
    <w:rsid w:val="00046839"/>
    <w:rsid w:val="00046D14"/>
    <w:rsid w:val="0004715A"/>
    <w:rsid w:val="00047884"/>
    <w:rsid w:val="000508F8"/>
    <w:rsid w:val="00054724"/>
    <w:rsid w:val="0005553B"/>
    <w:rsid w:val="00055756"/>
    <w:rsid w:val="0005576D"/>
    <w:rsid w:val="0005624D"/>
    <w:rsid w:val="00056B1B"/>
    <w:rsid w:val="000604D2"/>
    <w:rsid w:val="00060E23"/>
    <w:rsid w:val="00062881"/>
    <w:rsid w:val="000629E0"/>
    <w:rsid w:val="00064035"/>
    <w:rsid w:val="00065314"/>
    <w:rsid w:val="000654CD"/>
    <w:rsid w:val="00066387"/>
    <w:rsid w:val="00066481"/>
    <w:rsid w:val="000673BB"/>
    <w:rsid w:val="00071061"/>
    <w:rsid w:val="00071885"/>
    <w:rsid w:val="00072284"/>
    <w:rsid w:val="00073104"/>
    <w:rsid w:val="00075796"/>
    <w:rsid w:val="00076AA6"/>
    <w:rsid w:val="0007779C"/>
    <w:rsid w:val="00077FDB"/>
    <w:rsid w:val="00080D68"/>
    <w:rsid w:val="000819A5"/>
    <w:rsid w:val="0008382C"/>
    <w:rsid w:val="00083D7A"/>
    <w:rsid w:val="000856E2"/>
    <w:rsid w:val="00085C43"/>
    <w:rsid w:val="000866AF"/>
    <w:rsid w:val="000866E5"/>
    <w:rsid w:val="00086AB9"/>
    <w:rsid w:val="000875E4"/>
    <w:rsid w:val="0009005E"/>
    <w:rsid w:val="00090A7B"/>
    <w:rsid w:val="00090B3A"/>
    <w:rsid w:val="00091A23"/>
    <w:rsid w:val="00091EAD"/>
    <w:rsid w:val="000937C6"/>
    <w:rsid w:val="0009383A"/>
    <w:rsid w:val="000941C5"/>
    <w:rsid w:val="000945E2"/>
    <w:rsid w:val="00095A62"/>
    <w:rsid w:val="00095A7E"/>
    <w:rsid w:val="00095B7D"/>
    <w:rsid w:val="00095DD0"/>
    <w:rsid w:val="00095E74"/>
    <w:rsid w:val="000978BC"/>
    <w:rsid w:val="000A04B4"/>
    <w:rsid w:val="000A26EC"/>
    <w:rsid w:val="000A4853"/>
    <w:rsid w:val="000A542E"/>
    <w:rsid w:val="000A604C"/>
    <w:rsid w:val="000A6451"/>
    <w:rsid w:val="000B00AF"/>
    <w:rsid w:val="000B064E"/>
    <w:rsid w:val="000B2487"/>
    <w:rsid w:val="000B2C9D"/>
    <w:rsid w:val="000B359C"/>
    <w:rsid w:val="000B3CD7"/>
    <w:rsid w:val="000B3FA6"/>
    <w:rsid w:val="000B54AE"/>
    <w:rsid w:val="000B5C29"/>
    <w:rsid w:val="000B646E"/>
    <w:rsid w:val="000B69CF"/>
    <w:rsid w:val="000B72EE"/>
    <w:rsid w:val="000C04C0"/>
    <w:rsid w:val="000C088A"/>
    <w:rsid w:val="000C169B"/>
    <w:rsid w:val="000C386E"/>
    <w:rsid w:val="000C41C4"/>
    <w:rsid w:val="000C45A4"/>
    <w:rsid w:val="000C5D56"/>
    <w:rsid w:val="000C5DB0"/>
    <w:rsid w:val="000C790C"/>
    <w:rsid w:val="000D04C8"/>
    <w:rsid w:val="000D0545"/>
    <w:rsid w:val="000D1A41"/>
    <w:rsid w:val="000D1D50"/>
    <w:rsid w:val="000D20AB"/>
    <w:rsid w:val="000D3388"/>
    <w:rsid w:val="000D4694"/>
    <w:rsid w:val="000D49CB"/>
    <w:rsid w:val="000D5AD0"/>
    <w:rsid w:val="000D7072"/>
    <w:rsid w:val="000E01B7"/>
    <w:rsid w:val="000E099E"/>
    <w:rsid w:val="000E0A1C"/>
    <w:rsid w:val="000E1EFB"/>
    <w:rsid w:val="000E1F44"/>
    <w:rsid w:val="000E4C63"/>
    <w:rsid w:val="000E6E2F"/>
    <w:rsid w:val="000E7910"/>
    <w:rsid w:val="000F061D"/>
    <w:rsid w:val="000F22DB"/>
    <w:rsid w:val="000F35AE"/>
    <w:rsid w:val="000F42CA"/>
    <w:rsid w:val="000F4329"/>
    <w:rsid w:val="000F4794"/>
    <w:rsid w:val="000F50CE"/>
    <w:rsid w:val="000F5D2A"/>
    <w:rsid w:val="000F622E"/>
    <w:rsid w:val="00101947"/>
    <w:rsid w:val="00104645"/>
    <w:rsid w:val="00104953"/>
    <w:rsid w:val="00104DFC"/>
    <w:rsid w:val="001059C3"/>
    <w:rsid w:val="0010613D"/>
    <w:rsid w:val="00110B04"/>
    <w:rsid w:val="001110C6"/>
    <w:rsid w:val="001121C1"/>
    <w:rsid w:val="00112A15"/>
    <w:rsid w:val="00113D26"/>
    <w:rsid w:val="00113D2D"/>
    <w:rsid w:val="001144DF"/>
    <w:rsid w:val="0011582D"/>
    <w:rsid w:val="00116519"/>
    <w:rsid w:val="00124F12"/>
    <w:rsid w:val="00127E8F"/>
    <w:rsid w:val="00127FA9"/>
    <w:rsid w:val="0013052A"/>
    <w:rsid w:val="0013327A"/>
    <w:rsid w:val="00133B94"/>
    <w:rsid w:val="001344F6"/>
    <w:rsid w:val="00135536"/>
    <w:rsid w:val="00136C46"/>
    <w:rsid w:val="0014089E"/>
    <w:rsid w:val="0014123A"/>
    <w:rsid w:val="00141DF8"/>
    <w:rsid w:val="00141FC2"/>
    <w:rsid w:val="001421D1"/>
    <w:rsid w:val="001423D2"/>
    <w:rsid w:val="0014247C"/>
    <w:rsid w:val="00142EB5"/>
    <w:rsid w:val="00143262"/>
    <w:rsid w:val="00144BBE"/>
    <w:rsid w:val="00144E3A"/>
    <w:rsid w:val="00145727"/>
    <w:rsid w:val="0014630E"/>
    <w:rsid w:val="00146EB5"/>
    <w:rsid w:val="0015060C"/>
    <w:rsid w:val="00150715"/>
    <w:rsid w:val="001521A4"/>
    <w:rsid w:val="0015224D"/>
    <w:rsid w:val="001522B9"/>
    <w:rsid w:val="001522D1"/>
    <w:rsid w:val="00153AAE"/>
    <w:rsid w:val="00153F49"/>
    <w:rsid w:val="00154957"/>
    <w:rsid w:val="001554B6"/>
    <w:rsid w:val="00157B48"/>
    <w:rsid w:val="0016018A"/>
    <w:rsid w:val="00160B5B"/>
    <w:rsid w:val="00160CF0"/>
    <w:rsid w:val="0016158C"/>
    <w:rsid w:val="00161CD1"/>
    <w:rsid w:val="00161F0E"/>
    <w:rsid w:val="00163B1A"/>
    <w:rsid w:val="001646D8"/>
    <w:rsid w:val="00164CCB"/>
    <w:rsid w:val="00164F6E"/>
    <w:rsid w:val="00166847"/>
    <w:rsid w:val="001668B4"/>
    <w:rsid w:val="00170E2A"/>
    <w:rsid w:val="001710ED"/>
    <w:rsid w:val="00173780"/>
    <w:rsid w:val="00174129"/>
    <w:rsid w:val="001763B1"/>
    <w:rsid w:val="00176574"/>
    <w:rsid w:val="00176A47"/>
    <w:rsid w:val="00177394"/>
    <w:rsid w:val="00182B9C"/>
    <w:rsid w:val="00182C18"/>
    <w:rsid w:val="00183153"/>
    <w:rsid w:val="0018328E"/>
    <w:rsid w:val="00183479"/>
    <w:rsid w:val="0018360A"/>
    <w:rsid w:val="001837F8"/>
    <w:rsid w:val="00183CC2"/>
    <w:rsid w:val="0018463B"/>
    <w:rsid w:val="00185169"/>
    <w:rsid w:val="001866EE"/>
    <w:rsid w:val="00187DFA"/>
    <w:rsid w:val="001900E4"/>
    <w:rsid w:val="0019076B"/>
    <w:rsid w:val="00190E2E"/>
    <w:rsid w:val="00190F88"/>
    <w:rsid w:val="00192B8B"/>
    <w:rsid w:val="00192CF9"/>
    <w:rsid w:val="00192E49"/>
    <w:rsid w:val="00192EEF"/>
    <w:rsid w:val="0019339A"/>
    <w:rsid w:val="001951A5"/>
    <w:rsid w:val="00197F74"/>
    <w:rsid w:val="001A0EA1"/>
    <w:rsid w:val="001A4066"/>
    <w:rsid w:val="001A418B"/>
    <w:rsid w:val="001A469D"/>
    <w:rsid w:val="001A5DE9"/>
    <w:rsid w:val="001A6AE4"/>
    <w:rsid w:val="001A7FE4"/>
    <w:rsid w:val="001B01FD"/>
    <w:rsid w:val="001B03BB"/>
    <w:rsid w:val="001B117C"/>
    <w:rsid w:val="001B1854"/>
    <w:rsid w:val="001B1AF5"/>
    <w:rsid w:val="001B2334"/>
    <w:rsid w:val="001B3421"/>
    <w:rsid w:val="001B3DBB"/>
    <w:rsid w:val="001B4A71"/>
    <w:rsid w:val="001B51F8"/>
    <w:rsid w:val="001B63FF"/>
    <w:rsid w:val="001C2654"/>
    <w:rsid w:val="001C3439"/>
    <w:rsid w:val="001C4B6E"/>
    <w:rsid w:val="001C54F0"/>
    <w:rsid w:val="001C6994"/>
    <w:rsid w:val="001D0175"/>
    <w:rsid w:val="001D01A9"/>
    <w:rsid w:val="001D10DA"/>
    <w:rsid w:val="001D238A"/>
    <w:rsid w:val="001D489E"/>
    <w:rsid w:val="001D48D3"/>
    <w:rsid w:val="001D4C87"/>
    <w:rsid w:val="001D53BE"/>
    <w:rsid w:val="001D5B54"/>
    <w:rsid w:val="001D5BA3"/>
    <w:rsid w:val="001D5ED7"/>
    <w:rsid w:val="001E125F"/>
    <w:rsid w:val="001E1DBF"/>
    <w:rsid w:val="001E3BCB"/>
    <w:rsid w:val="001E3FBF"/>
    <w:rsid w:val="001E4639"/>
    <w:rsid w:val="001E4A7D"/>
    <w:rsid w:val="001E6A8D"/>
    <w:rsid w:val="001E71CA"/>
    <w:rsid w:val="001F060B"/>
    <w:rsid w:val="001F1B41"/>
    <w:rsid w:val="001F1B49"/>
    <w:rsid w:val="001F39A2"/>
    <w:rsid w:val="001F4209"/>
    <w:rsid w:val="001F43A8"/>
    <w:rsid w:val="001F4602"/>
    <w:rsid w:val="001F5CD6"/>
    <w:rsid w:val="00200226"/>
    <w:rsid w:val="0020042B"/>
    <w:rsid w:val="00200A1E"/>
    <w:rsid w:val="00202524"/>
    <w:rsid w:val="002029D8"/>
    <w:rsid w:val="00203534"/>
    <w:rsid w:val="00203966"/>
    <w:rsid w:val="00204813"/>
    <w:rsid w:val="00204BBC"/>
    <w:rsid w:val="00205E1B"/>
    <w:rsid w:val="00206F37"/>
    <w:rsid w:val="002105E5"/>
    <w:rsid w:val="002116DD"/>
    <w:rsid w:val="002117EA"/>
    <w:rsid w:val="00211BF4"/>
    <w:rsid w:val="0021263D"/>
    <w:rsid w:val="002136D0"/>
    <w:rsid w:val="00213F0C"/>
    <w:rsid w:val="00213F3A"/>
    <w:rsid w:val="00214094"/>
    <w:rsid w:val="00214FA9"/>
    <w:rsid w:val="0021592D"/>
    <w:rsid w:val="00216F49"/>
    <w:rsid w:val="002179EF"/>
    <w:rsid w:val="00222D76"/>
    <w:rsid w:val="00223227"/>
    <w:rsid w:val="0022373C"/>
    <w:rsid w:val="00223EB1"/>
    <w:rsid w:val="0022478A"/>
    <w:rsid w:val="00224B09"/>
    <w:rsid w:val="00224BBF"/>
    <w:rsid w:val="002264CC"/>
    <w:rsid w:val="002265B9"/>
    <w:rsid w:val="00227204"/>
    <w:rsid w:val="002275E5"/>
    <w:rsid w:val="00227F63"/>
    <w:rsid w:val="0023076B"/>
    <w:rsid w:val="00230BED"/>
    <w:rsid w:val="00231344"/>
    <w:rsid w:val="00231870"/>
    <w:rsid w:val="0023436E"/>
    <w:rsid w:val="002347C0"/>
    <w:rsid w:val="0023697B"/>
    <w:rsid w:val="00237EEF"/>
    <w:rsid w:val="00240740"/>
    <w:rsid w:val="00241A6C"/>
    <w:rsid w:val="002425D0"/>
    <w:rsid w:val="00242D2B"/>
    <w:rsid w:val="0024308C"/>
    <w:rsid w:val="00244792"/>
    <w:rsid w:val="00244C02"/>
    <w:rsid w:val="0024665E"/>
    <w:rsid w:val="00246E0A"/>
    <w:rsid w:val="00250D16"/>
    <w:rsid w:val="00251D4D"/>
    <w:rsid w:val="0025214E"/>
    <w:rsid w:val="002526B4"/>
    <w:rsid w:val="002527BE"/>
    <w:rsid w:val="00253797"/>
    <w:rsid w:val="00254A57"/>
    <w:rsid w:val="00255B35"/>
    <w:rsid w:val="0025780E"/>
    <w:rsid w:val="00261703"/>
    <w:rsid w:val="00262E2B"/>
    <w:rsid w:val="002637EF"/>
    <w:rsid w:val="00264968"/>
    <w:rsid w:val="00266048"/>
    <w:rsid w:val="00266D91"/>
    <w:rsid w:val="00267551"/>
    <w:rsid w:val="002676A6"/>
    <w:rsid w:val="00267C4B"/>
    <w:rsid w:val="00270325"/>
    <w:rsid w:val="00270429"/>
    <w:rsid w:val="00270B69"/>
    <w:rsid w:val="0027136A"/>
    <w:rsid w:val="0027186D"/>
    <w:rsid w:val="002723E9"/>
    <w:rsid w:val="00272723"/>
    <w:rsid w:val="00274537"/>
    <w:rsid w:val="002746D5"/>
    <w:rsid w:val="002746E8"/>
    <w:rsid w:val="00274C84"/>
    <w:rsid w:val="00277929"/>
    <w:rsid w:val="00277AD3"/>
    <w:rsid w:val="00280D38"/>
    <w:rsid w:val="0028145D"/>
    <w:rsid w:val="0028243A"/>
    <w:rsid w:val="00283109"/>
    <w:rsid w:val="00283325"/>
    <w:rsid w:val="00283B82"/>
    <w:rsid w:val="00283BB8"/>
    <w:rsid w:val="00284270"/>
    <w:rsid w:val="002846E9"/>
    <w:rsid w:val="00284C34"/>
    <w:rsid w:val="00287B58"/>
    <w:rsid w:val="00287D1D"/>
    <w:rsid w:val="0029066C"/>
    <w:rsid w:val="002907FE"/>
    <w:rsid w:val="002908DF"/>
    <w:rsid w:val="00290A05"/>
    <w:rsid w:val="00291881"/>
    <w:rsid w:val="00297138"/>
    <w:rsid w:val="002A0000"/>
    <w:rsid w:val="002A067D"/>
    <w:rsid w:val="002A1D2A"/>
    <w:rsid w:val="002A3776"/>
    <w:rsid w:val="002A3BCC"/>
    <w:rsid w:val="002A54AE"/>
    <w:rsid w:val="002A55F0"/>
    <w:rsid w:val="002A6033"/>
    <w:rsid w:val="002B08D1"/>
    <w:rsid w:val="002B0E07"/>
    <w:rsid w:val="002B1B1F"/>
    <w:rsid w:val="002B1D83"/>
    <w:rsid w:val="002B469C"/>
    <w:rsid w:val="002B50DB"/>
    <w:rsid w:val="002B5570"/>
    <w:rsid w:val="002B59D2"/>
    <w:rsid w:val="002B6A35"/>
    <w:rsid w:val="002B73B6"/>
    <w:rsid w:val="002C0532"/>
    <w:rsid w:val="002C12AB"/>
    <w:rsid w:val="002C30EA"/>
    <w:rsid w:val="002C3218"/>
    <w:rsid w:val="002C3DB1"/>
    <w:rsid w:val="002C5053"/>
    <w:rsid w:val="002C552F"/>
    <w:rsid w:val="002C59E1"/>
    <w:rsid w:val="002C60A7"/>
    <w:rsid w:val="002C65C1"/>
    <w:rsid w:val="002C72DA"/>
    <w:rsid w:val="002C7CAC"/>
    <w:rsid w:val="002C7F41"/>
    <w:rsid w:val="002D1AAF"/>
    <w:rsid w:val="002D2DBB"/>
    <w:rsid w:val="002D3197"/>
    <w:rsid w:val="002D3306"/>
    <w:rsid w:val="002D47B8"/>
    <w:rsid w:val="002D48AA"/>
    <w:rsid w:val="002D4B8B"/>
    <w:rsid w:val="002D71E0"/>
    <w:rsid w:val="002D7BAA"/>
    <w:rsid w:val="002D7F54"/>
    <w:rsid w:val="002E0A33"/>
    <w:rsid w:val="002E0B93"/>
    <w:rsid w:val="002E2570"/>
    <w:rsid w:val="002E2E34"/>
    <w:rsid w:val="002E343B"/>
    <w:rsid w:val="002E394B"/>
    <w:rsid w:val="002E3FF4"/>
    <w:rsid w:val="002F26A1"/>
    <w:rsid w:val="002F3BE4"/>
    <w:rsid w:val="002F451B"/>
    <w:rsid w:val="002F51A8"/>
    <w:rsid w:val="002F721E"/>
    <w:rsid w:val="002F78C8"/>
    <w:rsid w:val="00301CF3"/>
    <w:rsid w:val="00305CD4"/>
    <w:rsid w:val="003065B3"/>
    <w:rsid w:val="00306933"/>
    <w:rsid w:val="00307421"/>
    <w:rsid w:val="003139C4"/>
    <w:rsid w:val="00313AC2"/>
    <w:rsid w:val="00313BDE"/>
    <w:rsid w:val="00314325"/>
    <w:rsid w:val="003155F1"/>
    <w:rsid w:val="00317B90"/>
    <w:rsid w:val="00317C5D"/>
    <w:rsid w:val="003201F3"/>
    <w:rsid w:val="003236EF"/>
    <w:rsid w:val="00326B81"/>
    <w:rsid w:val="0032715C"/>
    <w:rsid w:val="00327A1C"/>
    <w:rsid w:val="003312F7"/>
    <w:rsid w:val="0033176B"/>
    <w:rsid w:val="00333A2B"/>
    <w:rsid w:val="003345C0"/>
    <w:rsid w:val="00334869"/>
    <w:rsid w:val="0033587B"/>
    <w:rsid w:val="00335AA8"/>
    <w:rsid w:val="00336EB7"/>
    <w:rsid w:val="003374CE"/>
    <w:rsid w:val="00337CA5"/>
    <w:rsid w:val="003404D1"/>
    <w:rsid w:val="00342952"/>
    <w:rsid w:val="00342D7D"/>
    <w:rsid w:val="003458AD"/>
    <w:rsid w:val="00347914"/>
    <w:rsid w:val="0034795A"/>
    <w:rsid w:val="00347A33"/>
    <w:rsid w:val="00354EEA"/>
    <w:rsid w:val="0035523E"/>
    <w:rsid w:val="003557F7"/>
    <w:rsid w:val="0035637E"/>
    <w:rsid w:val="00356636"/>
    <w:rsid w:val="00356674"/>
    <w:rsid w:val="003610AA"/>
    <w:rsid w:val="0036135E"/>
    <w:rsid w:val="00361530"/>
    <w:rsid w:val="00361857"/>
    <w:rsid w:val="00362478"/>
    <w:rsid w:val="00365C25"/>
    <w:rsid w:val="00365E7F"/>
    <w:rsid w:val="00365FD6"/>
    <w:rsid w:val="00367516"/>
    <w:rsid w:val="00371C16"/>
    <w:rsid w:val="00373121"/>
    <w:rsid w:val="00373EB5"/>
    <w:rsid w:val="00375926"/>
    <w:rsid w:val="00375B25"/>
    <w:rsid w:val="00375F31"/>
    <w:rsid w:val="00376227"/>
    <w:rsid w:val="00376A1B"/>
    <w:rsid w:val="0037756E"/>
    <w:rsid w:val="0038132C"/>
    <w:rsid w:val="00384E61"/>
    <w:rsid w:val="003903B5"/>
    <w:rsid w:val="00390AAA"/>
    <w:rsid w:val="00391E66"/>
    <w:rsid w:val="00393BC8"/>
    <w:rsid w:val="003952E6"/>
    <w:rsid w:val="00395805"/>
    <w:rsid w:val="00396542"/>
    <w:rsid w:val="0039685B"/>
    <w:rsid w:val="00397DBC"/>
    <w:rsid w:val="003A0B01"/>
    <w:rsid w:val="003A13B8"/>
    <w:rsid w:val="003A2C22"/>
    <w:rsid w:val="003A31A6"/>
    <w:rsid w:val="003A43BB"/>
    <w:rsid w:val="003A7F0C"/>
    <w:rsid w:val="003A7F79"/>
    <w:rsid w:val="003B04E9"/>
    <w:rsid w:val="003B0855"/>
    <w:rsid w:val="003B17DF"/>
    <w:rsid w:val="003B19BE"/>
    <w:rsid w:val="003B2124"/>
    <w:rsid w:val="003B3C84"/>
    <w:rsid w:val="003B55B5"/>
    <w:rsid w:val="003B6404"/>
    <w:rsid w:val="003B68B1"/>
    <w:rsid w:val="003C16F7"/>
    <w:rsid w:val="003C1BEE"/>
    <w:rsid w:val="003C29DD"/>
    <w:rsid w:val="003C2A5B"/>
    <w:rsid w:val="003C3471"/>
    <w:rsid w:val="003C3568"/>
    <w:rsid w:val="003C3CB5"/>
    <w:rsid w:val="003C43F3"/>
    <w:rsid w:val="003C449B"/>
    <w:rsid w:val="003C6603"/>
    <w:rsid w:val="003C7874"/>
    <w:rsid w:val="003D108A"/>
    <w:rsid w:val="003D1469"/>
    <w:rsid w:val="003D21FF"/>
    <w:rsid w:val="003D3B4A"/>
    <w:rsid w:val="003D468F"/>
    <w:rsid w:val="003D5E1F"/>
    <w:rsid w:val="003D659D"/>
    <w:rsid w:val="003D7CC9"/>
    <w:rsid w:val="003E12D5"/>
    <w:rsid w:val="003E3228"/>
    <w:rsid w:val="003E3966"/>
    <w:rsid w:val="003E651D"/>
    <w:rsid w:val="003E67FB"/>
    <w:rsid w:val="003E686E"/>
    <w:rsid w:val="003E71CD"/>
    <w:rsid w:val="003E768A"/>
    <w:rsid w:val="003F0112"/>
    <w:rsid w:val="003F04A6"/>
    <w:rsid w:val="003F071A"/>
    <w:rsid w:val="003F160B"/>
    <w:rsid w:val="003F5510"/>
    <w:rsid w:val="003F55BC"/>
    <w:rsid w:val="003F6C21"/>
    <w:rsid w:val="003F70DF"/>
    <w:rsid w:val="003F77DF"/>
    <w:rsid w:val="00400032"/>
    <w:rsid w:val="004004CD"/>
    <w:rsid w:val="00400B43"/>
    <w:rsid w:val="00400B5B"/>
    <w:rsid w:val="00401137"/>
    <w:rsid w:val="00401365"/>
    <w:rsid w:val="00401B87"/>
    <w:rsid w:val="00405A00"/>
    <w:rsid w:val="0040660F"/>
    <w:rsid w:val="004066C0"/>
    <w:rsid w:val="004070D7"/>
    <w:rsid w:val="00407170"/>
    <w:rsid w:val="00410F91"/>
    <w:rsid w:val="00411A9E"/>
    <w:rsid w:val="0041349E"/>
    <w:rsid w:val="0041373E"/>
    <w:rsid w:val="00414E71"/>
    <w:rsid w:val="0041649A"/>
    <w:rsid w:val="00416904"/>
    <w:rsid w:val="00416FF4"/>
    <w:rsid w:val="00417870"/>
    <w:rsid w:val="00420860"/>
    <w:rsid w:val="00420870"/>
    <w:rsid w:val="00422063"/>
    <w:rsid w:val="00422FEC"/>
    <w:rsid w:val="00426778"/>
    <w:rsid w:val="00427C93"/>
    <w:rsid w:val="004314CD"/>
    <w:rsid w:val="00432D0C"/>
    <w:rsid w:val="00432D66"/>
    <w:rsid w:val="0043308E"/>
    <w:rsid w:val="004341B8"/>
    <w:rsid w:val="00434A35"/>
    <w:rsid w:val="0043717C"/>
    <w:rsid w:val="0043791B"/>
    <w:rsid w:val="00440149"/>
    <w:rsid w:val="004405CA"/>
    <w:rsid w:val="00441483"/>
    <w:rsid w:val="00441BCB"/>
    <w:rsid w:val="004431F0"/>
    <w:rsid w:val="00444704"/>
    <w:rsid w:val="00445287"/>
    <w:rsid w:val="0044531E"/>
    <w:rsid w:val="00445C8B"/>
    <w:rsid w:val="00445D40"/>
    <w:rsid w:val="004466E8"/>
    <w:rsid w:val="004466EB"/>
    <w:rsid w:val="00446C27"/>
    <w:rsid w:val="00446FEA"/>
    <w:rsid w:val="00447BD2"/>
    <w:rsid w:val="004503BE"/>
    <w:rsid w:val="00450816"/>
    <w:rsid w:val="004512D3"/>
    <w:rsid w:val="0045132C"/>
    <w:rsid w:val="0045176A"/>
    <w:rsid w:val="00452F74"/>
    <w:rsid w:val="00453518"/>
    <w:rsid w:val="00453E60"/>
    <w:rsid w:val="00456332"/>
    <w:rsid w:val="00460024"/>
    <w:rsid w:val="004602B3"/>
    <w:rsid w:val="004617ED"/>
    <w:rsid w:val="00461826"/>
    <w:rsid w:val="00461B3C"/>
    <w:rsid w:val="00462646"/>
    <w:rsid w:val="004639C3"/>
    <w:rsid w:val="00464E3E"/>
    <w:rsid w:val="00464FF4"/>
    <w:rsid w:val="004667A1"/>
    <w:rsid w:val="00466FFC"/>
    <w:rsid w:val="004725B5"/>
    <w:rsid w:val="00472D23"/>
    <w:rsid w:val="004735CE"/>
    <w:rsid w:val="00473CEF"/>
    <w:rsid w:val="00476B4A"/>
    <w:rsid w:val="00477559"/>
    <w:rsid w:val="00477F05"/>
    <w:rsid w:val="004800F9"/>
    <w:rsid w:val="004816B2"/>
    <w:rsid w:val="0048224A"/>
    <w:rsid w:val="00482659"/>
    <w:rsid w:val="0048545B"/>
    <w:rsid w:val="00486AB1"/>
    <w:rsid w:val="004870D6"/>
    <w:rsid w:val="0049134A"/>
    <w:rsid w:val="0049261C"/>
    <w:rsid w:val="00492DE4"/>
    <w:rsid w:val="004933AD"/>
    <w:rsid w:val="00494E54"/>
    <w:rsid w:val="00495981"/>
    <w:rsid w:val="00495C6D"/>
    <w:rsid w:val="00496A13"/>
    <w:rsid w:val="00497CB0"/>
    <w:rsid w:val="004A05DD"/>
    <w:rsid w:val="004A18FC"/>
    <w:rsid w:val="004A1C37"/>
    <w:rsid w:val="004A55CF"/>
    <w:rsid w:val="004A58CB"/>
    <w:rsid w:val="004A6DF2"/>
    <w:rsid w:val="004A7004"/>
    <w:rsid w:val="004A78F0"/>
    <w:rsid w:val="004A7EEC"/>
    <w:rsid w:val="004B00B5"/>
    <w:rsid w:val="004B0E33"/>
    <w:rsid w:val="004B1795"/>
    <w:rsid w:val="004B190C"/>
    <w:rsid w:val="004B3047"/>
    <w:rsid w:val="004B4513"/>
    <w:rsid w:val="004B56DD"/>
    <w:rsid w:val="004B65AB"/>
    <w:rsid w:val="004B7AE3"/>
    <w:rsid w:val="004C020F"/>
    <w:rsid w:val="004C1637"/>
    <w:rsid w:val="004C1AFD"/>
    <w:rsid w:val="004C3DD0"/>
    <w:rsid w:val="004C558B"/>
    <w:rsid w:val="004C5DF9"/>
    <w:rsid w:val="004C6419"/>
    <w:rsid w:val="004C6625"/>
    <w:rsid w:val="004C71F8"/>
    <w:rsid w:val="004C7525"/>
    <w:rsid w:val="004D04DE"/>
    <w:rsid w:val="004D0739"/>
    <w:rsid w:val="004D0A76"/>
    <w:rsid w:val="004D448F"/>
    <w:rsid w:val="004D46C2"/>
    <w:rsid w:val="004D6BF2"/>
    <w:rsid w:val="004D70FF"/>
    <w:rsid w:val="004D716A"/>
    <w:rsid w:val="004D78C3"/>
    <w:rsid w:val="004D7EEF"/>
    <w:rsid w:val="004E0B08"/>
    <w:rsid w:val="004E1916"/>
    <w:rsid w:val="004E3686"/>
    <w:rsid w:val="004E36F6"/>
    <w:rsid w:val="004E392D"/>
    <w:rsid w:val="004E5328"/>
    <w:rsid w:val="004E5A11"/>
    <w:rsid w:val="004E6641"/>
    <w:rsid w:val="004F0715"/>
    <w:rsid w:val="004F117E"/>
    <w:rsid w:val="004F19E3"/>
    <w:rsid w:val="004F1B19"/>
    <w:rsid w:val="004F1F88"/>
    <w:rsid w:val="004F5F1B"/>
    <w:rsid w:val="004F63DF"/>
    <w:rsid w:val="004F6DC2"/>
    <w:rsid w:val="00501A67"/>
    <w:rsid w:val="00501D82"/>
    <w:rsid w:val="00502374"/>
    <w:rsid w:val="00502850"/>
    <w:rsid w:val="0050540E"/>
    <w:rsid w:val="0050584F"/>
    <w:rsid w:val="00505BF8"/>
    <w:rsid w:val="00505D11"/>
    <w:rsid w:val="005060A1"/>
    <w:rsid w:val="00507B32"/>
    <w:rsid w:val="00511843"/>
    <w:rsid w:val="00512ACA"/>
    <w:rsid w:val="00513835"/>
    <w:rsid w:val="00515EC6"/>
    <w:rsid w:val="00516072"/>
    <w:rsid w:val="005179D8"/>
    <w:rsid w:val="0052004B"/>
    <w:rsid w:val="0052105F"/>
    <w:rsid w:val="0052355E"/>
    <w:rsid w:val="005256C1"/>
    <w:rsid w:val="00525BAA"/>
    <w:rsid w:val="005261D8"/>
    <w:rsid w:val="00526327"/>
    <w:rsid w:val="005264AF"/>
    <w:rsid w:val="00526B9E"/>
    <w:rsid w:val="00530C98"/>
    <w:rsid w:val="005317EE"/>
    <w:rsid w:val="005332EC"/>
    <w:rsid w:val="00533B66"/>
    <w:rsid w:val="00534418"/>
    <w:rsid w:val="005352B8"/>
    <w:rsid w:val="005353AB"/>
    <w:rsid w:val="00535A69"/>
    <w:rsid w:val="00535FBB"/>
    <w:rsid w:val="00537E45"/>
    <w:rsid w:val="00541C29"/>
    <w:rsid w:val="005426FC"/>
    <w:rsid w:val="00544B71"/>
    <w:rsid w:val="00544EAD"/>
    <w:rsid w:val="005468E0"/>
    <w:rsid w:val="00546C12"/>
    <w:rsid w:val="00551E2E"/>
    <w:rsid w:val="005560BC"/>
    <w:rsid w:val="00557225"/>
    <w:rsid w:val="005573BE"/>
    <w:rsid w:val="005576E8"/>
    <w:rsid w:val="005605D8"/>
    <w:rsid w:val="00562DB7"/>
    <w:rsid w:val="00563736"/>
    <w:rsid w:val="00564673"/>
    <w:rsid w:val="005646B7"/>
    <w:rsid w:val="0056757A"/>
    <w:rsid w:val="005704DF"/>
    <w:rsid w:val="00572700"/>
    <w:rsid w:val="00574106"/>
    <w:rsid w:val="00575BAD"/>
    <w:rsid w:val="005763B1"/>
    <w:rsid w:val="00577636"/>
    <w:rsid w:val="005777CB"/>
    <w:rsid w:val="00577AC1"/>
    <w:rsid w:val="00580468"/>
    <w:rsid w:val="00581B74"/>
    <w:rsid w:val="00581BBE"/>
    <w:rsid w:val="00582231"/>
    <w:rsid w:val="005829DA"/>
    <w:rsid w:val="0058310B"/>
    <w:rsid w:val="00584C92"/>
    <w:rsid w:val="0058603B"/>
    <w:rsid w:val="00587A62"/>
    <w:rsid w:val="00590604"/>
    <w:rsid w:val="0059273F"/>
    <w:rsid w:val="005939EC"/>
    <w:rsid w:val="00593B4F"/>
    <w:rsid w:val="0059431B"/>
    <w:rsid w:val="005944B2"/>
    <w:rsid w:val="005947C5"/>
    <w:rsid w:val="00594B6F"/>
    <w:rsid w:val="00594D8F"/>
    <w:rsid w:val="00596C27"/>
    <w:rsid w:val="005971D9"/>
    <w:rsid w:val="005A108F"/>
    <w:rsid w:val="005A2D6B"/>
    <w:rsid w:val="005A3201"/>
    <w:rsid w:val="005A39CC"/>
    <w:rsid w:val="005A3B94"/>
    <w:rsid w:val="005A4CBB"/>
    <w:rsid w:val="005A4EE7"/>
    <w:rsid w:val="005A53B8"/>
    <w:rsid w:val="005A56C3"/>
    <w:rsid w:val="005A741B"/>
    <w:rsid w:val="005B18FB"/>
    <w:rsid w:val="005B2B85"/>
    <w:rsid w:val="005B35D9"/>
    <w:rsid w:val="005B4730"/>
    <w:rsid w:val="005B48E6"/>
    <w:rsid w:val="005B4CCF"/>
    <w:rsid w:val="005C07EA"/>
    <w:rsid w:val="005C0F0E"/>
    <w:rsid w:val="005C28BD"/>
    <w:rsid w:val="005C2DA3"/>
    <w:rsid w:val="005C329B"/>
    <w:rsid w:val="005C42A1"/>
    <w:rsid w:val="005C4C65"/>
    <w:rsid w:val="005C62AD"/>
    <w:rsid w:val="005C6DE5"/>
    <w:rsid w:val="005C7000"/>
    <w:rsid w:val="005C795B"/>
    <w:rsid w:val="005C7995"/>
    <w:rsid w:val="005C7BAF"/>
    <w:rsid w:val="005D0936"/>
    <w:rsid w:val="005D0F0A"/>
    <w:rsid w:val="005D24D7"/>
    <w:rsid w:val="005D2DEC"/>
    <w:rsid w:val="005D39ED"/>
    <w:rsid w:val="005D4A6E"/>
    <w:rsid w:val="005D6031"/>
    <w:rsid w:val="005D6442"/>
    <w:rsid w:val="005D781A"/>
    <w:rsid w:val="005E05D7"/>
    <w:rsid w:val="005E17DC"/>
    <w:rsid w:val="005E1FE5"/>
    <w:rsid w:val="005E2788"/>
    <w:rsid w:val="005E29B4"/>
    <w:rsid w:val="005E32FE"/>
    <w:rsid w:val="005E3D91"/>
    <w:rsid w:val="005E41E7"/>
    <w:rsid w:val="005E450F"/>
    <w:rsid w:val="005E48D5"/>
    <w:rsid w:val="005E4ADA"/>
    <w:rsid w:val="005E4B11"/>
    <w:rsid w:val="005E523E"/>
    <w:rsid w:val="005E6B01"/>
    <w:rsid w:val="005E6E6C"/>
    <w:rsid w:val="005F13A2"/>
    <w:rsid w:val="005F267D"/>
    <w:rsid w:val="005F422A"/>
    <w:rsid w:val="005F5579"/>
    <w:rsid w:val="005F59E1"/>
    <w:rsid w:val="005F5EDB"/>
    <w:rsid w:val="005F78D1"/>
    <w:rsid w:val="005F7935"/>
    <w:rsid w:val="006010B2"/>
    <w:rsid w:val="0060130B"/>
    <w:rsid w:val="006015CB"/>
    <w:rsid w:val="00601FB4"/>
    <w:rsid w:val="00603794"/>
    <w:rsid w:val="00603FAD"/>
    <w:rsid w:val="00605EA5"/>
    <w:rsid w:val="00606021"/>
    <w:rsid w:val="0060695B"/>
    <w:rsid w:val="00606E9C"/>
    <w:rsid w:val="00606FA6"/>
    <w:rsid w:val="0061021A"/>
    <w:rsid w:val="00611DFC"/>
    <w:rsid w:val="0061356F"/>
    <w:rsid w:val="00613AAF"/>
    <w:rsid w:val="006157A6"/>
    <w:rsid w:val="006166DE"/>
    <w:rsid w:val="00616EAC"/>
    <w:rsid w:val="00617C14"/>
    <w:rsid w:val="00617F21"/>
    <w:rsid w:val="006208C9"/>
    <w:rsid w:val="00621518"/>
    <w:rsid w:val="00621650"/>
    <w:rsid w:val="00621C08"/>
    <w:rsid w:val="00621CA8"/>
    <w:rsid w:val="0062298A"/>
    <w:rsid w:val="00626514"/>
    <w:rsid w:val="00626589"/>
    <w:rsid w:val="00627988"/>
    <w:rsid w:val="006305BC"/>
    <w:rsid w:val="006339A0"/>
    <w:rsid w:val="00633F00"/>
    <w:rsid w:val="00635967"/>
    <w:rsid w:val="006370AE"/>
    <w:rsid w:val="00637A8B"/>
    <w:rsid w:val="00640C92"/>
    <w:rsid w:val="006413A8"/>
    <w:rsid w:val="0064198F"/>
    <w:rsid w:val="006419CC"/>
    <w:rsid w:val="00642E56"/>
    <w:rsid w:val="00643F55"/>
    <w:rsid w:val="006445DC"/>
    <w:rsid w:val="00644F10"/>
    <w:rsid w:val="00645A37"/>
    <w:rsid w:val="00645FDE"/>
    <w:rsid w:val="00646313"/>
    <w:rsid w:val="006504EB"/>
    <w:rsid w:val="00650727"/>
    <w:rsid w:val="00651E00"/>
    <w:rsid w:val="00652B5C"/>
    <w:rsid w:val="00652C23"/>
    <w:rsid w:val="006553E0"/>
    <w:rsid w:val="00660CE6"/>
    <w:rsid w:val="00662E04"/>
    <w:rsid w:val="00663E9C"/>
    <w:rsid w:val="0066452B"/>
    <w:rsid w:val="00664B40"/>
    <w:rsid w:val="0066594F"/>
    <w:rsid w:val="00665C50"/>
    <w:rsid w:val="00666EAF"/>
    <w:rsid w:val="00671348"/>
    <w:rsid w:val="006715E9"/>
    <w:rsid w:val="00671713"/>
    <w:rsid w:val="006719BE"/>
    <w:rsid w:val="00672680"/>
    <w:rsid w:val="006731F9"/>
    <w:rsid w:val="00674572"/>
    <w:rsid w:val="006758B2"/>
    <w:rsid w:val="00677A47"/>
    <w:rsid w:val="00677C67"/>
    <w:rsid w:val="006803B6"/>
    <w:rsid w:val="00680802"/>
    <w:rsid w:val="00681ED2"/>
    <w:rsid w:val="00683B0D"/>
    <w:rsid w:val="00683C1B"/>
    <w:rsid w:val="0068434B"/>
    <w:rsid w:val="00684739"/>
    <w:rsid w:val="0068525E"/>
    <w:rsid w:val="0068616B"/>
    <w:rsid w:val="006874E0"/>
    <w:rsid w:val="00687763"/>
    <w:rsid w:val="00691811"/>
    <w:rsid w:val="00692B0D"/>
    <w:rsid w:val="00693413"/>
    <w:rsid w:val="00693E0E"/>
    <w:rsid w:val="00694136"/>
    <w:rsid w:val="006941AF"/>
    <w:rsid w:val="00694DFF"/>
    <w:rsid w:val="0069559B"/>
    <w:rsid w:val="0069656D"/>
    <w:rsid w:val="0069660C"/>
    <w:rsid w:val="00697C6E"/>
    <w:rsid w:val="006A0EAE"/>
    <w:rsid w:val="006A0F19"/>
    <w:rsid w:val="006A1AE3"/>
    <w:rsid w:val="006A1F2B"/>
    <w:rsid w:val="006A2B40"/>
    <w:rsid w:val="006A4D2F"/>
    <w:rsid w:val="006A5AAB"/>
    <w:rsid w:val="006A667D"/>
    <w:rsid w:val="006A762E"/>
    <w:rsid w:val="006A7EFF"/>
    <w:rsid w:val="006B035F"/>
    <w:rsid w:val="006B1E8A"/>
    <w:rsid w:val="006B258B"/>
    <w:rsid w:val="006B382C"/>
    <w:rsid w:val="006B586C"/>
    <w:rsid w:val="006B7527"/>
    <w:rsid w:val="006B7A35"/>
    <w:rsid w:val="006C14BB"/>
    <w:rsid w:val="006C2283"/>
    <w:rsid w:val="006C2CD3"/>
    <w:rsid w:val="006C30E1"/>
    <w:rsid w:val="006C4607"/>
    <w:rsid w:val="006C48F0"/>
    <w:rsid w:val="006C4C7A"/>
    <w:rsid w:val="006C5EA8"/>
    <w:rsid w:val="006C6A1E"/>
    <w:rsid w:val="006C7205"/>
    <w:rsid w:val="006C72AC"/>
    <w:rsid w:val="006C7406"/>
    <w:rsid w:val="006D0181"/>
    <w:rsid w:val="006D1583"/>
    <w:rsid w:val="006D2238"/>
    <w:rsid w:val="006D29B5"/>
    <w:rsid w:val="006D3B9B"/>
    <w:rsid w:val="006D48F1"/>
    <w:rsid w:val="006D496A"/>
    <w:rsid w:val="006D57C7"/>
    <w:rsid w:val="006D58E8"/>
    <w:rsid w:val="006D593A"/>
    <w:rsid w:val="006D5F18"/>
    <w:rsid w:val="006D6DFA"/>
    <w:rsid w:val="006D6F18"/>
    <w:rsid w:val="006E0B62"/>
    <w:rsid w:val="006E1091"/>
    <w:rsid w:val="006E1570"/>
    <w:rsid w:val="006E17DB"/>
    <w:rsid w:val="006E1D2E"/>
    <w:rsid w:val="006E2D9D"/>
    <w:rsid w:val="006E42C0"/>
    <w:rsid w:val="006E48D6"/>
    <w:rsid w:val="006E5A47"/>
    <w:rsid w:val="006E612C"/>
    <w:rsid w:val="006E6A7B"/>
    <w:rsid w:val="006F0D0C"/>
    <w:rsid w:val="006F28C9"/>
    <w:rsid w:val="006F37D8"/>
    <w:rsid w:val="006F45BE"/>
    <w:rsid w:val="006F5F3E"/>
    <w:rsid w:val="006F759A"/>
    <w:rsid w:val="007002E2"/>
    <w:rsid w:val="00700424"/>
    <w:rsid w:val="007004FC"/>
    <w:rsid w:val="007006F0"/>
    <w:rsid w:val="007009E4"/>
    <w:rsid w:val="0070221E"/>
    <w:rsid w:val="00704267"/>
    <w:rsid w:val="00704DC6"/>
    <w:rsid w:val="00706257"/>
    <w:rsid w:val="00706670"/>
    <w:rsid w:val="00706D87"/>
    <w:rsid w:val="007072D6"/>
    <w:rsid w:val="007079E6"/>
    <w:rsid w:val="007104DB"/>
    <w:rsid w:val="00711F59"/>
    <w:rsid w:val="00712204"/>
    <w:rsid w:val="00715166"/>
    <w:rsid w:val="00716734"/>
    <w:rsid w:val="00716769"/>
    <w:rsid w:val="00717C55"/>
    <w:rsid w:val="007212E8"/>
    <w:rsid w:val="00721B17"/>
    <w:rsid w:val="007233E0"/>
    <w:rsid w:val="00723B83"/>
    <w:rsid w:val="0072417C"/>
    <w:rsid w:val="007249C9"/>
    <w:rsid w:val="0072583C"/>
    <w:rsid w:val="00726C2F"/>
    <w:rsid w:val="00727043"/>
    <w:rsid w:val="0072755B"/>
    <w:rsid w:val="00727F28"/>
    <w:rsid w:val="007302A2"/>
    <w:rsid w:val="007329B2"/>
    <w:rsid w:val="00733390"/>
    <w:rsid w:val="007335BB"/>
    <w:rsid w:val="007338FC"/>
    <w:rsid w:val="00733B34"/>
    <w:rsid w:val="00733E45"/>
    <w:rsid w:val="00734450"/>
    <w:rsid w:val="007377D4"/>
    <w:rsid w:val="00737BE9"/>
    <w:rsid w:val="007409EA"/>
    <w:rsid w:val="0074171F"/>
    <w:rsid w:val="00741F80"/>
    <w:rsid w:val="00745F67"/>
    <w:rsid w:val="00746B5A"/>
    <w:rsid w:val="00746F38"/>
    <w:rsid w:val="0075039E"/>
    <w:rsid w:val="00751EDC"/>
    <w:rsid w:val="00751EEE"/>
    <w:rsid w:val="00752D9D"/>
    <w:rsid w:val="007543EA"/>
    <w:rsid w:val="007546C3"/>
    <w:rsid w:val="00754784"/>
    <w:rsid w:val="00756082"/>
    <w:rsid w:val="00756B75"/>
    <w:rsid w:val="00756F59"/>
    <w:rsid w:val="007578DC"/>
    <w:rsid w:val="00757C18"/>
    <w:rsid w:val="00757C6E"/>
    <w:rsid w:val="00760E92"/>
    <w:rsid w:val="00761432"/>
    <w:rsid w:val="00762BDA"/>
    <w:rsid w:val="0076362F"/>
    <w:rsid w:val="007638E2"/>
    <w:rsid w:val="007645AA"/>
    <w:rsid w:val="007650C7"/>
    <w:rsid w:val="007650CD"/>
    <w:rsid w:val="00765CD8"/>
    <w:rsid w:val="007701DE"/>
    <w:rsid w:val="00770CEF"/>
    <w:rsid w:val="00771C00"/>
    <w:rsid w:val="00772FC4"/>
    <w:rsid w:val="00774021"/>
    <w:rsid w:val="00774EFC"/>
    <w:rsid w:val="00776999"/>
    <w:rsid w:val="007805FD"/>
    <w:rsid w:val="00780D1E"/>
    <w:rsid w:val="00780E42"/>
    <w:rsid w:val="00784422"/>
    <w:rsid w:val="00786281"/>
    <w:rsid w:val="00786485"/>
    <w:rsid w:val="0078714A"/>
    <w:rsid w:val="0078750A"/>
    <w:rsid w:val="00787621"/>
    <w:rsid w:val="00787D46"/>
    <w:rsid w:val="00790320"/>
    <w:rsid w:val="00790852"/>
    <w:rsid w:val="007914E1"/>
    <w:rsid w:val="0079382C"/>
    <w:rsid w:val="007939BD"/>
    <w:rsid w:val="00794411"/>
    <w:rsid w:val="0079482A"/>
    <w:rsid w:val="0079527F"/>
    <w:rsid w:val="00795E9D"/>
    <w:rsid w:val="00797951"/>
    <w:rsid w:val="00797BEF"/>
    <w:rsid w:val="00797CC5"/>
    <w:rsid w:val="007A011F"/>
    <w:rsid w:val="007A0762"/>
    <w:rsid w:val="007A5E80"/>
    <w:rsid w:val="007A61EA"/>
    <w:rsid w:val="007A78EC"/>
    <w:rsid w:val="007A7960"/>
    <w:rsid w:val="007B04D7"/>
    <w:rsid w:val="007B1B1B"/>
    <w:rsid w:val="007B23B1"/>
    <w:rsid w:val="007B2737"/>
    <w:rsid w:val="007B3031"/>
    <w:rsid w:val="007B3058"/>
    <w:rsid w:val="007B32DF"/>
    <w:rsid w:val="007B3B54"/>
    <w:rsid w:val="007B3FA0"/>
    <w:rsid w:val="007B5FA1"/>
    <w:rsid w:val="007B6A99"/>
    <w:rsid w:val="007C07D9"/>
    <w:rsid w:val="007C0F2C"/>
    <w:rsid w:val="007C211F"/>
    <w:rsid w:val="007C2364"/>
    <w:rsid w:val="007C2BCC"/>
    <w:rsid w:val="007C2C75"/>
    <w:rsid w:val="007C4C6B"/>
    <w:rsid w:val="007C4EF0"/>
    <w:rsid w:val="007C6348"/>
    <w:rsid w:val="007C7159"/>
    <w:rsid w:val="007C7C63"/>
    <w:rsid w:val="007D07D1"/>
    <w:rsid w:val="007D099D"/>
    <w:rsid w:val="007D1A6D"/>
    <w:rsid w:val="007D23FE"/>
    <w:rsid w:val="007D3788"/>
    <w:rsid w:val="007D3A03"/>
    <w:rsid w:val="007D4D95"/>
    <w:rsid w:val="007D4E89"/>
    <w:rsid w:val="007D5B43"/>
    <w:rsid w:val="007E02C9"/>
    <w:rsid w:val="007E1E9B"/>
    <w:rsid w:val="007E2664"/>
    <w:rsid w:val="007E293F"/>
    <w:rsid w:val="007E298C"/>
    <w:rsid w:val="007E32F4"/>
    <w:rsid w:val="007E3ABF"/>
    <w:rsid w:val="007E3CA7"/>
    <w:rsid w:val="007E49D5"/>
    <w:rsid w:val="007E57D6"/>
    <w:rsid w:val="007E5BFA"/>
    <w:rsid w:val="007E6689"/>
    <w:rsid w:val="007E679F"/>
    <w:rsid w:val="007E731C"/>
    <w:rsid w:val="007F0224"/>
    <w:rsid w:val="007F0A03"/>
    <w:rsid w:val="007F122C"/>
    <w:rsid w:val="007F4B6D"/>
    <w:rsid w:val="007F58FE"/>
    <w:rsid w:val="007F6D83"/>
    <w:rsid w:val="007F7437"/>
    <w:rsid w:val="00801937"/>
    <w:rsid w:val="00802A27"/>
    <w:rsid w:val="0080372C"/>
    <w:rsid w:val="00803F3E"/>
    <w:rsid w:val="00805179"/>
    <w:rsid w:val="00805430"/>
    <w:rsid w:val="008059B5"/>
    <w:rsid w:val="00805EDB"/>
    <w:rsid w:val="00806166"/>
    <w:rsid w:val="00810040"/>
    <w:rsid w:val="00810404"/>
    <w:rsid w:val="00811DD4"/>
    <w:rsid w:val="00812ADB"/>
    <w:rsid w:val="008132BE"/>
    <w:rsid w:val="008139FD"/>
    <w:rsid w:val="00813F4E"/>
    <w:rsid w:val="00814070"/>
    <w:rsid w:val="00815230"/>
    <w:rsid w:val="0081578A"/>
    <w:rsid w:val="0082023A"/>
    <w:rsid w:val="00821A7A"/>
    <w:rsid w:val="008225EE"/>
    <w:rsid w:val="00823192"/>
    <w:rsid w:val="00823409"/>
    <w:rsid w:val="008241D7"/>
    <w:rsid w:val="008253F8"/>
    <w:rsid w:val="00825907"/>
    <w:rsid w:val="00825B5C"/>
    <w:rsid w:val="0082626E"/>
    <w:rsid w:val="00826770"/>
    <w:rsid w:val="00831170"/>
    <w:rsid w:val="00831438"/>
    <w:rsid w:val="008316D2"/>
    <w:rsid w:val="008325E4"/>
    <w:rsid w:val="00832720"/>
    <w:rsid w:val="00832A2B"/>
    <w:rsid w:val="00834604"/>
    <w:rsid w:val="00836698"/>
    <w:rsid w:val="00836756"/>
    <w:rsid w:val="00842086"/>
    <w:rsid w:val="00843277"/>
    <w:rsid w:val="00843984"/>
    <w:rsid w:val="00844D7B"/>
    <w:rsid w:val="008457A4"/>
    <w:rsid w:val="00845811"/>
    <w:rsid w:val="008458A6"/>
    <w:rsid w:val="00846994"/>
    <w:rsid w:val="00850451"/>
    <w:rsid w:val="00850731"/>
    <w:rsid w:val="0085082D"/>
    <w:rsid w:val="00851398"/>
    <w:rsid w:val="00851FC8"/>
    <w:rsid w:val="00852042"/>
    <w:rsid w:val="0085284C"/>
    <w:rsid w:val="00852B7E"/>
    <w:rsid w:val="008534C9"/>
    <w:rsid w:val="00854B69"/>
    <w:rsid w:val="0085599D"/>
    <w:rsid w:val="00855D32"/>
    <w:rsid w:val="00856983"/>
    <w:rsid w:val="00861CAB"/>
    <w:rsid w:val="00861E40"/>
    <w:rsid w:val="00865292"/>
    <w:rsid w:val="00866856"/>
    <w:rsid w:val="00866A38"/>
    <w:rsid w:val="00867B83"/>
    <w:rsid w:val="00871D1A"/>
    <w:rsid w:val="00872B40"/>
    <w:rsid w:val="00872D5F"/>
    <w:rsid w:val="0087328C"/>
    <w:rsid w:val="008732F8"/>
    <w:rsid w:val="00873485"/>
    <w:rsid w:val="00873A3D"/>
    <w:rsid w:val="00873C8E"/>
    <w:rsid w:val="0087510C"/>
    <w:rsid w:val="00875136"/>
    <w:rsid w:val="00877E9C"/>
    <w:rsid w:val="008818F8"/>
    <w:rsid w:val="0088204E"/>
    <w:rsid w:val="0088385A"/>
    <w:rsid w:val="008843CE"/>
    <w:rsid w:val="008845EF"/>
    <w:rsid w:val="00885CEA"/>
    <w:rsid w:val="00885D0D"/>
    <w:rsid w:val="00887715"/>
    <w:rsid w:val="00890C07"/>
    <w:rsid w:val="00892AF9"/>
    <w:rsid w:val="00893139"/>
    <w:rsid w:val="00893343"/>
    <w:rsid w:val="008968AA"/>
    <w:rsid w:val="008968D2"/>
    <w:rsid w:val="0089738E"/>
    <w:rsid w:val="008975E6"/>
    <w:rsid w:val="00897A4F"/>
    <w:rsid w:val="008A08DC"/>
    <w:rsid w:val="008A0B11"/>
    <w:rsid w:val="008A0BF5"/>
    <w:rsid w:val="008A10CB"/>
    <w:rsid w:val="008A11A2"/>
    <w:rsid w:val="008A11BC"/>
    <w:rsid w:val="008A1743"/>
    <w:rsid w:val="008A2157"/>
    <w:rsid w:val="008A32FF"/>
    <w:rsid w:val="008A3FD0"/>
    <w:rsid w:val="008A6561"/>
    <w:rsid w:val="008B0344"/>
    <w:rsid w:val="008B038C"/>
    <w:rsid w:val="008B1271"/>
    <w:rsid w:val="008B2440"/>
    <w:rsid w:val="008B3B36"/>
    <w:rsid w:val="008B3C09"/>
    <w:rsid w:val="008B5294"/>
    <w:rsid w:val="008B5926"/>
    <w:rsid w:val="008B5FDB"/>
    <w:rsid w:val="008B691A"/>
    <w:rsid w:val="008B7273"/>
    <w:rsid w:val="008C0614"/>
    <w:rsid w:val="008C2760"/>
    <w:rsid w:val="008C2DA7"/>
    <w:rsid w:val="008C50F4"/>
    <w:rsid w:val="008C5649"/>
    <w:rsid w:val="008C697B"/>
    <w:rsid w:val="008D015E"/>
    <w:rsid w:val="008D276A"/>
    <w:rsid w:val="008D379C"/>
    <w:rsid w:val="008D4DEC"/>
    <w:rsid w:val="008D601B"/>
    <w:rsid w:val="008D7627"/>
    <w:rsid w:val="008D7EAC"/>
    <w:rsid w:val="008E2E5E"/>
    <w:rsid w:val="008E3FAE"/>
    <w:rsid w:val="008E428F"/>
    <w:rsid w:val="008E44A2"/>
    <w:rsid w:val="008E50A8"/>
    <w:rsid w:val="008E681D"/>
    <w:rsid w:val="008E697D"/>
    <w:rsid w:val="008E6E5A"/>
    <w:rsid w:val="008E6FBE"/>
    <w:rsid w:val="008F5672"/>
    <w:rsid w:val="008F5FCB"/>
    <w:rsid w:val="008F79AB"/>
    <w:rsid w:val="0090076D"/>
    <w:rsid w:val="0090104C"/>
    <w:rsid w:val="0090306F"/>
    <w:rsid w:val="009031AD"/>
    <w:rsid w:val="00903263"/>
    <w:rsid w:val="00903444"/>
    <w:rsid w:val="009038D0"/>
    <w:rsid w:val="00904294"/>
    <w:rsid w:val="00906A21"/>
    <w:rsid w:val="0090700E"/>
    <w:rsid w:val="009079C3"/>
    <w:rsid w:val="00910462"/>
    <w:rsid w:val="00911378"/>
    <w:rsid w:val="0091161B"/>
    <w:rsid w:val="009125A1"/>
    <w:rsid w:val="009134BC"/>
    <w:rsid w:val="0091437E"/>
    <w:rsid w:val="00915AB1"/>
    <w:rsid w:val="00915EAB"/>
    <w:rsid w:val="00917532"/>
    <w:rsid w:val="00917EB6"/>
    <w:rsid w:val="009202EE"/>
    <w:rsid w:val="009205B8"/>
    <w:rsid w:val="0092065D"/>
    <w:rsid w:val="00922829"/>
    <w:rsid w:val="00922FF1"/>
    <w:rsid w:val="009235BA"/>
    <w:rsid w:val="00924023"/>
    <w:rsid w:val="00924CE2"/>
    <w:rsid w:val="00924E23"/>
    <w:rsid w:val="009252E3"/>
    <w:rsid w:val="009257A9"/>
    <w:rsid w:val="00925B9F"/>
    <w:rsid w:val="00927257"/>
    <w:rsid w:val="00927B30"/>
    <w:rsid w:val="00930B6D"/>
    <w:rsid w:val="00931AED"/>
    <w:rsid w:val="00931D35"/>
    <w:rsid w:val="00932DD2"/>
    <w:rsid w:val="009347C7"/>
    <w:rsid w:val="009354F7"/>
    <w:rsid w:val="00936003"/>
    <w:rsid w:val="0093627C"/>
    <w:rsid w:val="0093732A"/>
    <w:rsid w:val="009426E9"/>
    <w:rsid w:val="00942A8E"/>
    <w:rsid w:val="0094431F"/>
    <w:rsid w:val="009476A3"/>
    <w:rsid w:val="00950977"/>
    <w:rsid w:val="00950D9B"/>
    <w:rsid w:val="0095334F"/>
    <w:rsid w:val="00953CB7"/>
    <w:rsid w:val="00953E18"/>
    <w:rsid w:val="0095404A"/>
    <w:rsid w:val="009543EC"/>
    <w:rsid w:val="009558D6"/>
    <w:rsid w:val="0095717E"/>
    <w:rsid w:val="00961942"/>
    <w:rsid w:val="00962012"/>
    <w:rsid w:val="00963AE5"/>
    <w:rsid w:val="00965897"/>
    <w:rsid w:val="009666DA"/>
    <w:rsid w:val="0096765C"/>
    <w:rsid w:val="00967762"/>
    <w:rsid w:val="009677ED"/>
    <w:rsid w:val="00967DA7"/>
    <w:rsid w:val="00971BC6"/>
    <w:rsid w:val="0097238D"/>
    <w:rsid w:val="009727E4"/>
    <w:rsid w:val="0097297B"/>
    <w:rsid w:val="00977270"/>
    <w:rsid w:val="009802DD"/>
    <w:rsid w:val="0098064B"/>
    <w:rsid w:val="00984F7E"/>
    <w:rsid w:val="00986386"/>
    <w:rsid w:val="0098742E"/>
    <w:rsid w:val="00991028"/>
    <w:rsid w:val="00992266"/>
    <w:rsid w:val="009926AD"/>
    <w:rsid w:val="009927C5"/>
    <w:rsid w:val="00993494"/>
    <w:rsid w:val="009934C5"/>
    <w:rsid w:val="00994C0F"/>
    <w:rsid w:val="00996D40"/>
    <w:rsid w:val="009A0353"/>
    <w:rsid w:val="009A067E"/>
    <w:rsid w:val="009A1B85"/>
    <w:rsid w:val="009A5A45"/>
    <w:rsid w:val="009A6361"/>
    <w:rsid w:val="009A7A53"/>
    <w:rsid w:val="009B01AE"/>
    <w:rsid w:val="009B09F9"/>
    <w:rsid w:val="009B1BF6"/>
    <w:rsid w:val="009B20B2"/>
    <w:rsid w:val="009B22D7"/>
    <w:rsid w:val="009B23F5"/>
    <w:rsid w:val="009B2745"/>
    <w:rsid w:val="009B3439"/>
    <w:rsid w:val="009B389D"/>
    <w:rsid w:val="009B5ADC"/>
    <w:rsid w:val="009B6102"/>
    <w:rsid w:val="009B72ED"/>
    <w:rsid w:val="009C13C3"/>
    <w:rsid w:val="009C20B6"/>
    <w:rsid w:val="009C3320"/>
    <w:rsid w:val="009C53DB"/>
    <w:rsid w:val="009C56CD"/>
    <w:rsid w:val="009C6DEB"/>
    <w:rsid w:val="009D23C2"/>
    <w:rsid w:val="009D30AC"/>
    <w:rsid w:val="009D6504"/>
    <w:rsid w:val="009E0381"/>
    <w:rsid w:val="009E0B57"/>
    <w:rsid w:val="009E12D7"/>
    <w:rsid w:val="009E1DE5"/>
    <w:rsid w:val="009E1E5A"/>
    <w:rsid w:val="009E2F3C"/>
    <w:rsid w:val="009E3758"/>
    <w:rsid w:val="009E3800"/>
    <w:rsid w:val="009E4956"/>
    <w:rsid w:val="009E612A"/>
    <w:rsid w:val="009E63F4"/>
    <w:rsid w:val="009E661A"/>
    <w:rsid w:val="009E6A86"/>
    <w:rsid w:val="009E7437"/>
    <w:rsid w:val="009F1713"/>
    <w:rsid w:val="009F4799"/>
    <w:rsid w:val="009F6448"/>
    <w:rsid w:val="009F7769"/>
    <w:rsid w:val="009F7E57"/>
    <w:rsid w:val="009F7FE7"/>
    <w:rsid w:val="00A00747"/>
    <w:rsid w:val="00A00753"/>
    <w:rsid w:val="00A01C45"/>
    <w:rsid w:val="00A02820"/>
    <w:rsid w:val="00A03BFC"/>
    <w:rsid w:val="00A057C5"/>
    <w:rsid w:val="00A060E1"/>
    <w:rsid w:val="00A06781"/>
    <w:rsid w:val="00A071B2"/>
    <w:rsid w:val="00A071CA"/>
    <w:rsid w:val="00A074C3"/>
    <w:rsid w:val="00A102E2"/>
    <w:rsid w:val="00A11062"/>
    <w:rsid w:val="00A11A03"/>
    <w:rsid w:val="00A13153"/>
    <w:rsid w:val="00A148EE"/>
    <w:rsid w:val="00A14BAC"/>
    <w:rsid w:val="00A14E70"/>
    <w:rsid w:val="00A1509C"/>
    <w:rsid w:val="00A15ED9"/>
    <w:rsid w:val="00A1601B"/>
    <w:rsid w:val="00A1695F"/>
    <w:rsid w:val="00A16A86"/>
    <w:rsid w:val="00A16F4B"/>
    <w:rsid w:val="00A173BA"/>
    <w:rsid w:val="00A178D8"/>
    <w:rsid w:val="00A17C26"/>
    <w:rsid w:val="00A20B20"/>
    <w:rsid w:val="00A21C8A"/>
    <w:rsid w:val="00A22084"/>
    <w:rsid w:val="00A22230"/>
    <w:rsid w:val="00A24295"/>
    <w:rsid w:val="00A24775"/>
    <w:rsid w:val="00A249B9"/>
    <w:rsid w:val="00A24C7D"/>
    <w:rsid w:val="00A25A1D"/>
    <w:rsid w:val="00A25BBB"/>
    <w:rsid w:val="00A26707"/>
    <w:rsid w:val="00A301B8"/>
    <w:rsid w:val="00A30577"/>
    <w:rsid w:val="00A3246B"/>
    <w:rsid w:val="00A334C8"/>
    <w:rsid w:val="00A34260"/>
    <w:rsid w:val="00A364D6"/>
    <w:rsid w:val="00A36F16"/>
    <w:rsid w:val="00A370D9"/>
    <w:rsid w:val="00A37BF3"/>
    <w:rsid w:val="00A4165D"/>
    <w:rsid w:val="00A4190A"/>
    <w:rsid w:val="00A41BC2"/>
    <w:rsid w:val="00A41EF3"/>
    <w:rsid w:val="00A42EFA"/>
    <w:rsid w:val="00A44A72"/>
    <w:rsid w:val="00A45AE2"/>
    <w:rsid w:val="00A460E6"/>
    <w:rsid w:val="00A46336"/>
    <w:rsid w:val="00A46D3C"/>
    <w:rsid w:val="00A51F46"/>
    <w:rsid w:val="00A54D0A"/>
    <w:rsid w:val="00A5581F"/>
    <w:rsid w:val="00A56180"/>
    <w:rsid w:val="00A57B93"/>
    <w:rsid w:val="00A6013A"/>
    <w:rsid w:val="00A60142"/>
    <w:rsid w:val="00A61208"/>
    <w:rsid w:val="00A65D1B"/>
    <w:rsid w:val="00A67745"/>
    <w:rsid w:val="00A67BA6"/>
    <w:rsid w:val="00A70A94"/>
    <w:rsid w:val="00A70CFD"/>
    <w:rsid w:val="00A70F16"/>
    <w:rsid w:val="00A714E9"/>
    <w:rsid w:val="00A717E1"/>
    <w:rsid w:val="00A72572"/>
    <w:rsid w:val="00A72A0B"/>
    <w:rsid w:val="00A74E07"/>
    <w:rsid w:val="00A77258"/>
    <w:rsid w:val="00A8039A"/>
    <w:rsid w:val="00A80518"/>
    <w:rsid w:val="00A805D6"/>
    <w:rsid w:val="00A80D4D"/>
    <w:rsid w:val="00A8125C"/>
    <w:rsid w:val="00A813DF"/>
    <w:rsid w:val="00A81E42"/>
    <w:rsid w:val="00A82BEA"/>
    <w:rsid w:val="00A83006"/>
    <w:rsid w:val="00A864FE"/>
    <w:rsid w:val="00A86F41"/>
    <w:rsid w:val="00A87D04"/>
    <w:rsid w:val="00A9014A"/>
    <w:rsid w:val="00A906DF"/>
    <w:rsid w:val="00A90C8D"/>
    <w:rsid w:val="00A91E6B"/>
    <w:rsid w:val="00A94455"/>
    <w:rsid w:val="00A94E4B"/>
    <w:rsid w:val="00A950C5"/>
    <w:rsid w:val="00A953A6"/>
    <w:rsid w:val="00A95EAD"/>
    <w:rsid w:val="00A95F38"/>
    <w:rsid w:val="00AA1815"/>
    <w:rsid w:val="00AA19F9"/>
    <w:rsid w:val="00AA1D25"/>
    <w:rsid w:val="00AA31BB"/>
    <w:rsid w:val="00AA3D74"/>
    <w:rsid w:val="00AA41A2"/>
    <w:rsid w:val="00AA468A"/>
    <w:rsid w:val="00AA52A9"/>
    <w:rsid w:val="00AA5AA2"/>
    <w:rsid w:val="00AA5F5C"/>
    <w:rsid w:val="00AA6218"/>
    <w:rsid w:val="00AA67C6"/>
    <w:rsid w:val="00AA6D0A"/>
    <w:rsid w:val="00AB015A"/>
    <w:rsid w:val="00AB028F"/>
    <w:rsid w:val="00AB213A"/>
    <w:rsid w:val="00AB27C4"/>
    <w:rsid w:val="00AB2A03"/>
    <w:rsid w:val="00AB2A94"/>
    <w:rsid w:val="00AB2B1A"/>
    <w:rsid w:val="00AB397F"/>
    <w:rsid w:val="00AB3CFB"/>
    <w:rsid w:val="00AB4DC8"/>
    <w:rsid w:val="00AB5410"/>
    <w:rsid w:val="00AB5832"/>
    <w:rsid w:val="00AB6D99"/>
    <w:rsid w:val="00AC0EC9"/>
    <w:rsid w:val="00AC0F0E"/>
    <w:rsid w:val="00AC2FBD"/>
    <w:rsid w:val="00AC51F2"/>
    <w:rsid w:val="00AC6D1D"/>
    <w:rsid w:val="00AC6E7D"/>
    <w:rsid w:val="00AC7B48"/>
    <w:rsid w:val="00AD051B"/>
    <w:rsid w:val="00AD0626"/>
    <w:rsid w:val="00AD0D73"/>
    <w:rsid w:val="00AD1E34"/>
    <w:rsid w:val="00AD3269"/>
    <w:rsid w:val="00AD3A0F"/>
    <w:rsid w:val="00AD583E"/>
    <w:rsid w:val="00AD62A1"/>
    <w:rsid w:val="00AD6528"/>
    <w:rsid w:val="00AE1FBF"/>
    <w:rsid w:val="00AE1FDB"/>
    <w:rsid w:val="00AE2C20"/>
    <w:rsid w:val="00AE433B"/>
    <w:rsid w:val="00AE445B"/>
    <w:rsid w:val="00AE4599"/>
    <w:rsid w:val="00AE5066"/>
    <w:rsid w:val="00AE5E24"/>
    <w:rsid w:val="00AE617A"/>
    <w:rsid w:val="00AE61B7"/>
    <w:rsid w:val="00AE6BF5"/>
    <w:rsid w:val="00AE6CBA"/>
    <w:rsid w:val="00AE7489"/>
    <w:rsid w:val="00AE79AD"/>
    <w:rsid w:val="00AE7C40"/>
    <w:rsid w:val="00AF059F"/>
    <w:rsid w:val="00AF0A66"/>
    <w:rsid w:val="00AF16D2"/>
    <w:rsid w:val="00AF27FF"/>
    <w:rsid w:val="00AF2800"/>
    <w:rsid w:val="00AF35E4"/>
    <w:rsid w:val="00AF3B38"/>
    <w:rsid w:val="00AF40E8"/>
    <w:rsid w:val="00AF4AE0"/>
    <w:rsid w:val="00AF4F1F"/>
    <w:rsid w:val="00AF50C3"/>
    <w:rsid w:val="00AF5772"/>
    <w:rsid w:val="00AF5CDE"/>
    <w:rsid w:val="00AF6BCD"/>
    <w:rsid w:val="00AF792F"/>
    <w:rsid w:val="00B00A3C"/>
    <w:rsid w:val="00B01684"/>
    <w:rsid w:val="00B02CB9"/>
    <w:rsid w:val="00B03A0B"/>
    <w:rsid w:val="00B0548C"/>
    <w:rsid w:val="00B0626C"/>
    <w:rsid w:val="00B069D7"/>
    <w:rsid w:val="00B07682"/>
    <w:rsid w:val="00B0772F"/>
    <w:rsid w:val="00B10099"/>
    <w:rsid w:val="00B108F6"/>
    <w:rsid w:val="00B10BFE"/>
    <w:rsid w:val="00B11A57"/>
    <w:rsid w:val="00B11A71"/>
    <w:rsid w:val="00B13208"/>
    <w:rsid w:val="00B13EA6"/>
    <w:rsid w:val="00B13F0B"/>
    <w:rsid w:val="00B15581"/>
    <w:rsid w:val="00B163C3"/>
    <w:rsid w:val="00B170F5"/>
    <w:rsid w:val="00B171A4"/>
    <w:rsid w:val="00B17C99"/>
    <w:rsid w:val="00B211C3"/>
    <w:rsid w:val="00B2317D"/>
    <w:rsid w:val="00B231F8"/>
    <w:rsid w:val="00B23F47"/>
    <w:rsid w:val="00B244D1"/>
    <w:rsid w:val="00B24CC9"/>
    <w:rsid w:val="00B25597"/>
    <w:rsid w:val="00B25B36"/>
    <w:rsid w:val="00B2603D"/>
    <w:rsid w:val="00B267B9"/>
    <w:rsid w:val="00B2698D"/>
    <w:rsid w:val="00B26F6B"/>
    <w:rsid w:val="00B27241"/>
    <w:rsid w:val="00B278B6"/>
    <w:rsid w:val="00B302BF"/>
    <w:rsid w:val="00B32CB6"/>
    <w:rsid w:val="00B33E09"/>
    <w:rsid w:val="00B34D14"/>
    <w:rsid w:val="00B3556C"/>
    <w:rsid w:val="00B35D7D"/>
    <w:rsid w:val="00B36317"/>
    <w:rsid w:val="00B368E2"/>
    <w:rsid w:val="00B41F21"/>
    <w:rsid w:val="00B45935"/>
    <w:rsid w:val="00B45F58"/>
    <w:rsid w:val="00B47117"/>
    <w:rsid w:val="00B47C62"/>
    <w:rsid w:val="00B50708"/>
    <w:rsid w:val="00B5071B"/>
    <w:rsid w:val="00B507DA"/>
    <w:rsid w:val="00B50C68"/>
    <w:rsid w:val="00B51293"/>
    <w:rsid w:val="00B51B35"/>
    <w:rsid w:val="00B52214"/>
    <w:rsid w:val="00B52B1E"/>
    <w:rsid w:val="00B5374F"/>
    <w:rsid w:val="00B5433B"/>
    <w:rsid w:val="00B55481"/>
    <w:rsid w:val="00B55CE8"/>
    <w:rsid w:val="00B56C32"/>
    <w:rsid w:val="00B57ACF"/>
    <w:rsid w:val="00B60770"/>
    <w:rsid w:val="00B628F0"/>
    <w:rsid w:val="00B637B9"/>
    <w:rsid w:val="00B6398F"/>
    <w:rsid w:val="00B64ACE"/>
    <w:rsid w:val="00B64BB1"/>
    <w:rsid w:val="00B67FCC"/>
    <w:rsid w:val="00B70B7B"/>
    <w:rsid w:val="00B715F7"/>
    <w:rsid w:val="00B726BE"/>
    <w:rsid w:val="00B73166"/>
    <w:rsid w:val="00B73573"/>
    <w:rsid w:val="00B736AB"/>
    <w:rsid w:val="00B74103"/>
    <w:rsid w:val="00B75A95"/>
    <w:rsid w:val="00B75EA9"/>
    <w:rsid w:val="00B76412"/>
    <w:rsid w:val="00B77676"/>
    <w:rsid w:val="00B818CB"/>
    <w:rsid w:val="00B84028"/>
    <w:rsid w:val="00B8426C"/>
    <w:rsid w:val="00B850DA"/>
    <w:rsid w:val="00B868CF"/>
    <w:rsid w:val="00B87B6D"/>
    <w:rsid w:val="00B915CF"/>
    <w:rsid w:val="00B91B8D"/>
    <w:rsid w:val="00B91C16"/>
    <w:rsid w:val="00B91FD3"/>
    <w:rsid w:val="00B9346C"/>
    <w:rsid w:val="00B93B38"/>
    <w:rsid w:val="00B9481A"/>
    <w:rsid w:val="00B94E90"/>
    <w:rsid w:val="00B957DD"/>
    <w:rsid w:val="00B9580D"/>
    <w:rsid w:val="00B95CE8"/>
    <w:rsid w:val="00B967FF"/>
    <w:rsid w:val="00B96E07"/>
    <w:rsid w:val="00B96E50"/>
    <w:rsid w:val="00BA07A2"/>
    <w:rsid w:val="00BA0FC1"/>
    <w:rsid w:val="00BA10D5"/>
    <w:rsid w:val="00BA16ED"/>
    <w:rsid w:val="00BA2D09"/>
    <w:rsid w:val="00BA3134"/>
    <w:rsid w:val="00BA37C1"/>
    <w:rsid w:val="00BA382D"/>
    <w:rsid w:val="00BA3A03"/>
    <w:rsid w:val="00BA4296"/>
    <w:rsid w:val="00BA4FE2"/>
    <w:rsid w:val="00BA5400"/>
    <w:rsid w:val="00BA55F3"/>
    <w:rsid w:val="00BA6308"/>
    <w:rsid w:val="00BA63A7"/>
    <w:rsid w:val="00BA7062"/>
    <w:rsid w:val="00BA7FB2"/>
    <w:rsid w:val="00BB03CD"/>
    <w:rsid w:val="00BB0A82"/>
    <w:rsid w:val="00BB1850"/>
    <w:rsid w:val="00BB405A"/>
    <w:rsid w:val="00BB45B2"/>
    <w:rsid w:val="00BB58A8"/>
    <w:rsid w:val="00BB5A73"/>
    <w:rsid w:val="00BB5E29"/>
    <w:rsid w:val="00BB5EEC"/>
    <w:rsid w:val="00BB5F35"/>
    <w:rsid w:val="00BB7930"/>
    <w:rsid w:val="00BB7C94"/>
    <w:rsid w:val="00BC0A9D"/>
    <w:rsid w:val="00BC0C73"/>
    <w:rsid w:val="00BC15B7"/>
    <w:rsid w:val="00BC1F43"/>
    <w:rsid w:val="00BC3E5C"/>
    <w:rsid w:val="00BC5588"/>
    <w:rsid w:val="00BC742E"/>
    <w:rsid w:val="00BD136A"/>
    <w:rsid w:val="00BD1E90"/>
    <w:rsid w:val="00BD3FF0"/>
    <w:rsid w:val="00BD447A"/>
    <w:rsid w:val="00BD505B"/>
    <w:rsid w:val="00BD6F38"/>
    <w:rsid w:val="00BE0F81"/>
    <w:rsid w:val="00BE18C0"/>
    <w:rsid w:val="00BE1B4A"/>
    <w:rsid w:val="00BE1CFF"/>
    <w:rsid w:val="00BE2CC3"/>
    <w:rsid w:val="00BE2D51"/>
    <w:rsid w:val="00BE3315"/>
    <w:rsid w:val="00BE3CB0"/>
    <w:rsid w:val="00BE4AE2"/>
    <w:rsid w:val="00BE707A"/>
    <w:rsid w:val="00BE72CE"/>
    <w:rsid w:val="00BE7329"/>
    <w:rsid w:val="00BE75FD"/>
    <w:rsid w:val="00BE7A06"/>
    <w:rsid w:val="00BF01DB"/>
    <w:rsid w:val="00BF0823"/>
    <w:rsid w:val="00BF0F33"/>
    <w:rsid w:val="00BF37BD"/>
    <w:rsid w:val="00BF40ED"/>
    <w:rsid w:val="00BF48E2"/>
    <w:rsid w:val="00BF528B"/>
    <w:rsid w:val="00BF5BC2"/>
    <w:rsid w:val="00BF707E"/>
    <w:rsid w:val="00C011C2"/>
    <w:rsid w:val="00C01EB8"/>
    <w:rsid w:val="00C037E6"/>
    <w:rsid w:val="00C0401B"/>
    <w:rsid w:val="00C068E5"/>
    <w:rsid w:val="00C10CF7"/>
    <w:rsid w:val="00C1133D"/>
    <w:rsid w:val="00C11DAC"/>
    <w:rsid w:val="00C12510"/>
    <w:rsid w:val="00C12ABA"/>
    <w:rsid w:val="00C12DD8"/>
    <w:rsid w:val="00C13782"/>
    <w:rsid w:val="00C13D99"/>
    <w:rsid w:val="00C14CF3"/>
    <w:rsid w:val="00C15032"/>
    <w:rsid w:val="00C15E18"/>
    <w:rsid w:val="00C15FEE"/>
    <w:rsid w:val="00C16354"/>
    <w:rsid w:val="00C1799F"/>
    <w:rsid w:val="00C20394"/>
    <w:rsid w:val="00C20B92"/>
    <w:rsid w:val="00C20C0F"/>
    <w:rsid w:val="00C2127F"/>
    <w:rsid w:val="00C217F9"/>
    <w:rsid w:val="00C2184A"/>
    <w:rsid w:val="00C23A81"/>
    <w:rsid w:val="00C2457E"/>
    <w:rsid w:val="00C2656D"/>
    <w:rsid w:val="00C26ECE"/>
    <w:rsid w:val="00C273C6"/>
    <w:rsid w:val="00C27A08"/>
    <w:rsid w:val="00C31312"/>
    <w:rsid w:val="00C31E36"/>
    <w:rsid w:val="00C3227B"/>
    <w:rsid w:val="00C326C6"/>
    <w:rsid w:val="00C32F66"/>
    <w:rsid w:val="00C337BA"/>
    <w:rsid w:val="00C34102"/>
    <w:rsid w:val="00C351D1"/>
    <w:rsid w:val="00C35295"/>
    <w:rsid w:val="00C36ADD"/>
    <w:rsid w:val="00C36E74"/>
    <w:rsid w:val="00C401C7"/>
    <w:rsid w:val="00C40595"/>
    <w:rsid w:val="00C412CE"/>
    <w:rsid w:val="00C4150F"/>
    <w:rsid w:val="00C41621"/>
    <w:rsid w:val="00C41861"/>
    <w:rsid w:val="00C42FBC"/>
    <w:rsid w:val="00C43476"/>
    <w:rsid w:val="00C449FA"/>
    <w:rsid w:val="00C4562F"/>
    <w:rsid w:val="00C4675D"/>
    <w:rsid w:val="00C472EA"/>
    <w:rsid w:val="00C50194"/>
    <w:rsid w:val="00C506C9"/>
    <w:rsid w:val="00C511C7"/>
    <w:rsid w:val="00C5181C"/>
    <w:rsid w:val="00C52F74"/>
    <w:rsid w:val="00C5384F"/>
    <w:rsid w:val="00C54448"/>
    <w:rsid w:val="00C55CF3"/>
    <w:rsid w:val="00C56964"/>
    <w:rsid w:val="00C5767E"/>
    <w:rsid w:val="00C61E9A"/>
    <w:rsid w:val="00C622E3"/>
    <w:rsid w:val="00C627F0"/>
    <w:rsid w:val="00C63A01"/>
    <w:rsid w:val="00C63C7A"/>
    <w:rsid w:val="00C654A8"/>
    <w:rsid w:val="00C656D5"/>
    <w:rsid w:val="00C66356"/>
    <w:rsid w:val="00C67103"/>
    <w:rsid w:val="00C679B7"/>
    <w:rsid w:val="00C67DA6"/>
    <w:rsid w:val="00C70AF5"/>
    <w:rsid w:val="00C716E3"/>
    <w:rsid w:val="00C71BB9"/>
    <w:rsid w:val="00C761AA"/>
    <w:rsid w:val="00C7629F"/>
    <w:rsid w:val="00C764E9"/>
    <w:rsid w:val="00C8134D"/>
    <w:rsid w:val="00C82D0D"/>
    <w:rsid w:val="00C84D73"/>
    <w:rsid w:val="00C86275"/>
    <w:rsid w:val="00C870FB"/>
    <w:rsid w:val="00C87FB7"/>
    <w:rsid w:val="00C90985"/>
    <w:rsid w:val="00C90BBC"/>
    <w:rsid w:val="00C921B7"/>
    <w:rsid w:val="00C925BF"/>
    <w:rsid w:val="00C927C6"/>
    <w:rsid w:val="00C937E1"/>
    <w:rsid w:val="00C93F0D"/>
    <w:rsid w:val="00C93FA7"/>
    <w:rsid w:val="00C940CB"/>
    <w:rsid w:val="00C94C28"/>
    <w:rsid w:val="00C969A0"/>
    <w:rsid w:val="00C97287"/>
    <w:rsid w:val="00C97853"/>
    <w:rsid w:val="00CA24B4"/>
    <w:rsid w:val="00CA39F2"/>
    <w:rsid w:val="00CA5C1C"/>
    <w:rsid w:val="00CA7C84"/>
    <w:rsid w:val="00CB0247"/>
    <w:rsid w:val="00CB052E"/>
    <w:rsid w:val="00CB1BC5"/>
    <w:rsid w:val="00CB1E8B"/>
    <w:rsid w:val="00CB29E9"/>
    <w:rsid w:val="00CB3440"/>
    <w:rsid w:val="00CB3994"/>
    <w:rsid w:val="00CB47C7"/>
    <w:rsid w:val="00CB5493"/>
    <w:rsid w:val="00CC0110"/>
    <w:rsid w:val="00CC1692"/>
    <w:rsid w:val="00CC16B6"/>
    <w:rsid w:val="00CC1E0A"/>
    <w:rsid w:val="00CC391A"/>
    <w:rsid w:val="00CC3992"/>
    <w:rsid w:val="00CC3EA6"/>
    <w:rsid w:val="00CC4263"/>
    <w:rsid w:val="00CC5236"/>
    <w:rsid w:val="00CC5C95"/>
    <w:rsid w:val="00CC5EBA"/>
    <w:rsid w:val="00CC637B"/>
    <w:rsid w:val="00CD1346"/>
    <w:rsid w:val="00CD138B"/>
    <w:rsid w:val="00CD372B"/>
    <w:rsid w:val="00CD3E31"/>
    <w:rsid w:val="00CD621C"/>
    <w:rsid w:val="00CD6F80"/>
    <w:rsid w:val="00CD7483"/>
    <w:rsid w:val="00CD74A3"/>
    <w:rsid w:val="00CD76EE"/>
    <w:rsid w:val="00CD78FC"/>
    <w:rsid w:val="00CE0527"/>
    <w:rsid w:val="00CE2BE6"/>
    <w:rsid w:val="00CE2D0E"/>
    <w:rsid w:val="00CE4564"/>
    <w:rsid w:val="00CE4665"/>
    <w:rsid w:val="00CE4CB5"/>
    <w:rsid w:val="00CE5B23"/>
    <w:rsid w:val="00CE5EF3"/>
    <w:rsid w:val="00CE6185"/>
    <w:rsid w:val="00CE671C"/>
    <w:rsid w:val="00CE6DEF"/>
    <w:rsid w:val="00CE7EA2"/>
    <w:rsid w:val="00CF0029"/>
    <w:rsid w:val="00CF04EE"/>
    <w:rsid w:val="00CF0725"/>
    <w:rsid w:val="00CF3B5B"/>
    <w:rsid w:val="00CF3BF7"/>
    <w:rsid w:val="00CF5BD1"/>
    <w:rsid w:val="00CF5D42"/>
    <w:rsid w:val="00CF70AD"/>
    <w:rsid w:val="00CF7729"/>
    <w:rsid w:val="00D00059"/>
    <w:rsid w:val="00D0040A"/>
    <w:rsid w:val="00D02404"/>
    <w:rsid w:val="00D03172"/>
    <w:rsid w:val="00D03B8A"/>
    <w:rsid w:val="00D052E1"/>
    <w:rsid w:val="00D072A9"/>
    <w:rsid w:val="00D107FA"/>
    <w:rsid w:val="00D12275"/>
    <w:rsid w:val="00D12290"/>
    <w:rsid w:val="00D126EF"/>
    <w:rsid w:val="00D12766"/>
    <w:rsid w:val="00D12A67"/>
    <w:rsid w:val="00D12C4D"/>
    <w:rsid w:val="00D13196"/>
    <w:rsid w:val="00D13327"/>
    <w:rsid w:val="00D136D3"/>
    <w:rsid w:val="00D14699"/>
    <w:rsid w:val="00D14869"/>
    <w:rsid w:val="00D15231"/>
    <w:rsid w:val="00D16E69"/>
    <w:rsid w:val="00D16EF1"/>
    <w:rsid w:val="00D16F79"/>
    <w:rsid w:val="00D17ABF"/>
    <w:rsid w:val="00D17D2C"/>
    <w:rsid w:val="00D17EC3"/>
    <w:rsid w:val="00D2017B"/>
    <w:rsid w:val="00D20A25"/>
    <w:rsid w:val="00D20FF4"/>
    <w:rsid w:val="00D22BD9"/>
    <w:rsid w:val="00D2326D"/>
    <w:rsid w:val="00D2417D"/>
    <w:rsid w:val="00D24C1C"/>
    <w:rsid w:val="00D24D2C"/>
    <w:rsid w:val="00D25CCE"/>
    <w:rsid w:val="00D26ED4"/>
    <w:rsid w:val="00D2722B"/>
    <w:rsid w:val="00D27365"/>
    <w:rsid w:val="00D32668"/>
    <w:rsid w:val="00D33616"/>
    <w:rsid w:val="00D33760"/>
    <w:rsid w:val="00D35881"/>
    <w:rsid w:val="00D36240"/>
    <w:rsid w:val="00D36317"/>
    <w:rsid w:val="00D371E2"/>
    <w:rsid w:val="00D41823"/>
    <w:rsid w:val="00D42DE5"/>
    <w:rsid w:val="00D436A5"/>
    <w:rsid w:val="00D43E22"/>
    <w:rsid w:val="00D43F1B"/>
    <w:rsid w:val="00D448CD"/>
    <w:rsid w:val="00D45500"/>
    <w:rsid w:val="00D45530"/>
    <w:rsid w:val="00D4697F"/>
    <w:rsid w:val="00D4784F"/>
    <w:rsid w:val="00D519B2"/>
    <w:rsid w:val="00D51FFF"/>
    <w:rsid w:val="00D52EFD"/>
    <w:rsid w:val="00D52F6E"/>
    <w:rsid w:val="00D5454F"/>
    <w:rsid w:val="00D54BCE"/>
    <w:rsid w:val="00D55295"/>
    <w:rsid w:val="00D555C1"/>
    <w:rsid w:val="00D55C7A"/>
    <w:rsid w:val="00D57075"/>
    <w:rsid w:val="00D62374"/>
    <w:rsid w:val="00D63CEF"/>
    <w:rsid w:val="00D65367"/>
    <w:rsid w:val="00D657D7"/>
    <w:rsid w:val="00D667C2"/>
    <w:rsid w:val="00D70589"/>
    <w:rsid w:val="00D71E6D"/>
    <w:rsid w:val="00D7290C"/>
    <w:rsid w:val="00D72B50"/>
    <w:rsid w:val="00D732CE"/>
    <w:rsid w:val="00D73BE2"/>
    <w:rsid w:val="00D74037"/>
    <w:rsid w:val="00D741C9"/>
    <w:rsid w:val="00D752F6"/>
    <w:rsid w:val="00D755BD"/>
    <w:rsid w:val="00D76C6A"/>
    <w:rsid w:val="00D776F5"/>
    <w:rsid w:val="00D816C6"/>
    <w:rsid w:val="00D829EF"/>
    <w:rsid w:val="00D82DB6"/>
    <w:rsid w:val="00D83342"/>
    <w:rsid w:val="00D83AA2"/>
    <w:rsid w:val="00D83B61"/>
    <w:rsid w:val="00D84B7F"/>
    <w:rsid w:val="00D85362"/>
    <w:rsid w:val="00D8551E"/>
    <w:rsid w:val="00D8557B"/>
    <w:rsid w:val="00D86030"/>
    <w:rsid w:val="00D861DB"/>
    <w:rsid w:val="00D87A9B"/>
    <w:rsid w:val="00D90671"/>
    <w:rsid w:val="00D9272B"/>
    <w:rsid w:val="00D92E5E"/>
    <w:rsid w:val="00D93D2D"/>
    <w:rsid w:val="00D948BC"/>
    <w:rsid w:val="00D94D23"/>
    <w:rsid w:val="00D973A7"/>
    <w:rsid w:val="00D97B62"/>
    <w:rsid w:val="00D97B9D"/>
    <w:rsid w:val="00DA0707"/>
    <w:rsid w:val="00DA0E01"/>
    <w:rsid w:val="00DA1A20"/>
    <w:rsid w:val="00DA27A0"/>
    <w:rsid w:val="00DA34A8"/>
    <w:rsid w:val="00DA554A"/>
    <w:rsid w:val="00DA65DF"/>
    <w:rsid w:val="00DA6846"/>
    <w:rsid w:val="00DA6AF4"/>
    <w:rsid w:val="00DA7DA5"/>
    <w:rsid w:val="00DA7EBC"/>
    <w:rsid w:val="00DB073B"/>
    <w:rsid w:val="00DB0BC2"/>
    <w:rsid w:val="00DB2015"/>
    <w:rsid w:val="00DB3D01"/>
    <w:rsid w:val="00DB5B9E"/>
    <w:rsid w:val="00DB75F9"/>
    <w:rsid w:val="00DB78CC"/>
    <w:rsid w:val="00DB78F0"/>
    <w:rsid w:val="00DC0CEA"/>
    <w:rsid w:val="00DC0D0E"/>
    <w:rsid w:val="00DC1817"/>
    <w:rsid w:val="00DC2E43"/>
    <w:rsid w:val="00DC4140"/>
    <w:rsid w:val="00DC4CBD"/>
    <w:rsid w:val="00DC5426"/>
    <w:rsid w:val="00DC645B"/>
    <w:rsid w:val="00DD095C"/>
    <w:rsid w:val="00DD0A0B"/>
    <w:rsid w:val="00DD1020"/>
    <w:rsid w:val="00DD1330"/>
    <w:rsid w:val="00DD2669"/>
    <w:rsid w:val="00DD2A39"/>
    <w:rsid w:val="00DD2BEA"/>
    <w:rsid w:val="00DD38C1"/>
    <w:rsid w:val="00DD4A2E"/>
    <w:rsid w:val="00DD4B3E"/>
    <w:rsid w:val="00DD69CB"/>
    <w:rsid w:val="00DD6EC5"/>
    <w:rsid w:val="00DD78E9"/>
    <w:rsid w:val="00DE056D"/>
    <w:rsid w:val="00DE0B83"/>
    <w:rsid w:val="00DE1A81"/>
    <w:rsid w:val="00DE1C13"/>
    <w:rsid w:val="00DE24E1"/>
    <w:rsid w:val="00DE2928"/>
    <w:rsid w:val="00DE3EC0"/>
    <w:rsid w:val="00DE4E10"/>
    <w:rsid w:val="00DE5B32"/>
    <w:rsid w:val="00DE6D36"/>
    <w:rsid w:val="00DF1A6D"/>
    <w:rsid w:val="00DF1F86"/>
    <w:rsid w:val="00DF2C9F"/>
    <w:rsid w:val="00DF2D6E"/>
    <w:rsid w:val="00DF3435"/>
    <w:rsid w:val="00DF528C"/>
    <w:rsid w:val="00DF6610"/>
    <w:rsid w:val="00DF6D1D"/>
    <w:rsid w:val="00DF6E8A"/>
    <w:rsid w:val="00E00354"/>
    <w:rsid w:val="00E00590"/>
    <w:rsid w:val="00E01FAD"/>
    <w:rsid w:val="00E02ABF"/>
    <w:rsid w:val="00E04217"/>
    <w:rsid w:val="00E0453B"/>
    <w:rsid w:val="00E046C7"/>
    <w:rsid w:val="00E04AE0"/>
    <w:rsid w:val="00E054A2"/>
    <w:rsid w:val="00E06618"/>
    <w:rsid w:val="00E06741"/>
    <w:rsid w:val="00E07E54"/>
    <w:rsid w:val="00E12ADD"/>
    <w:rsid w:val="00E12B8D"/>
    <w:rsid w:val="00E13F5A"/>
    <w:rsid w:val="00E14995"/>
    <w:rsid w:val="00E16588"/>
    <w:rsid w:val="00E1702A"/>
    <w:rsid w:val="00E179CD"/>
    <w:rsid w:val="00E17CC7"/>
    <w:rsid w:val="00E22BC8"/>
    <w:rsid w:val="00E23D82"/>
    <w:rsid w:val="00E23E8D"/>
    <w:rsid w:val="00E245E2"/>
    <w:rsid w:val="00E2556C"/>
    <w:rsid w:val="00E2631B"/>
    <w:rsid w:val="00E26D5C"/>
    <w:rsid w:val="00E2709B"/>
    <w:rsid w:val="00E30CC9"/>
    <w:rsid w:val="00E316E9"/>
    <w:rsid w:val="00E317CE"/>
    <w:rsid w:val="00E32673"/>
    <w:rsid w:val="00E32684"/>
    <w:rsid w:val="00E34DE9"/>
    <w:rsid w:val="00E35755"/>
    <w:rsid w:val="00E37F98"/>
    <w:rsid w:val="00E4165A"/>
    <w:rsid w:val="00E44B2D"/>
    <w:rsid w:val="00E46559"/>
    <w:rsid w:val="00E465F4"/>
    <w:rsid w:val="00E4704E"/>
    <w:rsid w:val="00E47A98"/>
    <w:rsid w:val="00E503DC"/>
    <w:rsid w:val="00E50423"/>
    <w:rsid w:val="00E511FD"/>
    <w:rsid w:val="00E51660"/>
    <w:rsid w:val="00E51751"/>
    <w:rsid w:val="00E53172"/>
    <w:rsid w:val="00E554D1"/>
    <w:rsid w:val="00E559C0"/>
    <w:rsid w:val="00E55F9E"/>
    <w:rsid w:val="00E5700C"/>
    <w:rsid w:val="00E5736A"/>
    <w:rsid w:val="00E60101"/>
    <w:rsid w:val="00E61098"/>
    <w:rsid w:val="00E61116"/>
    <w:rsid w:val="00E62F80"/>
    <w:rsid w:val="00E6670C"/>
    <w:rsid w:val="00E667F2"/>
    <w:rsid w:val="00E7045E"/>
    <w:rsid w:val="00E7135D"/>
    <w:rsid w:val="00E73DF8"/>
    <w:rsid w:val="00E768B3"/>
    <w:rsid w:val="00E776E8"/>
    <w:rsid w:val="00E80EE5"/>
    <w:rsid w:val="00E833A5"/>
    <w:rsid w:val="00E84102"/>
    <w:rsid w:val="00E84408"/>
    <w:rsid w:val="00E90009"/>
    <w:rsid w:val="00E9069A"/>
    <w:rsid w:val="00E916F3"/>
    <w:rsid w:val="00E919FE"/>
    <w:rsid w:val="00E91C3F"/>
    <w:rsid w:val="00E9296E"/>
    <w:rsid w:val="00E92C1F"/>
    <w:rsid w:val="00E93B65"/>
    <w:rsid w:val="00E942F5"/>
    <w:rsid w:val="00E946E7"/>
    <w:rsid w:val="00E95D4B"/>
    <w:rsid w:val="00E971C4"/>
    <w:rsid w:val="00EA159B"/>
    <w:rsid w:val="00EA1D02"/>
    <w:rsid w:val="00EA2A60"/>
    <w:rsid w:val="00EA2B57"/>
    <w:rsid w:val="00EA3DAA"/>
    <w:rsid w:val="00EA43EC"/>
    <w:rsid w:val="00EA514F"/>
    <w:rsid w:val="00EA5F31"/>
    <w:rsid w:val="00EA6007"/>
    <w:rsid w:val="00EB0005"/>
    <w:rsid w:val="00EB199F"/>
    <w:rsid w:val="00EB1E78"/>
    <w:rsid w:val="00EB31F0"/>
    <w:rsid w:val="00EB3276"/>
    <w:rsid w:val="00EB43B6"/>
    <w:rsid w:val="00EB7B37"/>
    <w:rsid w:val="00EC12B1"/>
    <w:rsid w:val="00EC23F7"/>
    <w:rsid w:val="00EC2B04"/>
    <w:rsid w:val="00EC3101"/>
    <w:rsid w:val="00EC33F6"/>
    <w:rsid w:val="00EC48A5"/>
    <w:rsid w:val="00EC4BD8"/>
    <w:rsid w:val="00EC4FC6"/>
    <w:rsid w:val="00EC58D2"/>
    <w:rsid w:val="00EC63EB"/>
    <w:rsid w:val="00EC74EF"/>
    <w:rsid w:val="00ED1C92"/>
    <w:rsid w:val="00ED412F"/>
    <w:rsid w:val="00ED45E5"/>
    <w:rsid w:val="00ED5729"/>
    <w:rsid w:val="00ED5C76"/>
    <w:rsid w:val="00EE0879"/>
    <w:rsid w:val="00EE0A58"/>
    <w:rsid w:val="00EE30BE"/>
    <w:rsid w:val="00EE46E6"/>
    <w:rsid w:val="00EE5052"/>
    <w:rsid w:val="00EE75AD"/>
    <w:rsid w:val="00EE77C7"/>
    <w:rsid w:val="00EF148B"/>
    <w:rsid w:val="00EF28D4"/>
    <w:rsid w:val="00EF29F3"/>
    <w:rsid w:val="00EF2E3C"/>
    <w:rsid w:val="00EF36B2"/>
    <w:rsid w:val="00EF396D"/>
    <w:rsid w:val="00EF4A77"/>
    <w:rsid w:val="00EF6727"/>
    <w:rsid w:val="00F007EA"/>
    <w:rsid w:val="00F00FB9"/>
    <w:rsid w:val="00F01669"/>
    <w:rsid w:val="00F018F4"/>
    <w:rsid w:val="00F031D2"/>
    <w:rsid w:val="00F03537"/>
    <w:rsid w:val="00F03DE0"/>
    <w:rsid w:val="00F04EDB"/>
    <w:rsid w:val="00F05E72"/>
    <w:rsid w:val="00F060EC"/>
    <w:rsid w:val="00F067DD"/>
    <w:rsid w:val="00F1246B"/>
    <w:rsid w:val="00F12AF2"/>
    <w:rsid w:val="00F12DCA"/>
    <w:rsid w:val="00F13273"/>
    <w:rsid w:val="00F14836"/>
    <w:rsid w:val="00F162BB"/>
    <w:rsid w:val="00F1654A"/>
    <w:rsid w:val="00F16EFB"/>
    <w:rsid w:val="00F201EC"/>
    <w:rsid w:val="00F20754"/>
    <w:rsid w:val="00F208A9"/>
    <w:rsid w:val="00F215BA"/>
    <w:rsid w:val="00F22374"/>
    <w:rsid w:val="00F22FE5"/>
    <w:rsid w:val="00F239E8"/>
    <w:rsid w:val="00F246D7"/>
    <w:rsid w:val="00F2552A"/>
    <w:rsid w:val="00F25B67"/>
    <w:rsid w:val="00F26415"/>
    <w:rsid w:val="00F30A4D"/>
    <w:rsid w:val="00F41AF1"/>
    <w:rsid w:val="00F41D75"/>
    <w:rsid w:val="00F41DF8"/>
    <w:rsid w:val="00F42171"/>
    <w:rsid w:val="00F42BDA"/>
    <w:rsid w:val="00F42C74"/>
    <w:rsid w:val="00F43A18"/>
    <w:rsid w:val="00F442AC"/>
    <w:rsid w:val="00F452C7"/>
    <w:rsid w:val="00F45A52"/>
    <w:rsid w:val="00F45B3B"/>
    <w:rsid w:val="00F46BEC"/>
    <w:rsid w:val="00F511E9"/>
    <w:rsid w:val="00F5139D"/>
    <w:rsid w:val="00F53ABD"/>
    <w:rsid w:val="00F55E53"/>
    <w:rsid w:val="00F56561"/>
    <w:rsid w:val="00F56CE4"/>
    <w:rsid w:val="00F60C54"/>
    <w:rsid w:val="00F613F1"/>
    <w:rsid w:val="00F62B53"/>
    <w:rsid w:val="00F63317"/>
    <w:rsid w:val="00F635EE"/>
    <w:rsid w:val="00F63DAC"/>
    <w:rsid w:val="00F66191"/>
    <w:rsid w:val="00F66798"/>
    <w:rsid w:val="00F70002"/>
    <w:rsid w:val="00F708B6"/>
    <w:rsid w:val="00F70F79"/>
    <w:rsid w:val="00F71A50"/>
    <w:rsid w:val="00F71D54"/>
    <w:rsid w:val="00F72BCB"/>
    <w:rsid w:val="00F735E4"/>
    <w:rsid w:val="00F74009"/>
    <w:rsid w:val="00F7454F"/>
    <w:rsid w:val="00F77988"/>
    <w:rsid w:val="00F77DAD"/>
    <w:rsid w:val="00F77F48"/>
    <w:rsid w:val="00F825F4"/>
    <w:rsid w:val="00F83007"/>
    <w:rsid w:val="00F8353E"/>
    <w:rsid w:val="00F846C7"/>
    <w:rsid w:val="00F8731A"/>
    <w:rsid w:val="00F9132F"/>
    <w:rsid w:val="00F91838"/>
    <w:rsid w:val="00F91B5E"/>
    <w:rsid w:val="00F929BF"/>
    <w:rsid w:val="00F92CBA"/>
    <w:rsid w:val="00F93216"/>
    <w:rsid w:val="00F96372"/>
    <w:rsid w:val="00F966A3"/>
    <w:rsid w:val="00F97C00"/>
    <w:rsid w:val="00FA022B"/>
    <w:rsid w:val="00FA09D6"/>
    <w:rsid w:val="00FA2496"/>
    <w:rsid w:val="00FA2982"/>
    <w:rsid w:val="00FA5C73"/>
    <w:rsid w:val="00FA6203"/>
    <w:rsid w:val="00FA6571"/>
    <w:rsid w:val="00FA7930"/>
    <w:rsid w:val="00FB0A67"/>
    <w:rsid w:val="00FB0E1C"/>
    <w:rsid w:val="00FB2199"/>
    <w:rsid w:val="00FB30F1"/>
    <w:rsid w:val="00FB344B"/>
    <w:rsid w:val="00FB53E7"/>
    <w:rsid w:val="00FB5989"/>
    <w:rsid w:val="00FB6C58"/>
    <w:rsid w:val="00FC1253"/>
    <w:rsid w:val="00FC1612"/>
    <w:rsid w:val="00FC27E0"/>
    <w:rsid w:val="00FC3AC2"/>
    <w:rsid w:val="00FC5DE0"/>
    <w:rsid w:val="00FC7713"/>
    <w:rsid w:val="00FC7FC7"/>
    <w:rsid w:val="00FD0376"/>
    <w:rsid w:val="00FD1070"/>
    <w:rsid w:val="00FD2672"/>
    <w:rsid w:val="00FD29B0"/>
    <w:rsid w:val="00FD2A8A"/>
    <w:rsid w:val="00FD4389"/>
    <w:rsid w:val="00FD603D"/>
    <w:rsid w:val="00FD78E1"/>
    <w:rsid w:val="00FE0F71"/>
    <w:rsid w:val="00FE1290"/>
    <w:rsid w:val="00FE3CB0"/>
    <w:rsid w:val="00FE429D"/>
    <w:rsid w:val="00FE6F04"/>
    <w:rsid w:val="00FE73FF"/>
    <w:rsid w:val="00FE7A2A"/>
    <w:rsid w:val="00FE7BE7"/>
    <w:rsid w:val="00FF13E9"/>
    <w:rsid w:val="00FF23D4"/>
    <w:rsid w:val="00FF3847"/>
    <w:rsid w:val="00FF4273"/>
    <w:rsid w:val="00FF52EB"/>
    <w:rsid w:val="00FF57F0"/>
    <w:rsid w:val="00FF610C"/>
    <w:rsid w:val="00FF6445"/>
    <w:rsid w:val="00FF6BB2"/>
    <w:rsid w:val="00FF6CD4"/>
    <w:rsid w:val="017C0C9D"/>
    <w:rsid w:val="020FBAFD"/>
    <w:rsid w:val="07F2C833"/>
    <w:rsid w:val="094F01BF"/>
    <w:rsid w:val="0BBB110C"/>
    <w:rsid w:val="0C45A984"/>
    <w:rsid w:val="0E03B78A"/>
    <w:rsid w:val="0F2422CC"/>
    <w:rsid w:val="0F4E4365"/>
    <w:rsid w:val="0FE3AAC1"/>
    <w:rsid w:val="0FF6F4E3"/>
    <w:rsid w:val="1099C63F"/>
    <w:rsid w:val="134A09D4"/>
    <w:rsid w:val="13527814"/>
    <w:rsid w:val="14E4EBA2"/>
    <w:rsid w:val="15696C8A"/>
    <w:rsid w:val="15896C6F"/>
    <w:rsid w:val="158F5A93"/>
    <w:rsid w:val="15C89948"/>
    <w:rsid w:val="17E38196"/>
    <w:rsid w:val="1845905C"/>
    <w:rsid w:val="1BE69757"/>
    <w:rsid w:val="1C192F73"/>
    <w:rsid w:val="1CEAAAA3"/>
    <w:rsid w:val="1E1B853C"/>
    <w:rsid w:val="1EB201A6"/>
    <w:rsid w:val="1EEC95E1"/>
    <w:rsid w:val="1F423924"/>
    <w:rsid w:val="200AF61E"/>
    <w:rsid w:val="2293AA8B"/>
    <w:rsid w:val="2445B149"/>
    <w:rsid w:val="24924998"/>
    <w:rsid w:val="272B5B92"/>
    <w:rsid w:val="275BFEC0"/>
    <w:rsid w:val="277977F1"/>
    <w:rsid w:val="280FBA97"/>
    <w:rsid w:val="2863F12A"/>
    <w:rsid w:val="29D3CD7A"/>
    <w:rsid w:val="2B495B53"/>
    <w:rsid w:val="2D02B6A2"/>
    <w:rsid w:val="2F96905C"/>
    <w:rsid w:val="2FA22630"/>
    <w:rsid w:val="31673A59"/>
    <w:rsid w:val="3194CF82"/>
    <w:rsid w:val="324777EF"/>
    <w:rsid w:val="326B85AD"/>
    <w:rsid w:val="32BF11D5"/>
    <w:rsid w:val="3551AB45"/>
    <w:rsid w:val="36E4F1A2"/>
    <w:rsid w:val="371C5CDF"/>
    <w:rsid w:val="37681355"/>
    <w:rsid w:val="37A9393D"/>
    <w:rsid w:val="390F4919"/>
    <w:rsid w:val="3952032E"/>
    <w:rsid w:val="3A331324"/>
    <w:rsid w:val="3ABFE26E"/>
    <w:rsid w:val="3AFDAA01"/>
    <w:rsid w:val="3C1796F3"/>
    <w:rsid w:val="3C5E6E95"/>
    <w:rsid w:val="3DC0F616"/>
    <w:rsid w:val="3F39ABDB"/>
    <w:rsid w:val="4433504A"/>
    <w:rsid w:val="4717980C"/>
    <w:rsid w:val="4785691E"/>
    <w:rsid w:val="47BF92A1"/>
    <w:rsid w:val="47D8D68A"/>
    <w:rsid w:val="485B3E1F"/>
    <w:rsid w:val="49346D57"/>
    <w:rsid w:val="4A1B0FCE"/>
    <w:rsid w:val="4AC3076D"/>
    <w:rsid w:val="4C400675"/>
    <w:rsid w:val="4D10FC78"/>
    <w:rsid w:val="4EDE375E"/>
    <w:rsid w:val="4FA42B10"/>
    <w:rsid w:val="529A267A"/>
    <w:rsid w:val="54C0BE28"/>
    <w:rsid w:val="564D9B24"/>
    <w:rsid w:val="56AE7889"/>
    <w:rsid w:val="5839BE2E"/>
    <w:rsid w:val="58EAE024"/>
    <w:rsid w:val="594B54D6"/>
    <w:rsid w:val="596D2A15"/>
    <w:rsid w:val="59B275CD"/>
    <w:rsid w:val="5C15C691"/>
    <w:rsid w:val="5C2AF771"/>
    <w:rsid w:val="5CB2D7CA"/>
    <w:rsid w:val="5D3D5DC0"/>
    <w:rsid w:val="5F59B2E3"/>
    <w:rsid w:val="5FB8E997"/>
    <w:rsid w:val="604A6B03"/>
    <w:rsid w:val="62B0D502"/>
    <w:rsid w:val="64A99E2E"/>
    <w:rsid w:val="672718F9"/>
    <w:rsid w:val="6A485A58"/>
    <w:rsid w:val="6B22A039"/>
    <w:rsid w:val="6BC34530"/>
    <w:rsid w:val="6D6FCFD3"/>
    <w:rsid w:val="6DFBD50C"/>
    <w:rsid w:val="6E35C27E"/>
    <w:rsid w:val="6FD9DDF2"/>
    <w:rsid w:val="702C878C"/>
    <w:rsid w:val="704EF903"/>
    <w:rsid w:val="7117FDC5"/>
    <w:rsid w:val="719AA5CF"/>
    <w:rsid w:val="72A1F2BB"/>
    <w:rsid w:val="72E50103"/>
    <w:rsid w:val="732EF475"/>
    <w:rsid w:val="73408669"/>
    <w:rsid w:val="74954E71"/>
    <w:rsid w:val="7538F2AC"/>
    <w:rsid w:val="761F8CED"/>
    <w:rsid w:val="77299639"/>
    <w:rsid w:val="780FCB2E"/>
    <w:rsid w:val="797F22CE"/>
    <w:rsid w:val="7AA7BE59"/>
    <w:rsid w:val="7D6DBEE2"/>
    <w:rsid w:val="7DE20B3C"/>
    <w:rsid w:val="7E703A2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locked/>
    <w:rsid w:val="00B069D7"/>
    <w:rPr>
      <w:rFonts w:cs="Times New Roman"/>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auto"/>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rFonts w:cs="Times New Roman"/>
      <w:lang w:val="lv-LV" w:eastAsia="lv-LV"/>
    </w:rPr>
  </w:style>
  <w:style w:type="paragraph" w:styleId="Balonteksts">
    <w:name w:val="Balloon Text"/>
    <w:basedOn w:val="Parastais"/>
    <w:link w:val="BalontekstsRakstz"/>
    <w:uiPriority w:val="99"/>
    <w:semiHidden/>
    <w:rsid w:val="008C5649"/>
    <w:rPr>
      <w:sz w:val="2"/>
      <w:szCs w:val="2"/>
    </w:rPr>
  </w:style>
  <w:style w:type="character" w:customStyle="1" w:styleId="BalontekstsRakstz">
    <w:name w:val="Balonteksts Rakstz."/>
    <w:basedOn w:val="Noklusjumarindkopasfonts"/>
    <w:link w:val="Balonteksts"/>
    <w:uiPriority w:val="99"/>
    <w:semiHidden/>
    <w:locked/>
    <w:rsid w:val="00E60101"/>
    <w:rPr>
      <w:rFonts w:cs="Times New Roman"/>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E60101"/>
    <w:rPr>
      <w:rFonts w:cs="Times New Roman"/>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E60101"/>
    <w:rPr>
      <w:rFonts w:cs="Times New Roman"/>
      <w:b/>
      <w:sz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rFonts w:cs="Times New Roman"/>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
    </w:rPr>
  </w:style>
  <w:style w:type="character" w:customStyle="1" w:styleId="DokumentakarteRakstz">
    <w:name w:val="Dokumenta karte Rakstz."/>
    <w:basedOn w:val="Noklusjumarindkopasfonts"/>
    <w:link w:val="Dokumentakarte"/>
    <w:uiPriority w:val="99"/>
    <w:semiHidden/>
    <w:locked/>
    <w:rsid w:val="00E60101"/>
    <w:rPr>
      <w:rFonts w:cs="Times New Roman"/>
      <w:sz w:val="2"/>
    </w:rPr>
  </w:style>
  <w:style w:type="paragraph" w:styleId="Pamattekstaatkpe2">
    <w:name w:val="Body Text Indent 2"/>
    <w:basedOn w:val="Parastais"/>
    <w:link w:val="Pamattekstaatkpe2Rakstz"/>
    <w:uiPriority w:val="99"/>
    <w:rsid w:val="008059B5"/>
    <w:pPr>
      <w:spacing w:after="120" w:line="480" w:lineRule="auto"/>
      <w:ind w:left="283"/>
    </w:pPr>
  </w:style>
  <w:style w:type="character" w:customStyle="1" w:styleId="Pamattekstaatkpe2Rakstz">
    <w:name w:val="Pamatteksta atkāpe 2 Rakstz."/>
    <w:basedOn w:val="Noklusjumarindkopasfonts"/>
    <w:link w:val="Pamattekstaatkpe2"/>
    <w:uiPriority w:val="99"/>
    <w:locked/>
    <w:rsid w:val="008059B5"/>
    <w:rPr>
      <w:rFonts w:eastAsia="Times New Roman" w:cs="Times New Roman"/>
      <w:sz w:val="24"/>
    </w:rPr>
  </w:style>
  <w:style w:type="character" w:styleId="Izteiksmgs">
    <w:name w:val="Strong"/>
    <w:basedOn w:val="Noklusjumarindkopasfonts"/>
    <w:uiPriority w:val="99"/>
    <w:qFormat/>
    <w:rsid w:val="00224BBF"/>
    <w:rPr>
      <w:rFonts w:cs="Times New Roman"/>
      <w:b/>
    </w:rPr>
  </w:style>
  <w:style w:type="character" w:customStyle="1" w:styleId="Bodytext6">
    <w:name w:val="Body text (6)_"/>
    <w:link w:val="Bodytext60"/>
    <w:uiPriority w:val="99"/>
    <w:locked/>
    <w:rsid w:val="00810404"/>
    <w:rPr>
      <w:shd w:val="clear" w:color="auto" w:fill="FFFFFF"/>
    </w:rPr>
  </w:style>
  <w:style w:type="character" w:customStyle="1" w:styleId="Bodytext6Bold">
    <w:name w:val="Body text (6) + Bold"/>
    <w:uiPriority w:val="99"/>
    <w:rsid w:val="00810404"/>
    <w:rPr>
      <w:b/>
      <w:shd w:val="clear" w:color="auto" w:fill="FFFFFF"/>
    </w:rPr>
  </w:style>
  <w:style w:type="paragraph" w:customStyle="1" w:styleId="Bodytext60">
    <w:name w:val="Body text (6)"/>
    <w:basedOn w:val="Parastais"/>
    <w:link w:val="Bodytext6"/>
    <w:uiPriority w:val="99"/>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99"/>
    <w:qFormat/>
    <w:rsid w:val="001C2654"/>
    <w:pPr>
      <w:overflowPunct w:val="0"/>
      <w:autoSpaceDE w:val="0"/>
      <w:autoSpaceDN w:val="0"/>
      <w:adjustRightInd w:val="0"/>
      <w:spacing w:after="120"/>
      <w:ind w:left="720" w:firstLine="720"/>
      <w:jc w:val="both"/>
      <w:textAlignment w:val="baseline"/>
    </w:pPr>
    <w:rPr>
      <w:lang w:val="en-GB"/>
    </w:rPr>
  </w:style>
  <w:style w:type="character" w:styleId="Izclums">
    <w:name w:val="Emphasis"/>
    <w:basedOn w:val="Noklusjumarindkopasfonts"/>
    <w:uiPriority w:val="99"/>
    <w:qFormat/>
    <w:rsid w:val="00CC16B6"/>
    <w:rPr>
      <w:rFonts w:cs="Times New Roman"/>
      <w:b/>
    </w:rPr>
  </w:style>
  <w:style w:type="character" w:customStyle="1" w:styleId="Bodytext4">
    <w:name w:val="Body text (4)_"/>
    <w:link w:val="Bodytext40"/>
    <w:uiPriority w:val="99"/>
    <w:locked/>
    <w:rsid w:val="00C511C7"/>
    <w:rPr>
      <w:sz w:val="21"/>
      <w:shd w:val="clear" w:color="auto" w:fill="FFFFFF"/>
    </w:rPr>
  </w:style>
  <w:style w:type="paragraph" w:customStyle="1" w:styleId="Bodytext40">
    <w:name w:val="Body text (4)"/>
    <w:basedOn w:val="Parastais"/>
    <w:link w:val="Bodytext4"/>
    <w:uiPriority w:val="99"/>
    <w:rsid w:val="00C511C7"/>
    <w:pPr>
      <w:shd w:val="clear" w:color="auto" w:fill="FFFFFF"/>
      <w:spacing w:line="240" w:lineRule="atLeast"/>
      <w:jc w:val="both"/>
    </w:pPr>
    <w:rPr>
      <w:sz w:val="21"/>
      <w:szCs w:val="20"/>
    </w:rPr>
  </w:style>
  <w:style w:type="character" w:customStyle="1" w:styleId="Bodytext">
    <w:name w:val="Body text_"/>
    <w:link w:val="BodyText1"/>
    <w:uiPriority w:val="99"/>
    <w:locked/>
    <w:rsid w:val="00C511C7"/>
    <w:rPr>
      <w:spacing w:val="10"/>
      <w:sz w:val="24"/>
      <w:shd w:val="clear" w:color="auto" w:fill="FFFFFF"/>
    </w:rPr>
  </w:style>
  <w:style w:type="paragraph" w:customStyle="1" w:styleId="BodyText1">
    <w:name w:val="Body Text1"/>
    <w:basedOn w:val="Parastais"/>
    <w:link w:val="Bodytext"/>
    <w:uiPriority w:val="99"/>
    <w:rsid w:val="00C511C7"/>
    <w:pPr>
      <w:shd w:val="clear" w:color="auto" w:fill="FFFFFF"/>
      <w:spacing w:before="420" w:after="300" w:line="240" w:lineRule="atLeast"/>
    </w:pPr>
    <w:rPr>
      <w:spacing w:val="10"/>
      <w:szCs w:val="20"/>
    </w:rPr>
  </w:style>
  <w:style w:type="character" w:customStyle="1" w:styleId="Bodytext5">
    <w:name w:val="Body text (5)_"/>
    <w:link w:val="Bodytext50"/>
    <w:uiPriority w:val="99"/>
    <w:locked/>
    <w:rsid w:val="00C511C7"/>
    <w:rPr>
      <w:sz w:val="21"/>
      <w:shd w:val="clear" w:color="auto" w:fill="FFFFFF"/>
    </w:rPr>
  </w:style>
  <w:style w:type="paragraph" w:customStyle="1" w:styleId="Bodytext50">
    <w:name w:val="Body text (5)"/>
    <w:basedOn w:val="Parastais"/>
    <w:link w:val="Bodytext5"/>
    <w:uiPriority w:val="99"/>
    <w:rsid w:val="00C511C7"/>
    <w:pPr>
      <w:shd w:val="clear" w:color="auto" w:fill="FFFFFF"/>
      <w:spacing w:line="240" w:lineRule="atLeast"/>
    </w:pPr>
    <w:rPr>
      <w:sz w:val="21"/>
      <w:szCs w:val="20"/>
    </w:rPr>
  </w:style>
  <w:style w:type="paragraph" w:customStyle="1" w:styleId="tv2131">
    <w:name w:val="tv2131"/>
    <w:basedOn w:val="Parastais"/>
    <w:uiPriority w:val="99"/>
    <w:rsid w:val="00E971C4"/>
    <w:pPr>
      <w:spacing w:before="240" w:line="360" w:lineRule="auto"/>
      <w:ind w:firstLine="300"/>
      <w:jc w:val="both"/>
    </w:pPr>
    <w:rPr>
      <w:rFonts w:ascii="Verdana" w:hAnsi="Verdana" w:cs="Verdana"/>
      <w:sz w:val="18"/>
      <w:szCs w:val="18"/>
    </w:rPr>
  </w:style>
  <w:style w:type="character" w:customStyle="1" w:styleId="st">
    <w:name w:val="st"/>
    <w:basedOn w:val="Noklusjumarindkopasfonts"/>
    <w:uiPriority w:val="99"/>
    <w:rsid w:val="004667A1"/>
    <w:rPr>
      <w:rFonts w:cs="Times New Roman"/>
    </w:rPr>
  </w:style>
  <w:style w:type="paragraph" w:styleId="Prskatjums">
    <w:name w:val="Revision"/>
    <w:hidden/>
    <w:uiPriority w:val="99"/>
    <w:semiHidden/>
    <w:rsid w:val="00027089"/>
    <w:rPr>
      <w:sz w:val="24"/>
      <w:szCs w:val="24"/>
    </w:rPr>
  </w:style>
</w:styles>
</file>

<file path=word/webSettings.xml><?xml version="1.0" encoding="utf-8"?>
<w:webSettings xmlns:r="http://schemas.openxmlformats.org/officeDocument/2006/relationships" xmlns:w="http://schemas.openxmlformats.org/wordprocessingml/2006/main">
  <w:divs>
    <w:div w:id="69012409">
      <w:bodyDiv w:val="1"/>
      <w:marLeft w:val="0"/>
      <w:marRight w:val="0"/>
      <w:marTop w:val="0"/>
      <w:marBottom w:val="0"/>
      <w:divBdr>
        <w:top w:val="none" w:sz="0" w:space="0" w:color="auto"/>
        <w:left w:val="none" w:sz="0" w:space="0" w:color="auto"/>
        <w:bottom w:val="none" w:sz="0" w:space="0" w:color="auto"/>
        <w:right w:val="none" w:sz="0" w:space="0" w:color="auto"/>
      </w:divBdr>
    </w:div>
    <w:div w:id="275601960">
      <w:bodyDiv w:val="1"/>
      <w:marLeft w:val="0"/>
      <w:marRight w:val="0"/>
      <w:marTop w:val="0"/>
      <w:marBottom w:val="0"/>
      <w:divBdr>
        <w:top w:val="none" w:sz="0" w:space="0" w:color="auto"/>
        <w:left w:val="none" w:sz="0" w:space="0" w:color="auto"/>
        <w:bottom w:val="none" w:sz="0" w:space="0" w:color="auto"/>
        <w:right w:val="none" w:sz="0" w:space="0" w:color="auto"/>
      </w:divBdr>
    </w:div>
    <w:div w:id="478615667">
      <w:bodyDiv w:val="1"/>
      <w:marLeft w:val="0"/>
      <w:marRight w:val="0"/>
      <w:marTop w:val="0"/>
      <w:marBottom w:val="0"/>
      <w:divBdr>
        <w:top w:val="none" w:sz="0" w:space="0" w:color="auto"/>
        <w:left w:val="none" w:sz="0" w:space="0" w:color="auto"/>
        <w:bottom w:val="none" w:sz="0" w:space="0" w:color="auto"/>
        <w:right w:val="none" w:sz="0" w:space="0" w:color="auto"/>
      </w:divBdr>
    </w:div>
    <w:div w:id="741834677">
      <w:bodyDiv w:val="1"/>
      <w:marLeft w:val="0"/>
      <w:marRight w:val="0"/>
      <w:marTop w:val="0"/>
      <w:marBottom w:val="0"/>
      <w:divBdr>
        <w:top w:val="none" w:sz="0" w:space="0" w:color="auto"/>
        <w:left w:val="none" w:sz="0" w:space="0" w:color="auto"/>
        <w:bottom w:val="none" w:sz="0" w:space="0" w:color="auto"/>
        <w:right w:val="none" w:sz="0" w:space="0" w:color="auto"/>
      </w:divBdr>
    </w:div>
    <w:div w:id="798761757">
      <w:bodyDiv w:val="1"/>
      <w:marLeft w:val="0"/>
      <w:marRight w:val="0"/>
      <w:marTop w:val="0"/>
      <w:marBottom w:val="0"/>
      <w:divBdr>
        <w:top w:val="none" w:sz="0" w:space="0" w:color="auto"/>
        <w:left w:val="none" w:sz="0" w:space="0" w:color="auto"/>
        <w:bottom w:val="none" w:sz="0" w:space="0" w:color="auto"/>
        <w:right w:val="none" w:sz="0" w:space="0" w:color="auto"/>
      </w:divBdr>
    </w:div>
    <w:div w:id="825781267">
      <w:marLeft w:val="0"/>
      <w:marRight w:val="0"/>
      <w:marTop w:val="0"/>
      <w:marBottom w:val="0"/>
      <w:divBdr>
        <w:top w:val="none" w:sz="0" w:space="0" w:color="auto"/>
        <w:left w:val="none" w:sz="0" w:space="0" w:color="auto"/>
        <w:bottom w:val="none" w:sz="0" w:space="0" w:color="auto"/>
        <w:right w:val="none" w:sz="0" w:space="0" w:color="auto"/>
      </w:divBdr>
    </w:div>
    <w:div w:id="825781272">
      <w:marLeft w:val="0"/>
      <w:marRight w:val="0"/>
      <w:marTop w:val="0"/>
      <w:marBottom w:val="0"/>
      <w:divBdr>
        <w:top w:val="none" w:sz="0" w:space="0" w:color="auto"/>
        <w:left w:val="none" w:sz="0" w:space="0" w:color="auto"/>
        <w:bottom w:val="none" w:sz="0" w:space="0" w:color="auto"/>
        <w:right w:val="none" w:sz="0" w:space="0" w:color="auto"/>
      </w:divBdr>
    </w:div>
    <w:div w:id="825781273">
      <w:marLeft w:val="0"/>
      <w:marRight w:val="0"/>
      <w:marTop w:val="0"/>
      <w:marBottom w:val="0"/>
      <w:divBdr>
        <w:top w:val="none" w:sz="0" w:space="0" w:color="auto"/>
        <w:left w:val="none" w:sz="0" w:space="0" w:color="auto"/>
        <w:bottom w:val="none" w:sz="0" w:space="0" w:color="auto"/>
        <w:right w:val="none" w:sz="0" w:space="0" w:color="auto"/>
      </w:divBdr>
      <w:divsChild>
        <w:div w:id="825781276">
          <w:marLeft w:val="0"/>
          <w:marRight w:val="0"/>
          <w:marTop w:val="0"/>
          <w:marBottom w:val="0"/>
          <w:divBdr>
            <w:top w:val="none" w:sz="0" w:space="0" w:color="auto"/>
            <w:left w:val="none" w:sz="0" w:space="0" w:color="auto"/>
            <w:bottom w:val="none" w:sz="0" w:space="0" w:color="auto"/>
            <w:right w:val="none" w:sz="0" w:space="0" w:color="auto"/>
          </w:divBdr>
          <w:divsChild>
            <w:div w:id="825781271">
              <w:marLeft w:val="0"/>
              <w:marRight w:val="0"/>
              <w:marTop w:val="0"/>
              <w:marBottom w:val="0"/>
              <w:divBdr>
                <w:top w:val="none" w:sz="0" w:space="0" w:color="auto"/>
                <w:left w:val="none" w:sz="0" w:space="0" w:color="auto"/>
                <w:bottom w:val="none" w:sz="0" w:space="0" w:color="auto"/>
                <w:right w:val="none" w:sz="0" w:space="0" w:color="auto"/>
              </w:divBdr>
              <w:divsChild>
                <w:div w:id="825781297">
                  <w:marLeft w:val="0"/>
                  <w:marRight w:val="0"/>
                  <w:marTop w:val="0"/>
                  <w:marBottom w:val="0"/>
                  <w:divBdr>
                    <w:top w:val="none" w:sz="0" w:space="0" w:color="auto"/>
                    <w:left w:val="none" w:sz="0" w:space="0" w:color="auto"/>
                    <w:bottom w:val="none" w:sz="0" w:space="0" w:color="auto"/>
                    <w:right w:val="none" w:sz="0" w:space="0" w:color="auto"/>
                  </w:divBdr>
                  <w:divsChild>
                    <w:div w:id="825781264">
                      <w:marLeft w:val="0"/>
                      <w:marRight w:val="0"/>
                      <w:marTop w:val="0"/>
                      <w:marBottom w:val="0"/>
                      <w:divBdr>
                        <w:top w:val="none" w:sz="0" w:space="0" w:color="auto"/>
                        <w:left w:val="none" w:sz="0" w:space="0" w:color="auto"/>
                        <w:bottom w:val="none" w:sz="0" w:space="0" w:color="auto"/>
                        <w:right w:val="none" w:sz="0" w:space="0" w:color="auto"/>
                      </w:divBdr>
                      <w:divsChild>
                        <w:div w:id="825781281">
                          <w:marLeft w:val="0"/>
                          <w:marRight w:val="0"/>
                          <w:marTop w:val="0"/>
                          <w:marBottom w:val="0"/>
                          <w:divBdr>
                            <w:top w:val="none" w:sz="0" w:space="0" w:color="auto"/>
                            <w:left w:val="none" w:sz="0" w:space="0" w:color="auto"/>
                            <w:bottom w:val="none" w:sz="0" w:space="0" w:color="auto"/>
                            <w:right w:val="none" w:sz="0" w:space="0" w:color="auto"/>
                          </w:divBdr>
                          <w:divsChild>
                            <w:div w:id="825781263">
                              <w:marLeft w:val="0"/>
                              <w:marRight w:val="0"/>
                              <w:marTop w:val="0"/>
                              <w:marBottom w:val="0"/>
                              <w:divBdr>
                                <w:top w:val="none" w:sz="0" w:space="0" w:color="auto"/>
                                <w:left w:val="none" w:sz="0" w:space="0" w:color="auto"/>
                                <w:bottom w:val="none" w:sz="0" w:space="0" w:color="auto"/>
                                <w:right w:val="none" w:sz="0" w:space="0" w:color="auto"/>
                              </w:divBdr>
                            </w:div>
                            <w:div w:id="825781265">
                              <w:marLeft w:val="0"/>
                              <w:marRight w:val="0"/>
                              <w:marTop w:val="0"/>
                              <w:marBottom w:val="0"/>
                              <w:divBdr>
                                <w:top w:val="none" w:sz="0" w:space="0" w:color="auto"/>
                                <w:left w:val="none" w:sz="0" w:space="0" w:color="auto"/>
                                <w:bottom w:val="none" w:sz="0" w:space="0" w:color="auto"/>
                                <w:right w:val="none" w:sz="0" w:space="0" w:color="auto"/>
                              </w:divBdr>
                            </w:div>
                            <w:div w:id="825781306">
                              <w:marLeft w:val="0"/>
                              <w:marRight w:val="0"/>
                              <w:marTop w:val="0"/>
                              <w:marBottom w:val="0"/>
                              <w:divBdr>
                                <w:top w:val="none" w:sz="0" w:space="0" w:color="auto"/>
                                <w:left w:val="none" w:sz="0" w:space="0" w:color="auto"/>
                                <w:bottom w:val="none" w:sz="0" w:space="0" w:color="auto"/>
                                <w:right w:val="none" w:sz="0" w:space="0" w:color="auto"/>
                              </w:divBdr>
                            </w:div>
                          </w:divsChild>
                        </w:div>
                        <w:div w:id="825781299">
                          <w:marLeft w:val="0"/>
                          <w:marRight w:val="0"/>
                          <w:marTop w:val="0"/>
                          <w:marBottom w:val="0"/>
                          <w:divBdr>
                            <w:top w:val="none" w:sz="0" w:space="0" w:color="auto"/>
                            <w:left w:val="none" w:sz="0" w:space="0" w:color="auto"/>
                            <w:bottom w:val="none" w:sz="0" w:space="0" w:color="auto"/>
                            <w:right w:val="none" w:sz="0" w:space="0" w:color="auto"/>
                          </w:divBdr>
                          <w:divsChild>
                            <w:div w:id="825781275">
                              <w:marLeft w:val="0"/>
                              <w:marRight w:val="0"/>
                              <w:marTop w:val="0"/>
                              <w:marBottom w:val="0"/>
                              <w:divBdr>
                                <w:top w:val="none" w:sz="0" w:space="0" w:color="auto"/>
                                <w:left w:val="none" w:sz="0" w:space="0" w:color="auto"/>
                                <w:bottom w:val="none" w:sz="0" w:space="0" w:color="auto"/>
                                <w:right w:val="none" w:sz="0" w:space="0" w:color="auto"/>
                              </w:divBdr>
                            </w:div>
                          </w:divsChild>
                        </w:div>
                        <w:div w:id="825781309">
                          <w:marLeft w:val="0"/>
                          <w:marRight w:val="0"/>
                          <w:marTop w:val="0"/>
                          <w:marBottom w:val="0"/>
                          <w:divBdr>
                            <w:top w:val="none" w:sz="0" w:space="0" w:color="auto"/>
                            <w:left w:val="none" w:sz="0" w:space="0" w:color="auto"/>
                            <w:bottom w:val="none" w:sz="0" w:space="0" w:color="auto"/>
                            <w:right w:val="none" w:sz="0" w:space="0" w:color="auto"/>
                          </w:divBdr>
                          <w:divsChild>
                            <w:div w:id="825781274">
                              <w:marLeft w:val="0"/>
                              <w:marRight w:val="0"/>
                              <w:marTop w:val="0"/>
                              <w:marBottom w:val="0"/>
                              <w:divBdr>
                                <w:top w:val="none" w:sz="0" w:space="0" w:color="auto"/>
                                <w:left w:val="none" w:sz="0" w:space="0" w:color="auto"/>
                                <w:bottom w:val="none" w:sz="0" w:space="0" w:color="auto"/>
                                <w:right w:val="none" w:sz="0" w:space="0" w:color="auto"/>
                              </w:divBdr>
                            </w:div>
                            <w:div w:id="825781296">
                              <w:marLeft w:val="0"/>
                              <w:marRight w:val="0"/>
                              <w:marTop w:val="0"/>
                              <w:marBottom w:val="0"/>
                              <w:divBdr>
                                <w:top w:val="none" w:sz="0" w:space="0" w:color="auto"/>
                                <w:left w:val="none" w:sz="0" w:space="0" w:color="auto"/>
                                <w:bottom w:val="none" w:sz="0" w:space="0" w:color="auto"/>
                                <w:right w:val="none" w:sz="0" w:space="0" w:color="auto"/>
                              </w:divBdr>
                            </w:div>
                          </w:divsChild>
                        </w:div>
                        <w:div w:id="825781310">
                          <w:marLeft w:val="0"/>
                          <w:marRight w:val="0"/>
                          <w:marTop w:val="0"/>
                          <w:marBottom w:val="0"/>
                          <w:divBdr>
                            <w:top w:val="none" w:sz="0" w:space="0" w:color="auto"/>
                            <w:left w:val="none" w:sz="0" w:space="0" w:color="auto"/>
                            <w:bottom w:val="none" w:sz="0" w:space="0" w:color="auto"/>
                            <w:right w:val="none" w:sz="0" w:space="0" w:color="auto"/>
                          </w:divBdr>
                          <w:divsChild>
                            <w:div w:id="825781307">
                              <w:marLeft w:val="0"/>
                              <w:marRight w:val="0"/>
                              <w:marTop w:val="0"/>
                              <w:marBottom w:val="0"/>
                              <w:divBdr>
                                <w:top w:val="none" w:sz="0" w:space="0" w:color="auto"/>
                                <w:left w:val="none" w:sz="0" w:space="0" w:color="auto"/>
                                <w:bottom w:val="none" w:sz="0" w:space="0" w:color="auto"/>
                                <w:right w:val="none" w:sz="0" w:space="0" w:color="auto"/>
                              </w:divBdr>
                              <w:divsChild>
                                <w:div w:id="825781278">
                                  <w:marLeft w:val="0"/>
                                  <w:marRight w:val="0"/>
                                  <w:marTop w:val="0"/>
                                  <w:marBottom w:val="0"/>
                                  <w:divBdr>
                                    <w:top w:val="none" w:sz="0" w:space="0" w:color="auto"/>
                                    <w:left w:val="none" w:sz="0" w:space="0" w:color="auto"/>
                                    <w:bottom w:val="none" w:sz="0" w:space="0" w:color="auto"/>
                                    <w:right w:val="none" w:sz="0" w:space="0" w:color="auto"/>
                                  </w:divBdr>
                                </w:div>
                                <w:div w:id="8257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81303">
                  <w:marLeft w:val="0"/>
                  <w:marRight w:val="0"/>
                  <w:marTop w:val="0"/>
                  <w:marBottom w:val="0"/>
                  <w:divBdr>
                    <w:top w:val="none" w:sz="0" w:space="0" w:color="auto"/>
                    <w:left w:val="none" w:sz="0" w:space="0" w:color="auto"/>
                    <w:bottom w:val="none" w:sz="0" w:space="0" w:color="auto"/>
                    <w:right w:val="none" w:sz="0" w:space="0" w:color="auto"/>
                  </w:divBdr>
                  <w:divsChild>
                    <w:div w:id="825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825781277">
      <w:marLeft w:val="0"/>
      <w:marRight w:val="0"/>
      <w:marTop w:val="0"/>
      <w:marBottom w:val="0"/>
      <w:divBdr>
        <w:top w:val="none" w:sz="0" w:space="0" w:color="auto"/>
        <w:left w:val="none" w:sz="0" w:space="0" w:color="auto"/>
        <w:bottom w:val="none" w:sz="0" w:space="0" w:color="auto"/>
        <w:right w:val="none" w:sz="0" w:space="0" w:color="auto"/>
      </w:divBdr>
    </w:div>
    <w:div w:id="825781279">
      <w:marLeft w:val="0"/>
      <w:marRight w:val="0"/>
      <w:marTop w:val="0"/>
      <w:marBottom w:val="0"/>
      <w:divBdr>
        <w:top w:val="none" w:sz="0" w:space="0" w:color="auto"/>
        <w:left w:val="none" w:sz="0" w:space="0" w:color="auto"/>
        <w:bottom w:val="none" w:sz="0" w:space="0" w:color="auto"/>
        <w:right w:val="none" w:sz="0" w:space="0" w:color="auto"/>
      </w:divBdr>
    </w:div>
    <w:div w:id="825781280">
      <w:marLeft w:val="0"/>
      <w:marRight w:val="0"/>
      <w:marTop w:val="0"/>
      <w:marBottom w:val="0"/>
      <w:divBdr>
        <w:top w:val="none" w:sz="0" w:space="0" w:color="auto"/>
        <w:left w:val="none" w:sz="0" w:space="0" w:color="auto"/>
        <w:bottom w:val="none" w:sz="0" w:space="0" w:color="auto"/>
        <w:right w:val="none" w:sz="0" w:space="0" w:color="auto"/>
      </w:divBdr>
    </w:div>
    <w:div w:id="825781282">
      <w:marLeft w:val="0"/>
      <w:marRight w:val="0"/>
      <w:marTop w:val="0"/>
      <w:marBottom w:val="0"/>
      <w:divBdr>
        <w:top w:val="none" w:sz="0" w:space="0" w:color="auto"/>
        <w:left w:val="none" w:sz="0" w:space="0" w:color="auto"/>
        <w:bottom w:val="none" w:sz="0" w:space="0" w:color="auto"/>
        <w:right w:val="none" w:sz="0" w:space="0" w:color="auto"/>
      </w:divBdr>
    </w:div>
    <w:div w:id="825781283">
      <w:marLeft w:val="0"/>
      <w:marRight w:val="0"/>
      <w:marTop w:val="0"/>
      <w:marBottom w:val="0"/>
      <w:divBdr>
        <w:top w:val="none" w:sz="0" w:space="0" w:color="auto"/>
        <w:left w:val="none" w:sz="0" w:space="0" w:color="auto"/>
        <w:bottom w:val="none" w:sz="0" w:space="0" w:color="auto"/>
        <w:right w:val="none" w:sz="0" w:space="0" w:color="auto"/>
      </w:divBdr>
    </w:div>
    <w:div w:id="825781284">
      <w:marLeft w:val="0"/>
      <w:marRight w:val="0"/>
      <w:marTop w:val="0"/>
      <w:marBottom w:val="0"/>
      <w:divBdr>
        <w:top w:val="none" w:sz="0" w:space="0" w:color="auto"/>
        <w:left w:val="none" w:sz="0" w:space="0" w:color="auto"/>
        <w:bottom w:val="none" w:sz="0" w:space="0" w:color="auto"/>
        <w:right w:val="none" w:sz="0" w:space="0" w:color="auto"/>
      </w:divBdr>
    </w:div>
    <w:div w:id="825781285">
      <w:marLeft w:val="0"/>
      <w:marRight w:val="0"/>
      <w:marTop w:val="0"/>
      <w:marBottom w:val="0"/>
      <w:divBdr>
        <w:top w:val="none" w:sz="0" w:space="0" w:color="auto"/>
        <w:left w:val="none" w:sz="0" w:space="0" w:color="auto"/>
        <w:bottom w:val="none" w:sz="0" w:space="0" w:color="auto"/>
        <w:right w:val="none" w:sz="0" w:space="0" w:color="auto"/>
      </w:divBdr>
    </w:div>
    <w:div w:id="825781287">
      <w:marLeft w:val="0"/>
      <w:marRight w:val="0"/>
      <w:marTop w:val="0"/>
      <w:marBottom w:val="0"/>
      <w:divBdr>
        <w:top w:val="none" w:sz="0" w:space="0" w:color="auto"/>
        <w:left w:val="none" w:sz="0" w:space="0" w:color="auto"/>
        <w:bottom w:val="none" w:sz="0" w:space="0" w:color="auto"/>
        <w:right w:val="none" w:sz="0" w:space="0" w:color="auto"/>
      </w:divBdr>
    </w:div>
    <w:div w:id="825781288">
      <w:marLeft w:val="0"/>
      <w:marRight w:val="0"/>
      <w:marTop w:val="0"/>
      <w:marBottom w:val="0"/>
      <w:divBdr>
        <w:top w:val="none" w:sz="0" w:space="0" w:color="auto"/>
        <w:left w:val="none" w:sz="0" w:space="0" w:color="auto"/>
        <w:bottom w:val="none" w:sz="0" w:space="0" w:color="auto"/>
        <w:right w:val="none" w:sz="0" w:space="0" w:color="auto"/>
      </w:divBdr>
    </w:div>
    <w:div w:id="825781289">
      <w:marLeft w:val="0"/>
      <w:marRight w:val="0"/>
      <w:marTop w:val="0"/>
      <w:marBottom w:val="0"/>
      <w:divBdr>
        <w:top w:val="none" w:sz="0" w:space="0" w:color="auto"/>
        <w:left w:val="none" w:sz="0" w:space="0" w:color="auto"/>
        <w:bottom w:val="none" w:sz="0" w:space="0" w:color="auto"/>
        <w:right w:val="none" w:sz="0" w:space="0" w:color="auto"/>
      </w:divBdr>
    </w:div>
    <w:div w:id="825781290">
      <w:marLeft w:val="0"/>
      <w:marRight w:val="0"/>
      <w:marTop w:val="0"/>
      <w:marBottom w:val="0"/>
      <w:divBdr>
        <w:top w:val="none" w:sz="0" w:space="0" w:color="auto"/>
        <w:left w:val="none" w:sz="0" w:space="0" w:color="auto"/>
        <w:bottom w:val="none" w:sz="0" w:space="0" w:color="auto"/>
        <w:right w:val="none" w:sz="0" w:space="0" w:color="auto"/>
      </w:divBdr>
    </w:div>
    <w:div w:id="825781291">
      <w:marLeft w:val="0"/>
      <w:marRight w:val="0"/>
      <w:marTop w:val="0"/>
      <w:marBottom w:val="0"/>
      <w:divBdr>
        <w:top w:val="none" w:sz="0" w:space="0" w:color="auto"/>
        <w:left w:val="none" w:sz="0" w:space="0" w:color="auto"/>
        <w:bottom w:val="none" w:sz="0" w:space="0" w:color="auto"/>
        <w:right w:val="none" w:sz="0" w:space="0" w:color="auto"/>
      </w:divBdr>
    </w:div>
    <w:div w:id="825781292">
      <w:marLeft w:val="0"/>
      <w:marRight w:val="0"/>
      <w:marTop w:val="0"/>
      <w:marBottom w:val="0"/>
      <w:divBdr>
        <w:top w:val="none" w:sz="0" w:space="0" w:color="auto"/>
        <w:left w:val="none" w:sz="0" w:space="0" w:color="auto"/>
        <w:bottom w:val="none" w:sz="0" w:space="0" w:color="auto"/>
        <w:right w:val="none" w:sz="0" w:space="0" w:color="auto"/>
      </w:divBdr>
    </w:div>
    <w:div w:id="825781293">
      <w:marLeft w:val="0"/>
      <w:marRight w:val="0"/>
      <w:marTop w:val="0"/>
      <w:marBottom w:val="0"/>
      <w:divBdr>
        <w:top w:val="none" w:sz="0" w:space="0" w:color="auto"/>
        <w:left w:val="none" w:sz="0" w:space="0" w:color="auto"/>
        <w:bottom w:val="none" w:sz="0" w:space="0" w:color="auto"/>
        <w:right w:val="none" w:sz="0" w:space="0" w:color="auto"/>
      </w:divBdr>
      <w:divsChild>
        <w:div w:id="825781286">
          <w:marLeft w:val="0"/>
          <w:marRight w:val="0"/>
          <w:marTop w:val="0"/>
          <w:marBottom w:val="0"/>
          <w:divBdr>
            <w:top w:val="none" w:sz="0" w:space="0" w:color="auto"/>
            <w:left w:val="none" w:sz="0" w:space="0" w:color="auto"/>
            <w:bottom w:val="none" w:sz="0" w:space="0" w:color="auto"/>
            <w:right w:val="none" w:sz="0" w:space="0" w:color="auto"/>
          </w:divBdr>
        </w:div>
      </w:divsChild>
    </w:div>
    <w:div w:id="825781294">
      <w:marLeft w:val="0"/>
      <w:marRight w:val="0"/>
      <w:marTop w:val="0"/>
      <w:marBottom w:val="0"/>
      <w:divBdr>
        <w:top w:val="none" w:sz="0" w:space="0" w:color="auto"/>
        <w:left w:val="none" w:sz="0" w:space="0" w:color="auto"/>
        <w:bottom w:val="none" w:sz="0" w:space="0" w:color="auto"/>
        <w:right w:val="none" w:sz="0" w:space="0" w:color="auto"/>
      </w:divBdr>
    </w:div>
    <w:div w:id="825781295">
      <w:marLeft w:val="0"/>
      <w:marRight w:val="0"/>
      <w:marTop w:val="0"/>
      <w:marBottom w:val="0"/>
      <w:divBdr>
        <w:top w:val="none" w:sz="0" w:space="0" w:color="auto"/>
        <w:left w:val="none" w:sz="0" w:space="0" w:color="auto"/>
        <w:bottom w:val="none" w:sz="0" w:space="0" w:color="auto"/>
        <w:right w:val="none" w:sz="0" w:space="0" w:color="auto"/>
      </w:divBdr>
    </w:div>
    <w:div w:id="825781298">
      <w:marLeft w:val="0"/>
      <w:marRight w:val="0"/>
      <w:marTop w:val="0"/>
      <w:marBottom w:val="0"/>
      <w:divBdr>
        <w:top w:val="none" w:sz="0" w:space="0" w:color="auto"/>
        <w:left w:val="none" w:sz="0" w:space="0" w:color="auto"/>
        <w:bottom w:val="none" w:sz="0" w:space="0" w:color="auto"/>
        <w:right w:val="none" w:sz="0" w:space="0" w:color="auto"/>
      </w:divBdr>
    </w:div>
    <w:div w:id="825781300">
      <w:marLeft w:val="0"/>
      <w:marRight w:val="0"/>
      <w:marTop w:val="0"/>
      <w:marBottom w:val="0"/>
      <w:divBdr>
        <w:top w:val="none" w:sz="0" w:space="0" w:color="auto"/>
        <w:left w:val="none" w:sz="0" w:space="0" w:color="auto"/>
        <w:bottom w:val="none" w:sz="0" w:space="0" w:color="auto"/>
        <w:right w:val="none" w:sz="0" w:space="0" w:color="auto"/>
      </w:divBdr>
    </w:div>
    <w:div w:id="825781302">
      <w:marLeft w:val="0"/>
      <w:marRight w:val="0"/>
      <w:marTop w:val="0"/>
      <w:marBottom w:val="0"/>
      <w:divBdr>
        <w:top w:val="none" w:sz="0" w:space="0" w:color="auto"/>
        <w:left w:val="none" w:sz="0" w:space="0" w:color="auto"/>
        <w:bottom w:val="none" w:sz="0" w:space="0" w:color="auto"/>
        <w:right w:val="none" w:sz="0" w:space="0" w:color="auto"/>
      </w:divBdr>
    </w:div>
    <w:div w:id="825781305">
      <w:marLeft w:val="0"/>
      <w:marRight w:val="0"/>
      <w:marTop w:val="0"/>
      <w:marBottom w:val="0"/>
      <w:divBdr>
        <w:top w:val="none" w:sz="0" w:space="0" w:color="auto"/>
        <w:left w:val="none" w:sz="0" w:space="0" w:color="auto"/>
        <w:bottom w:val="none" w:sz="0" w:space="0" w:color="auto"/>
        <w:right w:val="none" w:sz="0" w:space="0" w:color="auto"/>
      </w:divBdr>
    </w:div>
    <w:div w:id="825781308">
      <w:marLeft w:val="0"/>
      <w:marRight w:val="0"/>
      <w:marTop w:val="0"/>
      <w:marBottom w:val="0"/>
      <w:divBdr>
        <w:top w:val="none" w:sz="0" w:space="0" w:color="auto"/>
        <w:left w:val="none" w:sz="0" w:space="0" w:color="auto"/>
        <w:bottom w:val="none" w:sz="0" w:space="0" w:color="auto"/>
        <w:right w:val="none" w:sz="0" w:space="0" w:color="auto"/>
      </w:divBdr>
      <w:divsChild>
        <w:div w:id="825781268">
          <w:marLeft w:val="0"/>
          <w:marRight w:val="0"/>
          <w:marTop w:val="0"/>
          <w:marBottom w:val="0"/>
          <w:divBdr>
            <w:top w:val="none" w:sz="0" w:space="0" w:color="auto"/>
            <w:left w:val="none" w:sz="0" w:space="0" w:color="auto"/>
            <w:bottom w:val="none" w:sz="0" w:space="0" w:color="auto"/>
            <w:right w:val="none" w:sz="0" w:space="0" w:color="auto"/>
          </w:divBdr>
        </w:div>
        <w:div w:id="825781269">
          <w:marLeft w:val="0"/>
          <w:marRight w:val="0"/>
          <w:marTop w:val="0"/>
          <w:marBottom w:val="0"/>
          <w:divBdr>
            <w:top w:val="none" w:sz="0" w:space="0" w:color="auto"/>
            <w:left w:val="none" w:sz="0" w:space="0" w:color="auto"/>
            <w:bottom w:val="none" w:sz="0" w:space="0" w:color="auto"/>
            <w:right w:val="none" w:sz="0" w:space="0" w:color="auto"/>
          </w:divBdr>
        </w:div>
        <w:div w:id="825781270">
          <w:marLeft w:val="0"/>
          <w:marRight w:val="0"/>
          <w:marTop w:val="0"/>
          <w:marBottom w:val="0"/>
          <w:divBdr>
            <w:top w:val="none" w:sz="0" w:space="0" w:color="auto"/>
            <w:left w:val="none" w:sz="0" w:space="0" w:color="auto"/>
            <w:bottom w:val="none" w:sz="0" w:space="0" w:color="auto"/>
            <w:right w:val="none" w:sz="0" w:space="0" w:color="auto"/>
          </w:divBdr>
        </w:div>
      </w:divsChild>
    </w:div>
    <w:div w:id="14057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vars.Priede@lt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8B54D-F82A-4D56-B151-7EE0E79A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E6F3E3-ED55-4789-8A5C-ACCFBC86FF10}">
  <ds:schemaRefs>
    <ds:schemaRef ds:uri="http://schemas.microsoft.com/sharepoint/v3/contenttype/forms"/>
  </ds:schemaRefs>
</ds:datastoreItem>
</file>

<file path=customXml/itemProps3.xml><?xml version="1.0" encoding="utf-8"?>
<ds:datastoreItem xmlns:ds="http://schemas.openxmlformats.org/officeDocument/2006/customXml" ds:itemID="{1273C608-A625-4E0C-A312-5A6B3734E972}">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9758</Words>
  <Characters>5563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inesed</cp:lastModifiedBy>
  <cp:revision>9</cp:revision>
  <cp:lastPrinted>2020-04-23T23:58:00Z</cp:lastPrinted>
  <dcterms:created xsi:type="dcterms:W3CDTF">2020-06-03T07:34:00Z</dcterms:created>
  <dcterms:modified xsi:type="dcterms:W3CDTF">2020-06-03T11:47:00Z</dcterms:modified>
</cp:coreProperties>
</file>