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7912" w14:textId="77777777" w:rsidR="008D68DB" w:rsidRDefault="00DF37EA">
      <w:pPr>
        <w:ind w:left="720"/>
        <w:jc w:val="center"/>
        <w:rPr>
          <w:b/>
          <w:color w:val="000000"/>
          <w:sz w:val="28"/>
          <w:szCs w:val="28"/>
        </w:rPr>
      </w:pPr>
      <w:r>
        <w:rPr>
          <w:b/>
          <w:color w:val="000000"/>
          <w:sz w:val="28"/>
          <w:szCs w:val="28"/>
        </w:rPr>
        <w:t xml:space="preserve">Ministru kabineta noteikumu projekta </w:t>
      </w:r>
    </w:p>
    <w:p w14:paraId="23A99C48" w14:textId="77777777" w:rsidR="008D68DB" w:rsidRDefault="00DF37EA">
      <w:pPr>
        <w:jc w:val="center"/>
        <w:rPr>
          <w:b/>
          <w:color w:val="000000"/>
          <w:sz w:val="28"/>
          <w:szCs w:val="28"/>
        </w:rPr>
      </w:pPr>
      <w:r>
        <w:rPr>
          <w:b/>
          <w:color w:val="000000"/>
          <w:sz w:val="28"/>
          <w:szCs w:val="28"/>
        </w:rPr>
        <w:t xml:space="preserve">„Grozījumi Ministru kabineta 2011.gada 25.janvāra noteikumos </w:t>
      </w:r>
    </w:p>
    <w:p w14:paraId="3CDD29A2" w14:textId="77777777" w:rsidR="008D68DB" w:rsidRDefault="00DF37EA">
      <w:pPr>
        <w:jc w:val="center"/>
        <w:rPr>
          <w:b/>
          <w:color w:val="000000"/>
          <w:sz w:val="28"/>
          <w:szCs w:val="28"/>
        </w:rPr>
      </w:pPr>
      <w:r>
        <w:rPr>
          <w:b/>
          <w:color w:val="000000"/>
          <w:sz w:val="28"/>
          <w:szCs w:val="28"/>
        </w:rPr>
        <w:t>Nr.75 „Noteikumi par aktīvo nodarbinātības pasākumu un preventīvo bezdarba samazināšanas pasākumu organizēšanas un finansēšanas kārtību un pasākumu īstenotāju izvēles principiem””</w:t>
      </w:r>
    </w:p>
    <w:p w14:paraId="0B92FD87" w14:textId="77777777" w:rsidR="008D68DB" w:rsidRDefault="00DF37EA">
      <w:pPr>
        <w:jc w:val="center"/>
        <w:rPr>
          <w:b/>
          <w:sz w:val="28"/>
          <w:szCs w:val="28"/>
        </w:rPr>
      </w:pPr>
      <w:r>
        <w:rPr>
          <w:b/>
          <w:sz w:val="28"/>
          <w:szCs w:val="28"/>
        </w:rPr>
        <w:t>sākotnējās ietekmes novērtējuma ziņojums (anotācija)</w:t>
      </w:r>
    </w:p>
    <w:p w14:paraId="01E379F6" w14:textId="77777777" w:rsidR="008D68DB" w:rsidRDefault="008D68DB">
      <w:pPr>
        <w:jc w:val="center"/>
        <w:rPr>
          <w:b/>
          <w:sz w:val="28"/>
          <w:szCs w:val="28"/>
        </w:rPr>
      </w:pPr>
    </w:p>
    <w:p w14:paraId="298D0912" w14:textId="073AF94E" w:rsidR="006D019E" w:rsidRDefault="006D019E" w:rsidP="00B35206">
      <w:pPr>
        <w:rPr>
          <w:b/>
          <w:sz w:val="28"/>
          <w:szCs w:val="28"/>
        </w:rPr>
      </w:pPr>
    </w:p>
    <w:tbl>
      <w:tblPr>
        <w:tblStyle w:val="TableGrid"/>
        <w:tblW w:w="9209" w:type="dxa"/>
        <w:tblLayout w:type="fixed"/>
        <w:tblLook w:val="04A0" w:firstRow="1" w:lastRow="0" w:firstColumn="1" w:lastColumn="0" w:noHBand="0" w:noVBand="1"/>
      </w:tblPr>
      <w:tblGrid>
        <w:gridCol w:w="2830"/>
        <w:gridCol w:w="6379"/>
      </w:tblGrid>
      <w:tr w:rsidR="00A302AA" w14:paraId="3393DE5A" w14:textId="77777777" w:rsidTr="00822F83">
        <w:tc>
          <w:tcPr>
            <w:tcW w:w="9209" w:type="dxa"/>
            <w:gridSpan w:val="2"/>
          </w:tcPr>
          <w:p w14:paraId="4C960D95" w14:textId="77777777" w:rsidR="00A302AA" w:rsidRDefault="00A302AA" w:rsidP="00822F83">
            <w:pPr>
              <w:jc w:val="center"/>
              <w:rPr>
                <w:b/>
              </w:rPr>
            </w:pPr>
            <w:r>
              <w:rPr>
                <w:b/>
              </w:rPr>
              <w:t>Tiesību akta projekta anotācijas kopsavilkums</w:t>
            </w:r>
          </w:p>
        </w:tc>
      </w:tr>
      <w:tr w:rsidR="00A302AA" w:rsidRPr="0049540C" w14:paraId="67A27720" w14:textId="77777777" w:rsidTr="00822F83">
        <w:tc>
          <w:tcPr>
            <w:tcW w:w="2830" w:type="dxa"/>
          </w:tcPr>
          <w:p w14:paraId="4AC5F8A3" w14:textId="77777777" w:rsidR="00A302AA" w:rsidRPr="0049540C" w:rsidRDefault="00A302AA" w:rsidP="00822F83">
            <w:r w:rsidRPr="0049540C">
              <w:t xml:space="preserve">Mērķis, risinājums un projekta spēkā stāšanās laiks </w:t>
            </w:r>
          </w:p>
        </w:tc>
        <w:tc>
          <w:tcPr>
            <w:tcW w:w="6379" w:type="dxa"/>
          </w:tcPr>
          <w:p w14:paraId="4D49BDAA" w14:textId="2A25B2B1" w:rsidR="00A302AA" w:rsidRPr="0049540C" w:rsidRDefault="00A302AA" w:rsidP="00822F83">
            <w:pPr>
              <w:jc w:val="both"/>
            </w:pPr>
            <w:r w:rsidRPr="0049540C">
              <w:t xml:space="preserve">Lai mazinātu </w:t>
            </w:r>
            <w:r w:rsidR="00400196" w:rsidRPr="0049540C">
              <w:t xml:space="preserve">ar </w:t>
            </w:r>
            <w:r w:rsidRPr="0049540C">
              <w:t xml:space="preserve">ārkārtējās situācijas izsludināšanu izraisītās sekas un veicinātu bezdarbnieku ātrāku atgriešanos darba tirgū </w:t>
            </w:r>
            <w:proofErr w:type="spellStart"/>
            <w:r w:rsidRPr="0049540C">
              <w:t>pēckrīzes</w:t>
            </w:r>
            <w:proofErr w:type="spellEnd"/>
            <w:r w:rsidRPr="0049540C">
              <w:t xml:space="preserve"> periodā, 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paredz jaunu aktīv</w:t>
            </w:r>
            <w:r w:rsidR="00C55BD2" w:rsidRPr="0049540C">
              <w:t>o</w:t>
            </w:r>
            <w:r w:rsidRPr="0049540C">
              <w:t xml:space="preserve"> nodarbinātības pasākumu uzsākšanu, jaunu apmācību programmu ieviešanu, </w:t>
            </w:r>
            <w:r w:rsidR="00A16F78" w:rsidRPr="0049540C">
              <w:t>kā arī apmācību kvalitātes uzraudzības stiprināšanu</w:t>
            </w:r>
            <w:r w:rsidR="00400196" w:rsidRPr="0049540C">
              <w:t>.</w:t>
            </w:r>
          </w:p>
          <w:p w14:paraId="7009942E" w14:textId="77777777" w:rsidR="00A16F78" w:rsidRPr="0049540C" w:rsidRDefault="00A302AA" w:rsidP="00822F83">
            <w:pPr>
              <w:jc w:val="both"/>
            </w:pPr>
            <w:r w:rsidRPr="0049540C">
              <w:t>Noteikumu projektā ietvertas tiesību normas, kas pilnveido aktīvās darba tirgus politikas pasākumu īstenošanas nosacījumus, lai nodrošinātu bezdarbniekiem efektīvāku atbalstu darba meklēšanā un nodrošinātu mērķētākus atbalsta pasākumus.</w:t>
            </w:r>
          </w:p>
          <w:p w14:paraId="27E06C2B" w14:textId="3BDD4F9C" w:rsidR="00A16F78" w:rsidRPr="0049540C" w:rsidRDefault="00A16F78" w:rsidP="00822F83">
            <w:pPr>
              <w:jc w:val="both"/>
            </w:pPr>
            <w:r w:rsidRPr="0049540C">
              <w:t>Plānots, ka Noteikumu projekts stāsies spēkā 2020.gada jūnijā.</w:t>
            </w:r>
          </w:p>
        </w:tc>
      </w:tr>
    </w:tbl>
    <w:p w14:paraId="67F32517" w14:textId="77777777" w:rsidR="00A302AA" w:rsidRPr="0049540C" w:rsidRDefault="00A302AA" w:rsidP="00B35206">
      <w:pPr>
        <w:rPr>
          <w:b/>
          <w:sz w:val="28"/>
          <w:szCs w:val="28"/>
        </w:rPr>
      </w:pPr>
    </w:p>
    <w:tbl>
      <w:tblPr>
        <w:tblpPr w:leftFromText="180" w:rightFromText="180" w:vertAnchor="text" w:tblpY="1"/>
        <w:tblOverlap w:val="neve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410"/>
      </w:tblGrid>
      <w:tr w:rsidR="008D68DB" w:rsidRPr="0049540C" w14:paraId="166F7F85" w14:textId="77777777">
        <w:tc>
          <w:tcPr>
            <w:tcW w:w="9210" w:type="dxa"/>
            <w:gridSpan w:val="3"/>
            <w:shd w:val="clear" w:color="000000" w:fill="auto"/>
          </w:tcPr>
          <w:p w14:paraId="5477E3EB" w14:textId="77777777" w:rsidR="008D68DB" w:rsidRPr="0049540C" w:rsidRDefault="00DF37EA">
            <w:pPr>
              <w:jc w:val="center"/>
              <w:rPr>
                <w:b/>
              </w:rPr>
            </w:pPr>
            <w:r w:rsidRPr="0049540C">
              <w:rPr>
                <w:b/>
              </w:rPr>
              <w:t>I. Tiesību akta projekta izstrādes nepieciešamība</w:t>
            </w:r>
          </w:p>
        </w:tc>
      </w:tr>
      <w:tr w:rsidR="008D68DB" w:rsidRPr="0049540C" w14:paraId="020EA5FC" w14:textId="77777777">
        <w:tc>
          <w:tcPr>
            <w:tcW w:w="381" w:type="dxa"/>
            <w:shd w:val="clear" w:color="000000" w:fill="auto"/>
          </w:tcPr>
          <w:p w14:paraId="4E7BE04A" w14:textId="77777777" w:rsidR="008D68DB" w:rsidRPr="0049540C" w:rsidRDefault="00DF37EA">
            <w:pPr>
              <w:rPr>
                <w:sz w:val="22"/>
                <w:szCs w:val="22"/>
              </w:rPr>
            </w:pPr>
            <w:r w:rsidRPr="0049540C">
              <w:rPr>
                <w:sz w:val="22"/>
                <w:szCs w:val="22"/>
              </w:rPr>
              <w:t>1.</w:t>
            </w:r>
          </w:p>
        </w:tc>
        <w:tc>
          <w:tcPr>
            <w:tcW w:w="2419" w:type="dxa"/>
            <w:shd w:val="clear" w:color="000000" w:fill="auto"/>
          </w:tcPr>
          <w:p w14:paraId="015861F6" w14:textId="77777777" w:rsidR="008D68DB" w:rsidRPr="0049540C" w:rsidRDefault="00DF37EA">
            <w:r w:rsidRPr="0049540C">
              <w:t>Pamatojums</w:t>
            </w:r>
          </w:p>
        </w:tc>
        <w:tc>
          <w:tcPr>
            <w:tcW w:w="6410" w:type="dxa"/>
            <w:shd w:val="clear" w:color="000000" w:fill="auto"/>
          </w:tcPr>
          <w:p w14:paraId="36B2BD23" w14:textId="6FDAAACC" w:rsidR="008D68DB" w:rsidRPr="0049540C" w:rsidRDefault="00DF37EA" w:rsidP="00B35206">
            <w:pPr>
              <w:contextualSpacing/>
              <w:jc w:val="both"/>
            </w:pPr>
            <w:r w:rsidRPr="0049540C">
              <w:t>Noteikumu projekts izstrādāts</w:t>
            </w:r>
            <w:r w:rsidR="0047608F" w:rsidRPr="0049540C">
              <w:t xml:space="preserve"> pēc Labklājības ministrijas iniciatīvas, lai mazinātu </w:t>
            </w:r>
            <w:proofErr w:type="spellStart"/>
            <w:r w:rsidR="0047608F" w:rsidRPr="0049540C">
              <w:t>koronavīrusa</w:t>
            </w:r>
            <w:proofErr w:type="spellEnd"/>
            <w:r w:rsidR="0047608F" w:rsidRPr="0049540C">
              <w:t xml:space="preserve"> Covid-19 pandēmijas rezultātā izraisītās negatīvās sekas nodarbinātības jomā.</w:t>
            </w:r>
          </w:p>
        </w:tc>
      </w:tr>
      <w:tr w:rsidR="008D68DB" w:rsidRPr="0049540C" w14:paraId="7F0AC974" w14:textId="77777777">
        <w:tc>
          <w:tcPr>
            <w:tcW w:w="381" w:type="dxa"/>
            <w:shd w:val="clear" w:color="000000" w:fill="auto"/>
          </w:tcPr>
          <w:p w14:paraId="07027151" w14:textId="77777777" w:rsidR="008D68DB" w:rsidRPr="0049540C" w:rsidRDefault="00DF37EA">
            <w:pPr>
              <w:rPr>
                <w:sz w:val="22"/>
                <w:szCs w:val="22"/>
              </w:rPr>
            </w:pPr>
            <w:r w:rsidRPr="0049540C">
              <w:rPr>
                <w:sz w:val="22"/>
                <w:szCs w:val="22"/>
              </w:rPr>
              <w:t xml:space="preserve">2. </w:t>
            </w:r>
          </w:p>
        </w:tc>
        <w:tc>
          <w:tcPr>
            <w:tcW w:w="2419" w:type="dxa"/>
            <w:shd w:val="clear" w:color="000000" w:fill="auto"/>
          </w:tcPr>
          <w:p w14:paraId="03C1EFD2" w14:textId="77777777" w:rsidR="008D68DB" w:rsidRPr="0049540C" w:rsidRDefault="00DF37EA">
            <w:r w:rsidRPr="0049540C">
              <w:t>Pašreizējā situācija un problēmas, kuru risināšanai tiesību akta projekts izstrādāts, tiesiskā regulējuma mērķis un būtība</w:t>
            </w:r>
          </w:p>
        </w:tc>
        <w:tc>
          <w:tcPr>
            <w:tcW w:w="6410" w:type="dxa"/>
            <w:shd w:val="clear" w:color="000000" w:fill="auto"/>
          </w:tcPr>
          <w:p w14:paraId="421A0905" w14:textId="695493D6" w:rsidR="008D68DB" w:rsidRPr="0049540C" w:rsidRDefault="00DF37EA">
            <w:pPr>
              <w:shd w:val="clear" w:color="000000" w:fill="FFFFFF"/>
              <w:jc w:val="both"/>
              <w:rPr>
                <w:spacing w:val="-4"/>
              </w:rPr>
            </w:pPr>
            <w:r w:rsidRPr="0049540C">
              <w:rPr>
                <w:spacing w:val="-4"/>
              </w:rPr>
              <w:t>Atbalst</w:t>
            </w:r>
            <w:r w:rsidR="00DB5442" w:rsidRPr="0049540C">
              <w:rPr>
                <w:spacing w:val="-4"/>
              </w:rPr>
              <w:t>a</w:t>
            </w:r>
            <w:r w:rsidRPr="0049540C">
              <w:rPr>
                <w:spacing w:val="-4"/>
              </w:rPr>
              <w:t xml:space="preserve"> pasāk</w:t>
            </w:r>
            <w:r w:rsidR="002E46D2" w:rsidRPr="0049540C">
              <w:rPr>
                <w:spacing w:val="-4"/>
              </w:rPr>
              <w:t xml:space="preserve">umus darba meklēšanā </w:t>
            </w:r>
            <w:r w:rsidR="00DB5442" w:rsidRPr="0049540C">
              <w:rPr>
                <w:spacing w:val="-4"/>
              </w:rPr>
              <w:t xml:space="preserve">un aktīvos nodarbinātības pasākumus </w:t>
            </w:r>
            <w:r w:rsidR="002E46D2" w:rsidRPr="0049540C">
              <w:rPr>
                <w:spacing w:val="-4"/>
              </w:rPr>
              <w:t>reglamentē</w:t>
            </w:r>
            <w:r w:rsidRPr="0049540C">
              <w:t xml:space="preserve"> </w:t>
            </w:r>
            <w:r w:rsidRPr="0049540C">
              <w:rPr>
                <w:spacing w:val="-4"/>
              </w:rPr>
              <w:t xml:space="preserve">Ministru kabineta 2011.gada 25.janvāra noteikumi Nr.75 „Noteikumi par aktīvo nodarbinātības pasākumu un preventīvo bezdarba samazināšanas pasākumu organizēšanas un finansēšanas kārtību un pasākumu īstenotāju izvēles principiem” (turpmāk – MK noteikumi Nr.75). </w:t>
            </w:r>
          </w:p>
          <w:p w14:paraId="519D91CC" w14:textId="32D759B5" w:rsidR="0047608F" w:rsidRPr="0049540C" w:rsidRDefault="0047608F" w:rsidP="0047608F">
            <w:pPr>
              <w:shd w:val="clear" w:color="000000" w:fill="FFFFFF"/>
              <w:jc w:val="both"/>
              <w:rPr>
                <w:spacing w:val="-4"/>
              </w:rPr>
            </w:pPr>
            <w:r w:rsidRPr="0049540C">
              <w:rPr>
                <w:spacing w:val="-4"/>
              </w:rPr>
              <w:t xml:space="preserve">Reaģējot uz Pasaules veselības organizācijas 2020. gada 11. marta paziņojumu, ka </w:t>
            </w:r>
            <w:proofErr w:type="spellStart"/>
            <w:r w:rsidRPr="0049540C">
              <w:rPr>
                <w:spacing w:val="-4"/>
              </w:rPr>
              <w:t>koronavīrusa</w:t>
            </w:r>
            <w:proofErr w:type="spellEnd"/>
            <w:r w:rsidRPr="0049540C">
              <w:rPr>
                <w:spacing w:val="-4"/>
              </w:rPr>
              <w:t xml:space="preserve"> Covid-19 izplatība ir sasniegusi pandēmijas apmērus, 2020.gada 12.martā Ministru kabinets pieņēma rīkojumu Nr.103 “Par ārkārtējās situācijas izsludināšanu”, kas paredz virkni vīrusa Covid-19 izplatību ierobežojošu pasākumu Latvijā. Minētā vīrusa izplatība negatīvi ietekmē  ekonomisko situāciju un darba tirgu, radot nabadzības riskus ienākumu zaudēšanas dēļ.</w:t>
            </w:r>
          </w:p>
          <w:p w14:paraId="081C2A97" w14:textId="3AEC0E0C" w:rsidR="0047608F" w:rsidRPr="0049540C" w:rsidRDefault="0047608F" w:rsidP="0047608F">
            <w:pPr>
              <w:autoSpaceDE w:val="0"/>
              <w:autoSpaceDN w:val="0"/>
              <w:adjustRightInd w:val="0"/>
              <w:spacing w:before="120" w:after="120"/>
              <w:jc w:val="both"/>
              <w:rPr>
                <w:color w:val="000000"/>
              </w:rPr>
            </w:pPr>
            <w:r w:rsidRPr="0049540C">
              <w:rPr>
                <w:color w:val="000000"/>
              </w:rPr>
              <w:t xml:space="preserve">Neskatoties uz dīkstāves pabalstu krīzes visvairāk skarto nozaru uzņēmumos nodarbinātiem darbiniekiem, </w:t>
            </w:r>
            <w:r w:rsidR="00795BAA" w:rsidRPr="0049540C">
              <w:rPr>
                <w:color w:val="000000"/>
              </w:rPr>
              <w:t>kura mērķis</w:t>
            </w:r>
            <w:r w:rsidRPr="0049540C">
              <w:rPr>
                <w:color w:val="000000"/>
              </w:rPr>
              <w:t xml:space="preserve"> </w:t>
            </w:r>
            <w:r w:rsidR="00795BAA" w:rsidRPr="0049540C">
              <w:rPr>
                <w:color w:val="000000"/>
              </w:rPr>
              <w:t xml:space="preserve">ir </w:t>
            </w:r>
            <w:r w:rsidRPr="0049540C">
              <w:rPr>
                <w:color w:val="000000"/>
              </w:rPr>
              <w:t xml:space="preserve">saglabāt darba vietas, jau šobrīd novērojams, ka daudzi darba devēji </w:t>
            </w:r>
            <w:r w:rsidR="00795BAA" w:rsidRPr="0049540C">
              <w:rPr>
                <w:color w:val="000000"/>
              </w:rPr>
              <w:t>izbeidz darba tiesiskās attiecības ar</w:t>
            </w:r>
            <w:r w:rsidRPr="0049540C">
              <w:rPr>
                <w:color w:val="000000"/>
              </w:rPr>
              <w:t xml:space="preserve"> sav</w:t>
            </w:r>
            <w:r w:rsidR="00795BAA" w:rsidRPr="0049540C">
              <w:rPr>
                <w:color w:val="000000"/>
              </w:rPr>
              <w:t>iem</w:t>
            </w:r>
            <w:r w:rsidRPr="0049540C">
              <w:rPr>
                <w:color w:val="000000"/>
              </w:rPr>
              <w:t xml:space="preserve"> darbiniek</w:t>
            </w:r>
            <w:r w:rsidR="00795BAA" w:rsidRPr="0049540C">
              <w:rPr>
                <w:color w:val="000000"/>
              </w:rPr>
              <w:t>iem</w:t>
            </w:r>
            <w:r w:rsidRPr="0049540C">
              <w:rPr>
                <w:color w:val="000000"/>
              </w:rPr>
              <w:t xml:space="preserve"> un līdz ar to pieaug bezdarba līmenis. Nodarbinātības valsts aģentūrā</w:t>
            </w:r>
            <w:r w:rsidR="003A370F" w:rsidRPr="0049540C">
              <w:rPr>
                <w:color w:val="000000"/>
              </w:rPr>
              <w:t xml:space="preserve"> </w:t>
            </w:r>
            <w:r w:rsidR="003A370F" w:rsidRPr="0049540C">
              <w:rPr>
                <w:color w:val="000000"/>
              </w:rPr>
              <w:lastRenderedPageBreak/>
              <w:t>(turpmāk – Aģentūra)</w:t>
            </w:r>
            <w:r w:rsidRPr="0049540C">
              <w:rPr>
                <w:color w:val="000000"/>
              </w:rPr>
              <w:t xml:space="preserve"> ir saņemti vairāki kolektīvās atlaišanas paziņojumi saistībā ar C</w:t>
            </w:r>
            <w:r w:rsidR="00795BAA" w:rsidRPr="0049540C">
              <w:rPr>
                <w:color w:val="000000"/>
              </w:rPr>
              <w:t>ovid</w:t>
            </w:r>
            <w:r w:rsidRPr="0049540C">
              <w:rPr>
                <w:color w:val="000000"/>
              </w:rPr>
              <w:t>-19</w:t>
            </w:r>
            <w:r w:rsidR="00795BAA" w:rsidRPr="0049540C">
              <w:rPr>
                <w:color w:val="000000"/>
              </w:rPr>
              <w:t xml:space="preserve"> izraisīto</w:t>
            </w:r>
            <w:r w:rsidRPr="0049540C">
              <w:rPr>
                <w:color w:val="000000"/>
              </w:rPr>
              <w:t xml:space="preserve"> krīzi (nozares/jomas: Transports un uzglabāšana, Izmitināšana un ēdināšanas pakalpojumi, Ūdens apgāde; Notekūdeņi; Atkritumu apsaimniekošana un sanācija, Vairumtirdzniecība un mazumtirdzniecība, Apstrādes rūpniecība). Savukārt, reģistrēto bezdarbnieku skaits </w:t>
            </w:r>
            <w:r w:rsidR="00C973AC" w:rsidRPr="0049540C">
              <w:rPr>
                <w:color w:val="000000"/>
              </w:rPr>
              <w:t xml:space="preserve">š.g. </w:t>
            </w:r>
            <w:r w:rsidR="00400196" w:rsidRPr="0049540C">
              <w:rPr>
                <w:color w:val="000000"/>
              </w:rPr>
              <w:t>25</w:t>
            </w:r>
            <w:r w:rsidRPr="0049540C">
              <w:rPr>
                <w:color w:val="000000"/>
              </w:rPr>
              <w:t>.</w:t>
            </w:r>
            <w:r w:rsidR="00400196" w:rsidRPr="0049540C">
              <w:rPr>
                <w:color w:val="000000"/>
              </w:rPr>
              <w:t>maijā</w:t>
            </w:r>
            <w:r w:rsidRPr="0049540C">
              <w:rPr>
                <w:color w:val="000000"/>
              </w:rPr>
              <w:t xml:space="preserve"> </w:t>
            </w:r>
            <w:r w:rsidR="00400196" w:rsidRPr="0049540C">
              <w:rPr>
                <w:color w:val="000000"/>
              </w:rPr>
              <w:t>bija</w:t>
            </w:r>
            <w:r w:rsidRPr="0049540C">
              <w:rPr>
                <w:color w:val="000000"/>
              </w:rPr>
              <w:t xml:space="preserve"> </w:t>
            </w:r>
            <w:r w:rsidR="00DB2893" w:rsidRPr="0049540C">
              <w:rPr>
                <w:color w:val="000000"/>
              </w:rPr>
              <w:t>7</w:t>
            </w:r>
            <w:r w:rsidR="00400196" w:rsidRPr="0049540C">
              <w:rPr>
                <w:color w:val="000000"/>
              </w:rPr>
              <w:t>6</w:t>
            </w:r>
            <w:r w:rsidR="00DB2893" w:rsidRPr="0049540C">
              <w:rPr>
                <w:color w:val="000000"/>
              </w:rPr>
              <w:t xml:space="preserve"> </w:t>
            </w:r>
            <w:r w:rsidR="00400196" w:rsidRPr="0049540C">
              <w:rPr>
                <w:color w:val="000000"/>
              </w:rPr>
              <w:t xml:space="preserve">134 </w:t>
            </w:r>
            <w:r w:rsidR="0018267A" w:rsidRPr="0049540C">
              <w:rPr>
                <w:color w:val="000000"/>
              </w:rPr>
              <w:t>un salīdzinājumā ar</w:t>
            </w:r>
            <w:r w:rsidR="00C973AC" w:rsidRPr="0049540C">
              <w:rPr>
                <w:color w:val="000000"/>
              </w:rPr>
              <w:t xml:space="preserve"> š.g. 1.mart</w:t>
            </w:r>
            <w:r w:rsidR="0018267A" w:rsidRPr="0049540C">
              <w:rPr>
                <w:color w:val="000000"/>
              </w:rPr>
              <w:t>u reģistrēto bezdarbnieku skaits</w:t>
            </w:r>
            <w:r w:rsidRPr="0049540C">
              <w:rPr>
                <w:color w:val="000000"/>
              </w:rPr>
              <w:t xml:space="preserve"> pieaug</w:t>
            </w:r>
            <w:r w:rsidR="0018267A" w:rsidRPr="0049540C">
              <w:rPr>
                <w:color w:val="000000"/>
              </w:rPr>
              <w:t>a</w:t>
            </w:r>
            <w:r w:rsidRPr="0049540C">
              <w:rPr>
                <w:color w:val="000000"/>
              </w:rPr>
              <w:t xml:space="preserve"> par </w:t>
            </w:r>
            <w:r w:rsidR="00DB2893" w:rsidRPr="0049540C">
              <w:rPr>
                <w:color w:val="000000"/>
              </w:rPr>
              <w:t>17</w:t>
            </w:r>
            <w:r w:rsidR="00C973AC" w:rsidRPr="0049540C">
              <w:rPr>
                <w:color w:val="000000"/>
              </w:rPr>
              <w:t xml:space="preserve"> </w:t>
            </w:r>
            <w:r w:rsidR="00400196" w:rsidRPr="0049540C">
              <w:rPr>
                <w:color w:val="000000"/>
              </w:rPr>
              <w:t xml:space="preserve">887 </w:t>
            </w:r>
            <w:r w:rsidRPr="0049540C">
              <w:rPr>
                <w:color w:val="000000"/>
              </w:rPr>
              <w:t>bezdar</w:t>
            </w:r>
            <w:r w:rsidR="003300D3" w:rsidRPr="0049540C">
              <w:rPr>
                <w:color w:val="000000"/>
              </w:rPr>
              <w:t>b</w:t>
            </w:r>
            <w:r w:rsidRPr="0049540C">
              <w:rPr>
                <w:color w:val="000000"/>
              </w:rPr>
              <w:t>niekiem</w:t>
            </w:r>
            <w:r w:rsidR="00400196" w:rsidRPr="0049540C">
              <w:rPr>
                <w:color w:val="000000"/>
              </w:rPr>
              <w:t xml:space="preserve"> jeb 30,7%</w:t>
            </w:r>
            <w:r w:rsidRPr="0049540C">
              <w:rPr>
                <w:color w:val="000000"/>
              </w:rPr>
              <w:t xml:space="preserve">. Tāpat vērojams vakanču skaita kritums. </w:t>
            </w:r>
            <w:r w:rsidR="0018267A" w:rsidRPr="0049540C">
              <w:rPr>
                <w:color w:val="000000"/>
              </w:rPr>
              <w:t>Vienlaikus b</w:t>
            </w:r>
            <w:r w:rsidRPr="0049540C">
              <w:rPr>
                <w:color w:val="000000"/>
              </w:rPr>
              <w:t>ezdarba pieaugums sagaidāms arī pēc dīkstāves atbalsta programmas  atbalsta sniegšanas perioda</w:t>
            </w:r>
            <w:r w:rsidR="0018267A" w:rsidRPr="0049540C">
              <w:rPr>
                <w:color w:val="000000"/>
              </w:rPr>
              <w:t>.</w:t>
            </w:r>
          </w:p>
          <w:p w14:paraId="4191BFD0" w14:textId="0CE3A739" w:rsidR="007478A6" w:rsidRPr="0049540C" w:rsidRDefault="007D5036" w:rsidP="0047608F">
            <w:pPr>
              <w:autoSpaceDE w:val="0"/>
              <w:autoSpaceDN w:val="0"/>
              <w:adjustRightInd w:val="0"/>
              <w:spacing w:before="120" w:after="120"/>
              <w:jc w:val="both"/>
              <w:rPr>
                <w:color w:val="FF0000"/>
              </w:rPr>
            </w:pPr>
            <w:r w:rsidRPr="0049540C">
              <w:rPr>
                <w:color w:val="000000"/>
              </w:rPr>
              <w:t xml:space="preserve">1) </w:t>
            </w:r>
            <w:r w:rsidR="00400196" w:rsidRPr="0049540C">
              <w:rPr>
                <w:color w:val="000000"/>
              </w:rPr>
              <w:t>Algoti pagaidu sabiedriskie darbi</w:t>
            </w:r>
          </w:p>
          <w:p w14:paraId="2BC27254" w14:textId="200E13FF" w:rsidR="00772894" w:rsidRPr="0049540C" w:rsidRDefault="0047608F" w:rsidP="00772894">
            <w:pPr>
              <w:autoSpaceDE w:val="0"/>
              <w:autoSpaceDN w:val="0"/>
              <w:adjustRightInd w:val="0"/>
              <w:spacing w:before="120" w:after="120"/>
              <w:jc w:val="both"/>
              <w:rPr>
                <w:color w:val="000000"/>
              </w:rPr>
            </w:pPr>
            <w:r w:rsidRPr="0049540C">
              <w:rPr>
                <w:color w:val="000000"/>
              </w:rPr>
              <w:t xml:space="preserve">Bezdarba pieauguma un vakanču samazinājuma gadījumā būtisks situācijas stabilizators bezdarbā nonākušajiem iedzīvotājiem ir pagaidu darba iespējas, kuras sniedz </w:t>
            </w:r>
            <w:r w:rsidR="00412C5C" w:rsidRPr="0049540C">
              <w:rPr>
                <w:color w:val="000000"/>
              </w:rPr>
              <w:t>Aģentūra</w:t>
            </w:r>
            <w:r w:rsidRPr="0049540C">
              <w:rPr>
                <w:color w:val="000000"/>
              </w:rPr>
              <w:t xml:space="preserve"> sadarbībā ar pašvaldībām</w:t>
            </w:r>
            <w:r w:rsidR="006D019E" w:rsidRPr="0049540C">
              <w:rPr>
                <w:color w:val="000000"/>
              </w:rPr>
              <w:t>, kā arī biedrībām un nodibinājumiem</w:t>
            </w:r>
            <w:r w:rsidR="00C973AC" w:rsidRPr="0049540C">
              <w:rPr>
                <w:color w:val="000000"/>
              </w:rPr>
              <w:t xml:space="preserve"> aktīvā nodarbinātības pasākuma</w:t>
            </w:r>
            <w:r w:rsidRPr="0049540C">
              <w:rPr>
                <w:color w:val="000000"/>
              </w:rPr>
              <w:t xml:space="preserve"> </w:t>
            </w:r>
            <w:r w:rsidR="00C973AC" w:rsidRPr="0049540C">
              <w:rPr>
                <w:color w:val="000000"/>
              </w:rPr>
              <w:t>“A</w:t>
            </w:r>
            <w:r w:rsidRPr="0049540C">
              <w:rPr>
                <w:color w:val="000000"/>
              </w:rPr>
              <w:t>lgot</w:t>
            </w:r>
            <w:r w:rsidR="00C973AC" w:rsidRPr="0049540C">
              <w:rPr>
                <w:color w:val="000000"/>
              </w:rPr>
              <w:t>i</w:t>
            </w:r>
            <w:r w:rsidRPr="0049540C">
              <w:rPr>
                <w:color w:val="000000"/>
              </w:rPr>
              <w:t xml:space="preserve"> pagaidu sabiedrisk</w:t>
            </w:r>
            <w:r w:rsidR="00C973AC" w:rsidRPr="0049540C">
              <w:rPr>
                <w:color w:val="000000"/>
              </w:rPr>
              <w:t>ie</w:t>
            </w:r>
            <w:r w:rsidRPr="0049540C">
              <w:rPr>
                <w:color w:val="000000"/>
              </w:rPr>
              <w:t xml:space="preserve"> darb</w:t>
            </w:r>
            <w:r w:rsidR="00C973AC" w:rsidRPr="0049540C">
              <w:rPr>
                <w:color w:val="000000"/>
              </w:rPr>
              <w:t xml:space="preserve">i” (turpmāk – Pasākums) </w:t>
            </w:r>
            <w:r w:rsidRPr="0049540C">
              <w:rPr>
                <w:color w:val="000000"/>
              </w:rPr>
              <w:t xml:space="preserve">ietvaros. </w:t>
            </w:r>
            <w:r w:rsidR="00772894" w:rsidRPr="0049540C">
              <w:rPr>
                <w:color w:val="000000"/>
              </w:rPr>
              <w:t xml:space="preserve">2012.gadā Pasaules Banka publicēja pētījumu  „Vai Latvijas sabiedrisko darbu programma atviegloja 2008.-2010.gada krīzes ietekmi" </w:t>
            </w:r>
            <w:r w:rsidR="00772894" w:rsidRPr="0049540C">
              <w:rPr>
                <w:i/>
                <w:color w:val="000000"/>
              </w:rPr>
              <w:t>(</w:t>
            </w:r>
            <w:proofErr w:type="spellStart"/>
            <w:r w:rsidR="00772894" w:rsidRPr="0049540C">
              <w:rPr>
                <w:i/>
                <w:color w:val="000000"/>
              </w:rPr>
              <w:t>Did</w:t>
            </w:r>
            <w:proofErr w:type="spellEnd"/>
            <w:r w:rsidR="00772894" w:rsidRPr="0049540C">
              <w:rPr>
                <w:i/>
                <w:color w:val="000000"/>
              </w:rPr>
              <w:t xml:space="preserve"> </w:t>
            </w:r>
            <w:proofErr w:type="spellStart"/>
            <w:r w:rsidR="00772894" w:rsidRPr="0049540C">
              <w:rPr>
                <w:i/>
                <w:color w:val="000000"/>
              </w:rPr>
              <w:t>Latvia's</w:t>
            </w:r>
            <w:proofErr w:type="spellEnd"/>
            <w:r w:rsidR="00772894" w:rsidRPr="0049540C">
              <w:rPr>
                <w:i/>
                <w:color w:val="000000"/>
              </w:rPr>
              <w:t xml:space="preserve"> </w:t>
            </w:r>
            <w:proofErr w:type="spellStart"/>
            <w:r w:rsidR="00772894" w:rsidRPr="0049540C">
              <w:rPr>
                <w:i/>
                <w:color w:val="000000"/>
              </w:rPr>
              <w:t>Public</w:t>
            </w:r>
            <w:proofErr w:type="spellEnd"/>
            <w:r w:rsidR="00772894" w:rsidRPr="0049540C">
              <w:rPr>
                <w:i/>
                <w:color w:val="000000"/>
              </w:rPr>
              <w:t xml:space="preserve"> Works </w:t>
            </w:r>
            <w:proofErr w:type="spellStart"/>
            <w:r w:rsidR="00772894" w:rsidRPr="0049540C">
              <w:rPr>
                <w:i/>
                <w:color w:val="000000"/>
              </w:rPr>
              <w:t>Program</w:t>
            </w:r>
            <w:proofErr w:type="spellEnd"/>
            <w:r w:rsidR="00772894" w:rsidRPr="0049540C">
              <w:rPr>
                <w:i/>
                <w:color w:val="000000"/>
              </w:rPr>
              <w:t xml:space="preserve"> </w:t>
            </w:r>
            <w:proofErr w:type="spellStart"/>
            <w:r w:rsidR="00772894" w:rsidRPr="0049540C">
              <w:rPr>
                <w:i/>
                <w:color w:val="000000"/>
              </w:rPr>
              <w:t>Mitigate</w:t>
            </w:r>
            <w:proofErr w:type="spellEnd"/>
            <w:r w:rsidR="00772894" w:rsidRPr="0049540C">
              <w:rPr>
                <w:i/>
                <w:color w:val="000000"/>
              </w:rPr>
              <w:t xml:space="preserve"> </w:t>
            </w:r>
            <w:proofErr w:type="spellStart"/>
            <w:r w:rsidR="00772894" w:rsidRPr="0049540C">
              <w:rPr>
                <w:i/>
                <w:color w:val="000000"/>
              </w:rPr>
              <w:t>the</w:t>
            </w:r>
            <w:proofErr w:type="spellEnd"/>
            <w:r w:rsidR="00772894" w:rsidRPr="0049540C">
              <w:rPr>
                <w:i/>
                <w:color w:val="000000"/>
              </w:rPr>
              <w:t xml:space="preserve"> </w:t>
            </w:r>
            <w:proofErr w:type="spellStart"/>
            <w:r w:rsidR="00772894" w:rsidRPr="0049540C">
              <w:rPr>
                <w:i/>
                <w:color w:val="000000"/>
              </w:rPr>
              <w:t>Impact</w:t>
            </w:r>
            <w:proofErr w:type="spellEnd"/>
            <w:r w:rsidR="00772894" w:rsidRPr="0049540C">
              <w:rPr>
                <w:i/>
                <w:color w:val="000000"/>
              </w:rPr>
              <w:t xml:space="preserve"> </w:t>
            </w:r>
            <w:proofErr w:type="spellStart"/>
            <w:r w:rsidR="00772894" w:rsidRPr="0049540C">
              <w:rPr>
                <w:i/>
                <w:color w:val="000000"/>
              </w:rPr>
              <w:t>of</w:t>
            </w:r>
            <w:proofErr w:type="spellEnd"/>
            <w:r w:rsidR="00772894" w:rsidRPr="0049540C">
              <w:rPr>
                <w:i/>
                <w:color w:val="000000"/>
              </w:rPr>
              <w:t xml:space="preserve"> </w:t>
            </w:r>
            <w:proofErr w:type="spellStart"/>
            <w:r w:rsidR="00772894" w:rsidRPr="0049540C">
              <w:rPr>
                <w:i/>
                <w:color w:val="000000"/>
              </w:rPr>
              <w:t>the</w:t>
            </w:r>
            <w:proofErr w:type="spellEnd"/>
            <w:r w:rsidR="00772894" w:rsidRPr="0049540C">
              <w:rPr>
                <w:i/>
                <w:color w:val="000000"/>
              </w:rPr>
              <w:t xml:space="preserve"> 2008-2010 </w:t>
            </w:r>
            <w:proofErr w:type="spellStart"/>
            <w:r w:rsidR="00772894" w:rsidRPr="0049540C">
              <w:rPr>
                <w:i/>
                <w:color w:val="000000"/>
              </w:rPr>
              <w:t>Crisis</w:t>
            </w:r>
            <w:proofErr w:type="spellEnd"/>
            <w:r w:rsidR="00772894" w:rsidRPr="0049540C">
              <w:rPr>
                <w:i/>
                <w:color w:val="000000"/>
              </w:rPr>
              <w:t>?)</w:t>
            </w:r>
            <w:r w:rsidR="00772894" w:rsidRPr="0049540C">
              <w:rPr>
                <w:i/>
                <w:color w:val="000000"/>
                <w:vertAlign w:val="superscript"/>
              </w:rPr>
              <w:footnoteReference w:id="1"/>
            </w:r>
            <w:r w:rsidR="00772894" w:rsidRPr="0049540C">
              <w:rPr>
                <w:i/>
                <w:color w:val="000000"/>
              </w:rPr>
              <w:t xml:space="preserve">, kura </w:t>
            </w:r>
            <w:r w:rsidR="00772894" w:rsidRPr="0049540C">
              <w:rPr>
                <w:color w:val="000000"/>
              </w:rPr>
              <w:t xml:space="preserve">mērķis bija novērtēt, vai minētā programma sniedza atbalstu tiem, kam tas visvairāk bija nepieciešams, kā arī to, kāda bija šī pasākuma ietekme. Pētījums parāda, ka pasākums veiksmīgi sasniedza nabadzīgos un sociālās atstumtības riskam pakļautos iedzīvotājus un stipendija sniedza </w:t>
            </w:r>
            <w:r w:rsidR="0068024D">
              <w:rPr>
                <w:color w:val="000000"/>
              </w:rPr>
              <w:t xml:space="preserve">būtisku </w:t>
            </w:r>
            <w:r w:rsidR="00772894" w:rsidRPr="0049540C">
              <w:rPr>
                <w:color w:val="000000"/>
              </w:rPr>
              <w:t>atbalstu bezdarba gadījumā. Arī informatīvajā ziņojumā "Par algoto pagaidu sabiedrisko darbu atsākšanu 2012.gadā" ir uzsvērta pasākuma poz</w:t>
            </w:r>
            <w:r w:rsidR="0049540C">
              <w:rPr>
                <w:color w:val="000000"/>
              </w:rPr>
              <w:t>i</w:t>
            </w:r>
            <w:r w:rsidR="00772894" w:rsidRPr="0049540C">
              <w:rPr>
                <w:color w:val="000000"/>
              </w:rPr>
              <w:t>tīvā ietekme gan uz bezdarbniek</w:t>
            </w:r>
            <w:r w:rsidR="0068024D">
              <w:rPr>
                <w:color w:val="000000"/>
              </w:rPr>
              <w:t>u sociālo nodrošinājumu bezdarba un ienākumu neesamības situācijā</w:t>
            </w:r>
            <w:r w:rsidR="00772894" w:rsidRPr="0049540C">
              <w:rPr>
                <w:color w:val="000000"/>
              </w:rPr>
              <w:t xml:space="preserve">, gan arī uz pašvaldībām. </w:t>
            </w:r>
          </w:p>
          <w:p w14:paraId="579536C8" w14:textId="4B5C894C" w:rsidR="0047608F" w:rsidRPr="0049540C" w:rsidRDefault="00C973AC" w:rsidP="0047608F">
            <w:pPr>
              <w:shd w:val="clear" w:color="000000" w:fill="FFFFFF"/>
              <w:jc w:val="both"/>
              <w:rPr>
                <w:color w:val="000000"/>
              </w:rPr>
            </w:pPr>
            <w:r w:rsidRPr="0049540C">
              <w:rPr>
                <w:color w:val="000000"/>
              </w:rPr>
              <w:t>Pasākums</w:t>
            </w:r>
            <w:r w:rsidR="0047608F" w:rsidRPr="0049540C">
              <w:rPr>
                <w:color w:val="000000"/>
              </w:rPr>
              <w:t xml:space="preserve"> sniedz  atbalstu noteiktā periodā, kamēr beidzas krīze un stabilizējas ekonomiskā situācija. </w:t>
            </w:r>
            <w:r w:rsidRPr="0049540C">
              <w:rPr>
                <w:color w:val="000000"/>
              </w:rPr>
              <w:t>Pasākumā</w:t>
            </w:r>
            <w:r w:rsidR="0047608F" w:rsidRPr="0049540C">
              <w:rPr>
                <w:color w:val="000000"/>
              </w:rPr>
              <w:t xml:space="preserve"> tiek iesaistīti bezdarbnieki, kuri nesaņem bezdarbniek</w:t>
            </w:r>
            <w:r w:rsidR="00C55BD2" w:rsidRPr="0049540C">
              <w:rPr>
                <w:color w:val="000000"/>
              </w:rPr>
              <w:t>a</w:t>
            </w:r>
            <w:r w:rsidR="0047608F" w:rsidRPr="0049540C">
              <w:rPr>
                <w:color w:val="000000"/>
              </w:rPr>
              <w:t xml:space="preserve"> pabalstu vai atsakās no </w:t>
            </w:r>
            <w:r w:rsidR="000626DE" w:rsidRPr="0049540C">
              <w:rPr>
                <w:color w:val="000000"/>
              </w:rPr>
              <w:t>tā saņemšanas</w:t>
            </w:r>
            <w:r w:rsidR="0047608F" w:rsidRPr="0049540C">
              <w:rPr>
                <w:color w:val="000000"/>
              </w:rPr>
              <w:t xml:space="preserve">. </w:t>
            </w:r>
            <w:r w:rsidR="000626DE" w:rsidRPr="0049540C">
              <w:rPr>
                <w:color w:val="000000"/>
              </w:rPr>
              <w:t>A</w:t>
            </w:r>
            <w:r w:rsidR="0047608F" w:rsidRPr="0049540C">
              <w:rPr>
                <w:color w:val="000000"/>
              </w:rPr>
              <w:t xml:space="preserve">tlīdzības apmērs par dalību </w:t>
            </w:r>
            <w:r w:rsidR="000626DE" w:rsidRPr="0049540C">
              <w:rPr>
                <w:color w:val="000000"/>
              </w:rPr>
              <w:t xml:space="preserve">ir </w:t>
            </w:r>
            <w:r w:rsidR="0047608F" w:rsidRPr="0049540C">
              <w:rPr>
                <w:color w:val="000000"/>
              </w:rPr>
              <w:t xml:space="preserve">200 </w:t>
            </w:r>
            <w:proofErr w:type="spellStart"/>
            <w:r w:rsidR="00AF6534" w:rsidRPr="0049540C">
              <w:rPr>
                <w:i/>
                <w:color w:val="000000"/>
              </w:rPr>
              <w:t>euro</w:t>
            </w:r>
            <w:proofErr w:type="spellEnd"/>
            <w:r w:rsidR="00412C5C" w:rsidRPr="0049540C">
              <w:rPr>
                <w:i/>
                <w:color w:val="000000"/>
              </w:rPr>
              <w:t xml:space="preserve"> </w:t>
            </w:r>
            <w:r w:rsidR="00412C5C" w:rsidRPr="0049540C">
              <w:rPr>
                <w:color w:val="000000"/>
              </w:rPr>
              <w:t>mēnesī</w:t>
            </w:r>
            <w:r w:rsidR="00572966" w:rsidRPr="0049540C">
              <w:rPr>
                <w:color w:val="000000"/>
              </w:rPr>
              <w:t xml:space="preserve"> un tā</w:t>
            </w:r>
            <w:r w:rsidR="0047608F" w:rsidRPr="0049540C">
              <w:rPr>
                <w:color w:val="000000"/>
              </w:rPr>
              <w:t xml:space="preserve"> ti</w:t>
            </w:r>
            <w:r w:rsidR="000626DE" w:rsidRPr="0049540C">
              <w:rPr>
                <w:color w:val="000000"/>
              </w:rPr>
              <w:t>ek</w:t>
            </w:r>
            <w:r w:rsidR="0047608F" w:rsidRPr="0049540C">
              <w:rPr>
                <w:color w:val="000000"/>
              </w:rPr>
              <w:t xml:space="preserve"> izmantot</w:t>
            </w:r>
            <w:r w:rsidR="00572966" w:rsidRPr="0049540C">
              <w:rPr>
                <w:color w:val="000000"/>
              </w:rPr>
              <w:t>a</w:t>
            </w:r>
            <w:r w:rsidR="000626DE" w:rsidRPr="0049540C">
              <w:rPr>
                <w:color w:val="000000"/>
              </w:rPr>
              <w:t xml:space="preserve"> </w:t>
            </w:r>
            <w:r w:rsidR="0047608F" w:rsidRPr="0049540C">
              <w:rPr>
                <w:color w:val="000000"/>
              </w:rPr>
              <w:t xml:space="preserve">patēriņam un pamatvajadzību nodrošināšanai, nabadzības risku mazināšanai. Papildus </w:t>
            </w:r>
            <w:r w:rsidRPr="0049540C">
              <w:rPr>
                <w:bCs/>
                <w:color w:val="000000"/>
              </w:rPr>
              <w:t>Pasākum</w:t>
            </w:r>
            <w:r w:rsidR="00572966" w:rsidRPr="0049540C">
              <w:rPr>
                <w:bCs/>
                <w:color w:val="000000"/>
              </w:rPr>
              <w:t>a laikā par</w:t>
            </w:r>
            <w:r w:rsidR="0047608F" w:rsidRPr="0049540C">
              <w:rPr>
                <w:bCs/>
                <w:color w:val="000000"/>
              </w:rPr>
              <w:t xml:space="preserve"> bezdarbniekiem tiek veiktas valsts sociālās apdrošināšanas obligātās iemaksas pensiju apdrošināšanai</w:t>
            </w:r>
            <w:r w:rsidR="0047608F" w:rsidRPr="0049540C">
              <w:rPr>
                <w:color w:val="000000"/>
              </w:rPr>
              <w:t>.</w:t>
            </w:r>
            <w:r w:rsidR="0049540C">
              <w:rPr>
                <w:color w:val="000000"/>
              </w:rPr>
              <w:t xml:space="preserve"> </w:t>
            </w:r>
            <w:r w:rsidR="0047608F" w:rsidRPr="0049540C">
              <w:rPr>
                <w:color w:val="000000"/>
              </w:rPr>
              <w:t xml:space="preserve">Šobrīd </w:t>
            </w:r>
            <w:r w:rsidRPr="0049540C">
              <w:rPr>
                <w:color w:val="000000"/>
              </w:rPr>
              <w:t>Pasākum</w:t>
            </w:r>
            <w:r w:rsidR="0071337E" w:rsidRPr="0049540C">
              <w:rPr>
                <w:color w:val="000000"/>
              </w:rPr>
              <w:t>ā</w:t>
            </w:r>
            <w:r w:rsidR="0047608F" w:rsidRPr="0049540C">
              <w:rPr>
                <w:color w:val="000000"/>
              </w:rPr>
              <w:t xml:space="preserve"> iesaista bezdarbniekus ne vairāk kā četrus mēnešus </w:t>
            </w:r>
            <w:r w:rsidR="0047608F" w:rsidRPr="0049540C">
              <w:rPr>
                <w:bCs/>
                <w:color w:val="000000"/>
              </w:rPr>
              <w:t>12 mēnešu periodā</w:t>
            </w:r>
            <w:r w:rsidR="0047608F" w:rsidRPr="0049540C">
              <w:rPr>
                <w:color w:val="000000"/>
              </w:rPr>
              <w:t>, bet</w:t>
            </w:r>
            <w:r w:rsidR="008F7CD7" w:rsidRPr="0049540C">
              <w:rPr>
                <w:color w:val="000000"/>
              </w:rPr>
              <w:t xml:space="preserve"> MK noteikumu Nr.75 141.</w:t>
            </w:r>
            <w:r w:rsidR="008F7CD7" w:rsidRPr="0049540C">
              <w:rPr>
                <w:color w:val="000000"/>
                <w:vertAlign w:val="superscript"/>
              </w:rPr>
              <w:t>4</w:t>
            </w:r>
            <w:r w:rsidR="008F7CD7" w:rsidRPr="0049540C">
              <w:rPr>
                <w:color w:val="000000"/>
              </w:rPr>
              <w:t> punkt</w:t>
            </w:r>
            <w:r w:rsidR="00572966" w:rsidRPr="0049540C">
              <w:rPr>
                <w:color w:val="000000"/>
              </w:rPr>
              <w:t xml:space="preserve">ā paredzēts </w:t>
            </w:r>
            <w:r w:rsidR="0047608F" w:rsidRPr="0049540C">
              <w:rPr>
                <w:color w:val="000000"/>
              </w:rPr>
              <w:t>dalīb</w:t>
            </w:r>
            <w:r w:rsidR="000626DE" w:rsidRPr="0049540C">
              <w:rPr>
                <w:color w:val="000000"/>
              </w:rPr>
              <w:t>u</w:t>
            </w:r>
            <w:r w:rsidR="0047608F" w:rsidRPr="0049540C">
              <w:rPr>
                <w:color w:val="000000"/>
              </w:rPr>
              <w:t xml:space="preserve"> </w:t>
            </w:r>
            <w:r w:rsidR="00572966" w:rsidRPr="0049540C">
              <w:rPr>
                <w:color w:val="000000"/>
              </w:rPr>
              <w:t>Pasākumā</w:t>
            </w:r>
            <w:r w:rsidR="0047608F" w:rsidRPr="0049540C">
              <w:rPr>
                <w:color w:val="000000"/>
              </w:rPr>
              <w:t xml:space="preserve"> pagarināt </w:t>
            </w:r>
            <w:r w:rsidR="0047608F" w:rsidRPr="0049540C">
              <w:rPr>
                <w:bCs/>
                <w:color w:val="000000"/>
              </w:rPr>
              <w:t>līdz sešiem mēnešiem</w:t>
            </w:r>
            <w:r w:rsidR="0047608F" w:rsidRPr="0049540C">
              <w:rPr>
                <w:color w:val="000000"/>
              </w:rPr>
              <w:t>, jo kā liecina pieredze, tautsaimniecība pēc krīzēm atgūstas pakāpeniski un uzlabojumi darba tirgū vērojami ar zināmu laika nobīdi. Līdz ar to iepriekš atlaisto darbinieku iekļaušanās darba tirgū arī notiks pakāpeniski un atgriešanās notiks ilgākā procesā</w:t>
            </w:r>
            <w:r w:rsidR="000626DE" w:rsidRPr="0049540C">
              <w:rPr>
                <w:color w:val="000000"/>
              </w:rPr>
              <w:t>, savukārt d</w:t>
            </w:r>
            <w:r w:rsidR="0047608F" w:rsidRPr="0049540C">
              <w:rPr>
                <w:color w:val="000000"/>
              </w:rPr>
              <w:t xml:space="preserve">alība </w:t>
            </w:r>
            <w:r w:rsidRPr="0049540C">
              <w:rPr>
                <w:color w:val="000000"/>
              </w:rPr>
              <w:t>Pasākumā</w:t>
            </w:r>
            <w:r w:rsidR="0047608F" w:rsidRPr="0049540C">
              <w:rPr>
                <w:color w:val="000000"/>
              </w:rPr>
              <w:t xml:space="preserve"> veicinātu iedzīvotāju ekonomiskās aktivitātes saglabāšanos un iespējas </w:t>
            </w:r>
            <w:r w:rsidR="0047608F" w:rsidRPr="0049540C">
              <w:rPr>
                <w:color w:val="000000"/>
              </w:rPr>
              <w:lastRenderedPageBreak/>
              <w:t xml:space="preserve">iekļauties darba tirgū </w:t>
            </w:r>
            <w:proofErr w:type="spellStart"/>
            <w:r w:rsidR="0047608F" w:rsidRPr="0049540C">
              <w:rPr>
                <w:color w:val="000000"/>
              </w:rPr>
              <w:t>pēckrīzes</w:t>
            </w:r>
            <w:proofErr w:type="spellEnd"/>
            <w:r w:rsidR="0047608F" w:rsidRPr="0049540C">
              <w:rPr>
                <w:color w:val="000000"/>
              </w:rPr>
              <w:t xml:space="preserve"> periodā</w:t>
            </w:r>
            <w:r w:rsidR="00412C5C" w:rsidRPr="0049540C">
              <w:rPr>
                <w:color w:val="000000"/>
              </w:rPr>
              <w:t xml:space="preserve">, kā arī ienākumus </w:t>
            </w:r>
            <w:r w:rsidR="007D0538" w:rsidRPr="0049540C">
              <w:rPr>
                <w:color w:val="000000"/>
              </w:rPr>
              <w:t>nabadzības risku mazināšanai</w:t>
            </w:r>
            <w:r w:rsidR="0047608F" w:rsidRPr="0049540C">
              <w:rPr>
                <w:color w:val="000000"/>
              </w:rPr>
              <w:t>.</w:t>
            </w:r>
          </w:p>
          <w:p w14:paraId="19D25C5A" w14:textId="1407E840" w:rsidR="00772894" w:rsidRPr="0049540C" w:rsidRDefault="00772894" w:rsidP="00772894">
            <w:pPr>
              <w:shd w:val="clear" w:color="000000" w:fill="FFFFFF"/>
              <w:jc w:val="both"/>
              <w:rPr>
                <w:color w:val="000000"/>
              </w:rPr>
            </w:pPr>
            <w:r w:rsidRPr="0049540C">
              <w:rPr>
                <w:color w:val="000000"/>
              </w:rPr>
              <w:t>Patlaban Pasākums tiek īstenots no valsts budžeta līdzekļiem, savukārt gadījumā, ja tiks atbalstīta Pasākuma finansēšana no ESF līdzekļiem, tas tiks īstenots atbilstoši pieejama</w:t>
            </w:r>
            <w:r w:rsidR="006611A6">
              <w:rPr>
                <w:color w:val="000000"/>
              </w:rPr>
              <w:t>ja</w:t>
            </w:r>
            <w:r w:rsidRPr="0049540C">
              <w:rPr>
                <w:color w:val="000000"/>
              </w:rPr>
              <w:t xml:space="preserve">m finansējumam.  </w:t>
            </w:r>
          </w:p>
          <w:p w14:paraId="09A3C043" w14:textId="6A1377D2" w:rsidR="002C788B" w:rsidRPr="0049540C" w:rsidRDefault="002C788B" w:rsidP="0047608F">
            <w:pPr>
              <w:shd w:val="clear" w:color="000000" w:fill="FFFFFF"/>
              <w:jc w:val="both"/>
              <w:rPr>
                <w:color w:val="000000"/>
              </w:rPr>
            </w:pPr>
          </w:p>
          <w:p w14:paraId="07E896F3" w14:textId="1FC55D22" w:rsidR="002C788B" w:rsidRPr="0049540C" w:rsidRDefault="002C788B" w:rsidP="0047608F">
            <w:pPr>
              <w:shd w:val="clear" w:color="000000" w:fill="FFFFFF"/>
              <w:jc w:val="both"/>
              <w:rPr>
                <w:color w:val="FF0000"/>
              </w:rPr>
            </w:pPr>
            <w:r w:rsidRPr="0049540C">
              <w:rPr>
                <w:color w:val="000000"/>
              </w:rPr>
              <w:t xml:space="preserve">2) </w:t>
            </w:r>
            <w:r w:rsidRPr="0049540C">
              <w:t>Algu subsīdijas atbalsta pasākums</w:t>
            </w:r>
          </w:p>
          <w:p w14:paraId="719297AC" w14:textId="42C6AE21" w:rsidR="003A370F" w:rsidRPr="0049540C" w:rsidRDefault="003A370F" w:rsidP="0047608F">
            <w:pPr>
              <w:shd w:val="clear" w:color="000000" w:fill="FFFFFF"/>
              <w:jc w:val="both"/>
            </w:pPr>
            <w:proofErr w:type="spellStart"/>
            <w:r w:rsidRPr="0049540C">
              <w:t>Pēckrīzes</w:t>
            </w:r>
            <w:proofErr w:type="spellEnd"/>
            <w:r w:rsidRPr="0049540C">
              <w:t xml:space="preserve"> posmā būs nepieciešams sniegt atbalstu nodarbinātības at</w:t>
            </w:r>
            <w:r w:rsidR="00373023" w:rsidRPr="0049540C">
              <w:t>sākšanai</w:t>
            </w:r>
            <w:r w:rsidRPr="0049540C">
              <w:t xml:space="preserve">, sniedzot finansiālu atbalstu darba devējiem jaunu darbinieku pieņemšanai darbā no bezdarbnieku vidus. </w:t>
            </w:r>
          </w:p>
          <w:p w14:paraId="513E2021" w14:textId="01A6E046" w:rsidR="003A370F" w:rsidRPr="0049540C" w:rsidRDefault="003A370F" w:rsidP="0047608F">
            <w:pPr>
              <w:shd w:val="clear" w:color="000000" w:fill="FFFFFF"/>
              <w:jc w:val="both"/>
            </w:pPr>
            <w:r w:rsidRPr="0049540C">
              <w:t>Pašreiz subsidētā nodarbinātība ir vērsta uz atbalsta sniegšanu no jauna radītās darba vietās ilgstošajiem bezdarbniekiem un bezdarbniekiem ar invaliditāti, nodrošinot algas subsīdiju ilgākā laika periodā (viens vai divi gadi attiecīgi).</w:t>
            </w:r>
          </w:p>
          <w:p w14:paraId="71E3CBA4" w14:textId="380BFCD4" w:rsidR="00422A4A" w:rsidRPr="0049540C" w:rsidRDefault="003A370F" w:rsidP="0047608F">
            <w:pPr>
              <w:shd w:val="clear" w:color="000000" w:fill="FFFFFF"/>
              <w:jc w:val="both"/>
            </w:pPr>
            <w:r w:rsidRPr="0049540C">
              <w:t xml:space="preserve">Vienlaikus </w:t>
            </w:r>
            <w:proofErr w:type="spellStart"/>
            <w:r w:rsidRPr="0049540C">
              <w:t>pēckrīzes</w:t>
            </w:r>
            <w:proofErr w:type="spellEnd"/>
            <w:r w:rsidRPr="0049540C">
              <w:t xml:space="preserve"> period</w:t>
            </w:r>
            <w:r w:rsidR="00F43D4A" w:rsidRPr="0049540C">
              <w:t>ā</w:t>
            </w:r>
            <w:r w:rsidRPr="0049540C">
              <w:t xml:space="preserve"> darba devējie</w:t>
            </w:r>
            <w:r w:rsidR="00422A4A" w:rsidRPr="0049540C">
              <w:t xml:space="preserve">m pozitīvu ietekmi sniegs arī mazāk finanšu ietilpīgs atbalsts. Savukārt, paplašinot pasākuma </w:t>
            </w:r>
            <w:proofErr w:type="spellStart"/>
            <w:r w:rsidR="00422A4A" w:rsidRPr="0049540C">
              <w:t>mērķgrupu</w:t>
            </w:r>
            <w:proofErr w:type="spellEnd"/>
            <w:r w:rsidR="00422A4A" w:rsidRPr="0049540C">
              <w:t>, arī bezdarbniekiem tiks nodrošināts atbalsts ātrākai iesaistīšanai darba tirgū un pastāvīg</w:t>
            </w:r>
            <w:r w:rsidR="00C7537C" w:rsidRPr="0049540C">
              <w:t>ā</w:t>
            </w:r>
            <w:r w:rsidR="00422A4A" w:rsidRPr="0049540C">
              <w:t>s nodarbinātības sekmēšanai.</w:t>
            </w:r>
          </w:p>
          <w:p w14:paraId="59A3F16B" w14:textId="35B9EA88" w:rsidR="002C788B" w:rsidRPr="0049540C" w:rsidRDefault="00422A4A" w:rsidP="0047608F">
            <w:pPr>
              <w:shd w:val="clear" w:color="000000" w:fill="FFFFFF"/>
              <w:jc w:val="both"/>
            </w:pPr>
            <w:r w:rsidRPr="0049540C">
              <w:t>Pasākuma noteiktām personu grupām ārkārtējās situācijas izraisīto seku mazināšanai (turpmāk – alg</w:t>
            </w:r>
            <w:r w:rsidR="00C55BD2" w:rsidRPr="0049540C">
              <w:t>u</w:t>
            </w:r>
            <w:r w:rsidRPr="0049540C">
              <w:t xml:space="preserve"> subsīdijas atbalsta pasākums) ietvaros darba devējs</w:t>
            </w:r>
            <w:r w:rsidR="00C7537C" w:rsidRPr="0049540C">
              <w:t xml:space="preserve"> </w:t>
            </w:r>
            <w:r w:rsidR="00DA500B">
              <w:t>līdz četriem</w:t>
            </w:r>
            <w:r w:rsidR="00C7537C" w:rsidRPr="0049540C">
              <w:t xml:space="preserve"> mēneš</w:t>
            </w:r>
            <w:r w:rsidR="00DA500B">
              <w:t>iem</w:t>
            </w:r>
            <w:r w:rsidR="00C7537C" w:rsidRPr="0049540C">
              <w:t xml:space="preserve"> </w:t>
            </w:r>
            <w:r w:rsidR="00DA500B">
              <w:t>varēs</w:t>
            </w:r>
            <w:r w:rsidRPr="0049540C">
              <w:t xml:space="preserve"> saņem</w:t>
            </w:r>
            <w:r w:rsidR="00DA500B">
              <w:t>t</w:t>
            </w:r>
            <w:bookmarkStart w:id="0" w:name="_GoBack"/>
            <w:bookmarkEnd w:id="0"/>
            <w:r w:rsidRPr="0049540C">
              <w:t xml:space="preserve"> </w:t>
            </w:r>
            <w:r w:rsidR="00635CCD" w:rsidRPr="0049540C">
              <w:t>subsīdiju</w:t>
            </w:r>
            <w:r w:rsidRPr="0049540C">
              <w:t xml:space="preserve"> darba algai 50% apmērā no darbiniekam noteiktās mēneša darba algas, bet ne vairāk kā 430 </w:t>
            </w:r>
            <w:proofErr w:type="spellStart"/>
            <w:r w:rsidRPr="0049540C">
              <w:rPr>
                <w:i/>
                <w:iCs/>
              </w:rPr>
              <w:t>euro</w:t>
            </w:r>
            <w:proofErr w:type="spellEnd"/>
            <w:r w:rsidRPr="0049540C">
              <w:t xml:space="preserve"> mēnesī</w:t>
            </w:r>
            <w:r w:rsidR="00635CCD" w:rsidRPr="0049540C">
              <w:t>. Piemēr</w:t>
            </w:r>
            <w:r w:rsidR="0028633D" w:rsidRPr="0049540C">
              <w:t>a</w:t>
            </w:r>
            <w:r w:rsidR="00635CCD" w:rsidRPr="0049540C">
              <w:t xml:space="preserve">m, ja darbinieka mēneša darba alga ir 860 </w:t>
            </w:r>
            <w:proofErr w:type="spellStart"/>
            <w:r w:rsidR="00635CCD" w:rsidRPr="0049540C">
              <w:rPr>
                <w:i/>
                <w:iCs/>
              </w:rPr>
              <w:t>euro</w:t>
            </w:r>
            <w:proofErr w:type="spellEnd"/>
            <w:r w:rsidR="00635CCD" w:rsidRPr="0049540C">
              <w:t xml:space="preserve">,  subsīdija veidos 430 </w:t>
            </w:r>
            <w:proofErr w:type="spellStart"/>
            <w:r w:rsidR="00635CCD" w:rsidRPr="0049540C">
              <w:rPr>
                <w:i/>
                <w:iCs/>
              </w:rPr>
              <w:t>euro</w:t>
            </w:r>
            <w:proofErr w:type="spellEnd"/>
            <w:r w:rsidR="00635CCD" w:rsidRPr="0049540C">
              <w:t xml:space="preserve"> mēnesī, savukārt, ja darba alga ir 430 </w:t>
            </w:r>
            <w:proofErr w:type="spellStart"/>
            <w:r w:rsidR="00635CCD" w:rsidRPr="0049540C">
              <w:rPr>
                <w:i/>
                <w:iCs/>
              </w:rPr>
              <w:t>euro</w:t>
            </w:r>
            <w:proofErr w:type="spellEnd"/>
            <w:r w:rsidR="00635CCD" w:rsidRPr="0049540C">
              <w:t xml:space="preserve">, </w:t>
            </w:r>
            <w:r w:rsidR="00C7537C" w:rsidRPr="0049540C">
              <w:t>būs iespējams</w:t>
            </w:r>
            <w:r w:rsidR="00635CCD" w:rsidRPr="0049540C">
              <w:t xml:space="preserve"> saņemt subsīdiju 215 </w:t>
            </w:r>
            <w:proofErr w:type="spellStart"/>
            <w:r w:rsidR="00635CCD" w:rsidRPr="0049540C">
              <w:rPr>
                <w:i/>
                <w:iCs/>
              </w:rPr>
              <w:t>euro</w:t>
            </w:r>
            <w:proofErr w:type="spellEnd"/>
            <w:r w:rsidR="00635CCD" w:rsidRPr="0049540C">
              <w:t xml:space="preserve"> mēnesī. Vienlaikus</w:t>
            </w:r>
            <w:r w:rsidR="00572966" w:rsidRPr="0049540C">
              <w:t>,</w:t>
            </w:r>
            <w:r w:rsidR="00635CCD" w:rsidRPr="0049540C">
              <w:t xml:space="preserve"> līdzīgi kā to šobrīd paredz subsidētās nodarbinātības pasākuma īstenošanas nosacījumi, lai veicinātu pastāvīgu darba vietu veidošanu, darba devējam paredzēts pienākums nodarbināt bezdarbnieku ne mazāk kā trīs mēnešus pēc algas subsīdijas atbalsta pasākuma īstenošanās bei</w:t>
            </w:r>
            <w:r w:rsidR="0004508E" w:rsidRPr="0049540C">
              <w:t>gām.</w:t>
            </w:r>
            <w:r w:rsidR="00635CCD" w:rsidRPr="0049540C">
              <w:t xml:space="preserve"> </w:t>
            </w:r>
          </w:p>
          <w:p w14:paraId="53C7771D" w14:textId="2448CE1B" w:rsidR="00635CCD" w:rsidRPr="0049540C" w:rsidRDefault="00635CCD" w:rsidP="0047608F">
            <w:pPr>
              <w:shd w:val="clear" w:color="000000" w:fill="FFFFFF"/>
              <w:jc w:val="both"/>
            </w:pPr>
            <w:r w:rsidRPr="0049540C">
              <w:t>Lai pieteiktos algas subsīdijas pasākum</w:t>
            </w:r>
            <w:r w:rsidR="00470AE0" w:rsidRPr="0049540C">
              <w:t>a</w:t>
            </w:r>
            <w:r w:rsidRPr="0049540C">
              <w:t xml:space="preserve"> īstenošanai</w:t>
            </w:r>
            <w:r w:rsidR="0004508E" w:rsidRPr="0049540C">
              <w:t xml:space="preserve"> un veicinātu bezdarbnieku aktivizāciju</w:t>
            </w:r>
            <w:r w:rsidRPr="0049540C">
              <w:t>, darba devējam ne vēlāk kā 10 dienas iepriekš būs jāpublicē informācija par brīvo darba vietu Aģentūras vakanču portālā</w:t>
            </w:r>
            <w:r w:rsidR="00470AE0" w:rsidRPr="0049540C">
              <w:t>,</w:t>
            </w:r>
            <w:r w:rsidRPr="0049540C">
              <w:t xml:space="preserve"> </w:t>
            </w:r>
            <w:r w:rsidR="0004508E" w:rsidRPr="0049540C">
              <w:t xml:space="preserve">tīmekļvietnē </w:t>
            </w:r>
            <w:hyperlink r:id="rId8" w:history="1">
              <w:r w:rsidR="0004508E" w:rsidRPr="0049540C">
                <w:rPr>
                  <w:rStyle w:val="Hyperlink"/>
                  <w:sz w:val="24"/>
                  <w:szCs w:val="24"/>
                </w:rPr>
                <w:t>https://cvvp.nva.gov.lv</w:t>
              </w:r>
            </w:hyperlink>
            <w:r w:rsidR="0004508E" w:rsidRPr="0049540C">
              <w:t>.</w:t>
            </w:r>
          </w:p>
          <w:p w14:paraId="2FFC4D38" w14:textId="0A13FE3C" w:rsidR="0004508E" w:rsidRPr="0049540C" w:rsidRDefault="0004508E" w:rsidP="0047608F">
            <w:pPr>
              <w:shd w:val="clear" w:color="000000" w:fill="FFFFFF"/>
              <w:jc w:val="both"/>
            </w:pPr>
            <w:r w:rsidRPr="0049540C">
              <w:t>Vienlaikus, lai mazinātu finanšu atbalsta negodprātīgas izmantošanas risku, paredzēts, ka pie viena darba devēja</w:t>
            </w:r>
            <w:r w:rsidR="00470AE0" w:rsidRPr="0049540C">
              <w:t xml:space="preserve"> </w:t>
            </w:r>
            <w:r w:rsidRPr="0049540C">
              <w:t xml:space="preserve">kādā no subsidētās nodarbinātības pasākumiem </w:t>
            </w:r>
            <w:r w:rsidR="00C55BD2" w:rsidRPr="0049540C">
              <w:t xml:space="preserve">bezdarbnieki </w:t>
            </w:r>
            <w:r w:rsidRPr="0049540C">
              <w:t>varēs iesaistīties tikai vienu reizi. T</w:t>
            </w:r>
            <w:r w:rsidR="00DA328C" w:rsidRPr="0049540C">
              <w:t>āpat</w:t>
            </w:r>
            <w:r w:rsidRPr="0049540C">
              <w:t xml:space="preserve"> algas subsīdijas atbalsta pasākuma ietvaros darba devējs nevarēs dibināt darba attiecības ar bezdarbnieku, ko iepriekš ir nodarbinājis pēdējo divu mēnešu laikā pirms </w:t>
            </w:r>
            <w:r w:rsidR="00DA328C" w:rsidRPr="0049540C">
              <w:t>iesaistes pasākumā</w:t>
            </w:r>
            <w:r w:rsidRPr="0049540C">
              <w:t>.</w:t>
            </w:r>
          </w:p>
          <w:p w14:paraId="6D51E1AD" w14:textId="793D5A5D" w:rsidR="00DA328C" w:rsidRPr="0049540C" w:rsidRDefault="00DA328C" w:rsidP="0047608F">
            <w:pPr>
              <w:shd w:val="clear" w:color="000000" w:fill="FFFFFF"/>
              <w:jc w:val="both"/>
            </w:pPr>
            <w:r w:rsidRPr="0049540C">
              <w:t xml:space="preserve">Turklāt, lai nodrošinātu sabalansētāku atbalsta sniegšanu, kā arī ievērojot atšķirības </w:t>
            </w:r>
            <w:r w:rsidR="00470AE0" w:rsidRPr="0049540C">
              <w:t xml:space="preserve">dažādu </w:t>
            </w:r>
            <w:r w:rsidRPr="0049540C">
              <w:t>uzņēmum</w:t>
            </w:r>
            <w:r w:rsidR="00C55BD2" w:rsidRPr="0049540C">
              <w:t>u</w:t>
            </w:r>
            <w:r w:rsidRPr="0049540C">
              <w:t xml:space="preserve"> lielumā un nodarbināto skaitā, paredzēts, ka viens darba devējs varēs iesaistīt algu subsīdijas atbalsta pasākumā līdz 50% no kopējā nodarbināto skaita, bet ne vairāk kā 20 bezdarbniekus.</w:t>
            </w:r>
          </w:p>
          <w:p w14:paraId="0EC28B31" w14:textId="6FFA728A" w:rsidR="0004508E" w:rsidRPr="0049540C" w:rsidRDefault="0004508E" w:rsidP="0047608F">
            <w:pPr>
              <w:shd w:val="clear" w:color="000000" w:fill="FFFFFF"/>
              <w:jc w:val="both"/>
            </w:pPr>
            <w:r w:rsidRPr="0049540C">
              <w:lastRenderedPageBreak/>
              <w:t xml:space="preserve">Ievērojot, ka algas subsīdijas atbalsta pasākuma mērķis ir nodarbinātības veicināšana </w:t>
            </w:r>
            <w:proofErr w:type="spellStart"/>
            <w:r w:rsidRPr="0049540C">
              <w:t>pēckrīzes</w:t>
            </w:r>
            <w:proofErr w:type="spellEnd"/>
            <w:r w:rsidRPr="0049540C">
              <w:t xml:space="preserve"> periodā, pieteikties dalī</w:t>
            </w:r>
            <w:r w:rsidR="00DA328C" w:rsidRPr="0049540C">
              <w:t>bai šajā pasākumā darba devēji varēs līdz 2021.gada 31.decembrim.</w:t>
            </w:r>
          </w:p>
          <w:p w14:paraId="0B5AC608" w14:textId="0325AF59" w:rsidR="00D34E58" w:rsidRPr="0049540C" w:rsidRDefault="00D34E58" w:rsidP="0047608F">
            <w:pPr>
              <w:shd w:val="clear" w:color="000000" w:fill="FFFFFF"/>
              <w:jc w:val="both"/>
            </w:pPr>
            <w:r w:rsidRPr="0049540C">
              <w:t xml:space="preserve">Algu subsīdijas atbalsta pasākums tiks īstenots intensīvi un  ierobežotu laiku periodu, līdz ar to, lai nodrošinātu operatīvu un efektīvu darba devēju pieteikumu izvērtēšanu, tam tiks paredzēts atsevišķs izvērtēšanas process. </w:t>
            </w:r>
            <w:r w:rsidR="00547DF3">
              <w:t>Darba devēji tiks atlasīti katrā Aģentūras filiālē, neiesaistot MK noteikumu Nr.75 11.punktā minēto Aģentūras izveidoto pretendentu atlases komisiju.</w:t>
            </w:r>
          </w:p>
          <w:p w14:paraId="76091D81" w14:textId="05851488" w:rsidR="00D34E58" w:rsidRPr="0049540C" w:rsidRDefault="00D34E58" w:rsidP="0047608F">
            <w:pPr>
              <w:shd w:val="clear" w:color="000000" w:fill="FFFFFF"/>
              <w:jc w:val="both"/>
            </w:pPr>
            <w:r w:rsidRPr="0049540C">
              <w:t>MK noteikumu Nr.75 tiek papildināti ar 3.4.6.apakšnodaļu   “Pasākumi noteiktām personu grupām ārkārtējās situācijas izraisīto seku mazināšanai”.</w:t>
            </w:r>
          </w:p>
          <w:p w14:paraId="553DE03F" w14:textId="41C0A0A4" w:rsidR="00772894" w:rsidRPr="0049540C" w:rsidRDefault="00C55BD2" w:rsidP="0047608F">
            <w:pPr>
              <w:shd w:val="clear" w:color="000000" w:fill="FFFFFF"/>
              <w:jc w:val="both"/>
            </w:pPr>
            <w:r w:rsidRPr="0049540C">
              <w:t>Pasākums tiks īstenots atbilstoši</w:t>
            </w:r>
            <w:r w:rsidR="00772894" w:rsidRPr="0049540C">
              <w:t xml:space="preserve"> ESF līd</w:t>
            </w:r>
            <w:r w:rsidR="0049540C">
              <w:t>z</w:t>
            </w:r>
            <w:r w:rsidR="00772894" w:rsidRPr="0049540C">
              <w:t>ekļu pārdales rezultātā pieejama</w:t>
            </w:r>
            <w:r w:rsidR="00A80004" w:rsidRPr="0049540C">
              <w:t>ja</w:t>
            </w:r>
            <w:r w:rsidR="00772894" w:rsidRPr="0049540C">
              <w:t>m finansējumam.</w:t>
            </w:r>
          </w:p>
          <w:p w14:paraId="588F5994" w14:textId="77777777" w:rsidR="00DA328C" w:rsidRPr="0049540C" w:rsidRDefault="00DA328C" w:rsidP="0047608F">
            <w:pPr>
              <w:shd w:val="clear" w:color="000000" w:fill="FFFFFF"/>
              <w:jc w:val="both"/>
            </w:pPr>
          </w:p>
          <w:p w14:paraId="7C49B793" w14:textId="64E71DAF" w:rsidR="002C788B" w:rsidRPr="0049540C" w:rsidRDefault="002C788B" w:rsidP="0047608F">
            <w:pPr>
              <w:shd w:val="clear" w:color="000000" w:fill="FFFFFF"/>
              <w:jc w:val="both"/>
              <w:rPr>
                <w:color w:val="FF0000"/>
              </w:rPr>
            </w:pPr>
            <w:r w:rsidRPr="0049540C">
              <w:t xml:space="preserve">3) </w:t>
            </w:r>
            <w:r w:rsidR="00A679EE" w:rsidRPr="0049540C">
              <w:t>Darba</w:t>
            </w:r>
            <w:r w:rsidR="00F5665E" w:rsidRPr="0049540C">
              <w:t>m</w:t>
            </w:r>
            <w:r w:rsidR="00A679EE" w:rsidRPr="0049540C">
              <w:t xml:space="preserve"> nepieciešamo iemaņu </w:t>
            </w:r>
            <w:r w:rsidR="00A24B6A" w:rsidRPr="0049540C">
              <w:t>attīstība</w:t>
            </w:r>
          </w:p>
          <w:p w14:paraId="26ABA2E6" w14:textId="397DF35C" w:rsidR="007362DE" w:rsidRPr="0049540C" w:rsidRDefault="007362DE" w:rsidP="0047608F">
            <w:pPr>
              <w:shd w:val="clear" w:color="000000" w:fill="FFFFFF"/>
              <w:jc w:val="both"/>
            </w:pPr>
            <w:r w:rsidRPr="0049540C">
              <w:t xml:space="preserve">Labklājības ministrija sadarbībā ar Izglītības un zinātnes ministriju </w:t>
            </w:r>
            <w:r w:rsidR="00DB2893" w:rsidRPr="0049540C">
              <w:t>ir</w:t>
            </w:r>
            <w:r w:rsidRPr="0049540C">
              <w:t xml:space="preserve"> izstrādājusi atbalsta </w:t>
            </w:r>
            <w:r w:rsidR="00F137F2" w:rsidRPr="0049540C">
              <w:t>pasākumu</w:t>
            </w:r>
            <w:r w:rsidRPr="0049540C">
              <w:t>, kura mērķis ir palīdzēt bez</w:t>
            </w:r>
            <w:r w:rsidR="00DC071D" w:rsidRPr="0049540C">
              <w:t xml:space="preserve"> </w:t>
            </w:r>
            <w:r w:rsidRPr="0049540C">
              <w:t xml:space="preserve">darba esošiem </w:t>
            </w:r>
            <w:r w:rsidR="00C55BD2" w:rsidRPr="0049540C">
              <w:t>augstākās izglītības iestāžu (</w:t>
            </w:r>
            <w:r w:rsidRPr="0049540C">
              <w:t>augstskolu</w:t>
            </w:r>
            <w:r w:rsidR="00C55BD2" w:rsidRPr="0049540C">
              <w:t xml:space="preserve"> un </w:t>
            </w:r>
            <w:r w:rsidR="0068024D">
              <w:t>koledžu</w:t>
            </w:r>
            <w:r w:rsidR="00C55BD2" w:rsidRPr="0049540C">
              <w:t>)</w:t>
            </w:r>
            <w:r w:rsidRPr="0049540C">
              <w:t xml:space="preserve"> studentiem pārvarēt ārkārtējās situācijas izraisītās </w:t>
            </w:r>
            <w:r w:rsidR="00DC071D" w:rsidRPr="0049540C">
              <w:t xml:space="preserve">nelabvēlīgās sociāli-ekonomiskās </w:t>
            </w:r>
            <w:r w:rsidRPr="0049540C">
              <w:t xml:space="preserve"> sekas. </w:t>
            </w:r>
            <w:r w:rsidR="00DB2893" w:rsidRPr="0049540C">
              <w:t xml:space="preserve"> </w:t>
            </w:r>
            <w:r w:rsidRPr="0049540C">
              <w:t>Pasākuma ietvaros bezdarbnieka statusu ieguvušajiem</w:t>
            </w:r>
            <w:r w:rsidR="0096047F" w:rsidRPr="0049540C">
              <w:t xml:space="preserve"> klātienes</w:t>
            </w:r>
            <w:r w:rsidRPr="0049540C">
              <w:t xml:space="preserve"> studentiem paredzēta iespēja</w:t>
            </w:r>
            <w:r w:rsidR="00DB2893" w:rsidRPr="0049540C">
              <w:t xml:space="preserve">  </w:t>
            </w:r>
            <w:r w:rsidR="00DC071D" w:rsidRPr="0049540C">
              <w:t xml:space="preserve">piedalīties </w:t>
            </w:r>
            <w:r w:rsidR="00DB2893" w:rsidRPr="0049540C">
              <w:t xml:space="preserve">prasmju un iemaņu attīstības </w:t>
            </w:r>
            <w:r w:rsidRPr="0049540C">
              <w:t>pasākumā</w:t>
            </w:r>
            <w:r w:rsidR="00DB2893" w:rsidRPr="0049540C">
              <w:t xml:space="preserve">, kas ļautu studējošajiem studiju laikā attīstīt pētnieciskās, organizatoriskās, IT prasmes, veicot noteiktus uzdevumus </w:t>
            </w:r>
            <w:r w:rsidR="00C55BD2" w:rsidRPr="0049540C">
              <w:t>savā mācību iestādē</w:t>
            </w:r>
            <w:r w:rsidRPr="0049540C">
              <w:t>. Pasākumā iesaistītajiem studentiem tiks izmaksāta</w:t>
            </w:r>
            <w:r w:rsidR="00DB2893" w:rsidRPr="0049540C">
              <w:t xml:space="preserve"> stipendij</w:t>
            </w:r>
            <w:r w:rsidRPr="0049540C">
              <w:t xml:space="preserve">a – 10 </w:t>
            </w:r>
            <w:proofErr w:type="spellStart"/>
            <w:r w:rsidRPr="0049540C">
              <w:rPr>
                <w:i/>
                <w:iCs/>
              </w:rPr>
              <w:t>euro</w:t>
            </w:r>
            <w:proofErr w:type="spellEnd"/>
            <w:r w:rsidR="00DB2893" w:rsidRPr="0049540C">
              <w:t xml:space="preserve"> </w:t>
            </w:r>
            <w:r w:rsidRPr="0049540C">
              <w:t xml:space="preserve">apmērā par katru dalības dienu. Pasākuma </w:t>
            </w:r>
            <w:r w:rsidR="0096047F" w:rsidRPr="0049540C">
              <w:t>ilgums</w:t>
            </w:r>
            <w:r w:rsidRPr="0049540C">
              <w:t xml:space="preserve"> ir līdz sešiem mēnešiem un tas tiks īstenots uz tādiem pašiem nosacījumiem, k</w:t>
            </w:r>
            <w:r w:rsidR="00033270" w:rsidRPr="0049540C">
              <w:t>ā darba</w:t>
            </w:r>
            <w:r w:rsidR="007F783A" w:rsidRPr="0049540C">
              <w:t>m</w:t>
            </w:r>
            <w:r w:rsidR="00033270" w:rsidRPr="0049540C">
              <w:t xml:space="preserve"> nepieciešamo prasmju attīstība nevalstiskajā sektorā. </w:t>
            </w:r>
          </w:p>
          <w:p w14:paraId="4A844369" w14:textId="7C388CFB" w:rsidR="002C788B" w:rsidRPr="0049540C" w:rsidRDefault="00033270" w:rsidP="0047608F">
            <w:pPr>
              <w:shd w:val="clear" w:color="000000" w:fill="FFFFFF"/>
              <w:jc w:val="both"/>
            </w:pPr>
            <w:r w:rsidRPr="0049540C">
              <w:t>Paredzēts, ka k</w:t>
            </w:r>
            <w:r w:rsidR="00DB2893" w:rsidRPr="0049540C">
              <w:t xml:space="preserve">opumā </w:t>
            </w:r>
            <w:r w:rsidRPr="0049540C">
              <w:t xml:space="preserve">minētajā aktivitātē </w:t>
            </w:r>
            <w:r w:rsidR="00A21EA4" w:rsidRPr="0049540C">
              <w:t xml:space="preserve">esošā finansējuma ietvaros </w:t>
            </w:r>
            <w:r w:rsidRPr="0049540C">
              <w:t>varētu iesaistīties</w:t>
            </w:r>
            <w:r w:rsidR="00DB2893" w:rsidRPr="0049540C">
              <w:t xml:space="preserve"> līdz 3000 studējoš</w:t>
            </w:r>
            <w:r w:rsidRPr="0049540C">
              <w:t>o bezdarbnieku.</w:t>
            </w:r>
            <w:r w:rsidR="00A21EA4" w:rsidRPr="0049540C">
              <w:rPr>
                <w:color w:val="2E74B5" w:themeColor="accent1" w:themeShade="BF"/>
                <w:highlight w:val="green"/>
              </w:rPr>
              <w:t xml:space="preserve"> </w:t>
            </w:r>
          </w:p>
          <w:p w14:paraId="52F8FC05" w14:textId="47563AB9" w:rsidR="00C171B2" w:rsidRPr="0049540C" w:rsidRDefault="00C171B2" w:rsidP="0047608F">
            <w:pPr>
              <w:shd w:val="clear" w:color="000000" w:fill="FFFFFF"/>
              <w:jc w:val="both"/>
            </w:pPr>
            <w:r w:rsidRPr="0049540C">
              <w:t xml:space="preserve">Lai nodrošinātu minēto aktivitāšu ieviešanu, papildināts Noteikumu Nr.75 </w:t>
            </w:r>
            <w:r w:rsidR="00676801" w:rsidRPr="0049540C">
              <w:t>131.4., 132.4.apakšpunkts un 136.punkts.</w:t>
            </w:r>
          </w:p>
          <w:p w14:paraId="6CD4E449" w14:textId="3E46ACD2" w:rsidR="00C171B2" w:rsidRPr="0049540C" w:rsidRDefault="00C171B2" w:rsidP="0047608F">
            <w:pPr>
              <w:shd w:val="clear" w:color="000000" w:fill="FFFFFF"/>
              <w:jc w:val="both"/>
              <w:rPr>
                <w:color w:val="FF0000"/>
              </w:rPr>
            </w:pPr>
          </w:p>
          <w:p w14:paraId="73EAA401" w14:textId="48091A3D" w:rsidR="00C171B2" w:rsidRPr="0049540C" w:rsidRDefault="00C171B2" w:rsidP="00C171B2">
            <w:pPr>
              <w:shd w:val="clear" w:color="000000" w:fill="FFFFFF"/>
              <w:jc w:val="both"/>
              <w:rPr>
                <w:color w:val="FF0000"/>
              </w:rPr>
            </w:pPr>
            <w:r w:rsidRPr="0049540C">
              <w:t xml:space="preserve">4) </w:t>
            </w:r>
            <w:r w:rsidR="007F783A" w:rsidRPr="0049540C">
              <w:t>Mācības t</w:t>
            </w:r>
            <w:r w:rsidRPr="0049540C">
              <w:t>iešsaistes platform</w:t>
            </w:r>
            <w:r w:rsidR="007F783A" w:rsidRPr="0049540C">
              <w:t>ā</w:t>
            </w:r>
            <w:r w:rsidRPr="0049540C">
              <w:t>s</w:t>
            </w:r>
          </w:p>
          <w:p w14:paraId="0036626C" w14:textId="6457732F" w:rsidR="007709D9" w:rsidRPr="0049540C" w:rsidRDefault="007709D9" w:rsidP="007709D9">
            <w:pPr>
              <w:jc w:val="both"/>
            </w:pPr>
            <w:r w:rsidRPr="0049540C">
              <w:t>Ņemot vērā 2020. gada 12. marta Ministru kabineta rīkojumā „Par ārkārtējās situācijas izsludināšanu” noteikto, A</w:t>
            </w:r>
            <w:r w:rsidR="003A370F" w:rsidRPr="0049540C">
              <w:t>ģentūras</w:t>
            </w:r>
            <w:r w:rsidRPr="0049540C">
              <w:t xml:space="preserve"> organizētās klātienes mācības </w:t>
            </w:r>
            <w:r w:rsidR="002636BB" w:rsidRPr="0049540C">
              <w:t xml:space="preserve">tika </w:t>
            </w:r>
            <w:r w:rsidR="003418EA" w:rsidRPr="0049540C">
              <w:t>pārtrauktas</w:t>
            </w:r>
            <w:r w:rsidRPr="0049540C">
              <w:t>, kas rada nepieciešamību attīstīt mācību īstenošanu elektroniskajā vidē.</w:t>
            </w:r>
          </w:p>
          <w:p w14:paraId="36108D6B" w14:textId="610BE10B" w:rsidR="007709D9" w:rsidRPr="0049540C" w:rsidRDefault="007709D9" w:rsidP="007709D9">
            <w:pPr>
              <w:autoSpaceDE w:val="0"/>
              <w:autoSpaceDN w:val="0"/>
              <w:adjustRightInd w:val="0"/>
              <w:spacing w:after="120"/>
              <w:jc w:val="both"/>
            </w:pPr>
            <w:r w:rsidRPr="0049540C">
              <w:t>C</w:t>
            </w:r>
            <w:r w:rsidR="003A370F" w:rsidRPr="0049540C">
              <w:t>ovid</w:t>
            </w:r>
            <w:r w:rsidRPr="0049540C">
              <w:t>-19 izraisītās krīzes ietekmē bezdarbnieku skaits pieaug un  bezdarbnieka statusu iegūst  arī augstākas kvalifikācijas speciālisti, kuru prasmes, iegūtā kvalifikācija un motivācija rada nepieciešamību kursu piedāvājuma dažādošanai, intensificējot atbalstu e-vidē.</w:t>
            </w:r>
          </w:p>
          <w:p w14:paraId="3860C822" w14:textId="2372C90E" w:rsidR="00C171B2" w:rsidRPr="0049540C" w:rsidRDefault="008D3682" w:rsidP="0047608F">
            <w:pPr>
              <w:shd w:val="clear" w:color="000000" w:fill="FFFFFF"/>
              <w:jc w:val="both"/>
            </w:pPr>
            <w:r w:rsidRPr="0049540C">
              <w:t>Masīvie atvērtie tiešsaistes kursi (</w:t>
            </w:r>
            <w:proofErr w:type="spellStart"/>
            <w:r w:rsidRPr="0049540C">
              <w:rPr>
                <w:i/>
                <w:iCs/>
              </w:rPr>
              <w:t>Massive</w:t>
            </w:r>
            <w:proofErr w:type="spellEnd"/>
            <w:r w:rsidRPr="0049540C">
              <w:rPr>
                <w:i/>
                <w:iCs/>
              </w:rPr>
              <w:t xml:space="preserve"> </w:t>
            </w:r>
            <w:proofErr w:type="spellStart"/>
            <w:r w:rsidRPr="0049540C">
              <w:rPr>
                <w:i/>
                <w:iCs/>
              </w:rPr>
              <w:t>Open</w:t>
            </w:r>
            <w:proofErr w:type="spellEnd"/>
            <w:r w:rsidRPr="0049540C">
              <w:rPr>
                <w:i/>
                <w:iCs/>
              </w:rPr>
              <w:t xml:space="preserve"> Online </w:t>
            </w:r>
            <w:proofErr w:type="spellStart"/>
            <w:r w:rsidRPr="0049540C">
              <w:rPr>
                <w:i/>
                <w:iCs/>
              </w:rPr>
              <w:t>Courses</w:t>
            </w:r>
            <w:proofErr w:type="spellEnd"/>
            <w:r w:rsidR="0096047F" w:rsidRPr="0049540C">
              <w:rPr>
                <w:i/>
                <w:iCs/>
              </w:rPr>
              <w:t xml:space="preserve"> </w:t>
            </w:r>
            <w:r w:rsidRPr="0049540C">
              <w:rPr>
                <w:i/>
                <w:iCs/>
              </w:rPr>
              <w:t>(MOOC)</w:t>
            </w:r>
            <w:r w:rsidRPr="0049540C">
              <w:t>) ir mūsdienu populārs e-</w:t>
            </w:r>
            <w:r w:rsidR="00E73E82" w:rsidRPr="0049540C">
              <w:t>mācību</w:t>
            </w:r>
            <w:r w:rsidRPr="0049540C">
              <w:t xml:space="preserve"> virziens, kas nodrošina iespēju iegūt neformālu izglītību</w:t>
            </w:r>
            <w:r w:rsidR="0015283C" w:rsidRPr="0049540C">
              <w:t xml:space="preserve"> starptautiski</w:t>
            </w:r>
            <w:r w:rsidRPr="0049540C">
              <w:t xml:space="preserve"> atzītajās universitātēs un organizācijās no visas pasaules neatkarīgi </w:t>
            </w:r>
            <w:r w:rsidR="0015283C" w:rsidRPr="0049540C">
              <w:t xml:space="preserve">no </w:t>
            </w:r>
            <w:r w:rsidRPr="0049540C">
              <w:t>to atrašanās vietas</w:t>
            </w:r>
            <w:r w:rsidR="0015283C" w:rsidRPr="0049540C">
              <w:t>.</w:t>
            </w:r>
            <w:r w:rsidR="007709D9" w:rsidRPr="0049540C">
              <w:t xml:space="preserve"> Turklāt, lai pieteiktos apmācībai</w:t>
            </w:r>
            <w:r w:rsidR="008D1984" w:rsidRPr="0049540C">
              <w:t>,</w:t>
            </w:r>
            <w:r w:rsidR="007709D9" w:rsidRPr="0049540C">
              <w:t xml:space="preserve"> nav </w:t>
            </w:r>
            <w:r w:rsidR="007709D9" w:rsidRPr="0049540C">
              <w:lastRenderedPageBreak/>
              <w:t>nepieciešams izpildīt formālos iestāšanās vai reģistrēšanās kritērijus.</w:t>
            </w:r>
          </w:p>
          <w:p w14:paraId="22FB701B" w14:textId="65E98A2B" w:rsidR="006A4B95" w:rsidRPr="0049540C" w:rsidRDefault="007709D9" w:rsidP="006A4B95">
            <w:pPr>
              <w:autoSpaceDE w:val="0"/>
              <w:autoSpaceDN w:val="0"/>
              <w:adjustRightInd w:val="0"/>
              <w:jc w:val="both"/>
            </w:pPr>
            <w:r w:rsidRPr="0049540C">
              <w:t xml:space="preserve">Arī </w:t>
            </w:r>
            <w:r w:rsidR="006A4B95" w:rsidRPr="0049540C">
              <w:t>Nodarbinātības padome</w:t>
            </w:r>
            <w:r w:rsidR="0013328C" w:rsidRPr="0049540C">
              <w:t>, kas izveidota vienojoties</w:t>
            </w:r>
            <w:r w:rsidR="006A4B95" w:rsidRPr="0049540C">
              <w:t xml:space="preserve"> trīs ministr</w:t>
            </w:r>
            <w:r w:rsidR="0013328C" w:rsidRPr="0049540C">
              <w:t>iem (</w:t>
            </w:r>
            <w:r w:rsidRPr="0049540C">
              <w:t>izglītības un zinātnes</w:t>
            </w:r>
            <w:r w:rsidR="006A4B95" w:rsidRPr="0049540C">
              <w:t xml:space="preserve">, </w:t>
            </w:r>
            <w:r w:rsidRPr="0049540C">
              <w:t>ekonomikas</w:t>
            </w:r>
            <w:r w:rsidR="006A4B95" w:rsidRPr="0049540C">
              <w:t xml:space="preserve">, </w:t>
            </w:r>
            <w:r w:rsidRPr="0049540C">
              <w:t>labklājības)</w:t>
            </w:r>
            <w:r w:rsidR="0013328C" w:rsidRPr="0049540C">
              <w:t xml:space="preserve"> ar mērķi saskaņot starpresoru sadarbību darba tirgus attīstības veicināšanai, </w:t>
            </w:r>
            <w:r w:rsidR="006A4B95" w:rsidRPr="0049540C">
              <w:t xml:space="preserve"> konceptuāli atbalstī</w:t>
            </w:r>
            <w:r w:rsidRPr="0049540C">
              <w:t xml:space="preserve">jusi </w:t>
            </w:r>
            <w:r w:rsidR="006A4B95" w:rsidRPr="0049540C">
              <w:t xml:space="preserve"> priekšlikumu </w:t>
            </w:r>
            <w:r w:rsidRPr="0049540C">
              <w:t xml:space="preserve">Aģentūrā </w:t>
            </w:r>
            <w:r w:rsidR="006A4B95" w:rsidRPr="0049540C">
              <w:t>reģistrētajiem klientiem piedāvāt iespēju iegūt prasmju sertifikātu (pēc to brīvas izvēles), apgūstot mācību kursu kādā no tiešsaistes mācību platformām.</w:t>
            </w:r>
          </w:p>
          <w:p w14:paraId="230879DA" w14:textId="1BE3FA35" w:rsidR="006A4B95" w:rsidRPr="0049540C" w:rsidRDefault="006A4B95" w:rsidP="006A4B95">
            <w:pPr>
              <w:jc w:val="both"/>
            </w:pPr>
            <w:r w:rsidRPr="0049540C">
              <w:t xml:space="preserve">Tā bezdarbniekiem būs iespēja apgūt </w:t>
            </w:r>
            <w:r w:rsidR="007709D9" w:rsidRPr="0049540C">
              <w:t xml:space="preserve">tiešsaistes </w:t>
            </w:r>
            <w:r w:rsidRPr="0049540C">
              <w:t>mācību kursus (piemēram, coursera.com u.c.) sertifikācijas ieguvei, piemēram, IKT (datu apkopošana, apstrāde un analītika; datorzinības un programmēšana), valodu, uzņēmējdarbības u.c.  mācības.</w:t>
            </w:r>
          </w:p>
          <w:p w14:paraId="173762F6" w14:textId="05266133" w:rsidR="006A4B95" w:rsidRPr="0049540C" w:rsidRDefault="006A4B95" w:rsidP="006A4B95">
            <w:pPr>
              <w:jc w:val="both"/>
            </w:pPr>
            <w:r w:rsidRPr="0049540C">
              <w:t xml:space="preserve">Sākotnēji šis atbalsts plānots tajās platformās, kas sertifikācijas ieguvi nodrošinās kā bezmaksas pakalpojumu. </w:t>
            </w:r>
          </w:p>
          <w:p w14:paraId="42E17EBC" w14:textId="778D9BFC" w:rsidR="0015283C" w:rsidRPr="0049540C" w:rsidRDefault="006A4B95" w:rsidP="00694C9E">
            <w:pPr>
              <w:autoSpaceDE w:val="0"/>
              <w:autoSpaceDN w:val="0"/>
              <w:adjustRightInd w:val="0"/>
              <w:spacing w:after="120"/>
              <w:jc w:val="both"/>
            </w:pPr>
            <w:r w:rsidRPr="0049540C">
              <w:t>Līdz ar to plānots nodrošināt šo kursu apguves piedāvājumu</w:t>
            </w:r>
            <w:r w:rsidR="007709D9" w:rsidRPr="0049540C">
              <w:t xml:space="preserve"> sākotnēji</w:t>
            </w:r>
            <w:r w:rsidRPr="0049540C">
              <w:t xml:space="preserve"> pilotprojekta veidā</w:t>
            </w:r>
            <w:r w:rsidR="00694C9E" w:rsidRPr="0049540C">
              <w:t xml:space="preserve"> un,</w:t>
            </w:r>
            <w:r w:rsidR="007709D9" w:rsidRPr="0049540C">
              <w:t xml:space="preserve"> nenovirzot šai aktivitātei finansējumu</w:t>
            </w:r>
            <w:r w:rsidR="00694C9E" w:rsidRPr="0049540C">
              <w:t xml:space="preserve">, precizēt </w:t>
            </w:r>
            <w:r w:rsidR="00DF1FEB" w:rsidRPr="0049540C">
              <w:t xml:space="preserve">Labklājības ministrijas </w:t>
            </w:r>
            <w:r w:rsidR="00694C9E" w:rsidRPr="0049540C">
              <w:t>izveidotās komisijas, kas nosaka apmācību jomas, izglītības programmas, profesijas, sociālās un profesionālās prasmes, kā arī konkurētspējas pasākumu tematiskās jomas, tiesības noteikt masīvo atvērto tiešsaistes kursu platformu piedāvājumu MK noteikumu Nr.75 22.punktā.</w:t>
            </w:r>
            <w:r w:rsidRPr="0049540C">
              <w:t xml:space="preserve"> Attiecīgi tiek plānots</w:t>
            </w:r>
            <w:r w:rsidR="00694C9E" w:rsidRPr="0049540C">
              <w:t xml:space="preserve"> arī</w:t>
            </w:r>
            <w:r w:rsidRPr="0049540C">
              <w:t xml:space="preserve"> tiešsaistes mācību un iesaistes rezultātu </w:t>
            </w:r>
            <w:proofErr w:type="spellStart"/>
            <w:r w:rsidRPr="0049540C">
              <w:t>izvērtējums</w:t>
            </w:r>
            <w:proofErr w:type="spellEnd"/>
            <w:r w:rsidR="00694C9E" w:rsidRPr="0049540C">
              <w:t xml:space="preserve"> un </w:t>
            </w:r>
            <w:r w:rsidRPr="0049540C">
              <w:t>sekmīgu rezultātu gadījumā varētu tikt paredzēts arī finansiāl</w:t>
            </w:r>
            <w:r w:rsidR="00C55BD2" w:rsidRPr="0049540C">
              <w:t>ai</w:t>
            </w:r>
            <w:r w:rsidRPr="0049540C">
              <w:t>s atbalsts tiešsaistes sertifikāta ieguves līdzfinansēšanai pēc 2020.gada</w:t>
            </w:r>
            <w:r w:rsidR="00694C9E" w:rsidRPr="0049540C">
              <w:t>.</w:t>
            </w:r>
          </w:p>
          <w:p w14:paraId="50EA152A" w14:textId="77777777" w:rsidR="00C171B2" w:rsidRPr="0049540C" w:rsidRDefault="00C171B2" w:rsidP="0047608F">
            <w:pPr>
              <w:shd w:val="clear" w:color="000000" w:fill="FFFFFF"/>
              <w:jc w:val="both"/>
              <w:rPr>
                <w:color w:val="FF0000"/>
              </w:rPr>
            </w:pPr>
          </w:p>
          <w:p w14:paraId="54DA6A0C" w14:textId="3632098C" w:rsidR="002C788B" w:rsidRPr="0049540C" w:rsidRDefault="00C171B2" w:rsidP="0047608F">
            <w:pPr>
              <w:shd w:val="clear" w:color="000000" w:fill="FFFFFF"/>
              <w:jc w:val="both"/>
              <w:rPr>
                <w:color w:val="FF0000"/>
              </w:rPr>
            </w:pPr>
            <w:r w:rsidRPr="0049540C">
              <w:t>5</w:t>
            </w:r>
            <w:r w:rsidR="002C788B" w:rsidRPr="0049540C">
              <w:t xml:space="preserve">) </w:t>
            </w:r>
            <w:r w:rsidR="0062083F" w:rsidRPr="0049540C">
              <w:t xml:space="preserve">Augstākās </w:t>
            </w:r>
            <w:r w:rsidR="00221805" w:rsidRPr="0049540C">
              <w:t>izglītības iestāžu</w:t>
            </w:r>
            <w:r w:rsidR="0062083F" w:rsidRPr="0049540C">
              <w:t xml:space="preserve"> </w:t>
            </w:r>
            <w:r w:rsidR="002C788B" w:rsidRPr="0049540C">
              <w:t>moduļ</w:t>
            </w:r>
            <w:r w:rsidR="00221805" w:rsidRPr="0049540C">
              <w:t>u apguve</w:t>
            </w:r>
          </w:p>
          <w:p w14:paraId="4DA05550" w14:textId="7A0DDB47" w:rsidR="00C171B2" w:rsidRPr="0049540C" w:rsidRDefault="00C171B2" w:rsidP="0047608F">
            <w:pPr>
              <w:shd w:val="clear" w:color="000000" w:fill="FFFFFF"/>
              <w:jc w:val="both"/>
            </w:pPr>
            <w:r w:rsidRPr="0049540C">
              <w:t>Līdzīgi kā tas ir ar tiešsaistes mācību platformām</w:t>
            </w:r>
            <w:r w:rsidR="00A301C4" w:rsidRPr="0049540C">
              <w:t>,</w:t>
            </w:r>
            <w:r w:rsidRPr="0049540C">
              <w:t xml:space="preserve"> arī augstākās izglītības iestā</w:t>
            </w:r>
            <w:r w:rsidR="00A05297" w:rsidRPr="0049540C">
              <w:t>žu</w:t>
            </w:r>
            <w:r w:rsidRPr="0049540C">
              <w:t xml:space="preserve"> studiju moduļu vai studiju kurs</w:t>
            </w:r>
            <w:r w:rsidR="00A05297" w:rsidRPr="0049540C">
              <w:t>u</w:t>
            </w:r>
            <w:r w:rsidRPr="0049540C">
              <w:t xml:space="preserve"> akreditēta studiju virziena apguve ir plānot</w:t>
            </w:r>
            <w:r w:rsidR="00C55BD2" w:rsidRPr="0049540C">
              <w:t>a</w:t>
            </w:r>
            <w:r w:rsidRPr="0049540C">
              <w:t xml:space="preserve"> kā papildus piedāvājums jau esošajām izglītības programmām, kas izriet no ārkārt</w:t>
            </w:r>
            <w:r w:rsidR="00A05297" w:rsidRPr="0049540C">
              <w:t>ējās</w:t>
            </w:r>
            <w:r w:rsidRPr="0049540C">
              <w:t xml:space="preserve"> situācijas, kad bezdarbnieku </w:t>
            </w:r>
            <w:r w:rsidR="00B878EB" w:rsidRPr="0049540C">
              <w:t>statusu iegūst</w:t>
            </w:r>
            <w:r w:rsidRPr="0049540C">
              <w:t xml:space="preserve"> </w:t>
            </w:r>
            <w:r w:rsidR="00B878EB" w:rsidRPr="0049540C">
              <w:t xml:space="preserve">arī </w:t>
            </w:r>
            <w:r w:rsidRPr="0049540C">
              <w:t xml:space="preserve">cilvēki ar </w:t>
            </w:r>
            <w:r w:rsidR="00A05297" w:rsidRPr="0049540C">
              <w:t xml:space="preserve">salīdzinoši </w:t>
            </w:r>
            <w:r w:rsidR="0083158C" w:rsidRPr="0049540C">
              <w:t xml:space="preserve">konkurētspējīgu </w:t>
            </w:r>
            <w:r w:rsidRPr="0049540C">
              <w:t xml:space="preserve">profilu, kuru motivācija un interese </w:t>
            </w:r>
            <w:r w:rsidR="005E3C1C" w:rsidRPr="0049540C">
              <w:t xml:space="preserve">ļaus </w:t>
            </w:r>
            <w:r w:rsidRPr="0049540C">
              <w:t xml:space="preserve">iesaistīties </w:t>
            </w:r>
            <w:r w:rsidR="0083158C" w:rsidRPr="0049540C">
              <w:t>šāda veida mācību programmās.</w:t>
            </w:r>
            <w:r w:rsidRPr="0049540C">
              <w:t xml:space="preserve"> Ņemot vērā to, ka bezdarbnieks savas iepriekš iegūtās profesionālās prasmes un kompetences saglabā ilgākā laika periodā, kas kopā ar iepriekš iegūtu kvalifikāciju sekmē personas atkārtotu integrāciju darba tirgū, uzskatāms, ka bezdarbnieks zaudē profesionālās prasmes un saskaras ar būtiskām grūtībām atrast darbu profesijā, ja vismaz 3 gadus nav strādājis apgūtajā profesijā, kā rezultātā var rasties nepieciešamība apgūt citu profesiju bezdarba situācijas risināšanai. Šāds iesaistes nosacījums ir piemērots, lai nodrošinātu lietderīgu valsts budžeta un Eiropas Savienības fondu finansējuma izlietojumu  un novērstu darba tirgu deformējošus efektus, piemēram, tādu bezdarbnieku iesaisti pasākumos, kas darbu var uzsākt arī bez iesaistes finanšu ietilpīgos pasākumos, vai kuru iesaistīšanās šajos pasākumos tikai paildzinātu bezdarba periodu. Līdz ar to augstākās izglītības piedāvājuma ieviešana sekmētu bezdarbnieku ar augstāko izglītību un "nenovecojušām" (ar darba tirgum un prasmēm </w:t>
            </w:r>
            <w:r w:rsidRPr="0049540C">
              <w:lastRenderedPageBreak/>
              <w:t>atbilstošu izglītību, kurā ir vērojams vakanču un darba piedāvājums Latvijā) prasmēm iesaisti papildus izglītības apguvē ar A</w:t>
            </w:r>
            <w:r w:rsidR="003A370F" w:rsidRPr="0049540C">
              <w:t>ģentūras</w:t>
            </w:r>
            <w:r w:rsidRPr="0049540C">
              <w:t xml:space="preserve"> atbalstu</w:t>
            </w:r>
            <w:r w:rsidR="00B878EB" w:rsidRPr="0049540C">
              <w:t>, saglabājot</w:t>
            </w:r>
            <w:r w:rsidRPr="0049540C">
              <w:t xml:space="preserve"> arī </w:t>
            </w:r>
            <w:r w:rsidR="0083158C" w:rsidRPr="0049540C">
              <w:t xml:space="preserve">turpmāk </w:t>
            </w:r>
            <w:r w:rsidRPr="0049540C">
              <w:t>konkurētspēj</w:t>
            </w:r>
            <w:r w:rsidR="00B878EB" w:rsidRPr="0049540C">
              <w:t>u</w:t>
            </w:r>
            <w:r w:rsidR="0083158C" w:rsidRPr="0049540C">
              <w:t xml:space="preserve"> darba tirgū</w:t>
            </w:r>
            <w:r w:rsidRPr="0049540C">
              <w:t>.</w:t>
            </w:r>
          </w:p>
          <w:p w14:paraId="75B322DB" w14:textId="2D572C41" w:rsidR="008D3682" w:rsidRPr="0049540C" w:rsidRDefault="008D3682" w:rsidP="0047608F">
            <w:pPr>
              <w:shd w:val="clear" w:color="000000" w:fill="FFFFFF"/>
              <w:jc w:val="both"/>
            </w:pPr>
            <w:r w:rsidRPr="0049540C">
              <w:t>Lai paplašinātu bezdarbniekiem pieejamo apmācību veidu klāstu, MK noteikumu Nr.75 tiek papildināti ar 21.6.apakšpunktu, kā arī tiek veikti grozījumi  31.</w:t>
            </w:r>
            <w:r w:rsidR="006777F0" w:rsidRPr="0049540C">
              <w:t>,</w:t>
            </w:r>
            <w:r w:rsidRPr="0049540C">
              <w:t xml:space="preserve"> 32.</w:t>
            </w:r>
            <w:r w:rsidR="006777F0" w:rsidRPr="0049540C">
              <w:t xml:space="preserve"> un 46.</w:t>
            </w:r>
            <w:r w:rsidRPr="0049540C">
              <w:t>punktā.</w:t>
            </w:r>
          </w:p>
          <w:p w14:paraId="6152A867" w14:textId="685100E9" w:rsidR="002C788B" w:rsidRPr="0049540C" w:rsidRDefault="0083158C" w:rsidP="0047608F">
            <w:pPr>
              <w:shd w:val="clear" w:color="000000" w:fill="FFFFFF"/>
              <w:jc w:val="both"/>
            </w:pPr>
            <w:r w:rsidRPr="0049540C">
              <w:t xml:space="preserve">Ja </w:t>
            </w:r>
            <w:r w:rsidR="00676801" w:rsidRPr="0049540C">
              <w:t xml:space="preserve">tuvākajā periodā mācības klātienē </w:t>
            </w:r>
            <w:r w:rsidRPr="0049540C">
              <w:t xml:space="preserve">nebūs </w:t>
            </w:r>
            <w:r w:rsidR="00676801" w:rsidRPr="0049540C">
              <w:t>iespējams nodrošināt</w:t>
            </w:r>
            <w:r w:rsidRPr="0049540C">
              <w:t xml:space="preserve"> pilnā apjomā</w:t>
            </w:r>
            <w:r w:rsidR="00676801" w:rsidRPr="0049540C">
              <w:t xml:space="preserve">,  </w:t>
            </w:r>
            <w:r w:rsidR="00D953DC" w:rsidRPr="0049540C">
              <w:t xml:space="preserve">plānots, ka </w:t>
            </w:r>
            <w:r w:rsidR="00676801" w:rsidRPr="0049540C">
              <w:t xml:space="preserve"> turpmāk pakalpojuma sniedzēji (izglītības iestādes) varēs iesniegt piedāvājumā </w:t>
            </w:r>
            <w:r w:rsidR="00B878EB" w:rsidRPr="0049540C">
              <w:t xml:space="preserve">arī </w:t>
            </w:r>
            <w:r w:rsidR="00676801" w:rsidRPr="0049540C">
              <w:t>tās izglītības programmas, kuru īstenošanu ir iespējams nodrošināt attālināti. Lai nodrošinātu kvalitatīvāku izglītības procesa norisi, izglītības iestāžu atlasē varēs pieteikt akreditētas modulārās profesionālās izglītības programmas moduli, moduļu kopu vai studiju kursu, kā arī akreditētas izglītības iestādes profesionālās pilnveides izglītības programmu vai augstākās izglītības iestādes studiju moduli no akreditētas programmas, kas atbilst Labklājības ministrijas Apmācību komisijas apstiprinātajam nozaru sarakstam.</w:t>
            </w:r>
          </w:p>
          <w:p w14:paraId="6B8E0B42" w14:textId="4352D205" w:rsidR="000626DE" w:rsidRPr="0049540C" w:rsidRDefault="000626DE" w:rsidP="0047608F">
            <w:pPr>
              <w:shd w:val="clear" w:color="000000" w:fill="FFFFFF"/>
              <w:jc w:val="both"/>
            </w:pPr>
          </w:p>
          <w:p w14:paraId="6A9DAFC7" w14:textId="49378D9B" w:rsidR="007478A6" w:rsidRPr="0049540C" w:rsidRDefault="002C788B" w:rsidP="00BD6528">
            <w:pPr>
              <w:shd w:val="clear" w:color="000000" w:fill="FFFFFF"/>
              <w:jc w:val="both"/>
            </w:pPr>
            <w:r w:rsidRPr="0049540C">
              <w:t>6</w:t>
            </w:r>
            <w:r w:rsidR="000626DE" w:rsidRPr="0049540C">
              <w:t xml:space="preserve">) </w:t>
            </w:r>
            <w:r w:rsidR="00FE7B6E" w:rsidRPr="0049540C">
              <w:t>I</w:t>
            </w:r>
            <w:r w:rsidR="007478A6" w:rsidRPr="0049540C">
              <w:t>ndividuālie aizsardzības līdzekļi</w:t>
            </w:r>
          </w:p>
          <w:p w14:paraId="5D56B778" w14:textId="00A22A15" w:rsidR="00BD6528" w:rsidRPr="0049540C" w:rsidRDefault="00373023" w:rsidP="00BD6528">
            <w:pPr>
              <w:shd w:val="clear" w:color="000000" w:fill="FFFFFF"/>
              <w:jc w:val="both"/>
              <w:rPr>
                <w:color w:val="000000"/>
              </w:rPr>
            </w:pPr>
            <w:r w:rsidRPr="0049540C">
              <w:rPr>
                <w:color w:val="000000"/>
              </w:rPr>
              <w:t>Neskatoties</w:t>
            </w:r>
            <w:r w:rsidR="00D953DC" w:rsidRPr="0049540C">
              <w:rPr>
                <w:color w:val="000000"/>
              </w:rPr>
              <w:t xml:space="preserve"> uz to</w:t>
            </w:r>
            <w:r w:rsidRPr="0049540C">
              <w:rPr>
                <w:color w:val="000000"/>
              </w:rPr>
              <w:t xml:space="preserve">, ka </w:t>
            </w:r>
            <w:r w:rsidR="00D953DC" w:rsidRPr="0049540C">
              <w:rPr>
                <w:color w:val="000000"/>
              </w:rPr>
              <w:t xml:space="preserve">saslimšanas intensitāte </w:t>
            </w:r>
            <w:r w:rsidRPr="0049540C">
              <w:rPr>
                <w:color w:val="000000"/>
              </w:rPr>
              <w:t>ar Covid-19 Latvijā pakāpeniski samazinās, joprojām saglabājās inficēšan</w:t>
            </w:r>
            <w:r w:rsidR="00D953DC" w:rsidRPr="0049540C">
              <w:rPr>
                <w:color w:val="000000"/>
              </w:rPr>
              <w:t>ā</w:t>
            </w:r>
            <w:r w:rsidRPr="0049540C">
              <w:rPr>
                <w:color w:val="000000"/>
              </w:rPr>
              <w:t xml:space="preserve">s risks. Atbilstoši </w:t>
            </w:r>
            <w:r w:rsidRPr="0049540C">
              <w:t xml:space="preserve">2020. gada 12. marta Ministru kabineta rīkojumā „Par ārkārtējās situācijas izsludināšanu” noteiktajam, lai īstenotu klātienes pasākumus (iekštelpās un </w:t>
            </w:r>
            <w:proofErr w:type="spellStart"/>
            <w:r w:rsidRPr="0049540C">
              <w:t>ārtelpās</w:t>
            </w:r>
            <w:proofErr w:type="spellEnd"/>
            <w:r w:rsidRPr="0049540C">
              <w:t>)</w:t>
            </w:r>
            <w:r w:rsidR="005E1A25" w:rsidRPr="0049540C">
              <w:t xml:space="preserve">, nepieciešams stingri ievērot kā sociālās </w:t>
            </w:r>
            <w:proofErr w:type="spellStart"/>
            <w:r w:rsidR="005E1A25" w:rsidRPr="0049540C">
              <w:t>distancēšanās</w:t>
            </w:r>
            <w:proofErr w:type="spellEnd"/>
            <w:r w:rsidR="005E1A25" w:rsidRPr="0049540C">
              <w:t>, tā arī epidemioloģiskās drošības pasākumus.</w:t>
            </w:r>
            <w:r w:rsidRPr="0049540C">
              <w:t xml:space="preserve"> </w:t>
            </w:r>
            <w:proofErr w:type="spellStart"/>
            <w:r w:rsidR="000626DE" w:rsidRPr="0049540C">
              <w:rPr>
                <w:color w:val="000000"/>
              </w:rPr>
              <w:t>Koronavīrusa</w:t>
            </w:r>
            <w:proofErr w:type="spellEnd"/>
            <w:r w:rsidR="000626DE" w:rsidRPr="0049540C">
              <w:rPr>
                <w:color w:val="000000"/>
              </w:rPr>
              <w:t xml:space="preserve"> uzliesmojuma pandēmijas izraisītie inficēšanas riski norāda uz nepieciešamību </w:t>
            </w:r>
            <w:r w:rsidR="00BD6528" w:rsidRPr="0049540C">
              <w:rPr>
                <w:color w:val="000000"/>
              </w:rPr>
              <w:t xml:space="preserve">papildus </w:t>
            </w:r>
            <w:r w:rsidR="000626DE" w:rsidRPr="0049540C">
              <w:rPr>
                <w:color w:val="000000"/>
              </w:rPr>
              <w:t>pievēr</w:t>
            </w:r>
            <w:r w:rsidRPr="0049540C">
              <w:rPr>
                <w:color w:val="000000"/>
              </w:rPr>
              <w:t>s</w:t>
            </w:r>
            <w:r w:rsidR="000626DE" w:rsidRPr="0049540C">
              <w:rPr>
                <w:color w:val="000000"/>
              </w:rPr>
              <w:t xml:space="preserve">t pastiprinātu uzmanību </w:t>
            </w:r>
            <w:r w:rsidR="005E1A25" w:rsidRPr="0049540C">
              <w:rPr>
                <w:color w:val="000000"/>
              </w:rPr>
              <w:t>aktīvajos nodarbinātības p</w:t>
            </w:r>
            <w:r w:rsidR="000626DE" w:rsidRPr="0049540C">
              <w:rPr>
                <w:color w:val="000000"/>
              </w:rPr>
              <w:t>asākum</w:t>
            </w:r>
            <w:r w:rsidR="005E1A25" w:rsidRPr="0049540C">
              <w:rPr>
                <w:color w:val="000000"/>
              </w:rPr>
              <w:t>os</w:t>
            </w:r>
            <w:r w:rsidR="000626DE" w:rsidRPr="0049540C">
              <w:rPr>
                <w:color w:val="000000"/>
              </w:rPr>
              <w:t xml:space="preserve"> iesaistīto bezdarbnieku veselības drošībai</w:t>
            </w:r>
            <w:r w:rsidR="00AF6534" w:rsidRPr="0049540C">
              <w:rPr>
                <w:color w:val="000000"/>
              </w:rPr>
              <w:t>, nodrošinot bezdarbniekus ar darba specifikai atbilstošiem aizsardzības līdzekļiem (piemēram, cimdi, dezinfekcijas līdzekļi u.c.). Minēto mērķu sasniegšanai plānots paplašināt</w:t>
            </w:r>
            <w:r w:rsidR="005E1A25" w:rsidRPr="0049540C">
              <w:rPr>
                <w:color w:val="000000"/>
              </w:rPr>
              <w:t xml:space="preserve"> </w:t>
            </w:r>
            <w:r w:rsidR="00AA1C54" w:rsidRPr="0049540C">
              <w:rPr>
                <w:color w:val="000000"/>
              </w:rPr>
              <w:t>algoto pagaidu sabiedrisko darbu</w:t>
            </w:r>
            <w:r w:rsidR="005E1A25" w:rsidRPr="0049540C">
              <w:rPr>
                <w:color w:val="000000"/>
              </w:rPr>
              <w:t>, darbam nepieciešamo iemaņu attīstības pasākumu un subsidētās nodarbinātības pasākumu</w:t>
            </w:r>
            <w:r w:rsidR="00AF6534" w:rsidRPr="0049540C">
              <w:rPr>
                <w:color w:val="000000"/>
              </w:rPr>
              <w:t xml:space="preserve"> īstenošana</w:t>
            </w:r>
            <w:r w:rsidR="005E1A25" w:rsidRPr="0049540C">
              <w:rPr>
                <w:color w:val="000000"/>
              </w:rPr>
              <w:t>i</w:t>
            </w:r>
            <w:r w:rsidR="00AF6534" w:rsidRPr="0049540C">
              <w:rPr>
                <w:color w:val="000000"/>
              </w:rPr>
              <w:t xml:space="preserve"> paredzēto finanšu līdzekļu izlietošanas tiesības, nosakot, ka tos varēs izlietot arī izdevumu segšanai par individuālo aizsardzības līdzekļu iegādi ne vairāk kā 50 </w:t>
            </w:r>
            <w:proofErr w:type="spellStart"/>
            <w:r w:rsidR="00AF6534" w:rsidRPr="0049540C">
              <w:rPr>
                <w:i/>
                <w:color w:val="000000"/>
              </w:rPr>
              <w:t>euro</w:t>
            </w:r>
            <w:proofErr w:type="spellEnd"/>
            <w:r w:rsidR="00AF6534" w:rsidRPr="0049540C">
              <w:rPr>
                <w:color w:val="000000"/>
              </w:rPr>
              <w:t xml:space="preserve"> par vienu bezdarbnieku. MK noteikumi Nr.75 attiecīgi tiek papildināti ar </w:t>
            </w:r>
            <w:r w:rsidR="005E1A25" w:rsidRPr="0049540C">
              <w:rPr>
                <w:color w:val="000000"/>
              </w:rPr>
              <w:t xml:space="preserve">88.6, </w:t>
            </w:r>
            <w:r w:rsidR="00AF6534" w:rsidRPr="0049540C">
              <w:rPr>
                <w:color w:val="000000"/>
              </w:rPr>
              <w:t xml:space="preserve"> </w:t>
            </w:r>
            <w:r w:rsidR="005E1A25" w:rsidRPr="0049540C">
              <w:rPr>
                <w:color w:val="000000"/>
              </w:rPr>
              <w:t>109.</w:t>
            </w:r>
            <w:r w:rsidR="005E1A25" w:rsidRPr="0049540C">
              <w:rPr>
                <w:color w:val="000000"/>
                <w:vertAlign w:val="superscript"/>
              </w:rPr>
              <w:t>2</w:t>
            </w:r>
            <w:r w:rsidR="00A80004" w:rsidRPr="0049540C">
              <w:rPr>
                <w:color w:val="000000"/>
                <w:vertAlign w:val="superscript"/>
              </w:rPr>
              <w:t>4</w:t>
            </w:r>
            <w:r w:rsidR="005E1A25" w:rsidRPr="0049540C">
              <w:rPr>
                <w:color w:val="000000"/>
              </w:rPr>
              <w:t xml:space="preserve"> 2., 136.1.3 un 1</w:t>
            </w:r>
            <w:r w:rsidR="00AF6534" w:rsidRPr="0049540C">
              <w:rPr>
                <w:color w:val="000000"/>
              </w:rPr>
              <w:t>41.</w:t>
            </w:r>
            <w:r w:rsidR="00AF6534" w:rsidRPr="0049540C">
              <w:rPr>
                <w:color w:val="000000"/>
                <w:vertAlign w:val="superscript"/>
              </w:rPr>
              <w:t>9</w:t>
            </w:r>
            <w:r w:rsidR="00AF6534" w:rsidRPr="0049540C">
              <w:rPr>
                <w:color w:val="000000"/>
              </w:rPr>
              <w:t> 6.</w:t>
            </w:r>
            <w:r w:rsidR="005E1A25" w:rsidRPr="0049540C">
              <w:rPr>
                <w:color w:val="000000"/>
              </w:rPr>
              <w:t xml:space="preserve"> </w:t>
            </w:r>
            <w:r w:rsidR="00AF6534" w:rsidRPr="0049540C">
              <w:rPr>
                <w:color w:val="000000"/>
              </w:rPr>
              <w:t>apakšpunktu.</w:t>
            </w:r>
          </w:p>
          <w:p w14:paraId="07CC81A6" w14:textId="3798D1C2" w:rsidR="00AF6534" w:rsidRPr="0049540C" w:rsidRDefault="0080473F" w:rsidP="0047608F">
            <w:pPr>
              <w:shd w:val="clear" w:color="000000" w:fill="FFFFFF"/>
              <w:jc w:val="both"/>
              <w:rPr>
                <w:color w:val="000000"/>
              </w:rPr>
            </w:pPr>
            <w:r w:rsidRPr="0049540C">
              <w:rPr>
                <w:color w:val="000000"/>
              </w:rPr>
              <w:t xml:space="preserve">Precīzi noteikt </w:t>
            </w:r>
            <w:proofErr w:type="spellStart"/>
            <w:r w:rsidR="00AF6534" w:rsidRPr="0049540C">
              <w:rPr>
                <w:color w:val="000000"/>
              </w:rPr>
              <w:t>koronavīrusa</w:t>
            </w:r>
            <w:proofErr w:type="spellEnd"/>
            <w:r w:rsidR="00AF6534" w:rsidRPr="0049540C">
              <w:rPr>
                <w:color w:val="000000"/>
              </w:rPr>
              <w:t xml:space="preserve"> uzliesmojuma</w:t>
            </w:r>
            <w:r w:rsidRPr="0049540C">
              <w:rPr>
                <w:color w:val="000000"/>
              </w:rPr>
              <w:t xml:space="preserve"> ilgumu patlaban nav iespējams, tomēr, ievērojot</w:t>
            </w:r>
            <w:r w:rsidR="006D019E" w:rsidRPr="0049540C">
              <w:rPr>
                <w:color w:val="000000"/>
              </w:rPr>
              <w:t xml:space="preserve"> tā</w:t>
            </w:r>
            <w:r w:rsidR="00AF6534" w:rsidRPr="0049540C">
              <w:rPr>
                <w:color w:val="000000"/>
              </w:rPr>
              <w:t xml:space="preserve"> pagaidu rakstur</w:t>
            </w:r>
            <w:r w:rsidR="006D019E" w:rsidRPr="0049540C">
              <w:rPr>
                <w:color w:val="000000"/>
              </w:rPr>
              <w:t>u,</w:t>
            </w:r>
            <w:r w:rsidR="00AF6534" w:rsidRPr="0049540C">
              <w:rPr>
                <w:color w:val="000000"/>
              </w:rPr>
              <w:t xml:space="preserve"> paredzēts, ka minēt</w:t>
            </w:r>
            <w:r w:rsidR="005E1A25" w:rsidRPr="0049540C">
              <w:rPr>
                <w:color w:val="000000"/>
              </w:rPr>
              <w:t>ie izdevumi ti</w:t>
            </w:r>
            <w:r w:rsidR="005A20C7" w:rsidRPr="0049540C">
              <w:rPr>
                <w:color w:val="000000"/>
              </w:rPr>
              <w:t xml:space="preserve">ks segti par bezdarbniekiem, kas attiecīgajā pasākumā tiks iesaistīti </w:t>
            </w:r>
            <w:r w:rsidR="00AF6534" w:rsidRPr="0049540C">
              <w:rPr>
                <w:color w:val="000000"/>
              </w:rPr>
              <w:t xml:space="preserve">līdz </w:t>
            </w:r>
            <w:r w:rsidRPr="0049540C">
              <w:rPr>
                <w:color w:val="000000"/>
              </w:rPr>
              <w:t>2020.gada 31.decembrim.</w:t>
            </w:r>
            <w:r w:rsidR="00AF6534" w:rsidRPr="0049540C">
              <w:rPr>
                <w:color w:val="000000"/>
              </w:rPr>
              <w:t xml:space="preserve"> </w:t>
            </w:r>
          </w:p>
          <w:p w14:paraId="55CC01DE" w14:textId="0B3E8A69" w:rsidR="00A80004" w:rsidRPr="0049540C" w:rsidRDefault="00A80004" w:rsidP="0047608F">
            <w:pPr>
              <w:shd w:val="clear" w:color="000000" w:fill="FFFFFF"/>
              <w:jc w:val="both"/>
              <w:rPr>
                <w:color w:val="000000"/>
              </w:rPr>
            </w:pPr>
            <w:r w:rsidRPr="0049540C">
              <w:rPr>
                <w:color w:val="000000"/>
              </w:rPr>
              <w:t>I</w:t>
            </w:r>
            <w:r w:rsidR="0043204E" w:rsidRPr="0049540C">
              <w:rPr>
                <w:color w:val="000000"/>
              </w:rPr>
              <w:t>zdevumu</w:t>
            </w:r>
            <w:r w:rsidRPr="0049540C">
              <w:rPr>
                <w:color w:val="000000"/>
              </w:rPr>
              <w:t xml:space="preserve"> segšana par individuālajiem aizsardzības līdzekļiem tiks nodrošināta atbilstoši attiecīgajos projektos pieejamajam fina</w:t>
            </w:r>
            <w:r w:rsidR="0049540C">
              <w:rPr>
                <w:color w:val="000000"/>
              </w:rPr>
              <w:t>n</w:t>
            </w:r>
            <w:r w:rsidRPr="0049540C">
              <w:rPr>
                <w:color w:val="000000"/>
              </w:rPr>
              <w:t>sējumam.</w:t>
            </w:r>
          </w:p>
          <w:p w14:paraId="613462D6" w14:textId="31C087FB" w:rsidR="002C788B" w:rsidRPr="0049540C" w:rsidRDefault="002C788B" w:rsidP="0047608F">
            <w:pPr>
              <w:shd w:val="clear" w:color="000000" w:fill="FFFFFF"/>
              <w:jc w:val="both"/>
              <w:rPr>
                <w:color w:val="000000"/>
              </w:rPr>
            </w:pPr>
          </w:p>
          <w:p w14:paraId="422D72AA" w14:textId="7E30EE52" w:rsidR="002C788B" w:rsidRPr="0049540C" w:rsidRDefault="002C788B" w:rsidP="0047608F">
            <w:pPr>
              <w:shd w:val="clear" w:color="000000" w:fill="FFFFFF"/>
              <w:jc w:val="both"/>
            </w:pPr>
            <w:r w:rsidRPr="0049540C">
              <w:t>7) I</w:t>
            </w:r>
            <w:r w:rsidR="00AA1C54" w:rsidRPr="0049540C">
              <w:t>zglītības kvalitātes valsts dienesta piesaiste</w:t>
            </w:r>
          </w:p>
          <w:p w14:paraId="39C9DA31" w14:textId="683521B2" w:rsidR="005136F9" w:rsidRPr="0049540C" w:rsidRDefault="005136F9" w:rsidP="005136F9">
            <w:pPr>
              <w:shd w:val="clear" w:color="000000" w:fill="FFFFFF"/>
              <w:jc w:val="both"/>
            </w:pPr>
            <w:r w:rsidRPr="0049540C">
              <w:lastRenderedPageBreak/>
              <w:t xml:space="preserve">No 2017. gada jūnija līdz 2019. gada aprīlim Ekonomiskās sadarbības un attīstības organizācija  (turpmāk </w:t>
            </w:r>
            <w:r w:rsidR="00C55BD2" w:rsidRPr="0049540C">
              <w:t xml:space="preserve">– </w:t>
            </w:r>
            <w:r w:rsidRPr="0049540C">
              <w:t>OECD) pētījumu sērijas “</w:t>
            </w:r>
            <w:proofErr w:type="spellStart"/>
            <w:r w:rsidRPr="0049540C">
              <w:rPr>
                <w:i/>
                <w:iCs/>
              </w:rPr>
              <w:t>Connecting</w:t>
            </w:r>
            <w:proofErr w:type="spellEnd"/>
            <w:r w:rsidRPr="0049540C">
              <w:rPr>
                <w:i/>
                <w:iCs/>
              </w:rPr>
              <w:t xml:space="preserve"> </w:t>
            </w:r>
            <w:proofErr w:type="spellStart"/>
            <w:r w:rsidRPr="0049540C">
              <w:rPr>
                <w:i/>
                <w:iCs/>
              </w:rPr>
              <w:t>People</w:t>
            </w:r>
            <w:proofErr w:type="spellEnd"/>
            <w:r w:rsidRPr="0049540C">
              <w:rPr>
                <w:i/>
                <w:iCs/>
              </w:rPr>
              <w:t xml:space="preserve"> </w:t>
            </w:r>
            <w:proofErr w:type="spellStart"/>
            <w:r w:rsidRPr="0049540C">
              <w:rPr>
                <w:i/>
                <w:iCs/>
              </w:rPr>
              <w:t>with</w:t>
            </w:r>
            <w:proofErr w:type="spellEnd"/>
            <w:r w:rsidRPr="0049540C">
              <w:rPr>
                <w:i/>
                <w:iCs/>
              </w:rPr>
              <w:t xml:space="preserve"> </w:t>
            </w:r>
            <w:proofErr w:type="spellStart"/>
            <w:r w:rsidRPr="0049540C">
              <w:rPr>
                <w:i/>
                <w:iCs/>
              </w:rPr>
              <w:t>Jobs</w:t>
            </w:r>
            <w:proofErr w:type="spellEnd"/>
            <w:r w:rsidRPr="0049540C">
              <w:t xml:space="preserve">” ietvaros veica Latvijas darba tirgus </w:t>
            </w:r>
            <w:proofErr w:type="spellStart"/>
            <w:r w:rsidRPr="0049540C">
              <w:t>izvērtējumu</w:t>
            </w:r>
            <w:proofErr w:type="spellEnd"/>
            <w:r w:rsidRPr="0049540C">
              <w:t>, salīdzinot Latvijas darba tirgus pasākumus ar OECD labajām praksēm. OECD atzinīgi novērtē</w:t>
            </w:r>
            <w:r w:rsidR="00B63F81" w:rsidRPr="0049540C">
              <w:t>ja</w:t>
            </w:r>
            <w:r w:rsidRPr="0049540C">
              <w:t xml:space="preserve"> Labklājības ministrijas un Aģentūras centienus izstrādāt papildus kvalitātes kritērijus izglītības iestādēm, nodrošinot labākus pakalpojumus bezdarbniekiem, kā rezultātā tiek veicināta mācību procesa uzraudzība un sekmēta kopējā pieaugušo izglītības kvalitāte Aģentūras </w:t>
            </w:r>
            <w:r w:rsidR="00B63F81" w:rsidRPr="0049540C">
              <w:t xml:space="preserve">organizētajā </w:t>
            </w:r>
            <w:r w:rsidRPr="0049540C">
              <w:t>kuponu sistēmā. Tomēr OECD pētījumā kā būtisks Latvijas izaicinājums ir izcelta nepieciešamība atrast efektīvus veidus kvalitātes uzlabošanai attiecībā uz privātajām izglītības iestādēm/mācību centriem, kas šķietami atbilst visiem kritērijiem (iegūta akreditācija un licence), tomēr</w:t>
            </w:r>
            <w:r w:rsidR="00B878EB" w:rsidRPr="0049540C">
              <w:t xml:space="preserve"> ne visos gadījumos tur</w:t>
            </w:r>
            <w:r w:rsidRPr="0049540C">
              <w:t xml:space="preserve"> apmācību rezultāti vai dalībnieku viedoklis </w:t>
            </w:r>
            <w:r w:rsidR="00B878EB" w:rsidRPr="0049540C">
              <w:t>par apmācībām ir</w:t>
            </w:r>
            <w:r w:rsidRPr="0049540C">
              <w:t xml:space="preserve"> pozitīvs. </w:t>
            </w:r>
          </w:p>
          <w:p w14:paraId="0FC4534F" w14:textId="595AA11A" w:rsidR="005136F9" w:rsidRPr="0049540C" w:rsidRDefault="005136F9" w:rsidP="005136F9">
            <w:pPr>
              <w:shd w:val="clear" w:color="000000" w:fill="FFFFFF"/>
              <w:jc w:val="both"/>
            </w:pPr>
            <w:r w:rsidRPr="0049540C">
              <w:t xml:space="preserve">Iekļaujošas nodarbinātības pamatnostādnes 2015.–2020. gadam (turpmāk </w:t>
            </w:r>
            <w:r w:rsidR="00C55BD2" w:rsidRPr="0049540C">
              <w:t>–</w:t>
            </w:r>
            <w:r w:rsidRPr="0049540C">
              <w:t xml:space="preserve"> pamatnostādnes) paredz uzlabot bezdarbnieku apmācību īstenošanas un programmu kvalitāti, stiprinot profesionālās apmācības, </w:t>
            </w:r>
            <w:proofErr w:type="spellStart"/>
            <w:r w:rsidRPr="0049540C">
              <w:t>pārkvalifikācijas</w:t>
            </w:r>
            <w:proofErr w:type="spellEnd"/>
            <w:r w:rsidRPr="0049540C">
              <w:t xml:space="preserve">, kvalifikācijas paaugstināšanas un neformālās izglītības ieguves pasākumu īstenotāju (izglītības iestāžu) atbildību par pasākumu īstenošanas nosacījumiem. Līdz šim ar  Labklājības ministrijas izstrādātajiem grozījumiem normatīvajā regulējumā   ieviesti stingrāki izglītības iestāžu atlases kritēriji, kas saistīti ar pedagogu kvalifikāciju, programmu akreditācijas ilgumu u.c. nosacījumiem. </w:t>
            </w:r>
          </w:p>
          <w:p w14:paraId="79BCB871" w14:textId="04E335EB" w:rsidR="005136F9" w:rsidRPr="0049540C" w:rsidRDefault="005136F9" w:rsidP="005136F9">
            <w:pPr>
              <w:shd w:val="clear" w:color="000000" w:fill="FFFFFF"/>
              <w:jc w:val="both"/>
            </w:pPr>
            <w:r w:rsidRPr="0049540C">
              <w:t>Vienlaikus 2020.gada 13.februārī Nodarbinātības padome, izskatot jautājumus par pieaugušo izglītības ietvaru Latvijā un nepieciešamajiem uzlabojumiem, kā arī ņemot vērā Aģentūras pieredzi bezdarbnieku mācību organizēšanā, atbalstīja Labklājības ministrijas ieceri jau pašreizējā Aģentūras ESF projektā “Atbalsts bezdarbnieku izglītībai”  ie</w:t>
            </w:r>
            <w:r w:rsidR="00D734AF" w:rsidRPr="0049540C">
              <w:t>saistīt</w:t>
            </w:r>
            <w:r w:rsidRPr="0049540C">
              <w:t xml:space="preserve"> Izglītības kvalitātes valsts dienestu (turpmāk </w:t>
            </w:r>
            <w:r w:rsidR="00C55BD2" w:rsidRPr="0049540C">
              <w:t>–</w:t>
            </w:r>
            <w:r w:rsidRPr="0049540C">
              <w:t xml:space="preserve"> IKVD) kā sadarbības partneri. IKVD uzdevums būtu veikt Aģentūras sadarbības partneru (vairāk nekā 177 privāto un valsts izglītības iestāžu visā Latvijā, kas īsteno profesionālās tālākizglītības, pilnveides, neformālās izglītības programmas)</w:t>
            </w:r>
            <w:r w:rsidR="00D734AF" w:rsidRPr="0049540C">
              <w:t>,</w:t>
            </w:r>
            <w:r w:rsidRPr="0049540C">
              <w:t xml:space="preserve"> papildu uzraudzību un izvērtēšanu atbilstoši izglītības kvalitāti reglamentējošajiem normatīvajiem aktiem. Paredzams, ka IKVD pieredze izglītības pakalpojumu uzraudzībā, t.sk., akreditējot un licencējot profesionālās tālākizglītības programmas, stiprinās bezdarbnieku apmācībā iesaistīto izglītības iestāžu uzraudzību un mācību procesa kvalitāti.</w:t>
            </w:r>
            <w:r w:rsidR="00891F2E" w:rsidRPr="0049540C">
              <w:t xml:space="preserve"> </w:t>
            </w:r>
          </w:p>
          <w:p w14:paraId="57FCB079" w14:textId="1B983930" w:rsidR="005136F9" w:rsidRPr="0049540C" w:rsidRDefault="005136F9" w:rsidP="005136F9">
            <w:pPr>
              <w:shd w:val="clear" w:color="000000" w:fill="FFFFFF"/>
              <w:jc w:val="both"/>
            </w:pPr>
            <w:r w:rsidRPr="0049540C">
              <w:t>Lai arī jau šobrīd IKVD funkcijas paredz nodrošināt profesionālās izglītības kvalitātes novērtēšanu, izglītības procesu kontroli un sniegt ieteikumus konstatēto trūkumu novēršanai, tomēr ir secināms, ka bez papildus finansējuma piesaistes IKVD kapacitāte ir nepietiekama, lai pilnvērtīgi uzraudzītu pieaugušo izglītības kvalitāti.</w:t>
            </w:r>
            <w:r w:rsidR="00891F2E" w:rsidRPr="0049540C">
              <w:t xml:space="preserve">  Tādējādi atbilstoši  Ministru kabineta 2014.gada 16.decembra noteikumiem  Nr.784  "Kārtība, kādā Eiropas Savienības struktūrfondu un Kohēzijas fonda vadībā </w:t>
            </w:r>
            <w:r w:rsidR="00891F2E" w:rsidRPr="0049540C">
              <w:lastRenderedPageBreak/>
              <w:t>iesaistītās institūcijas nodrošina plānošanas dokumentu sagatavošanu un šo fondu ieviešanu 2014.–2020.gada plānošanas periodā" noteiktajam</w:t>
            </w:r>
            <w:r w:rsidR="00AA5900">
              <w:t>,</w:t>
            </w:r>
            <w:r w:rsidR="00891F2E" w:rsidRPr="0049540C">
              <w:t xml:space="preserve"> ar IKVD plānots noslēgt sadarbības līgumu par minēto darbību veikšanu.</w:t>
            </w:r>
          </w:p>
          <w:p w14:paraId="6219094D" w14:textId="1055CD0F" w:rsidR="00664B85" w:rsidRPr="0049540C" w:rsidRDefault="005136F9" w:rsidP="005136F9">
            <w:pPr>
              <w:shd w:val="clear" w:color="000000" w:fill="FFFFFF"/>
              <w:jc w:val="both"/>
            </w:pPr>
            <w:r w:rsidRPr="0049540C">
              <w:t>Vienlaikus, ņemot vērā, ka valstī izsludinātās ārkārtējās situācijas dēļ Aģentūras organizētās klātienes mācības ir atceltas, mācības plānots organizē</w:t>
            </w:r>
            <w:r w:rsidR="00E42C57" w:rsidRPr="0049540C">
              <w:t xml:space="preserve">t </w:t>
            </w:r>
            <w:r w:rsidR="000B2E17" w:rsidRPr="0049540C">
              <w:t xml:space="preserve">arī </w:t>
            </w:r>
            <w:r w:rsidRPr="0049540C">
              <w:t>attālinātā formā. Attālināt</w:t>
            </w:r>
            <w:r w:rsidR="00E42C57" w:rsidRPr="0049540C">
              <w:t>o</w:t>
            </w:r>
            <w:r w:rsidRPr="0049540C">
              <w:t xml:space="preserve"> mācību piedāvājuma paplašināšana, kā arī šo izglītības programmu turpmāka īstenošana (arī pēc krīzes beigām) rada nepieciešamību IKVD piesaistei, lai veiktu jauno attālināto programmu ekspertīzi, metodoloģisku vadību un īstenošanas uzraudzību, kā arī Aģentūras kapacitātes </w:t>
            </w:r>
            <w:r w:rsidR="003A370F" w:rsidRPr="0049540C">
              <w:t>stiprināšanai</w:t>
            </w:r>
            <w:r w:rsidRPr="0049540C">
              <w:t xml:space="preserve"> tālmācības procesa </w:t>
            </w:r>
            <w:proofErr w:type="spellStart"/>
            <w:r w:rsidRPr="0049540C">
              <w:t>digitalizēšanai</w:t>
            </w:r>
            <w:proofErr w:type="spellEnd"/>
            <w:r w:rsidRPr="0049540C">
              <w:t xml:space="preserve"> un apmācību vides adaptācijai darbam jaunajos apstākļos.</w:t>
            </w:r>
            <w:r w:rsidR="00DA328C" w:rsidRPr="0049540C">
              <w:t xml:space="preserve"> Aģentūras sadarbība ar IKVD tiek nostiprināta </w:t>
            </w:r>
            <w:r w:rsidR="007C4235" w:rsidRPr="0049540C">
              <w:t>MK noteikum</w:t>
            </w:r>
            <w:r w:rsidR="000B2E17" w:rsidRPr="0049540C">
              <w:t>os</w:t>
            </w:r>
            <w:r w:rsidR="007C4235" w:rsidRPr="0049540C">
              <w:t xml:space="preserve"> Nr.75.</w:t>
            </w:r>
          </w:p>
          <w:p w14:paraId="5B060EE1" w14:textId="46A87AE9" w:rsidR="007C4235" w:rsidRPr="0049540C" w:rsidRDefault="007C4235" w:rsidP="005136F9">
            <w:pPr>
              <w:shd w:val="clear" w:color="000000" w:fill="FFFFFF"/>
              <w:jc w:val="both"/>
            </w:pPr>
            <w:r w:rsidRPr="0049540C">
              <w:t>Papildus MK noteikumu Nr.75 11.punkts noteic, ka gadījumos, kad normatīvajos aktos par publiskajiem iepirkumiem noteiktās prasības nav piemērojamas, Aģentūra izveido pasākumu īstenotāju izvēles komisiju. Šobrīd ir paredzēts, ka minētajā komisij</w:t>
            </w:r>
            <w:r w:rsidR="000B2E17" w:rsidRPr="0049540C">
              <w:t>ā</w:t>
            </w:r>
            <w:r w:rsidRPr="0049540C">
              <w:t xml:space="preserve"> iekļauj tikai Aģentūras pārstāvjus, tomēr, lai nodrošinātu efektīvāku komisijas darbu, MK noteikumu 11.punktu nepieciešams papildināt, paredzot Aģentūras tiesības iekļaut pasākumu īstenotāju izvēles komisijā arī citu institūciju pārstāvjus</w:t>
            </w:r>
            <w:r w:rsidR="000B2E17" w:rsidRPr="0049540C">
              <w:t>, piemēram, pārstāvjus no IKVD</w:t>
            </w:r>
            <w:r w:rsidRPr="0049540C">
              <w:t xml:space="preserve">. </w:t>
            </w:r>
          </w:p>
          <w:p w14:paraId="697D3192" w14:textId="02E39645" w:rsidR="00A302AA" w:rsidRPr="0049540C" w:rsidRDefault="00A302AA" w:rsidP="005136F9">
            <w:pPr>
              <w:shd w:val="clear" w:color="000000" w:fill="FFFFFF"/>
              <w:jc w:val="both"/>
            </w:pPr>
          </w:p>
          <w:p w14:paraId="1079C48C" w14:textId="3173112E" w:rsidR="00A302AA" w:rsidRPr="0049540C" w:rsidRDefault="00A302AA" w:rsidP="00A302AA">
            <w:pPr>
              <w:shd w:val="clear" w:color="000000" w:fill="FFFFFF"/>
              <w:jc w:val="both"/>
            </w:pPr>
            <w:r w:rsidRPr="0049540C">
              <w:t>8) Mobilitāte</w:t>
            </w:r>
            <w:r w:rsidR="000B2E17" w:rsidRPr="0049540C">
              <w:t>s atbalsts</w:t>
            </w:r>
          </w:p>
          <w:p w14:paraId="2A75E8EE" w14:textId="39D69E7C" w:rsidR="00A302AA" w:rsidRPr="0049540C" w:rsidRDefault="00A302AA" w:rsidP="00A302AA">
            <w:pPr>
              <w:shd w:val="clear" w:color="000000" w:fill="FFFFFF"/>
              <w:jc w:val="both"/>
              <w:rPr>
                <w:color w:val="1F3864" w:themeColor="accent5" w:themeShade="80"/>
              </w:rPr>
            </w:pPr>
            <w:r w:rsidRPr="0049540C">
              <w:t>Nodarbināto personu reģionālās mobilitātes veicināšanas pasākuma un Atbalsts reģionālajai mobilitātei aktīvo nodarbinātības pasākumu ietvaros personām ir iespēja saņemt kompensāciju transporta izdevumu segšanai braucieniem uz darba, mācību vai prakses vietu.</w:t>
            </w:r>
            <w:r w:rsidR="00E64CEA" w:rsidRPr="0049540C">
              <w:t xml:space="preserve"> </w:t>
            </w:r>
            <w:r w:rsidR="0043204E" w:rsidRPr="0049540C">
              <w:rPr>
                <w:color w:val="1F3864" w:themeColor="accent5" w:themeShade="80"/>
              </w:rPr>
              <w:t xml:space="preserve"> </w:t>
            </w:r>
            <w:r w:rsidR="0043204E" w:rsidRPr="0049540C">
              <w:t xml:space="preserve">Maksimālā atbalsta summa  ir 150 </w:t>
            </w:r>
            <w:proofErr w:type="spellStart"/>
            <w:r w:rsidR="0043204E" w:rsidRPr="0049540C">
              <w:rPr>
                <w:i/>
              </w:rPr>
              <w:t>euro</w:t>
            </w:r>
            <w:proofErr w:type="spellEnd"/>
            <w:r w:rsidR="0043204E" w:rsidRPr="0049540C">
              <w:t xml:space="preserve"> par pilnu mēnes</w:t>
            </w:r>
            <w:r w:rsidR="00AA5900">
              <w:t>i</w:t>
            </w:r>
            <w:r w:rsidR="0043204E" w:rsidRPr="0049540C">
              <w:t xml:space="preserve">.  </w:t>
            </w:r>
          </w:p>
          <w:p w14:paraId="0875C389" w14:textId="77777777" w:rsidR="00A302AA" w:rsidRPr="0049540C" w:rsidRDefault="00A302AA" w:rsidP="00A302AA">
            <w:pPr>
              <w:shd w:val="clear" w:color="000000" w:fill="FFFFFF"/>
              <w:jc w:val="both"/>
            </w:pPr>
            <w:r w:rsidRPr="0049540C">
              <w:t>MK noteikumu N.75 172.punktā un  174.</w:t>
            </w:r>
            <w:r w:rsidRPr="0049540C">
              <w:rPr>
                <w:vertAlign w:val="superscript"/>
              </w:rPr>
              <w:t>6</w:t>
            </w:r>
            <w:r w:rsidRPr="0049540C">
              <w:t> 1.apakšpunktā ir noteikts, ka atbalstu transporta izmaksu segšanai aprēķina, piemērojot Finanšu ministrijas izstrādāto vienas vienības izmaksu standarta likmes aprēķina un piemērošanas metodiku viena kilometra izmaksām darbības programmas "Izaugsme un nodarbinātība" īstenošanai (turpmāk – metodika), nosakot attālumu kilometros no nodarbinātā izvēlētās reģionālās starppilsētu nozīmes vai reģionālās vietējās nozīmes sabiedriskā transporta maršruta sākuma pieturvietas līdz gala pieturvietai, lai nokļūtu darbavietā un atpakaļ, un reizinot to ar sabiedriskā transporta izmaksu likmi par kilometru, izņemot gadījumus, ja nodarbinātajam piemēro sabiedriskā transporta braukšanas maksas atvieglojumu 100 % apmērā no biļetes cenas.</w:t>
            </w:r>
          </w:p>
          <w:p w14:paraId="28DB26C7" w14:textId="7F64851C" w:rsidR="00A302AA" w:rsidRPr="0049540C" w:rsidRDefault="00A302AA" w:rsidP="00A302AA">
            <w:pPr>
              <w:shd w:val="clear" w:color="000000" w:fill="FFFFFF"/>
              <w:jc w:val="both"/>
            </w:pPr>
            <w:r w:rsidRPr="0049540C">
              <w:t>Savukārt izmaiņas Finanšu ministrijas sagatavotajā metodikā paredz turpmāk braucieniem vietēj</w:t>
            </w:r>
            <w:r w:rsidR="00E64CEA" w:rsidRPr="0049540C">
              <w:t>ā</w:t>
            </w:r>
            <w:r w:rsidRPr="0049540C">
              <w:t xml:space="preserve"> sabiedriskaj</w:t>
            </w:r>
            <w:r w:rsidR="00E64CEA" w:rsidRPr="0049540C">
              <w:t>ā</w:t>
            </w:r>
            <w:r w:rsidRPr="0049540C">
              <w:t xml:space="preserve"> transport</w:t>
            </w:r>
            <w:r w:rsidR="00E64CEA" w:rsidRPr="0049540C">
              <w:t>ā</w:t>
            </w:r>
            <w:r w:rsidRPr="0049540C">
              <w:t xml:space="preserve"> par katru braucienu noteikt fiksēt</w:t>
            </w:r>
            <w:r w:rsidR="00E64CEA" w:rsidRPr="0049540C">
              <w:t>u</w:t>
            </w:r>
            <w:r w:rsidRPr="0049540C">
              <w:t xml:space="preserve"> summa – 1,15 </w:t>
            </w:r>
            <w:proofErr w:type="spellStart"/>
            <w:r w:rsidRPr="0049540C">
              <w:rPr>
                <w:i/>
                <w:iCs/>
              </w:rPr>
              <w:t>euro</w:t>
            </w:r>
            <w:proofErr w:type="spellEnd"/>
            <w:r w:rsidRPr="0049540C">
              <w:t xml:space="preserve"> Rīgā un 0,61 </w:t>
            </w:r>
            <w:proofErr w:type="spellStart"/>
            <w:r w:rsidRPr="0049540C">
              <w:rPr>
                <w:i/>
                <w:iCs/>
              </w:rPr>
              <w:t>euro</w:t>
            </w:r>
            <w:proofErr w:type="spellEnd"/>
            <w:r w:rsidRPr="0049540C">
              <w:t xml:space="preserve"> citās apdzīvotās vietās</w:t>
            </w:r>
            <w:r w:rsidR="00263E44" w:rsidRPr="0049540C">
              <w:t>, bet likme par 1 km ir noteikta reģionālajam sabiedriskajam transportam – reģionālās starppilsētu nozīmes</w:t>
            </w:r>
            <w:r w:rsidR="002264D4" w:rsidRPr="0049540C">
              <w:t xml:space="preserve"> un</w:t>
            </w:r>
            <w:r w:rsidR="00263E44" w:rsidRPr="0049540C">
              <w:t xml:space="preserve"> reģionālās vietējās nozīmes maršruti</w:t>
            </w:r>
            <w:r w:rsidR="002264D4" w:rsidRPr="0049540C">
              <w:t>em</w:t>
            </w:r>
            <w:r w:rsidR="00263E44" w:rsidRPr="0049540C">
              <w:t xml:space="preserve"> </w:t>
            </w:r>
            <w:r w:rsidR="00263E44" w:rsidRPr="0049540C">
              <w:lastRenderedPageBreak/>
              <w:t>(sabiedriskā transporta maršruti</w:t>
            </w:r>
            <w:r w:rsidR="002264D4" w:rsidRPr="0049540C">
              <w:t>em</w:t>
            </w:r>
            <w:r w:rsidR="00263E44" w:rsidRPr="0049540C">
              <w:t>, kas nav vienas apdzīvotas vietas ietvaros)</w:t>
            </w:r>
            <w:r w:rsidRPr="0049540C">
              <w:t>.</w:t>
            </w:r>
          </w:p>
          <w:p w14:paraId="70087B94" w14:textId="3F0E5526" w:rsidR="00A302AA" w:rsidRPr="0049540C" w:rsidRDefault="00A302AA" w:rsidP="00A302AA">
            <w:pPr>
              <w:shd w:val="clear" w:color="000000" w:fill="FFFFFF"/>
              <w:jc w:val="both"/>
            </w:pPr>
            <w:r w:rsidRPr="0049540C">
              <w:t xml:space="preserve">Ievērojot minēto, nepieciešams </w:t>
            </w:r>
            <w:r w:rsidR="00E64CEA" w:rsidRPr="0049540C">
              <w:t>precizē</w:t>
            </w:r>
            <w:r w:rsidR="00AA5900">
              <w:t>jums</w:t>
            </w:r>
            <w:r w:rsidRPr="0049540C">
              <w:t xml:space="preserve"> MK noteikumu Nr.75 172.punktā un  174.</w:t>
            </w:r>
            <w:r w:rsidRPr="0049540C">
              <w:rPr>
                <w:vertAlign w:val="superscript"/>
              </w:rPr>
              <w:t>6</w:t>
            </w:r>
            <w:r w:rsidRPr="0049540C">
              <w:t> 1.apakšpunktā</w:t>
            </w:r>
            <w:r w:rsidR="0082452D" w:rsidRPr="0049540C">
              <w:t>.</w:t>
            </w:r>
          </w:p>
          <w:p w14:paraId="38C5BF19" w14:textId="1541061D" w:rsidR="0082452D" w:rsidRPr="0049540C" w:rsidRDefault="0082452D" w:rsidP="00A302AA">
            <w:pPr>
              <w:shd w:val="clear" w:color="000000" w:fill="FFFFFF"/>
              <w:jc w:val="both"/>
            </w:pPr>
          </w:p>
          <w:p w14:paraId="7A944CD1" w14:textId="0E8430C8" w:rsidR="0082452D" w:rsidRPr="0049540C" w:rsidRDefault="0082452D" w:rsidP="00A302AA">
            <w:pPr>
              <w:shd w:val="clear" w:color="000000" w:fill="FFFFFF"/>
              <w:jc w:val="both"/>
            </w:pPr>
            <w:r w:rsidRPr="0049540C">
              <w:t>9) Valsts atbalst</w:t>
            </w:r>
            <w:r w:rsidR="00480DC5" w:rsidRPr="0049540C">
              <w:t>a regulējums</w:t>
            </w:r>
          </w:p>
          <w:p w14:paraId="08CD6106" w14:textId="23E57410" w:rsidR="0082452D" w:rsidRPr="0049540C" w:rsidRDefault="0082452D" w:rsidP="00A302AA">
            <w:pPr>
              <w:shd w:val="clear" w:color="000000" w:fill="FFFFFF"/>
              <w:jc w:val="both"/>
            </w:pPr>
            <w:r w:rsidRPr="0049540C">
              <w:t>Alg</w:t>
            </w:r>
            <w:r w:rsidR="00C55BD2" w:rsidRPr="0049540C">
              <w:t>u</w:t>
            </w:r>
            <w:r w:rsidRPr="0049540C">
              <w:t xml:space="preserve"> subsīdijas atbalsta pasākuma ietvaros darba devējam piešķirtais finansējums tāpat kā citu pasākumu noteiktām personu grupām ietvaros darba devējam paredzētais finansējums ir uzskatāms par valsts atbalstu Līguma par Eiropas Savienības darbību 107. un 108.panta izpratnē</w:t>
            </w:r>
            <w:r w:rsidR="00553802" w:rsidRPr="0049540C">
              <w:t xml:space="preserve"> un tas tiks īstenots atbilstoši MK noteikumu Nr.75 </w:t>
            </w:r>
            <w:r w:rsidR="00553802" w:rsidRPr="0049540C">
              <w:rPr>
                <w:bCs/>
                <w:color w:val="414142"/>
                <w:shd w:val="clear" w:color="auto" w:fill="FFFFFF"/>
              </w:rPr>
              <w:t>6.</w:t>
            </w:r>
            <w:r w:rsidR="00553802" w:rsidRPr="0049540C">
              <w:rPr>
                <w:bCs/>
                <w:shd w:val="clear" w:color="auto" w:fill="FFFFFF"/>
                <w:vertAlign w:val="superscript"/>
              </w:rPr>
              <w:t>2</w:t>
            </w:r>
            <w:r w:rsidR="00553802" w:rsidRPr="0049540C">
              <w:rPr>
                <w:bCs/>
                <w:shd w:val="clear" w:color="auto" w:fill="FFFFFF"/>
              </w:rPr>
              <w:t> nodaļā “Ar valsts atbalsta saņemšanu</w:t>
            </w:r>
            <w:r w:rsidR="00553802" w:rsidRPr="0049540C">
              <w:rPr>
                <w:bCs/>
                <w:color w:val="414142"/>
                <w:shd w:val="clear" w:color="auto" w:fill="FFFFFF"/>
              </w:rPr>
              <w:t xml:space="preserve"> </w:t>
            </w:r>
            <w:r w:rsidR="00553802" w:rsidRPr="0049540C">
              <w:rPr>
                <w:bCs/>
                <w:shd w:val="clear" w:color="auto" w:fill="FFFFFF"/>
              </w:rPr>
              <w:t>saistītie nosacījumi</w:t>
            </w:r>
            <w:r w:rsidR="00553802" w:rsidRPr="0049540C">
              <w:t>” noteiktajām valsts atbalsta piešķiršanas prasībām</w:t>
            </w:r>
            <w:r w:rsidRPr="0049540C">
              <w:t>, tādējādi MK noteikumu Nr.75 6.</w:t>
            </w:r>
            <w:r w:rsidRPr="0049540C">
              <w:rPr>
                <w:vertAlign w:val="superscript"/>
              </w:rPr>
              <w:t>2</w:t>
            </w:r>
            <w:r w:rsidRPr="0049540C">
              <w:t>  nodaļu “Ar valsts atbalsta saņemšanu saistītie nosacījumi” nepieciešams</w:t>
            </w:r>
            <w:r w:rsidR="004565E4" w:rsidRPr="0049540C">
              <w:t xml:space="preserve"> analoģiski</w:t>
            </w:r>
            <w:r w:rsidRPr="0049540C">
              <w:t xml:space="preserve"> papildināt ar atsaucēm uz jaunu pasākumu.</w:t>
            </w:r>
          </w:p>
          <w:p w14:paraId="4EBE8BEC" w14:textId="575CF48D" w:rsidR="00F27125" w:rsidRPr="0049540C" w:rsidRDefault="00F27125" w:rsidP="0080473F">
            <w:pPr>
              <w:shd w:val="clear" w:color="000000" w:fill="FFFFFF"/>
              <w:jc w:val="both"/>
            </w:pPr>
          </w:p>
        </w:tc>
      </w:tr>
      <w:tr w:rsidR="008D68DB" w:rsidRPr="0049540C" w14:paraId="6E49567A" w14:textId="77777777">
        <w:tc>
          <w:tcPr>
            <w:tcW w:w="381" w:type="dxa"/>
            <w:shd w:val="clear" w:color="000000" w:fill="auto"/>
          </w:tcPr>
          <w:p w14:paraId="5BDF567C" w14:textId="77777777" w:rsidR="008D68DB" w:rsidRPr="0049540C" w:rsidRDefault="00DF37EA">
            <w:pPr>
              <w:rPr>
                <w:sz w:val="22"/>
                <w:szCs w:val="22"/>
              </w:rPr>
            </w:pPr>
            <w:r w:rsidRPr="0049540C">
              <w:rPr>
                <w:sz w:val="22"/>
                <w:szCs w:val="22"/>
              </w:rPr>
              <w:lastRenderedPageBreak/>
              <w:t>3.</w:t>
            </w:r>
          </w:p>
        </w:tc>
        <w:tc>
          <w:tcPr>
            <w:tcW w:w="2419" w:type="dxa"/>
            <w:shd w:val="clear" w:color="000000" w:fill="auto"/>
          </w:tcPr>
          <w:p w14:paraId="2205A9E4" w14:textId="77777777" w:rsidR="008D68DB" w:rsidRPr="0049540C" w:rsidRDefault="00DF37EA">
            <w:r w:rsidRPr="0049540C">
              <w:t>Projekta izstrādē iesaistītās institūcijas</w:t>
            </w:r>
          </w:p>
        </w:tc>
        <w:tc>
          <w:tcPr>
            <w:tcW w:w="6410" w:type="dxa"/>
            <w:shd w:val="clear" w:color="000000" w:fill="auto"/>
          </w:tcPr>
          <w:p w14:paraId="4E53574F" w14:textId="627BF5FC" w:rsidR="008D68DB" w:rsidRPr="0049540C" w:rsidRDefault="00723399">
            <w:pPr>
              <w:jc w:val="both"/>
              <w:rPr>
                <w:color w:val="000000"/>
              </w:rPr>
            </w:pPr>
            <w:r w:rsidRPr="0049540C">
              <w:rPr>
                <w:color w:val="000000"/>
              </w:rPr>
              <w:t>A</w:t>
            </w:r>
            <w:r w:rsidR="00DF37EA" w:rsidRPr="0049540C">
              <w:rPr>
                <w:color w:val="000000"/>
              </w:rPr>
              <w:t>ģentūra</w:t>
            </w:r>
            <w:r w:rsidR="00480DC5" w:rsidRPr="0049540C">
              <w:rPr>
                <w:color w:val="000000"/>
              </w:rPr>
              <w:t>, Izglītības un zinātnes ministrija</w:t>
            </w:r>
          </w:p>
        </w:tc>
      </w:tr>
      <w:tr w:rsidR="008D68DB" w:rsidRPr="0049540C" w14:paraId="158A5463" w14:textId="77777777" w:rsidTr="003D7D54">
        <w:trPr>
          <w:trHeight w:val="5003"/>
        </w:trPr>
        <w:tc>
          <w:tcPr>
            <w:tcW w:w="381" w:type="dxa"/>
            <w:shd w:val="clear" w:color="000000" w:fill="auto"/>
          </w:tcPr>
          <w:p w14:paraId="0E876BED" w14:textId="77777777" w:rsidR="008D68DB" w:rsidRPr="0049540C" w:rsidRDefault="00DF37EA">
            <w:pPr>
              <w:rPr>
                <w:sz w:val="22"/>
                <w:szCs w:val="22"/>
              </w:rPr>
            </w:pPr>
            <w:r w:rsidRPr="0049540C">
              <w:rPr>
                <w:sz w:val="22"/>
                <w:szCs w:val="22"/>
              </w:rPr>
              <w:t xml:space="preserve">4. </w:t>
            </w:r>
          </w:p>
        </w:tc>
        <w:tc>
          <w:tcPr>
            <w:tcW w:w="2419" w:type="dxa"/>
            <w:shd w:val="clear" w:color="000000" w:fill="auto"/>
          </w:tcPr>
          <w:p w14:paraId="7C442242" w14:textId="77777777" w:rsidR="008D68DB" w:rsidRPr="0049540C" w:rsidRDefault="00DF37EA">
            <w:r w:rsidRPr="0049540C">
              <w:t>Cita informācija</w:t>
            </w:r>
          </w:p>
        </w:tc>
        <w:tc>
          <w:tcPr>
            <w:tcW w:w="6410" w:type="dxa"/>
            <w:shd w:val="clear" w:color="000000" w:fill="auto"/>
          </w:tcPr>
          <w:p w14:paraId="71E46232" w14:textId="34A25AD0" w:rsidR="008468AD" w:rsidRPr="0049540C" w:rsidRDefault="006B492E" w:rsidP="00E16C5F">
            <w:pPr>
              <w:pStyle w:val="ListParagraph"/>
              <w:ind w:left="0"/>
              <w:contextualSpacing/>
              <w:jc w:val="both"/>
              <w:rPr>
                <w:rFonts w:ascii="Times New Roman" w:eastAsia="Times New Roman" w:hAnsi="Times New Roman"/>
                <w:color w:val="000000"/>
                <w:sz w:val="24"/>
                <w:szCs w:val="24"/>
              </w:rPr>
            </w:pPr>
            <w:r w:rsidRPr="00547DF3">
              <w:rPr>
                <w:rFonts w:ascii="Times New Roman" w:hAnsi="Times New Roman"/>
                <w:color w:val="000000"/>
              </w:rPr>
              <w:t xml:space="preserve">2020.gada 19.maijā Ministru kabinetā ir izskatīts informatīvais ziņojums "Par Eiropas Savienības struktūrfondu un Kohēzijas fonda finansējuma pārdalēm un risinājumiem Covid-19 seku mazināšanai". Saskaņā ar minētā informatīvā ziņojuma 3.3.punktu jaunajām atbalstāmajām darbībām, </w:t>
            </w:r>
            <w:r w:rsidR="00480DC5" w:rsidRPr="00547DF3">
              <w:rPr>
                <w:rFonts w:ascii="Times New Roman" w:hAnsi="Times New Roman"/>
                <w:color w:val="000000"/>
              </w:rPr>
              <w:t>D</w:t>
            </w:r>
            <w:r w:rsidRPr="00547DF3">
              <w:rPr>
                <w:rFonts w:ascii="Times New Roman" w:hAnsi="Times New Roman"/>
                <w:color w:val="000000"/>
              </w:rPr>
              <w:t xml:space="preserve">arbības programmas iekšējo pārdaļu rezultātā 9.1.1.1.pasākumam “Subsidētās darbavietas nelabvēlīgākā situācijā esošiem bezdarbniekiem” plānots  novirzīt papildu 32,3 milj. </w:t>
            </w:r>
            <w:proofErr w:type="spellStart"/>
            <w:r w:rsidRPr="00547DF3">
              <w:rPr>
                <w:rFonts w:ascii="Times New Roman" w:hAnsi="Times New Roman"/>
                <w:i/>
                <w:color w:val="000000"/>
              </w:rPr>
              <w:t>euro</w:t>
            </w:r>
            <w:proofErr w:type="spellEnd"/>
            <w:r w:rsidRPr="00547DF3">
              <w:rPr>
                <w:rFonts w:ascii="Times New Roman" w:hAnsi="Times New Roman"/>
                <w:color w:val="000000"/>
              </w:rPr>
              <w:t xml:space="preserve">, no kuriem 12,3 milj. </w:t>
            </w:r>
            <w:proofErr w:type="spellStart"/>
            <w:r w:rsidRPr="00547DF3">
              <w:rPr>
                <w:rFonts w:ascii="Times New Roman" w:hAnsi="Times New Roman"/>
                <w:i/>
                <w:color w:val="000000"/>
              </w:rPr>
              <w:t>euro</w:t>
            </w:r>
            <w:proofErr w:type="spellEnd"/>
            <w:r w:rsidRPr="00547DF3">
              <w:rPr>
                <w:rFonts w:ascii="Times New Roman" w:hAnsi="Times New Roman"/>
                <w:color w:val="000000"/>
              </w:rPr>
              <w:t xml:space="preserve"> plānoti kā Labklājības ministrijas iekšējā finansējuma pārdale Labklājības ministrijas pārziņā esošajos SAM projektos.</w:t>
            </w:r>
          </w:p>
          <w:p w14:paraId="7B1EC3D6" w14:textId="77777777" w:rsidR="008468AD" w:rsidRPr="0049540C" w:rsidRDefault="008468AD" w:rsidP="008468AD">
            <w:pPr>
              <w:pStyle w:val="ListParagraph"/>
              <w:ind w:left="0"/>
              <w:contextualSpacing/>
              <w:jc w:val="both"/>
              <w:rPr>
                <w:rFonts w:ascii="Times New Roman" w:eastAsia="Times New Roman" w:hAnsi="Times New Roman"/>
                <w:color w:val="000000"/>
                <w:sz w:val="24"/>
                <w:szCs w:val="24"/>
              </w:rPr>
            </w:pPr>
            <w:r w:rsidRPr="0049540C">
              <w:rPr>
                <w:rFonts w:ascii="Times New Roman" w:eastAsia="Times New Roman" w:hAnsi="Times New Roman"/>
                <w:color w:val="000000"/>
                <w:sz w:val="24"/>
                <w:szCs w:val="24"/>
              </w:rPr>
              <w:t>Bezdarbnieku apmācības tiek īstenotas Darbības programmas „Izaugsme un nodarbinātība” 7.1.1.specifiskā atbalsta mērķa „Paaugstināt bezdarbnieku kvalifikāciju un prasmes atbilstoši darba tirgus pieprasījumam” pieejamā finansējuma (ESF finansējums) ietvaros.</w:t>
            </w:r>
          </w:p>
          <w:p w14:paraId="77129C3C" w14:textId="77777777" w:rsidR="008468AD" w:rsidRPr="0049540C" w:rsidRDefault="008468AD" w:rsidP="00E16C5F">
            <w:pPr>
              <w:pStyle w:val="ListParagraph"/>
              <w:ind w:left="0"/>
              <w:contextualSpacing/>
              <w:jc w:val="both"/>
              <w:rPr>
                <w:rFonts w:ascii="Times New Roman" w:eastAsia="Times New Roman" w:hAnsi="Times New Roman"/>
                <w:color w:val="000000"/>
                <w:sz w:val="24"/>
                <w:szCs w:val="24"/>
              </w:rPr>
            </w:pPr>
          </w:p>
          <w:p w14:paraId="4F74AC92" w14:textId="4A0D44BE" w:rsidR="001574CC" w:rsidRPr="0049540C" w:rsidRDefault="001574CC" w:rsidP="00E16C5F">
            <w:pPr>
              <w:pStyle w:val="ListParagraph"/>
              <w:ind w:left="0"/>
              <w:contextualSpacing/>
              <w:jc w:val="both"/>
              <w:rPr>
                <w:rFonts w:ascii="Times New Roman" w:eastAsia="Times New Roman" w:hAnsi="Times New Roman"/>
                <w:color w:val="000000"/>
                <w:sz w:val="24"/>
                <w:szCs w:val="24"/>
              </w:rPr>
            </w:pPr>
          </w:p>
          <w:p w14:paraId="297D6B55" w14:textId="77777777" w:rsidR="0062469B" w:rsidRPr="0049540C" w:rsidRDefault="0062469B" w:rsidP="00E16C5F">
            <w:pPr>
              <w:pStyle w:val="ListParagraph"/>
              <w:ind w:left="0"/>
              <w:contextualSpacing/>
              <w:jc w:val="both"/>
              <w:rPr>
                <w:rFonts w:ascii="Times New Roman" w:eastAsia="Times New Roman" w:hAnsi="Times New Roman"/>
                <w:color w:val="000000"/>
                <w:sz w:val="24"/>
                <w:szCs w:val="24"/>
              </w:rPr>
            </w:pPr>
          </w:p>
          <w:p w14:paraId="5CE342E6" w14:textId="59C7753A" w:rsidR="006D019E" w:rsidRPr="0049540C" w:rsidRDefault="006D019E" w:rsidP="006B492E">
            <w:pPr>
              <w:pStyle w:val="ListParagraph"/>
              <w:ind w:left="0"/>
              <w:contextualSpacing/>
              <w:jc w:val="both"/>
              <w:rPr>
                <w:rFonts w:ascii="Times New Roman" w:eastAsia="Times New Roman" w:hAnsi="Times New Roman"/>
                <w:color w:val="000000"/>
                <w:sz w:val="24"/>
                <w:szCs w:val="24"/>
              </w:rPr>
            </w:pPr>
          </w:p>
        </w:tc>
      </w:tr>
    </w:tbl>
    <w:p w14:paraId="76F234EB" w14:textId="42651429" w:rsidR="00D35EF5" w:rsidRPr="0049540C" w:rsidRDefault="00D35EF5" w:rsidP="006D019E"/>
    <w:p w14:paraId="3AC33180" w14:textId="6D4ED5B6" w:rsidR="006D019E" w:rsidRPr="0049540C" w:rsidRDefault="006D019E" w:rsidP="006D019E"/>
    <w:p w14:paraId="7F722A23" w14:textId="3AB4EC8C" w:rsidR="006D019E" w:rsidRPr="0049540C" w:rsidRDefault="006D019E" w:rsidP="006D019E"/>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rsidRPr="0049540C" w14:paraId="0D19534F" w14:textId="77777777">
        <w:tc>
          <w:tcPr>
            <w:tcW w:w="9214" w:type="dxa"/>
            <w:gridSpan w:val="3"/>
            <w:shd w:val="clear" w:color="000000" w:fill="auto"/>
          </w:tcPr>
          <w:p w14:paraId="436FF30E" w14:textId="77777777" w:rsidR="008D68DB" w:rsidRPr="0049540C" w:rsidRDefault="00DF37EA">
            <w:pPr>
              <w:pStyle w:val="naisnod"/>
              <w:ind w:left="57" w:right="57"/>
              <w:rPr>
                <w:b w:val="0"/>
                <w:sz w:val="24"/>
                <w:szCs w:val="24"/>
              </w:rPr>
            </w:pPr>
            <w:r w:rsidRPr="0049540C">
              <w:rPr>
                <w:sz w:val="24"/>
                <w:szCs w:val="24"/>
              </w:rPr>
              <w:t>II.</w:t>
            </w:r>
            <w:r w:rsidRPr="0049540C">
              <w:rPr>
                <w:b w:val="0"/>
                <w:sz w:val="24"/>
                <w:szCs w:val="24"/>
              </w:rPr>
              <w:t xml:space="preserve"> </w:t>
            </w:r>
            <w:r w:rsidRPr="0049540C">
              <w:rPr>
                <w:sz w:val="24"/>
                <w:szCs w:val="24"/>
              </w:rPr>
              <w:t>Tiesību akta projekta ietekme uz sabiedrību, tautsaimniecības attīstību</w:t>
            </w:r>
          </w:p>
          <w:p w14:paraId="38CC34FB" w14:textId="77777777" w:rsidR="008D68DB" w:rsidRPr="0049540C" w:rsidRDefault="00DF37EA">
            <w:pPr>
              <w:jc w:val="center"/>
              <w:rPr>
                <w:b/>
              </w:rPr>
            </w:pPr>
            <w:r w:rsidRPr="0049540C">
              <w:rPr>
                <w:b/>
              </w:rPr>
              <w:t>un administratīvo slogu</w:t>
            </w:r>
          </w:p>
        </w:tc>
      </w:tr>
      <w:tr w:rsidR="008D68DB" w:rsidRPr="0049540C" w14:paraId="1C11A463" w14:textId="77777777">
        <w:tc>
          <w:tcPr>
            <w:tcW w:w="397" w:type="dxa"/>
            <w:shd w:val="clear" w:color="000000" w:fill="auto"/>
          </w:tcPr>
          <w:p w14:paraId="1F9DB42D" w14:textId="77777777" w:rsidR="008D68DB" w:rsidRPr="0049540C" w:rsidRDefault="00DF37EA">
            <w:pPr>
              <w:rPr>
                <w:sz w:val="22"/>
                <w:szCs w:val="22"/>
              </w:rPr>
            </w:pPr>
            <w:r w:rsidRPr="0049540C">
              <w:rPr>
                <w:sz w:val="22"/>
                <w:szCs w:val="22"/>
              </w:rPr>
              <w:t>1.</w:t>
            </w:r>
          </w:p>
        </w:tc>
        <w:tc>
          <w:tcPr>
            <w:tcW w:w="2410" w:type="dxa"/>
            <w:shd w:val="clear" w:color="000000" w:fill="auto"/>
          </w:tcPr>
          <w:p w14:paraId="0015D7DA" w14:textId="77777777" w:rsidR="008D68DB" w:rsidRPr="0049540C" w:rsidRDefault="00DF37EA">
            <w:pPr>
              <w:rPr>
                <w:sz w:val="22"/>
                <w:szCs w:val="22"/>
              </w:rPr>
            </w:pPr>
            <w:r w:rsidRPr="0049540C">
              <w:t xml:space="preserve">Sabiedrības </w:t>
            </w:r>
            <w:proofErr w:type="spellStart"/>
            <w:r w:rsidRPr="0049540C">
              <w:t>mērķgrupas</w:t>
            </w:r>
            <w:proofErr w:type="spellEnd"/>
            <w:r w:rsidRPr="0049540C">
              <w:t>, kuras tiesiskais regulējums ietekmē vai varētu ietekmēt</w:t>
            </w:r>
          </w:p>
        </w:tc>
        <w:tc>
          <w:tcPr>
            <w:tcW w:w="6407" w:type="dxa"/>
            <w:shd w:val="clear" w:color="000000" w:fill="auto"/>
          </w:tcPr>
          <w:p w14:paraId="61066DD5" w14:textId="630C8709" w:rsidR="008D68DB" w:rsidRPr="0049540C" w:rsidRDefault="00DF37EA">
            <w:pPr>
              <w:jc w:val="both"/>
              <w:rPr>
                <w:color w:val="000000"/>
              </w:rPr>
            </w:pPr>
            <w:r w:rsidRPr="0049540C">
              <w:rPr>
                <w:color w:val="000000"/>
              </w:rPr>
              <w:t xml:space="preserve">Noteikumu projekts attiecas uz </w:t>
            </w:r>
            <w:r w:rsidR="00891F2E" w:rsidRPr="0049540C">
              <w:rPr>
                <w:color w:val="000000"/>
              </w:rPr>
              <w:t>A</w:t>
            </w:r>
            <w:r w:rsidR="00E16C5F" w:rsidRPr="0049540C">
              <w:rPr>
                <w:color w:val="000000"/>
              </w:rPr>
              <w:t>ģentūrā</w:t>
            </w:r>
            <w:r w:rsidRPr="0049540C">
              <w:rPr>
                <w:color w:val="000000"/>
              </w:rPr>
              <w:t xml:space="preserve"> reģistrētajiem </w:t>
            </w:r>
            <w:r w:rsidR="00E16C5F" w:rsidRPr="0049540C">
              <w:rPr>
                <w:color w:val="000000"/>
              </w:rPr>
              <w:t>bezdarbniekiem,</w:t>
            </w:r>
            <w:r w:rsidRPr="0049540C">
              <w:rPr>
                <w:color w:val="000000"/>
              </w:rPr>
              <w:t xml:space="preserve"> </w:t>
            </w:r>
            <w:r w:rsidR="00891F2E" w:rsidRPr="0049540C">
              <w:rPr>
                <w:color w:val="000000"/>
              </w:rPr>
              <w:t>A</w:t>
            </w:r>
            <w:r w:rsidR="009E1FBF" w:rsidRPr="0049540C">
              <w:rPr>
                <w:color w:val="000000"/>
              </w:rPr>
              <w:t xml:space="preserve">ģentūru, </w:t>
            </w:r>
            <w:r w:rsidR="00891F2E" w:rsidRPr="0049540C">
              <w:rPr>
                <w:color w:val="000000"/>
              </w:rPr>
              <w:t xml:space="preserve">IKVD, </w:t>
            </w:r>
            <w:r w:rsidR="00E16C5F" w:rsidRPr="0049540C">
              <w:rPr>
                <w:color w:val="000000"/>
              </w:rPr>
              <w:t>pašvald</w:t>
            </w:r>
            <w:r w:rsidR="009E1FBF" w:rsidRPr="0049540C">
              <w:rPr>
                <w:color w:val="000000"/>
              </w:rPr>
              <w:t>īb</w:t>
            </w:r>
            <w:r w:rsidR="00E16C5F" w:rsidRPr="0049540C">
              <w:rPr>
                <w:color w:val="000000"/>
              </w:rPr>
              <w:t>ām</w:t>
            </w:r>
            <w:r w:rsidR="009E1FBF" w:rsidRPr="0049540C">
              <w:rPr>
                <w:color w:val="000000"/>
              </w:rPr>
              <w:t>, biedrībām un nodibinājumiem</w:t>
            </w:r>
            <w:r w:rsidR="002A541F" w:rsidRPr="0049540C">
              <w:rPr>
                <w:color w:val="000000"/>
              </w:rPr>
              <w:t>, augstākās izglītības iestādēm</w:t>
            </w:r>
            <w:r w:rsidR="009E1FBF" w:rsidRPr="0049540C">
              <w:rPr>
                <w:color w:val="000000"/>
              </w:rPr>
              <w:t>.</w:t>
            </w:r>
          </w:p>
          <w:p w14:paraId="4EB06197" w14:textId="078E3D07" w:rsidR="008D68DB" w:rsidRPr="0049540C" w:rsidRDefault="00DB361C">
            <w:pPr>
              <w:jc w:val="both"/>
              <w:rPr>
                <w:color w:val="000000"/>
              </w:rPr>
            </w:pPr>
            <w:r w:rsidRPr="0049540C">
              <w:rPr>
                <w:color w:val="000000"/>
              </w:rPr>
              <w:t>2020</w:t>
            </w:r>
            <w:r w:rsidR="00DF37EA" w:rsidRPr="0049540C">
              <w:rPr>
                <w:color w:val="000000"/>
              </w:rPr>
              <w:t xml:space="preserve">.gada </w:t>
            </w:r>
            <w:r w:rsidR="002A541F" w:rsidRPr="0049540C">
              <w:rPr>
                <w:color w:val="000000"/>
              </w:rPr>
              <w:t>25</w:t>
            </w:r>
            <w:r w:rsidR="00F6005F" w:rsidRPr="0049540C">
              <w:rPr>
                <w:color w:val="000000"/>
              </w:rPr>
              <w:t>.</w:t>
            </w:r>
            <w:r w:rsidR="002A541F" w:rsidRPr="0049540C">
              <w:rPr>
                <w:color w:val="000000"/>
              </w:rPr>
              <w:t>maijā</w:t>
            </w:r>
            <w:r w:rsidR="00F6005F" w:rsidRPr="0049540C">
              <w:rPr>
                <w:color w:val="000000"/>
              </w:rPr>
              <w:t xml:space="preserve"> </w:t>
            </w:r>
            <w:r w:rsidR="00DF37EA" w:rsidRPr="0049540C">
              <w:rPr>
                <w:color w:val="000000"/>
              </w:rPr>
              <w:t>bezdarbnieka status</w:t>
            </w:r>
            <w:r w:rsidR="00224A53" w:rsidRPr="0049540C">
              <w:rPr>
                <w:color w:val="000000"/>
              </w:rPr>
              <w:t>ā</w:t>
            </w:r>
            <w:r w:rsidR="00DF37EA" w:rsidRPr="0049540C">
              <w:rPr>
                <w:color w:val="000000"/>
              </w:rPr>
              <w:t xml:space="preserve"> reģistrēt</w:t>
            </w:r>
            <w:r w:rsidR="00224A53" w:rsidRPr="0049540C">
              <w:rPr>
                <w:color w:val="000000"/>
              </w:rPr>
              <w:t>as</w:t>
            </w:r>
            <w:r w:rsidR="00DF37EA" w:rsidRPr="0049540C">
              <w:rPr>
                <w:color w:val="000000"/>
              </w:rPr>
              <w:t xml:space="preserve"> </w:t>
            </w:r>
            <w:r w:rsidR="002A541F" w:rsidRPr="0049540C">
              <w:rPr>
                <w:color w:val="000000"/>
              </w:rPr>
              <w:t xml:space="preserve">76 134 </w:t>
            </w:r>
            <w:r w:rsidR="00DF37EA" w:rsidRPr="0049540C">
              <w:rPr>
                <w:color w:val="000000"/>
              </w:rPr>
              <w:t>person</w:t>
            </w:r>
            <w:r w:rsidR="00224A53" w:rsidRPr="0049540C">
              <w:rPr>
                <w:color w:val="000000"/>
              </w:rPr>
              <w:t>as</w:t>
            </w:r>
            <w:r w:rsidR="00DF37EA" w:rsidRPr="0049540C">
              <w:rPr>
                <w:color w:val="000000"/>
              </w:rPr>
              <w:t>.</w:t>
            </w:r>
          </w:p>
          <w:p w14:paraId="44D91B0E" w14:textId="3041D3D0" w:rsidR="006D019E" w:rsidRPr="0049540C" w:rsidRDefault="00DF37EA">
            <w:pPr>
              <w:jc w:val="both"/>
              <w:rPr>
                <w:color w:val="000000"/>
              </w:rPr>
            </w:pPr>
            <w:r w:rsidRPr="0049540C">
              <w:rPr>
                <w:color w:val="000000"/>
              </w:rPr>
              <w:t xml:space="preserve">Lielākās </w:t>
            </w:r>
            <w:proofErr w:type="spellStart"/>
            <w:r w:rsidRPr="0049540C">
              <w:rPr>
                <w:color w:val="000000"/>
              </w:rPr>
              <w:t>mērķgrupas</w:t>
            </w:r>
            <w:proofErr w:type="spellEnd"/>
            <w:r w:rsidRPr="0049540C">
              <w:rPr>
                <w:color w:val="000000"/>
              </w:rPr>
              <w:t xml:space="preserve"> no bezdarbnieku kopskaita ir bezdarbnieki vecumā 5</w:t>
            </w:r>
            <w:r w:rsidR="00BD282E" w:rsidRPr="0049540C">
              <w:rPr>
                <w:color w:val="000000"/>
              </w:rPr>
              <w:t>0</w:t>
            </w:r>
            <w:r w:rsidRPr="0049540C">
              <w:rPr>
                <w:color w:val="000000"/>
              </w:rPr>
              <w:t xml:space="preserve"> gadi un vairāk – </w:t>
            </w:r>
            <w:r w:rsidR="00E72B66" w:rsidRPr="0049540C">
              <w:rPr>
                <w:color w:val="000000"/>
              </w:rPr>
              <w:t>36</w:t>
            </w:r>
            <w:r w:rsidRPr="0049540C">
              <w:rPr>
                <w:color w:val="000000"/>
              </w:rPr>
              <w:t>,</w:t>
            </w:r>
            <w:r w:rsidR="00E72B66" w:rsidRPr="0049540C">
              <w:rPr>
                <w:color w:val="000000"/>
              </w:rPr>
              <w:t>9</w:t>
            </w:r>
            <w:r w:rsidRPr="0049540C">
              <w:rPr>
                <w:color w:val="000000"/>
              </w:rPr>
              <w:t xml:space="preserve">%, ilgstošie bezdarbnieki – </w:t>
            </w:r>
            <w:r w:rsidR="00E72B66" w:rsidRPr="0049540C">
              <w:rPr>
                <w:color w:val="000000"/>
              </w:rPr>
              <w:t>17,</w:t>
            </w:r>
            <w:r w:rsidRPr="0049540C">
              <w:rPr>
                <w:color w:val="000000"/>
              </w:rPr>
              <w:t>2%</w:t>
            </w:r>
            <w:r w:rsidR="00F6005F" w:rsidRPr="0049540C">
              <w:rPr>
                <w:color w:val="000000"/>
              </w:rPr>
              <w:t xml:space="preserve">, pirms-pensijas vecuma bezdarbnieki – </w:t>
            </w:r>
            <w:r w:rsidR="00E72B66" w:rsidRPr="0049540C">
              <w:rPr>
                <w:color w:val="000000"/>
              </w:rPr>
              <w:t>14</w:t>
            </w:r>
            <w:r w:rsidR="00F6005F" w:rsidRPr="0049540C">
              <w:rPr>
                <w:color w:val="000000"/>
              </w:rPr>
              <w:t>,</w:t>
            </w:r>
            <w:r w:rsidR="00E72B66" w:rsidRPr="0049540C">
              <w:rPr>
                <w:color w:val="000000"/>
              </w:rPr>
              <w:t>7</w:t>
            </w:r>
            <w:r w:rsidR="00F6005F" w:rsidRPr="0049540C">
              <w:rPr>
                <w:color w:val="000000"/>
              </w:rPr>
              <w:t xml:space="preserve">%, </w:t>
            </w:r>
            <w:r w:rsidRPr="0049540C">
              <w:rPr>
                <w:color w:val="000000"/>
              </w:rPr>
              <w:t xml:space="preserve"> bezdarbnieki ar invaliditāti – 1</w:t>
            </w:r>
            <w:r w:rsidR="00E72B66" w:rsidRPr="0049540C">
              <w:rPr>
                <w:color w:val="000000"/>
              </w:rPr>
              <w:t>1</w:t>
            </w:r>
            <w:r w:rsidRPr="0049540C">
              <w:rPr>
                <w:color w:val="000000"/>
              </w:rPr>
              <w:t>,</w:t>
            </w:r>
            <w:r w:rsidR="00E72B66" w:rsidRPr="0049540C">
              <w:rPr>
                <w:color w:val="000000"/>
              </w:rPr>
              <w:t>3</w:t>
            </w:r>
            <w:r w:rsidRPr="0049540C">
              <w:rPr>
                <w:color w:val="000000"/>
              </w:rPr>
              <w:t>%.</w:t>
            </w:r>
          </w:p>
          <w:p w14:paraId="5F9CC3D5" w14:textId="726FC4AD" w:rsidR="006D019E" w:rsidRPr="0049540C" w:rsidRDefault="006D019E">
            <w:pPr>
              <w:jc w:val="both"/>
              <w:rPr>
                <w:color w:val="000000"/>
              </w:rPr>
            </w:pPr>
          </w:p>
        </w:tc>
      </w:tr>
      <w:tr w:rsidR="008D68DB" w:rsidRPr="0049540C" w14:paraId="5610D374" w14:textId="77777777">
        <w:tc>
          <w:tcPr>
            <w:tcW w:w="397" w:type="dxa"/>
            <w:shd w:val="clear" w:color="000000" w:fill="auto"/>
          </w:tcPr>
          <w:p w14:paraId="6BDC33EB" w14:textId="77777777" w:rsidR="008D68DB" w:rsidRPr="0049540C" w:rsidRDefault="00DF37EA">
            <w:pPr>
              <w:rPr>
                <w:sz w:val="22"/>
                <w:szCs w:val="22"/>
              </w:rPr>
            </w:pPr>
            <w:r w:rsidRPr="0049540C">
              <w:rPr>
                <w:sz w:val="22"/>
                <w:szCs w:val="22"/>
              </w:rPr>
              <w:lastRenderedPageBreak/>
              <w:t xml:space="preserve">2. </w:t>
            </w:r>
          </w:p>
        </w:tc>
        <w:tc>
          <w:tcPr>
            <w:tcW w:w="2410" w:type="dxa"/>
            <w:shd w:val="clear" w:color="000000" w:fill="auto"/>
          </w:tcPr>
          <w:p w14:paraId="79C0A2EC" w14:textId="77777777" w:rsidR="008D68DB" w:rsidRPr="0049540C" w:rsidRDefault="00DF37EA">
            <w:r w:rsidRPr="0049540C">
              <w:t>Tiesiskā regulējuma ietekme uz tautsaimniecību un administratīvo slogu</w:t>
            </w:r>
          </w:p>
        </w:tc>
        <w:tc>
          <w:tcPr>
            <w:tcW w:w="6407" w:type="dxa"/>
            <w:shd w:val="clear" w:color="000000" w:fill="auto"/>
          </w:tcPr>
          <w:p w14:paraId="6E372EF1" w14:textId="76C7DBD4" w:rsidR="008D68DB" w:rsidRPr="0049540C" w:rsidRDefault="00264FF1" w:rsidP="006D019E">
            <w:pPr>
              <w:widowControl w:val="0"/>
              <w:tabs>
                <w:tab w:val="left" w:pos="1276"/>
              </w:tabs>
              <w:spacing w:after="240"/>
              <w:jc w:val="both"/>
              <w:rPr>
                <w:bCs/>
              </w:rPr>
            </w:pPr>
            <w:r w:rsidRPr="0049540C">
              <w:rPr>
                <w:bCs/>
              </w:rPr>
              <w:t>Aktīvie nodarbinātības pasākumi un preventīvie bezdarba samazināšanas pasākumi atstāj labvēlīgu ietekmi uz iedzīvotāju ekonomisko aktivitāti un konkurētspēju da</w:t>
            </w:r>
            <w:r w:rsidR="00DB361C" w:rsidRPr="0049540C">
              <w:rPr>
                <w:bCs/>
              </w:rPr>
              <w:t>rba tirgū</w:t>
            </w:r>
            <w:r w:rsidR="000860BD" w:rsidRPr="0049540C">
              <w:rPr>
                <w:bCs/>
              </w:rPr>
              <w:t xml:space="preserve">, tāpat  nodrošina arī ienākumus bezdarba periodā, </w:t>
            </w:r>
            <w:r w:rsidR="000A0168" w:rsidRPr="0049540C">
              <w:rPr>
                <w:bCs/>
              </w:rPr>
              <w:t>kur</w:t>
            </w:r>
            <w:r w:rsidR="006D5530" w:rsidRPr="0049540C">
              <w:rPr>
                <w:bCs/>
              </w:rPr>
              <w:t>i tiek</w:t>
            </w:r>
            <w:r w:rsidR="000A0168" w:rsidRPr="0049540C">
              <w:rPr>
                <w:bCs/>
              </w:rPr>
              <w:t xml:space="preserve"> izmanto</w:t>
            </w:r>
            <w:r w:rsidR="006D5530" w:rsidRPr="0049540C">
              <w:rPr>
                <w:bCs/>
              </w:rPr>
              <w:t>ti</w:t>
            </w:r>
            <w:r w:rsidR="000A0168" w:rsidRPr="0049540C">
              <w:rPr>
                <w:bCs/>
              </w:rPr>
              <w:t xml:space="preserve"> </w:t>
            </w:r>
            <w:r w:rsidR="006D5530" w:rsidRPr="0049540C">
              <w:rPr>
                <w:bCs/>
              </w:rPr>
              <w:t xml:space="preserve">patēriņam un </w:t>
            </w:r>
            <w:r w:rsidR="000860BD" w:rsidRPr="0049540C">
              <w:rPr>
                <w:bCs/>
              </w:rPr>
              <w:t>pamatvajadzību nodrošināšanai</w:t>
            </w:r>
            <w:r w:rsidR="00DB361C" w:rsidRPr="0049540C">
              <w:rPr>
                <w:bCs/>
              </w:rPr>
              <w:t xml:space="preserve">. Cita starpā izņēmums </w:t>
            </w:r>
            <w:r w:rsidR="00B33EA1" w:rsidRPr="0049540C">
              <w:rPr>
                <w:bCs/>
              </w:rPr>
              <w:t xml:space="preserve">algoto pagaidu sabiedrisko darbu </w:t>
            </w:r>
            <w:r w:rsidR="00DB361C" w:rsidRPr="0049540C">
              <w:rPr>
                <w:bCs/>
              </w:rPr>
              <w:t xml:space="preserve"> iesaistes nosacījumos </w:t>
            </w:r>
            <w:r w:rsidRPr="0049540C">
              <w:rPr>
                <w:bCs/>
              </w:rPr>
              <w:t>veicinās nelabvēlīgākā situācij</w:t>
            </w:r>
            <w:r w:rsidR="00DB361C" w:rsidRPr="0049540C">
              <w:rPr>
                <w:bCs/>
              </w:rPr>
              <w:t xml:space="preserve">ā esošo iedzīvotāju </w:t>
            </w:r>
            <w:r w:rsidRPr="0049540C">
              <w:rPr>
                <w:bCs/>
              </w:rPr>
              <w:t xml:space="preserve"> ekonomiskās aktivitātes saglabāšanos un </w:t>
            </w:r>
            <w:r w:rsidR="006D5530" w:rsidRPr="0049540C">
              <w:rPr>
                <w:bCs/>
              </w:rPr>
              <w:t xml:space="preserve">iespējas </w:t>
            </w:r>
            <w:r w:rsidRPr="0049540C">
              <w:rPr>
                <w:bCs/>
              </w:rPr>
              <w:t>iekļau</w:t>
            </w:r>
            <w:r w:rsidR="006D5530" w:rsidRPr="0049540C">
              <w:rPr>
                <w:bCs/>
              </w:rPr>
              <w:t>ties</w:t>
            </w:r>
            <w:r w:rsidRPr="0049540C">
              <w:rPr>
                <w:bCs/>
              </w:rPr>
              <w:t xml:space="preserve"> darba tirgū</w:t>
            </w:r>
            <w:r w:rsidR="006D5530" w:rsidRPr="0049540C">
              <w:rPr>
                <w:bCs/>
              </w:rPr>
              <w:t xml:space="preserve"> </w:t>
            </w:r>
            <w:proofErr w:type="spellStart"/>
            <w:r w:rsidR="006D5530" w:rsidRPr="0049540C">
              <w:rPr>
                <w:bCs/>
              </w:rPr>
              <w:t>pēckrīzes</w:t>
            </w:r>
            <w:proofErr w:type="spellEnd"/>
            <w:r w:rsidR="006D5530" w:rsidRPr="0049540C">
              <w:rPr>
                <w:bCs/>
              </w:rPr>
              <w:t xml:space="preserve"> periodā</w:t>
            </w:r>
            <w:r w:rsidRPr="0049540C">
              <w:rPr>
                <w:bCs/>
              </w:rPr>
              <w:t>.</w:t>
            </w:r>
          </w:p>
        </w:tc>
      </w:tr>
      <w:tr w:rsidR="008D68DB" w14:paraId="02ACC8FF" w14:textId="77777777">
        <w:tc>
          <w:tcPr>
            <w:tcW w:w="397" w:type="dxa"/>
            <w:shd w:val="clear" w:color="000000" w:fill="auto"/>
          </w:tcPr>
          <w:p w14:paraId="5E8CE560" w14:textId="77777777" w:rsidR="008D68DB" w:rsidRDefault="00DF37EA">
            <w:pPr>
              <w:rPr>
                <w:sz w:val="22"/>
                <w:szCs w:val="22"/>
              </w:rPr>
            </w:pPr>
            <w:r>
              <w:rPr>
                <w:sz w:val="22"/>
                <w:szCs w:val="22"/>
              </w:rPr>
              <w:t>3.</w:t>
            </w:r>
          </w:p>
        </w:tc>
        <w:tc>
          <w:tcPr>
            <w:tcW w:w="2410" w:type="dxa"/>
            <w:shd w:val="clear" w:color="000000" w:fill="auto"/>
          </w:tcPr>
          <w:p w14:paraId="5E4884B7" w14:textId="77777777" w:rsidR="008D68DB" w:rsidRDefault="00DF37EA">
            <w:r>
              <w:t>Administratīvo izmaksu monetārs novērtējums</w:t>
            </w:r>
          </w:p>
        </w:tc>
        <w:tc>
          <w:tcPr>
            <w:tcW w:w="6407" w:type="dxa"/>
            <w:shd w:val="clear" w:color="000000" w:fill="auto"/>
          </w:tcPr>
          <w:p w14:paraId="1F184F74" w14:textId="77777777" w:rsidR="008D68DB" w:rsidRDefault="00DF37EA">
            <w:pPr>
              <w:jc w:val="both"/>
              <w:rPr>
                <w:i/>
                <w:color w:val="000000"/>
              </w:rPr>
            </w:pPr>
            <w:r>
              <w:rPr>
                <w:color w:val="000000"/>
              </w:rPr>
              <w:t>Noteikumu projekts šo jomu neskar.</w:t>
            </w:r>
          </w:p>
        </w:tc>
      </w:tr>
      <w:tr w:rsidR="008D68DB" w14:paraId="2B7256D5" w14:textId="77777777">
        <w:tc>
          <w:tcPr>
            <w:tcW w:w="397" w:type="dxa"/>
            <w:shd w:val="clear" w:color="000000" w:fill="auto"/>
          </w:tcPr>
          <w:p w14:paraId="39A7866D" w14:textId="77777777" w:rsidR="008D68DB" w:rsidRDefault="00DF37EA">
            <w:pPr>
              <w:rPr>
                <w:sz w:val="22"/>
                <w:szCs w:val="22"/>
              </w:rPr>
            </w:pPr>
            <w:r>
              <w:rPr>
                <w:sz w:val="22"/>
                <w:szCs w:val="22"/>
              </w:rPr>
              <w:t xml:space="preserve">4. </w:t>
            </w:r>
          </w:p>
        </w:tc>
        <w:tc>
          <w:tcPr>
            <w:tcW w:w="2410" w:type="dxa"/>
            <w:shd w:val="clear" w:color="000000" w:fill="auto"/>
          </w:tcPr>
          <w:p w14:paraId="6ADCC862" w14:textId="77777777" w:rsidR="008D68DB" w:rsidRDefault="00DF37EA">
            <w:r>
              <w:t>Cita informācija</w:t>
            </w:r>
          </w:p>
        </w:tc>
        <w:tc>
          <w:tcPr>
            <w:tcW w:w="6407" w:type="dxa"/>
            <w:shd w:val="clear" w:color="000000" w:fill="auto"/>
          </w:tcPr>
          <w:p w14:paraId="33003EB4" w14:textId="6EA53F68" w:rsidR="008D68DB" w:rsidRDefault="00DF37EA">
            <w:pPr>
              <w:jc w:val="both"/>
              <w:rPr>
                <w:color w:val="000000"/>
              </w:rPr>
            </w:pPr>
            <w:r>
              <w:rPr>
                <w:color w:val="000000"/>
              </w:rPr>
              <w:t>Nav</w:t>
            </w:r>
            <w:r w:rsidR="0040133A">
              <w:rPr>
                <w:color w:val="000000"/>
              </w:rPr>
              <w:t>.</w:t>
            </w:r>
          </w:p>
        </w:tc>
      </w:tr>
    </w:tbl>
    <w:p w14:paraId="5C7A023E" w14:textId="57EA036D" w:rsidR="008D68DB" w:rsidRDefault="008D68DB"/>
    <w:p w14:paraId="47925C2A" w14:textId="77777777" w:rsidR="000F0E16" w:rsidRDefault="000F0E16"/>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0F0E16" w:rsidRPr="00BC3F74" w14:paraId="792306EF"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091EC4D" w14:textId="460B5CD0" w:rsidR="000F0E16" w:rsidRDefault="000F0E16" w:rsidP="001F002D">
            <w:pPr>
              <w:spacing w:before="100" w:beforeAutospacing="1" w:after="100" w:afterAutospacing="1" w:line="293" w:lineRule="atLeast"/>
              <w:jc w:val="center"/>
              <w:rPr>
                <w:b/>
                <w:bCs/>
              </w:rPr>
            </w:pPr>
            <w:r w:rsidRPr="000F0E16">
              <w:rPr>
                <w:b/>
                <w:bCs/>
              </w:rPr>
              <w:t>III. Tiesību akta projekta ietekme uz valsts budžetu un pašvaldību budžetiem</w:t>
            </w:r>
          </w:p>
        </w:tc>
      </w:tr>
      <w:tr w:rsidR="000F0E16" w14:paraId="29C3CF07"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CDEB2C" w14:textId="77777777" w:rsidR="000F0E16" w:rsidRDefault="000F0E16" w:rsidP="001F002D">
            <w:pPr>
              <w:spacing w:before="100" w:beforeAutospacing="1" w:after="100" w:afterAutospacing="1" w:line="293" w:lineRule="atLeast"/>
              <w:jc w:val="center"/>
              <w:rPr>
                <w:b/>
                <w:bCs/>
                <w:color w:val="414142"/>
              </w:rPr>
            </w:pPr>
            <w:r>
              <w:t>Noteikumu projekts šo jomu neskar</w:t>
            </w:r>
          </w:p>
        </w:tc>
      </w:tr>
    </w:tbl>
    <w:p w14:paraId="6A644ACA" w14:textId="249627BD" w:rsidR="000F0E16" w:rsidRDefault="000F0E16"/>
    <w:p w14:paraId="0A0EB2DF" w14:textId="77777777" w:rsidR="0056677F" w:rsidRDefault="0056677F"/>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993"/>
        <w:gridCol w:w="5820"/>
      </w:tblGrid>
      <w:tr w:rsidR="00166A64" w14:paraId="1BB2F077" w14:textId="77777777" w:rsidTr="00CC2D64">
        <w:trPr>
          <w:trHeight w:val="461"/>
          <w:jc w:val="center"/>
        </w:trPr>
        <w:tc>
          <w:tcPr>
            <w:tcW w:w="9209" w:type="dxa"/>
            <w:gridSpan w:val="3"/>
            <w:vAlign w:val="center"/>
          </w:tcPr>
          <w:p w14:paraId="7A6F523D" w14:textId="77777777" w:rsidR="00166A64" w:rsidRDefault="00166A64" w:rsidP="00CC2D64">
            <w:pPr>
              <w:jc w:val="center"/>
              <w:rPr>
                <w:rFonts w:eastAsia="Calibri" w:hAnsi="Calibri"/>
                <w:b/>
              </w:rPr>
            </w:pPr>
            <w:r>
              <w:rPr>
                <w:rFonts w:eastAsia="Calibri" w:hAnsi="Calibri"/>
                <w:b/>
              </w:rPr>
              <w:t>IV. Ties</w:t>
            </w:r>
            <w:r>
              <w:rPr>
                <w:rFonts w:eastAsia="Calibri" w:hAnsi="Calibri"/>
                <w:b/>
              </w:rPr>
              <w:t>ī</w:t>
            </w:r>
            <w:r>
              <w:rPr>
                <w:rFonts w:eastAsia="Calibri" w:hAnsi="Calibri"/>
                <w:b/>
              </w:rPr>
              <w:t>bu akta projekta ietekme uz sp</w:t>
            </w:r>
            <w:r>
              <w:rPr>
                <w:rFonts w:eastAsia="Calibri" w:hAnsi="Calibri"/>
                <w:b/>
              </w:rPr>
              <w:t>ē</w:t>
            </w:r>
            <w:r>
              <w:rPr>
                <w:rFonts w:eastAsia="Calibri" w:hAnsi="Calibri"/>
                <w:b/>
              </w:rPr>
              <w:t>k</w:t>
            </w:r>
            <w:r>
              <w:rPr>
                <w:rFonts w:eastAsia="Calibri" w:hAnsi="Calibri"/>
                <w:b/>
              </w:rPr>
              <w:t>ā</w:t>
            </w:r>
            <w:r>
              <w:rPr>
                <w:rFonts w:eastAsia="Calibri" w:hAnsi="Calibri"/>
                <w:b/>
              </w:rPr>
              <w:t xml:space="preserve"> eso</w:t>
            </w:r>
            <w:r>
              <w:rPr>
                <w:rFonts w:eastAsia="Calibri" w:hAnsi="Calibri"/>
                <w:b/>
              </w:rPr>
              <w:t>š</w:t>
            </w:r>
            <w:r>
              <w:rPr>
                <w:rFonts w:eastAsia="Calibri" w:hAnsi="Calibri"/>
                <w:b/>
              </w:rPr>
              <w:t>o ties</w:t>
            </w:r>
            <w:r>
              <w:rPr>
                <w:rFonts w:eastAsia="Calibri" w:hAnsi="Calibri"/>
                <w:b/>
              </w:rPr>
              <w:t>ī</w:t>
            </w:r>
            <w:r>
              <w:rPr>
                <w:rFonts w:eastAsia="Calibri" w:hAnsi="Calibri"/>
                <w:b/>
              </w:rPr>
              <w:t>bu normu sist</w:t>
            </w:r>
            <w:r>
              <w:rPr>
                <w:rFonts w:eastAsia="Calibri" w:hAnsi="Calibri"/>
                <w:b/>
              </w:rPr>
              <w:t>ē</w:t>
            </w:r>
            <w:r>
              <w:rPr>
                <w:rFonts w:eastAsia="Calibri" w:hAnsi="Calibri"/>
                <w:b/>
              </w:rPr>
              <w:t>mu</w:t>
            </w:r>
          </w:p>
        </w:tc>
      </w:tr>
      <w:tr w:rsidR="00166A64" w14:paraId="6944B3FD" w14:textId="77777777" w:rsidTr="00CC2D64">
        <w:trPr>
          <w:jc w:val="center"/>
        </w:trPr>
        <w:tc>
          <w:tcPr>
            <w:tcW w:w="396" w:type="dxa"/>
          </w:tcPr>
          <w:p w14:paraId="3ABFB3E9" w14:textId="77777777" w:rsidR="00166A64" w:rsidRDefault="00166A64" w:rsidP="00CC2D64">
            <w:pPr>
              <w:jc w:val="center"/>
              <w:rPr>
                <w:rFonts w:eastAsia="Calibri" w:hAnsi="Calibri"/>
              </w:rPr>
            </w:pPr>
            <w:r>
              <w:rPr>
                <w:rFonts w:eastAsia="Calibri" w:hAnsi="Calibri"/>
              </w:rPr>
              <w:t>1.</w:t>
            </w:r>
          </w:p>
        </w:tc>
        <w:tc>
          <w:tcPr>
            <w:tcW w:w="2993" w:type="dxa"/>
          </w:tcPr>
          <w:p w14:paraId="6765D1B3" w14:textId="77777777" w:rsidR="00166A64" w:rsidRDefault="00166A64" w:rsidP="00CC2D64">
            <w:pPr>
              <w:rPr>
                <w:rFonts w:eastAsia="Calibri" w:hAnsi="Calibri"/>
              </w:rPr>
            </w:pPr>
            <w:r>
              <w:rPr>
                <w:rFonts w:eastAsia="Calibri" w:hAnsi="Calibri"/>
              </w:rPr>
              <w:t>Nepiecie</w:t>
            </w:r>
            <w:r>
              <w:rPr>
                <w:rFonts w:eastAsia="Calibri" w:hAnsi="Calibri"/>
              </w:rPr>
              <w:t>š</w:t>
            </w:r>
            <w:r>
              <w:rPr>
                <w:rFonts w:eastAsia="Calibri" w:hAnsi="Calibri"/>
              </w:rPr>
              <w:t>amie saist</w:t>
            </w:r>
            <w:r>
              <w:rPr>
                <w:rFonts w:eastAsia="Calibri" w:hAnsi="Calibri"/>
              </w:rPr>
              <w:t>ī</w:t>
            </w:r>
            <w:r>
              <w:rPr>
                <w:rFonts w:eastAsia="Calibri" w:hAnsi="Calibri"/>
              </w:rPr>
              <w:t>tie ties</w:t>
            </w:r>
            <w:r>
              <w:rPr>
                <w:rFonts w:eastAsia="Calibri" w:hAnsi="Calibri"/>
              </w:rPr>
              <w:t>ī</w:t>
            </w:r>
            <w:r>
              <w:rPr>
                <w:rFonts w:eastAsia="Calibri" w:hAnsi="Calibri"/>
              </w:rPr>
              <w:t>bu aktu projekti</w:t>
            </w:r>
          </w:p>
        </w:tc>
        <w:tc>
          <w:tcPr>
            <w:tcW w:w="5820" w:type="dxa"/>
          </w:tcPr>
          <w:p w14:paraId="33A29E89" w14:textId="77777777" w:rsidR="00A302AA" w:rsidRDefault="00A302AA" w:rsidP="00A302AA">
            <w:pPr>
              <w:ind w:left="11"/>
              <w:jc w:val="both"/>
            </w:pPr>
            <w:r w:rsidRPr="00D573A0">
              <w:t>Atbilstoši Noteikumu projektā paredzētajām izmaiņām, tiks rosināti at</w:t>
            </w:r>
            <w:r>
              <w:t>tiecīg</w:t>
            </w:r>
            <w:r w:rsidRPr="00D573A0">
              <w:t>i</w:t>
            </w:r>
            <w:r>
              <w:t>e</w:t>
            </w:r>
            <w:r w:rsidRPr="00D573A0">
              <w:t xml:space="preserve"> grozījumi arī Labklājības ministrijas pārziņā esošajos</w:t>
            </w:r>
            <w:r>
              <w:t>:</w:t>
            </w:r>
          </w:p>
          <w:p w14:paraId="00A8C657" w14:textId="3096D6B7" w:rsidR="00A302AA" w:rsidRDefault="00A302AA" w:rsidP="00A302AA">
            <w:pPr>
              <w:ind w:left="11"/>
              <w:jc w:val="both"/>
            </w:pPr>
            <w:r>
              <w:t>- </w:t>
            </w:r>
            <w:r w:rsidRPr="00D35EF5">
              <w:t>2014.gada 23.decembra MK noteikumos Nr.835 “Darbības programmas „Izaugsme un nodarbinātība” 9.1.1.specifiskā atbalsta mērķa „Palielināt nelabvēlīgākā situācijā esošu bezdarbnieku iekļaušanos darba tirgū” 9.1.1.1.pasākuma “Subsidētās darbavietas nelabvēlīgākā situācijā esošiem bezdarbniekiem” īstenošanas noteikumi”</w:t>
            </w:r>
            <w:r w:rsidR="00050D6C">
              <w:t xml:space="preserve"> (atbilstoši faktiski apstiprināt</w:t>
            </w:r>
            <w:r w:rsidR="00C55BD2">
              <w:t>a</w:t>
            </w:r>
            <w:r w:rsidR="00050D6C">
              <w:t>jai finansējuma pārdalei tiks precizēts pieejamai</w:t>
            </w:r>
            <w:r w:rsidR="00D91D6A">
              <w:t>s</w:t>
            </w:r>
            <w:r w:rsidR="00050D6C">
              <w:t xml:space="preserve"> </w:t>
            </w:r>
            <w:proofErr w:type="spellStart"/>
            <w:r w:rsidR="00050D6C">
              <w:t>fnansējums</w:t>
            </w:r>
            <w:proofErr w:type="spellEnd"/>
            <w:r w:rsidR="00050D6C">
              <w:t>, atbalstāmās darbības un uzraudzības rādītāji)</w:t>
            </w:r>
            <w:r>
              <w:t>;</w:t>
            </w:r>
          </w:p>
          <w:p w14:paraId="2C87218A" w14:textId="52FFF136" w:rsidR="00166A64" w:rsidRDefault="00A302AA" w:rsidP="00A302AA">
            <w:pPr>
              <w:ind w:left="11"/>
              <w:jc w:val="both"/>
            </w:pPr>
            <w:r w:rsidRPr="00E50CF5">
              <w:t>-</w:t>
            </w:r>
            <w:r>
              <w:t> </w:t>
            </w:r>
            <w:r w:rsidRPr="00E50CF5">
              <w:t>2014.gada 23. decembra MK noteikumos Nr.836 “Darbības programmas “Izaugsme un nodarbinātība” 7.1.1.specifiskā atbalsta mērķa “Paaugstināt bezdarbnieku kvalifikāciju un prasmes atbilstoši darba tirgus pieprasījumam” īstenošanas noteikumi”</w:t>
            </w:r>
            <w:r w:rsidR="00805CB3">
              <w:t xml:space="preserve"> (tiks precizētas atbalstāmās darbības un ietverta plānotā sadarbība ar IKVD)</w:t>
            </w:r>
            <w:r>
              <w:t>.</w:t>
            </w:r>
          </w:p>
          <w:p w14:paraId="1B781830" w14:textId="3443EA7A" w:rsidR="00A16F78" w:rsidRPr="00D573A0" w:rsidRDefault="00A16F78" w:rsidP="00A302AA">
            <w:pPr>
              <w:ind w:left="11"/>
              <w:jc w:val="both"/>
            </w:pPr>
          </w:p>
        </w:tc>
      </w:tr>
      <w:tr w:rsidR="00166A64" w14:paraId="283DAD64" w14:textId="77777777" w:rsidTr="00CC2D64">
        <w:trPr>
          <w:jc w:val="center"/>
        </w:trPr>
        <w:tc>
          <w:tcPr>
            <w:tcW w:w="396" w:type="dxa"/>
          </w:tcPr>
          <w:p w14:paraId="0BB9E6DA" w14:textId="77777777" w:rsidR="00166A64" w:rsidRDefault="00166A64" w:rsidP="00CC2D64">
            <w:pPr>
              <w:jc w:val="center"/>
              <w:rPr>
                <w:rFonts w:eastAsia="Calibri" w:hAnsi="Calibri"/>
              </w:rPr>
            </w:pPr>
            <w:r>
              <w:rPr>
                <w:rFonts w:eastAsia="Calibri" w:hAnsi="Calibri"/>
              </w:rPr>
              <w:t>2.</w:t>
            </w:r>
          </w:p>
        </w:tc>
        <w:tc>
          <w:tcPr>
            <w:tcW w:w="2993" w:type="dxa"/>
          </w:tcPr>
          <w:p w14:paraId="75D9E8EC" w14:textId="77777777" w:rsidR="00166A64" w:rsidRDefault="00166A64" w:rsidP="00CC2D64">
            <w:pPr>
              <w:rPr>
                <w:rFonts w:eastAsia="Calibri" w:hAnsi="Calibri"/>
              </w:rPr>
            </w:pPr>
            <w:r>
              <w:rPr>
                <w:rFonts w:eastAsia="Calibri" w:hAnsi="Calibri"/>
              </w:rPr>
              <w:t>Atbild</w:t>
            </w:r>
            <w:r>
              <w:rPr>
                <w:rFonts w:eastAsia="Calibri" w:hAnsi="Calibri"/>
              </w:rPr>
              <w:t>ī</w:t>
            </w:r>
            <w:r>
              <w:rPr>
                <w:rFonts w:eastAsia="Calibri" w:hAnsi="Calibri"/>
              </w:rPr>
              <w:t>g</w:t>
            </w:r>
            <w:r>
              <w:rPr>
                <w:rFonts w:eastAsia="Calibri" w:hAnsi="Calibri"/>
              </w:rPr>
              <w:t>ā</w:t>
            </w:r>
            <w:r>
              <w:rPr>
                <w:rFonts w:eastAsia="Calibri" w:hAnsi="Calibri"/>
              </w:rPr>
              <w:t xml:space="preserve"> instit</w:t>
            </w:r>
            <w:r>
              <w:rPr>
                <w:rFonts w:eastAsia="Calibri" w:hAnsi="Calibri"/>
              </w:rPr>
              <w:t>ū</w:t>
            </w:r>
            <w:r>
              <w:rPr>
                <w:rFonts w:eastAsia="Calibri" w:hAnsi="Calibri"/>
              </w:rPr>
              <w:t>cija</w:t>
            </w:r>
          </w:p>
        </w:tc>
        <w:tc>
          <w:tcPr>
            <w:tcW w:w="5820" w:type="dxa"/>
          </w:tcPr>
          <w:p w14:paraId="43C99A9F" w14:textId="77777777" w:rsidR="00166A64" w:rsidRDefault="00166A64" w:rsidP="00CC2D64">
            <w:pPr>
              <w:rPr>
                <w:rFonts w:eastAsia="Calibri" w:hAnsi="Calibri"/>
              </w:rPr>
            </w:pPr>
            <w:r>
              <w:rPr>
                <w:rFonts w:eastAsia="Calibri" w:hAnsi="Calibri"/>
              </w:rPr>
              <w:t>Labkl</w:t>
            </w:r>
            <w:r>
              <w:rPr>
                <w:rFonts w:eastAsia="Calibri" w:hAnsi="Calibri"/>
              </w:rPr>
              <w:t>ā</w:t>
            </w:r>
            <w:r>
              <w:rPr>
                <w:rFonts w:eastAsia="Calibri" w:hAnsi="Calibri"/>
              </w:rPr>
              <w:t>j</w:t>
            </w:r>
            <w:r>
              <w:rPr>
                <w:rFonts w:eastAsia="Calibri" w:hAnsi="Calibri"/>
              </w:rPr>
              <w:t>ī</w:t>
            </w:r>
            <w:r>
              <w:rPr>
                <w:rFonts w:eastAsia="Calibri" w:hAnsi="Calibri"/>
              </w:rPr>
              <w:t>bas ministrija.</w:t>
            </w:r>
          </w:p>
        </w:tc>
      </w:tr>
      <w:tr w:rsidR="00166A64" w14:paraId="39B55D52" w14:textId="77777777" w:rsidTr="00CC2D64">
        <w:trPr>
          <w:trHeight w:val="375"/>
          <w:jc w:val="center"/>
        </w:trPr>
        <w:tc>
          <w:tcPr>
            <w:tcW w:w="396" w:type="dxa"/>
          </w:tcPr>
          <w:p w14:paraId="613190D2" w14:textId="77777777" w:rsidR="00166A64" w:rsidRDefault="00166A64" w:rsidP="00CC2D64">
            <w:pPr>
              <w:jc w:val="center"/>
              <w:rPr>
                <w:rFonts w:eastAsia="Calibri" w:hAnsi="Calibri"/>
              </w:rPr>
            </w:pPr>
            <w:r>
              <w:rPr>
                <w:rFonts w:eastAsia="Calibri" w:hAnsi="Calibri"/>
              </w:rPr>
              <w:t>3.</w:t>
            </w:r>
          </w:p>
        </w:tc>
        <w:tc>
          <w:tcPr>
            <w:tcW w:w="2993" w:type="dxa"/>
          </w:tcPr>
          <w:p w14:paraId="458DAAAB" w14:textId="77777777" w:rsidR="00166A64" w:rsidRDefault="00166A64" w:rsidP="00CC2D64">
            <w:pPr>
              <w:rPr>
                <w:rFonts w:eastAsia="Calibri" w:hAnsi="Calibri"/>
              </w:rPr>
            </w:pPr>
            <w:r>
              <w:rPr>
                <w:rFonts w:eastAsia="Calibri" w:hAnsi="Calibri"/>
              </w:rPr>
              <w:t>Cita inform</w:t>
            </w:r>
            <w:r>
              <w:rPr>
                <w:rFonts w:eastAsia="Calibri" w:hAnsi="Calibri"/>
              </w:rPr>
              <w:t>ā</w:t>
            </w:r>
            <w:r>
              <w:rPr>
                <w:rFonts w:eastAsia="Calibri" w:hAnsi="Calibri"/>
              </w:rPr>
              <w:t>cija</w:t>
            </w:r>
          </w:p>
        </w:tc>
        <w:tc>
          <w:tcPr>
            <w:tcW w:w="5820" w:type="dxa"/>
          </w:tcPr>
          <w:p w14:paraId="66D94EEA" w14:textId="77777777" w:rsidR="00166A64" w:rsidRDefault="00166A64" w:rsidP="00CC2D64">
            <w:pPr>
              <w:jc w:val="both"/>
              <w:rPr>
                <w:rFonts w:eastAsia="Calibri" w:hAnsi="Calibri"/>
              </w:rPr>
            </w:pPr>
            <w:r>
              <w:rPr>
                <w:rFonts w:eastAsia="Calibri" w:hAnsi="Calibri"/>
              </w:rPr>
              <w:t>Nav.</w:t>
            </w:r>
          </w:p>
        </w:tc>
      </w:tr>
    </w:tbl>
    <w:p w14:paraId="3CF03EEF" w14:textId="70520703" w:rsidR="001F002D" w:rsidRDefault="001F002D"/>
    <w:p w14:paraId="15E3E425" w14:textId="62B42233" w:rsidR="0081265B" w:rsidRDefault="0081265B"/>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585"/>
        <w:gridCol w:w="6026"/>
      </w:tblGrid>
      <w:tr w:rsidR="0081265B" w:rsidRPr="00FC0EB0" w14:paraId="2EFA1B8E" w14:textId="77777777" w:rsidTr="0081265B">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04814" w14:textId="77777777" w:rsidR="0081265B" w:rsidRPr="00FC0EB0" w:rsidRDefault="0081265B" w:rsidP="0081265B">
            <w:pPr>
              <w:jc w:val="center"/>
              <w:rPr>
                <w:b/>
                <w:bCs/>
              </w:rPr>
            </w:pPr>
            <w:bookmarkStart w:id="1" w:name="_Hlk41315445"/>
            <w:r w:rsidRPr="00FC0EB0">
              <w:rPr>
                <w:b/>
                <w:bCs/>
              </w:rPr>
              <w:t>V. Tiesību akta projekta atbilstība Latvijas Republikas starptautiskajām saistībām</w:t>
            </w:r>
          </w:p>
        </w:tc>
      </w:tr>
      <w:tr w:rsidR="0081265B" w:rsidRPr="00FC0EB0" w14:paraId="31C70A7B" w14:textId="77777777" w:rsidTr="0081265B">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4BFFECD4" w14:textId="77777777" w:rsidR="0081265B" w:rsidRPr="00FC0EB0" w:rsidRDefault="0081265B" w:rsidP="00C82F46">
            <w:r w:rsidRPr="00FC0EB0">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342D5D7A" w14:textId="77777777" w:rsidR="0081265B" w:rsidRPr="00FC0EB0" w:rsidRDefault="0081265B" w:rsidP="00C82F46">
            <w:r w:rsidRPr="00FC0EB0">
              <w:t>Saistības pret Eiropas Savienību</w:t>
            </w:r>
          </w:p>
        </w:tc>
        <w:tc>
          <w:tcPr>
            <w:tcW w:w="3273" w:type="pct"/>
            <w:tcBorders>
              <w:top w:val="outset" w:sz="6" w:space="0" w:color="414142"/>
              <w:left w:val="outset" w:sz="6" w:space="0" w:color="414142"/>
              <w:bottom w:val="outset" w:sz="6" w:space="0" w:color="414142"/>
              <w:right w:val="outset" w:sz="6" w:space="0" w:color="414142"/>
            </w:tcBorders>
            <w:shd w:val="clear" w:color="auto" w:fill="FFFFFF"/>
            <w:hideMark/>
          </w:tcPr>
          <w:p w14:paraId="4B67F0B4" w14:textId="77777777" w:rsidR="0081265B" w:rsidRDefault="0081265B" w:rsidP="00C82F46">
            <w:pPr>
              <w:jc w:val="both"/>
            </w:pPr>
            <w:r w:rsidRPr="00FC0EB0">
              <w:t>Komisijas 2013.gada 18.decembra regulas (ES)</w:t>
            </w:r>
            <w:r w:rsidRPr="00FC0EB0">
              <w:br/>
              <w:t xml:space="preserve"> Nr. 1408/2013 par Līguma par Eiropas Savienības darbību </w:t>
            </w:r>
            <w:r w:rsidRPr="00FC0EB0">
              <w:lastRenderedPageBreak/>
              <w:t xml:space="preserve">107. un 108. panta piemērošanu </w:t>
            </w:r>
            <w:r w:rsidRPr="00FC0EB0">
              <w:rPr>
                <w:i/>
              </w:rPr>
              <w:t>de minimis</w:t>
            </w:r>
            <w:r w:rsidRPr="00FC0EB0">
              <w:t xml:space="preserve"> atbalstam lauksaimniecības nozarē</w:t>
            </w:r>
            <w:r>
              <w:t xml:space="preserve"> (turpmāk – Komisijas regula  1408/2013);</w:t>
            </w:r>
            <w:r w:rsidRPr="00FC0EB0">
              <w:t xml:space="preserve"> </w:t>
            </w:r>
          </w:p>
          <w:p w14:paraId="6D8A0BFE" w14:textId="77777777" w:rsidR="0081265B" w:rsidRPr="00FC0EB0" w:rsidRDefault="0081265B" w:rsidP="00C82F46">
            <w:pPr>
              <w:jc w:val="both"/>
            </w:pPr>
            <w:r w:rsidRPr="00FC0EB0">
              <w:t xml:space="preserve">Komisijas </w:t>
            </w:r>
            <w:r>
              <w:t xml:space="preserve">2013.gada 18.decembra </w:t>
            </w:r>
            <w:r w:rsidRPr="00FC0EB0">
              <w:t xml:space="preserve">regula </w:t>
            </w:r>
            <w:r>
              <w:t xml:space="preserve">(ES) </w:t>
            </w:r>
            <w:r w:rsidRPr="00FC0EB0">
              <w:t>Nr. 1407/2013</w:t>
            </w:r>
            <w:r>
              <w:t xml:space="preserve"> </w:t>
            </w:r>
            <w:r w:rsidRPr="00FC0EB0">
              <w:rPr>
                <w:bCs/>
                <w:color w:val="000000"/>
              </w:rPr>
              <w:t>par Līguma par Eiropas Savienības darbību 107. un 108. panta piemērošanu </w:t>
            </w:r>
            <w:r w:rsidRPr="00FC0EB0">
              <w:rPr>
                <w:rStyle w:val="italic"/>
                <w:rFonts w:ascii="inherit" w:hAnsi="inherit"/>
                <w:bCs/>
                <w:i/>
                <w:iCs/>
                <w:color w:val="000000"/>
              </w:rPr>
              <w:t>de minimis</w:t>
            </w:r>
            <w:r w:rsidRPr="00FC0EB0">
              <w:rPr>
                <w:bCs/>
                <w:color w:val="000000"/>
              </w:rPr>
              <w:t> atbalstam</w:t>
            </w:r>
            <w:r>
              <w:rPr>
                <w:bCs/>
                <w:color w:val="000000"/>
              </w:rPr>
              <w:t xml:space="preserve"> (turpmāk – Komisijas regula 1407/2013);</w:t>
            </w:r>
          </w:p>
          <w:p w14:paraId="63FB10F9" w14:textId="77777777" w:rsidR="0081265B" w:rsidRPr="00FC0EB0" w:rsidRDefault="0081265B" w:rsidP="00C82F46">
            <w:pPr>
              <w:jc w:val="both"/>
            </w:pPr>
            <w:r w:rsidRPr="00FC0EB0">
              <w:t>Komisijas 2004.gada 21.aprīļa regulas (EK) Nr.794/2004, ar ko īsteno Padomes Regulu (ES) 2015/1589, ar ko nosaka sīki izstrādātus noteikumus Līguma par Eiropas Savienības darbību 108.panta piemērošanai (turpmāk – Komisijas regula Nr.794/2004)</w:t>
            </w:r>
            <w:r>
              <w:t>.</w:t>
            </w:r>
          </w:p>
        </w:tc>
      </w:tr>
      <w:tr w:rsidR="0081265B" w:rsidRPr="00FC0EB0" w14:paraId="79B0F272" w14:textId="77777777" w:rsidTr="0081265B">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3BE9EB59" w14:textId="77777777" w:rsidR="0081265B" w:rsidRPr="00FC0EB0" w:rsidRDefault="0081265B" w:rsidP="00C82F46">
            <w:r w:rsidRPr="00FC0EB0">
              <w:lastRenderedPageBreak/>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7F686EF" w14:textId="77777777" w:rsidR="0081265B" w:rsidRPr="00FC0EB0" w:rsidRDefault="0081265B" w:rsidP="00C82F46">
            <w:r w:rsidRPr="00FC0EB0">
              <w:t>Citas starptautiskās saistības</w:t>
            </w:r>
          </w:p>
        </w:tc>
        <w:tc>
          <w:tcPr>
            <w:tcW w:w="3273" w:type="pct"/>
            <w:tcBorders>
              <w:top w:val="outset" w:sz="6" w:space="0" w:color="414142"/>
              <w:left w:val="outset" w:sz="6" w:space="0" w:color="414142"/>
              <w:bottom w:val="outset" w:sz="6" w:space="0" w:color="414142"/>
              <w:right w:val="outset" w:sz="6" w:space="0" w:color="414142"/>
            </w:tcBorders>
            <w:shd w:val="clear" w:color="auto" w:fill="FFFFFF"/>
            <w:hideMark/>
          </w:tcPr>
          <w:p w14:paraId="67A32AE1" w14:textId="744EAFFD" w:rsidR="0081265B" w:rsidRPr="00FC0EB0" w:rsidRDefault="0081265B" w:rsidP="00C82F46">
            <w:r w:rsidRPr="00FC0EB0">
              <w:t>Projekts šo jomu neskar</w:t>
            </w:r>
            <w:r w:rsidR="00C55BD2">
              <w:t>.</w:t>
            </w:r>
          </w:p>
        </w:tc>
      </w:tr>
      <w:tr w:rsidR="0081265B" w:rsidRPr="00FC0EB0" w14:paraId="42B90655" w14:textId="77777777" w:rsidTr="0081265B">
        <w:trPr>
          <w:trHeight w:val="376"/>
        </w:trPr>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1451F129" w14:textId="77777777" w:rsidR="0081265B" w:rsidRPr="00FC0EB0" w:rsidRDefault="0081265B" w:rsidP="00C82F46">
            <w:r w:rsidRPr="00FC0EB0">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69D5B2F" w14:textId="77777777" w:rsidR="0081265B" w:rsidRPr="00FC0EB0" w:rsidRDefault="0081265B" w:rsidP="00C82F46">
            <w:r w:rsidRPr="00FC0EB0">
              <w:t>Cita informācija</w:t>
            </w:r>
          </w:p>
        </w:tc>
        <w:tc>
          <w:tcPr>
            <w:tcW w:w="3273" w:type="pct"/>
            <w:tcBorders>
              <w:top w:val="outset" w:sz="6" w:space="0" w:color="414142"/>
              <w:left w:val="outset" w:sz="6" w:space="0" w:color="414142"/>
              <w:bottom w:val="outset" w:sz="6" w:space="0" w:color="414142"/>
              <w:right w:val="outset" w:sz="6" w:space="0" w:color="414142"/>
            </w:tcBorders>
            <w:shd w:val="clear" w:color="auto" w:fill="FFFFFF"/>
            <w:hideMark/>
          </w:tcPr>
          <w:p w14:paraId="7DBFD0C5" w14:textId="09C2654A" w:rsidR="0081265B" w:rsidRPr="00FC0EB0" w:rsidRDefault="0081265B" w:rsidP="00C82F46">
            <w:r w:rsidRPr="00FC0EB0">
              <w:t>Nav</w:t>
            </w:r>
            <w:r w:rsidR="00C55BD2">
              <w:t>.</w:t>
            </w:r>
          </w:p>
        </w:tc>
      </w:tr>
      <w:bookmarkEnd w:id="1"/>
    </w:tbl>
    <w:p w14:paraId="3390F8A9" w14:textId="1E08042B" w:rsidR="0081265B" w:rsidRDefault="0081265B"/>
    <w:p w14:paraId="3494B3B3" w14:textId="47BE97D8" w:rsidR="0081265B" w:rsidRDefault="0081265B"/>
    <w:tbl>
      <w:tblPr>
        <w:tblW w:w="513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7"/>
        <w:gridCol w:w="2323"/>
        <w:gridCol w:w="2076"/>
        <w:gridCol w:w="2904"/>
      </w:tblGrid>
      <w:tr w:rsidR="0081265B" w:rsidRPr="00FC0EB0" w14:paraId="5FFEAF83" w14:textId="77777777" w:rsidTr="00C82F46">
        <w:trPr>
          <w:jc w:val="center"/>
        </w:trPr>
        <w:tc>
          <w:tcPr>
            <w:tcW w:w="9290" w:type="dxa"/>
            <w:gridSpan w:val="4"/>
            <w:tcBorders>
              <w:top w:val="outset" w:sz="6" w:space="0" w:color="414142"/>
              <w:left w:val="outset" w:sz="6" w:space="0" w:color="414142"/>
              <w:bottom w:val="outset" w:sz="6" w:space="0" w:color="414142"/>
              <w:right w:val="outset" w:sz="6" w:space="0" w:color="414142"/>
            </w:tcBorders>
            <w:vAlign w:val="center"/>
            <w:hideMark/>
          </w:tcPr>
          <w:p w14:paraId="302A40A4" w14:textId="77777777" w:rsidR="0081265B" w:rsidRPr="00FC0EB0" w:rsidRDefault="0081265B" w:rsidP="0081265B">
            <w:pPr>
              <w:jc w:val="center"/>
              <w:rPr>
                <w:b/>
                <w:bCs/>
              </w:rPr>
            </w:pPr>
            <w:bookmarkStart w:id="2" w:name="_Hlk41315615"/>
            <w:r w:rsidRPr="00FC0EB0">
              <w:rPr>
                <w:b/>
                <w:bCs/>
              </w:rPr>
              <w:t>1.tabula</w:t>
            </w:r>
            <w:r w:rsidRPr="00FC0EB0">
              <w:rPr>
                <w:b/>
                <w:bCs/>
              </w:rPr>
              <w:br/>
              <w:t>Tiesību akta projekta atbilstība ES tiesību aktiem</w:t>
            </w:r>
          </w:p>
        </w:tc>
      </w:tr>
      <w:tr w:rsidR="0081265B" w:rsidRPr="00FC0EB0" w14:paraId="1B7D7E63"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hideMark/>
          </w:tcPr>
          <w:p w14:paraId="48A02FEC" w14:textId="77777777" w:rsidR="0081265B" w:rsidRPr="00FC0EB0" w:rsidRDefault="0081265B" w:rsidP="00C82F46">
            <w:r w:rsidRPr="00FC0EB0">
              <w:t>Attiecīgā ES tiesību akta datums, numurs un nosaukums</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445B49D3" w14:textId="77777777" w:rsidR="0081265B" w:rsidRPr="00FC0EB0" w:rsidRDefault="0081265B" w:rsidP="00C82F46">
            <w:r w:rsidRPr="00FC0EB0">
              <w:t xml:space="preserve">Padomes regula Nr. 2016/589; </w:t>
            </w:r>
          </w:p>
          <w:p w14:paraId="7D2BFC5D" w14:textId="77777777" w:rsidR="0081265B" w:rsidRPr="00FC0EB0" w:rsidRDefault="0081265B" w:rsidP="00C82F46">
            <w:r w:rsidRPr="00FC0EB0">
              <w:t>Komisijas regula Nr. 651/2014.</w:t>
            </w:r>
          </w:p>
        </w:tc>
      </w:tr>
      <w:tr w:rsidR="0081265B" w:rsidRPr="00FC0EB0" w14:paraId="0DF4BE9B"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vAlign w:val="center"/>
            <w:hideMark/>
          </w:tcPr>
          <w:p w14:paraId="38666685" w14:textId="77777777" w:rsidR="0081265B" w:rsidRPr="00FC0EB0" w:rsidRDefault="0081265B" w:rsidP="00C82F46">
            <w:r w:rsidRPr="00FC0EB0">
              <w:t>A</w:t>
            </w:r>
          </w:p>
        </w:tc>
        <w:tc>
          <w:tcPr>
            <w:tcW w:w="2323" w:type="dxa"/>
            <w:tcBorders>
              <w:top w:val="outset" w:sz="6" w:space="0" w:color="414142"/>
              <w:left w:val="outset" w:sz="6" w:space="0" w:color="414142"/>
              <w:bottom w:val="outset" w:sz="6" w:space="0" w:color="414142"/>
              <w:right w:val="outset" w:sz="6" w:space="0" w:color="414142"/>
            </w:tcBorders>
            <w:vAlign w:val="center"/>
            <w:hideMark/>
          </w:tcPr>
          <w:p w14:paraId="4B77CBE4" w14:textId="77777777" w:rsidR="0081265B" w:rsidRPr="00FC0EB0" w:rsidRDefault="0081265B" w:rsidP="00C82F46">
            <w:r w:rsidRPr="00FC0EB0">
              <w:t>B</w:t>
            </w:r>
          </w:p>
        </w:tc>
        <w:tc>
          <w:tcPr>
            <w:tcW w:w="2076" w:type="dxa"/>
            <w:tcBorders>
              <w:top w:val="outset" w:sz="6" w:space="0" w:color="414142"/>
              <w:left w:val="outset" w:sz="6" w:space="0" w:color="414142"/>
              <w:bottom w:val="outset" w:sz="6" w:space="0" w:color="414142"/>
              <w:right w:val="outset" w:sz="6" w:space="0" w:color="414142"/>
            </w:tcBorders>
            <w:vAlign w:val="center"/>
            <w:hideMark/>
          </w:tcPr>
          <w:p w14:paraId="4DD5BFEC" w14:textId="77777777" w:rsidR="0081265B" w:rsidRPr="00FC0EB0" w:rsidRDefault="0081265B" w:rsidP="00C82F46">
            <w:r w:rsidRPr="00FC0EB0">
              <w:t>C</w:t>
            </w:r>
          </w:p>
        </w:tc>
        <w:tc>
          <w:tcPr>
            <w:tcW w:w="2904" w:type="dxa"/>
            <w:tcBorders>
              <w:top w:val="outset" w:sz="6" w:space="0" w:color="414142"/>
              <w:left w:val="outset" w:sz="6" w:space="0" w:color="414142"/>
              <w:bottom w:val="outset" w:sz="6" w:space="0" w:color="414142"/>
              <w:right w:val="outset" w:sz="6" w:space="0" w:color="414142"/>
            </w:tcBorders>
            <w:vAlign w:val="center"/>
            <w:hideMark/>
          </w:tcPr>
          <w:p w14:paraId="1C308F43" w14:textId="77777777" w:rsidR="0081265B" w:rsidRPr="00FC0EB0" w:rsidRDefault="0081265B" w:rsidP="00C82F46">
            <w:r w:rsidRPr="00FC0EB0">
              <w:t>D</w:t>
            </w:r>
          </w:p>
        </w:tc>
      </w:tr>
      <w:tr w:rsidR="0081265B" w:rsidRPr="00FC0EB0" w14:paraId="73F5B03D"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hideMark/>
          </w:tcPr>
          <w:p w14:paraId="0140FBCE" w14:textId="77777777" w:rsidR="0081265B" w:rsidRPr="00FC0EB0" w:rsidRDefault="0081265B" w:rsidP="00C82F46">
            <w:r w:rsidRPr="00FC0EB0">
              <w:t>Attiecīgā ES tiesību akta panta numurs (uzskaitot katru tiesību akta vienību – pantu, daļu, punktu, apakšpunktu)</w:t>
            </w:r>
          </w:p>
        </w:tc>
        <w:tc>
          <w:tcPr>
            <w:tcW w:w="2323" w:type="dxa"/>
            <w:tcBorders>
              <w:top w:val="outset" w:sz="6" w:space="0" w:color="414142"/>
              <w:left w:val="outset" w:sz="6" w:space="0" w:color="414142"/>
              <w:bottom w:val="outset" w:sz="6" w:space="0" w:color="414142"/>
              <w:right w:val="outset" w:sz="6" w:space="0" w:color="414142"/>
            </w:tcBorders>
            <w:hideMark/>
          </w:tcPr>
          <w:p w14:paraId="3508C9DB" w14:textId="77777777" w:rsidR="0081265B" w:rsidRPr="00FC0EB0" w:rsidRDefault="0081265B" w:rsidP="00C82F46">
            <w:r w:rsidRPr="00FC0EB0">
              <w:t>Projekta vienība, kas pārņem vai ievieš katru šīs tabulas A ailē minēto ES tiesību akta vienību, vai tiesību akts, kur attiecīgā ES tiesību akta vienība pārņemta vai ieviesta</w:t>
            </w:r>
          </w:p>
        </w:tc>
        <w:tc>
          <w:tcPr>
            <w:tcW w:w="2076" w:type="dxa"/>
            <w:tcBorders>
              <w:top w:val="outset" w:sz="6" w:space="0" w:color="414142"/>
              <w:left w:val="outset" w:sz="6" w:space="0" w:color="414142"/>
              <w:bottom w:val="outset" w:sz="6" w:space="0" w:color="414142"/>
              <w:right w:val="outset" w:sz="6" w:space="0" w:color="414142"/>
            </w:tcBorders>
            <w:hideMark/>
          </w:tcPr>
          <w:p w14:paraId="2D349CFE" w14:textId="77777777" w:rsidR="0081265B" w:rsidRPr="00FC0EB0" w:rsidRDefault="0081265B" w:rsidP="00C82F46">
            <w:r w:rsidRPr="00FC0EB0">
              <w:t>Informācija par to, vai šīs tabulas A ailē minētās ES tiesību akta vienības tiek pārņemtas vai ieviestas pilnībā vai daļēji.</w:t>
            </w:r>
          </w:p>
          <w:p w14:paraId="567797B9" w14:textId="77777777" w:rsidR="0081265B" w:rsidRPr="00FC0EB0" w:rsidRDefault="0081265B" w:rsidP="00C82F46">
            <w:r w:rsidRPr="00FC0EB0">
              <w:t xml:space="preserve">Ja attiecīgā ES tiesību akta vienība tiek pārņemta vai ieviesta daļēji, sniedz attiecīgu </w:t>
            </w:r>
            <w:r w:rsidRPr="00D34E58">
              <w:t>skaidrojumu</w:t>
            </w:r>
            <w:r w:rsidRPr="00FC0EB0">
              <w:t>, kā arī precīzi norāda, kad un kādā veidā ES tiesību akta vienība tiks pārņemta vai ieviesta pilnībā.</w:t>
            </w:r>
          </w:p>
          <w:p w14:paraId="4504756D" w14:textId="77777777" w:rsidR="0081265B" w:rsidRPr="00FC0EB0" w:rsidRDefault="0081265B" w:rsidP="00C82F46">
            <w:r w:rsidRPr="00FC0EB0">
              <w:t>Norāda institūciju, kas ir atbildīga par šo saistību izpildi pilnībā</w:t>
            </w:r>
          </w:p>
        </w:tc>
        <w:tc>
          <w:tcPr>
            <w:tcW w:w="2904" w:type="dxa"/>
            <w:tcBorders>
              <w:top w:val="outset" w:sz="6" w:space="0" w:color="414142"/>
              <w:left w:val="outset" w:sz="6" w:space="0" w:color="414142"/>
              <w:bottom w:val="outset" w:sz="6" w:space="0" w:color="414142"/>
              <w:right w:val="outset" w:sz="6" w:space="0" w:color="414142"/>
            </w:tcBorders>
            <w:hideMark/>
          </w:tcPr>
          <w:p w14:paraId="5719B741" w14:textId="77777777" w:rsidR="0081265B" w:rsidRPr="00FC0EB0" w:rsidRDefault="0081265B" w:rsidP="00C82F46">
            <w:r w:rsidRPr="00FC0EB0">
              <w:t>Informācija par to, vai šīs tabulas B ailē minētās projekta vienības paredz stingrākas prasības nekā šīs tabulas A ailē minētās ES tiesību akta vienības.</w:t>
            </w:r>
          </w:p>
          <w:p w14:paraId="10981E98" w14:textId="77777777" w:rsidR="0081265B" w:rsidRPr="00FC0EB0" w:rsidRDefault="0081265B" w:rsidP="00C82F46">
            <w:r w:rsidRPr="00FC0EB0">
              <w:t>Ja projekts satur stingrākas prasības nekā attiecīgais ES tiesību akts, norāda pamatojumu un samērīgumu.</w:t>
            </w:r>
          </w:p>
          <w:p w14:paraId="36DA68DD" w14:textId="77777777" w:rsidR="0081265B" w:rsidRPr="00FC0EB0" w:rsidRDefault="0081265B" w:rsidP="00C82F46">
            <w:r w:rsidRPr="00FC0EB0">
              <w:t>Norāda iespējamās alternatīvas (t.sk. alternatīvas, kas neparedz tiesiskā regulējuma izstrādi) – kādos gadījumos būtu iespējams izvairīties no stingrāku prasību noteikšanas, nekā paredzēts attiecīgajos ES tiesību aktos</w:t>
            </w:r>
          </w:p>
        </w:tc>
      </w:tr>
      <w:tr w:rsidR="0081265B" w:rsidRPr="00FC0EB0" w14:paraId="46BDC8A8"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tcPr>
          <w:p w14:paraId="782C2D24" w14:textId="77777777" w:rsidR="0081265B" w:rsidRPr="00FC0EB0" w:rsidRDefault="0081265B" w:rsidP="00C82F46">
            <w:r w:rsidRPr="00FC0EB0">
              <w:t>Komisijas regulas Nr. 1408/2013 3. panta 2.punkts</w:t>
            </w:r>
          </w:p>
        </w:tc>
        <w:tc>
          <w:tcPr>
            <w:tcW w:w="2323" w:type="dxa"/>
            <w:tcBorders>
              <w:top w:val="outset" w:sz="6" w:space="0" w:color="414142"/>
              <w:left w:val="outset" w:sz="6" w:space="0" w:color="414142"/>
              <w:bottom w:val="outset" w:sz="6" w:space="0" w:color="414142"/>
              <w:right w:val="outset" w:sz="6" w:space="0" w:color="414142"/>
            </w:tcBorders>
          </w:tcPr>
          <w:p w14:paraId="51CCC2A0" w14:textId="62B11CDB" w:rsidR="0081265B" w:rsidRPr="00FC0EB0" w:rsidRDefault="0081265B" w:rsidP="00C82F46">
            <w:r w:rsidRPr="00FC0EB0">
              <w:t xml:space="preserve">Noteikumu projekta </w:t>
            </w:r>
            <w:r>
              <w:t>2</w:t>
            </w:r>
            <w:r w:rsidR="00F643D9">
              <w:t>1</w:t>
            </w:r>
            <w:r w:rsidRPr="00FC0EB0">
              <w:t>.punkts)</w:t>
            </w:r>
          </w:p>
        </w:tc>
        <w:tc>
          <w:tcPr>
            <w:tcW w:w="2076" w:type="dxa"/>
            <w:tcBorders>
              <w:top w:val="outset" w:sz="6" w:space="0" w:color="414142"/>
              <w:left w:val="outset" w:sz="6" w:space="0" w:color="414142"/>
              <w:bottom w:val="outset" w:sz="6" w:space="0" w:color="414142"/>
              <w:right w:val="outset" w:sz="6" w:space="0" w:color="414142"/>
            </w:tcBorders>
          </w:tcPr>
          <w:p w14:paraId="37535A67" w14:textId="77777777" w:rsidR="0081265B" w:rsidRPr="00FC0EB0" w:rsidRDefault="0081265B" w:rsidP="00C82F46">
            <w:r w:rsidRPr="00FC0EB0">
              <w:t>Ieviests pilnībā</w:t>
            </w:r>
          </w:p>
        </w:tc>
        <w:tc>
          <w:tcPr>
            <w:tcW w:w="2904" w:type="dxa"/>
            <w:tcBorders>
              <w:top w:val="outset" w:sz="6" w:space="0" w:color="414142"/>
              <w:left w:val="outset" w:sz="6" w:space="0" w:color="414142"/>
              <w:bottom w:val="outset" w:sz="6" w:space="0" w:color="414142"/>
              <w:right w:val="outset" w:sz="6" w:space="0" w:color="414142"/>
            </w:tcBorders>
          </w:tcPr>
          <w:p w14:paraId="13BFF8F0" w14:textId="77777777" w:rsidR="0081265B" w:rsidRPr="00FC0EB0" w:rsidRDefault="0081265B" w:rsidP="00C82F46">
            <w:r w:rsidRPr="00FC0EB0">
              <w:t>Noteikumu projekts neparedz stingrākas prasības</w:t>
            </w:r>
          </w:p>
        </w:tc>
      </w:tr>
      <w:tr w:rsidR="0081265B" w:rsidRPr="00FC0EB0" w14:paraId="3DC836AA"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tcPr>
          <w:p w14:paraId="79C7BB15" w14:textId="77777777" w:rsidR="0081265B" w:rsidRPr="00FC0EB0" w:rsidRDefault="0081265B" w:rsidP="00C82F46">
            <w:r w:rsidRPr="00FC0EB0">
              <w:lastRenderedPageBreak/>
              <w:t>Komisijas regulas Nr. 1407/2013 3. panta 4.punkts</w:t>
            </w:r>
          </w:p>
        </w:tc>
        <w:tc>
          <w:tcPr>
            <w:tcW w:w="2323" w:type="dxa"/>
            <w:tcBorders>
              <w:top w:val="outset" w:sz="6" w:space="0" w:color="414142"/>
              <w:left w:val="outset" w:sz="6" w:space="0" w:color="414142"/>
              <w:bottom w:val="outset" w:sz="6" w:space="0" w:color="414142"/>
              <w:right w:val="outset" w:sz="6" w:space="0" w:color="414142"/>
            </w:tcBorders>
          </w:tcPr>
          <w:p w14:paraId="7E60FD9A" w14:textId="3A36A290" w:rsidR="0081265B" w:rsidRPr="00FC0EB0" w:rsidRDefault="0081265B" w:rsidP="00C82F46">
            <w:r w:rsidRPr="00FC0EB0">
              <w:t xml:space="preserve">Noteikumu projekta </w:t>
            </w:r>
            <w:r>
              <w:t>2</w:t>
            </w:r>
            <w:r w:rsidR="00F643D9">
              <w:t>3</w:t>
            </w:r>
            <w:r w:rsidRPr="00FC0EB0">
              <w:t>.punkts</w:t>
            </w:r>
          </w:p>
        </w:tc>
        <w:tc>
          <w:tcPr>
            <w:tcW w:w="2076" w:type="dxa"/>
            <w:tcBorders>
              <w:top w:val="outset" w:sz="6" w:space="0" w:color="414142"/>
              <w:left w:val="outset" w:sz="6" w:space="0" w:color="414142"/>
              <w:bottom w:val="outset" w:sz="6" w:space="0" w:color="414142"/>
              <w:right w:val="outset" w:sz="6" w:space="0" w:color="414142"/>
            </w:tcBorders>
          </w:tcPr>
          <w:p w14:paraId="69EDE937" w14:textId="77777777" w:rsidR="0081265B" w:rsidRPr="00FC0EB0" w:rsidRDefault="0081265B" w:rsidP="00C82F46">
            <w:r w:rsidRPr="00FC0EB0">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718CEF3" w14:textId="77777777" w:rsidR="0081265B" w:rsidRPr="00FC0EB0" w:rsidRDefault="0081265B" w:rsidP="00C82F46">
            <w:r w:rsidRPr="00FC0EB0">
              <w:t>Noteikumu projekts neparedz stingrākas prasības</w:t>
            </w:r>
          </w:p>
        </w:tc>
      </w:tr>
      <w:tr w:rsidR="0081265B" w:rsidRPr="00FC0EB0" w14:paraId="3EBDEF92"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tcPr>
          <w:p w14:paraId="44E5F14C" w14:textId="77777777" w:rsidR="0081265B" w:rsidRPr="00FC0EB0" w:rsidRDefault="0081265B" w:rsidP="00C82F46">
            <w:r w:rsidRPr="00FC0EB0">
              <w:t>Komisijas regulas Nr. 794/2004 11.pants</w:t>
            </w:r>
          </w:p>
        </w:tc>
        <w:tc>
          <w:tcPr>
            <w:tcW w:w="2323" w:type="dxa"/>
            <w:tcBorders>
              <w:top w:val="outset" w:sz="6" w:space="0" w:color="414142"/>
              <w:left w:val="outset" w:sz="6" w:space="0" w:color="414142"/>
              <w:bottom w:val="outset" w:sz="6" w:space="0" w:color="414142"/>
              <w:right w:val="outset" w:sz="6" w:space="0" w:color="414142"/>
            </w:tcBorders>
          </w:tcPr>
          <w:p w14:paraId="4466CCC5" w14:textId="5650EF4D" w:rsidR="0081265B" w:rsidRPr="00FC0EB0" w:rsidRDefault="0081265B" w:rsidP="00C82F46">
            <w:pPr>
              <w:rPr>
                <w:bCs/>
              </w:rPr>
            </w:pPr>
            <w:r w:rsidRPr="00FC0EB0">
              <w:t xml:space="preserve">Noteikumu projekta </w:t>
            </w:r>
            <w:r>
              <w:t>23</w:t>
            </w:r>
            <w:r w:rsidRPr="00FC0EB0">
              <w:t>.punkts</w:t>
            </w:r>
          </w:p>
          <w:p w14:paraId="36CA8B71" w14:textId="77777777" w:rsidR="0081265B" w:rsidRPr="00FC0EB0" w:rsidRDefault="0081265B" w:rsidP="00C82F46"/>
        </w:tc>
        <w:tc>
          <w:tcPr>
            <w:tcW w:w="2076" w:type="dxa"/>
            <w:tcBorders>
              <w:top w:val="outset" w:sz="6" w:space="0" w:color="414142"/>
              <w:left w:val="outset" w:sz="6" w:space="0" w:color="414142"/>
              <w:bottom w:val="outset" w:sz="6" w:space="0" w:color="414142"/>
              <w:right w:val="outset" w:sz="6" w:space="0" w:color="414142"/>
            </w:tcBorders>
          </w:tcPr>
          <w:p w14:paraId="13543AC8" w14:textId="77777777" w:rsidR="0081265B" w:rsidRPr="00FC0EB0" w:rsidRDefault="0081265B" w:rsidP="00C82F46">
            <w:r w:rsidRPr="00FC0EB0">
              <w:t>Ieviests pilnībā</w:t>
            </w:r>
          </w:p>
        </w:tc>
        <w:tc>
          <w:tcPr>
            <w:tcW w:w="2904" w:type="dxa"/>
            <w:tcBorders>
              <w:top w:val="outset" w:sz="6" w:space="0" w:color="414142"/>
              <w:left w:val="outset" w:sz="6" w:space="0" w:color="414142"/>
              <w:bottom w:val="outset" w:sz="6" w:space="0" w:color="414142"/>
              <w:right w:val="outset" w:sz="6" w:space="0" w:color="414142"/>
            </w:tcBorders>
          </w:tcPr>
          <w:p w14:paraId="215FBE22" w14:textId="77777777" w:rsidR="0081265B" w:rsidRPr="00FC0EB0" w:rsidRDefault="0081265B" w:rsidP="00C82F46">
            <w:r w:rsidRPr="00FC0EB0">
              <w:t xml:space="preserve">Noteikumu projekts neparedz stingrākas prasības. </w:t>
            </w:r>
          </w:p>
          <w:p w14:paraId="710DF005" w14:textId="77777777" w:rsidR="0081265B" w:rsidRPr="00FC0EB0" w:rsidRDefault="0081265B" w:rsidP="00C82F46"/>
        </w:tc>
      </w:tr>
      <w:tr w:rsidR="0081265B" w:rsidRPr="00FC0EB0" w14:paraId="02535B82" w14:textId="77777777" w:rsidTr="00C82F46">
        <w:trPr>
          <w:jc w:val="center"/>
        </w:trPr>
        <w:tc>
          <w:tcPr>
            <w:tcW w:w="1987" w:type="dxa"/>
            <w:tcBorders>
              <w:top w:val="outset" w:sz="6" w:space="0" w:color="414142"/>
              <w:left w:val="outset" w:sz="6" w:space="0" w:color="414142"/>
              <w:bottom w:val="outset" w:sz="6" w:space="0" w:color="414142"/>
              <w:right w:val="outset" w:sz="6" w:space="0" w:color="414142"/>
            </w:tcBorders>
            <w:hideMark/>
          </w:tcPr>
          <w:p w14:paraId="67B7A2A8" w14:textId="77777777" w:rsidR="0081265B" w:rsidRPr="00FC0EB0" w:rsidRDefault="0081265B" w:rsidP="00C82F46">
            <w:r w:rsidRPr="00FC0EB0">
              <w:t>Kā ir izmantota ES tiesību aktā paredzētā rīcības brīvība dalībvalstij pārņemt vai ieviest noteiktas ES tiesību akta normas?</w:t>
            </w:r>
            <w:r w:rsidRPr="00FC0EB0">
              <w:br/>
              <w:t>Kādēļ?</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0AE806A3" w14:textId="77777777" w:rsidR="0081265B" w:rsidRPr="00FC0EB0" w:rsidRDefault="0081265B" w:rsidP="00C82F46">
            <w:r w:rsidRPr="00FC0EB0">
              <w:t>Projekts šo jomu neskar.</w:t>
            </w:r>
          </w:p>
        </w:tc>
      </w:tr>
      <w:tr w:rsidR="0081265B" w:rsidRPr="00FC0EB0" w14:paraId="428318BF" w14:textId="77777777" w:rsidTr="00C82F46">
        <w:trPr>
          <w:trHeight w:val="2222"/>
          <w:jc w:val="center"/>
        </w:trPr>
        <w:tc>
          <w:tcPr>
            <w:tcW w:w="1987" w:type="dxa"/>
            <w:tcBorders>
              <w:top w:val="outset" w:sz="6" w:space="0" w:color="414142"/>
              <w:left w:val="outset" w:sz="6" w:space="0" w:color="414142"/>
              <w:bottom w:val="outset" w:sz="6" w:space="0" w:color="414142"/>
              <w:right w:val="outset" w:sz="6" w:space="0" w:color="414142"/>
            </w:tcBorders>
            <w:hideMark/>
          </w:tcPr>
          <w:p w14:paraId="52EA37DB" w14:textId="77777777" w:rsidR="0081265B" w:rsidRPr="00FC0EB0" w:rsidRDefault="0081265B" w:rsidP="00C82F46">
            <w:r w:rsidRPr="00FC0EB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7E6DBE26" w14:textId="77777777" w:rsidR="0081265B" w:rsidRPr="00FC0EB0" w:rsidRDefault="0081265B" w:rsidP="00C82F46">
            <w:r w:rsidRPr="00FC0EB0">
              <w:t>Projekts šo jomu neskar.</w:t>
            </w:r>
          </w:p>
          <w:p w14:paraId="5324B6BB" w14:textId="77777777" w:rsidR="0081265B" w:rsidRPr="00FC0EB0" w:rsidRDefault="0081265B" w:rsidP="00C82F46"/>
        </w:tc>
      </w:tr>
      <w:tr w:rsidR="0081265B" w:rsidRPr="00FC0EB0" w14:paraId="0E81A977" w14:textId="77777777" w:rsidTr="00C82F46">
        <w:trPr>
          <w:trHeight w:val="492"/>
          <w:jc w:val="center"/>
        </w:trPr>
        <w:tc>
          <w:tcPr>
            <w:tcW w:w="1987" w:type="dxa"/>
            <w:tcBorders>
              <w:top w:val="outset" w:sz="6" w:space="0" w:color="414142"/>
              <w:left w:val="outset" w:sz="6" w:space="0" w:color="414142"/>
              <w:bottom w:val="outset" w:sz="6" w:space="0" w:color="414142"/>
              <w:right w:val="outset" w:sz="6" w:space="0" w:color="414142"/>
            </w:tcBorders>
            <w:hideMark/>
          </w:tcPr>
          <w:p w14:paraId="3A59380B" w14:textId="77777777" w:rsidR="0081265B" w:rsidRPr="00FC0EB0" w:rsidRDefault="0081265B" w:rsidP="00C82F46">
            <w:r w:rsidRPr="00FC0EB0">
              <w:t>Cita informācija</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0BC7E3FA" w14:textId="77777777" w:rsidR="0081265B" w:rsidRPr="00FC0EB0" w:rsidRDefault="0081265B" w:rsidP="00C82F46">
            <w:r w:rsidRPr="00FC0EB0">
              <w:t>Nav.</w:t>
            </w:r>
          </w:p>
        </w:tc>
      </w:tr>
      <w:tr w:rsidR="0081265B" w:rsidRPr="00FC0EB0" w14:paraId="356063A1" w14:textId="77777777" w:rsidTr="00C82F46">
        <w:trPr>
          <w:jc w:val="center"/>
        </w:trPr>
        <w:tc>
          <w:tcPr>
            <w:tcW w:w="9290" w:type="dxa"/>
            <w:gridSpan w:val="4"/>
            <w:tcBorders>
              <w:top w:val="outset" w:sz="6" w:space="0" w:color="414142"/>
              <w:left w:val="outset" w:sz="6" w:space="0" w:color="414142"/>
              <w:bottom w:val="outset" w:sz="6" w:space="0" w:color="414142"/>
              <w:right w:val="outset" w:sz="6" w:space="0" w:color="414142"/>
            </w:tcBorders>
            <w:vAlign w:val="center"/>
            <w:hideMark/>
          </w:tcPr>
          <w:p w14:paraId="1F4F0430" w14:textId="77777777" w:rsidR="0081265B" w:rsidRPr="00FC0EB0" w:rsidRDefault="0081265B" w:rsidP="00C55BD2">
            <w:pPr>
              <w:jc w:val="center"/>
              <w:rPr>
                <w:b/>
                <w:bCs/>
              </w:rPr>
            </w:pPr>
            <w:r w:rsidRPr="00FC0EB0">
              <w:rPr>
                <w:b/>
                <w:bCs/>
              </w:rPr>
              <w:t>2.tabula</w:t>
            </w:r>
            <w:r w:rsidRPr="00FC0EB0">
              <w:rPr>
                <w:b/>
                <w:bCs/>
              </w:rPr>
              <w:br/>
              <w:t>Ar tiesību akta projektu izpildītās vai uzņemtās saistības, kas izriet no starptautiskajiem tiesību aktiem vai starptautiskas institūcijas vai organizācijas dokumentiem.</w:t>
            </w:r>
            <w:r w:rsidRPr="00FC0EB0">
              <w:rPr>
                <w:b/>
                <w:bCs/>
              </w:rPr>
              <w:br/>
              <w:t>Pasākumi šo saistību izpildei</w:t>
            </w:r>
          </w:p>
        </w:tc>
      </w:tr>
      <w:tr w:rsidR="0081265B" w:rsidRPr="00FC0EB0" w14:paraId="620A44F7" w14:textId="77777777" w:rsidTr="00C82F46">
        <w:trPr>
          <w:trHeight w:val="369"/>
          <w:jc w:val="center"/>
        </w:trPr>
        <w:tc>
          <w:tcPr>
            <w:tcW w:w="9290" w:type="dxa"/>
            <w:gridSpan w:val="4"/>
            <w:tcBorders>
              <w:top w:val="outset" w:sz="6" w:space="0" w:color="414142"/>
              <w:left w:val="outset" w:sz="6" w:space="0" w:color="414142"/>
              <w:right w:val="outset" w:sz="6" w:space="0" w:color="414142"/>
            </w:tcBorders>
            <w:vAlign w:val="center"/>
          </w:tcPr>
          <w:p w14:paraId="4DDAE82F" w14:textId="77777777" w:rsidR="0081265B" w:rsidRPr="00FC0EB0" w:rsidRDefault="0081265B" w:rsidP="00C55BD2">
            <w:pPr>
              <w:jc w:val="center"/>
            </w:pPr>
            <w:r w:rsidRPr="00FC0EB0">
              <w:t>Projekts šo jomu neskar</w:t>
            </w:r>
          </w:p>
        </w:tc>
      </w:tr>
      <w:bookmarkEnd w:id="2"/>
    </w:tbl>
    <w:p w14:paraId="75D40DAF" w14:textId="631DF912" w:rsidR="0081265B" w:rsidRDefault="0081265B"/>
    <w:p w14:paraId="517B11B0" w14:textId="77777777" w:rsidR="0056677F" w:rsidRDefault="0056677F"/>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675"/>
      </w:tblGrid>
      <w:tr w:rsidR="008D68DB" w14:paraId="5DD4BAC2" w14:textId="77777777" w:rsidTr="00DB361C">
        <w:trPr>
          <w:trHeight w:val="281"/>
        </w:trPr>
        <w:tc>
          <w:tcPr>
            <w:tcW w:w="9356" w:type="dxa"/>
            <w:gridSpan w:val="3"/>
            <w:shd w:val="clear" w:color="000000" w:fill="auto"/>
          </w:tcPr>
          <w:p w14:paraId="2FAB6880" w14:textId="77777777" w:rsidR="008D68DB" w:rsidRDefault="00DF37EA">
            <w:pPr>
              <w:jc w:val="center"/>
              <w:rPr>
                <w:b/>
              </w:rPr>
            </w:pPr>
            <w:r>
              <w:rPr>
                <w:b/>
              </w:rPr>
              <w:t>VI. Sabiedrības līdzdalība un komunikācijas aktivitātes</w:t>
            </w:r>
          </w:p>
        </w:tc>
      </w:tr>
      <w:tr w:rsidR="008D68DB" w14:paraId="4377747E" w14:textId="77777777" w:rsidTr="00DB361C">
        <w:trPr>
          <w:trHeight w:val="1141"/>
        </w:trPr>
        <w:tc>
          <w:tcPr>
            <w:tcW w:w="651" w:type="dxa"/>
            <w:shd w:val="clear" w:color="000000" w:fill="auto"/>
          </w:tcPr>
          <w:p w14:paraId="450D9086" w14:textId="77777777" w:rsidR="008D68DB" w:rsidRDefault="00DF37EA">
            <w:r>
              <w:t xml:space="preserve">1. </w:t>
            </w:r>
          </w:p>
        </w:tc>
        <w:tc>
          <w:tcPr>
            <w:tcW w:w="3030" w:type="dxa"/>
            <w:shd w:val="clear" w:color="000000" w:fill="auto"/>
          </w:tcPr>
          <w:p w14:paraId="346E3BAC" w14:textId="77777777" w:rsidR="008D68DB" w:rsidRDefault="00DF37EA">
            <w:pPr>
              <w:pStyle w:val="naiskr"/>
              <w:ind w:left="57" w:right="57"/>
            </w:pPr>
            <w:r>
              <w:t>Plānotās sabiedrības līdzdalības un komunikācijas aktivitātes saistībā ar projektu</w:t>
            </w:r>
          </w:p>
        </w:tc>
        <w:tc>
          <w:tcPr>
            <w:tcW w:w="5675" w:type="dxa"/>
            <w:shd w:val="clear" w:color="000000" w:fill="auto"/>
          </w:tcPr>
          <w:p w14:paraId="03F40AE8" w14:textId="5FBB87D0" w:rsidR="008D68DB" w:rsidRDefault="00DB361C">
            <w:pPr>
              <w:jc w:val="both"/>
            </w:pPr>
            <w:r>
              <w:t>I</w:t>
            </w:r>
            <w:r w:rsidR="0040133A">
              <w:t>e</w:t>
            </w:r>
            <w:r>
              <w:t xml:space="preserve">vērojot ārkārtējās </w:t>
            </w:r>
            <w:r w:rsidR="0040133A">
              <w:t xml:space="preserve">situācijas izsludināšanu un nepieciešamo izmaiņu steidzamību, sabiedrības līdzdalības un komunikācijas aktivitātes netiek plānotas. </w:t>
            </w:r>
          </w:p>
          <w:p w14:paraId="44531C74" w14:textId="77777777" w:rsidR="008D68DB" w:rsidRDefault="008D68DB">
            <w:pPr>
              <w:jc w:val="both"/>
              <w:rPr>
                <w:color w:val="FF0000"/>
              </w:rPr>
            </w:pPr>
          </w:p>
        </w:tc>
      </w:tr>
      <w:tr w:rsidR="008D68DB" w14:paraId="1772AE3E" w14:textId="77777777" w:rsidTr="00DB361C">
        <w:trPr>
          <w:trHeight w:val="681"/>
        </w:trPr>
        <w:tc>
          <w:tcPr>
            <w:tcW w:w="651" w:type="dxa"/>
            <w:shd w:val="clear" w:color="000000" w:fill="auto"/>
          </w:tcPr>
          <w:p w14:paraId="58BCE442" w14:textId="77777777" w:rsidR="008D68DB" w:rsidRDefault="00DF37EA">
            <w:r>
              <w:t xml:space="preserve">2. </w:t>
            </w:r>
          </w:p>
        </w:tc>
        <w:tc>
          <w:tcPr>
            <w:tcW w:w="3030" w:type="dxa"/>
            <w:shd w:val="clear" w:color="000000" w:fill="auto"/>
          </w:tcPr>
          <w:p w14:paraId="618D93B0" w14:textId="77777777" w:rsidR="008D68DB" w:rsidRDefault="00DF37EA">
            <w:pPr>
              <w:pStyle w:val="naiskr"/>
              <w:ind w:left="57" w:right="57"/>
            </w:pPr>
            <w:r>
              <w:t xml:space="preserve">Sabiedrības līdzdalība projekta izstrādē </w:t>
            </w:r>
          </w:p>
        </w:tc>
        <w:tc>
          <w:tcPr>
            <w:tcW w:w="5675" w:type="dxa"/>
            <w:shd w:val="clear" w:color="000000" w:fill="auto"/>
          </w:tcPr>
          <w:p w14:paraId="0F67AD5E" w14:textId="5CCAE288" w:rsidR="008D68DB" w:rsidRDefault="0040133A">
            <w:pPr>
              <w:jc w:val="both"/>
              <w:rPr>
                <w:i/>
                <w:color w:val="FF0000"/>
              </w:rPr>
            </w:pPr>
            <w:r>
              <w:t>Nav.</w:t>
            </w:r>
          </w:p>
        </w:tc>
      </w:tr>
      <w:tr w:rsidR="008D68DB" w14:paraId="409485A1" w14:textId="77777777" w:rsidTr="00805363">
        <w:trPr>
          <w:trHeight w:val="968"/>
        </w:trPr>
        <w:tc>
          <w:tcPr>
            <w:tcW w:w="651" w:type="dxa"/>
            <w:shd w:val="clear" w:color="000000" w:fill="auto"/>
          </w:tcPr>
          <w:p w14:paraId="259331C1" w14:textId="77777777" w:rsidR="008D68DB" w:rsidRDefault="00DF37EA">
            <w:r>
              <w:lastRenderedPageBreak/>
              <w:t>3.</w:t>
            </w:r>
          </w:p>
        </w:tc>
        <w:tc>
          <w:tcPr>
            <w:tcW w:w="3030" w:type="dxa"/>
            <w:shd w:val="clear" w:color="000000" w:fill="auto"/>
          </w:tcPr>
          <w:p w14:paraId="1AE8798E" w14:textId="77777777" w:rsidR="008D68DB" w:rsidRDefault="00DF37EA">
            <w:pPr>
              <w:pStyle w:val="naiskr"/>
              <w:ind w:left="57" w:right="57"/>
            </w:pPr>
            <w:r>
              <w:t xml:space="preserve">Sabiedrības līdzdalības rezultāti </w:t>
            </w:r>
          </w:p>
        </w:tc>
        <w:tc>
          <w:tcPr>
            <w:tcW w:w="5675" w:type="dxa"/>
            <w:shd w:val="clear" w:color="000000" w:fill="auto"/>
          </w:tcPr>
          <w:p w14:paraId="638BF827" w14:textId="28E1CE9C" w:rsidR="008D68DB" w:rsidRDefault="0040133A">
            <w:pPr>
              <w:ind w:right="57"/>
              <w:jc w:val="both"/>
            </w:pPr>
            <w:r>
              <w:t>Nav.</w:t>
            </w:r>
          </w:p>
          <w:p w14:paraId="07326465" w14:textId="77777777" w:rsidR="008D68DB" w:rsidRPr="00805363" w:rsidRDefault="008D68DB" w:rsidP="00805363"/>
        </w:tc>
      </w:tr>
      <w:tr w:rsidR="008D68DB" w14:paraId="761CC269" w14:textId="77777777" w:rsidTr="00DB361C">
        <w:trPr>
          <w:trHeight w:val="578"/>
        </w:trPr>
        <w:tc>
          <w:tcPr>
            <w:tcW w:w="651" w:type="dxa"/>
            <w:shd w:val="clear" w:color="000000" w:fill="auto"/>
          </w:tcPr>
          <w:p w14:paraId="1CD741D0" w14:textId="77777777" w:rsidR="008D68DB" w:rsidRDefault="00DF37EA">
            <w:r>
              <w:t>4.</w:t>
            </w:r>
          </w:p>
        </w:tc>
        <w:tc>
          <w:tcPr>
            <w:tcW w:w="3030" w:type="dxa"/>
            <w:shd w:val="clear" w:color="000000" w:fill="auto"/>
          </w:tcPr>
          <w:p w14:paraId="0904979E" w14:textId="77777777" w:rsidR="008D68DB" w:rsidRDefault="00DF37EA">
            <w:pPr>
              <w:pStyle w:val="naiskr"/>
              <w:ind w:left="57" w:right="57"/>
            </w:pPr>
            <w:r>
              <w:t>Cita informācija</w:t>
            </w:r>
          </w:p>
          <w:p w14:paraId="10392DB7" w14:textId="77777777" w:rsidR="008D68DB" w:rsidRDefault="008D68DB">
            <w:pPr>
              <w:pStyle w:val="naiskr"/>
              <w:ind w:left="57" w:right="57"/>
            </w:pPr>
          </w:p>
        </w:tc>
        <w:tc>
          <w:tcPr>
            <w:tcW w:w="5675" w:type="dxa"/>
            <w:shd w:val="clear" w:color="000000" w:fill="auto"/>
          </w:tcPr>
          <w:p w14:paraId="7C9B8A7C" w14:textId="77777777" w:rsidR="008D68DB" w:rsidRDefault="00DF37EA">
            <w:pPr>
              <w:jc w:val="both"/>
              <w:rPr>
                <w:color w:val="000000"/>
              </w:rPr>
            </w:pPr>
            <w:r>
              <w:rPr>
                <w:color w:val="000000"/>
              </w:rPr>
              <w:t>Nav.</w:t>
            </w:r>
          </w:p>
        </w:tc>
      </w:tr>
    </w:tbl>
    <w:p w14:paraId="485B30A7" w14:textId="2F25A814" w:rsidR="008D68DB" w:rsidRDefault="008D68DB">
      <w:pPr>
        <w:jc w:val="center"/>
      </w:pPr>
    </w:p>
    <w:p w14:paraId="52ADCF7F" w14:textId="70FE18DF" w:rsidR="0081265B" w:rsidRDefault="0081265B">
      <w:pPr>
        <w:jc w:val="center"/>
      </w:pPr>
    </w:p>
    <w:p w14:paraId="5F0D05C4" w14:textId="77777777" w:rsidR="0081265B" w:rsidRDefault="0081265B">
      <w:pPr>
        <w:jc w:val="center"/>
      </w:pPr>
    </w:p>
    <w:p w14:paraId="22A3E32B" w14:textId="77777777" w:rsidR="0056677F" w:rsidRDefault="0056677F">
      <w:pPr>
        <w:jc w:val="cente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985"/>
        <w:gridCol w:w="5720"/>
      </w:tblGrid>
      <w:tr w:rsidR="008D68DB" w14:paraId="09145DF0" w14:textId="77777777" w:rsidTr="0040133A">
        <w:tc>
          <w:tcPr>
            <w:tcW w:w="9356" w:type="dxa"/>
            <w:gridSpan w:val="3"/>
            <w:shd w:val="clear" w:color="000000" w:fill="auto"/>
          </w:tcPr>
          <w:p w14:paraId="6D664FE8" w14:textId="77777777" w:rsidR="008D68DB" w:rsidRDefault="00DF37EA">
            <w:pPr>
              <w:jc w:val="center"/>
              <w:rPr>
                <w:b/>
              </w:rPr>
            </w:pPr>
            <w:r>
              <w:rPr>
                <w:b/>
              </w:rPr>
              <w:t>VII. Tiesību akta projekta izpildes nodrošināšana un tās ietekme uz institūcijām</w:t>
            </w:r>
          </w:p>
        </w:tc>
      </w:tr>
      <w:tr w:rsidR="008D68DB" w14:paraId="45FC3E40" w14:textId="77777777" w:rsidTr="0040133A">
        <w:tc>
          <w:tcPr>
            <w:tcW w:w="651" w:type="dxa"/>
            <w:shd w:val="clear" w:color="000000" w:fill="auto"/>
          </w:tcPr>
          <w:p w14:paraId="6D646DF7" w14:textId="77777777" w:rsidR="008D68DB" w:rsidRDefault="00DF37EA">
            <w:r>
              <w:t xml:space="preserve">1. </w:t>
            </w:r>
          </w:p>
        </w:tc>
        <w:tc>
          <w:tcPr>
            <w:tcW w:w="2985" w:type="dxa"/>
            <w:shd w:val="clear" w:color="000000" w:fill="auto"/>
          </w:tcPr>
          <w:p w14:paraId="40DB9C42" w14:textId="77777777" w:rsidR="008D68DB" w:rsidRDefault="00DF37EA">
            <w:r>
              <w:t>Projekta izpildē iesaistītās institūcijas</w:t>
            </w:r>
          </w:p>
        </w:tc>
        <w:tc>
          <w:tcPr>
            <w:tcW w:w="5720" w:type="dxa"/>
            <w:shd w:val="clear" w:color="000000" w:fill="auto"/>
          </w:tcPr>
          <w:p w14:paraId="44066FCF" w14:textId="7ADD81A7" w:rsidR="008D68DB" w:rsidRDefault="00DF37EA">
            <w:pPr>
              <w:jc w:val="both"/>
              <w:rPr>
                <w:color w:val="000000"/>
              </w:rPr>
            </w:pPr>
            <w:r>
              <w:rPr>
                <w:color w:val="000000"/>
              </w:rPr>
              <w:t>Noteiku</w:t>
            </w:r>
            <w:r w:rsidR="0040133A">
              <w:rPr>
                <w:color w:val="000000"/>
              </w:rPr>
              <w:t xml:space="preserve">ma projekta izpildi nodrošinās </w:t>
            </w:r>
            <w:r w:rsidR="00723399">
              <w:rPr>
                <w:color w:val="000000"/>
              </w:rPr>
              <w:t>A</w:t>
            </w:r>
            <w:r>
              <w:rPr>
                <w:color w:val="000000"/>
              </w:rPr>
              <w:t>ģentūra</w:t>
            </w:r>
            <w:r w:rsidR="00891F2E">
              <w:rPr>
                <w:color w:val="000000"/>
              </w:rPr>
              <w:t xml:space="preserve"> un IKVD</w:t>
            </w:r>
            <w:r>
              <w:rPr>
                <w:color w:val="000000"/>
              </w:rPr>
              <w:t>.</w:t>
            </w:r>
          </w:p>
        </w:tc>
      </w:tr>
      <w:tr w:rsidR="008D68DB" w14:paraId="027E3A04" w14:textId="77777777" w:rsidTr="0040133A">
        <w:tc>
          <w:tcPr>
            <w:tcW w:w="651" w:type="dxa"/>
            <w:shd w:val="clear" w:color="000000" w:fill="auto"/>
          </w:tcPr>
          <w:p w14:paraId="78ED0639" w14:textId="77777777" w:rsidR="008D68DB" w:rsidRDefault="00DF37EA">
            <w:r>
              <w:t xml:space="preserve">2. </w:t>
            </w:r>
          </w:p>
        </w:tc>
        <w:tc>
          <w:tcPr>
            <w:tcW w:w="2985" w:type="dxa"/>
            <w:shd w:val="clear" w:color="000000" w:fill="auto"/>
          </w:tcPr>
          <w:p w14:paraId="3814A4E7" w14:textId="77777777" w:rsidR="008D68DB" w:rsidRDefault="00DF37EA">
            <w:r>
              <w:t>Projekta izpildes ietekme uz pārvaldes funkcijām un institucionālo struktūru.</w:t>
            </w:r>
          </w:p>
          <w:p w14:paraId="0B0716DA" w14:textId="77777777" w:rsidR="008D68DB" w:rsidRDefault="00DF37EA">
            <w:r>
              <w:t>Jaunu institūciju izveide, esošu institūciju likvidācija vai reorganizācija, to ietekme uz institūcijas cilvēkresursiem</w:t>
            </w:r>
          </w:p>
        </w:tc>
        <w:tc>
          <w:tcPr>
            <w:tcW w:w="5720" w:type="dxa"/>
            <w:shd w:val="clear" w:color="000000" w:fill="auto"/>
          </w:tcPr>
          <w:p w14:paraId="6E39A99D" w14:textId="58945B97" w:rsidR="00594664" w:rsidRPr="0081265B" w:rsidRDefault="00DF37EA" w:rsidP="00594664">
            <w:pPr>
              <w:jc w:val="both"/>
              <w:rPr>
                <w:color w:val="000000"/>
              </w:rPr>
            </w:pPr>
            <w:r>
              <w:rPr>
                <w:color w:val="000000"/>
              </w:rPr>
              <w:t xml:space="preserve">Noteikumu projekts neparedz </w:t>
            </w:r>
            <w:r w:rsidR="00723399">
              <w:rPr>
                <w:color w:val="000000"/>
              </w:rPr>
              <w:t>A</w:t>
            </w:r>
            <w:r w:rsidRPr="0081265B">
              <w:rPr>
                <w:color w:val="000000"/>
              </w:rPr>
              <w:t>ģentūras</w:t>
            </w:r>
            <w:r w:rsidR="00891F2E">
              <w:rPr>
                <w:color w:val="000000"/>
              </w:rPr>
              <w:t xml:space="preserve"> un IKVD</w:t>
            </w:r>
            <w:r w:rsidRPr="0081265B">
              <w:rPr>
                <w:color w:val="000000"/>
              </w:rPr>
              <w:t xml:space="preserve"> funkciju paplašināšanu vai sašaurināšanu</w:t>
            </w:r>
            <w:r w:rsidR="0081265B" w:rsidRPr="0081265B">
              <w:rPr>
                <w:color w:val="000000"/>
              </w:rPr>
              <w:t>.</w:t>
            </w:r>
            <w:r w:rsidRPr="0081265B">
              <w:rPr>
                <w:color w:val="000000"/>
              </w:rPr>
              <w:t xml:space="preserve"> </w:t>
            </w:r>
          </w:p>
          <w:p w14:paraId="2A045003" w14:textId="6C19434E" w:rsidR="00594664" w:rsidRPr="00594664" w:rsidRDefault="00594664" w:rsidP="00594664">
            <w:pPr>
              <w:jc w:val="both"/>
              <w:rPr>
                <w:color w:val="FF0000"/>
              </w:rPr>
            </w:pPr>
            <w:r w:rsidRPr="0081265B">
              <w:t xml:space="preserve">Ietekme uz Aģentūras </w:t>
            </w:r>
            <w:r w:rsidR="00891F2E">
              <w:t xml:space="preserve">un IKVD </w:t>
            </w:r>
            <w:r w:rsidRPr="0081265B">
              <w:t>cilvēkresursiem tiks noteikta atbilstoši grozījumiem attiecīgajos Ministru kabineta SAM noteikumos.</w:t>
            </w:r>
          </w:p>
        </w:tc>
      </w:tr>
      <w:tr w:rsidR="008D68DB" w14:paraId="584C5D59" w14:textId="77777777" w:rsidTr="0040133A">
        <w:tc>
          <w:tcPr>
            <w:tcW w:w="651" w:type="dxa"/>
            <w:shd w:val="clear" w:color="000000" w:fill="auto"/>
          </w:tcPr>
          <w:p w14:paraId="3F846466" w14:textId="77777777" w:rsidR="008D68DB" w:rsidRDefault="00DF37EA">
            <w:r>
              <w:t xml:space="preserve">3. </w:t>
            </w:r>
          </w:p>
        </w:tc>
        <w:tc>
          <w:tcPr>
            <w:tcW w:w="2985" w:type="dxa"/>
            <w:shd w:val="clear" w:color="000000" w:fill="auto"/>
          </w:tcPr>
          <w:p w14:paraId="550C78B2" w14:textId="77777777" w:rsidR="008D68DB" w:rsidRDefault="00DF37EA">
            <w:r>
              <w:t>Cita informācija</w:t>
            </w:r>
          </w:p>
        </w:tc>
        <w:tc>
          <w:tcPr>
            <w:tcW w:w="5720" w:type="dxa"/>
            <w:shd w:val="clear" w:color="000000" w:fill="auto"/>
          </w:tcPr>
          <w:p w14:paraId="5A7F14C3" w14:textId="77777777" w:rsidR="008D68DB" w:rsidRDefault="00DF37EA">
            <w:pPr>
              <w:jc w:val="both"/>
              <w:rPr>
                <w:color w:val="000000"/>
              </w:rPr>
            </w:pPr>
            <w:r>
              <w:rPr>
                <w:color w:val="000000"/>
              </w:rPr>
              <w:t>Nav.</w:t>
            </w:r>
          </w:p>
        </w:tc>
      </w:tr>
    </w:tbl>
    <w:p w14:paraId="04A5F760" w14:textId="77777777" w:rsidR="008D68DB" w:rsidRDefault="008D68DB">
      <w:pPr>
        <w:rPr>
          <w:i/>
        </w:rPr>
      </w:pPr>
    </w:p>
    <w:p w14:paraId="6E0FE1C2" w14:textId="77777777" w:rsidR="008D68DB" w:rsidRDefault="008D68DB">
      <w:pPr>
        <w:jc w:val="center"/>
        <w:rPr>
          <w:i/>
        </w:rPr>
      </w:pPr>
    </w:p>
    <w:p w14:paraId="7254BF0B" w14:textId="77777777" w:rsidR="008D68DB" w:rsidRDefault="008D68DB"/>
    <w:p w14:paraId="3831F4AB" w14:textId="77777777" w:rsidR="008D68DB" w:rsidRDefault="008D68DB">
      <w:pPr>
        <w:jc w:val="center"/>
      </w:pPr>
    </w:p>
    <w:p w14:paraId="6F841EB5" w14:textId="77777777" w:rsidR="008D68DB" w:rsidRDefault="00DF37EA">
      <w:pPr>
        <w:ind w:firstLine="720"/>
      </w:pPr>
      <w:r>
        <w:t>Labklājības ministre</w:t>
      </w:r>
      <w:r>
        <w:tab/>
      </w:r>
      <w:r>
        <w:tab/>
      </w:r>
      <w:r>
        <w:tab/>
      </w:r>
      <w:r>
        <w:tab/>
      </w:r>
      <w:r>
        <w:tab/>
      </w:r>
      <w:r>
        <w:tab/>
        <w:t>R.Petraviča</w:t>
      </w:r>
      <w:r>
        <w:tab/>
      </w:r>
      <w:r>
        <w:tab/>
      </w:r>
    </w:p>
    <w:p w14:paraId="3A9AF6BF" w14:textId="77777777" w:rsidR="008D68DB" w:rsidRDefault="008D68DB"/>
    <w:p w14:paraId="65F8D3ED" w14:textId="77777777" w:rsidR="008D68DB" w:rsidRDefault="008D68DB"/>
    <w:p w14:paraId="15E7236F" w14:textId="77777777" w:rsidR="008D68DB" w:rsidRDefault="008D68DB"/>
    <w:p w14:paraId="70CBC56B" w14:textId="77777777" w:rsidR="0081265B" w:rsidRDefault="00DF37EA">
      <w:r>
        <w:tab/>
      </w:r>
    </w:p>
    <w:p w14:paraId="4029D399" w14:textId="77777777" w:rsidR="0081265B" w:rsidRDefault="0081265B"/>
    <w:p w14:paraId="73416E0E" w14:textId="77777777" w:rsidR="0081265B" w:rsidRDefault="0081265B"/>
    <w:p w14:paraId="075EAF91" w14:textId="77777777" w:rsidR="0081265B" w:rsidRDefault="0081265B"/>
    <w:p w14:paraId="56E88A84" w14:textId="77777777" w:rsidR="0081265B" w:rsidRDefault="0081265B"/>
    <w:p w14:paraId="310B55C5" w14:textId="77777777" w:rsidR="0081265B" w:rsidRDefault="0081265B"/>
    <w:p w14:paraId="0B8CE6A0" w14:textId="77777777" w:rsidR="0081265B" w:rsidRDefault="0081265B"/>
    <w:p w14:paraId="19DE3CC4" w14:textId="77777777" w:rsidR="0081265B" w:rsidRDefault="0081265B"/>
    <w:p w14:paraId="623CF8D5" w14:textId="77777777" w:rsidR="0081265B" w:rsidRDefault="0081265B"/>
    <w:p w14:paraId="02A25917" w14:textId="77777777" w:rsidR="0081265B" w:rsidRDefault="0081265B"/>
    <w:p w14:paraId="29A3CFD5" w14:textId="77777777" w:rsidR="0081265B" w:rsidRDefault="0081265B"/>
    <w:p w14:paraId="5F472839" w14:textId="29407A62" w:rsidR="008D68DB" w:rsidRDefault="00DF37EA">
      <w:r>
        <w:t xml:space="preserve">                  </w:t>
      </w:r>
    </w:p>
    <w:p w14:paraId="6EA4556C" w14:textId="77777777" w:rsidR="0040133A" w:rsidRDefault="00DF37EA">
      <w:pPr>
        <w:rPr>
          <w:rFonts w:eastAsia="Arial" w:hAnsi="Arial"/>
          <w:sz w:val="20"/>
          <w:szCs w:val="20"/>
        </w:rPr>
      </w:pPr>
      <w:r>
        <w:rPr>
          <w:rFonts w:eastAsia="Arial" w:hAnsi="Arial"/>
          <w:sz w:val="20"/>
          <w:szCs w:val="20"/>
        </w:rPr>
        <w:t>Iljina, 67021616</w:t>
      </w:r>
    </w:p>
    <w:p w14:paraId="4FAF56D0" w14:textId="316E098B" w:rsidR="00CB7F04" w:rsidRPr="0040133A" w:rsidRDefault="00DF37EA">
      <w:pPr>
        <w:rPr>
          <w:rFonts w:eastAsia="Arial" w:hAnsi="Arial"/>
          <w:sz w:val="20"/>
          <w:szCs w:val="20"/>
        </w:rPr>
      </w:pPr>
      <w:r>
        <w:rPr>
          <w:sz w:val="20"/>
          <w:szCs w:val="20"/>
        </w:rPr>
        <w:t xml:space="preserve"> </w:t>
      </w:r>
      <w:hyperlink r:id="rId9" w:history="1">
        <w:r>
          <w:rPr>
            <w:rStyle w:val="Hyperlink"/>
          </w:rPr>
          <w:t>Olga.Iljina@lm.gov.lv</w:t>
        </w:r>
      </w:hyperlink>
    </w:p>
    <w:p w14:paraId="3980D668" w14:textId="77777777" w:rsidR="00CB7F04" w:rsidRPr="00CB7F04" w:rsidRDefault="00CB7F04" w:rsidP="00CB7F04">
      <w:pPr>
        <w:rPr>
          <w:sz w:val="20"/>
          <w:szCs w:val="20"/>
        </w:rPr>
      </w:pPr>
    </w:p>
    <w:p w14:paraId="736A9924" w14:textId="0665078C" w:rsidR="00CB7F04" w:rsidRDefault="00CB7F04" w:rsidP="00CB7F04">
      <w:pPr>
        <w:rPr>
          <w:sz w:val="20"/>
          <w:szCs w:val="20"/>
        </w:rPr>
      </w:pPr>
    </w:p>
    <w:p w14:paraId="3BF513D3" w14:textId="77777777" w:rsidR="00CB7F04" w:rsidRPr="00CB7F04" w:rsidRDefault="00CB7F04" w:rsidP="00CB7F04">
      <w:pPr>
        <w:rPr>
          <w:sz w:val="20"/>
          <w:szCs w:val="20"/>
        </w:rPr>
      </w:pPr>
    </w:p>
    <w:p w14:paraId="41373137" w14:textId="77777777" w:rsidR="00CB7F04" w:rsidRPr="00CB7F04" w:rsidRDefault="00CB7F04" w:rsidP="00CB7F04">
      <w:pPr>
        <w:rPr>
          <w:sz w:val="20"/>
          <w:szCs w:val="20"/>
        </w:rPr>
      </w:pPr>
    </w:p>
    <w:p w14:paraId="170CAF17" w14:textId="77777777" w:rsidR="00CB7F04" w:rsidRPr="00CB7F04" w:rsidRDefault="00CB7F04" w:rsidP="00CB7F04">
      <w:pPr>
        <w:rPr>
          <w:sz w:val="20"/>
          <w:szCs w:val="20"/>
        </w:rPr>
      </w:pPr>
    </w:p>
    <w:p w14:paraId="3E897170" w14:textId="77777777" w:rsidR="00CB7F04" w:rsidRPr="00CB7F04" w:rsidRDefault="00CB7F04" w:rsidP="00CB7F04">
      <w:pPr>
        <w:rPr>
          <w:sz w:val="20"/>
          <w:szCs w:val="20"/>
        </w:rPr>
      </w:pPr>
    </w:p>
    <w:p w14:paraId="25716E8E" w14:textId="39D1AB2E" w:rsidR="00CB7F04" w:rsidRDefault="00CB7F04" w:rsidP="00CB7F04">
      <w:pPr>
        <w:rPr>
          <w:sz w:val="20"/>
          <w:szCs w:val="20"/>
        </w:rPr>
      </w:pPr>
    </w:p>
    <w:p w14:paraId="0961F57B" w14:textId="77777777" w:rsidR="00CB7F04" w:rsidRPr="00CB7F04" w:rsidRDefault="00CB7F04" w:rsidP="00CB7F04">
      <w:pPr>
        <w:rPr>
          <w:sz w:val="20"/>
          <w:szCs w:val="20"/>
        </w:rPr>
      </w:pPr>
    </w:p>
    <w:p w14:paraId="3BA0E737" w14:textId="0E132184" w:rsidR="008D68DB" w:rsidRPr="00CB7F04" w:rsidRDefault="00CB7F04" w:rsidP="00CB7F04">
      <w:pPr>
        <w:tabs>
          <w:tab w:val="left" w:pos="1087"/>
        </w:tabs>
        <w:rPr>
          <w:sz w:val="20"/>
          <w:szCs w:val="20"/>
        </w:rPr>
      </w:pPr>
      <w:r>
        <w:rPr>
          <w:sz w:val="20"/>
          <w:szCs w:val="20"/>
        </w:rPr>
        <w:tab/>
      </w:r>
    </w:p>
    <w:sectPr w:rsidR="008D68DB" w:rsidRPr="00CB7F04" w:rsidSect="00D35EF5">
      <w:headerReference w:type="even" r:id="rId10"/>
      <w:headerReference w:type="default" r:id="rId11"/>
      <w:footerReference w:type="default" r:id="rId12"/>
      <w:footerReference w:type="first" r:id="rId13"/>
      <w:pgSz w:w="11906" w:h="16838"/>
      <w:pgMar w:top="1134" w:right="1134" w:bottom="1276" w:left="1701" w:header="709"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6272" w14:textId="77777777" w:rsidR="006E7D6E" w:rsidRDefault="006E7D6E">
      <w:r>
        <w:separator/>
      </w:r>
    </w:p>
  </w:endnote>
  <w:endnote w:type="continuationSeparator" w:id="0">
    <w:p w14:paraId="6A5D47F1" w14:textId="77777777" w:rsidR="006E7D6E" w:rsidRDefault="006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A00002EF" w:usb1="4000207B" w:usb2="00000000" w:usb3="00000000" w:csb0="FFFFFF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HelveticaL-Book">
    <w:altName w:val="Malgun Gothic Semilight"/>
    <w:charset w:val="00"/>
    <w:family w:val="auto"/>
    <w:pitch w:val="variable"/>
    <w:sig w:usb0="A00002EF" w:usb1="4000207B" w:usb2="00000000" w:usb3="00000000" w:csb0="FFFFFF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5E99" w14:textId="582A7064" w:rsidR="001F002D" w:rsidRDefault="001F002D">
    <w:pPr>
      <w:pStyle w:val="NormalWeb"/>
      <w:jc w:val="both"/>
    </w:pPr>
    <w:r>
      <w:t>LM</w:t>
    </w:r>
    <w:r w:rsidR="00674816">
      <w:t>a</w:t>
    </w:r>
    <w:r>
      <w:t>not_</w:t>
    </w:r>
    <w:r w:rsidR="0031707A">
      <w:t>04</w:t>
    </w:r>
    <w:r>
      <w:t>0</w:t>
    </w:r>
    <w:r w:rsidR="0031707A">
      <w:t>6</w:t>
    </w:r>
    <w:r w:rsidR="00674816">
      <w:t>20</w:t>
    </w:r>
    <w:r>
      <w:t>_75; Grozījumi Ministru kabineta 2011. gada 25. janvāra noteikumos Nr. 75 „Noteikumi par aktīvo nodarbinātības pasākumu un preventīvo bezdarba samazināšanas pasākumu organizēšanas un finansēšanas kārtību un pasākumu īstenotāju izvēles principiem”</w:t>
    </w:r>
  </w:p>
  <w:p w14:paraId="67BA047F" w14:textId="77777777" w:rsidR="001F002D" w:rsidRDefault="001F002D">
    <w:pPr>
      <w:pStyle w:val="Footer"/>
      <w:tabs>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8FE" w14:textId="41B9A3BB" w:rsidR="001F002D" w:rsidRDefault="001F002D">
    <w:pPr>
      <w:pStyle w:val="NormalWeb"/>
      <w:jc w:val="both"/>
    </w:pPr>
    <w:r>
      <w:t>LM</w:t>
    </w:r>
    <w:r w:rsidR="00674816">
      <w:t>a</w:t>
    </w:r>
    <w:r>
      <w:t>not_</w:t>
    </w:r>
    <w:r w:rsidR="0031707A">
      <w:t>04</w:t>
    </w:r>
    <w:r w:rsidR="001348AC">
      <w:t>0</w:t>
    </w:r>
    <w:r w:rsidR="0031707A">
      <w:t>6</w:t>
    </w:r>
    <w:r w:rsidR="00674816">
      <w:t>20</w:t>
    </w:r>
    <w:r>
      <w:t>_75; Grozījumi Ministru kabineta 2011. gada 25. janvāra noteikumos Nr. 75 „Noteikumi par aktīvo nodarbinātības pasākumu un preventīvo bezdarba samazināšanas pasākumu organizēšanas un finansēšanas kārtību un pasākumu īstenotāju izvēles principiem”</w:t>
    </w:r>
  </w:p>
  <w:p w14:paraId="561FBD29" w14:textId="77777777" w:rsidR="001F002D" w:rsidRDefault="001F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889E" w14:textId="77777777" w:rsidR="006E7D6E" w:rsidRDefault="006E7D6E">
      <w:r>
        <w:separator/>
      </w:r>
    </w:p>
  </w:footnote>
  <w:footnote w:type="continuationSeparator" w:id="0">
    <w:p w14:paraId="279C3CF0" w14:textId="77777777" w:rsidR="006E7D6E" w:rsidRDefault="006E7D6E">
      <w:r>
        <w:continuationSeparator/>
      </w:r>
    </w:p>
  </w:footnote>
  <w:footnote w:id="1">
    <w:p w14:paraId="5DA8C00E" w14:textId="77777777" w:rsidR="00772894" w:rsidRPr="00CD5109" w:rsidRDefault="00772894" w:rsidP="00772894">
      <w:pPr>
        <w:pStyle w:val="FootnoteText"/>
      </w:pPr>
      <w:r>
        <w:rPr>
          <w:rStyle w:val="FootnoteReference"/>
        </w:rPr>
        <w:footnoteRef/>
      </w:r>
      <w:r>
        <w:t xml:space="preserve"> </w:t>
      </w:r>
      <w:hyperlink r:id="rId1" w:history="1">
        <w:r w:rsidRPr="00CD5109">
          <w:rPr>
            <w:rStyle w:val="Hyperlink"/>
          </w:rPr>
          <w:t>http://www.lm.gov.lv/upload/aktualitates/wps6144.pdf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61D" w14:textId="77777777"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1F002D" w:rsidRDefault="001F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715" w14:textId="77777777"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sidR="003D7D54" w:rsidRPr="003D7D54">
      <w:rPr>
        <w:rStyle w:val="PageNumber"/>
        <w:noProof/>
      </w:rPr>
      <w:t>10</w:t>
    </w:r>
    <w:r>
      <w:rPr>
        <w:rStyle w:val="PageNumber"/>
      </w:rPr>
      <w:fldChar w:fldCharType="end"/>
    </w:r>
  </w:p>
  <w:p w14:paraId="679C6A5B" w14:textId="77777777" w:rsidR="001F002D" w:rsidRDefault="001F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2"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B"/>
    <w:rsid w:val="00007AB8"/>
    <w:rsid w:val="00021000"/>
    <w:rsid w:val="00033270"/>
    <w:rsid w:val="0004508E"/>
    <w:rsid w:val="00046C27"/>
    <w:rsid w:val="00050D6C"/>
    <w:rsid w:val="00060FD0"/>
    <w:rsid w:val="000626DE"/>
    <w:rsid w:val="0008259D"/>
    <w:rsid w:val="00085E3B"/>
    <w:rsid w:val="000860BD"/>
    <w:rsid w:val="00087244"/>
    <w:rsid w:val="00095335"/>
    <w:rsid w:val="000979A2"/>
    <w:rsid w:val="000A0168"/>
    <w:rsid w:val="000A0D09"/>
    <w:rsid w:val="000A34ED"/>
    <w:rsid w:val="000B2E17"/>
    <w:rsid w:val="000C6DDD"/>
    <w:rsid w:val="000D1041"/>
    <w:rsid w:val="000F0E16"/>
    <w:rsid w:val="0013328C"/>
    <w:rsid w:val="001348AC"/>
    <w:rsid w:val="00135FC1"/>
    <w:rsid w:val="00146895"/>
    <w:rsid w:val="0015283C"/>
    <w:rsid w:val="001574CC"/>
    <w:rsid w:val="00166A64"/>
    <w:rsid w:val="0018267A"/>
    <w:rsid w:val="001833F1"/>
    <w:rsid w:val="00195271"/>
    <w:rsid w:val="001A3EE0"/>
    <w:rsid w:val="001B498B"/>
    <w:rsid w:val="001D7053"/>
    <w:rsid w:val="001E1EA6"/>
    <w:rsid w:val="001F002D"/>
    <w:rsid w:val="001F4571"/>
    <w:rsid w:val="0020071E"/>
    <w:rsid w:val="00202E67"/>
    <w:rsid w:val="00215875"/>
    <w:rsid w:val="00221805"/>
    <w:rsid w:val="00224A53"/>
    <w:rsid w:val="002264D4"/>
    <w:rsid w:val="00241086"/>
    <w:rsid w:val="00247D1F"/>
    <w:rsid w:val="002576C3"/>
    <w:rsid w:val="00257C06"/>
    <w:rsid w:val="002621C3"/>
    <w:rsid w:val="002636BB"/>
    <w:rsid w:val="00263E44"/>
    <w:rsid w:val="00264FF1"/>
    <w:rsid w:val="00282231"/>
    <w:rsid w:val="0028633D"/>
    <w:rsid w:val="00294B5A"/>
    <w:rsid w:val="002A363A"/>
    <w:rsid w:val="002A541F"/>
    <w:rsid w:val="002B2966"/>
    <w:rsid w:val="002C788B"/>
    <w:rsid w:val="002D51D9"/>
    <w:rsid w:val="002E46D2"/>
    <w:rsid w:val="002F3154"/>
    <w:rsid w:val="00302FD9"/>
    <w:rsid w:val="0030338D"/>
    <w:rsid w:val="0031707A"/>
    <w:rsid w:val="00325ACA"/>
    <w:rsid w:val="003300D3"/>
    <w:rsid w:val="003356DB"/>
    <w:rsid w:val="00336E68"/>
    <w:rsid w:val="00337B2F"/>
    <w:rsid w:val="003418EA"/>
    <w:rsid w:val="00351C14"/>
    <w:rsid w:val="00355E20"/>
    <w:rsid w:val="00366CD0"/>
    <w:rsid w:val="00373023"/>
    <w:rsid w:val="00380EFC"/>
    <w:rsid w:val="00395E92"/>
    <w:rsid w:val="00397B10"/>
    <w:rsid w:val="003A370F"/>
    <w:rsid w:val="003A78AD"/>
    <w:rsid w:val="003C199F"/>
    <w:rsid w:val="003C6E8E"/>
    <w:rsid w:val="003D7D54"/>
    <w:rsid w:val="003F224C"/>
    <w:rsid w:val="00400196"/>
    <w:rsid w:val="0040133A"/>
    <w:rsid w:val="00412C5C"/>
    <w:rsid w:val="00422A4A"/>
    <w:rsid w:val="0043204E"/>
    <w:rsid w:val="0044166B"/>
    <w:rsid w:val="004565E4"/>
    <w:rsid w:val="00470AE0"/>
    <w:rsid w:val="0047608F"/>
    <w:rsid w:val="004806B4"/>
    <w:rsid w:val="00480DC5"/>
    <w:rsid w:val="00485324"/>
    <w:rsid w:val="004875CD"/>
    <w:rsid w:val="004940C6"/>
    <w:rsid w:val="0049540C"/>
    <w:rsid w:val="004A45E0"/>
    <w:rsid w:val="004D694C"/>
    <w:rsid w:val="004E7A75"/>
    <w:rsid w:val="004F33F2"/>
    <w:rsid w:val="005136F9"/>
    <w:rsid w:val="005178A5"/>
    <w:rsid w:val="00547DF3"/>
    <w:rsid w:val="00553802"/>
    <w:rsid w:val="0056677F"/>
    <w:rsid w:val="00572966"/>
    <w:rsid w:val="00587287"/>
    <w:rsid w:val="00594664"/>
    <w:rsid w:val="005A20C7"/>
    <w:rsid w:val="005C4E5D"/>
    <w:rsid w:val="005E1A25"/>
    <w:rsid w:val="005E2DD1"/>
    <w:rsid w:val="005E3B8F"/>
    <w:rsid w:val="005E3C1C"/>
    <w:rsid w:val="00607597"/>
    <w:rsid w:val="00615883"/>
    <w:rsid w:val="0062083F"/>
    <w:rsid w:val="0062469B"/>
    <w:rsid w:val="00635CCD"/>
    <w:rsid w:val="006458ED"/>
    <w:rsid w:val="00655180"/>
    <w:rsid w:val="006611A6"/>
    <w:rsid w:val="00664B85"/>
    <w:rsid w:val="00674816"/>
    <w:rsid w:val="00676801"/>
    <w:rsid w:val="006777F0"/>
    <w:rsid w:val="0068024D"/>
    <w:rsid w:val="006820C7"/>
    <w:rsid w:val="00694C9E"/>
    <w:rsid w:val="006A4B95"/>
    <w:rsid w:val="006B492E"/>
    <w:rsid w:val="006C1684"/>
    <w:rsid w:val="006D019E"/>
    <w:rsid w:val="006D46F8"/>
    <w:rsid w:val="006D5530"/>
    <w:rsid w:val="006E7D6E"/>
    <w:rsid w:val="0071337E"/>
    <w:rsid w:val="0071380D"/>
    <w:rsid w:val="007144DB"/>
    <w:rsid w:val="00723399"/>
    <w:rsid w:val="007362DE"/>
    <w:rsid w:val="007364D4"/>
    <w:rsid w:val="007410B4"/>
    <w:rsid w:val="007478A6"/>
    <w:rsid w:val="007709D9"/>
    <w:rsid w:val="00772894"/>
    <w:rsid w:val="0077306F"/>
    <w:rsid w:val="00773310"/>
    <w:rsid w:val="00781AA5"/>
    <w:rsid w:val="0079490B"/>
    <w:rsid w:val="00795BAA"/>
    <w:rsid w:val="007C4235"/>
    <w:rsid w:val="007D0538"/>
    <w:rsid w:val="007D5036"/>
    <w:rsid w:val="007E07C2"/>
    <w:rsid w:val="007F5018"/>
    <w:rsid w:val="007F783A"/>
    <w:rsid w:val="0080473F"/>
    <w:rsid w:val="00804F70"/>
    <w:rsid w:val="00805363"/>
    <w:rsid w:val="00805CB3"/>
    <w:rsid w:val="0081265B"/>
    <w:rsid w:val="0082452D"/>
    <w:rsid w:val="0083158C"/>
    <w:rsid w:val="008468AD"/>
    <w:rsid w:val="00856BA8"/>
    <w:rsid w:val="0088509C"/>
    <w:rsid w:val="00885885"/>
    <w:rsid w:val="00891F2E"/>
    <w:rsid w:val="00894104"/>
    <w:rsid w:val="008C6F7B"/>
    <w:rsid w:val="008C7396"/>
    <w:rsid w:val="008D1984"/>
    <w:rsid w:val="008D3682"/>
    <w:rsid w:val="008D68DB"/>
    <w:rsid w:val="008E34E9"/>
    <w:rsid w:val="008F0D44"/>
    <w:rsid w:val="008F7CD7"/>
    <w:rsid w:val="00930683"/>
    <w:rsid w:val="00933FFC"/>
    <w:rsid w:val="0093409F"/>
    <w:rsid w:val="0094052C"/>
    <w:rsid w:val="009408D6"/>
    <w:rsid w:val="0096047F"/>
    <w:rsid w:val="0096120B"/>
    <w:rsid w:val="00980295"/>
    <w:rsid w:val="0098113B"/>
    <w:rsid w:val="009B3EE7"/>
    <w:rsid w:val="009B7E87"/>
    <w:rsid w:val="009E1FBF"/>
    <w:rsid w:val="009E4108"/>
    <w:rsid w:val="009F0A5D"/>
    <w:rsid w:val="009F4413"/>
    <w:rsid w:val="00A05297"/>
    <w:rsid w:val="00A16F78"/>
    <w:rsid w:val="00A21EA4"/>
    <w:rsid w:val="00A24B6A"/>
    <w:rsid w:val="00A27A59"/>
    <w:rsid w:val="00A301C4"/>
    <w:rsid w:val="00A302AA"/>
    <w:rsid w:val="00A41EEC"/>
    <w:rsid w:val="00A47E93"/>
    <w:rsid w:val="00A47FE1"/>
    <w:rsid w:val="00A54020"/>
    <w:rsid w:val="00A57DAC"/>
    <w:rsid w:val="00A603AC"/>
    <w:rsid w:val="00A61AB1"/>
    <w:rsid w:val="00A679EE"/>
    <w:rsid w:val="00A73A43"/>
    <w:rsid w:val="00A80004"/>
    <w:rsid w:val="00A8166E"/>
    <w:rsid w:val="00A8514C"/>
    <w:rsid w:val="00A9088E"/>
    <w:rsid w:val="00AA1C54"/>
    <w:rsid w:val="00AA24C8"/>
    <w:rsid w:val="00AA5900"/>
    <w:rsid w:val="00AF406C"/>
    <w:rsid w:val="00AF53FF"/>
    <w:rsid w:val="00AF6534"/>
    <w:rsid w:val="00AF7977"/>
    <w:rsid w:val="00B133D2"/>
    <w:rsid w:val="00B33EA1"/>
    <w:rsid w:val="00B35206"/>
    <w:rsid w:val="00B401C4"/>
    <w:rsid w:val="00B63F81"/>
    <w:rsid w:val="00B76161"/>
    <w:rsid w:val="00B81E64"/>
    <w:rsid w:val="00B878EB"/>
    <w:rsid w:val="00BD1C7A"/>
    <w:rsid w:val="00BD282E"/>
    <w:rsid w:val="00BD2D30"/>
    <w:rsid w:val="00BD6528"/>
    <w:rsid w:val="00C12974"/>
    <w:rsid w:val="00C171B2"/>
    <w:rsid w:val="00C55BD2"/>
    <w:rsid w:val="00C633A3"/>
    <w:rsid w:val="00C67D7C"/>
    <w:rsid w:val="00C7537C"/>
    <w:rsid w:val="00C82668"/>
    <w:rsid w:val="00C86905"/>
    <w:rsid w:val="00C9341A"/>
    <w:rsid w:val="00C973AC"/>
    <w:rsid w:val="00CB5359"/>
    <w:rsid w:val="00CB7F04"/>
    <w:rsid w:val="00CE5CA6"/>
    <w:rsid w:val="00CE651A"/>
    <w:rsid w:val="00D34E58"/>
    <w:rsid w:val="00D35EF5"/>
    <w:rsid w:val="00D401E7"/>
    <w:rsid w:val="00D43C4F"/>
    <w:rsid w:val="00D54EE1"/>
    <w:rsid w:val="00D573A0"/>
    <w:rsid w:val="00D611A1"/>
    <w:rsid w:val="00D70CD5"/>
    <w:rsid w:val="00D734AF"/>
    <w:rsid w:val="00D82785"/>
    <w:rsid w:val="00D91D6A"/>
    <w:rsid w:val="00D953DC"/>
    <w:rsid w:val="00DA328C"/>
    <w:rsid w:val="00DA500B"/>
    <w:rsid w:val="00DB2893"/>
    <w:rsid w:val="00DB361C"/>
    <w:rsid w:val="00DB5442"/>
    <w:rsid w:val="00DC071D"/>
    <w:rsid w:val="00DD40A0"/>
    <w:rsid w:val="00DE3676"/>
    <w:rsid w:val="00DF1FEB"/>
    <w:rsid w:val="00DF37EA"/>
    <w:rsid w:val="00E16C5F"/>
    <w:rsid w:val="00E42C57"/>
    <w:rsid w:val="00E52BB4"/>
    <w:rsid w:val="00E53D63"/>
    <w:rsid w:val="00E54C15"/>
    <w:rsid w:val="00E64CEA"/>
    <w:rsid w:val="00E72B66"/>
    <w:rsid w:val="00E73E82"/>
    <w:rsid w:val="00E909F7"/>
    <w:rsid w:val="00EE0E83"/>
    <w:rsid w:val="00EE2FA7"/>
    <w:rsid w:val="00F017F1"/>
    <w:rsid w:val="00F137F2"/>
    <w:rsid w:val="00F27125"/>
    <w:rsid w:val="00F370B5"/>
    <w:rsid w:val="00F4272D"/>
    <w:rsid w:val="00F43D4A"/>
    <w:rsid w:val="00F5665E"/>
    <w:rsid w:val="00F6005F"/>
    <w:rsid w:val="00F643D9"/>
    <w:rsid w:val="00F95B78"/>
    <w:rsid w:val="00FD29D1"/>
    <w:rsid w:val="00FE4511"/>
    <w:rsid w:val="00FE7B6E"/>
    <w:rsid w:val="00FF0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13445"/>
  <w15:docId w15:val="{FDDDB403-81EC-4DF3-B229-BCEA4FD0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
    <w:name w:val="Virsraksts 1"/>
    <w:rPr>
      <w:b/>
      <w:i/>
      <w:sz w:val="24"/>
      <w:szCs w:val="24"/>
    </w:rPr>
  </w:style>
  <w:style w:type="paragraph" w:customStyle="1" w:styleId="Virsraksts2">
    <w:name w:val="Virsraksts 2"/>
    <w:rPr>
      <w:b/>
      <w:i/>
      <w:sz w:val="22"/>
      <w:szCs w:val="22"/>
    </w:rPr>
  </w:style>
  <w:style w:type="paragraph" w:customStyle="1" w:styleId="Virsraksts3">
    <w:name w:val="Virsraksts 3"/>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customStyle="1" w:styleId="UnresolvedMention2">
    <w:name w:val="Unresolved Mention2"/>
    <w:basedOn w:val="DefaultParagraphFont"/>
    <w:uiPriority w:val="99"/>
    <w:semiHidden/>
    <w:unhideWhenUsed/>
    <w:rsid w:val="0004508E"/>
    <w:rPr>
      <w:color w:val="605E5C"/>
      <w:shd w:val="clear" w:color="auto" w:fill="E1DFDD"/>
    </w:rPr>
  </w:style>
  <w:style w:type="character" w:customStyle="1" w:styleId="italic">
    <w:name w:val="italic"/>
    <w:basedOn w:val="DefaultParagraphFont"/>
    <w:rsid w:val="0081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vvp.n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Iljin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aktualitates/wps6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BC78-0330-49C0-8A41-78ACF128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20128</Words>
  <Characters>11473</Characters>
  <Application>Microsoft Office Word</Application>
  <DocSecurity>0</DocSecurity>
  <Lines>95</Lines>
  <Paragraphs>63</Paragraphs>
  <MMClips>0</MMClips>
  <ScaleCrop>false</ScaleCrop>
  <HeadingPairs>
    <vt:vector size="6" baseType="variant">
      <vt:variant>
        <vt:lpstr>Title</vt:lpstr>
      </vt:variant>
      <vt:variant>
        <vt:i4>1</vt:i4>
      </vt:variant>
      <vt:variant>
        <vt:lpstr>Название</vt:lpstr>
      </vt:variant>
      <vt:variant>
        <vt:i4>1</vt:i4>
      </vt:variant>
      <vt:variant>
        <vt:lpstr>제목</vt:lpstr>
      </vt:variant>
      <vt:variant>
        <vt:i4>1</vt:i4>
      </vt:variant>
    </vt:vector>
  </HeadingPairs>
  <TitlesOfParts>
    <vt:vector size="3"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lastModifiedBy>Olga Iljina</cp:lastModifiedBy>
  <cp:revision>5</cp:revision>
  <cp:lastPrinted>2020-06-04T11:25:00Z</cp:lastPrinted>
  <dcterms:created xsi:type="dcterms:W3CDTF">2020-06-04T11:08:00Z</dcterms:created>
  <dcterms:modified xsi:type="dcterms:W3CDTF">2020-06-04T11:44:00Z</dcterms:modified>
</cp:coreProperties>
</file>