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14264"/>
      </w:tblGrid>
      <w:tr w:rsidR="003E322C" w:rsidRPr="00210486" w:rsidTr="00174268">
        <w:trPr>
          <w:jc w:val="center"/>
        </w:trPr>
        <w:tc>
          <w:tcPr>
            <w:tcW w:w="5000" w:type="pct"/>
            <w:tcBorders>
              <w:bottom w:val="single" w:sz="6" w:space="0" w:color="000000"/>
            </w:tcBorders>
          </w:tcPr>
          <w:p w:rsidR="003E322C" w:rsidRPr="00210486" w:rsidRDefault="003E322C" w:rsidP="00174268">
            <w:pPr>
              <w:jc w:val="center"/>
            </w:pPr>
            <w:r w:rsidRPr="00B002D5">
              <w:rPr>
                <w:b/>
              </w:rPr>
              <w:t xml:space="preserve">Izziņa par atzinumos sniegtajiem iebildumiem </w:t>
            </w:r>
            <w:r w:rsidR="004F06BE">
              <w:rPr>
                <w:b/>
              </w:rPr>
              <w:t>Ministru kabineta noteikumiem</w:t>
            </w:r>
            <w:r w:rsidR="00CC5A56" w:rsidRPr="00CC5A56">
              <w:rPr>
                <w:b/>
              </w:rPr>
              <w:t xml:space="preserve"> “Grozījumi Ministru kabineta 2001.</w:t>
            </w:r>
            <w:r w:rsidR="00454C4D">
              <w:rPr>
                <w:b/>
              </w:rPr>
              <w:t xml:space="preserve"> </w:t>
            </w:r>
            <w:r w:rsidR="00CC5A56" w:rsidRPr="00CC5A56">
              <w:rPr>
                <w:b/>
              </w:rPr>
              <w:t>gada 3.</w:t>
            </w:r>
            <w:r w:rsidR="00454C4D">
              <w:rPr>
                <w:b/>
              </w:rPr>
              <w:t xml:space="preserve"> </w:t>
            </w:r>
            <w:r w:rsidR="00CC5A56" w:rsidRPr="00CC5A56">
              <w:rPr>
                <w:b/>
              </w:rPr>
              <w:t>aprīļa noteikumos Nr. 152 “Darbnespējas lapu izsniegšanas un anulēšanas kārtība””</w:t>
            </w:r>
          </w:p>
        </w:tc>
      </w:tr>
    </w:tbl>
    <w:p w:rsidR="003E322C" w:rsidRDefault="003E322C" w:rsidP="003E322C">
      <w:pPr>
        <w:pStyle w:val="naisc"/>
        <w:spacing w:before="0" w:after="0"/>
        <w:ind w:firstLine="1080"/>
      </w:pPr>
      <w:r w:rsidRPr="00210486">
        <w:t>(dokumenta veids un nosaukums)</w:t>
      </w:r>
    </w:p>
    <w:p w:rsidR="003E322C" w:rsidRDefault="003E322C" w:rsidP="003E322C">
      <w:pPr>
        <w:pStyle w:val="naisf"/>
        <w:spacing w:before="0" w:after="0"/>
        <w:ind w:firstLine="0"/>
        <w:rPr>
          <w:b/>
        </w:rPr>
      </w:pPr>
    </w:p>
    <w:p w:rsidR="003E322C" w:rsidRDefault="003E322C" w:rsidP="003E322C">
      <w:pPr>
        <w:pStyle w:val="naisf"/>
        <w:spacing w:before="0" w:after="0"/>
        <w:ind w:firstLine="0"/>
        <w:rPr>
          <w:b/>
        </w:rPr>
      </w:pPr>
    </w:p>
    <w:p w:rsidR="003E322C" w:rsidRDefault="003E322C" w:rsidP="003E322C">
      <w:pPr>
        <w:pStyle w:val="naisf"/>
        <w:spacing w:before="0" w:after="0"/>
        <w:ind w:firstLine="0"/>
        <w:rPr>
          <w:b/>
        </w:rPr>
      </w:pPr>
      <w:r w:rsidRPr="00EB5872">
        <w:rPr>
          <w:b/>
        </w:rPr>
        <w:t xml:space="preserve">Informācija par </w:t>
      </w:r>
      <w:proofErr w:type="spellStart"/>
      <w:r w:rsidRPr="00EB5872">
        <w:rPr>
          <w:b/>
        </w:rPr>
        <w:t>starpministriju</w:t>
      </w:r>
      <w:proofErr w:type="spellEnd"/>
      <w:r w:rsidRPr="00EB5872">
        <w:rPr>
          <w:b/>
        </w:rPr>
        <w:t xml:space="preserve"> (starpinstitūciju) sanāksmi vai elektronisko saskaņošanu:</w:t>
      </w:r>
    </w:p>
    <w:p w:rsidR="003E322C" w:rsidRPr="00EB5872" w:rsidRDefault="003E322C" w:rsidP="003E322C">
      <w:pPr>
        <w:pStyle w:val="naisf"/>
        <w:spacing w:before="0" w:after="0"/>
        <w:ind w:firstLine="0"/>
        <w:rPr>
          <w:b/>
        </w:rPr>
      </w:pPr>
    </w:p>
    <w:p w:rsidR="003E322C" w:rsidRPr="00EB5872" w:rsidRDefault="003E322C" w:rsidP="003E322C">
      <w:pPr>
        <w:pStyle w:val="naisf"/>
        <w:spacing w:before="0" w:after="0"/>
        <w:ind w:firstLine="0"/>
        <w:rPr>
          <w:b/>
          <w:color w:val="FF0000"/>
        </w:rPr>
      </w:pPr>
    </w:p>
    <w:tbl>
      <w:tblPr>
        <w:tblW w:w="5001" w:type="pct"/>
        <w:tblLook w:val="00A0" w:firstRow="1" w:lastRow="0" w:firstColumn="1" w:lastColumn="0" w:noHBand="0" w:noVBand="0"/>
      </w:tblPr>
      <w:tblGrid>
        <w:gridCol w:w="2999"/>
        <w:gridCol w:w="11268"/>
      </w:tblGrid>
      <w:tr w:rsidR="003E322C" w:rsidRPr="00EB5872" w:rsidTr="00174268">
        <w:tc>
          <w:tcPr>
            <w:tcW w:w="1051" w:type="pct"/>
          </w:tcPr>
          <w:p w:rsidR="003E322C" w:rsidRPr="00EB5872" w:rsidRDefault="003E322C" w:rsidP="00174268">
            <w:pPr>
              <w:pStyle w:val="naisf"/>
              <w:spacing w:before="0" w:after="0"/>
              <w:ind w:firstLine="0"/>
            </w:pPr>
            <w:r w:rsidRPr="00EB5872">
              <w:t>Datums</w:t>
            </w:r>
          </w:p>
        </w:tc>
        <w:tc>
          <w:tcPr>
            <w:tcW w:w="3949" w:type="pct"/>
            <w:tcBorders>
              <w:bottom w:val="single" w:sz="4" w:space="0" w:color="auto"/>
            </w:tcBorders>
          </w:tcPr>
          <w:p w:rsidR="003E322C" w:rsidRPr="0077219B" w:rsidRDefault="003E322C" w:rsidP="00174268">
            <w:pPr>
              <w:rPr>
                <w:highlight w:val="yellow"/>
              </w:rPr>
            </w:pPr>
            <w:r w:rsidRPr="00E142DF">
              <w:t>20</w:t>
            </w:r>
            <w:r w:rsidR="004F06BE">
              <w:t>20.gada</w:t>
            </w:r>
            <w:r w:rsidR="00454C4D">
              <w:t xml:space="preserve"> 13.maijā elektroniski nosūtīts saskaņošanai</w:t>
            </w:r>
          </w:p>
        </w:tc>
      </w:tr>
      <w:tr w:rsidR="003E322C" w:rsidRPr="00EB5872" w:rsidTr="00174268">
        <w:tc>
          <w:tcPr>
            <w:tcW w:w="1051" w:type="pct"/>
          </w:tcPr>
          <w:p w:rsidR="003E322C" w:rsidRPr="00EB5872" w:rsidRDefault="003E322C" w:rsidP="00174268">
            <w:pPr>
              <w:pStyle w:val="naisf"/>
              <w:spacing w:before="0" w:after="0"/>
              <w:ind w:firstLine="0"/>
            </w:pPr>
          </w:p>
        </w:tc>
        <w:tc>
          <w:tcPr>
            <w:tcW w:w="3949" w:type="pct"/>
            <w:tcBorders>
              <w:top w:val="single" w:sz="4" w:space="0" w:color="auto"/>
            </w:tcBorders>
          </w:tcPr>
          <w:p w:rsidR="003E322C" w:rsidRPr="0077219B" w:rsidRDefault="003E322C" w:rsidP="00174268">
            <w:pPr>
              <w:pStyle w:val="NormalWeb"/>
              <w:spacing w:before="0" w:beforeAutospacing="0" w:after="0" w:afterAutospacing="0"/>
              <w:ind w:firstLine="720"/>
              <w:rPr>
                <w:highlight w:val="yellow"/>
              </w:rPr>
            </w:pPr>
          </w:p>
        </w:tc>
      </w:tr>
      <w:tr w:rsidR="003E322C" w:rsidRPr="00EB5872" w:rsidTr="00174268">
        <w:tc>
          <w:tcPr>
            <w:tcW w:w="1051" w:type="pct"/>
          </w:tcPr>
          <w:p w:rsidR="003E322C" w:rsidRPr="00EB5872" w:rsidRDefault="003E322C" w:rsidP="00174268">
            <w:pPr>
              <w:pStyle w:val="naiskr"/>
              <w:spacing w:before="0" w:after="0"/>
            </w:pPr>
            <w:r w:rsidRPr="00EB5872">
              <w:t>Saskaņošanas dalībnieki</w:t>
            </w:r>
          </w:p>
        </w:tc>
        <w:tc>
          <w:tcPr>
            <w:tcW w:w="3949" w:type="pct"/>
          </w:tcPr>
          <w:p w:rsidR="003E322C" w:rsidRPr="0077219B" w:rsidRDefault="003E322C" w:rsidP="00174268">
            <w:pPr>
              <w:autoSpaceDE w:val="0"/>
              <w:autoSpaceDN w:val="0"/>
              <w:adjustRightInd w:val="0"/>
              <w:jc w:val="both"/>
              <w:rPr>
                <w:color w:val="000000"/>
                <w:highlight w:val="yellow"/>
              </w:rPr>
            </w:pPr>
            <w:r w:rsidRPr="00E142DF">
              <w:t>Finanšu ministrij</w:t>
            </w:r>
            <w:r>
              <w:t>a</w:t>
            </w:r>
            <w:r w:rsidRPr="00E142DF">
              <w:t xml:space="preserve">, </w:t>
            </w:r>
            <w:r>
              <w:t xml:space="preserve">Tieslietu ministrija, </w:t>
            </w:r>
            <w:r w:rsidR="004F06BE">
              <w:t>Veselības ministrija, Vides aizsardzības un reģionālās attīstības ministrija</w:t>
            </w:r>
            <w:r>
              <w:t>, Latvijas Darba devēju konfederācija</w:t>
            </w:r>
            <w:r w:rsidRPr="00E142DF">
              <w:t xml:space="preserve"> un Latvijas Brīvo arodbiedrību savienīb</w:t>
            </w:r>
            <w:r>
              <w:t>a</w:t>
            </w:r>
            <w:r w:rsidRPr="00E142DF">
              <w:t>.</w:t>
            </w:r>
          </w:p>
        </w:tc>
      </w:tr>
      <w:tr w:rsidR="003E322C" w:rsidRPr="0077219B" w:rsidTr="00174268">
        <w:trPr>
          <w:gridAfter w:val="1"/>
          <w:wAfter w:w="3949" w:type="pct"/>
        </w:trPr>
        <w:tc>
          <w:tcPr>
            <w:tcW w:w="1051" w:type="pct"/>
          </w:tcPr>
          <w:p w:rsidR="003E322C" w:rsidRPr="00EB5872" w:rsidRDefault="003E322C" w:rsidP="00174268">
            <w:pPr>
              <w:pStyle w:val="naiskr"/>
              <w:spacing w:before="0" w:after="0"/>
            </w:pPr>
          </w:p>
        </w:tc>
      </w:tr>
      <w:tr w:rsidR="003E322C" w:rsidRPr="00EB5872" w:rsidTr="00174268">
        <w:trPr>
          <w:trHeight w:val="285"/>
        </w:trPr>
        <w:tc>
          <w:tcPr>
            <w:tcW w:w="1051" w:type="pct"/>
          </w:tcPr>
          <w:p w:rsidR="003E322C" w:rsidRPr="00EB5872" w:rsidRDefault="003E322C" w:rsidP="00174268">
            <w:pPr>
              <w:pStyle w:val="naiskr"/>
              <w:spacing w:before="0" w:after="0"/>
            </w:pPr>
            <w:r w:rsidRPr="00EB5872">
              <w:t>Saskaņošanas dalībnieki izskatīja šādu ministriju (citu institūciju) iebildumus</w:t>
            </w:r>
          </w:p>
        </w:tc>
        <w:tc>
          <w:tcPr>
            <w:tcW w:w="3949" w:type="pct"/>
            <w:tcBorders>
              <w:bottom w:val="single" w:sz="4" w:space="0" w:color="auto"/>
            </w:tcBorders>
          </w:tcPr>
          <w:p w:rsidR="003E322C" w:rsidRPr="0077219B" w:rsidRDefault="003E322C" w:rsidP="00174268">
            <w:pPr>
              <w:pStyle w:val="naiskr"/>
              <w:spacing w:before="0" w:after="0"/>
              <w:ind w:firstLine="12"/>
              <w:rPr>
                <w:highlight w:val="yellow"/>
              </w:rPr>
            </w:pPr>
            <w:r>
              <w:t>Tieslietu ministrijas</w:t>
            </w:r>
            <w:r w:rsidR="004F06BE">
              <w:t>, Veselības ministrijas un Vides aizsardzības un reģionālās attīstības ministrijas</w:t>
            </w:r>
            <w:r>
              <w:t>.</w:t>
            </w:r>
          </w:p>
        </w:tc>
      </w:tr>
      <w:tr w:rsidR="003E322C" w:rsidRPr="00EB5872" w:rsidTr="00174268">
        <w:trPr>
          <w:trHeight w:val="285"/>
        </w:trPr>
        <w:tc>
          <w:tcPr>
            <w:tcW w:w="1051" w:type="pct"/>
          </w:tcPr>
          <w:p w:rsidR="003E322C" w:rsidRPr="00EB5872" w:rsidRDefault="003E322C" w:rsidP="00174268">
            <w:pPr>
              <w:pStyle w:val="naiskr"/>
              <w:spacing w:before="0" w:after="0"/>
            </w:pPr>
          </w:p>
        </w:tc>
        <w:tc>
          <w:tcPr>
            <w:tcW w:w="3949" w:type="pct"/>
            <w:tcBorders>
              <w:top w:val="single" w:sz="4" w:space="0" w:color="auto"/>
            </w:tcBorders>
          </w:tcPr>
          <w:p w:rsidR="003E322C" w:rsidRPr="00EB5872" w:rsidRDefault="003E322C" w:rsidP="00174268">
            <w:pPr>
              <w:pStyle w:val="naiskr"/>
              <w:spacing w:before="0" w:after="0"/>
              <w:ind w:firstLine="12"/>
            </w:pPr>
          </w:p>
        </w:tc>
      </w:tr>
      <w:tr w:rsidR="003E322C" w:rsidRPr="00EB5872" w:rsidTr="00174268">
        <w:trPr>
          <w:trHeight w:val="465"/>
        </w:trPr>
        <w:tc>
          <w:tcPr>
            <w:tcW w:w="5000" w:type="pct"/>
            <w:gridSpan w:val="2"/>
          </w:tcPr>
          <w:p w:rsidR="003E322C" w:rsidRPr="00EB5872" w:rsidRDefault="003E322C" w:rsidP="00174268">
            <w:pPr>
              <w:pStyle w:val="naisc"/>
              <w:spacing w:before="0" w:after="0"/>
              <w:ind w:left="4820" w:firstLine="720"/>
            </w:pPr>
          </w:p>
        </w:tc>
      </w:tr>
      <w:tr w:rsidR="003E322C" w:rsidRPr="00D7457E" w:rsidTr="00174268">
        <w:tc>
          <w:tcPr>
            <w:tcW w:w="1051" w:type="pct"/>
          </w:tcPr>
          <w:p w:rsidR="003E322C" w:rsidRPr="00D7457E" w:rsidRDefault="003E322C" w:rsidP="00174268">
            <w:pPr>
              <w:pStyle w:val="naiskr"/>
              <w:spacing w:before="0" w:after="0"/>
            </w:pPr>
            <w:r w:rsidRPr="00EB5872">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3E322C" w:rsidRPr="002704E9" w:rsidRDefault="003E322C" w:rsidP="00174268">
            <w:pPr>
              <w:pStyle w:val="naiskr"/>
              <w:spacing w:before="0" w:after="0"/>
              <w:rPr>
                <w:highlight w:val="lightGray"/>
              </w:rPr>
            </w:pPr>
          </w:p>
          <w:p w:rsidR="003E322C" w:rsidRPr="002704E9" w:rsidRDefault="003E322C" w:rsidP="00174268">
            <w:pPr>
              <w:rPr>
                <w:highlight w:val="lightGray"/>
              </w:rPr>
            </w:pPr>
          </w:p>
          <w:p w:rsidR="003E322C" w:rsidRPr="002704E9" w:rsidRDefault="003E322C" w:rsidP="00174268">
            <w:pPr>
              <w:rPr>
                <w:highlight w:val="lightGray"/>
              </w:rPr>
            </w:pPr>
          </w:p>
          <w:p w:rsidR="003E322C" w:rsidRPr="002704E9" w:rsidRDefault="003E322C" w:rsidP="00174268">
            <w:pPr>
              <w:rPr>
                <w:highlight w:val="lightGray"/>
              </w:rPr>
            </w:pPr>
          </w:p>
        </w:tc>
      </w:tr>
    </w:tbl>
    <w:p w:rsidR="003E322C" w:rsidRDefault="003E322C" w:rsidP="003E322C">
      <w:pPr>
        <w:pStyle w:val="naisf"/>
        <w:spacing w:before="0" w:after="0"/>
        <w:ind w:firstLine="0"/>
      </w:pPr>
    </w:p>
    <w:p w:rsidR="003E322C" w:rsidRPr="00DB2F96" w:rsidRDefault="003E322C" w:rsidP="003E322C">
      <w:pPr>
        <w:pStyle w:val="naisf"/>
        <w:spacing w:before="0" w:after="0"/>
        <w:jc w:val="center"/>
        <w:rPr>
          <w:b/>
        </w:rPr>
      </w:pPr>
    </w:p>
    <w:p w:rsidR="003E322C" w:rsidRPr="00D7457E" w:rsidRDefault="003E322C" w:rsidP="003E322C">
      <w:pPr>
        <w:pStyle w:val="naisf"/>
        <w:spacing w:before="0" w:after="0"/>
        <w:ind w:firstLine="0"/>
        <w:jc w:val="center"/>
        <w:rPr>
          <w:b/>
        </w:rPr>
      </w:pPr>
      <w:r w:rsidRPr="00D7457E">
        <w:rPr>
          <w:b/>
        </w:rPr>
        <w:t>II. Jautājumi, par kuriem saskaņošanā vienošanās ir panākta</w:t>
      </w:r>
    </w:p>
    <w:p w:rsidR="003E322C" w:rsidRPr="00D7457E" w:rsidRDefault="003E322C" w:rsidP="003E322C">
      <w:pPr>
        <w:pStyle w:val="naisf"/>
        <w:spacing w:before="0" w:after="0"/>
        <w:ind w:firstLine="720"/>
      </w:pPr>
    </w:p>
    <w:p w:rsidR="003E322C" w:rsidRDefault="003E322C" w:rsidP="003E322C">
      <w:pPr>
        <w:pStyle w:val="Footer"/>
        <w:tabs>
          <w:tab w:val="clear" w:pos="4153"/>
          <w:tab w:val="clear" w:pos="8306"/>
        </w:tabs>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2896"/>
        <w:gridCol w:w="4406"/>
        <w:gridCol w:w="2910"/>
        <w:gridCol w:w="3403"/>
      </w:tblGrid>
      <w:tr w:rsidR="003E322C" w:rsidRPr="00D7457E" w:rsidTr="00174268">
        <w:tc>
          <w:tcPr>
            <w:tcW w:w="223" w:type="pct"/>
            <w:tcBorders>
              <w:top w:val="single" w:sz="6" w:space="0" w:color="000000"/>
              <w:left w:val="single" w:sz="6" w:space="0" w:color="000000"/>
              <w:bottom w:val="single" w:sz="6" w:space="0" w:color="000000"/>
              <w:right w:val="single" w:sz="6" w:space="0" w:color="000000"/>
            </w:tcBorders>
            <w:vAlign w:val="center"/>
          </w:tcPr>
          <w:p w:rsidR="003E322C" w:rsidRPr="00D7457E" w:rsidRDefault="003E322C" w:rsidP="00174268">
            <w:pPr>
              <w:pStyle w:val="naisc"/>
              <w:spacing w:before="0" w:after="0"/>
            </w:pPr>
            <w:r w:rsidRPr="00D7457E">
              <w:t>Nr. p.k.</w:t>
            </w:r>
          </w:p>
        </w:tc>
        <w:tc>
          <w:tcPr>
            <w:tcW w:w="1016" w:type="pct"/>
            <w:tcBorders>
              <w:top w:val="single" w:sz="6" w:space="0" w:color="000000"/>
              <w:left w:val="single" w:sz="6" w:space="0" w:color="000000"/>
              <w:bottom w:val="single" w:sz="6" w:space="0" w:color="000000"/>
              <w:right w:val="single" w:sz="6" w:space="0" w:color="000000"/>
            </w:tcBorders>
            <w:vAlign w:val="center"/>
          </w:tcPr>
          <w:p w:rsidR="003E322C" w:rsidRPr="00D7457E" w:rsidRDefault="003E322C" w:rsidP="00174268">
            <w:pPr>
              <w:pStyle w:val="naisc"/>
              <w:spacing w:before="0" w:after="0"/>
              <w:ind w:firstLine="12"/>
            </w:pPr>
            <w:r w:rsidRPr="00D7457E">
              <w:t xml:space="preserve">Saskaņošanai nosūtītā projekta redakcija </w:t>
            </w:r>
            <w:r w:rsidRPr="00D7457E">
              <w:lastRenderedPageBreak/>
              <w:t>(konkrēta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rsidR="003E322C" w:rsidRPr="00D7457E" w:rsidRDefault="003E322C" w:rsidP="00174268">
            <w:pPr>
              <w:pStyle w:val="naisc"/>
              <w:spacing w:before="0" w:after="0"/>
              <w:ind w:right="3"/>
            </w:pPr>
            <w:r w:rsidRPr="00D7457E">
              <w:lastRenderedPageBreak/>
              <w:t xml:space="preserve">Atzinumā norādītais ministrijas (citas institūcijas) iebildums, kā arī saskaņošanā </w:t>
            </w:r>
            <w:r w:rsidRPr="00D7457E">
              <w:lastRenderedPageBreak/>
              <w:t>papildus izteiktais iebildums par projekta konkrēto punktu (pantu)</w:t>
            </w:r>
          </w:p>
        </w:tc>
        <w:tc>
          <w:tcPr>
            <w:tcW w:w="1021" w:type="pct"/>
            <w:tcBorders>
              <w:top w:val="single" w:sz="6" w:space="0" w:color="000000"/>
              <w:left w:val="single" w:sz="6" w:space="0" w:color="000000"/>
              <w:bottom w:val="single" w:sz="6" w:space="0" w:color="000000"/>
              <w:right w:val="single" w:sz="6" w:space="0" w:color="000000"/>
            </w:tcBorders>
            <w:vAlign w:val="center"/>
          </w:tcPr>
          <w:p w:rsidR="003E322C" w:rsidRPr="00D7457E" w:rsidRDefault="003E322C" w:rsidP="00174268">
            <w:pPr>
              <w:pStyle w:val="naisc"/>
              <w:spacing w:before="0" w:after="0"/>
              <w:ind w:firstLine="21"/>
            </w:pPr>
            <w:r w:rsidRPr="00D7457E">
              <w:lastRenderedPageBreak/>
              <w:t xml:space="preserve">Atbildīgās ministrijas norāde par to, ka iebildums </w:t>
            </w:r>
            <w:r w:rsidRPr="00D7457E">
              <w:lastRenderedPageBreak/>
              <w:t>ir ņemts vērā, vai informācija par saskaņošanā panākto alternatīvo risinājumu</w:t>
            </w:r>
          </w:p>
        </w:tc>
        <w:tc>
          <w:tcPr>
            <w:tcW w:w="1194" w:type="pct"/>
            <w:tcBorders>
              <w:top w:val="single" w:sz="4" w:space="0" w:color="auto"/>
              <w:left w:val="single" w:sz="4" w:space="0" w:color="auto"/>
              <w:bottom w:val="single" w:sz="4" w:space="0" w:color="auto"/>
            </w:tcBorders>
            <w:vAlign w:val="center"/>
          </w:tcPr>
          <w:p w:rsidR="003E322C" w:rsidRPr="00D7457E" w:rsidRDefault="003E322C" w:rsidP="00174268">
            <w:pPr>
              <w:jc w:val="center"/>
            </w:pPr>
            <w:r w:rsidRPr="00D7457E">
              <w:lastRenderedPageBreak/>
              <w:t>Projekta attiecīgā punkta (panta) galīgā redakcija</w:t>
            </w:r>
          </w:p>
        </w:tc>
      </w:tr>
      <w:tr w:rsidR="003E322C" w:rsidRPr="00D7457E" w:rsidTr="00174268">
        <w:tc>
          <w:tcPr>
            <w:tcW w:w="223" w:type="pct"/>
            <w:tcBorders>
              <w:top w:val="single" w:sz="6" w:space="0" w:color="000000"/>
              <w:left w:val="single" w:sz="6" w:space="0" w:color="000000"/>
              <w:bottom w:val="single" w:sz="6" w:space="0" w:color="000000"/>
              <w:right w:val="single" w:sz="6" w:space="0" w:color="000000"/>
            </w:tcBorders>
          </w:tcPr>
          <w:p w:rsidR="003E322C" w:rsidRPr="00D7457E" w:rsidRDefault="003E322C" w:rsidP="00174268">
            <w:pPr>
              <w:pStyle w:val="naisc"/>
              <w:spacing w:before="0" w:after="0"/>
            </w:pPr>
            <w:r w:rsidRPr="00D7457E">
              <w:t>1</w:t>
            </w:r>
          </w:p>
        </w:tc>
        <w:tc>
          <w:tcPr>
            <w:tcW w:w="1016" w:type="pct"/>
            <w:tcBorders>
              <w:top w:val="single" w:sz="6" w:space="0" w:color="000000"/>
              <w:left w:val="single" w:sz="6" w:space="0" w:color="000000"/>
              <w:bottom w:val="single" w:sz="6" w:space="0" w:color="000000"/>
              <w:right w:val="single" w:sz="6" w:space="0" w:color="000000"/>
            </w:tcBorders>
          </w:tcPr>
          <w:p w:rsidR="003E322C" w:rsidRPr="00D7457E" w:rsidRDefault="003E322C" w:rsidP="00174268">
            <w:pPr>
              <w:pStyle w:val="naisc"/>
              <w:spacing w:before="0" w:after="0"/>
              <w:ind w:firstLine="720"/>
            </w:pPr>
            <w:r w:rsidRPr="00D7457E">
              <w:t>2</w:t>
            </w:r>
          </w:p>
        </w:tc>
        <w:tc>
          <w:tcPr>
            <w:tcW w:w="1546" w:type="pct"/>
            <w:tcBorders>
              <w:top w:val="single" w:sz="6" w:space="0" w:color="000000"/>
              <w:left w:val="single" w:sz="6" w:space="0" w:color="000000"/>
              <w:bottom w:val="single" w:sz="6" w:space="0" w:color="000000"/>
              <w:right w:val="single" w:sz="6" w:space="0" w:color="000000"/>
            </w:tcBorders>
          </w:tcPr>
          <w:p w:rsidR="003E322C" w:rsidRPr="00D7457E" w:rsidRDefault="003E322C" w:rsidP="00174268">
            <w:pPr>
              <w:pStyle w:val="naisc"/>
              <w:spacing w:before="0" w:after="0"/>
              <w:ind w:firstLine="720"/>
            </w:pPr>
            <w:r w:rsidRPr="00D7457E">
              <w:t>3</w:t>
            </w:r>
          </w:p>
        </w:tc>
        <w:tc>
          <w:tcPr>
            <w:tcW w:w="1021" w:type="pct"/>
            <w:tcBorders>
              <w:top w:val="single" w:sz="6" w:space="0" w:color="000000"/>
              <w:left w:val="single" w:sz="6" w:space="0" w:color="000000"/>
              <w:bottom w:val="single" w:sz="6" w:space="0" w:color="000000"/>
              <w:right w:val="single" w:sz="6" w:space="0" w:color="000000"/>
            </w:tcBorders>
          </w:tcPr>
          <w:p w:rsidR="003E322C" w:rsidRPr="00D7457E" w:rsidRDefault="003E322C" w:rsidP="00174268">
            <w:pPr>
              <w:pStyle w:val="naisc"/>
              <w:spacing w:before="0" w:after="0"/>
              <w:ind w:firstLine="720"/>
            </w:pPr>
            <w:r w:rsidRPr="00D7457E">
              <w:t>4</w:t>
            </w:r>
          </w:p>
        </w:tc>
        <w:tc>
          <w:tcPr>
            <w:tcW w:w="1194" w:type="pct"/>
            <w:tcBorders>
              <w:top w:val="single" w:sz="4" w:space="0" w:color="auto"/>
              <w:left w:val="single" w:sz="4" w:space="0" w:color="auto"/>
              <w:bottom w:val="single" w:sz="4" w:space="0" w:color="auto"/>
            </w:tcBorders>
          </w:tcPr>
          <w:p w:rsidR="003E322C" w:rsidRPr="00D7457E" w:rsidRDefault="003E322C" w:rsidP="00174268">
            <w:pPr>
              <w:jc w:val="center"/>
            </w:pPr>
            <w:r w:rsidRPr="00D7457E">
              <w:t>5</w:t>
            </w:r>
          </w:p>
        </w:tc>
      </w:tr>
      <w:tr w:rsidR="003E322C" w:rsidRPr="00D7457E" w:rsidTr="00174268">
        <w:tc>
          <w:tcPr>
            <w:tcW w:w="5000" w:type="pct"/>
            <w:gridSpan w:val="5"/>
            <w:tcBorders>
              <w:left w:val="single" w:sz="6" w:space="0" w:color="000000"/>
              <w:bottom w:val="single" w:sz="4" w:space="0" w:color="auto"/>
            </w:tcBorders>
          </w:tcPr>
          <w:p w:rsidR="003E322C" w:rsidRPr="00D00143" w:rsidRDefault="004F06BE" w:rsidP="00174268">
            <w:pPr>
              <w:jc w:val="center"/>
              <w:rPr>
                <w:b/>
              </w:rPr>
            </w:pPr>
            <w:r>
              <w:rPr>
                <w:b/>
              </w:rPr>
              <w:t>Tieslietu ministrija</w:t>
            </w:r>
          </w:p>
        </w:tc>
      </w:tr>
      <w:tr w:rsidR="003E322C" w:rsidRPr="00D7457E" w:rsidTr="00174268">
        <w:tc>
          <w:tcPr>
            <w:tcW w:w="223" w:type="pct"/>
            <w:tcBorders>
              <w:left w:val="single" w:sz="6" w:space="0" w:color="000000"/>
              <w:bottom w:val="single" w:sz="4" w:space="0" w:color="auto"/>
              <w:right w:val="single" w:sz="6" w:space="0" w:color="000000"/>
            </w:tcBorders>
          </w:tcPr>
          <w:p w:rsidR="003E322C" w:rsidRPr="00FD0810" w:rsidRDefault="003E322C" w:rsidP="00174268">
            <w:pPr>
              <w:pStyle w:val="naisc"/>
              <w:spacing w:before="60" w:after="0"/>
            </w:pPr>
            <w:r>
              <w:t>1.</w:t>
            </w:r>
          </w:p>
        </w:tc>
        <w:tc>
          <w:tcPr>
            <w:tcW w:w="1016" w:type="pct"/>
            <w:tcBorders>
              <w:left w:val="single" w:sz="6" w:space="0" w:color="000000"/>
              <w:bottom w:val="single" w:sz="4" w:space="0" w:color="auto"/>
              <w:right w:val="single" w:sz="6" w:space="0" w:color="000000"/>
            </w:tcBorders>
          </w:tcPr>
          <w:p w:rsidR="003E322C" w:rsidRPr="00D7457E" w:rsidRDefault="00521024" w:rsidP="00174268">
            <w:pPr>
              <w:jc w:val="both"/>
            </w:pPr>
            <w:r>
              <w:t>Skat. noteikumu projekta 3.punktu.</w:t>
            </w:r>
          </w:p>
        </w:tc>
        <w:tc>
          <w:tcPr>
            <w:tcW w:w="1546" w:type="pct"/>
            <w:tcBorders>
              <w:left w:val="single" w:sz="6" w:space="0" w:color="000000"/>
              <w:bottom w:val="single" w:sz="4" w:space="0" w:color="auto"/>
              <w:right w:val="single" w:sz="6" w:space="0" w:color="000000"/>
            </w:tcBorders>
          </w:tcPr>
          <w:p w:rsidR="00965F6C" w:rsidRPr="00965F6C" w:rsidRDefault="00965F6C" w:rsidP="00903914">
            <w:pPr>
              <w:jc w:val="both"/>
              <w:rPr>
                <w:rFonts w:eastAsia="Calibri"/>
                <w:color w:val="000000"/>
                <w:lang w:eastAsia="en-US"/>
              </w:rPr>
            </w:pPr>
            <w:r w:rsidRPr="00965F6C">
              <w:rPr>
                <w:rFonts w:eastAsia="Calibri"/>
                <w:color w:val="000000"/>
                <w:lang w:eastAsia="en-US"/>
              </w:rPr>
              <w:t>Projekta 3. punktā paredzēts, ka darbnespējas lapu varēs izsniegt arī likuma “Par maternitātes un slimības apdrošināšanu” 13. panta 2.</w:t>
            </w:r>
            <w:r w:rsidRPr="00965F6C">
              <w:rPr>
                <w:rFonts w:eastAsia="Calibri"/>
                <w:color w:val="000000"/>
                <w:vertAlign w:val="superscript"/>
                <w:lang w:eastAsia="en-US"/>
              </w:rPr>
              <w:t xml:space="preserve">1 </w:t>
            </w:r>
            <w:r w:rsidRPr="00965F6C">
              <w:rPr>
                <w:rFonts w:eastAsia="Calibri"/>
                <w:color w:val="000000"/>
                <w:lang w:eastAsia="en-US"/>
              </w:rPr>
              <w:t>un 2.</w:t>
            </w:r>
            <w:r w:rsidRPr="00965F6C">
              <w:rPr>
                <w:rFonts w:eastAsia="Calibri"/>
                <w:color w:val="000000"/>
                <w:vertAlign w:val="superscript"/>
                <w:lang w:eastAsia="en-US"/>
              </w:rPr>
              <w:t xml:space="preserve">2 </w:t>
            </w:r>
            <w:r w:rsidRPr="00965F6C">
              <w:rPr>
                <w:rFonts w:eastAsia="Calibri"/>
                <w:color w:val="000000"/>
                <w:lang w:eastAsia="en-US"/>
              </w:rPr>
              <w:t>daļā paredzētajos gadījumos, kad ārstniecības iestādē ārstējas bērni līdz 18 gadu vecumam, “kuriem pēc valsts sabiedrības ar ierobežotu atbildību “Bērnu klīniskā universitātes slimnīca” ārstu konsilija atzinuma ir nepieciešama vecāka nepārtraukta klātbūtne” (citēta norma). Vēršam uzmanību, ka minētais nosacījums par ārsta konsīlija atzinumu ir paredzēts vienīgi likuma “Par maternitātes un slimības apdrošināšanu” 13. panta 2.</w:t>
            </w:r>
            <w:r w:rsidRPr="00965F6C">
              <w:rPr>
                <w:rFonts w:eastAsia="Calibri"/>
                <w:color w:val="000000"/>
                <w:vertAlign w:val="superscript"/>
                <w:lang w:eastAsia="en-US"/>
              </w:rPr>
              <w:t xml:space="preserve">1 </w:t>
            </w:r>
            <w:r w:rsidRPr="00965F6C">
              <w:rPr>
                <w:rFonts w:eastAsia="Calibri"/>
                <w:color w:val="000000"/>
                <w:lang w:eastAsia="en-US"/>
              </w:rPr>
              <w:t>daļā. Savukārt šā likuma 13. panta 2.</w:t>
            </w:r>
            <w:r w:rsidRPr="00965F6C">
              <w:rPr>
                <w:rFonts w:eastAsia="Calibri"/>
                <w:color w:val="000000"/>
                <w:vertAlign w:val="superscript"/>
                <w:lang w:eastAsia="en-US"/>
              </w:rPr>
              <w:t xml:space="preserve">2 </w:t>
            </w:r>
            <w:r w:rsidRPr="00965F6C">
              <w:rPr>
                <w:rFonts w:eastAsia="Calibri"/>
                <w:color w:val="000000"/>
                <w:lang w:eastAsia="en-US"/>
              </w:rPr>
              <w:t xml:space="preserve">daļā paredzēts slima bērna, kurš nav sasniedzis 18 gadu vecumu un par kuru piešķirts bērna ar invaliditāti kopšanas pabalsts, kopšanas gadījums. Savukārt tas, ka darbnespējas lapa tiek izsniegta vienīgi par laikposmu, kad personas atrašanās ārstniecības iestādē ir nepieciešama, jau tiek paredzēts projekta 3. punktā ietvertās normas noslēgumā. </w:t>
            </w:r>
          </w:p>
          <w:p w:rsidR="003E322C" w:rsidRPr="00D7457E" w:rsidRDefault="00965F6C" w:rsidP="00903914">
            <w:pPr>
              <w:jc w:val="both"/>
              <w:rPr>
                <w:rFonts w:eastAsia="Calibri"/>
                <w:color w:val="000000"/>
                <w:lang w:eastAsia="en-US"/>
              </w:rPr>
            </w:pPr>
            <w:r w:rsidRPr="00965F6C">
              <w:rPr>
                <w:rFonts w:eastAsia="Calibri"/>
                <w:color w:val="000000"/>
                <w:lang w:eastAsia="en-US"/>
              </w:rPr>
              <w:t xml:space="preserve">Ievērojot minēto, lūdzam precizēt projekta 3. punktā ietverto normu atbilstoši likuma </w:t>
            </w:r>
            <w:r w:rsidRPr="00965F6C">
              <w:rPr>
                <w:rFonts w:eastAsia="Calibri"/>
                <w:color w:val="000000"/>
                <w:lang w:eastAsia="en-US"/>
              </w:rPr>
              <w:lastRenderedPageBreak/>
              <w:t>“Par maternitātes un slimības apdrošināšanu” 13. panta 2.</w:t>
            </w:r>
            <w:r w:rsidRPr="00965F6C">
              <w:rPr>
                <w:rFonts w:eastAsia="Calibri"/>
                <w:color w:val="000000"/>
                <w:vertAlign w:val="superscript"/>
                <w:lang w:eastAsia="en-US"/>
              </w:rPr>
              <w:t xml:space="preserve">1 </w:t>
            </w:r>
            <w:r w:rsidRPr="00965F6C">
              <w:rPr>
                <w:rFonts w:eastAsia="Calibri"/>
                <w:color w:val="000000"/>
                <w:lang w:eastAsia="en-US"/>
              </w:rPr>
              <w:t>un 2.</w:t>
            </w:r>
            <w:r w:rsidRPr="00965F6C">
              <w:rPr>
                <w:rFonts w:eastAsia="Calibri"/>
                <w:color w:val="000000"/>
                <w:vertAlign w:val="superscript"/>
                <w:lang w:eastAsia="en-US"/>
              </w:rPr>
              <w:t xml:space="preserve">2 </w:t>
            </w:r>
            <w:r w:rsidRPr="00965F6C">
              <w:rPr>
                <w:rFonts w:eastAsia="Calibri"/>
                <w:color w:val="000000"/>
                <w:lang w:eastAsia="en-US"/>
              </w:rPr>
              <w:t xml:space="preserve">daļas regulējumam.  </w:t>
            </w:r>
          </w:p>
        </w:tc>
        <w:tc>
          <w:tcPr>
            <w:tcW w:w="1021" w:type="pct"/>
            <w:tcBorders>
              <w:left w:val="single" w:sz="6" w:space="0" w:color="000000"/>
              <w:bottom w:val="single" w:sz="4" w:space="0" w:color="auto"/>
              <w:right w:val="single" w:sz="6" w:space="0" w:color="000000"/>
            </w:tcBorders>
          </w:tcPr>
          <w:p w:rsidR="003E322C" w:rsidRPr="002359AB" w:rsidRDefault="00903914" w:rsidP="00174268">
            <w:pPr>
              <w:autoSpaceDE w:val="0"/>
              <w:autoSpaceDN w:val="0"/>
              <w:adjustRightInd w:val="0"/>
              <w:jc w:val="center"/>
              <w:rPr>
                <w:b/>
              </w:rPr>
            </w:pPr>
            <w:r>
              <w:rPr>
                <w:b/>
              </w:rPr>
              <w:lastRenderedPageBreak/>
              <w:t>Ņemts vērā.</w:t>
            </w:r>
          </w:p>
        </w:tc>
        <w:tc>
          <w:tcPr>
            <w:tcW w:w="1194" w:type="pct"/>
            <w:tcBorders>
              <w:top w:val="single" w:sz="4" w:space="0" w:color="auto"/>
              <w:left w:val="single" w:sz="4" w:space="0" w:color="auto"/>
              <w:bottom w:val="single" w:sz="4" w:space="0" w:color="auto"/>
            </w:tcBorders>
          </w:tcPr>
          <w:p w:rsidR="003E322C" w:rsidRPr="000D409B" w:rsidRDefault="00903914" w:rsidP="00174268">
            <w:pPr>
              <w:jc w:val="both"/>
            </w:pPr>
            <w:r>
              <w:t>Skat. noteikumu projekta 1.punktu un 5.punktu un anotācijas I sadaļas 2.punktu.</w:t>
            </w:r>
          </w:p>
        </w:tc>
      </w:tr>
      <w:tr w:rsidR="006B42E7" w:rsidRPr="00D7457E" w:rsidTr="006B42E7">
        <w:tc>
          <w:tcPr>
            <w:tcW w:w="5000" w:type="pct"/>
            <w:gridSpan w:val="5"/>
            <w:tcBorders>
              <w:left w:val="single" w:sz="6" w:space="0" w:color="000000"/>
              <w:bottom w:val="single" w:sz="4" w:space="0" w:color="auto"/>
            </w:tcBorders>
          </w:tcPr>
          <w:p w:rsidR="006B42E7" w:rsidRPr="006B42E7" w:rsidRDefault="006B42E7" w:rsidP="006B42E7">
            <w:pPr>
              <w:jc w:val="center"/>
              <w:rPr>
                <w:b/>
              </w:rPr>
            </w:pPr>
            <w:r w:rsidRPr="006B42E7">
              <w:rPr>
                <w:b/>
              </w:rPr>
              <w:t>Veselības ministrija</w:t>
            </w:r>
          </w:p>
        </w:tc>
      </w:tr>
      <w:tr w:rsidR="003E322C" w:rsidRPr="00D7457E" w:rsidTr="00174268">
        <w:tc>
          <w:tcPr>
            <w:tcW w:w="223" w:type="pct"/>
            <w:tcBorders>
              <w:left w:val="single" w:sz="6" w:space="0" w:color="000000"/>
              <w:bottom w:val="single" w:sz="4" w:space="0" w:color="auto"/>
              <w:right w:val="single" w:sz="6" w:space="0" w:color="000000"/>
            </w:tcBorders>
          </w:tcPr>
          <w:p w:rsidR="003E322C" w:rsidRDefault="006B42E7" w:rsidP="00174268">
            <w:pPr>
              <w:pStyle w:val="naisc"/>
              <w:spacing w:before="60" w:after="0"/>
            </w:pPr>
            <w:r>
              <w:t>2.</w:t>
            </w:r>
          </w:p>
        </w:tc>
        <w:tc>
          <w:tcPr>
            <w:tcW w:w="1016" w:type="pct"/>
            <w:tcBorders>
              <w:left w:val="single" w:sz="6" w:space="0" w:color="000000"/>
              <w:bottom w:val="single" w:sz="4" w:space="0" w:color="auto"/>
              <w:right w:val="single" w:sz="6" w:space="0" w:color="000000"/>
            </w:tcBorders>
          </w:tcPr>
          <w:p w:rsidR="003E322C" w:rsidRPr="00D7457E" w:rsidRDefault="003E322C" w:rsidP="00174268">
            <w:pPr>
              <w:jc w:val="both"/>
            </w:pPr>
          </w:p>
        </w:tc>
        <w:tc>
          <w:tcPr>
            <w:tcW w:w="1546" w:type="pct"/>
            <w:tcBorders>
              <w:left w:val="single" w:sz="6" w:space="0" w:color="000000"/>
              <w:bottom w:val="single" w:sz="4" w:space="0" w:color="auto"/>
              <w:right w:val="single" w:sz="6" w:space="0" w:color="000000"/>
            </w:tcBorders>
          </w:tcPr>
          <w:p w:rsidR="006B42E7" w:rsidRPr="006B42E7" w:rsidRDefault="006B42E7" w:rsidP="006B42E7">
            <w:pPr>
              <w:jc w:val="both"/>
            </w:pPr>
            <w:r w:rsidRPr="006B42E7">
              <w:t xml:space="preserve">Lūdzam izvērtēt iespējas Ministru kabineta 2001. gada 3. aprīļa noteikumu Nr.152 “Darbnespējas lapu izsniegšanas un anulēšanas kārtība” (turpmāk – MK noteikumi Nr.152) </w:t>
            </w:r>
            <w:r w:rsidRPr="006B42E7">
              <w:rPr>
                <w:u w:val="single"/>
              </w:rPr>
              <w:t>7.punktu</w:t>
            </w:r>
            <w:r w:rsidRPr="006B42E7">
              <w:t xml:space="preserve"> izteikt jaunā precizētā redakcijā saistībā ar jēdzienu “persona, kura audzina bērnu” tā skaidrākam lietojumam, ņemot vērā </w:t>
            </w:r>
            <w:proofErr w:type="spellStart"/>
            <w:r w:rsidRPr="006B42E7">
              <w:t>problēmsituācijas</w:t>
            </w:r>
            <w:proofErr w:type="spellEnd"/>
            <w:r w:rsidRPr="006B42E7">
              <w:t xml:space="preserve"> un dažādās interpretācijas attiecībā uz darbnespējas lapu izrakstīšanu citām personām, nevis bērna vecākiem.</w:t>
            </w:r>
          </w:p>
          <w:p w:rsidR="006B42E7" w:rsidRPr="006B42E7" w:rsidRDefault="006B42E7" w:rsidP="006B42E7">
            <w:pPr>
              <w:jc w:val="both"/>
            </w:pPr>
            <w:r w:rsidRPr="006B42E7">
              <w:t xml:space="preserve">Saņemot gan no veselības nozares ekspertiem, ārstniecības personām un arī iedzīvotājiem daudzos jautājumus par darbnespējas lapu izrakstīšanas nosacījumiem, jo īpaši par darbnespējas lapu izrakstīšanu bērna vecvecākiem slima bērna kopšanai, secināms, ka valstiski ir izveidojusies atšķirīga normatīvo aktu izpratne un arī interpretācijas prakse saistībā ar darbnespējas lapu izsniegšanu vecvecākiem slima bērna kopšanai. Ārstniecības iestādēs izveidojusies atšķirīga prakse šādos gadījumos, atsevišķos gadījumos ārstiem izsniedzot darbnespējas lapu vecvecākiem pēc viņu pieprasījuma, dažos gadījumos ar vecāku piekrišanu, savukārt atsevišķās ārstniecības iestādēs </w:t>
            </w:r>
            <w:r w:rsidRPr="006B42E7">
              <w:lastRenderedPageBreak/>
              <w:t>tiek pieprasīta notariāli apliecināta vecāku pilnvara, radot papildus administratīvo un finansiālo slogu slimā bērna ģimenei jau tā sarežģītā situācijā.</w:t>
            </w:r>
          </w:p>
          <w:p w:rsidR="006B42E7" w:rsidRPr="006B42E7" w:rsidRDefault="006B42E7" w:rsidP="006B42E7">
            <w:pPr>
              <w:jc w:val="both"/>
            </w:pPr>
            <w:r w:rsidRPr="006B42E7">
              <w:t>Pašreizējā MK noteikumu Nr.152 7.punkta redakcija rada neskaidrības, tā kā nav noteikts skaidrs statuss subjektam „persona, kura audzina bērnu”. Piemēram, Civillikuma Ģimenes tiesību daļā nav skaidrojuma jēdzieniem „audzina bērnu”, savukārt personu uzskaitījums attiecīgo noteikumu 7.punkta iekavās (vienam no vecākiem, vecvecākiem, audžuvecākiem, aizbildnim vai citai personai, kura saskaņā ar bāriņtiesas lēmumu kopj un audzina bērnu) nedod skaidru priekšstatu par to, kādos gadījumos un kādā veidā darbnespējas lapa izsniedzama vecvecākiem, audžuvecākiem vai citām personām. Papildus vēršam uzmanību, ka darbnespējas lapas izsniegšana Administratīvā procesa likuma izpratnē ir administratīvais akts, proti, administratīvā procesa rezultāts (atziņa vairākkārtīgi nostiprināta tiesu praksē). Līdz ar to noteikumos skaidri nosakāms administratīvā akta adresāts – bērna gadījumā tam jābūt bērna likumiskajam pārstāvim, pretējā gadījumā atbilstoši Administratīvā procesa likuma un Pacientu tiesību likuma nosacījumiem nepieciešams bērna likumiskā pārstāvja pilnvarojums.</w:t>
            </w:r>
          </w:p>
          <w:p w:rsidR="006B42E7" w:rsidRPr="006B42E7" w:rsidRDefault="006B42E7" w:rsidP="006B42E7">
            <w:pPr>
              <w:jc w:val="both"/>
              <w:rPr>
                <w:i/>
              </w:rPr>
            </w:pPr>
            <w:r w:rsidRPr="006B42E7">
              <w:lastRenderedPageBreak/>
              <w:t>Ņemot vērā minēto aicinām MK noteikumu Nr.152 7.punkta redakciju precizēt, skaidri nosakot gadījumus un personas, kurām, izņemot slimā bērna vecākus, var tikt izrakstīta darbnespējas lapa un veidu, kā apliecināma radniecība (piemēram, pilnvara, apliecinājums) vai arī uz kāda normatīvā regulējuma darbnespējas lapa izsniedzama personai, kura nav bērna likumiskais pārstāvis, ņemot vērā Civillikumā, Administratīvā procesa likumā un Pacientu tiesību likumā noteikto. Piemēram, izsakot attiecīgo 7. punktu šādā redakcijā: „</w:t>
            </w:r>
            <w:r w:rsidRPr="006B42E7">
              <w:rPr>
                <w:i/>
              </w:rPr>
              <w:t>7. Šo noteikumu 3.7. un 3.8. apakšpunktā minētajos gadījumos no pirmās darbnespējas dienas izsniedz darbnespējas lapu B. Darbnespējas lapu B šo noteikumu 3.7. apakšpunktā minētajos gadījumos izsniedz, ievērojot šādus nosacījumus:</w:t>
            </w:r>
          </w:p>
          <w:p w:rsidR="006B42E7" w:rsidRPr="006B42E7" w:rsidRDefault="006B42E7" w:rsidP="006B42E7">
            <w:pPr>
              <w:jc w:val="both"/>
              <w:rPr>
                <w:i/>
              </w:rPr>
            </w:pPr>
            <w:r w:rsidRPr="006B42E7">
              <w:rPr>
                <w:i/>
              </w:rPr>
              <w:t xml:space="preserve">7.1. Darbnespējas lapu B slima bērna kopšanai izsniedz bērna likumiskajam pārstāvim- vienam no vecākiem vai vienam no audžuvecākiem, aizbildnim, vienam no adoptētājiem, kuriem ar bāriņtiesas lēmumu bērns nodots </w:t>
            </w:r>
            <w:proofErr w:type="spellStart"/>
            <w:r w:rsidRPr="006B42E7">
              <w:rPr>
                <w:i/>
              </w:rPr>
              <w:t>pirmsadopcijas</w:t>
            </w:r>
            <w:proofErr w:type="spellEnd"/>
            <w:r w:rsidRPr="006B42E7">
              <w:rPr>
                <w:i/>
              </w:rPr>
              <w:t xml:space="preserve"> aprūpē, vai citai personai, kura saskaņā ar bāriņtiesas lēmumu aprūpē bērnu-, ja minētā persona sakarā ar slima bērna kopšanu nevar ierasties darbā un tādējādi zaudē darbā gūstamos ienākumus;</w:t>
            </w:r>
          </w:p>
          <w:p w:rsidR="003E322C" w:rsidRPr="005954F1" w:rsidRDefault="006B42E7" w:rsidP="00174268">
            <w:pPr>
              <w:jc w:val="both"/>
            </w:pPr>
            <w:r w:rsidRPr="006B42E7">
              <w:rPr>
                <w:i/>
              </w:rPr>
              <w:lastRenderedPageBreak/>
              <w:t xml:space="preserve">7.2. ja slima bērna kopšanu nav iespējams īstenot bērna likumiskajam pārstāvim, tas var pilnvarot vienu no tuvākajiem radiniekiem –  bērna vecvecākiem, pilngadīgajiem bērna brāļiem vai māsām,  pilngadīgajiem vecāku brāļiem vai māsām- kopt slimo bērnu. Attiecīgais pilnvarojums noformējams </w:t>
            </w:r>
            <w:proofErr w:type="spellStart"/>
            <w:r w:rsidRPr="006B42E7">
              <w:rPr>
                <w:i/>
              </w:rPr>
              <w:t>rakstveidā</w:t>
            </w:r>
            <w:proofErr w:type="spellEnd"/>
            <w:r w:rsidRPr="006B42E7">
              <w:rPr>
                <w:i/>
              </w:rPr>
              <w:t xml:space="preserve"> vai mutiski uz vietas ārstniecības iestādē, to fiksējot pacienta (bērna) medicīniskajā dokumentācijā.</w:t>
            </w:r>
            <w:r w:rsidRPr="006B42E7">
              <w:t>”.</w:t>
            </w:r>
          </w:p>
        </w:tc>
        <w:tc>
          <w:tcPr>
            <w:tcW w:w="1021" w:type="pct"/>
            <w:tcBorders>
              <w:left w:val="single" w:sz="6" w:space="0" w:color="000000"/>
              <w:bottom w:val="single" w:sz="4" w:space="0" w:color="auto"/>
              <w:right w:val="single" w:sz="6" w:space="0" w:color="000000"/>
            </w:tcBorders>
          </w:tcPr>
          <w:p w:rsidR="003E322C" w:rsidRPr="00A60FB4" w:rsidRDefault="00903914" w:rsidP="00174268">
            <w:pPr>
              <w:jc w:val="center"/>
              <w:rPr>
                <w:b/>
              </w:rPr>
            </w:pPr>
            <w:r>
              <w:rPr>
                <w:b/>
              </w:rPr>
              <w:lastRenderedPageBreak/>
              <w:t>Ņemts vērā.</w:t>
            </w:r>
          </w:p>
        </w:tc>
        <w:tc>
          <w:tcPr>
            <w:tcW w:w="1194" w:type="pct"/>
            <w:tcBorders>
              <w:top w:val="single" w:sz="4" w:space="0" w:color="auto"/>
              <w:left w:val="single" w:sz="4" w:space="0" w:color="auto"/>
              <w:bottom w:val="single" w:sz="4" w:space="0" w:color="auto"/>
            </w:tcBorders>
          </w:tcPr>
          <w:p w:rsidR="003E322C" w:rsidRPr="000D409B" w:rsidRDefault="00903914" w:rsidP="00174268">
            <w:pPr>
              <w:jc w:val="both"/>
            </w:pPr>
            <w:r>
              <w:t>Skat. noteikumu projekta 3.punktu un anotācijas I sadaļas 2.punktu.</w:t>
            </w:r>
          </w:p>
        </w:tc>
      </w:tr>
      <w:tr w:rsidR="003E322C" w:rsidRPr="00D7457E" w:rsidTr="00174268">
        <w:tc>
          <w:tcPr>
            <w:tcW w:w="223" w:type="pct"/>
            <w:tcBorders>
              <w:left w:val="single" w:sz="6" w:space="0" w:color="000000"/>
              <w:bottom w:val="single" w:sz="4" w:space="0" w:color="auto"/>
              <w:right w:val="single" w:sz="6" w:space="0" w:color="000000"/>
            </w:tcBorders>
          </w:tcPr>
          <w:p w:rsidR="003E322C" w:rsidRPr="00FD0810" w:rsidRDefault="006B42E7" w:rsidP="00174268">
            <w:pPr>
              <w:pStyle w:val="naisc"/>
              <w:spacing w:before="60" w:after="0"/>
            </w:pPr>
            <w:r>
              <w:lastRenderedPageBreak/>
              <w:t>3.</w:t>
            </w:r>
          </w:p>
        </w:tc>
        <w:tc>
          <w:tcPr>
            <w:tcW w:w="1016" w:type="pct"/>
            <w:tcBorders>
              <w:left w:val="single" w:sz="6" w:space="0" w:color="000000"/>
              <w:bottom w:val="single" w:sz="4" w:space="0" w:color="auto"/>
              <w:right w:val="single" w:sz="6" w:space="0" w:color="000000"/>
            </w:tcBorders>
          </w:tcPr>
          <w:p w:rsidR="003E322C" w:rsidRPr="00D7457E" w:rsidRDefault="003E322C" w:rsidP="00174268">
            <w:pPr>
              <w:jc w:val="both"/>
            </w:pPr>
          </w:p>
        </w:tc>
        <w:tc>
          <w:tcPr>
            <w:tcW w:w="1546" w:type="pct"/>
            <w:tcBorders>
              <w:left w:val="single" w:sz="6" w:space="0" w:color="000000"/>
              <w:bottom w:val="single" w:sz="4" w:space="0" w:color="auto"/>
              <w:right w:val="single" w:sz="6" w:space="0" w:color="000000"/>
            </w:tcBorders>
          </w:tcPr>
          <w:p w:rsidR="006B42E7" w:rsidRPr="006B42E7" w:rsidRDefault="006B42E7" w:rsidP="006B42E7">
            <w:pPr>
              <w:jc w:val="both"/>
              <w:rPr>
                <w:rFonts w:eastAsia="Calibri"/>
                <w:i/>
                <w:color w:val="000000"/>
                <w:lang w:eastAsia="en-US"/>
              </w:rPr>
            </w:pPr>
            <w:r w:rsidRPr="006B42E7">
              <w:rPr>
                <w:rFonts w:eastAsia="Calibri"/>
                <w:color w:val="000000"/>
                <w:lang w:eastAsia="en-US"/>
              </w:rPr>
              <w:t xml:space="preserve">Aicinām izvērtēt iespējas precizēt normatīvo regulējumu attiecībā uz ārvalstīs izsniegtu darbnespējas lapu pielīdzināšanu. Šobrīd MK noteikumu Nr.152 </w:t>
            </w:r>
            <w:r w:rsidRPr="006B42E7">
              <w:rPr>
                <w:rFonts w:eastAsia="Calibri"/>
                <w:color w:val="000000"/>
                <w:u w:val="single"/>
                <w:lang w:eastAsia="en-US"/>
              </w:rPr>
              <w:t>9.punkts</w:t>
            </w:r>
            <w:r w:rsidRPr="006B42E7">
              <w:rPr>
                <w:rFonts w:eastAsia="Calibri"/>
                <w:color w:val="000000"/>
                <w:lang w:eastAsia="en-US"/>
              </w:rPr>
              <w:t xml:space="preserve"> paredz nosacījumus ārvalstī izsniegto darbnespēju apliecinošo dokumentu pielīdzināšanai, taču neparedz subjektu loku, kam persona iesniedz ārvalstī izsniegto darbnespēju apliecinošo dokumentu lēmuma pieņemšanai par minētā dokumenta pielīdzināšanu Latvijā izsniegtai darbnespējas lapai. Lai skaidri nodalītu atbildību saistītu ar lēmuma par attiecīgo dokumentu pielīdzināšanu pieņemšanas no ārsta palīga vai ārsta kompetences darbspēju ekspertīzē, MK noteikumos Nr.152 nepieciešams iekļaut regulējumu attiecībā uz personām, kurām ir tiesības pielīdzināt ārvalstī izsniegto darbnespēju apliecinošo dokumentu Latvijā izsniegtai darbnespējas lapai, vienlaikus </w:t>
            </w:r>
            <w:r w:rsidRPr="006B42E7">
              <w:rPr>
                <w:rFonts w:eastAsia="Calibri"/>
                <w:color w:val="000000"/>
                <w:lang w:eastAsia="en-US"/>
              </w:rPr>
              <w:lastRenderedPageBreak/>
              <w:t>neradot papildus administratīvo slogu iedzīvotajiem un ārstniecības personām (Latvijā). Ņemot vērā minēto, aicinām izdarīt grozījumus MK noteikumos Nr.152, papildinot tos, piemēram, ar 9.</w:t>
            </w:r>
            <w:r w:rsidRPr="006B42E7">
              <w:rPr>
                <w:rFonts w:eastAsia="Calibri"/>
                <w:color w:val="000000"/>
                <w:vertAlign w:val="superscript"/>
                <w:lang w:eastAsia="en-US"/>
              </w:rPr>
              <w:t>1</w:t>
            </w:r>
            <w:r w:rsidRPr="006B42E7">
              <w:rPr>
                <w:rFonts w:eastAsia="Calibri"/>
                <w:color w:val="000000"/>
                <w:lang w:eastAsia="en-US"/>
              </w:rPr>
              <w:t xml:space="preserve"> punktu šādā redakcijā: „9</w:t>
            </w:r>
            <w:r w:rsidRPr="006B42E7">
              <w:rPr>
                <w:rFonts w:eastAsia="Calibri"/>
                <w:i/>
                <w:color w:val="000000"/>
                <w:lang w:eastAsia="en-US"/>
              </w:rPr>
              <w:t>.</w:t>
            </w:r>
            <w:r w:rsidRPr="006B42E7">
              <w:rPr>
                <w:rFonts w:eastAsia="Calibri"/>
                <w:i/>
                <w:color w:val="000000"/>
                <w:vertAlign w:val="superscript"/>
                <w:lang w:eastAsia="en-US"/>
              </w:rPr>
              <w:t>1</w:t>
            </w:r>
            <w:r w:rsidRPr="006B42E7">
              <w:rPr>
                <w:rFonts w:eastAsia="Calibri"/>
                <w:i/>
                <w:color w:val="000000"/>
                <w:lang w:eastAsia="en-US"/>
              </w:rPr>
              <w:t xml:space="preserve">  Šo noteikumu 9. punktā minēto ārvalstīs izsniegto darbnespēju apliecinošu dokumentu pielīdzina darbnespējas lapai A vai B saskaņā ar šo noteikumu 4., 5. un 7. punktu:</w:t>
            </w:r>
          </w:p>
          <w:p w:rsidR="006B42E7" w:rsidRPr="006B42E7" w:rsidRDefault="006B42E7" w:rsidP="006B42E7">
            <w:pPr>
              <w:jc w:val="both"/>
              <w:rPr>
                <w:rFonts w:eastAsia="Calibri"/>
                <w:i/>
                <w:color w:val="000000"/>
                <w:lang w:eastAsia="en-US"/>
              </w:rPr>
            </w:pPr>
            <w:r w:rsidRPr="006B42E7">
              <w:rPr>
                <w:rFonts w:eastAsia="Calibri"/>
                <w:i/>
                <w:color w:val="000000"/>
                <w:lang w:eastAsia="en-US"/>
              </w:rPr>
              <w:t>9.</w:t>
            </w:r>
            <w:r w:rsidRPr="006B42E7">
              <w:rPr>
                <w:rFonts w:eastAsia="Calibri"/>
                <w:i/>
                <w:color w:val="000000"/>
                <w:vertAlign w:val="superscript"/>
                <w:lang w:eastAsia="en-US"/>
              </w:rPr>
              <w:t>1</w:t>
            </w:r>
            <w:r w:rsidRPr="006B42E7">
              <w:rPr>
                <w:rFonts w:eastAsia="Calibri"/>
                <w:i/>
                <w:color w:val="000000"/>
                <w:lang w:eastAsia="en-US"/>
              </w:rPr>
              <w:t xml:space="preserve">  1. personas darba devējs;</w:t>
            </w:r>
          </w:p>
          <w:p w:rsidR="006B42E7" w:rsidRPr="006B42E7" w:rsidRDefault="006B42E7" w:rsidP="006B42E7">
            <w:pPr>
              <w:jc w:val="both"/>
              <w:rPr>
                <w:rFonts w:eastAsia="Calibri"/>
                <w:color w:val="000000"/>
                <w:lang w:eastAsia="en-US"/>
              </w:rPr>
            </w:pPr>
            <w:r w:rsidRPr="006B42E7">
              <w:rPr>
                <w:rFonts w:eastAsia="Calibri"/>
                <w:i/>
                <w:color w:val="000000"/>
                <w:lang w:eastAsia="en-US"/>
              </w:rPr>
              <w:t>9.</w:t>
            </w:r>
            <w:r w:rsidRPr="006B42E7">
              <w:rPr>
                <w:rFonts w:eastAsia="Calibri"/>
                <w:i/>
                <w:color w:val="000000"/>
                <w:vertAlign w:val="superscript"/>
                <w:lang w:eastAsia="en-US"/>
              </w:rPr>
              <w:t>1</w:t>
            </w:r>
            <w:r w:rsidRPr="006B42E7">
              <w:rPr>
                <w:rFonts w:eastAsia="Calibri"/>
                <w:i/>
                <w:color w:val="000000"/>
                <w:lang w:eastAsia="en-US"/>
              </w:rPr>
              <w:t xml:space="preserve">  2. Valsts sociālās apdrošināšanas aģentūra</w:t>
            </w:r>
            <w:r w:rsidRPr="006B42E7">
              <w:rPr>
                <w:rFonts w:eastAsia="Calibri"/>
                <w:color w:val="000000"/>
                <w:lang w:eastAsia="en-US"/>
              </w:rPr>
              <w:t>” attiecīgi papildinot arī noteikumu projekta anotāciju.</w:t>
            </w:r>
          </w:p>
          <w:p w:rsidR="003E322C" w:rsidRPr="00D7457E" w:rsidRDefault="003E322C" w:rsidP="00174268">
            <w:pPr>
              <w:jc w:val="both"/>
              <w:rPr>
                <w:rFonts w:eastAsia="Calibri"/>
                <w:color w:val="000000"/>
                <w:lang w:eastAsia="en-US"/>
              </w:rPr>
            </w:pPr>
          </w:p>
        </w:tc>
        <w:tc>
          <w:tcPr>
            <w:tcW w:w="1021" w:type="pct"/>
            <w:tcBorders>
              <w:left w:val="single" w:sz="6" w:space="0" w:color="000000"/>
              <w:bottom w:val="single" w:sz="4" w:space="0" w:color="auto"/>
              <w:right w:val="single" w:sz="6" w:space="0" w:color="000000"/>
            </w:tcBorders>
          </w:tcPr>
          <w:p w:rsidR="003E322C" w:rsidRPr="00903914" w:rsidRDefault="00903914" w:rsidP="00174268">
            <w:pPr>
              <w:autoSpaceDE w:val="0"/>
              <w:autoSpaceDN w:val="0"/>
              <w:adjustRightInd w:val="0"/>
              <w:jc w:val="center"/>
              <w:rPr>
                <w:b/>
              </w:rPr>
            </w:pPr>
            <w:r w:rsidRPr="00903914">
              <w:rPr>
                <w:b/>
              </w:rPr>
              <w:lastRenderedPageBreak/>
              <w:t>Ņemts vērā.</w:t>
            </w:r>
          </w:p>
        </w:tc>
        <w:tc>
          <w:tcPr>
            <w:tcW w:w="1194" w:type="pct"/>
            <w:tcBorders>
              <w:top w:val="single" w:sz="4" w:space="0" w:color="auto"/>
              <w:left w:val="single" w:sz="4" w:space="0" w:color="auto"/>
              <w:bottom w:val="single" w:sz="4" w:space="0" w:color="auto"/>
            </w:tcBorders>
          </w:tcPr>
          <w:p w:rsidR="003E322C" w:rsidRPr="000D409B" w:rsidRDefault="00903914" w:rsidP="00174268">
            <w:pPr>
              <w:jc w:val="both"/>
            </w:pPr>
            <w:r>
              <w:t>Skat. noteikumu projekta 4.punktu un anotācijas I sadaļas 2.punktu.</w:t>
            </w:r>
          </w:p>
        </w:tc>
      </w:tr>
      <w:tr w:rsidR="003E322C" w:rsidRPr="00D7457E" w:rsidTr="00174268">
        <w:tc>
          <w:tcPr>
            <w:tcW w:w="223" w:type="pct"/>
            <w:tcBorders>
              <w:left w:val="single" w:sz="6" w:space="0" w:color="000000"/>
              <w:bottom w:val="single" w:sz="4" w:space="0" w:color="auto"/>
              <w:right w:val="single" w:sz="6" w:space="0" w:color="000000"/>
            </w:tcBorders>
          </w:tcPr>
          <w:p w:rsidR="003E322C" w:rsidRDefault="006B42E7" w:rsidP="00174268">
            <w:pPr>
              <w:pStyle w:val="naisc"/>
              <w:spacing w:before="60" w:after="0"/>
            </w:pPr>
            <w:r>
              <w:t>4.</w:t>
            </w:r>
          </w:p>
        </w:tc>
        <w:tc>
          <w:tcPr>
            <w:tcW w:w="1016" w:type="pct"/>
            <w:tcBorders>
              <w:left w:val="single" w:sz="6" w:space="0" w:color="000000"/>
              <w:bottom w:val="single" w:sz="4" w:space="0" w:color="auto"/>
              <w:right w:val="single" w:sz="6" w:space="0" w:color="000000"/>
            </w:tcBorders>
          </w:tcPr>
          <w:p w:rsidR="003E322C" w:rsidRPr="00D7457E" w:rsidRDefault="003E322C" w:rsidP="00174268">
            <w:pPr>
              <w:jc w:val="both"/>
            </w:pPr>
          </w:p>
        </w:tc>
        <w:tc>
          <w:tcPr>
            <w:tcW w:w="1546" w:type="pct"/>
            <w:tcBorders>
              <w:left w:val="single" w:sz="6" w:space="0" w:color="000000"/>
              <w:bottom w:val="single" w:sz="4" w:space="0" w:color="auto"/>
              <w:right w:val="single" w:sz="6" w:space="0" w:color="000000"/>
            </w:tcBorders>
          </w:tcPr>
          <w:p w:rsidR="006B42E7" w:rsidRPr="006B42E7" w:rsidRDefault="006B42E7" w:rsidP="006B42E7">
            <w:pPr>
              <w:jc w:val="both"/>
              <w:rPr>
                <w:rFonts w:eastAsia="Calibri"/>
                <w:color w:val="000000"/>
                <w:lang w:eastAsia="en-US"/>
              </w:rPr>
            </w:pPr>
            <w:r w:rsidRPr="006B42E7">
              <w:rPr>
                <w:rFonts w:eastAsia="Calibri"/>
                <w:color w:val="000000"/>
                <w:lang w:eastAsia="en-US"/>
              </w:rPr>
              <w:t xml:space="preserve">Lūdzam papildināt noteikumu projektu ar papildus grozījumiem, precizējot MK noteikumu Nr.152 </w:t>
            </w:r>
            <w:r w:rsidRPr="006B42E7">
              <w:rPr>
                <w:rFonts w:eastAsia="Calibri"/>
                <w:color w:val="000000"/>
                <w:u w:val="single"/>
                <w:lang w:eastAsia="en-US"/>
              </w:rPr>
              <w:t>24.punkta</w:t>
            </w:r>
            <w:r w:rsidRPr="006B42E7">
              <w:rPr>
                <w:rFonts w:eastAsia="Calibri"/>
                <w:color w:val="000000"/>
                <w:lang w:eastAsia="en-US"/>
              </w:rPr>
              <w:t xml:space="preserve"> redakciju atbilstoši Ministru kabineta 2019. gada 9. jūlija noteikumu Nr.309 „Veselības inspekcijas nolikums” 4.1.apakšpunktam, tā kā Veselības inspekcija veic ne tikai ekspertīzes, bet arī pārbaudes par darbspējas ekspertīzes kvalitāti. Tādējādi lūdzam MK noteikumu Nr.152 24.punktu izteikt šādā redakcijā: “</w:t>
            </w:r>
            <w:r w:rsidRPr="006B42E7">
              <w:rPr>
                <w:rFonts w:eastAsia="Calibri"/>
                <w:i/>
                <w:color w:val="000000"/>
                <w:lang w:eastAsia="en-US"/>
              </w:rPr>
              <w:t xml:space="preserve">24. Šo noteikumu izpildi uzrauga Veselības inspekcija. Veselības inspekcija, veicot pārbaudes, ekspertīzes un sniedzot atzinumus par darbspējas ekspertīzes kvalitāti ārstniecības iestādē, izvērtē, vai konkrētajā gadījumā konstatēto pārkāpumu dēļ darbnespējas lapu </w:t>
            </w:r>
            <w:r w:rsidRPr="006B42E7">
              <w:rPr>
                <w:rFonts w:eastAsia="Calibri"/>
                <w:i/>
                <w:color w:val="000000"/>
                <w:lang w:eastAsia="en-US"/>
              </w:rPr>
              <w:lastRenderedPageBreak/>
              <w:t>nepieciešams atzīt par nepamatoti izsniegtu.</w:t>
            </w:r>
            <w:r w:rsidRPr="006B42E7">
              <w:rPr>
                <w:rFonts w:eastAsia="Calibri"/>
                <w:color w:val="000000"/>
                <w:lang w:eastAsia="en-US"/>
              </w:rPr>
              <w:t>”.</w:t>
            </w:r>
          </w:p>
          <w:p w:rsidR="003E322C" w:rsidRPr="00E57A1D" w:rsidRDefault="003E322C" w:rsidP="00174268">
            <w:pPr>
              <w:jc w:val="both"/>
              <w:rPr>
                <w:rFonts w:eastAsia="Calibri"/>
                <w:color w:val="000000"/>
                <w:lang w:eastAsia="en-US"/>
              </w:rPr>
            </w:pPr>
          </w:p>
        </w:tc>
        <w:tc>
          <w:tcPr>
            <w:tcW w:w="1021" w:type="pct"/>
            <w:tcBorders>
              <w:left w:val="single" w:sz="6" w:space="0" w:color="000000"/>
              <w:bottom w:val="single" w:sz="4" w:space="0" w:color="auto"/>
              <w:right w:val="single" w:sz="6" w:space="0" w:color="000000"/>
            </w:tcBorders>
          </w:tcPr>
          <w:p w:rsidR="003E322C" w:rsidRPr="00903914" w:rsidRDefault="00903914" w:rsidP="00174268">
            <w:pPr>
              <w:autoSpaceDE w:val="0"/>
              <w:autoSpaceDN w:val="0"/>
              <w:adjustRightInd w:val="0"/>
              <w:jc w:val="center"/>
              <w:rPr>
                <w:b/>
              </w:rPr>
            </w:pPr>
            <w:r w:rsidRPr="00903914">
              <w:rPr>
                <w:b/>
              </w:rPr>
              <w:lastRenderedPageBreak/>
              <w:t>Ņemts vērā.</w:t>
            </w:r>
          </w:p>
        </w:tc>
        <w:tc>
          <w:tcPr>
            <w:tcW w:w="1194" w:type="pct"/>
            <w:tcBorders>
              <w:top w:val="single" w:sz="4" w:space="0" w:color="auto"/>
              <w:left w:val="single" w:sz="4" w:space="0" w:color="auto"/>
              <w:bottom w:val="single" w:sz="4" w:space="0" w:color="auto"/>
            </w:tcBorders>
          </w:tcPr>
          <w:p w:rsidR="003E322C" w:rsidRPr="000D409B" w:rsidRDefault="00903914" w:rsidP="00174268">
            <w:pPr>
              <w:jc w:val="both"/>
            </w:pPr>
            <w:r>
              <w:t>Skat. noteikumu projekta 10.punktu un anotācijas I sadaļas 2.punktu.</w:t>
            </w:r>
          </w:p>
        </w:tc>
      </w:tr>
      <w:tr w:rsidR="006B42E7" w:rsidRPr="00D7457E" w:rsidTr="00174268">
        <w:tc>
          <w:tcPr>
            <w:tcW w:w="223" w:type="pct"/>
            <w:tcBorders>
              <w:left w:val="single" w:sz="6" w:space="0" w:color="000000"/>
              <w:bottom w:val="single" w:sz="4" w:space="0" w:color="auto"/>
              <w:right w:val="single" w:sz="6" w:space="0" w:color="000000"/>
            </w:tcBorders>
          </w:tcPr>
          <w:p w:rsidR="006B42E7" w:rsidRDefault="006B42E7" w:rsidP="00174268">
            <w:pPr>
              <w:pStyle w:val="naisc"/>
              <w:spacing w:before="60" w:after="0"/>
            </w:pPr>
            <w:r>
              <w:t>5.</w:t>
            </w:r>
          </w:p>
        </w:tc>
        <w:tc>
          <w:tcPr>
            <w:tcW w:w="1016" w:type="pct"/>
            <w:tcBorders>
              <w:left w:val="single" w:sz="6" w:space="0" w:color="000000"/>
              <w:bottom w:val="single" w:sz="4" w:space="0" w:color="auto"/>
              <w:right w:val="single" w:sz="6" w:space="0" w:color="000000"/>
            </w:tcBorders>
          </w:tcPr>
          <w:p w:rsidR="006B42E7" w:rsidRPr="00D7457E" w:rsidRDefault="00903914" w:rsidP="00174268">
            <w:pPr>
              <w:jc w:val="both"/>
            </w:pPr>
            <w:r>
              <w:t>Skat. noteikumu projekta 4.punktu.</w:t>
            </w:r>
          </w:p>
        </w:tc>
        <w:tc>
          <w:tcPr>
            <w:tcW w:w="1546" w:type="pct"/>
            <w:tcBorders>
              <w:left w:val="single" w:sz="6" w:space="0" w:color="000000"/>
              <w:bottom w:val="single" w:sz="4" w:space="0" w:color="auto"/>
              <w:right w:val="single" w:sz="6" w:space="0" w:color="000000"/>
            </w:tcBorders>
          </w:tcPr>
          <w:p w:rsidR="006B42E7" w:rsidRPr="00E57A1D" w:rsidRDefault="006B42E7" w:rsidP="00174268">
            <w:pPr>
              <w:widowControl w:val="0"/>
              <w:jc w:val="both"/>
              <w:rPr>
                <w:rFonts w:eastAsia="Calibri"/>
                <w:lang w:eastAsia="en-US"/>
              </w:rPr>
            </w:pPr>
            <w:r w:rsidRPr="006B42E7">
              <w:rPr>
                <w:rFonts w:eastAsia="Calibri"/>
                <w:lang w:eastAsia="en-US"/>
              </w:rPr>
              <w:t xml:space="preserve">Aicinām pārskatīt noteikumu projekta 4.punktā paredzēto MK noteikumu Nr.152 </w:t>
            </w:r>
            <w:r w:rsidRPr="006B42E7">
              <w:rPr>
                <w:rFonts w:eastAsia="Calibri"/>
                <w:u w:val="single"/>
                <w:lang w:eastAsia="en-US"/>
              </w:rPr>
              <w:t>4.pielikuma</w:t>
            </w:r>
            <w:r w:rsidRPr="006B42E7">
              <w:rPr>
                <w:rFonts w:eastAsia="Calibri"/>
                <w:lang w:eastAsia="en-US"/>
              </w:rPr>
              <w:t xml:space="preserve"> papildinājumu redakciju, ņemot vērā š.g. 15. janvāra sanāksmes laikā diskutēto ar Nacionālā veselības dienesta, Labklājības ministrijas, Valsts sociālās apdrošināšanas aģentūras pārstāvjiem par tehniskajiem risinājumiem elektroniskajās datu sistēmās, tajā skaitā pārejošās darbnespējas cēloņu nosaukumiem slima bērna kopšanas gadījumā.</w:t>
            </w:r>
          </w:p>
        </w:tc>
        <w:tc>
          <w:tcPr>
            <w:tcW w:w="1021" w:type="pct"/>
            <w:tcBorders>
              <w:left w:val="single" w:sz="6" w:space="0" w:color="000000"/>
              <w:bottom w:val="single" w:sz="4" w:space="0" w:color="auto"/>
              <w:right w:val="single" w:sz="6" w:space="0" w:color="000000"/>
            </w:tcBorders>
          </w:tcPr>
          <w:p w:rsidR="006B42E7" w:rsidRPr="00CD1258" w:rsidRDefault="00903914" w:rsidP="00903914">
            <w:pPr>
              <w:autoSpaceDE w:val="0"/>
              <w:autoSpaceDN w:val="0"/>
              <w:adjustRightInd w:val="0"/>
              <w:jc w:val="center"/>
            </w:pPr>
            <w:r w:rsidRPr="00903914">
              <w:rPr>
                <w:b/>
              </w:rPr>
              <w:t>Ņemts vērā.</w:t>
            </w:r>
          </w:p>
        </w:tc>
        <w:tc>
          <w:tcPr>
            <w:tcW w:w="1194" w:type="pct"/>
            <w:tcBorders>
              <w:top w:val="single" w:sz="4" w:space="0" w:color="auto"/>
              <w:left w:val="single" w:sz="4" w:space="0" w:color="auto"/>
              <w:bottom w:val="single" w:sz="4" w:space="0" w:color="auto"/>
            </w:tcBorders>
          </w:tcPr>
          <w:p w:rsidR="006B42E7" w:rsidRPr="000D409B" w:rsidRDefault="0060160A" w:rsidP="00174268">
            <w:pPr>
              <w:jc w:val="both"/>
            </w:pPr>
            <w:r>
              <w:t>Skat. noteikumu projekta 1</w:t>
            </w:r>
            <w:r w:rsidR="00BD48C6">
              <w:t>2</w:t>
            </w:r>
            <w:r>
              <w:t>.punktu.</w:t>
            </w:r>
          </w:p>
        </w:tc>
      </w:tr>
      <w:tr w:rsidR="006B42E7" w:rsidRPr="00D7457E" w:rsidTr="00174268">
        <w:tc>
          <w:tcPr>
            <w:tcW w:w="223" w:type="pct"/>
            <w:tcBorders>
              <w:left w:val="single" w:sz="6" w:space="0" w:color="000000"/>
              <w:bottom w:val="single" w:sz="4" w:space="0" w:color="auto"/>
              <w:right w:val="single" w:sz="6" w:space="0" w:color="000000"/>
            </w:tcBorders>
          </w:tcPr>
          <w:p w:rsidR="006B42E7" w:rsidRDefault="006B42E7" w:rsidP="00174268">
            <w:pPr>
              <w:pStyle w:val="naisc"/>
              <w:spacing w:before="60" w:after="0"/>
            </w:pPr>
            <w:r>
              <w:t>6.</w:t>
            </w:r>
          </w:p>
        </w:tc>
        <w:tc>
          <w:tcPr>
            <w:tcW w:w="1016" w:type="pct"/>
            <w:tcBorders>
              <w:left w:val="single" w:sz="6" w:space="0" w:color="000000"/>
              <w:bottom w:val="single" w:sz="4" w:space="0" w:color="auto"/>
              <w:right w:val="single" w:sz="6" w:space="0" w:color="000000"/>
            </w:tcBorders>
          </w:tcPr>
          <w:p w:rsidR="006B42E7" w:rsidRPr="00D7457E" w:rsidRDefault="0060160A" w:rsidP="00174268">
            <w:pPr>
              <w:jc w:val="both"/>
            </w:pPr>
            <w:r>
              <w:t>Skat. anotāciju.</w:t>
            </w:r>
          </w:p>
        </w:tc>
        <w:tc>
          <w:tcPr>
            <w:tcW w:w="1546" w:type="pct"/>
            <w:tcBorders>
              <w:left w:val="single" w:sz="6" w:space="0" w:color="000000"/>
              <w:bottom w:val="single" w:sz="4" w:space="0" w:color="auto"/>
              <w:right w:val="single" w:sz="6" w:space="0" w:color="000000"/>
            </w:tcBorders>
          </w:tcPr>
          <w:p w:rsidR="006B42E7" w:rsidRPr="006B42E7" w:rsidRDefault="006B42E7" w:rsidP="006B42E7">
            <w:pPr>
              <w:widowControl w:val="0"/>
              <w:jc w:val="both"/>
              <w:rPr>
                <w:rFonts w:eastAsia="Calibri"/>
                <w:lang w:eastAsia="en-US"/>
              </w:rPr>
            </w:pPr>
            <w:r w:rsidRPr="006B42E7">
              <w:rPr>
                <w:rFonts w:eastAsia="Calibri"/>
                <w:lang w:eastAsia="en-US"/>
              </w:rPr>
              <w:t>Ņemot vērā to, ka saistībā ar grozījumiem MK noteikumu Nr.152 3.punktā un 4.pielikumā nepieciešams veikt grozījumus arī Ministru kabineta 2014. gada 11. marta noteikumos Nr.134 “Noteikumi par vienoto veselības nozares elektronisko informācijas sistēmu” (to 4. pielikumā “Darbnespējas lapa”), lūdzam papildināt noteikumu projekta anotāciju ar informāciju par attiecīgo grozījumu nepieciešamību.</w:t>
            </w:r>
          </w:p>
          <w:p w:rsidR="006B42E7" w:rsidRPr="00E57A1D" w:rsidRDefault="006B42E7" w:rsidP="00174268">
            <w:pPr>
              <w:widowControl w:val="0"/>
              <w:jc w:val="both"/>
              <w:rPr>
                <w:rFonts w:eastAsia="Calibri"/>
                <w:lang w:eastAsia="en-US"/>
              </w:rPr>
            </w:pPr>
          </w:p>
        </w:tc>
        <w:tc>
          <w:tcPr>
            <w:tcW w:w="1021" w:type="pct"/>
            <w:tcBorders>
              <w:left w:val="single" w:sz="6" w:space="0" w:color="000000"/>
              <w:bottom w:val="single" w:sz="4" w:space="0" w:color="auto"/>
              <w:right w:val="single" w:sz="6" w:space="0" w:color="000000"/>
            </w:tcBorders>
          </w:tcPr>
          <w:p w:rsidR="006B42E7" w:rsidRPr="00CD1258" w:rsidRDefault="00903914" w:rsidP="00903914">
            <w:pPr>
              <w:autoSpaceDE w:val="0"/>
              <w:autoSpaceDN w:val="0"/>
              <w:adjustRightInd w:val="0"/>
              <w:jc w:val="center"/>
            </w:pPr>
            <w:r w:rsidRPr="00903914">
              <w:rPr>
                <w:b/>
              </w:rPr>
              <w:t>Ņemts vērā.</w:t>
            </w:r>
          </w:p>
        </w:tc>
        <w:tc>
          <w:tcPr>
            <w:tcW w:w="1194" w:type="pct"/>
            <w:tcBorders>
              <w:top w:val="single" w:sz="4" w:space="0" w:color="auto"/>
              <w:left w:val="single" w:sz="4" w:space="0" w:color="auto"/>
              <w:bottom w:val="single" w:sz="4" w:space="0" w:color="auto"/>
            </w:tcBorders>
          </w:tcPr>
          <w:p w:rsidR="006B42E7" w:rsidRPr="000D409B" w:rsidRDefault="0060160A" w:rsidP="00174268">
            <w:pPr>
              <w:jc w:val="both"/>
            </w:pPr>
            <w:r>
              <w:t>Skat. anotācijas IV sadaļas 1.punktu.</w:t>
            </w:r>
          </w:p>
        </w:tc>
      </w:tr>
      <w:tr w:rsidR="006B42E7" w:rsidRPr="00D7457E" w:rsidTr="006B42E7">
        <w:tc>
          <w:tcPr>
            <w:tcW w:w="5000" w:type="pct"/>
            <w:gridSpan w:val="5"/>
            <w:tcBorders>
              <w:left w:val="single" w:sz="6" w:space="0" w:color="000000"/>
              <w:bottom w:val="single" w:sz="4" w:space="0" w:color="auto"/>
            </w:tcBorders>
          </w:tcPr>
          <w:p w:rsidR="006B42E7" w:rsidRPr="006B42E7" w:rsidRDefault="006B42E7" w:rsidP="006B42E7">
            <w:pPr>
              <w:jc w:val="center"/>
              <w:rPr>
                <w:b/>
              </w:rPr>
            </w:pPr>
            <w:r w:rsidRPr="006B42E7">
              <w:rPr>
                <w:b/>
              </w:rPr>
              <w:t>Vides aizsardzības un reģionālās attīstības ministrija</w:t>
            </w:r>
          </w:p>
        </w:tc>
      </w:tr>
      <w:tr w:rsidR="003E322C" w:rsidRPr="00D7457E" w:rsidTr="00174268">
        <w:tc>
          <w:tcPr>
            <w:tcW w:w="223" w:type="pct"/>
            <w:tcBorders>
              <w:left w:val="single" w:sz="6" w:space="0" w:color="000000"/>
              <w:bottom w:val="single" w:sz="4" w:space="0" w:color="auto"/>
              <w:right w:val="single" w:sz="6" w:space="0" w:color="000000"/>
            </w:tcBorders>
          </w:tcPr>
          <w:p w:rsidR="003E322C" w:rsidRDefault="006B42E7" w:rsidP="00174268">
            <w:pPr>
              <w:pStyle w:val="naisc"/>
              <w:spacing w:before="60" w:after="0"/>
            </w:pPr>
            <w:r>
              <w:t>7.</w:t>
            </w:r>
          </w:p>
        </w:tc>
        <w:tc>
          <w:tcPr>
            <w:tcW w:w="1016" w:type="pct"/>
            <w:tcBorders>
              <w:left w:val="single" w:sz="6" w:space="0" w:color="000000"/>
              <w:bottom w:val="single" w:sz="4" w:space="0" w:color="auto"/>
              <w:right w:val="single" w:sz="6" w:space="0" w:color="000000"/>
            </w:tcBorders>
          </w:tcPr>
          <w:p w:rsidR="003E322C" w:rsidRPr="00D7457E" w:rsidRDefault="0060160A" w:rsidP="00174268">
            <w:pPr>
              <w:jc w:val="both"/>
            </w:pPr>
            <w:r>
              <w:t>Skat. anotāciju.</w:t>
            </w:r>
          </w:p>
        </w:tc>
        <w:tc>
          <w:tcPr>
            <w:tcW w:w="1546" w:type="pct"/>
            <w:tcBorders>
              <w:left w:val="single" w:sz="6" w:space="0" w:color="000000"/>
              <w:bottom w:val="single" w:sz="4" w:space="0" w:color="auto"/>
              <w:right w:val="single" w:sz="6" w:space="0" w:color="000000"/>
            </w:tcBorders>
          </w:tcPr>
          <w:p w:rsidR="003E322C" w:rsidRPr="00E57A1D" w:rsidRDefault="006B42E7" w:rsidP="00174268">
            <w:pPr>
              <w:widowControl w:val="0"/>
              <w:jc w:val="both"/>
              <w:rPr>
                <w:rFonts w:eastAsia="Calibri"/>
                <w:lang w:eastAsia="en-US"/>
              </w:rPr>
            </w:pPr>
            <w:r w:rsidRPr="006B42E7">
              <w:rPr>
                <w:rFonts w:eastAsia="Calibri"/>
                <w:lang w:eastAsia="en-US"/>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w:t>
            </w:r>
            <w:r w:rsidRPr="006B42E7">
              <w:rPr>
                <w:rFonts w:eastAsia="Calibri"/>
                <w:lang w:eastAsia="en-US"/>
              </w:rPr>
              <w:lastRenderedPageBreak/>
              <w:t xml:space="preserve">nosaukumi, ja projekts paredz ieviest jaunus pakalpojumus vai arī </w:t>
            </w:r>
            <w:r w:rsidRPr="006B42E7">
              <w:rPr>
                <w:rFonts w:eastAsia="Calibri"/>
                <w:b/>
                <w:lang w:eastAsia="en-US"/>
              </w:rPr>
              <w:t>pilnveidot esošos</w:t>
            </w:r>
            <w:r w:rsidRPr="006B42E7">
              <w:rPr>
                <w:rFonts w:eastAsia="Calibri"/>
                <w:lang w:eastAsia="en-US"/>
              </w:rPr>
              <w:t>, kā arī to, vai pakalpojums tiks sniegts elektroniski (ja pakalpojums nav pieejams elektroniski, vai ir plānots veidot elektronisku kanālu). Ņemot vērā, ka Labklājības ministrija sniegtie pakalpojum</w:t>
            </w:r>
            <w:r w:rsidR="00D61686">
              <w:rPr>
                <w:rFonts w:eastAsia="Calibri"/>
                <w:lang w:eastAsia="en-US"/>
              </w:rPr>
              <w:t>i</w:t>
            </w:r>
            <w:r w:rsidRPr="006B42E7">
              <w:rPr>
                <w:rFonts w:eastAsia="Calibri"/>
                <w:lang w:eastAsia="en-US"/>
              </w:rPr>
              <w:t xml:space="preserve"> tiek pilnveidoti, lūdzam identificēt valsts pārvaldes sniegtos pakalpojumus, to nosaukumus norādot anotācijas I sadaļas 2. punktā. Pēc projekta spēkā st</w:t>
            </w:r>
            <w:r w:rsidR="00D61686">
              <w:rPr>
                <w:rFonts w:eastAsia="Calibri"/>
                <w:lang w:eastAsia="en-US"/>
              </w:rPr>
              <w:t>ā</w:t>
            </w:r>
            <w:r w:rsidRPr="006B42E7">
              <w:rPr>
                <w:rFonts w:eastAsia="Calibri"/>
                <w:lang w:eastAsia="en-US"/>
              </w:rPr>
              <w:t xml:space="preserve">šanās lūdzam aktualizēt informāciju par pakalpojumiem valsts pārvaldes pakalpojumu portālā </w:t>
            </w:r>
            <w:hyperlink r:id="rId8" w:history="1">
              <w:r w:rsidRPr="006B42E7">
                <w:rPr>
                  <w:rStyle w:val="Hyperlink"/>
                  <w:rFonts w:eastAsia="Calibri"/>
                  <w:lang w:eastAsia="en-US"/>
                </w:rPr>
                <w:t>www.latvija.lv</w:t>
              </w:r>
            </w:hyperlink>
            <w:r w:rsidRPr="006B42E7">
              <w:rPr>
                <w:rFonts w:eastAsia="Calibri"/>
                <w:lang w:eastAsia="en-US"/>
              </w:rPr>
              <w:t xml:space="preserve">. </w:t>
            </w:r>
          </w:p>
        </w:tc>
        <w:tc>
          <w:tcPr>
            <w:tcW w:w="1021" w:type="pct"/>
            <w:tcBorders>
              <w:left w:val="single" w:sz="6" w:space="0" w:color="000000"/>
              <w:bottom w:val="single" w:sz="4" w:space="0" w:color="auto"/>
              <w:right w:val="single" w:sz="6" w:space="0" w:color="000000"/>
            </w:tcBorders>
          </w:tcPr>
          <w:p w:rsidR="00903914" w:rsidRDefault="00903914" w:rsidP="00903914">
            <w:pPr>
              <w:autoSpaceDE w:val="0"/>
              <w:autoSpaceDN w:val="0"/>
              <w:adjustRightInd w:val="0"/>
              <w:jc w:val="center"/>
              <w:rPr>
                <w:b/>
              </w:rPr>
            </w:pPr>
            <w:r w:rsidRPr="00903914">
              <w:rPr>
                <w:b/>
              </w:rPr>
              <w:lastRenderedPageBreak/>
              <w:t>Ņemts vērā.</w:t>
            </w:r>
          </w:p>
          <w:p w:rsidR="0060160A" w:rsidRDefault="0060160A" w:rsidP="0060160A">
            <w:pPr>
              <w:autoSpaceDE w:val="0"/>
              <w:autoSpaceDN w:val="0"/>
              <w:adjustRightInd w:val="0"/>
              <w:jc w:val="both"/>
            </w:pPr>
          </w:p>
          <w:p w:rsidR="00D61686" w:rsidRPr="00CD1258" w:rsidRDefault="0060160A" w:rsidP="0060160A">
            <w:pPr>
              <w:autoSpaceDE w:val="0"/>
              <w:autoSpaceDN w:val="0"/>
              <w:adjustRightInd w:val="0"/>
              <w:jc w:val="both"/>
            </w:pPr>
            <w:r w:rsidRPr="0060160A">
              <w:t xml:space="preserve">Noteikumu projekts neparedz izmaiņas e-pakalpojumā. Netiek noteikta jauna slimības </w:t>
            </w:r>
            <w:r w:rsidRPr="0060160A">
              <w:lastRenderedPageBreak/>
              <w:t>pabalsta pieprasīšanas kārtība, bet atsevišķos gadījumos, ko paredz noteikumu projekts, tiek pagarināts slimības pabalsta izmaksas ilgums.</w:t>
            </w:r>
          </w:p>
        </w:tc>
        <w:tc>
          <w:tcPr>
            <w:tcW w:w="1194" w:type="pct"/>
            <w:tcBorders>
              <w:top w:val="single" w:sz="4" w:space="0" w:color="auto"/>
              <w:left w:val="single" w:sz="4" w:space="0" w:color="auto"/>
              <w:bottom w:val="single" w:sz="4" w:space="0" w:color="auto"/>
            </w:tcBorders>
          </w:tcPr>
          <w:p w:rsidR="003E322C" w:rsidRPr="000D409B" w:rsidRDefault="00D61686" w:rsidP="00174268">
            <w:pPr>
              <w:jc w:val="both"/>
            </w:pPr>
            <w:r>
              <w:lastRenderedPageBreak/>
              <w:t>Skat. anotācijas I sadaļas 2.punktu.</w:t>
            </w:r>
          </w:p>
        </w:tc>
      </w:tr>
    </w:tbl>
    <w:p w:rsidR="003E322C" w:rsidRDefault="003E322C" w:rsidP="003E322C"/>
    <w:p w:rsidR="003E322C" w:rsidRDefault="003E322C" w:rsidP="003E322C"/>
    <w:tbl>
      <w:tblPr>
        <w:tblW w:w="5000" w:type="pct"/>
        <w:tblLook w:val="00A0" w:firstRow="1" w:lastRow="0" w:firstColumn="1" w:lastColumn="0" w:noHBand="0" w:noVBand="0"/>
      </w:tblPr>
      <w:tblGrid>
        <w:gridCol w:w="4875"/>
        <w:gridCol w:w="9389"/>
      </w:tblGrid>
      <w:tr w:rsidR="003E322C" w:rsidRPr="00DF6A74" w:rsidTr="00174268">
        <w:tc>
          <w:tcPr>
            <w:tcW w:w="1709" w:type="pct"/>
          </w:tcPr>
          <w:p w:rsidR="003E322C" w:rsidRPr="00DF6A74" w:rsidRDefault="003E322C" w:rsidP="00174268">
            <w:pPr>
              <w:ind w:left="360"/>
            </w:pPr>
          </w:p>
          <w:p w:rsidR="003E322C" w:rsidRPr="00DF6A74" w:rsidRDefault="003E322C" w:rsidP="00174268">
            <w:pPr>
              <w:ind w:left="360"/>
            </w:pPr>
            <w:r w:rsidRPr="00DF6A74">
              <w:t>Atbildīgā amatpersona</w:t>
            </w:r>
          </w:p>
        </w:tc>
        <w:tc>
          <w:tcPr>
            <w:tcW w:w="3291" w:type="pct"/>
          </w:tcPr>
          <w:p w:rsidR="003E322C" w:rsidRPr="00DF6A74" w:rsidRDefault="003E322C" w:rsidP="00174268">
            <w:pPr>
              <w:ind w:firstLine="720"/>
            </w:pPr>
            <w:r w:rsidRPr="00DF6A74">
              <w:t>  </w:t>
            </w:r>
          </w:p>
          <w:p w:rsidR="003E322C" w:rsidRPr="00DF6A74" w:rsidRDefault="003E322C" w:rsidP="00174268">
            <w:pPr>
              <w:ind w:firstLine="720"/>
              <w:jc w:val="center"/>
            </w:pPr>
          </w:p>
          <w:p w:rsidR="003E322C" w:rsidRPr="00DF6A74" w:rsidRDefault="003E322C" w:rsidP="00174268">
            <w:pPr>
              <w:ind w:firstLine="720"/>
              <w:jc w:val="center"/>
            </w:pPr>
            <w:r w:rsidRPr="00DF6A74">
              <w:t xml:space="preserve">                                                                                   </w:t>
            </w:r>
            <w:r>
              <w:t xml:space="preserve">                               </w:t>
            </w:r>
            <w:r w:rsidRPr="00DF6A74">
              <w:t xml:space="preserve"> </w:t>
            </w:r>
            <w:r>
              <w:t>Irēna Salmane</w:t>
            </w:r>
          </w:p>
        </w:tc>
      </w:tr>
      <w:tr w:rsidR="003E322C" w:rsidRPr="00DF6A74" w:rsidTr="00174268">
        <w:tc>
          <w:tcPr>
            <w:tcW w:w="1709" w:type="pct"/>
          </w:tcPr>
          <w:p w:rsidR="003E322C" w:rsidRPr="00DF6A74" w:rsidRDefault="003E322C" w:rsidP="00174268">
            <w:pPr>
              <w:ind w:left="360"/>
            </w:pPr>
          </w:p>
        </w:tc>
        <w:tc>
          <w:tcPr>
            <w:tcW w:w="3291" w:type="pct"/>
            <w:tcBorders>
              <w:top w:val="single" w:sz="6" w:space="0" w:color="000000"/>
            </w:tcBorders>
          </w:tcPr>
          <w:p w:rsidR="003E322C" w:rsidRPr="00DF6A74" w:rsidRDefault="003E322C" w:rsidP="00174268">
            <w:pPr>
              <w:ind w:firstLine="720"/>
              <w:jc w:val="right"/>
            </w:pPr>
            <w:r w:rsidRPr="00DF6A74">
              <w:t xml:space="preserve">                                                  (vārds un uzvārds)</w:t>
            </w:r>
          </w:p>
        </w:tc>
      </w:tr>
    </w:tbl>
    <w:p w:rsidR="003E322C" w:rsidRDefault="003E322C" w:rsidP="003E322C"/>
    <w:p w:rsidR="00BD48C6" w:rsidRDefault="00BD48C6" w:rsidP="003E322C">
      <w:pPr>
        <w:rPr>
          <w:sz w:val="22"/>
          <w:szCs w:val="22"/>
        </w:rPr>
      </w:pPr>
      <w:r>
        <w:rPr>
          <w:sz w:val="22"/>
          <w:szCs w:val="22"/>
        </w:rPr>
        <w:t>21.05.2020 12:52</w:t>
      </w:r>
    </w:p>
    <w:p w:rsidR="003E322C" w:rsidRPr="00DF6A74" w:rsidRDefault="0060160A" w:rsidP="003E322C">
      <w:pPr>
        <w:rPr>
          <w:sz w:val="22"/>
          <w:szCs w:val="22"/>
        </w:rPr>
      </w:pPr>
      <w:r>
        <w:rPr>
          <w:sz w:val="22"/>
          <w:szCs w:val="22"/>
        </w:rPr>
        <w:t>1373</w:t>
      </w:r>
    </w:p>
    <w:p w:rsidR="003E322C" w:rsidRPr="00DF6A74" w:rsidRDefault="003E322C" w:rsidP="003E322C">
      <w:pPr>
        <w:jc w:val="both"/>
        <w:rPr>
          <w:sz w:val="22"/>
          <w:szCs w:val="22"/>
        </w:rPr>
      </w:pPr>
      <w:proofErr w:type="spellStart"/>
      <w:r>
        <w:rPr>
          <w:sz w:val="22"/>
          <w:szCs w:val="22"/>
        </w:rPr>
        <w:t>I.Salmane</w:t>
      </w:r>
      <w:proofErr w:type="spellEnd"/>
    </w:p>
    <w:p w:rsidR="003E322C" w:rsidRPr="00DF6A74" w:rsidRDefault="003E322C" w:rsidP="003E322C">
      <w:pPr>
        <w:jc w:val="both"/>
        <w:rPr>
          <w:sz w:val="22"/>
          <w:szCs w:val="22"/>
        </w:rPr>
      </w:pPr>
      <w:r w:rsidRPr="00DF6A74">
        <w:rPr>
          <w:sz w:val="22"/>
          <w:szCs w:val="22"/>
        </w:rPr>
        <w:t>Labklājības ministrijas</w:t>
      </w:r>
    </w:p>
    <w:p w:rsidR="003E322C" w:rsidRPr="00DF6A74" w:rsidRDefault="003E322C" w:rsidP="003E322C">
      <w:pPr>
        <w:jc w:val="both"/>
        <w:rPr>
          <w:sz w:val="22"/>
          <w:szCs w:val="22"/>
        </w:rPr>
      </w:pPr>
      <w:r w:rsidRPr="00DF6A74">
        <w:rPr>
          <w:sz w:val="22"/>
          <w:szCs w:val="22"/>
        </w:rPr>
        <w:t>Sociālās apdrošināšanas departamenta vecākā eksperte</w:t>
      </w:r>
    </w:p>
    <w:p w:rsidR="003E322C" w:rsidRPr="00DF6A74" w:rsidRDefault="003E322C" w:rsidP="003E322C">
      <w:pPr>
        <w:jc w:val="both"/>
        <w:rPr>
          <w:sz w:val="22"/>
          <w:szCs w:val="22"/>
        </w:rPr>
      </w:pPr>
      <w:r w:rsidRPr="00DF6A74">
        <w:rPr>
          <w:sz w:val="22"/>
          <w:szCs w:val="22"/>
        </w:rPr>
        <w:t>Tālr.6702155</w:t>
      </w:r>
      <w:r>
        <w:rPr>
          <w:sz w:val="22"/>
          <w:szCs w:val="22"/>
        </w:rPr>
        <w:t>6</w:t>
      </w:r>
      <w:r w:rsidRPr="00DF6A74">
        <w:rPr>
          <w:sz w:val="22"/>
          <w:szCs w:val="22"/>
        </w:rPr>
        <w:t xml:space="preserve">, </w:t>
      </w:r>
      <w:r>
        <w:rPr>
          <w:sz w:val="22"/>
          <w:szCs w:val="22"/>
        </w:rPr>
        <w:t>Irena.Salmane</w:t>
      </w:r>
      <w:r w:rsidRPr="00DF6A74">
        <w:rPr>
          <w:sz w:val="22"/>
          <w:szCs w:val="22"/>
        </w:rPr>
        <w:t>@lm.gov.lv</w:t>
      </w:r>
    </w:p>
    <w:p w:rsidR="003E322C" w:rsidRPr="00DF6A74" w:rsidRDefault="003E322C" w:rsidP="003E322C">
      <w:pPr>
        <w:rPr>
          <w:sz w:val="22"/>
          <w:szCs w:val="22"/>
        </w:rPr>
      </w:pPr>
    </w:p>
    <w:p w:rsidR="003E322C" w:rsidRDefault="003E322C" w:rsidP="003E322C"/>
    <w:p w:rsidR="009B5F60" w:rsidRDefault="009B5F60">
      <w:bookmarkStart w:id="0" w:name="_GoBack"/>
      <w:bookmarkEnd w:id="0"/>
    </w:p>
    <w:sectPr w:rsidR="009B5F60" w:rsidSect="00461194">
      <w:headerReference w:type="default" r:id="rId9"/>
      <w:footerReference w:type="default" r:id="rId10"/>
      <w:footerReference w:type="first" r:id="rId11"/>
      <w:pgSz w:w="16838" w:h="11906" w:orient="landscape"/>
      <w:pgMar w:top="1701" w:right="144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A0" w:rsidRDefault="00566AA0">
      <w:r>
        <w:separator/>
      </w:r>
    </w:p>
  </w:endnote>
  <w:endnote w:type="continuationSeparator" w:id="0">
    <w:p w:rsidR="00566AA0" w:rsidRDefault="0056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77" w:rsidRPr="00D61686" w:rsidRDefault="009C1277" w:rsidP="009C1277">
    <w:pPr>
      <w:pStyle w:val="Footer"/>
      <w:jc w:val="both"/>
      <w:rPr>
        <w:sz w:val="20"/>
        <w:szCs w:val="20"/>
      </w:rPr>
    </w:pPr>
    <w:r w:rsidRPr="00D61686">
      <w:rPr>
        <w:sz w:val="20"/>
        <w:szCs w:val="20"/>
      </w:rPr>
      <w:t>LMizz_</w:t>
    </w:r>
    <w:r w:rsidR="00C330E3">
      <w:rPr>
        <w:sz w:val="20"/>
        <w:szCs w:val="20"/>
      </w:rPr>
      <w:t>21</w:t>
    </w:r>
    <w:r>
      <w:rPr>
        <w:sz w:val="20"/>
        <w:szCs w:val="20"/>
      </w:rPr>
      <w:t>50</w:t>
    </w:r>
    <w:r w:rsidRPr="00D61686">
      <w:rPr>
        <w:sz w:val="20"/>
        <w:szCs w:val="20"/>
      </w:rPr>
      <w:t>2020_</w:t>
    </w:r>
    <w:r>
      <w:rPr>
        <w:sz w:val="20"/>
        <w:szCs w:val="20"/>
      </w:rPr>
      <w:t>DNL</w:t>
    </w:r>
    <w:r w:rsidRPr="00D61686">
      <w:rPr>
        <w:sz w:val="20"/>
        <w:szCs w:val="20"/>
      </w:rPr>
      <w:t>152</w:t>
    </w:r>
  </w:p>
  <w:p w:rsidR="00CE26C1" w:rsidRPr="009C1277" w:rsidRDefault="00566AA0" w:rsidP="009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C1" w:rsidRPr="00D61686" w:rsidRDefault="003512CA" w:rsidP="00CE26C1">
    <w:pPr>
      <w:pStyle w:val="Footer"/>
      <w:jc w:val="both"/>
      <w:rPr>
        <w:sz w:val="20"/>
        <w:szCs w:val="20"/>
      </w:rPr>
    </w:pPr>
    <w:bookmarkStart w:id="1" w:name="_Hlk40191665"/>
    <w:bookmarkStart w:id="2" w:name="_Hlk40191666"/>
    <w:r w:rsidRPr="00D61686">
      <w:rPr>
        <w:sz w:val="20"/>
        <w:szCs w:val="20"/>
      </w:rPr>
      <w:t>LMizz_</w:t>
    </w:r>
    <w:r w:rsidR="00C330E3">
      <w:rPr>
        <w:sz w:val="20"/>
        <w:szCs w:val="20"/>
      </w:rPr>
      <w:t>21</w:t>
    </w:r>
    <w:r w:rsidR="00F25C6C">
      <w:rPr>
        <w:sz w:val="20"/>
        <w:szCs w:val="20"/>
      </w:rPr>
      <w:t>50</w:t>
    </w:r>
    <w:r w:rsidR="00D61686" w:rsidRPr="00D61686">
      <w:rPr>
        <w:sz w:val="20"/>
        <w:szCs w:val="20"/>
      </w:rPr>
      <w:t>2020_</w:t>
    </w:r>
    <w:r w:rsidR="009C1277">
      <w:rPr>
        <w:sz w:val="20"/>
        <w:szCs w:val="20"/>
      </w:rPr>
      <w:t>DNL</w:t>
    </w:r>
    <w:r w:rsidR="00D61686" w:rsidRPr="00D61686">
      <w:rPr>
        <w:sz w:val="20"/>
        <w:szCs w:val="20"/>
      </w:rPr>
      <w:t>152</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A0" w:rsidRDefault="00566AA0">
      <w:r>
        <w:separator/>
      </w:r>
    </w:p>
  </w:footnote>
  <w:footnote w:type="continuationSeparator" w:id="0">
    <w:p w:rsidR="00566AA0" w:rsidRDefault="0056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74310"/>
      <w:docPartObj>
        <w:docPartGallery w:val="Page Numbers (Top of Page)"/>
        <w:docPartUnique/>
      </w:docPartObj>
    </w:sdtPr>
    <w:sdtEndPr>
      <w:rPr>
        <w:noProof/>
      </w:rPr>
    </w:sdtEndPr>
    <w:sdtContent>
      <w:p w:rsidR="00461194" w:rsidRDefault="003512CA">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461194" w:rsidRDefault="0056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08E5B32"/>
    <w:multiLevelType w:val="hybridMultilevel"/>
    <w:tmpl w:val="BD7233F4"/>
    <w:lvl w:ilvl="0" w:tplc="CBCA97F6">
      <w:start w:val="1"/>
      <w:numFmt w:val="decimal"/>
      <w:lvlText w:val="%1."/>
      <w:lvlJc w:val="left"/>
      <w:pPr>
        <w:ind w:left="720" w:hanging="360"/>
      </w:pPr>
      <w:rPr>
        <w:rFonts w:hint="default"/>
        <w:i w:val="0"/>
        <w:iCs/>
      </w:rPr>
    </w:lvl>
    <w:lvl w:ilvl="1" w:tplc="298AE600" w:tentative="1">
      <w:start w:val="1"/>
      <w:numFmt w:val="lowerLetter"/>
      <w:lvlText w:val="%2."/>
      <w:lvlJc w:val="left"/>
      <w:pPr>
        <w:ind w:left="1440" w:hanging="360"/>
      </w:pPr>
    </w:lvl>
    <w:lvl w:ilvl="2" w:tplc="3480630A" w:tentative="1">
      <w:start w:val="1"/>
      <w:numFmt w:val="lowerRoman"/>
      <w:lvlText w:val="%3."/>
      <w:lvlJc w:val="right"/>
      <w:pPr>
        <w:ind w:left="2160" w:hanging="180"/>
      </w:pPr>
    </w:lvl>
    <w:lvl w:ilvl="3" w:tplc="DC94D786" w:tentative="1">
      <w:start w:val="1"/>
      <w:numFmt w:val="decimal"/>
      <w:lvlText w:val="%4."/>
      <w:lvlJc w:val="left"/>
      <w:pPr>
        <w:ind w:left="2880" w:hanging="360"/>
      </w:pPr>
    </w:lvl>
    <w:lvl w:ilvl="4" w:tplc="C122C1CA" w:tentative="1">
      <w:start w:val="1"/>
      <w:numFmt w:val="lowerLetter"/>
      <w:lvlText w:val="%5."/>
      <w:lvlJc w:val="left"/>
      <w:pPr>
        <w:ind w:left="3600" w:hanging="360"/>
      </w:pPr>
    </w:lvl>
    <w:lvl w:ilvl="5" w:tplc="DA4877F2" w:tentative="1">
      <w:start w:val="1"/>
      <w:numFmt w:val="lowerRoman"/>
      <w:lvlText w:val="%6."/>
      <w:lvlJc w:val="right"/>
      <w:pPr>
        <w:ind w:left="4320" w:hanging="180"/>
      </w:pPr>
    </w:lvl>
    <w:lvl w:ilvl="6" w:tplc="08749BB2" w:tentative="1">
      <w:start w:val="1"/>
      <w:numFmt w:val="decimal"/>
      <w:lvlText w:val="%7."/>
      <w:lvlJc w:val="left"/>
      <w:pPr>
        <w:ind w:left="5040" w:hanging="360"/>
      </w:pPr>
    </w:lvl>
    <w:lvl w:ilvl="7" w:tplc="9A808EEC" w:tentative="1">
      <w:start w:val="1"/>
      <w:numFmt w:val="lowerLetter"/>
      <w:lvlText w:val="%8."/>
      <w:lvlJc w:val="left"/>
      <w:pPr>
        <w:ind w:left="5760" w:hanging="360"/>
      </w:pPr>
    </w:lvl>
    <w:lvl w:ilvl="8" w:tplc="957062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C"/>
    <w:rsid w:val="00310A44"/>
    <w:rsid w:val="003512CA"/>
    <w:rsid w:val="003803CA"/>
    <w:rsid w:val="003E322C"/>
    <w:rsid w:val="00454C4D"/>
    <w:rsid w:val="004F06BE"/>
    <w:rsid w:val="00521024"/>
    <w:rsid w:val="00566AA0"/>
    <w:rsid w:val="005A7556"/>
    <w:rsid w:val="0060160A"/>
    <w:rsid w:val="006B42E7"/>
    <w:rsid w:val="006C3C58"/>
    <w:rsid w:val="00712601"/>
    <w:rsid w:val="007845E9"/>
    <w:rsid w:val="00820C62"/>
    <w:rsid w:val="00903914"/>
    <w:rsid w:val="00965F6C"/>
    <w:rsid w:val="009B5F60"/>
    <w:rsid w:val="009C1277"/>
    <w:rsid w:val="00BD48C6"/>
    <w:rsid w:val="00C330E3"/>
    <w:rsid w:val="00CC5A56"/>
    <w:rsid w:val="00D3742F"/>
    <w:rsid w:val="00D61686"/>
    <w:rsid w:val="00E14A15"/>
    <w:rsid w:val="00EF12EF"/>
    <w:rsid w:val="00F25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974E"/>
  <w15:chartTrackingRefBased/>
  <w15:docId w15:val="{B08EB35A-A7F2-4AEE-97E4-F93FFE1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2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322C"/>
    <w:pPr>
      <w:spacing w:before="75" w:after="75"/>
      <w:ind w:firstLine="375"/>
      <w:jc w:val="both"/>
    </w:pPr>
  </w:style>
  <w:style w:type="paragraph" w:customStyle="1" w:styleId="naisc">
    <w:name w:val="naisc"/>
    <w:basedOn w:val="Normal"/>
    <w:rsid w:val="003E322C"/>
    <w:pPr>
      <w:spacing w:before="75" w:after="75"/>
      <w:jc w:val="center"/>
    </w:pPr>
  </w:style>
  <w:style w:type="paragraph" w:styleId="NormalWeb">
    <w:name w:val="Normal (Web)"/>
    <w:aliases w:val="sākums"/>
    <w:basedOn w:val="Normal"/>
    <w:rsid w:val="003E322C"/>
    <w:pPr>
      <w:spacing w:before="100" w:beforeAutospacing="1" w:after="100" w:afterAutospacing="1"/>
    </w:pPr>
  </w:style>
  <w:style w:type="paragraph" w:styleId="Header">
    <w:name w:val="header"/>
    <w:basedOn w:val="Normal"/>
    <w:link w:val="HeaderChar"/>
    <w:uiPriority w:val="99"/>
    <w:unhideWhenUsed/>
    <w:rsid w:val="003E322C"/>
    <w:pPr>
      <w:tabs>
        <w:tab w:val="center" w:pos="4153"/>
        <w:tab w:val="right" w:pos="8306"/>
      </w:tabs>
    </w:pPr>
  </w:style>
  <w:style w:type="character" w:customStyle="1" w:styleId="HeaderChar">
    <w:name w:val="Header Char"/>
    <w:basedOn w:val="DefaultParagraphFont"/>
    <w:link w:val="Header"/>
    <w:uiPriority w:val="99"/>
    <w:rsid w:val="003E322C"/>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E322C"/>
    <w:pPr>
      <w:tabs>
        <w:tab w:val="center" w:pos="4153"/>
        <w:tab w:val="right" w:pos="8306"/>
      </w:tabs>
    </w:pPr>
  </w:style>
  <w:style w:type="character" w:customStyle="1" w:styleId="FooterChar">
    <w:name w:val="Footer Char"/>
    <w:basedOn w:val="DefaultParagraphFont"/>
    <w:link w:val="Footer"/>
    <w:rsid w:val="003E322C"/>
    <w:rPr>
      <w:rFonts w:ascii="Times New Roman" w:eastAsia="Times New Roman" w:hAnsi="Times New Roman" w:cs="Times New Roman"/>
      <w:sz w:val="24"/>
      <w:szCs w:val="24"/>
      <w:lang w:eastAsia="lv-LV"/>
    </w:rPr>
  </w:style>
  <w:style w:type="paragraph" w:customStyle="1" w:styleId="naiskr">
    <w:name w:val="naiskr"/>
    <w:basedOn w:val="Normal"/>
    <w:rsid w:val="003E322C"/>
    <w:pPr>
      <w:spacing w:before="75" w:after="75"/>
    </w:pPr>
  </w:style>
  <w:style w:type="character" w:styleId="Hyperlink">
    <w:name w:val="Hyperlink"/>
    <w:basedOn w:val="DefaultParagraphFont"/>
    <w:uiPriority w:val="99"/>
    <w:unhideWhenUsed/>
    <w:rsid w:val="006B42E7"/>
    <w:rPr>
      <w:color w:val="0563C1" w:themeColor="hyperlink"/>
      <w:u w:val="single"/>
    </w:rPr>
  </w:style>
  <w:style w:type="character" w:styleId="UnresolvedMention">
    <w:name w:val="Unresolved Mention"/>
    <w:basedOn w:val="DefaultParagraphFont"/>
    <w:uiPriority w:val="99"/>
    <w:semiHidden/>
    <w:unhideWhenUsed/>
    <w:rsid w:val="006B42E7"/>
    <w:rPr>
      <w:color w:val="605E5C"/>
      <w:shd w:val="clear" w:color="auto" w:fill="E1DFDD"/>
    </w:rPr>
  </w:style>
  <w:style w:type="paragraph" w:styleId="BalloonText">
    <w:name w:val="Balloon Text"/>
    <w:basedOn w:val="Normal"/>
    <w:link w:val="BalloonTextChar"/>
    <w:uiPriority w:val="99"/>
    <w:semiHidden/>
    <w:unhideWhenUsed/>
    <w:rsid w:val="00F2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6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362A-405B-431E-AEED-703BB3F3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7324</Words>
  <Characters>4176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Ministru kabineta 2001. gada 3. aprīļa noteikumos Nr. 152 “Darbnespējas lapu izsniegšanas un anulēšanas kārtība”</vt:lpstr>
    </vt:vector>
  </TitlesOfParts>
  <Company>LM</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3. aprīļa noteikumos Nr. 152 “Darbnespējas lapu izsniegšanas un anulēšanas kārtība”</dc:title>
  <dc:subject>Izziņa par atzinumos sniegtajiem iebildumiem</dc:subject>
  <dc:creator>Irēna Salmane</dc:creator>
  <cp:keywords/>
  <dc:description>irena.salmane@lm.gov.lv_x000d_
tel.67021556</dc:description>
  <cp:lastModifiedBy>Irena Salmane</cp:lastModifiedBy>
  <cp:revision>9</cp:revision>
  <cp:lastPrinted>2020-05-12T12:50:00Z</cp:lastPrinted>
  <dcterms:created xsi:type="dcterms:W3CDTF">2020-02-03T08:32:00Z</dcterms:created>
  <dcterms:modified xsi:type="dcterms:W3CDTF">2020-05-21T09:53:00Z</dcterms:modified>
</cp:coreProperties>
</file>