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3410" w:rsidR="00D0720F" w:rsidP="00CC135B" w:rsidRDefault="00D0720F" w14:paraId="25494DBD" w14:textId="77777777">
      <w:pPr>
        <w:pStyle w:val="naislab"/>
        <w:spacing w:before="0" w:after="0"/>
        <w:ind w:firstLine="720"/>
      </w:pPr>
    </w:p>
    <w:p w:rsidRPr="00823410" w:rsidR="00D0720F" w:rsidP="00CC135B" w:rsidRDefault="00D0720F" w14:paraId="25494DBE" w14:textId="77777777">
      <w:pPr>
        <w:pStyle w:val="naislab"/>
        <w:spacing w:before="0" w:after="0"/>
        <w:ind w:firstLine="720"/>
      </w:pPr>
      <w:r w:rsidRPr="00823410">
        <w:t> </w:t>
      </w:r>
    </w:p>
    <w:p w:rsidRPr="00823410" w:rsidR="00D0720F" w:rsidP="00CC135B" w:rsidRDefault="00D0720F" w14:paraId="25494DBF" w14:textId="77777777">
      <w:pPr>
        <w:pStyle w:val="naisnod"/>
        <w:spacing w:before="0" w:after="0"/>
        <w:ind w:firstLine="720"/>
      </w:pPr>
      <w:r w:rsidRPr="00823410">
        <w:t>Izziņa par atzinumos sniegtajiem iebildumiem</w:t>
      </w:r>
    </w:p>
    <w:p w:rsidRPr="00823410" w:rsidR="00D0720F" w:rsidP="00CC135B" w:rsidRDefault="00D0720F" w14:paraId="25494DC0"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823410" w:rsidR="00D0720F" w14:paraId="25494DC2" w14:textId="77777777">
        <w:trPr>
          <w:jc w:val="center"/>
        </w:trPr>
        <w:tc>
          <w:tcPr>
            <w:tcW w:w="10188" w:type="dxa"/>
            <w:tcBorders>
              <w:bottom w:val="single" w:color="000000" w:sz="6" w:space="0"/>
            </w:tcBorders>
          </w:tcPr>
          <w:p w:rsidRPr="00823410" w:rsidR="00D0720F" w:rsidP="00F1704A" w:rsidRDefault="00D0720F" w14:paraId="25494DC1" w14:textId="5392168A">
            <w:pPr>
              <w:jc w:val="center"/>
              <w:rPr>
                <w:b/>
                <w:bCs/>
              </w:rPr>
            </w:pPr>
            <w:r>
              <w:rPr>
                <w:b/>
                <w:bCs/>
              </w:rPr>
              <w:t xml:space="preserve">par </w:t>
            </w:r>
            <w:r w:rsidRPr="00710E30">
              <w:rPr>
                <w:b/>
                <w:bCs/>
              </w:rPr>
              <w:t>Ministru kabineta noteikumu projekt</w:t>
            </w:r>
            <w:r>
              <w:rPr>
                <w:b/>
                <w:bCs/>
              </w:rPr>
              <w:t>u</w:t>
            </w:r>
            <w:r w:rsidRPr="00710E30">
              <w:rPr>
                <w:b/>
                <w:bCs/>
              </w:rPr>
              <w:t xml:space="preserve"> </w:t>
            </w:r>
            <w:r>
              <w:rPr>
                <w:b/>
                <w:bCs/>
              </w:rPr>
              <w:t xml:space="preserve">,,Dzelzceļa savstarpējās </w:t>
            </w:r>
            <w:proofErr w:type="spellStart"/>
            <w:r>
              <w:rPr>
                <w:b/>
                <w:bCs/>
              </w:rPr>
              <w:t>izmantojamības</w:t>
            </w:r>
            <w:proofErr w:type="spellEnd"/>
            <w:r>
              <w:rPr>
                <w:b/>
                <w:bCs/>
              </w:rPr>
              <w:t xml:space="preserve"> noteikumi”</w:t>
            </w:r>
            <w:r w:rsidRPr="001F2C26">
              <w:rPr>
                <w:b/>
                <w:bCs/>
              </w:rPr>
              <w:t xml:space="preserve"> </w:t>
            </w:r>
          </w:p>
        </w:tc>
      </w:tr>
    </w:tbl>
    <w:p w:rsidRPr="00823410" w:rsidR="00D0720F" w:rsidP="00CC135B" w:rsidRDefault="00D0720F" w14:paraId="25494DC3" w14:textId="77777777">
      <w:pPr>
        <w:pStyle w:val="naisf"/>
        <w:spacing w:before="0" w:after="0"/>
        <w:ind w:firstLine="720"/>
      </w:pPr>
    </w:p>
    <w:p w:rsidRPr="00823410" w:rsidR="00D0720F" w:rsidP="00CC135B" w:rsidRDefault="00D0720F" w14:paraId="25494DC4" w14:textId="77777777">
      <w:pPr>
        <w:pStyle w:val="naisf"/>
        <w:spacing w:before="0" w:after="0"/>
        <w:ind w:firstLine="720"/>
      </w:pPr>
    </w:p>
    <w:p w:rsidRPr="00823410" w:rsidR="00D0720F" w:rsidP="00CC135B" w:rsidRDefault="00D0720F" w14:paraId="25494DC5" w14:textId="77777777">
      <w:pPr>
        <w:pStyle w:val="naisf"/>
        <w:spacing w:before="0" w:after="0"/>
        <w:ind w:firstLine="0"/>
        <w:jc w:val="center"/>
        <w:rPr>
          <w:b/>
          <w:bCs/>
        </w:rPr>
      </w:pPr>
      <w:r w:rsidRPr="00823410">
        <w:rPr>
          <w:b/>
          <w:bCs/>
        </w:rPr>
        <w:t>I. Jautājumi, par kuriem saskaņošanā vienošanās nav panākta</w:t>
      </w:r>
    </w:p>
    <w:p w:rsidRPr="00823410" w:rsidR="00D0720F" w:rsidP="00CC135B" w:rsidRDefault="00D0720F" w14:paraId="25494DC6" w14:textId="77777777">
      <w:pPr>
        <w:pStyle w:val="naisf"/>
        <w:spacing w:before="0" w:after="0"/>
        <w:ind w:firstLine="720"/>
      </w:pPr>
    </w:p>
    <w:p w:rsidRPr="00823410" w:rsidR="00D0720F" w:rsidP="00CC135B" w:rsidRDefault="00D0720F" w14:paraId="25494DC7" w14:textId="77777777">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977"/>
        <w:gridCol w:w="2301"/>
        <w:gridCol w:w="2078"/>
      </w:tblGrid>
      <w:tr w:rsidRPr="00823410" w:rsidR="00D0720F" w14:paraId="25494DCE"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DC8" w14:textId="77777777">
            <w:pPr>
              <w:pStyle w:val="naisc"/>
              <w:spacing w:before="0" w:after="0"/>
            </w:pPr>
            <w:r w:rsidRPr="00823410">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DC9" w14:textId="77777777">
            <w:pPr>
              <w:pStyle w:val="naisc"/>
              <w:spacing w:before="0" w:after="0"/>
              <w:ind w:firstLine="12"/>
            </w:pPr>
            <w:r w:rsidRPr="00823410">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DCA" w14:textId="77777777">
            <w:pPr>
              <w:pStyle w:val="naisc"/>
              <w:spacing w:before="0" w:after="0"/>
              <w:ind w:right="3"/>
            </w:pPr>
            <w:r w:rsidRPr="00823410">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DCB" w14:textId="77777777">
            <w:pPr>
              <w:pStyle w:val="naisc"/>
              <w:spacing w:before="0" w:after="0"/>
              <w:ind w:firstLine="21"/>
            </w:pPr>
            <w:r w:rsidRPr="00823410">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823410" w:rsidR="00D0720F" w:rsidP="00CC135B" w:rsidRDefault="00D0720F" w14:paraId="25494DCC" w14:textId="77777777">
            <w:pPr>
              <w:jc w:val="center"/>
            </w:pPr>
            <w:r w:rsidRPr="00823410">
              <w:t>Atzinuma sniedzēja uzturētais iebildums, ja tas atšķiras no atzinumā norādītā iebilduma pamatojuma</w:t>
            </w:r>
          </w:p>
        </w:tc>
        <w:tc>
          <w:tcPr>
            <w:tcW w:w="2078" w:type="dxa"/>
            <w:tcBorders>
              <w:top w:val="single" w:color="auto" w:sz="4" w:space="0"/>
              <w:left w:val="single" w:color="auto" w:sz="4" w:space="0"/>
              <w:bottom w:val="single" w:color="auto" w:sz="4" w:space="0"/>
            </w:tcBorders>
            <w:vAlign w:val="center"/>
          </w:tcPr>
          <w:p w:rsidRPr="00823410" w:rsidR="00D0720F" w:rsidP="00CC135B" w:rsidRDefault="00D0720F" w14:paraId="25494DCD" w14:textId="77777777">
            <w:pPr>
              <w:jc w:val="center"/>
            </w:pPr>
            <w:r w:rsidRPr="00823410">
              <w:t>Projekta attiecīgā punkta (panta) galīgā redakcija</w:t>
            </w:r>
          </w:p>
        </w:tc>
      </w:tr>
      <w:tr w:rsidRPr="00823410" w:rsidR="00D0720F" w14:paraId="25494DD5" w14:textId="77777777">
        <w:tc>
          <w:tcPr>
            <w:tcW w:w="817" w:type="dxa"/>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DCF" w14:textId="77777777">
            <w:pPr>
              <w:pStyle w:val="naisc"/>
              <w:spacing w:before="0" w:after="0"/>
            </w:pPr>
            <w:r w:rsidRPr="00823410">
              <w:t>1</w:t>
            </w:r>
          </w:p>
        </w:tc>
        <w:tc>
          <w:tcPr>
            <w:tcW w:w="3086" w:type="dxa"/>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DD0" w14:textId="77777777">
            <w:pPr>
              <w:pStyle w:val="naisc"/>
              <w:spacing w:before="0" w:after="0"/>
              <w:ind w:firstLine="720"/>
            </w:pPr>
            <w:r w:rsidRPr="00823410">
              <w:t>2</w:t>
            </w:r>
          </w:p>
        </w:tc>
        <w:tc>
          <w:tcPr>
            <w:tcW w:w="3118" w:type="dxa"/>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DD1" w14:textId="77777777">
            <w:pPr>
              <w:pStyle w:val="naisc"/>
              <w:spacing w:before="0" w:after="0"/>
              <w:ind w:firstLine="720"/>
            </w:pPr>
            <w:r w:rsidRPr="00823410">
              <w:t>3</w:t>
            </w:r>
          </w:p>
        </w:tc>
        <w:tc>
          <w:tcPr>
            <w:tcW w:w="2977" w:type="dxa"/>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DD2" w14:textId="77777777">
            <w:pPr>
              <w:pStyle w:val="naisc"/>
              <w:spacing w:before="0" w:after="0"/>
              <w:ind w:firstLine="21"/>
            </w:pPr>
            <w:r w:rsidRPr="00823410">
              <w:t>4</w:t>
            </w:r>
          </w:p>
        </w:tc>
        <w:tc>
          <w:tcPr>
            <w:tcW w:w="2301" w:type="dxa"/>
            <w:tcBorders>
              <w:top w:val="single" w:color="auto" w:sz="4" w:space="0"/>
              <w:left w:val="single" w:color="auto" w:sz="4" w:space="0"/>
              <w:bottom w:val="single" w:color="auto" w:sz="4" w:space="0"/>
              <w:right w:val="single" w:color="auto" w:sz="4" w:space="0"/>
            </w:tcBorders>
          </w:tcPr>
          <w:p w:rsidRPr="00823410" w:rsidR="00D0720F" w:rsidP="00CC135B" w:rsidRDefault="00D0720F" w14:paraId="25494DD3" w14:textId="77777777">
            <w:pPr>
              <w:jc w:val="center"/>
            </w:pPr>
            <w:r w:rsidRPr="00823410">
              <w:t>5</w:t>
            </w:r>
          </w:p>
        </w:tc>
        <w:tc>
          <w:tcPr>
            <w:tcW w:w="2078" w:type="dxa"/>
            <w:tcBorders>
              <w:top w:val="single" w:color="auto" w:sz="4" w:space="0"/>
              <w:left w:val="single" w:color="auto" w:sz="4" w:space="0"/>
              <w:bottom w:val="single" w:color="auto" w:sz="4" w:space="0"/>
            </w:tcBorders>
          </w:tcPr>
          <w:p w:rsidRPr="00823410" w:rsidR="00D0720F" w:rsidP="00CC135B" w:rsidRDefault="00D0720F" w14:paraId="25494DD4" w14:textId="77777777">
            <w:pPr>
              <w:jc w:val="center"/>
            </w:pPr>
            <w:r w:rsidRPr="00823410">
              <w:t>6</w:t>
            </w:r>
          </w:p>
        </w:tc>
      </w:tr>
      <w:tr w:rsidRPr="00823410" w:rsidR="00D0720F" w14:paraId="25494DDC" w14:textId="77777777">
        <w:tc>
          <w:tcPr>
            <w:tcW w:w="817" w:type="dxa"/>
            <w:tcBorders>
              <w:top w:val="single" w:color="auto" w:sz="4" w:space="0"/>
              <w:bottom w:val="single" w:color="auto" w:sz="4" w:space="0"/>
              <w:right w:val="single" w:color="auto" w:sz="4" w:space="0"/>
            </w:tcBorders>
          </w:tcPr>
          <w:p w:rsidRPr="00823410" w:rsidR="00D0720F" w:rsidP="00CC135B" w:rsidRDefault="00D0720F" w14:paraId="25494DD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tcPr>
          <w:p w:rsidRPr="00823410" w:rsidR="00D0720F" w:rsidP="00CC135B" w:rsidRDefault="00D0720F" w14:paraId="25494DD7" w14:textId="77777777">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tcPr>
          <w:p w:rsidRPr="00823410" w:rsidR="00D0720F" w:rsidP="00CC135B" w:rsidRDefault="00D0720F" w14:paraId="25494DD8" w14:textId="77777777">
            <w:pPr>
              <w:pStyle w:val="naisc"/>
              <w:spacing w:before="0" w:after="0"/>
              <w:jc w:val="both"/>
              <w:rPr>
                <w:b/>
                <w:bCs/>
              </w:rPr>
            </w:pPr>
          </w:p>
        </w:tc>
        <w:tc>
          <w:tcPr>
            <w:tcW w:w="2977" w:type="dxa"/>
            <w:tcBorders>
              <w:top w:val="single" w:color="auto" w:sz="4" w:space="0"/>
              <w:left w:val="single" w:color="auto" w:sz="4" w:space="0"/>
              <w:bottom w:val="single" w:color="auto" w:sz="4" w:space="0"/>
              <w:right w:val="single" w:color="auto" w:sz="4" w:space="0"/>
            </w:tcBorders>
          </w:tcPr>
          <w:p w:rsidRPr="00823410" w:rsidR="00D0720F" w:rsidP="00CC135B" w:rsidRDefault="00D0720F" w14:paraId="25494DD9" w14:textId="77777777">
            <w:pPr>
              <w:pStyle w:val="naisc"/>
              <w:spacing w:before="0" w:after="0"/>
              <w:ind w:left="34"/>
              <w:jc w:val="both"/>
            </w:pPr>
          </w:p>
        </w:tc>
        <w:tc>
          <w:tcPr>
            <w:tcW w:w="2301" w:type="dxa"/>
            <w:tcBorders>
              <w:top w:val="single" w:color="auto" w:sz="4" w:space="0"/>
              <w:left w:val="single" w:color="auto" w:sz="4" w:space="0"/>
              <w:bottom w:val="single" w:color="auto" w:sz="4" w:space="0"/>
              <w:right w:val="single" w:color="auto" w:sz="4" w:space="0"/>
            </w:tcBorders>
          </w:tcPr>
          <w:p w:rsidRPr="00823410" w:rsidR="00D0720F" w:rsidP="00CC135B" w:rsidRDefault="00D0720F" w14:paraId="25494DDA" w14:textId="77777777">
            <w:pPr>
              <w:jc w:val="both"/>
            </w:pPr>
          </w:p>
        </w:tc>
        <w:tc>
          <w:tcPr>
            <w:tcW w:w="2078" w:type="dxa"/>
            <w:tcBorders>
              <w:top w:val="single" w:color="auto" w:sz="4" w:space="0"/>
              <w:left w:val="single" w:color="auto" w:sz="4" w:space="0"/>
              <w:bottom w:val="single" w:color="auto" w:sz="4" w:space="0"/>
            </w:tcBorders>
          </w:tcPr>
          <w:p w:rsidRPr="00823410" w:rsidR="00D0720F" w:rsidP="00CC135B" w:rsidRDefault="00D0720F" w14:paraId="25494DDB" w14:textId="77777777"/>
        </w:tc>
      </w:tr>
    </w:tbl>
    <w:p w:rsidRPr="00823410" w:rsidR="00D0720F" w:rsidP="00CC135B" w:rsidRDefault="00D0720F" w14:paraId="25494DDD" w14:textId="77777777">
      <w:pPr>
        <w:pStyle w:val="naisf"/>
        <w:spacing w:before="0" w:after="0"/>
        <w:ind w:firstLine="0"/>
      </w:pPr>
    </w:p>
    <w:p w:rsidRPr="00823410" w:rsidR="00D0720F" w:rsidP="00CC135B" w:rsidRDefault="00D0720F" w14:paraId="25494DDE" w14:textId="77777777">
      <w:pPr>
        <w:pStyle w:val="naisf"/>
        <w:spacing w:before="0" w:after="0"/>
        <w:ind w:firstLine="0"/>
        <w:rPr>
          <w:b/>
          <w:bCs/>
        </w:rPr>
      </w:pPr>
    </w:p>
    <w:p w:rsidRPr="00823410" w:rsidR="00D0720F" w:rsidP="00CC135B" w:rsidRDefault="00D0720F" w14:paraId="25494DDF" w14:textId="77777777">
      <w:pPr>
        <w:pStyle w:val="naisf"/>
        <w:spacing w:before="0" w:after="0"/>
        <w:ind w:firstLine="0"/>
        <w:rPr>
          <w:b/>
          <w:bCs/>
        </w:rPr>
      </w:pPr>
      <w:r w:rsidRPr="00823410">
        <w:rPr>
          <w:b/>
          <w:bCs/>
        </w:rPr>
        <w:t>Informācija par elektronisko saskaņošanu</w:t>
      </w:r>
    </w:p>
    <w:p w:rsidRPr="00823410" w:rsidR="00D0720F" w:rsidP="00CC135B" w:rsidRDefault="00D0720F" w14:paraId="25494DE0" w14:textId="77777777">
      <w:pPr>
        <w:pStyle w:val="naisf"/>
        <w:spacing w:before="0" w:after="0"/>
        <w:ind w:firstLine="0"/>
        <w:rPr>
          <w:b/>
          <w:bCs/>
        </w:rPr>
      </w:pPr>
    </w:p>
    <w:tbl>
      <w:tblPr>
        <w:tblW w:w="12572" w:type="dxa"/>
        <w:tblLook w:val="00A0" w:firstRow="1" w:lastRow="0" w:firstColumn="1" w:lastColumn="0" w:noHBand="0" w:noVBand="0"/>
      </w:tblPr>
      <w:tblGrid>
        <w:gridCol w:w="6340"/>
        <w:gridCol w:w="363"/>
        <w:gridCol w:w="839"/>
        <w:gridCol w:w="5030"/>
      </w:tblGrid>
      <w:tr w:rsidRPr="00823410" w:rsidR="00D0720F" w14:paraId="25494DE3" w14:textId="77777777">
        <w:trPr>
          <w:trHeight w:val="272"/>
        </w:trPr>
        <w:tc>
          <w:tcPr>
            <w:tcW w:w="6340" w:type="dxa"/>
          </w:tcPr>
          <w:p w:rsidRPr="00823410" w:rsidR="00D0720F" w:rsidP="00CC135B" w:rsidRDefault="00D0720F" w14:paraId="25494DE1" w14:textId="77777777">
            <w:pPr>
              <w:pStyle w:val="naisf"/>
              <w:spacing w:before="0" w:after="0"/>
              <w:ind w:firstLine="0"/>
            </w:pPr>
            <w:r w:rsidRPr="00823410">
              <w:t>Datums</w:t>
            </w:r>
          </w:p>
        </w:tc>
        <w:tc>
          <w:tcPr>
            <w:tcW w:w="6232" w:type="dxa"/>
            <w:gridSpan w:val="3"/>
            <w:tcBorders>
              <w:bottom w:val="single" w:color="auto" w:sz="4" w:space="0"/>
            </w:tcBorders>
          </w:tcPr>
          <w:p w:rsidRPr="00823410" w:rsidR="00D0720F" w:rsidP="00CC135B" w:rsidRDefault="00D0720F" w14:paraId="25494DE2" w14:textId="77777777">
            <w:pPr>
              <w:pStyle w:val="NormalWeb"/>
              <w:spacing w:before="0" w:beforeAutospacing="0" w:after="0" w:afterAutospacing="0"/>
              <w:ind w:firstLine="720"/>
              <w:jc w:val="both"/>
              <w:rPr>
                <w:highlight w:val="yellow"/>
              </w:rPr>
            </w:pPr>
            <w:r>
              <w:t xml:space="preserve">27.03.20202., 17.04.2020., </w:t>
            </w:r>
            <w:r w:rsidRPr="00242AC5">
              <w:t>30.04.2020.</w:t>
            </w:r>
          </w:p>
        </w:tc>
      </w:tr>
      <w:tr w:rsidRPr="00823410" w:rsidR="00D0720F" w14:paraId="25494DE6" w14:textId="77777777">
        <w:trPr>
          <w:trHeight w:val="262"/>
        </w:trPr>
        <w:tc>
          <w:tcPr>
            <w:tcW w:w="6340" w:type="dxa"/>
          </w:tcPr>
          <w:p w:rsidRPr="00823410" w:rsidR="00D0720F" w:rsidP="00CC135B" w:rsidRDefault="00D0720F" w14:paraId="25494DE4" w14:textId="77777777">
            <w:pPr>
              <w:pStyle w:val="naisf"/>
              <w:spacing w:before="0" w:after="0"/>
              <w:ind w:firstLine="0"/>
            </w:pPr>
          </w:p>
        </w:tc>
        <w:tc>
          <w:tcPr>
            <w:tcW w:w="6232" w:type="dxa"/>
            <w:gridSpan w:val="3"/>
            <w:tcBorders>
              <w:top w:val="single" w:color="auto" w:sz="4" w:space="0"/>
            </w:tcBorders>
          </w:tcPr>
          <w:p w:rsidRPr="00823410" w:rsidR="00D0720F" w:rsidP="00CC135B" w:rsidRDefault="00D0720F" w14:paraId="25494DE5" w14:textId="77777777">
            <w:pPr>
              <w:pStyle w:val="NormalWeb"/>
              <w:spacing w:before="0" w:beforeAutospacing="0" w:after="0" w:afterAutospacing="0"/>
              <w:ind w:firstLine="720"/>
              <w:jc w:val="both"/>
              <w:rPr>
                <w:highlight w:val="yellow"/>
              </w:rPr>
            </w:pPr>
          </w:p>
        </w:tc>
      </w:tr>
      <w:tr w:rsidRPr="00823410" w:rsidR="00D0720F" w14:paraId="25494DF0" w14:textId="77777777">
        <w:trPr>
          <w:trHeight w:val="1624"/>
        </w:trPr>
        <w:tc>
          <w:tcPr>
            <w:tcW w:w="6340" w:type="dxa"/>
          </w:tcPr>
          <w:p w:rsidRPr="00823410" w:rsidR="00D0720F" w:rsidP="00CC135B" w:rsidRDefault="00D0720F" w14:paraId="25494DE7" w14:textId="77777777">
            <w:pPr>
              <w:pStyle w:val="naiskr"/>
              <w:spacing w:before="0" w:after="0"/>
              <w:jc w:val="both"/>
            </w:pPr>
            <w:r w:rsidRPr="00823410">
              <w:t>Saskaņošanas dalībnieki</w:t>
            </w:r>
          </w:p>
          <w:p w:rsidRPr="00823410" w:rsidR="00D0720F" w:rsidP="00CC135B" w:rsidRDefault="00D0720F" w14:paraId="25494DEB" w14:textId="77777777">
            <w:pPr>
              <w:jc w:val="both"/>
            </w:pPr>
          </w:p>
          <w:p w:rsidRPr="00823410" w:rsidR="00D0720F" w:rsidP="00CC135B" w:rsidRDefault="00D0720F" w14:paraId="25494DEC" w14:textId="77777777">
            <w:pPr>
              <w:tabs>
                <w:tab w:val="left" w:pos="1440"/>
              </w:tabs>
              <w:jc w:val="both"/>
            </w:pPr>
            <w:r w:rsidRPr="00823410">
              <w:tab/>
            </w:r>
          </w:p>
        </w:tc>
        <w:tc>
          <w:tcPr>
            <w:tcW w:w="6232" w:type="dxa"/>
            <w:gridSpan w:val="3"/>
          </w:tcPr>
          <w:p w:rsidRPr="00823410" w:rsidR="00D0720F" w:rsidP="00CC135B" w:rsidRDefault="00D0720F" w14:paraId="25494DED" w14:textId="77777777">
            <w:pPr>
              <w:pStyle w:val="NormalWeb"/>
              <w:spacing w:before="0" w:beforeAutospacing="0" w:after="0" w:afterAutospacing="0"/>
              <w:jc w:val="both"/>
            </w:pPr>
            <w:r w:rsidRPr="00823410">
              <w:t xml:space="preserve">Finanšu ministrija, Tieslietu ministrija, </w:t>
            </w:r>
            <w:r>
              <w:t>Ekonomikas</w:t>
            </w:r>
            <w:r w:rsidRPr="00823410">
              <w:t xml:space="preserve"> ministrija un Latvijas Brīvo arodbiedrību savienība.</w:t>
            </w:r>
          </w:p>
          <w:p w:rsidRPr="00823410" w:rsidR="00D0720F" w:rsidP="00CC135B" w:rsidRDefault="00D0720F" w14:paraId="25494DEE" w14:textId="77777777">
            <w:pPr>
              <w:jc w:val="both"/>
            </w:pPr>
          </w:p>
          <w:p w:rsidRPr="00823410" w:rsidR="00D0720F" w:rsidP="00CC135B" w:rsidRDefault="00D0720F" w14:paraId="25494DEF" w14:textId="77777777">
            <w:pPr>
              <w:jc w:val="both"/>
            </w:pPr>
          </w:p>
        </w:tc>
      </w:tr>
      <w:tr w:rsidRPr="00823410" w:rsidR="00D0720F" w14:paraId="25494DF3" w14:textId="77777777">
        <w:trPr>
          <w:trHeight w:val="262"/>
        </w:trPr>
        <w:tc>
          <w:tcPr>
            <w:tcW w:w="6340" w:type="dxa"/>
          </w:tcPr>
          <w:p w:rsidRPr="00823410" w:rsidR="00D0720F" w:rsidP="00CC135B" w:rsidRDefault="00D0720F" w14:paraId="25494DF1" w14:textId="77777777">
            <w:pPr>
              <w:pStyle w:val="naiskr"/>
              <w:spacing w:before="0" w:after="0"/>
              <w:jc w:val="both"/>
            </w:pPr>
          </w:p>
        </w:tc>
        <w:tc>
          <w:tcPr>
            <w:tcW w:w="6232" w:type="dxa"/>
            <w:gridSpan w:val="3"/>
          </w:tcPr>
          <w:p w:rsidRPr="00823410" w:rsidR="00D0720F" w:rsidP="00CC135B" w:rsidRDefault="00D0720F" w14:paraId="25494DF2" w14:textId="77777777">
            <w:pPr>
              <w:pStyle w:val="NormalWeb"/>
              <w:spacing w:before="0" w:beforeAutospacing="0" w:after="0" w:afterAutospacing="0"/>
              <w:jc w:val="both"/>
            </w:pPr>
          </w:p>
        </w:tc>
      </w:tr>
      <w:tr w:rsidRPr="00823410" w:rsidR="00D0720F" w14:paraId="25494DF7" w14:textId="77777777">
        <w:trPr>
          <w:trHeight w:val="278"/>
        </w:trPr>
        <w:tc>
          <w:tcPr>
            <w:tcW w:w="6340" w:type="dxa"/>
          </w:tcPr>
          <w:p w:rsidRPr="00823410" w:rsidR="00D0720F" w:rsidP="00CC135B" w:rsidRDefault="00D0720F" w14:paraId="25494DF4" w14:textId="77777777">
            <w:pPr>
              <w:pStyle w:val="naiskr"/>
              <w:spacing w:before="0" w:after="0"/>
              <w:jc w:val="both"/>
            </w:pPr>
          </w:p>
        </w:tc>
        <w:tc>
          <w:tcPr>
            <w:tcW w:w="1202" w:type="dxa"/>
            <w:gridSpan w:val="2"/>
          </w:tcPr>
          <w:p w:rsidRPr="00823410" w:rsidR="00D0720F" w:rsidP="00CC135B" w:rsidRDefault="00D0720F" w14:paraId="25494DF5" w14:textId="77777777">
            <w:pPr>
              <w:pStyle w:val="naiskr"/>
              <w:spacing w:before="0" w:after="0"/>
              <w:ind w:firstLine="720"/>
              <w:jc w:val="both"/>
            </w:pPr>
          </w:p>
        </w:tc>
        <w:tc>
          <w:tcPr>
            <w:tcW w:w="5030" w:type="dxa"/>
          </w:tcPr>
          <w:p w:rsidRPr="00823410" w:rsidR="00D0720F" w:rsidP="00CC135B" w:rsidRDefault="00D0720F" w14:paraId="25494DF6" w14:textId="77777777">
            <w:pPr>
              <w:pStyle w:val="naiskr"/>
              <w:spacing w:before="0" w:after="0"/>
              <w:ind w:firstLine="12"/>
              <w:jc w:val="both"/>
              <w:rPr>
                <w:highlight w:val="yellow"/>
              </w:rPr>
            </w:pPr>
          </w:p>
        </w:tc>
      </w:tr>
      <w:tr w:rsidRPr="00823410" w:rsidR="00D0720F" w14:paraId="25494DFB" w14:textId="77777777">
        <w:trPr>
          <w:trHeight w:val="278"/>
        </w:trPr>
        <w:tc>
          <w:tcPr>
            <w:tcW w:w="6703" w:type="dxa"/>
            <w:gridSpan w:val="2"/>
          </w:tcPr>
          <w:p w:rsidRPr="00823410" w:rsidR="00D0720F" w:rsidP="00CC135B" w:rsidRDefault="00D0720F" w14:paraId="25494DF8" w14:textId="77777777">
            <w:pPr>
              <w:pStyle w:val="naiskr"/>
              <w:spacing w:before="0" w:after="0"/>
              <w:jc w:val="both"/>
            </w:pPr>
            <w:r w:rsidRPr="00823410">
              <w:t>Saskaņošanas dalībnieki izskatīja šādu ministriju (citu institūciju) iebildumus</w:t>
            </w:r>
          </w:p>
        </w:tc>
        <w:tc>
          <w:tcPr>
            <w:tcW w:w="839" w:type="dxa"/>
          </w:tcPr>
          <w:p w:rsidRPr="00823410" w:rsidR="00D0720F" w:rsidP="00CC135B" w:rsidRDefault="00D0720F" w14:paraId="25494DF9" w14:textId="77777777">
            <w:pPr>
              <w:pStyle w:val="naiskr"/>
              <w:spacing w:before="0" w:after="0"/>
              <w:ind w:firstLine="720"/>
              <w:jc w:val="both"/>
              <w:rPr>
                <w:highlight w:val="yellow"/>
              </w:rPr>
            </w:pPr>
          </w:p>
        </w:tc>
        <w:tc>
          <w:tcPr>
            <w:tcW w:w="5030" w:type="dxa"/>
          </w:tcPr>
          <w:p w:rsidRPr="00823410" w:rsidR="00D0720F" w:rsidP="00CC135B" w:rsidRDefault="00D0720F" w14:paraId="25494DFA" w14:textId="77777777">
            <w:pPr>
              <w:pStyle w:val="naiskr"/>
              <w:spacing w:before="0" w:after="0"/>
              <w:ind w:firstLine="12"/>
              <w:jc w:val="both"/>
              <w:rPr>
                <w:highlight w:val="yellow"/>
              </w:rPr>
            </w:pPr>
          </w:p>
        </w:tc>
      </w:tr>
      <w:tr w:rsidRPr="00823410" w:rsidR="00D0720F" w14:paraId="25494DFE" w14:textId="77777777">
        <w:trPr>
          <w:trHeight w:val="454"/>
        </w:trPr>
        <w:tc>
          <w:tcPr>
            <w:tcW w:w="6703" w:type="dxa"/>
            <w:gridSpan w:val="2"/>
          </w:tcPr>
          <w:p w:rsidRPr="00823410" w:rsidR="00D0720F" w:rsidP="00CC135B" w:rsidRDefault="00D0720F" w14:paraId="25494DFC" w14:textId="77777777">
            <w:pPr>
              <w:pStyle w:val="naiskr"/>
              <w:spacing w:before="0" w:after="0"/>
              <w:ind w:firstLine="720"/>
              <w:jc w:val="both"/>
            </w:pPr>
            <w:r w:rsidRPr="00823410">
              <w:lastRenderedPageBreak/>
              <w:t>  </w:t>
            </w:r>
          </w:p>
        </w:tc>
        <w:tc>
          <w:tcPr>
            <w:tcW w:w="5869" w:type="dxa"/>
            <w:gridSpan w:val="2"/>
            <w:tcBorders>
              <w:top w:val="single" w:color="000000" w:sz="6" w:space="0"/>
              <w:bottom w:val="single" w:color="000000" w:sz="6" w:space="0"/>
            </w:tcBorders>
          </w:tcPr>
          <w:p w:rsidRPr="00823410" w:rsidR="00D0720F" w:rsidP="00CC135B" w:rsidRDefault="00D0720F" w14:paraId="25494DFD" w14:textId="1A07A3EF">
            <w:pPr>
              <w:pStyle w:val="NormalWeb"/>
              <w:spacing w:before="0" w:beforeAutospacing="0" w:after="0" w:afterAutospacing="0"/>
              <w:jc w:val="both"/>
              <w:rPr>
                <w:highlight w:val="yellow"/>
              </w:rPr>
            </w:pPr>
            <w:r w:rsidRPr="00823410">
              <w:t>Tieslietu ministrija</w:t>
            </w:r>
            <w:r>
              <w:t>, Ekonomikas ministrija</w:t>
            </w:r>
            <w:r w:rsidR="00472184">
              <w:t>, Finanšu ministrija</w:t>
            </w:r>
            <w:r w:rsidRPr="00823410">
              <w:t>.</w:t>
            </w:r>
          </w:p>
        </w:tc>
      </w:tr>
      <w:tr w:rsidRPr="00823410" w:rsidR="00D0720F" w14:paraId="25494E00" w14:textId="77777777">
        <w:trPr>
          <w:trHeight w:val="454"/>
        </w:trPr>
        <w:tc>
          <w:tcPr>
            <w:tcW w:w="12572" w:type="dxa"/>
            <w:gridSpan w:val="4"/>
          </w:tcPr>
          <w:p w:rsidRPr="00823410" w:rsidR="00D0720F" w:rsidP="00CC135B" w:rsidRDefault="00D0720F" w14:paraId="25494DFF" w14:textId="77777777">
            <w:pPr>
              <w:pStyle w:val="naisc"/>
              <w:spacing w:before="0" w:after="0"/>
              <w:jc w:val="both"/>
            </w:pPr>
          </w:p>
        </w:tc>
      </w:tr>
      <w:tr w:rsidRPr="00823410" w:rsidR="00D0720F" w14:paraId="25494E03" w14:textId="77777777">
        <w:trPr>
          <w:trHeight w:val="807"/>
        </w:trPr>
        <w:tc>
          <w:tcPr>
            <w:tcW w:w="6703" w:type="dxa"/>
            <w:gridSpan w:val="2"/>
          </w:tcPr>
          <w:p w:rsidRPr="00823410" w:rsidR="00D0720F" w:rsidP="00CC135B" w:rsidRDefault="00D0720F" w14:paraId="25494E01" w14:textId="77777777">
            <w:pPr>
              <w:pStyle w:val="naiskr"/>
              <w:spacing w:before="0" w:after="0"/>
              <w:jc w:val="both"/>
            </w:pPr>
            <w:r w:rsidRPr="00823410">
              <w:t>Ministrijas (citas institūcijas), kuras nav ieradušās uz sanāksmi vai kuras nav atbildējušas uz uzaicinājumu piedalīties elektroniskajā saskaņošanā</w:t>
            </w:r>
          </w:p>
        </w:tc>
        <w:tc>
          <w:tcPr>
            <w:tcW w:w="5869" w:type="dxa"/>
            <w:gridSpan w:val="2"/>
          </w:tcPr>
          <w:p w:rsidRPr="00823410" w:rsidR="00D0720F" w:rsidP="00CC135B" w:rsidRDefault="00D0720F" w14:paraId="25494E02" w14:textId="77777777">
            <w:pPr>
              <w:pStyle w:val="naiskr"/>
              <w:spacing w:before="0" w:after="0"/>
              <w:jc w:val="both"/>
              <w:rPr>
                <w:highlight w:val="yellow"/>
              </w:rPr>
            </w:pPr>
          </w:p>
        </w:tc>
      </w:tr>
      <w:tr w:rsidRPr="00823410" w:rsidR="00D0720F" w14:paraId="25494E06" w14:textId="77777777">
        <w:trPr>
          <w:trHeight w:val="262"/>
        </w:trPr>
        <w:tc>
          <w:tcPr>
            <w:tcW w:w="6703" w:type="dxa"/>
            <w:gridSpan w:val="2"/>
          </w:tcPr>
          <w:p w:rsidRPr="00823410" w:rsidR="00D0720F" w:rsidP="00CC135B" w:rsidRDefault="00D0720F" w14:paraId="25494E04" w14:textId="77777777">
            <w:pPr>
              <w:pStyle w:val="naiskr"/>
              <w:spacing w:before="0" w:after="0"/>
              <w:ind w:firstLine="720"/>
              <w:jc w:val="both"/>
            </w:pPr>
            <w:r w:rsidRPr="00823410">
              <w:t>  </w:t>
            </w:r>
          </w:p>
        </w:tc>
        <w:tc>
          <w:tcPr>
            <w:tcW w:w="5869" w:type="dxa"/>
            <w:gridSpan w:val="2"/>
            <w:tcBorders>
              <w:top w:val="single" w:color="000000" w:sz="6" w:space="0"/>
              <w:bottom w:val="single" w:color="000000" w:sz="6" w:space="0"/>
            </w:tcBorders>
          </w:tcPr>
          <w:p w:rsidRPr="00823410" w:rsidR="00D0720F" w:rsidP="00CC135B" w:rsidRDefault="00D0720F" w14:paraId="25494E05" w14:textId="77777777">
            <w:pPr>
              <w:pStyle w:val="naiskr"/>
              <w:spacing w:before="0" w:after="0"/>
              <w:jc w:val="both"/>
            </w:pPr>
          </w:p>
        </w:tc>
      </w:tr>
      <w:tr w:rsidRPr="00823410" w:rsidR="00D0720F" w14:paraId="25494E08" w14:textId="77777777">
        <w:trPr>
          <w:gridAfter w:val="2"/>
          <w:wAfter w:w="5869" w:type="dxa"/>
          <w:trHeight w:val="262"/>
        </w:trPr>
        <w:tc>
          <w:tcPr>
            <w:tcW w:w="6703" w:type="dxa"/>
            <w:gridSpan w:val="2"/>
          </w:tcPr>
          <w:p w:rsidRPr="00823410" w:rsidR="00D0720F" w:rsidP="00CC135B" w:rsidRDefault="00D0720F" w14:paraId="25494E07" w14:textId="77777777">
            <w:pPr>
              <w:pStyle w:val="naiskr"/>
              <w:spacing w:before="0" w:after="0"/>
              <w:ind w:firstLine="720"/>
              <w:jc w:val="both"/>
            </w:pPr>
            <w:r w:rsidRPr="00823410">
              <w:t>  </w:t>
            </w:r>
          </w:p>
        </w:tc>
      </w:tr>
    </w:tbl>
    <w:p w:rsidRPr="00823410" w:rsidR="00D0720F" w:rsidP="00CC135B" w:rsidRDefault="00D0720F" w14:paraId="25494E09" w14:textId="77777777">
      <w:pPr>
        <w:pStyle w:val="naisf"/>
        <w:spacing w:before="0" w:after="0"/>
        <w:ind w:firstLine="720"/>
      </w:pPr>
    </w:p>
    <w:p w:rsidRPr="00823410" w:rsidR="00D0720F" w:rsidP="00CC135B" w:rsidRDefault="00D0720F" w14:paraId="25494E0A" w14:textId="77777777">
      <w:pPr>
        <w:pStyle w:val="naisf"/>
        <w:spacing w:before="0" w:after="0"/>
        <w:ind w:firstLine="0"/>
        <w:rPr>
          <w:b/>
          <w:bCs/>
        </w:rPr>
      </w:pPr>
      <w:r w:rsidRPr="00823410">
        <w:rPr>
          <w:b/>
          <w:bCs/>
        </w:rPr>
        <w:t>II. Jautājumi, par kuriem saskaņošanā vienošanās ir panākta</w:t>
      </w:r>
    </w:p>
    <w:p w:rsidRPr="00823410" w:rsidR="00D0720F" w:rsidP="00CC135B" w:rsidRDefault="00D0720F" w14:paraId="25494E0B" w14:textId="77777777">
      <w:pPr>
        <w:pStyle w:val="naisf"/>
        <w:spacing w:before="0" w:after="0"/>
        <w:ind w:firstLine="720"/>
      </w:pPr>
    </w:p>
    <w:tbl>
      <w:tblPr>
        <w:tblW w:w="14459"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508"/>
        <w:gridCol w:w="593"/>
        <w:gridCol w:w="1056"/>
        <w:gridCol w:w="2036"/>
        <w:gridCol w:w="877"/>
        <w:gridCol w:w="3092"/>
        <w:gridCol w:w="142"/>
        <w:gridCol w:w="1843"/>
        <w:gridCol w:w="451"/>
        <w:gridCol w:w="2126"/>
        <w:gridCol w:w="1701"/>
      </w:tblGrid>
      <w:tr w:rsidRPr="00823410" w:rsidR="00D0720F" w14:paraId="25494E11" w14:textId="77777777">
        <w:tc>
          <w:tcPr>
            <w:tcW w:w="1135" w:type="dxa"/>
            <w:gridSpan w:val="3"/>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E0C" w14:textId="77777777">
            <w:pPr>
              <w:pStyle w:val="naisc"/>
              <w:spacing w:before="0" w:after="0"/>
              <w:jc w:val="both"/>
            </w:pPr>
            <w:r w:rsidRPr="00823410">
              <w:t>Nr. p.k.</w:t>
            </w:r>
          </w:p>
        </w:tc>
        <w:tc>
          <w:tcPr>
            <w:tcW w:w="3969" w:type="dxa"/>
            <w:gridSpan w:val="3"/>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E0D" w14:textId="77777777">
            <w:pPr>
              <w:pStyle w:val="naisc"/>
              <w:spacing w:before="0" w:after="0"/>
              <w:ind w:firstLine="12"/>
              <w:jc w:val="both"/>
            </w:pPr>
            <w:r w:rsidRPr="00823410">
              <w:t>Saskaņošanai nosūtītā projekta redakcija (konkrēta punkta (panta) redakcija)</w:t>
            </w:r>
          </w:p>
        </w:tc>
        <w:tc>
          <w:tcPr>
            <w:tcW w:w="5528" w:type="dxa"/>
            <w:gridSpan w:val="4"/>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E0E" w14:textId="77777777">
            <w:pPr>
              <w:pStyle w:val="naisc"/>
              <w:spacing w:before="0" w:after="0"/>
              <w:ind w:right="3"/>
              <w:jc w:val="both"/>
            </w:pPr>
            <w:r w:rsidRPr="00823410">
              <w:t>Atzinumā norādītais ministrijas (citas institūcijas) iebildums, kā arī saskaņošanā papildus izteiktais iebildums par projekta konkrēto punktu (pantu)</w:t>
            </w:r>
          </w:p>
        </w:tc>
        <w:tc>
          <w:tcPr>
            <w:tcW w:w="2126" w:type="dxa"/>
            <w:tcBorders>
              <w:top w:val="single" w:color="000000" w:sz="6" w:space="0"/>
              <w:left w:val="single" w:color="000000" w:sz="6" w:space="0"/>
              <w:bottom w:val="single" w:color="000000" w:sz="6" w:space="0"/>
              <w:right w:val="single" w:color="000000" w:sz="6" w:space="0"/>
            </w:tcBorders>
            <w:vAlign w:val="center"/>
          </w:tcPr>
          <w:p w:rsidRPr="00823410" w:rsidR="00D0720F" w:rsidP="00CC135B" w:rsidRDefault="00D0720F" w14:paraId="25494E0F" w14:textId="77777777">
            <w:pPr>
              <w:pStyle w:val="naisc"/>
              <w:spacing w:before="0" w:after="0"/>
              <w:ind w:firstLine="21"/>
              <w:jc w:val="both"/>
            </w:pPr>
            <w:r w:rsidRPr="00823410">
              <w:t>Atbildīgās ministrijas norāde par to, ka iebildums ir ņemts vērā, vai informācija par saskaņošanā panākto alternatīvo risinājumu</w:t>
            </w:r>
          </w:p>
        </w:tc>
        <w:tc>
          <w:tcPr>
            <w:tcW w:w="1701" w:type="dxa"/>
            <w:tcBorders>
              <w:top w:val="single" w:color="auto" w:sz="4" w:space="0"/>
              <w:left w:val="single" w:color="auto" w:sz="4" w:space="0"/>
              <w:bottom w:val="single" w:color="auto" w:sz="4" w:space="0"/>
            </w:tcBorders>
            <w:vAlign w:val="center"/>
          </w:tcPr>
          <w:p w:rsidRPr="00823410" w:rsidR="00D0720F" w:rsidP="00CC135B" w:rsidRDefault="00D0720F" w14:paraId="25494E10" w14:textId="77777777">
            <w:pPr>
              <w:jc w:val="both"/>
            </w:pPr>
            <w:r w:rsidRPr="00823410">
              <w:t>Projekta attiecīgā punkta (panta) galīgā redakcija</w:t>
            </w:r>
          </w:p>
        </w:tc>
      </w:tr>
      <w:tr w:rsidRPr="00823410" w:rsidR="00D0720F" w14:paraId="25494E17" w14:textId="77777777">
        <w:tc>
          <w:tcPr>
            <w:tcW w:w="1135" w:type="dxa"/>
            <w:gridSpan w:val="3"/>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E12" w14:textId="77777777">
            <w:pPr>
              <w:pStyle w:val="naisc"/>
              <w:spacing w:before="0" w:after="0"/>
              <w:jc w:val="both"/>
            </w:pPr>
            <w:r w:rsidRPr="00823410">
              <w:t>1</w:t>
            </w:r>
          </w:p>
        </w:tc>
        <w:tc>
          <w:tcPr>
            <w:tcW w:w="3969" w:type="dxa"/>
            <w:gridSpan w:val="3"/>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E13" w14:textId="77777777">
            <w:pPr>
              <w:pStyle w:val="naisc"/>
              <w:spacing w:before="0" w:after="0"/>
              <w:jc w:val="both"/>
            </w:pPr>
            <w:r w:rsidRPr="00823410">
              <w:t>2</w:t>
            </w:r>
          </w:p>
        </w:tc>
        <w:tc>
          <w:tcPr>
            <w:tcW w:w="5528" w:type="dxa"/>
            <w:gridSpan w:val="4"/>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E14" w14:textId="77777777">
            <w:pPr>
              <w:pStyle w:val="naisc"/>
              <w:spacing w:before="0" w:after="0"/>
              <w:jc w:val="both"/>
            </w:pPr>
            <w:r w:rsidRPr="00823410">
              <w:t>3</w:t>
            </w:r>
          </w:p>
        </w:tc>
        <w:tc>
          <w:tcPr>
            <w:tcW w:w="2126" w:type="dxa"/>
            <w:tcBorders>
              <w:top w:val="single" w:color="000000" w:sz="6" w:space="0"/>
              <w:left w:val="single" w:color="000000" w:sz="6" w:space="0"/>
              <w:bottom w:val="single" w:color="000000" w:sz="6" w:space="0"/>
              <w:right w:val="single" w:color="000000" w:sz="6" w:space="0"/>
            </w:tcBorders>
          </w:tcPr>
          <w:p w:rsidRPr="00823410" w:rsidR="00D0720F" w:rsidP="00CC135B" w:rsidRDefault="00D0720F" w14:paraId="25494E15" w14:textId="77777777">
            <w:pPr>
              <w:pStyle w:val="naisc"/>
              <w:spacing w:before="0" w:after="0"/>
              <w:ind w:firstLine="34"/>
              <w:jc w:val="both"/>
            </w:pPr>
            <w:r w:rsidRPr="00823410">
              <w:t>4</w:t>
            </w:r>
          </w:p>
        </w:tc>
        <w:tc>
          <w:tcPr>
            <w:tcW w:w="1701" w:type="dxa"/>
            <w:tcBorders>
              <w:top w:val="single" w:color="auto" w:sz="4" w:space="0"/>
              <w:left w:val="single" w:color="auto" w:sz="4" w:space="0"/>
              <w:bottom w:val="single" w:color="auto" w:sz="4" w:space="0"/>
            </w:tcBorders>
          </w:tcPr>
          <w:p w:rsidRPr="00823410" w:rsidR="00D0720F" w:rsidP="00CC135B" w:rsidRDefault="00D0720F" w14:paraId="25494E16" w14:textId="77777777">
            <w:pPr>
              <w:jc w:val="both"/>
            </w:pPr>
            <w:r w:rsidRPr="00823410">
              <w:t>5</w:t>
            </w:r>
          </w:p>
        </w:tc>
      </w:tr>
      <w:tr w:rsidRPr="00E10421" w:rsidR="00D0720F" w:rsidTr="00E10421" w14:paraId="25494E1C" w14:textId="77777777">
        <w:trPr>
          <w:trHeight w:val="318"/>
        </w:trPr>
        <w:tc>
          <w:tcPr>
            <w:tcW w:w="14459" w:type="dxa"/>
            <w:gridSpan w:val="12"/>
            <w:tcBorders>
              <w:top w:val="single" w:color="000000" w:sz="6" w:space="0"/>
              <w:left w:val="single" w:color="000000" w:sz="6" w:space="0"/>
              <w:bottom w:val="single" w:color="000000" w:sz="6" w:space="0"/>
            </w:tcBorders>
            <w:shd w:val="clear" w:color="auto" w:fill="auto"/>
          </w:tcPr>
          <w:p w:rsidRPr="00E10421" w:rsidR="00D0720F" w:rsidP="00CC135B" w:rsidRDefault="00D0720F" w14:paraId="25494E1A" w14:textId="77777777">
            <w:pPr>
              <w:jc w:val="center"/>
              <w:rPr>
                <w:b/>
                <w:bCs/>
              </w:rPr>
            </w:pPr>
            <w:r w:rsidRPr="00E10421">
              <w:rPr>
                <w:b/>
                <w:bCs/>
              </w:rPr>
              <w:t>Tieslietu ministrija</w:t>
            </w:r>
          </w:p>
          <w:p w:rsidRPr="00E10421" w:rsidR="00D0720F" w:rsidP="00CC135B" w:rsidRDefault="00D0720F" w14:paraId="25494E1B" w14:textId="733C1A2D">
            <w:pPr>
              <w:jc w:val="center"/>
              <w:rPr>
                <w:b/>
                <w:bCs/>
              </w:rPr>
            </w:pPr>
            <w:r w:rsidRPr="00E10421">
              <w:rPr>
                <w:b/>
                <w:bCs/>
              </w:rPr>
              <w:t xml:space="preserve"> </w:t>
            </w:r>
            <w:r w:rsidRPr="00E10421">
              <w:rPr>
                <w:i/>
                <w:iCs/>
              </w:rPr>
              <w:t>(2020.gada 26.marta atzinums Nr.1-9.1/305)</w:t>
            </w:r>
          </w:p>
        </w:tc>
      </w:tr>
      <w:tr w:rsidRPr="00823410" w:rsidR="00D0720F" w14:paraId="25494E22"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1D" w14:textId="77777777">
            <w:pPr>
              <w:ind w:left="8"/>
              <w:jc w:val="both"/>
            </w:pPr>
            <w:r w:rsidRPr="00EF34ED">
              <w:t>1.</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E1E" w14:textId="7D692307">
            <w:pPr>
              <w:jc w:val="both"/>
            </w:pPr>
            <w:r>
              <w:rPr>
                <w:b/>
                <w:bCs/>
              </w:rPr>
              <w:t xml:space="preserve">Noteikumi </w:t>
            </w:r>
            <w:r w:rsidRPr="006D76AB">
              <w:rPr>
                <w:b/>
                <w:bCs/>
              </w:rPr>
              <w:t xml:space="preserve">par dzelzceļa savstarpējo </w:t>
            </w:r>
            <w:proofErr w:type="spellStart"/>
            <w:r w:rsidRPr="006D76AB">
              <w:rPr>
                <w:b/>
                <w:bCs/>
              </w:rPr>
              <w:t>izmantojamību</w:t>
            </w:r>
            <w:proofErr w:type="spellEnd"/>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E1F" w14:textId="77777777">
            <w:pPr>
              <w:ind w:firstLine="34"/>
              <w:jc w:val="both"/>
            </w:pPr>
            <w:r>
              <w:t xml:space="preserve">1. </w:t>
            </w:r>
            <w:r w:rsidRPr="00402B4D">
              <w:t>Vēršam uzmanību, ka projekta nosaukums neatbils</w:t>
            </w:r>
            <w:r>
              <w:t>t Ministru kabineta 2009.gada 3.februāra noteikumu Nr.</w:t>
            </w:r>
            <w:r w:rsidRPr="00402B4D">
              <w:t xml:space="preserve">108 „Normatīvo aktu projektu sagatavošanas noteikumi” (turpmāk – NAP noteikumi) </w:t>
            </w:r>
            <w:r>
              <w:t>91.un 92.</w:t>
            </w:r>
            <w:r w:rsidRPr="00402B4D">
              <w:t>punktam, kas noteic, ka notei</w:t>
            </w:r>
            <w:r>
              <w:t>kumu projekta nosaukumā vārdus ,,kārtība”, ,,</w:t>
            </w:r>
            <w:r w:rsidRPr="00402B4D">
              <w:t xml:space="preserve">noteikumi” </w:t>
            </w:r>
            <w:proofErr w:type="spellStart"/>
            <w:r w:rsidRPr="00402B4D">
              <w:t>v.tml</w:t>
            </w:r>
            <w:proofErr w:type="spellEnd"/>
            <w:r w:rsidRPr="00402B4D">
              <w:t>. raksta kā nosaukuma pēdējo vā</w:t>
            </w:r>
            <w:r>
              <w:t>rdu un ka nosaukumu ar vārdiem ,,</w:t>
            </w:r>
            <w:r w:rsidRPr="00402B4D">
              <w:t xml:space="preserve">Noteikumi </w:t>
            </w:r>
            <w:r w:rsidRPr="00402B4D">
              <w:lastRenderedPageBreak/>
              <w:t xml:space="preserve">par” iesāk tikai retos izņēmuma gadījumos. Ņemot vērā, ka projekta gadījumā ir iespējams izveidot stilistiski pareizu projekta nosaukumu, lūdzam precizēt projekta nosaukumu, piemēram, izsakot to šādā redakcijā: „Dzelzceļa savstarpējās </w:t>
            </w:r>
            <w:proofErr w:type="spellStart"/>
            <w:r w:rsidRPr="00402B4D">
              <w:t>izmantojamības</w:t>
            </w:r>
            <w:proofErr w:type="spellEnd"/>
            <w:r w:rsidRPr="00402B4D">
              <w:t xml:space="preserve"> noteikumi”.</w:t>
            </w:r>
          </w:p>
        </w:tc>
        <w:tc>
          <w:tcPr>
            <w:tcW w:w="1985" w:type="dxa"/>
            <w:gridSpan w:val="2"/>
            <w:tcBorders>
              <w:left w:val="single" w:color="000000" w:sz="6" w:space="0"/>
              <w:bottom w:val="single" w:color="auto" w:sz="4" w:space="0"/>
              <w:right w:val="single" w:color="000000" w:sz="6" w:space="0"/>
            </w:tcBorders>
          </w:tcPr>
          <w:p w:rsidR="00E10421" w:rsidP="00E10421" w:rsidRDefault="00D0720F" w14:paraId="5726B67E" w14:textId="6A479464">
            <w:pPr>
              <w:autoSpaceDE w:val="0"/>
              <w:autoSpaceDN w:val="0"/>
              <w:adjustRightInd w:val="0"/>
              <w:jc w:val="center"/>
              <w:rPr>
                <w:b/>
                <w:bCs/>
              </w:rPr>
            </w:pPr>
            <w:r>
              <w:rPr>
                <w:b/>
                <w:bCs/>
              </w:rPr>
              <w:lastRenderedPageBreak/>
              <w:t>Ņ</w:t>
            </w:r>
            <w:r w:rsidRPr="00823410">
              <w:rPr>
                <w:b/>
                <w:bCs/>
              </w:rPr>
              <w:t>emts vērā.</w:t>
            </w:r>
          </w:p>
          <w:p w:rsidR="00E10421" w:rsidP="00CF3BE2" w:rsidRDefault="00E10421" w14:paraId="7ADC236A" w14:textId="77777777">
            <w:pPr>
              <w:autoSpaceDE w:val="0"/>
              <w:autoSpaceDN w:val="0"/>
              <w:adjustRightInd w:val="0"/>
              <w:jc w:val="both"/>
              <w:rPr>
                <w:b/>
                <w:bCs/>
              </w:rPr>
            </w:pPr>
          </w:p>
          <w:p w:rsidRPr="00823410" w:rsidR="00D0720F" w:rsidP="00CF3BE2" w:rsidRDefault="00D0720F" w14:paraId="25494E20" w14:textId="0333F21E">
            <w:pPr>
              <w:autoSpaceDE w:val="0"/>
              <w:autoSpaceDN w:val="0"/>
              <w:adjustRightInd w:val="0"/>
              <w:jc w:val="both"/>
              <w:rPr>
                <w:b/>
                <w:bCs/>
              </w:rPr>
            </w:pPr>
            <w:r w:rsidRPr="004C752A">
              <w:t xml:space="preserve">Precizēts </w:t>
            </w:r>
            <w:r>
              <w:t>P</w:t>
            </w:r>
            <w:r w:rsidRPr="004C752A">
              <w:t>rojekt</w:t>
            </w:r>
            <w:r w:rsidR="00E10421">
              <w:t>a nosaukums.</w:t>
            </w:r>
          </w:p>
        </w:tc>
        <w:tc>
          <w:tcPr>
            <w:tcW w:w="4278" w:type="dxa"/>
            <w:gridSpan w:val="3"/>
            <w:tcBorders>
              <w:top w:val="single" w:color="auto" w:sz="4" w:space="0"/>
              <w:left w:val="single" w:color="auto" w:sz="4" w:space="0"/>
              <w:bottom w:val="single" w:color="auto" w:sz="4" w:space="0"/>
            </w:tcBorders>
          </w:tcPr>
          <w:p w:rsidRPr="00823410" w:rsidR="00D0720F" w:rsidP="00E10421" w:rsidRDefault="00D0720F" w14:paraId="25494E21" w14:textId="4571C159">
            <w:pPr>
              <w:jc w:val="both"/>
              <w:rPr>
                <w:b/>
                <w:bCs/>
              </w:rPr>
            </w:pPr>
            <w:r>
              <w:rPr>
                <w:b/>
                <w:bCs/>
              </w:rPr>
              <w:t xml:space="preserve">Dzelzceļa savstarpējās </w:t>
            </w:r>
            <w:proofErr w:type="spellStart"/>
            <w:r>
              <w:rPr>
                <w:b/>
                <w:bCs/>
              </w:rPr>
              <w:t>izmantojamības</w:t>
            </w:r>
            <w:proofErr w:type="spellEnd"/>
            <w:r>
              <w:rPr>
                <w:b/>
                <w:bCs/>
              </w:rPr>
              <w:t xml:space="preserve"> noteikumi</w:t>
            </w:r>
          </w:p>
        </w:tc>
      </w:tr>
      <w:tr w:rsidRPr="00823410" w:rsidR="00D0720F" w14:paraId="25494E28"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23" w14:textId="77777777">
            <w:pPr>
              <w:ind w:left="8"/>
              <w:jc w:val="both"/>
            </w:pPr>
            <w:r w:rsidRPr="00EF34ED">
              <w:t>2.</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E24" w14:textId="77777777">
            <w:pPr>
              <w:jc w:val="both"/>
            </w:pPr>
            <w:r w:rsidRPr="00BA3022">
              <w:t>1.1. prasības</w:t>
            </w:r>
            <w:r>
              <w:t xml:space="preserve"> (1.</w:t>
            </w:r>
            <w:r w:rsidRPr="00BA3022">
              <w:t xml:space="preserve">pielikums), kurām atbilst Eiropas Savienības dzelzceļa sistēma, apakšsistēmas un savstarpējas </w:t>
            </w:r>
            <w:proofErr w:type="spellStart"/>
            <w:r w:rsidRPr="00BA3022">
              <w:t>izmantojamības</w:t>
            </w:r>
            <w:proofErr w:type="spellEnd"/>
            <w:r w:rsidRPr="00BE5B8A">
              <w:t xml:space="preserve"> komponenti, tostarp </w:t>
            </w:r>
            <w:proofErr w:type="spellStart"/>
            <w:r w:rsidRPr="00BE5B8A">
              <w:t>saskarnes</w:t>
            </w:r>
            <w:proofErr w:type="spellEnd"/>
            <w:r>
              <w:t xml:space="preserve"> (turpmāk </w:t>
            </w:r>
            <w:r>
              <w:rPr>
                <w:color w:val="000000"/>
              </w:rPr>
              <w:t>–</w:t>
            </w:r>
            <w:r>
              <w:t xml:space="preserve"> pamatprasības).</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E25" w14:textId="77777777">
            <w:pPr>
              <w:ind w:firstLine="34"/>
              <w:jc w:val="both"/>
            </w:pPr>
            <w:r>
              <w:rPr>
                <w:color w:val="000000"/>
              </w:rPr>
              <w:t xml:space="preserve">2. </w:t>
            </w:r>
            <w:r w:rsidRPr="00E621A3">
              <w:rPr>
                <w:color w:val="000000"/>
              </w:rPr>
              <w:t xml:space="preserve">Lūdzam precizēt projekta 1.1.apakšpunktu, </w:t>
            </w:r>
            <w:r w:rsidRPr="00E621A3">
              <w:t xml:space="preserve">precīzi atspoguļojot likumdevēja doto pilnvarojumu Ministru kabinetam. </w:t>
            </w:r>
            <w:r w:rsidRPr="00E621A3">
              <w:rPr>
                <w:color w:val="000000"/>
              </w:rPr>
              <w:t>Proti, projekta 1.1.apakšpunktu nepieciešams precizēt atbilstoši Dzelzceļa likuma (turpmāk – Likums) 3.</w:t>
            </w:r>
            <w:r w:rsidRPr="00E621A3">
              <w:rPr>
                <w:color w:val="000000"/>
                <w:vertAlign w:val="superscript"/>
              </w:rPr>
              <w:t>1</w:t>
            </w:r>
            <w:r w:rsidRPr="00E621A3">
              <w:rPr>
                <w:color w:val="000000"/>
              </w:rPr>
              <w:t xml:space="preserve"> panta ceturtajā daļā noteiktajam, ka projektā var paredzēt nevis “prasības, kurām atbilst Eiropas Savienības dzelzceļa sistēma”, bet gan </w:t>
            </w:r>
            <w:r>
              <w:rPr>
                <w:color w:val="000000"/>
              </w:rPr>
              <w:t>,,</w:t>
            </w:r>
            <w:r w:rsidRPr="00E621A3">
              <w:rPr>
                <w:color w:val="000000"/>
              </w:rPr>
              <w:t>prasības Eiropas Savienības dzelzceļa sistēmai”.</w:t>
            </w:r>
          </w:p>
        </w:tc>
        <w:tc>
          <w:tcPr>
            <w:tcW w:w="1985" w:type="dxa"/>
            <w:gridSpan w:val="2"/>
            <w:tcBorders>
              <w:left w:val="single" w:color="000000" w:sz="6" w:space="0"/>
              <w:bottom w:val="single" w:color="auto" w:sz="4" w:space="0"/>
              <w:right w:val="single" w:color="000000" w:sz="6" w:space="0"/>
            </w:tcBorders>
          </w:tcPr>
          <w:p w:rsidRPr="00823410" w:rsidR="00D0720F" w:rsidP="000913CE" w:rsidRDefault="00D0720F" w14:paraId="25494E26" w14:textId="4F8C66A5">
            <w:pPr>
              <w:jc w:val="center"/>
              <w:rPr>
                <w:b/>
                <w:bCs/>
              </w:rPr>
            </w:pPr>
            <w:r>
              <w:rPr>
                <w:b/>
                <w:bCs/>
              </w:rPr>
              <w:t>Ņ</w:t>
            </w:r>
            <w:r w:rsidRPr="00823410">
              <w:rPr>
                <w:b/>
                <w:bCs/>
              </w:rPr>
              <w:t>emts vērā.</w:t>
            </w: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E27" w14:textId="77777777">
            <w:pPr>
              <w:ind w:right="57"/>
              <w:jc w:val="both"/>
            </w:pPr>
            <w:r w:rsidRPr="00BA3022">
              <w:t>1.1</w:t>
            </w:r>
            <w:r w:rsidRPr="00980166">
              <w:t xml:space="preserve">. </w:t>
            </w:r>
            <w:r w:rsidRPr="00242AC5">
              <w:rPr>
                <w:shd w:val="clear" w:color="auto" w:fill="FFFFFF"/>
              </w:rPr>
              <w:t xml:space="preserve">pamatprasības (1.pielikums) Eiropas Savienības dzelzceļa sistēmai, apakšsistēmām un savstarpējas </w:t>
            </w:r>
            <w:proofErr w:type="spellStart"/>
            <w:r w:rsidRPr="00242AC5">
              <w:rPr>
                <w:shd w:val="clear" w:color="auto" w:fill="FFFFFF"/>
              </w:rPr>
              <w:t>izmantojamības</w:t>
            </w:r>
            <w:proofErr w:type="spellEnd"/>
            <w:r w:rsidRPr="00242AC5">
              <w:rPr>
                <w:shd w:val="clear" w:color="auto" w:fill="FFFFFF"/>
              </w:rPr>
              <w:t xml:space="preserve"> komponentiem, tostarp </w:t>
            </w:r>
            <w:proofErr w:type="spellStart"/>
            <w:r w:rsidRPr="00242AC5">
              <w:rPr>
                <w:shd w:val="clear" w:color="auto" w:fill="FFFFFF"/>
              </w:rPr>
              <w:t>saskarnēm</w:t>
            </w:r>
            <w:proofErr w:type="spellEnd"/>
            <w:r w:rsidRPr="00242AC5">
              <w:rPr>
                <w:shd w:val="clear" w:color="auto" w:fill="FFFFFF"/>
              </w:rPr>
              <w:t>, (turpmāk — pamatprasības)</w:t>
            </w:r>
            <w:r w:rsidRPr="00242AC5">
              <w:t>.</w:t>
            </w:r>
          </w:p>
        </w:tc>
      </w:tr>
      <w:tr w:rsidRPr="00823410" w:rsidR="00D0720F" w14:paraId="25494E38"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29" w14:textId="77777777">
            <w:pPr>
              <w:ind w:left="8"/>
              <w:jc w:val="both"/>
            </w:pPr>
            <w:r w:rsidRPr="00EF34ED">
              <w:t>3.</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E2A" w14:textId="77777777">
            <w:pPr>
              <w:jc w:val="both"/>
            </w:pPr>
            <w:r>
              <w:t>1.5.</w:t>
            </w:r>
            <w:r w:rsidRPr="00BE5B8A">
              <w:t xml:space="preserve"> kārtību, kādā </w:t>
            </w:r>
            <w:r>
              <w:t>Inspekcija</w:t>
            </w:r>
            <w:r w:rsidRPr="00BE5B8A">
              <w:t xml:space="preserve"> piešķir atļaujas nodot ekspluatācijā stacionārās iekārtas;</w:t>
            </w:r>
          </w:p>
        </w:tc>
        <w:tc>
          <w:tcPr>
            <w:tcW w:w="3969" w:type="dxa"/>
            <w:gridSpan w:val="2"/>
            <w:tcBorders>
              <w:left w:val="single" w:color="000000" w:sz="6" w:space="0"/>
              <w:bottom w:val="single" w:color="auto" w:sz="4" w:space="0"/>
              <w:right w:val="single" w:color="000000" w:sz="6" w:space="0"/>
            </w:tcBorders>
          </w:tcPr>
          <w:p w:rsidRPr="004B1C15" w:rsidR="00D0720F" w:rsidP="00CC135B" w:rsidRDefault="00D0720F" w14:paraId="25494E2B" w14:textId="77777777">
            <w:pPr>
              <w:ind w:firstLine="34"/>
              <w:jc w:val="both"/>
              <w:rPr>
                <w:b/>
                <w:bCs/>
              </w:rPr>
            </w:pPr>
            <w:r>
              <w:rPr>
                <w:color w:val="000000"/>
              </w:rPr>
              <w:t>3. Lūdzam precizēt projekta 1.5.</w:t>
            </w:r>
            <w:r w:rsidRPr="00E621A3">
              <w:rPr>
                <w:color w:val="000000"/>
              </w:rPr>
              <w:t>apakšpunktu atbilstoši Likuma 43.</w:t>
            </w:r>
            <w:r w:rsidRPr="00E621A3">
              <w:rPr>
                <w:color w:val="000000"/>
                <w:vertAlign w:val="superscript"/>
              </w:rPr>
              <w:t>4</w:t>
            </w:r>
            <w:r w:rsidRPr="00E621A3">
              <w:rPr>
                <w:color w:val="000000"/>
              </w:rPr>
              <w:t xml:space="preserve"> panta trešajā daļā noteiktajam. Likuma pilnvarojums paredz noteikt ne tikai kārtību, kādā inspekcija piešķir (izsniedz) atļaujas nodot ekspluatācijā stacionārās iekārtas, bet arī kārtību, kādā inspekcija aptur un atsauc šīs atļaujas. Vēršam uzmanību, ka Ministru kabinetam ar projektā paredzētajiem noteikumiem nepieciešams izpildīt visu likumā noteikto pilnvarojumu un, piemēram, projekta VI nodaļā veidot atbilstošu </w:t>
            </w:r>
            <w:r w:rsidRPr="00E621A3">
              <w:rPr>
                <w:color w:val="000000"/>
              </w:rPr>
              <w:lastRenderedPageBreak/>
              <w:t>regulējumu vai arī projekta anotācijas IV sadaļā sniegt izvērstu informāciju par normatīvo aktu, ar kuru likuma pilnvarojums tiks izpildīts.</w:t>
            </w:r>
          </w:p>
        </w:tc>
        <w:tc>
          <w:tcPr>
            <w:tcW w:w="1985" w:type="dxa"/>
            <w:gridSpan w:val="2"/>
            <w:tcBorders>
              <w:left w:val="single" w:color="000000" w:sz="6" w:space="0"/>
              <w:bottom w:val="single" w:color="auto" w:sz="4" w:space="0"/>
              <w:right w:val="single" w:color="000000" w:sz="6" w:space="0"/>
            </w:tcBorders>
          </w:tcPr>
          <w:p w:rsidRPr="00823410" w:rsidR="00D0720F" w:rsidP="00E10421" w:rsidRDefault="00D0720F" w14:paraId="25494E2C" w14:textId="6B6179CA">
            <w:pPr>
              <w:autoSpaceDE w:val="0"/>
              <w:autoSpaceDN w:val="0"/>
              <w:adjustRightInd w:val="0"/>
              <w:jc w:val="center"/>
              <w:rPr>
                <w:b/>
                <w:bCs/>
              </w:rPr>
            </w:pPr>
            <w:r>
              <w:rPr>
                <w:b/>
                <w:bCs/>
              </w:rPr>
              <w:lastRenderedPageBreak/>
              <w:t>Ņ</w:t>
            </w:r>
            <w:r w:rsidRPr="00823410">
              <w:rPr>
                <w:b/>
                <w:bCs/>
              </w:rPr>
              <w:t>emts vērā.</w:t>
            </w:r>
          </w:p>
          <w:p w:rsidRPr="00823410" w:rsidR="00D0720F" w:rsidP="00CC135B" w:rsidRDefault="00D0720F" w14:paraId="25494E2D" w14:textId="77777777">
            <w:pPr>
              <w:autoSpaceDE w:val="0"/>
              <w:autoSpaceDN w:val="0"/>
              <w:adjustRightInd w:val="0"/>
              <w:jc w:val="both"/>
              <w:rPr>
                <w:b/>
                <w:bCs/>
              </w:rPr>
            </w:pPr>
          </w:p>
        </w:tc>
        <w:tc>
          <w:tcPr>
            <w:tcW w:w="4278" w:type="dxa"/>
            <w:gridSpan w:val="3"/>
            <w:tcBorders>
              <w:top w:val="single" w:color="auto" w:sz="4" w:space="0"/>
              <w:left w:val="single" w:color="auto" w:sz="4" w:space="0"/>
              <w:bottom w:val="single" w:color="auto" w:sz="4" w:space="0"/>
            </w:tcBorders>
          </w:tcPr>
          <w:p w:rsidRPr="00242AC5" w:rsidR="00D0720F" w:rsidP="00CF3BE2" w:rsidRDefault="00D0720F" w14:paraId="25494E2E" w14:textId="77777777">
            <w:pPr>
              <w:ind w:right="57"/>
              <w:jc w:val="both"/>
            </w:pPr>
            <w:r>
              <w:t>1.5.</w:t>
            </w:r>
            <w:r w:rsidRPr="00BE5B8A">
              <w:t xml:space="preserve"> </w:t>
            </w:r>
            <w:r w:rsidRPr="00242AC5">
              <w:t>kārtību, kādā Inspekcija izsniedz, aptur un atsauc atļaujas nodot ekspluatācijā stacionārās iekārtas;</w:t>
            </w:r>
          </w:p>
          <w:p w:rsidR="00D0720F" w:rsidP="00CF3BE2" w:rsidRDefault="00D0720F" w14:paraId="25494E2F" w14:textId="77777777">
            <w:pPr>
              <w:ind w:right="57"/>
              <w:jc w:val="both"/>
              <w:rPr>
                <w:b/>
                <w:bCs/>
              </w:rPr>
            </w:pPr>
          </w:p>
          <w:p w:rsidRPr="00242AC5" w:rsidR="00D0720F" w:rsidP="00CF3BE2" w:rsidRDefault="00D0720F" w14:paraId="25494E30" w14:textId="77777777">
            <w:pPr>
              <w:ind w:right="57"/>
              <w:jc w:val="both"/>
            </w:pPr>
            <w:r w:rsidRPr="00242AC5">
              <w:t>112.</w:t>
            </w:r>
            <w:r>
              <w:t xml:space="preserve"> </w:t>
            </w:r>
            <w:r w:rsidRPr="007D0262">
              <w:t xml:space="preserve">Ja, veicot uzraudzību atbilstoši Dzelzceļa likuma prasībām, stacionārās iekārtas ekspluatācijas laikā Inspekcija konstatē, ka stacionārā iekārta neatbilst šo noteikumu prasībām, tostarp </w:t>
            </w:r>
            <w:r w:rsidRPr="00242AC5">
              <w:t xml:space="preserve">pamatprasībām, tā vienojas ar atļaujas turētāju par neatbilstību novēršanas plānu. Ja Inspekcija uzraudzības laikā konstatē drošības apdraudējumu, tā  piemēro pagaidu drošības pasākumus, </w:t>
            </w:r>
            <w:r w:rsidRPr="00242AC5">
              <w:lastRenderedPageBreak/>
              <w:t>tostarp aizliedz stacionārās iekārtas vai tās daļas ekspluatāciju.</w:t>
            </w:r>
          </w:p>
          <w:p w:rsidRPr="00242AC5" w:rsidR="00D0720F" w:rsidP="00CF3BE2" w:rsidRDefault="00D0720F" w14:paraId="25494E31" w14:textId="77777777">
            <w:pPr>
              <w:ind w:right="57"/>
              <w:jc w:val="both"/>
            </w:pPr>
          </w:p>
          <w:p w:rsidRPr="00242AC5" w:rsidR="00D0720F" w:rsidP="00CF3BE2" w:rsidRDefault="00D0720F" w14:paraId="25494E32" w14:textId="77777777">
            <w:pPr>
              <w:ind w:right="57"/>
              <w:jc w:val="both"/>
            </w:pPr>
            <w:r w:rsidRPr="00242AC5">
              <w:t>113. Lēmumu apturēt atļauju nodot ekspluatācijā stacionārās iekārtas Inspekcija pieņem, ja atļaujas turētājs viena mēneša laikā pēc neatbilstību novēršanas plānā noteiktā termiņa nav novērsis šo noteikumu 112.punktā minētās neatbilstības un stacionārā iekārta neatbilst šo noteikumu prasībām, tostarp pamatprasībām.</w:t>
            </w:r>
          </w:p>
          <w:p w:rsidRPr="00242AC5" w:rsidR="00D0720F" w:rsidP="00CF3BE2" w:rsidRDefault="00D0720F" w14:paraId="25494E33" w14:textId="77777777">
            <w:pPr>
              <w:ind w:right="57"/>
              <w:jc w:val="both"/>
            </w:pPr>
          </w:p>
          <w:p w:rsidRPr="00242AC5" w:rsidR="00D0720F" w:rsidP="00CF3BE2" w:rsidRDefault="00D0720F" w14:paraId="25494E34" w14:textId="77777777">
            <w:pPr>
              <w:jc w:val="both"/>
            </w:pPr>
            <w:r w:rsidRPr="00242AC5">
              <w:t>114. Lēmumu atsaukt atļauju nodot ekspluatācijā stacionārās iekārtas Inspekcija pieņem, ja atļaujas turētājs:</w:t>
            </w:r>
          </w:p>
          <w:p w:rsidRPr="00242AC5" w:rsidR="00D0720F" w:rsidP="00CF3BE2" w:rsidRDefault="00D0720F" w14:paraId="25494E35" w14:textId="77777777">
            <w:pPr>
              <w:jc w:val="both"/>
            </w:pPr>
            <w:r w:rsidRPr="00242AC5">
              <w:t>114.1. sniedzis nepatiesas ziņas vai slēpis ar dzelzceļa satiksmes drošību saistītu informāciju;</w:t>
            </w:r>
          </w:p>
          <w:p w:rsidRPr="00242AC5" w:rsidR="00D0720F" w:rsidP="00CF3BE2" w:rsidRDefault="00D0720F" w14:paraId="25494E36" w14:textId="77777777">
            <w:pPr>
              <w:jc w:val="both"/>
            </w:pPr>
            <w:r w:rsidRPr="00242AC5">
              <w:t>114.2. pagaidu drošības pasākumu piemērošanas laikā ir veicis darbības, kuru veikšana ir ierobežota vai aizliegta;</w:t>
            </w:r>
          </w:p>
          <w:p w:rsidRPr="00823410" w:rsidR="00D0720F" w:rsidP="007018BA" w:rsidRDefault="00D0720F" w14:paraId="25494E37" w14:textId="77777777">
            <w:pPr>
              <w:ind w:right="57"/>
              <w:jc w:val="both"/>
            </w:pPr>
            <w:r w:rsidRPr="00242AC5">
              <w:t>114.3. trīs mēnešu laikā no pagaidu drošības pasākumu piemērošanas brīža nav veicis darbības to atcelšanai.</w:t>
            </w:r>
          </w:p>
        </w:tc>
      </w:tr>
      <w:tr w:rsidRPr="00823410" w:rsidR="00D0720F" w14:paraId="25494E45"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39" w14:textId="77777777">
            <w:pPr>
              <w:ind w:left="360" w:hanging="360"/>
              <w:jc w:val="both"/>
            </w:pPr>
            <w:r w:rsidRPr="00EF34ED">
              <w:lastRenderedPageBreak/>
              <w:t>4.</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E3A" w14:textId="77777777">
            <w:pPr>
              <w:jc w:val="both"/>
            </w:pPr>
            <w:r>
              <w:t>1.7.</w:t>
            </w:r>
            <w:r w:rsidRPr="00BE5B8A">
              <w:t xml:space="preserve"> kārtību, kādā </w:t>
            </w:r>
            <w:r>
              <w:t>Inspekcija</w:t>
            </w:r>
            <w:r w:rsidRPr="00BE5B8A">
              <w:t xml:space="preserve"> izsniedz atļaujas 1520 mm sliežu ceļa platuma kravas vagonu un pasažieru vagonu laišanai tirgū, ja </w:t>
            </w:r>
            <w:proofErr w:type="spellStart"/>
            <w:r w:rsidRPr="00BE5B8A">
              <w:t>ritekļa</w:t>
            </w:r>
            <w:proofErr w:type="spellEnd"/>
            <w:r w:rsidRPr="00BE5B8A">
              <w:t xml:space="preserve"> turētājs ir Latvijas fiziska vai juridiska persona, un </w:t>
            </w:r>
            <w:proofErr w:type="spellStart"/>
            <w:r w:rsidRPr="00BE5B8A">
              <w:t>ritekļi</w:t>
            </w:r>
            <w:proofErr w:type="spellEnd"/>
            <w:r w:rsidRPr="00BE5B8A">
              <w:t xml:space="preserve"> tiek lietoti kopīgi ar trešajām valstīm un attiecībā uz kuriem izsniegta </w:t>
            </w:r>
            <w:proofErr w:type="spellStart"/>
            <w:r w:rsidRPr="00BE5B8A">
              <w:t>ritekļa</w:t>
            </w:r>
            <w:proofErr w:type="spellEnd"/>
            <w:r w:rsidRPr="00BE5B8A">
              <w:t xml:space="preserve"> atļauja kādā no šīm trešajām </w:t>
            </w:r>
            <w:r w:rsidRPr="00BE5B8A">
              <w:lastRenderedPageBreak/>
              <w:t>valstīm</w:t>
            </w:r>
            <w:r>
              <w:t xml:space="preserve"> (turpmāk – 1520 mm sliežu ceļa platuma vagoni)</w:t>
            </w:r>
            <w:r>
              <w:rPr>
                <w:color w:val="000000"/>
              </w:rPr>
              <w:t>.</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E3B" w14:textId="77777777">
            <w:pPr>
              <w:ind w:firstLine="34"/>
              <w:jc w:val="both"/>
            </w:pPr>
            <w:r>
              <w:rPr>
                <w:color w:val="000000"/>
              </w:rPr>
              <w:lastRenderedPageBreak/>
              <w:t xml:space="preserve">4. </w:t>
            </w:r>
            <w:r w:rsidRPr="00E621A3">
              <w:rPr>
                <w:color w:val="000000"/>
              </w:rPr>
              <w:t>Lūdzam precizēt projekta 1.7.apakšpunktu atbilstoši Likuma 43.</w:t>
            </w:r>
            <w:r w:rsidRPr="00E621A3">
              <w:rPr>
                <w:color w:val="000000"/>
                <w:vertAlign w:val="superscript"/>
              </w:rPr>
              <w:t>5</w:t>
            </w:r>
            <w:r w:rsidRPr="00E621A3">
              <w:rPr>
                <w:color w:val="000000"/>
              </w:rPr>
              <w:t xml:space="preserve"> panta 17.daļā noteiktajam. Minētā Likuma norma paredz pilnvarojumu noteikt ne tikai kārtību, kādā inspekcija piešķir (izsniedz) atļaujas 1520 mm sliežu ceļa platuma kravas vagonu un pasažieru vagonu laišanai tirgū, bet arī kārtību, kādā inspekcija </w:t>
            </w:r>
            <w:r w:rsidRPr="00E621A3">
              <w:rPr>
                <w:color w:val="000000"/>
              </w:rPr>
              <w:lastRenderedPageBreak/>
              <w:t>aptur, atjauno, groza vai atsauc šīs atļaujas. Vēršam uzmanību, ka Ministru kabinetam ar projektā paredzētajiem noteikumiem nepieciešams izpildīt visu likumā noteikto pilnvarojumu un, piemēram, projekta VIII nodaļā veidot atbilstošu regulējumu vai arī projekta anotācijas IV sadaļā sniegt izvērstu informāciju par normatīvo aktu, ar kuru likuma pilnvarojums tiks pārņemts.</w:t>
            </w:r>
          </w:p>
        </w:tc>
        <w:tc>
          <w:tcPr>
            <w:tcW w:w="1985" w:type="dxa"/>
            <w:gridSpan w:val="2"/>
            <w:tcBorders>
              <w:left w:val="single" w:color="000000" w:sz="6" w:space="0"/>
              <w:bottom w:val="single" w:color="auto" w:sz="4" w:space="0"/>
              <w:right w:val="single" w:color="000000" w:sz="6" w:space="0"/>
            </w:tcBorders>
          </w:tcPr>
          <w:p w:rsidRPr="004E4592" w:rsidR="00D0720F" w:rsidP="00E10421" w:rsidRDefault="00D0720F" w14:paraId="25494E3C" w14:textId="7695C989">
            <w:pPr>
              <w:autoSpaceDE w:val="0"/>
              <w:autoSpaceDN w:val="0"/>
              <w:adjustRightInd w:val="0"/>
              <w:jc w:val="center"/>
              <w:rPr>
                <w:b/>
                <w:bCs/>
              </w:rPr>
            </w:pPr>
            <w:r w:rsidRPr="004E4592">
              <w:rPr>
                <w:b/>
                <w:bCs/>
              </w:rPr>
              <w:lastRenderedPageBreak/>
              <w:t>Ņemts vērā.</w:t>
            </w:r>
          </w:p>
          <w:p w:rsidRPr="00764CB3" w:rsidR="00D0720F" w:rsidP="00CC135B" w:rsidRDefault="00D0720F" w14:paraId="25494E3D" w14:textId="77777777">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Pr="00242AC5" w:rsidR="00D0720F" w:rsidP="00A2595D" w:rsidRDefault="00D0720F" w14:paraId="25494E3E" w14:textId="77777777">
            <w:pPr>
              <w:ind w:right="57"/>
              <w:jc w:val="both"/>
              <w:rPr>
                <w:color w:val="000000"/>
              </w:rPr>
            </w:pPr>
            <w:r w:rsidRPr="00242AC5">
              <w:t>1.7. kārtību, kādā Inspekcija izdod, aptur, atjauno, groza vai atsauc atļauju 1520 mm sliežu ceļa platuma kravas vagonu un pasažieru vagonu laišanai tirgū (turpmāk – 1520 mm sliežu ceļa platuma vagoni)</w:t>
            </w:r>
            <w:r w:rsidRPr="00242AC5">
              <w:rPr>
                <w:color w:val="000000"/>
              </w:rPr>
              <w:t>.</w:t>
            </w:r>
          </w:p>
          <w:p w:rsidRPr="00242AC5" w:rsidR="00D0720F" w:rsidP="00A2595D" w:rsidRDefault="00D0720F" w14:paraId="25494E3F" w14:textId="77777777">
            <w:pPr>
              <w:ind w:right="57"/>
              <w:jc w:val="both"/>
              <w:rPr>
                <w:color w:val="000000"/>
              </w:rPr>
            </w:pPr>
          </w:p>
          <w:p w:rsidRPr="00242AC5" w:rsidR="00D0720F" w:rsidP="00A2595D" w:rsidRDefault="00D0720F" w14:paraId="25494E40" w14:textId="77777777">
            <w:pPr>
              <w:ind w:right="57"/>
              <w:jc w:val="both"/>
            </w:pPr>
            <w:r w:rsidRPr="00242AC5">
              <w:t xml:space="preserve">141. Ja grozījumi tieši piemērojamos Eiropas Savienības tiesību aktos vai </w:t>
            </w:r>
            <w:r w:rsidRPr="00242AC5">
              <w:lastRenderedPageBreak/>
              <w:t>nacionālajās prasībās maina 1520 mm sliežu ceļa platuma vagona tipa atļauju laišanai tirgū izdošanas nosacījumus, pēc Inspekcijas pieprasījuma atļaujas turētājs iesniedz iesniegumu atļaujas atjaunošanai, pievienojot dokumentus, kuri apliecina izmaiņu ietekmes ievērošanu. Inspekcija novērtē tikai šo izmaiņu ietekmi uz atļauju 1520 mm sliežu ceļa platuma vagona tipa laišanai tirgū.</w:t>
            </w:r>
          </w:p>
          <w:p w:rsidRPr="00242AC5" w:rsidR="00D0720F" w:rsidP="00A2595D" w:rsidRDefault="00D0720F" w14:paraId="25494E41" w14:textId="77777777">
            <w:pPr>
              <w:ind w:right="57"/>
              <w:jc w:val="both"/>
            </w:pPr>
          </w:p>
          <w:p w:rsidRPr="00242AC5" w:rsidR="00D0720F" w:rsidP="00A2595D" w:rsidRDefault="00D0720F" w14:paraId="25494E42" w14:textId="77777777">
            <w:pPr>
              <w:ind w:right="57"/>
              <w:jc w:val="both"/>
            </w:pPr>
            <w:r w:rsidRPr="00242AC5">
              <w:t xml:space="preserve">143. Ja veicot uzraudzību atbilstoši Dzelzceļa likuma prasībām, </w:t>
            </w:r>
            <w:proofErr w:type="spellStart"/>
            <w:r w:rsidRPr="00242AC5">
              <w:t>ritekļa</w:t>
            </w:r>
            <w:proofErr w:type="spellEnd"/>
            <w:r w:rsidRPr="00242AC5">
              <w:t xml:space="preserve"> ekspluatācijas laikā Inspekcija konstatē, ka </w:t>
            </w:r>
            <w:proofErr w:type="spellStart"/>
            <w:r w:rsidRPr="00242AC5">
              <w:t>riteklis</w:t>
            </w:r>
            <w:proofErr w:type="spellEnd"/>
            <w:r w:rsidRPr="00242AC5">
              <w:t xml:space="preserve"> vai </w:t>
            </w:r>
            <w:proofErr w:type="spellStart"/>
            <w:r w:rsidRPr="00242AC5">
              <w:t>ritekļa</w:t>
            </w:r>
            <w:proofErr w:type="spellEnd"/>
            <w:r w:rsidRPr="00242AC5">
              <w:t xml:space="preserve"> tips neatbilst kādai no piemērojamām pamatprasībām, Inspekcija piemēro pagaidu drošības pasākumus, tostarp ierobežo vai aizliedz </w:t>
            </w:r>
            <w:proofErr w:type="spellStart"/>
            <w:r w:rsidRPr="00242AC5">
              <w:t>ritekļa</w:t>
            </w:r>
            <w:proofErr w:type="spellEnd"/>
            <w:r w:rsidRPr="00242AC5">
              <w:t xml:space="preserve"> vai </w:t>
            </w:r>
            <w:proofErr w:type="spellStart"/>
            <w:r w:rsidRPr="00242AC5">
              <w:t>ritekļa</w:t>
            </w:r>
            <w:proofErr w:type="spellEnd"/>
            <w:r w:rsidRPr="00242AC5">
              <w:t xml:space="preserve"> tipa izmantošanu.</w:t>
            </w:r>
          </w:p>
          <w:p w:rsidRPr="00242AC5" w:rsidR="00D0720F" w:rsidP="00A2595D" w:rsidRDefault="00D0720F" w14:paraId="25494E43" w14:textId="77777777">
            <w:pPr>
              <w:ind w:right="57"/>
              <w:jc w:val="both"/>
            </w:pPr>
          </w:p>
          <w:p w:rsidRPr="00242AC5" w:rsidR="00D0720F" w:rsidP="00287140" w:rsidRDefault="00D0720F" w14:paraId="25494E44" w14:textId="77777777">
            <w:pPr>
              <w:ind w:right="57"/>
              <w:jc w:val="both"/>
            </w:pPr>
            <w:r w:rsidRPr="00242AC5">
              <w:t xml:space="preserve">144. Atļauju 1520 mm sliežu ceļa platuma vagona tipa laišanai tirgū aptur, atsauc vai groza Regulas (ES) 2018/545 8.nodaļā noteiktajā kārtībā. Ja tiek apturēta, atsaukta vai grozīta atļauja 1520 mm sliežu ceļa platuma vagona tipa laišanai tirgū, vienlaicīgi tiek apturēta, atsaukta vai grozīta atļauja šim tipam atbilstoša </w:t>
            </w:r>
            <w:proofErr w:type="spellStart"/>
            <w:r w:rsidRPr="00242AC5">
              <w:t>ritekļa</w:t>
            </w:r>
            <w:proofErr w:type="spellEnd"/>
            <w:r w:rsidRPr="00242AC5">
              <w:t xml:space="preserve"> laišanai tirgū.</w:t>
            </w:r>
          </w:p>
        </w:tc>
      </w:tr>
      <w:tr w:rsidRPr="00823410" w:rsidR="00D0720F" w14:paraId="25494EEF"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46" w14:textId="77777777">
            <w:pPr>
              <w:ind w:left="360" w:hanging="352"/>
              <w:jc w:val="both"/>
            </w:pPr>
            <w:r w:rsidRPr="00EF34ED">
              <w:lastRenderedPageBreak/>
              <w:t>5.</w:t>
            </w:r>
          </w:p>
        </w:tc>
        <w:tc>
          <w:tcPr>
            <w:tcW w:w="3685" w:type="dxa"/>
            <w:gridSpan w:val="3"/>
            <w:tcBorders>
              <w:left w:val="single" w:color="000000" w:sz="6" w:space="0"/>
              <w:bottom w:val="single" w:color="auto" w:sz="4" w:space="0"/>
              <w:right w:val="single" w:color="000000" w:sz="6" w:space="0"/>
            </w:tcBorders>
          </w:tcPr>
          <w:p w:rsidR="00D0720F" w:rsidP="00CC135B" w:rsidRDefault="00D0720F" w14:paraId="25494E47" w14:textId="77777777">
            <w:pPr>
              <w:jc w:val="both"/>
              <w:rPr>
                <w:color w:val="000000"/>
              </w:rPr>
            </w:pPr>
            <w:r>
              <w:rPr>
                <w:color w:val="000000"/>
              </w:rPr>
              <w:t>2</w:t>
            </w:r>
            <w:r w:rsidDel="00104446">
              <w:rPr>
                <w:color w:val="000000"/>
              </w:rPr>
              <w:t xml:space="preserve">. </w:t>
            </w:r>
            <w:r w:rsidRPr="00326439" w:rsidDel="00104446">
              <w:rPr>
                <w:color w:val="000000"/>
              </w:rPr>
              <w:t>Sabiedrisko pakalpojumu sniedzēju iepirkumu likum</w:t>
            </w:r>
            <w:r w:rsidDel="00104446">
              <w:rPr>
                <w:color w:val="000000"/>
              </w:rPr>
              <w:t>a 23.pantā</w:t>
            </w:r>
            <w:r w:rsidRPr="00326439" w:rsidDel="00104446">
              <w:rPr>
                <w:color w:val="000000"/>
              </w:rPr>
              <w:t xml:space="preserve"> minētās tehniskās specifikācijas, kas ir </w:t>
            </w:r>
            <w:r>
              <w:rPr>
                <w:color w:val="000000"/>
              </w:rPr>
              <w:t>nepieciešamas</w:t>
            </w:r>
            <w:r w:rsidRPr="00326439" w:rsidDel="00104446">
              <w:rPr>
                <w:color w:val="000000"/>
              </w:rPr>
              <w:t xml:space="preserve"> </w:t>
            </w:r>
            <w:r w:rsidDel="00104446">
              <w:rPr>
                <w:color w:val="000000"/>
              </w:rPr>
              <w:lastRenderedPageBreak/>
              <w:t xml:space="preserve">Eiropas specifikāciju </w:t>
            </w:r>
            <w:r w:rsidRPr="00326439" w:rsidDel="00104446">
              <w:rPr>
                <w:color w:val="000000"/>
              </w:rPr>
              <w:t xml:space="preserve">vai citu </w:t>
            </w:r>
            <w:r w:rsidDel="00104446">
              <w:rPr>
                <w:color w:val="000000"/>
              </w:rPr>
              <w:t xml:space="preserve">Eiropas </w:t>
            </w:r>
            <w:r w:rsidRPr="00326439" w:rsidDel="00104446">
              <w:rPr>
                <w:color w:val="000000"/>
              </w:rPr>
              <w:t xml:space="preserve">Savienībā izmantojamo standartu papildināšanai, </w:t>
            </w:r>
            <w:r w:rsidDel="00104446">
              <w:rPr>
                <w:color w:val="000000"/>
              </w:rPr>
              <w:t xml:space="preserve">nedrīkst būt </w:t>
            </w:r>
            <w:r w:rsidRPr="00326439" w:rsidDel="00104446">
              <w:rPr>
                <w:color w:val="000000"/>
              </w:rPr>
              <w:t>pretrunā pamatprasībām.</w:t>
            </w:r>
          </w:p>
          <w:p w:rsidR="00D0720F" w:rsidP="00CC135B" w:rsidRDefault="00D0720F" w14:paraId="25494E48" w14:textId="77777777">
            <w:pPr>
              <w:jc w:val="both"/>
              <w:rPr>
                <w:color w:val="000000"/>
              </w:rPr>
            </w:pPr>
          </w:p>
          <w:p w:rsidR="00D0720F" w:rsidP="00CC135B" w:rsidRDefault="00D0720F" w14:paraId="25494E49" w14:textId="77777777">
            <w:pPr>
              <w:jc w:val="both"/>
              <w:rPr>
                <w:color w:val="000000"/>
              </w:rPr>
            </w:pPr>
          </w:p>
          <w:p w:rsidR="00D0720F" w:rsidP="00CC135B" w:rsidRDefault="00D0720F" w14:paraId="25494E4A" w14:textId="77777777">
            <w:pPr>
              <w:jc w:val="both"/>
              <w:rPr>
                <w:color w:val="000000"/>
              </w:rPr>
            </w:pPr>
          </w:p>
          <w:p w:rsidR="00D0720F" w:rsidP="00CC135B" w:rsidRDefault="00D0720F" w14:paraId="25494E4B" w14:textId="77777777">
            <w:pPr>
              <w:jc w:val="both"/>
              <w:rPr>
                <w:color w:val="000000"/>
              </w:rPr>
            </w:pPr>
          </w:p>
          <w:p w:rsidR="00D0720F" w:rsidP="00CC135B" w:rsidRDefault="00D0720F" w14:paraId="25494E4C" w14:textId="77777777">
            <w:pPr>
              <w:jc w:val="both"/>
              <w:rPr>
                <w:color w:val="000000"/>
              </w:rPr>
            </w:pPr>
          </w:p>
          <w:p w:rsidR="00D0720F" w:rsidP="00CC135B" w:rsidRDefault="00D0720F" w14:paraId="25494E4D" w14:textId="77777777">
            <w:pPr>
              <w:jc w:val="both"/>
              <w:rPr>
                <w:color w:val="000000"/>
              </w:rPr>
            </w:pPr>
          </w:p>
          <w:p w:rsidR="00D0720F" w:rsidP="00CC135B" w:rsidRDefault="00D0720F" w14:paraId="25494E4E" w14:textId="77777777">
            <w:pPr>
              <w:jc w:val="both"/>
              <w:rPr>
                <w:color w:val="000000"/>
              </w:rPr>
            </w:pPr>
          </w:p>
          <w:p w:rsidR="00D0720F" w:rsidP="00CC135B" w:rsidRDefault="00D0720F" w14:paraId="25494E4F" w14:textId="77777777">
            <w:pPr>
              <w:jc w:val="both"/>
              <w:rPr>
                <w:color w:val="000000"/>
              </w:rPr>
            </w:pPr>
          </w:p>
          <w:p w:rsidR="00D0720F" w:rsidP="00CC135B" w:rsidRDefault="00D0720F" w14:paraId="25494E50" w14:textId="77777777">
            <w:pPr>
              <w:jc w:val="both"/>
              <w:rPr>
                <w:color w:val="000000"/>
              </w:rPr>
            </w:pPr>
          </w:p>
          <w:p w:rsidR="00D0720F" w:rsidP="00CC135B" w:rsidRDefault="00D0720F" w14:paraId="25494E51" w14:textId="77777777">
            <w:pPr>
              <w:jc w:val="both"/>
              <w:rPr>
                <w:color w:val="000000"/>
              </w:rPr>
            </w:pPr>
          </w:p>
          <w:p w:rsidR="00D0720F" w:rsidP="00CC135B" w:rsidRDefault="00D0720F" w14:paraId="25494E52" w14:textId="77777777">
            <w:pPr>
              <w:jc w:val="both"/>
              <w:rPr>
                <w:color w:val="000000"/>
              </w:rPr>
            </w:pPr>
          </w:p>
          <w:p w:rsidR="00D0720F" w:rsidP="00CC135B" w:rsidRDefault="00D0720F" w14:paraId="25494E53" w14:textId="77777777">
            <w:pPr>
              <w:jc w:val="both"/>
              <w:rPr>
                <w:color w:val="000000"/>
              </w:rPr>
            </w:pPr>
          </w:p>
          <w:p w:rsidR="00D0720F" w:rsidP="00CC135B" w:rsidRDefault="00D0720F" w14:paraId="25494E54" w14:textId="77777777">
            <w:pPr>
              <w:jc w:val="both"/>
              <w:rPr>
                <w:color w:val="000000"/>
              </w:rPr>
            </w:pPr>
          </w:p>
          <w:p w:rsidR="00D0720F" w:rsidP="00CC135B" w:rsidRDefault="00D0720F" w14:paraId="25494E55" w14:textId="77777777">
            <w:pPr>
              <w:jc w:val="both"/>
              <w:rPr>
                <w:color w:val="000000"/>
              </w:rPr>
            </w:pPr>
          </w:p>
          <w:p w:rsidR="00D0720F" w:rsidP="00CC135B" w:rsidRDefault="00D0720F" w14:paraId="25494E56" w14:textId="77777777">
            <w:pPr>
              <w:jc w:val="both"/>
              <w:rPr>
                <w:color w:val="000000"/>
              </w:rPr>
            </w:pPr>
          </w:p>
          <w:p w:rsidR="00D0720F" w:rsidP="00CC135B" w:rsidRDefault="00D0720F" w14:paraId="25494E57" w14:textId="77777777">
            <w:pPr>
              <w:jc w:val="both"/>
              <w:rPr>
                <w:color w:val="000000"/>
              </w:rPr>
            </w:pPr>
          </w:p>
          <w:p w:rsidR="00D0720F" w:rsidP="00CC135B" w:rsidRDefault="00D0720F" w14:paraId="25494E58" w14:textId="77777777">
            <w:pPr>
              <w:jc w:val="both"/>
              <w:rPr>
                <w:color w:val="000000"/>
              </w:rPr>
            </w:pPr>
          </w:p>
          <w:p w:rsidR="00D0720F" w:rsidP="00CC135B" w:rsidRDefault="00D0720F" w14:paraId="25494E59" w14:textId="77777777">
            <w:pPr>
              <w:jc w:val="both"/>
              <w:rPr>
                <w:color w:val="000000"/>
              </w:rPr>
            </w:pPr>
          </w:p>
          <w:p w:rsidR="00D0720F" w:rsidP="00CC135B" w:rsidRDefault="00D0720F" w14:paraId="25494E5A" w14:textId="77777777">
            <w:pPr>
              <w:jc w:val="both"/>
              <w:rPr>
                <w:color w:val="000000"/>
              </w:rPr>
            </w:pPr>
          </w:p>
          <w:p w:rsidR="00D0720F" w:rsidP="00CC135B" w:rsidRDefault="00D0720F" w14:paraId="25494E5B" w14:textId="77777777">
            <w:pPr>
              <w:jc w:val="both"/>
              <w:rPr>
                <w:color w:val="000000"/>
              </w:rPr>
            </w:pPr>
          </w:p>
          <w:p w:rsidR="00D0720F" w:rsidP="00CC135B" w:rsidRDefault="00D0720F" w14:paraId="25494E5C" w14:textId="77777777">
            <w:pPr>
              <w:jc w:val="both"/>
              <w:rPr>
                <w:color w:val="000000"/>
              </w:rPr>
            </w:pPr>
          </w:p>
          <w:p w:rsidR="00D0720F" w:rsidP="00CC135B" w:rsidRDefault="00D0720F" w14:paraId="25494E5D" w14:textId="77777777">
            <w:pPr>
              <w:jc w:val="both"/>
              <w:rPr>
                <w:color w:val="000000"/>
              </w:rPr>
            </w:pPr>
          </w:p>
          <w:p w:rsidR="00D0720F" w:rsidP="00CC135B" w:rsidRDefault="00D0720F" w14:paraId="25494E5E" w14:textId="77777777">
            <w:pPr>
              <w:jc w:val="both"/>
              <w:rPr>
                <w:color w:val="000000"/>
              </w:rPr>
            </w:pPr>
          </w:p>
          <w:p w:rsidR="00D0720F" w:rsidP="00CC135B" w:rsidRDefault="00D0720F" w14:paraId="25494E5F" w14:textId="77777777">
            <w:pPr>
              <w:jc w:val="both"/>
              <w:rPr>
                <w:color w:val="000000"/>
              </w:rPr>
            </w:pPr>
          </w:p>
          <w:p w:rsidR="00D0720F" w:rsidP="00CC135B" w:rsidRDefault="00D0720F" w14:paraId="25494E60" w14:textId="77777777">
            <w:pPr>
              <w:jc w:val="both"/>
              <w:rPr>
                <w:color w:val="000000"/>
              </w:rPr>
            </w:pPr>
          </w:p>
          <w:p w:rsidR="00D0720F" w:rsidP="00CC135B" w:rsidRDefault="00D0720F" w14:paraId="25494E61" w14:textId="77777777">
            <w:pPr>
              <w:jc w:val="both"/>
              <w:rPr>
                <w:color w:val="000000"/>
              </w:rPr>
            </w:pPr>
          </w:p>
          <w:p w:rsidR="00D0720F" w:rsidP="00CC135B" w:rsidRDefault="00D0720F" w14:paraId="25494E62" w14:textId="77777777">
            <w:pPr>
              <w:jc w:val="both"/>
              <w:rPr>
                <w:color w:val="000000"/>
              </w:rPr>
            </w:pPr>
          </w:p>
          <w:p w:rsidR="00D0720F" w:rsidP="00CC135B" w:rsidRDefault="00D0720F" w14:paraId="25494E63" w14:textId="77777777">
            <w:pPr>
              <w:jc w:val="both"/>
              <w:rPr>
                <w:color w:val="000000"/>
              </w:rPr>
            </w:pPr>
          </w:p>
          <w:p w:rsidR="00D0720F" w:rsidP="00CC135B" w:rsidRDefault="00D0720F" w14:paraId="25494E64" w14:textId="77777777">
            <w:pPr>
              <w:jc w:val="both"/>
              <w:rPr>
                <w:color w:val="000000"/>
              </w:rPr>
            </w:pPr>
          </w:p>
          <w:p w:rsidR="00D0720F" w:rsidP="00CC135B" w:rsidRDefault="00D0720F" w14:paraId="25494E65" w14:textId="77777777">
            <w:pPr>
              <w:jc w:val="both"/>
              <w:rPr>
                <w:color w:val="000000"/>
              </w:rPr>
            </w:pPr>
          </w:p>
          <w:p w:rsidR="00D0720F" w:rsidP="00CC135B" w:rsidRDefault="00D0720F" w14:paraId="25494E66" w14:textId="77777777">
            <w:pPr>
              <w:jc w:val="both"/>
              <w:rPr>
                <w:color w:val="000000"/>
              </w:rPr>
            </w:pPr>
          </w:p>
          <w:p w:rsidR="00D0720F" w:rsidP="00CC135B" w:rsidRDefault="00D0720F" w14:paraId="25494E67" w14:textId="77777777">
            <w:pPr>
              <w:jc w:val="both"/>
              <w:rPr>
                <w:color w:val="000000"/>
              </w:rPr>
            </w:pPr>
          </w:p>
          <w:p w:rsidR="00D0720F" w:rsidP="00CC135B" w:rsidRDefault="00D0720F" w14:paraId="25494E68" w14:textId="77777777">
            <w:pPr>
              <w:jc w:val="both"/>
              <w:rPr>
                <w:color w:val="000000"/>
              </w:rPr>
            </w:pPr>
          </w:p>
          <w:p w:rsidR="00D0720F" w:rsidP="00CC135B" w:rsidRDefault="00D0720F" w14:paraId="25494E69" w14:textId="77777777">
            <w:pPr>
              <w:jc w:val="both"/>
              <w:rPr>
                <w:color w:val="000000"/>
              </w:rPr>
            </w:pPr>
          </w:p>
          <w:p w:rsidR="00D0720F" w:rsidP="00CC135B" w:rsidRDefault="00D0720F" w14:paraId="25494E6A" w14:textId="77777777">
            <w:pPr>
              <w:jc w:val="both"/>
              <w:rPr>
                <w:color w:val="000000"/>
              </w:rPr>
            </w:pPr>
          </w:p>
          <w:p w:rsidR="00D0720F" w:rsidP="00CC135B" w:rsidRDefault="00D0720F" w14:paraId="25494E6B" w14:textId="77777777">
            <w:pPr>
              <w:jc w:val="both"/>
              <w:rPr>
                <w:color w:val="000000"/>
              </w:rPr>
            </w:pPr>
          </w:p>
          <w:p w:rsidR="00D0720F" w:rsidP="00CC135B" w:rsidRDefault="00D0720F" w14:paraId="25494E6C" w14:textId="77777777">
            <w:pPr>
              <w:jc w:val="both"/>
              <w:rPr>
                <w:color w:val="000000"/>
              </w:rPr>
            </w:pPr>
          </w:p>
          <w:p w:rsidR="00D0720F" w:rsidP="00CC135B" w:rsidRDefault="00D0720F" w14:paraId="25494E6D" w14:textId="77777777">
            <w:pPr>
              <w:jc w:val="both"/>
              <w:rPr>
                <w:color w:val="000000"/>
              </w:rPr>
            </w:pPr>
          </w:p>
          <w:p w:rsidR="00D0720F" w:rsidP="00CC135B" w:rsidRDefault="00D0720F" w14:paraId="25494E6E" w14:textId="77777777">
            <w:pPr>
              <w:jc w:val="both"/>
              <w:rPr>
                <w:color w:val="000000"/>
              </w:rPr>
            </w:pPr>
          </w:p>
          <w:p w:rsidR="00D0720F" w:rsidP="00CC135B" w:rsidRDefault="00D0720F" w14:paraId="25494E6F" w14:textId="77777777">
            <w:pPr>
              <w:jc w:val="both"/>
              <w:rPr>
                <w:color w:val="000000"/>
              </w:rPr>
            </w:pPr>
          </w:p>
          <w:p w:rsidR="00D0720F" w:rsidP="00CC135B" w:rsidRDefault="00D0720F" w14:paraId="25494E70" w14:textId="77777777">
            <w:pPr>
              <w:jc w:val="both"/>
              <w:rPr>
                <w:color w:val="000000"/>
              </w:rPr>
            </w:pPr>
          </w:p>
          <w:p w:rsidR="00D0720F" w:rsidP="00CC135B" w:rsidRDefault="00D0720F" w14:paraId="25494E71" w14:textId="77777777">
            <w:pPr>
              <w:jc w:val="both"/>
              <w:rPr>
                <w:color w:val="000000"/>
              </w:rPr>
            </w:pPr>
          </w:p>
          <w:p w:rsidR="00D0720F" w:rsidP="00CC135B" w:rsidRDefault="00D0720F" w14:paraId="25494E72" w14:textId="77777777">
            <w:pPr>
              <w:jc w:val="both"/>
              <w:rPr>
                <w:color w:val="000000"/>
              </w:rPr>
            </w:pPr>
          </w:p>
          <w:p w:rsidR="00D0720F" w:rsidP="00CC135B" w:rsidRDefault="00D0720F" w14:paraId="25494E73" w14:textId="77777777">
            <w:pPr>
              <w:jc w:val="both"/>
              <w:rPr>
                <w:color w:val="000000"/>
              </w:rPr>
            </w:pPr>
          </w:p>
          <w:p w:rsidR="00D0720F" w:rsidP="00CC135B" w:rsidRDefault="00D0720F" w14:paraId="25494E74" w14:textId="77777777">
            <w:pPr>
              <w:jc w:val="both"/>
              <w:rPr>
                <w:color w:val="000000"/>
              </w:rPr>
            </w:pPr>
          </w:p>
          <w:p w:rsidR="00D0720F" w:rsidP="00CC135B" w:rsidRDefault="00D0720F" w14:paraId="25494E75" w14:textId="77777777">
            <w:pPr>
              <w:jc w:val="both"/>
              <w:rPr>
                <w:color w:val="000000"/>
              </w:rPr>
            </w:pPr>
          </w:p>
          <w:p w:rsidR="00D0720F" w:rsidP="00CC135B" w:rsidRDefault="00D0720F" w14:paraId="25494E76" w14:textId="77777777">
            <w:pPr>
              <w:jc w:val="both"/>
              <w:rPr>
                <w:color w:val="000000"/>
              </w:rPr>
            </w:pPr>
          </w:p>
          <w:p w:rsidR="00D0720F" w:rsidP="00CC135B" w:rsidRDefault="00D0720F" w14:paraId="25494E77" w14:textId="77777777">
            <w:pPr>
              <w:jc w:val="both"/>
              <w:rPr>
                <w:color w:val="000000"/>
              </w:rPr>
            </w:pPr>
          </w:p>
          <w:p w:rsidR="00D0720F" w:rsidP="00CC135B" w:rsidRDefault="00D0720F" w14:paraId="25494E78" w14:textId="77777777">
            <w:pPr>
              <w:jc w:val="both"/>
              <w:rPr>
                <w:color w:val="000000"/>
              </w:rPr>
            </w:pPr>
          </w:p>
          <w:p w:rsidR="00D0720F" w:rsidP="00CC135B" w:rsidRDefault="00D0720F" w14:paraId="25494E79" w14:textId="77777777">
            <w:pPr>
              <w:jc w:val="both"/>
              <w:rPr>
                <w:color w:val="000000"/>
              </w:rPr>
            </w:pPr>
          </w:p>
          <w:p w:rsidR="00D0720F" w:rsidP="00CC135B" w:rsidRDefault="00D0720F" w14:paraId="25494E7A" w14:textId="77777777">
            <w:pPr>
              <w:jc w:val="both"/>
              <w:rPr>
                <w:color w:val="000000"/>
              </w:rPr>
            </w:pPr>
          </w:p>
          <w:p w:rsidR="00D0720F" w:rsidP="00CC135B" w:rsidRDefault="00D0720F" w14:paraId="25494E7B" w14:textId="77777777">
            <w:pPr>
              <w:jc w:val="both"/>
              <w:rPr>
                <w:color w:val="000000"/>
              </w:rPr>
            </w:pPr>
          </w:p>
          <w:p w:rsidRPr="00823410" w:rsidR="00D0720F" w:rsidP="001B7299" w:rsidRDefault="00D0720F" w14:paraId="25494E7C" w14:textId="77777777">
            <w:pPr>
              <w:jc w:val="both"/>
            </w:pPr>
            <w:r w:rsidRPr="001B7299">
              <w:rPr>
                <w:color w:val="000000"/>
              </w:rPr>
              <w:t>3.2</w:t>
            </w:r>
            <w:r w:rsidRPr="00133EF9">
              <w:rPr>
                <w:color w:val="000000"/>
              </w:rPr>
              <w:t>. Eiropas specifikācija</w:t>
            </w:r>
            <w:r>
              <w:rPr>
                <w:color w:val="000000"/>
              </w:rPr>
              <w:t xml:space="preserve"> – </w:t>
            </w:r>
            <w:r w:rsidRPr="007F4CE5">
              <w:rPr>
                <w:color w:val="000000"/>
              </w:rPr>
              <w:t>Latvijas</w:t>
            </w:r>
            <w:r>
              <w:rPr>
                <w:color w:val="000000"/>
              </w:rPr>
              <w:t xml:space="preserve"> </w:t>
            </w:r>
            <w:r w:rsidRPr="007F4CE5">
              <w:rPr>
                <w:color w:val="000000"/>
              </w:rPr>
              <w:t xml:space="preserve">nacionālā standarta </w:t>
            </w:r>
            <w:r w:rsidRPr="00714EA2">
              <w:rPr>
                <w:color w:val="000000"/>
              </w:rPr>
              <w:t>statusā reģistrēts Eiropas Parlamenta un Padomes 2012.gada 25.oktobra Regulas (ES) Nr.1025/2012</w:t>
            </w:r>
            <w:r w:rsidRPr="00317CE1">
              <w:rPr>
                <w:color w:val="000000"/>
              </w:rPr>
              <w:t xml:space="preserve"> par Eiropas standartizāciju, ar ko groza Padomes Direktīvas 89/686/EEK un 93/15/EEK un Eiropas Parlamenta un Padomes Direktīvas 94/9/EK, 94/25/EK, 95/16/EK, 97/23/EK, 98/34/EK, 2004/22/EK, 2007/23/EK, 2009/23/EK un </w:t>
            </w:r>
            <w:r w:rsidRPr="00317CE1">
              <w:rPr>
                <w:color w:val="000000"/>
              </w:rPr>
              <w:lastRenderedPageBreak/>
              <w:t>2009/105/EK, un ar ko atceļ Padomes Lēmumu 87/95/EEK un Eiropas Parlamenta un Padomes Lēm</w:t>
            </w:r>
            <w:r>
              <w:rPr>
                <w:color w:val="000000"/>
              </w:rPr>
              <w:t>umu Nr.</w:t>
            </w:r>
            <w:r w:rsidRPr="00317CE1">
              <w:rPr>
                <w:color w:val="000000"/>
              </w:rPr>
              <w:t>1673/2006/</w:t>
            </w:r>
            <w:r w:rsidRPr="00757021">
              <w:rPr>
                <w:color w:val="000000"/>
              </w:rPr>
              <w:t xml:space="preserve">EK </w:t>
            </w:r>
            <w:r>
              <w:rPr>
                <w:color w:val="000000"/>
              </w:rPr>
              <w:t>(turpmāk – Regula (ES) Nr.</w:t>
            </w:r>
            <w:r w:rsidRPr="00757021">
              <w:rPr>
                <w:color w:val="000000"/>
              </w:rPr>
              <w:t>1025/2012)</w:t>
            </w:r>
            <w:r>
              <w:rPr>
                <w:color w:val="000000"/>
              </w:rPr>
              <w:t xml:space="preserve"> 2.panta 1.</w:t>
            </w:r>
            <w:r w:rsidRPr="00234596">
              <w:rPr>
                <w:color w:val="000000"/>
              </w:rPr>
              <w:t>punkta b) apakšpunktā</w:t>
            </w:r>
            <w:r w:rsidRPr="00C54146">
              <w:rPr>
                <w:color w:val="000000"/>
              </w:rPr>
              <w:t xml:space="preserve"> </w:t>
            </w:r>
            <w:r>
              <w:rPr>
                <w:color w:val="000000"/>
              </w:rPr>
              <w:t xml:space="preserve">minētais </w:t>
            </w:r>
            <w:r w:rsidRPr="00C54146">
              <w:rPr>
                <w:color w:val="000000"/>
              </w:rPr>
              <w:t>Eiropas standart</w:t>
            </w:r>
            <w:r>
              <w:rPr>
                <w:color w:val="000000"/>
              </w:rPr>
              <w:t xml:space="preserve">s, </w:t>
            </w:r>
            <w:r w:rsidRPr="00317CE1">
              <w:rPr>
                <w:color w:val="000000"/>
              </w:rPr>
              <w:t>Sabiedrisko pakalpojumu sniedzēju iepirkumu likum</w:t>
            </w:r>
            <w:r>
              <w:rPr>
                <w:color w:val="000000"/>
              </w:rPr>
              <w:t>a</w:t>
            </w:r>
            <w:r w:rsidRPr="00317CE1">
              <w:rPr>
                <w:color w:val="000000"/>
              </w:rPr>
              <w:t xml:space="preserve"> </w:t>
            </w:r>
            <w:r>
              <w:rPr>
                <w:color w:val="000000"/>
              </w:rPr>
              <w:t xml:space="preserve">23.panta piektajā daļā minētais </w:t>
            </w:r>
            <w:r w:rsidRPr="00C54146">
              <w:rPr>
                <w:color w:val="000000"/>
              </w:rPr>
              <w:t>Eiropas tehnisk</w:t>
            </w:r>
            <w:r>
              <w:rPr>
                <w:color w:val="000000"/>
              </w:rPr>
              <w:t>ais</w:t>
            </w:r>
            <w:r w:rsidRPr="00C54146">
              <w:rPr>
                <w:color w:val="000000"/>
              </w:rPr>
              <w:t xml:space="preserve"> novērtējum</w:t>
            </w:r>
            <w:r>
              <w:rPr>
                <w:color w:val="000000"/>
              </w:rPr>
              <w:t>s vai</w:t>
            </w:r>
            <w:r w:rsidRPr="00C54146">
              <w:rPr>
                <w:color w:val="000000"/>
              </w:rPr>
              <w:t xml:space="preserve"> kopēj</w:t>
            </w:r>
            <w:r>
              <w:rPr>
                <w:color w:val="000000"/>
              </w:rPr>
              <w:t>ā</w:t>
            </w:r>
            <w:r w:rsidRPr="00C54146">
              <w:rPr>
                <w:color w:val="000000"/>
              </w:rPr>
              <w:t xml:space="preserve"> tehnisk</w:t>
            </w:r>
            <w:r>
              <w:rPr>
                <w:color w:val="000000"/>
              </w:rPr>
              <w:t>ā</w:t>
            </w:r>
            <w:r w:rsidRPr="00C54146">
              <w:rPr>
                <w:color w:val="000000"/>
              </w:rPr>
              <w:t xml:space="preserve"> specifikācij</w:t>
            </w:r>
            <w:r>
              <w:rPr>
                <w:color w:val="000000"/>
              </w:rPr>
              <w:t>a.</w:t>
            </w:r>
          </w:p>
        </w:tc>
        <w:tc>
          <w:tcPr>
            <w:tcW w:w="3969" w:type="dxa"/>
            <w:gridSpan w:val="2"/>
            <w:tcBorders>
              <w:left w:val="single" w:color="000000" w:sz="6" w:space="0"/>
              <w:bottom w:val="single" w:color="auto" w:sz="4" w:space="0"/>
              <w:right w:val="single" w:color="000000" w:sz="6" w:space="0"/>
            </w:tcBorders>
          </w:tcPr>
          <w:p w:rsidR="00D0720F" w:rsidP="00CC135B" w:rsidRDefault="00D0720F" w14:paraId="25494E7D" w14:textId="77777777">
            <w:pPr>
              <w:autoSpaceDE w:val="0"/>
              <w:autoSpaceDN w:val="0"/>
              <w:adjustRightInd w:val="0"/>
              <w:ind w:firstLine="34"/>
              <w:jc w:val="both"/>
              <w:rPr>
                <w:color w:val="000000"/>
              </w:rPr>
            </w:pPr>
            <w:r>
              <w:rPr>
                <w:color w:val="000000"/>
              </w:rPr>
              <w:lastRenderedPageBreak/>
              <w:t xml:space="preserve">5. </w:t>
            </w:r>
            <w:r w:rsidRPr="00E621A3">
              <w:rPr>
                <w:color w:val="000000"/>
              </w:rPr>
              <w:t xml:space="preserve">Lūdzam svītrot projekta 2.punktu, jo tas neatbilst Likumā ietvertajam pilnvarojumam. Vēršam uzmanību, ka Likumā ietvertais pilnvarojums </w:t>
            </w:r>
            <w:r w:rsidRPr="00E621A3">
              <w:rPr>
                <w:color w:val="000000"/>
              </w:rPr>
              <w:lastRenderedPageBreak/>
              <w:t>neparedz izdot ar iepirkumiem saistītu regulējumu saistībā ar Sabiedrisko pakalpojumu sniedzēju iepirkumu likumā noteikto. Turklāt norādām, ka piedāvātais regulējums ir pretrunā ar normatīvo aktu hierarhijai, ņemot vērā, ka Ministru kabineta noteikumi nevar aprobežot likumā noteikto.</w:t>
            </w:r>
          </w:p>
          <w:p w:rsidR="00D0720F" w:rsidP="00CC135B" w:rsidRDefault="00D0720F" w14:paraId="25494E7E" w14:textId="77777777">
            <w:pPr>
              <w:autoSpaceDE w:val="0"/>
              <w:autoSpaceDN w:val="0"/>
              <w:adjustRightInd w:val="0"/>
              <w:ind w:firstLine="34"/>
              <w:jc w:val="both"/>
              <w:rPr>
                <w:color w:val="000000"/>
              </w:rPr>
            </w:pPr>
          </w:p>
          <w:p w:rsidR="00D0720F" w:rsidP="00CC135B" w:rsidRDefault="00D0720F" w14:paraId="25494E7F" w14:textId="77777777">
            <w:pPr>
              <w:autoSpaceDE w:val="0"/>
              <w:autoSpaceDN w:val="0"/>
              <w:adjustRightInd w:val="0"/>
              <w:ind w:firstLine="34"/>
              <w:jc w:val="both"/>
              <w:rPr>
                <w:color w:val="000000"/>
              </w:rPr>
            </w:pPr>
          </w:p>
          <w:p w:rsidR="00D0720F" w:rsidP="00CC135B" w:rsidRDefault="00D0720F" w14:paraId="25494E80" w14:textId="77777777">
            <w:pPr>
              <w:autoSpaceDE w:val="0"/>
              <w:autoSpaceDN w:val="0"/>
              <w:adjustRightInd w:val="0"/>
              <w:ind w:firstLine="34"/>
              <w:jc w:val="both"/>
              <w:rPr>
                <w:color w:val="000000"/>
              </w:rPr>
            </w:pPr>
          </w:p>
          <w:p w:rsidR="00D0720F" w:rsidP="00CC135B" w:rsidRDefault="00D0720F" w14:paraId="25494E81" w14:textId="77777777">
            <w:pPr>
              <w:autoSpaceDE w:val="0"/>
              <w:autoSpaceDN w:val="0"/>
              <w:adjustRightInd w:val="0"/>
              <w:ind w:firstLine="34"/>
              <w:jc w:val="both"/>
              <w:rPr>
                <w:color w:val="000000"/>
              </w:rPr>
            </w:pPr>
          </w:p>
          <w:p w:rsidR="00D0720F" w:rsidP="00CC135B" w:rsidRDefault="00D0720F" w14:paraId="25494E82" w14:textId="77777777">
            <w:pPr>
              <w:autoSpaceDE w:val="0"/>
              <w:autoSpaceDN w:val="0"/>
              <w:adjustRightInd w:val="0"/>
              <w:ind w:firstLine="34"/>
              <w:jc w:val="both"/>
              <w:rPr>
                <w:color w:val="000000"/>
              </w:rPr>
            </w:pPr>
          </w:p>
          <w:p w:rsidR="00D0720F" w:rsidP="001B7299" w:rsidRDefault="00D0720F" w14:paraId="25494E83" w14:textId="77777777">
            <w:pPr>
              <w:ind w:hanging="360"/>
              <w:jc w:val="both"/>
            </w:pPr>
            <w:r w:rsidRPr="001B7299">
              <w:t>1.   </w:t>
            </w:r>
            <w:r w:rsidRPr="001B7299">
              <w:tab/>
            </w:r>
          </w:p>
          <w:p w:rsidR="00510589" w:rsidP="001B7299" w:rsidRDefault="00D0720F" w14:paraId="5FFA77EA" w14:textId="77777777">
            <w:pPr>
              <w:jc w:val="both"/>
              <w:rPr>
                <w:b/>
                <w:bCs/>
              </w:rPr>
            </w:pPr>
            <w:r>
              <w:rPr>
                <w:b/>
                <w:bCs/>
              </w:rPr>
              <w:t>Finanšu ministrija</w:t>
            </w:r>
          </w:p>
          <w:p w:rsidRPr="00242AC5" w:rsidR="00D0720F" w:rsidP="001B7299" w:rsidRDefault="00D0720F" w14:paraId="25494E84" w14:textId="26D73EF3">
            <w:pPr>
              <w:jc w:val="both"/>
              <w:rPr>
                <w:i/>
                <w:iCs/>
              </w:rPr>
            </w:pPr>
            <w:r w:rsidRPr="00242AC5">
              <w:rPr>
                <w:i/>
                <w:iCs/>
              </w:rPr>
              <w:t>(2020.gada 17.aprīļa atzinums Nr.</w:t>
            </w:r>
            <w:r w:rsidRPr="00242AC5">
              <w:t xml:space="preserve"> </w:t>
            </w:r>
            <w:r w:rsidRPr="00242AC5">
              <w:rPr>
                <w:i/>
                <w:iCs/>
              </w:rPr>
              <w:t>10.1-6/7-1/352)</w:t>
            </w:r>
          </w:p>
          <w:p w:rsidRPr="00242AC5" w:rsidR="00D0720F" w:rsidP="001B7299" w:rsidRDefault="00D0720F" w14:paraId="25494E85" w14:textId="77777777">
            <w:pPr>
              <w:jc w:val="both"/>
            </w:pPr>
            <w:r w:rsidRPr="00242AC5">
              <w:t>1</w:t>
            </w:r>
            <w:r w:rsidRPr="00242AC5">
              <w:rPr>
                <w:i/>
                <w:iCs/>
              </w:rPr>
              <w:t xml:space="preserve">. </w:t>
            </w:r>
            <w:r w:rsidRPr="00242AC5">
              <w:t xml:space="preserve">Atbilstoši anotācijas V sadaļai ar noteikumu projekta 2.punktu tiek transponēta Eiropas Parlamenta un Padomes 2016.gada 11.maija direktīvas (ES) 2016/797 par dzelzceļa sistēmas savstarpēju </w:t>
            </w:r>
            <w:proofErr w:type="spellStart"/>
            <w:r w:rsidRPr="00242AC5">
              <w:t>izmantojamību</w:t>
            </w:r>
            <w:proofErr w:type="spellEnd"/>
            <w:r w:rsidRPr="00242AC5">
              <w:t xml:space="preserve"> Eiropas Savienībā (turpmāk – Direktīva 2016/797/ES) 3.panta otrā daļa. Ņemot vērā, ka</w:t>
            </w:r>
            <w:r w:rsidRPr="001B7299">
              <w:rPr>
                <w:b/>
                <w:bCs/>
              </w:rPr>
              <w:t xml:space="preserve"> </w:t>
            </w:r>
            <w:r w:rsidRPr="00242AC5">
              <w:t>Direktīvas</w:t>
            </w:r>
            <w:r w:rsidRPr="001B7299">
              <w:rPr>
                <w:b/>
                <w:bCs/>
              </w:rPr>
              <w:t xml:space="preserve"> </w:t>
            </w:r>
            <w:r w:rsidRPr="00242AC5">
              <w:t xml:space="preserve">2016/797/ES 3.panta otrajā daļā ir minēts, ka tehniskās specifikācijas, kuras sagatavotas atbilstoši Direktīvai 2014/25/ES, nedrīkst būt pretrunā ar pamatprasībām, līdz ar to lūdzam precizēt noteikumu projekta 2.punktu, norādot atsauci uz Sabiedrisko pakalpojumu sniedzēju iepirkumu </w:t>
            </w:r>
            <w:r w:rsidRPr="00242AC5">
              <w:lastRenderedPageBreak/>
              <w:t>likumu, jo noteikumu projektā nav definēts termins “iepirkumu procedūra”, kā arī Direktīvas 2016/797/ES 3.panta otrā daļa norāda uz konkrētu tiesību aktu nevis uz abstraktu iepirkuma procedūru. Lūdzam izteikt noteikumu projekta 2.punktu šādā redakcijā:</w:t>
            </w:r>
          </w:p>
          <w:p w:rsidRPr="00242AC5" w:rsidR="00D0720F" w:rsidP="001B7299" w:rsidRDefault="00D0720F" w14:paraId="25494E86" w14:textId="77777777">
            <w:pPr>
              <w:ind w:left="720"/>
              <w:jc w:val="both"/>
            </w:pPr>
            <w:r w:rsidRPr="00242AC5">
              <w:t>“2. Sabiedrisko pakalpojumu sniedzēju iepirkumu likuma ietvaros pasūtītāja sagatavotās tehniskās specifikācijas, kas ir vajadzīgas Eiropas specifikāciju vai citu Savienībā izmantojamo standartu papildināšanai, nedrīkst būt pretrunā  ar pamatprasībām.”</w:t>
            </w:r>
          </w:p>
          <w:p w:rsidRPr="00242AC5" w:rsidR="00D0720F" w:rsidP="001B7299" w:rsidRDefault="00D0720F" w14:paraId="25494E87" w14:textId="77777777">
            <w:pPr>
              <w:ind w:left="720"/>
              <w:jc w:val="both"/>
            </w:pPr>
          </w:p>
          <w:p w:rsidRPr="00B06DBD" w:rsidR="00D0720F" w:rsidP="001B7299" w:rsidRDefault="00D0720F" w14:paraId="25494E88" w14:textId="77777777">
            <w:pPr>
              <w:autoSpaceDE w:val="0"/>
              <w:autoSpaceDN w:val="0"/>
              <w:adjustRightInd w:val="0"/>
              <w:ind w:firstLine="34"/>
              <w:jc w:val="both"/>
            </w:pPr>
            <w:r w:rsidRPr="00242AC5">
              <w:t xml:space="preserve">2.       </w:t>
            </w:r>
            <w:r w:rsidRPr="00242AC5">
              <w:tab/>
              <w:t>Direktīvas 2016/797/ES 2.panta 10.punktā definējot terminu “Eiropas specifikācija” ir sniegta vispārīgu atsauce uz Direktīvas 2014/25/ES 60.pantu un VII pielikumu. Līdz ar to lūdzam 3.2.apakšpunktā norādīt vispārīgu atsauci uz Sabiedrisko pakalpojumu sniedzēju iepirkumu likumu un dzēst vārdus “23.panta piektajā daļā”.</w:t>
            </w:r>
          </w:p>
        </w:tc>
        <w:tc>
          <w:tcPr>
            <w:tcW w:w="1985" w:type="dxa"/>
            <w:gridSpan w:val="2"/>
            <w:tcBorders>
              <w:left w:val="single" w:color="000000" w:sz="6" w:space="0"/>
              <w:bottom w:val="single" w:color="auto" w:sz="4" w:space="0"/>
              <w:right w:val="single" w:color="000000" w:sz="6" w:space="0"/>
            </w:tcBorders>
          </w:tcPr>
          <w:p w:rsidRPr="00A268BF" w:rsidR="00D0720F" w:rsidP="00990BFD" w:rsidRDefault="00D0720F" w14:paraId="25494E8A" w14:textId="5C5D2247">
            <w:pPr>
              <w:autoSpaceDE w:val="0"/>
              <w:autoSpaceDN w:val="0"/>
              <w:adjustRightInd w:val="0"/>
              <w:jc w:val="center"/>
            </w:pPr>
            <w:r>
              <w:rPr>
                <w:b/>
                <w:bCs/>
              </w:rPr>
              <w:lastRenderedPageBreak/>
              <w:t xml:space="preserve">Panākta vienošanās saskaņošanas </w:t>
            </w:r>
            <w:r w:rsidR="00E10421">
              <w:rPr>
                <w:b/>
                <w:bCs/>
              </w:rPr>
              <w:t>laikā</w:t>
            </w:r>
            <w:r>
              <w:rPr>
                <w:b/>
                <w:bCs/>
              </w:rPr>
              <w:t>.</w:t>
            </w:r>
          </w:p>
          <w:p w:rsidR="00D0720F" w:rsidP="00A268BF" w:rsidRDefault="00D0720F" w14:paraId="25494E8B" w14:textId="77777777">
            <w:pPr>
              <w:autoSpaceDE w:val="0"/>
              <w:autoSpaceDN w:val="0"/>
              <w:adjustRightInd w:val="0"/>
              <w:jc w:val="both"/>
            </w:pPr>
            <w:r w:rsidRPr="00A268BF">
              <w:lastRenderedPageBreak/>
              <w:t xml:space="preserve">No Direktīvas 2016/797 pārņemamā prasība paredz nodrošināt, ka iepirkuma pasūtījumu tehniskajā dokumentācijā iekļautās specifikācijas nedrīkst būt pretrunā ar pamatprasībām </w:t>
            </w:r>
          </w:p>
          <w:p w:rsidR="00D0720F" w:rsidP="00A268BF" w:rsidRDefault="00D0720F" w14:paraId="25494E8C" w14:textId="77777777">
            <w:pPr>
              <w:autoSpaceDE w:val="0"/>
              <w:autoSpaceDN w:val="0"/>
              <w:adjustRightInd w:val="0"/>
              <w:jc w:val="both"/>
            </w:pPr>
          </w:p>
          <w:p w:rsidRPr="00990BFD" w:rsidR="00D0720F" w:rsidP="00990BFD" w:rsidRDefault="00990BFD" w14:paraId="25494E8D" w14:textId="6A7D310E">
            <w:pPr>
              <w:autoSpaceDE w:val="0"/>
              <w:autoSpaceDN w:val="0"/>
              <w:adjustRightInd w:val="0"/>
              <w:jc w:val="center"/>
              <w:rPr>
                <w:b/>
                <w:bCs/>
              </w:rPr>
            </w:pPr>
            <w:r w:rsidRPr="00990BFD">
              <w:rPr>
                <w:b/>
                <w:bCs/>
              </w:rPr>
              <w:t>Ņemts vērā.</w:t>
            </w:r>
          </w:p>
          <w:p w:rsidR="00D0720F" w:rsidP="00A268BF" w:rsidRDefault="00D0720F" w14:paraId="25494E8E" w14:textId="77777777">
            <w:pPr>
              <w:autoSpaceDE w:val="0"/>
              <w:autoSpaceDN w:val="0"/>
              <w:adjustRightInd w:val="0"/>
              <w:jc w:val="both"/>
            </w:pPr>
          </w:p>
          <w:p w:rsidR="00D0720F" w:rsidP="00A268BF" w:rsidRDefault="00D0720F" w14:paraId="25494E93" w14:textId="77777777">
            <w:pPr>
              <w:autoSpaceDE w:val="0"/>
              <w:autoSpaceDN w:val="0"/>
              <w:adjustRightInd w:val="0"/>
              <w:jc w:val="both"/>
              <w:rPr>
                <w:b/>
                <w:bCs/>
              </w:rPr>
            </w:pPr>
          </w:p>
          <w:p w:rsidR="00D0720F" w:rsidP="00A268BF" w:rsidRDefault="00D0720F" w14:paraId="25494E94" w14:textId="77777777">
            <w:pPr>
              <w:autoSpaceDE w:val="0"/>
              <w:autoSpaceDN w:val="0"/>
              <w:adjustRightInd w:val="0"/>
              <w:jc w:val="both"/>
              <w:rPr>
                <w:b/>
                <w:bCs/>
              </w:rPr>
            </w:pPr>
          </w:p>
          <w:p w:rsidR="00D0720F" w:rsidP="00A268BF" w:rsidRDefault="00D0720F" w14:paraId="25494E95" w14:textId="77777777">
            <w:pPr>
              <w:autoSpaceDE w:val="0"/>
              <w:autoSpaceDN w:val="0"/>
              <w:adjustRightInd w:val="0"/>
              <w:jc w:val="both"/>
              <w:rPr>
                <w:b/>
                <w:bCs/>
              </w:rPr>
            </w:pPr>
          </w:p>
          <w:p w:rsidR="00D0720F" w:rsidP="00A268BF" w:rsidRDefault="00D0720F" w14:paraId="25494E96" w14:textId="77777777">
            <w:pPr>
              <w:autoSpaceDE w:val="0"/>
              <w:autoSpaceDN w:val="0"/>
              <w:adjustRightInd w:val="0"/>
              <w:jc w:val="both"/>
              <w:rPr>
                <w:b/>
                <w:bCs/>
              </w:rPr>
            </w:pPr>
          </w:p>
          <w:p w:rsidR="00D0720F" w:rsidP="00A268BF" w:rsidRDefault="00D0720F" w14:paraId="25494E97" w14:textId="77777777">
            <w:pPr>
              <w:autoSpaceDE w:val="0"/>
              <w:autoSpaceDN w:val="0"/>
              <w:adjustRightInd w:val="0"/>
              <w:jc w:val="both"/>
              <w:rPr>
                <w:b/>
                <w:bCs/>
              </w:rPr>
            </w:pPr>
          </w:p>
          <w:p w:rsidR="00D0720F" w:rsidP="00A268BF" w:rsidRDefault="00D0720F" w14:paraId="25494E98" w14:textId="77777777">
            <w:pPr>
              <w:autoSpaceDE w:val="0"/>
              <w:autoSpaceDN w:val="0"/>
              <w:adjustRightInd w:val="0"/>
              <w:jc w:val="both"/>
              <w:rPr>
                <w:b/>
                <w:bCs/>
              </w:rPr>
            </w:pPr>
          </w:p>
          <w:p w:rsidR="00D0720F" w:rsidP="00A268BF" w:rsidRDefault="00D0720F" w14:paraId="25494E99" w14:textId="77777777">
            <w:pPr>
              <w:autoSpaceDE w:val="0"/>
              <w:autoSpaceDN w:val="0"/>
              <w:adjustRightInd w:val="0"/>
              <w:jc w:val="both"/>
              <w:rPr>
                <w:b/>
                <w:bCs/>
              </w:rPr>
            </w:pPr>
          </w:p>
          <w:p w:rsidR="00D0720F" w:rsidP="00A268BF" w:rsidRDefault="00D0720F" w14:paraId="25494E9A" w14:textId="77777777">
            <w:pPr>
              <w:autoSpaceDE w:val="0"/>
              <w:autoSpaceDN w:val="0"/>
              <w:adjustRightInd w:val="0"/>
              <w:jc w:val="both"/>
              <w:rPr>
                <w:b/>
                <w:bCs/>
              </w:rPr>
            </w:pPr>
          </w:p>
          <w:p w:rsidR="00D0720F" w:rsidP="00A268BF" w:rsidRDefault="00D0720F" w14:paraId="25494E9B" w14:textId="77777777">
            <w:pPr>
              <w:autoSpaceDE w:val="0"/>
              <w:autoSpaceDN w:val="0"/>
              <w:adjustRightInd w:val="0"/>
              <w:jc w:val="both"/>
              <w:rPr>
                <w:b/>
                <w:bCs/>
              </w:rPr>
            </w:pPr>
          </w:p>
          <w:p w:rsidR="00D0720F" w:rsidP="00A268BF" w:rsidRDefault="00D0720F" w14:paraId="25494E9C" w14:textId="77777777">
            <w:pPr>
              <w:autoSpaceDE w:val="0"/>
              <w:autoSpaceDN w:val="0"/>
              <w:adjustRightInd w:val="0"/>
              <w:jc w:val="both"/>
              <w:rPr>
                <w:b/>
                <w:bCs/>
              </w:rPr>
            </w:pPr>
          </w:p>
          <w:p w:rsidR="00D0720F" w:rsidP="00A268BF" w:rsidRDefault="00D0720F" w14:paraId="25494E9D" w14:textId="77777777">
            <w:pPr>
              <w:autoSpaceDE w:val="0"/>
              <w:autoSpaceDN w:val="0"/>
              <w:adjustRightInd w:val="0"/>
              <w:jc w:val="both"/>
              <w:rPr>
                <w:b/>
                <w:bCs/>
              </w:rPr>
            </w:pPr>
          </w:p>
          <w:p w:rsidR="00D0720F" w:rsidP="00A268BF" w:rsidRDefault="00D0720F" w14:paraId="25494E9E" w14:textId="77777777">
            <w:pPr>
              <w:autoSpaceDE w:val="0"/>
              <w:autoSpaceDN w:val="0"/>
              <w:adjustRightInd w:val="0"/>
              <w:jc w:val="both"/>
              <w:rPr>
                <w:b/>
                <w:bCs/>
              </w:rPr>
            </w:pPr>
          </w:p>
          <w:p w:rsidR="00D0720F" w:rsidP="00A268BF" w:rsidRDefault="00D0720F" w14:paraId="25494E9F" w14:textId="77777777">
            <w:pPr>
              <w:autoSpaceDE w:val="0"/>
              <w:autoSpaceDN w:val="0"/>
              <w:adjustRightInd w:val="0"/>
              <w:jc w:val="both"/>
              <w:rPr>
                <w:b/>
                <w:bCs/>
              </w:rPr>
            </w:pPr>
          </w:p>
          <w:p w:rsidR="00D0720F" w:rsidP="00A268BF" w:rsidRDefault="00D0720F" w14:paraId="25494EA0" w14:textId="77777777">
            <w:pPr>
              <w:autoSpaceDE w:val="0"/>
              <w:autoSpaceDN w:val="0"/>
              <w:adjustRightInd w:val="0"/>
              <w:jc w:val="both"/>
              <w:rPr>
                <w:b/>
                <w:bCs/>
              </w:rPr>
            </w:pPr>
          </w:p>
          <w:p w:rsidR="00D0720F" w:rsidP="00A268BF" w:rsidRDefault="00D0720F" w14:paraId="25494EA1" w14:textId="77777777">
            <w:pPr>
              <w:autoSpaceDE w:val="0"/>
              <w:autoSpaceDN w:val="0"/>
              <w:adjustRightInd w:val="0"/>
              <w:jc w:val="both"/>
              <w:rPr>
                <w:b/>
                <w:bCs/>
              </w:rPr>
            </w:pPr>
          </w:p>
          <w:p w:rsidR="00D0720F" w:rsidP="00A268BF" w:rsidRDefault="00D0720F" w14:paraId="25494EA2" w14:textId="77777777">
            <w:pPr>
              <w:autoSpaceDE w:val="0"/>
              <w:autoSpaceDN w:val="0"/>
              <w:adjustRightInd w:val="0"/>
              <w:jc w:val="both"/>
              <w:rPr>
                <w:b/>
                <w:bCs/>
              </w:rPr>
            </w:pPr>
          </w:p>
          <w:p w:rsidR="00D0720F" w:rsidP="00A268BF" w:rsidRDefault="00D0720F" w14:paraId="25494EA3" w14:textId="77777777">
            <w:pPr>
              <w:autoSpaceDE w:val="0"/>
              <w:autoSpaceDN w:val="0"/>
              <w:adjustRightInd w:val="0"/>
              <w:jc w:val="both"/>
              <w:rPr>
                <w:b/>
                <w:bCs/>
              </w:rPr>
            </w:pPr>
          </w:p>
          <w:p w:rsidR="00D0720F" w:rsidP="00A268BF" w:rsidRDefault="00D0720F" w14:paraId="25494EA4" w14:textId="77777777">
            <w:pPr>
              <w:autoSpaceDE w:val="0"/>
              <w:autoSpaceDN w:val="0"/>
              <w:adjustRightInd w:val="0"/>
              <w:jc w:val="both"/>
              <w:rPr>
                <w:b/>
                <w:bCs/>
              </w:rPr>
            </w:pPr>
          </w:p>
          <w:p w:rsidR="00D0720F" w:rsidP="00A268BF" w:rsidRDefault="00D0720F" w14:paraId="25494EA5" w14:textId="77777777">
            <w:pPr>
              <w:autoSpaceDE w:val="0"/>
              <w:autoSpaceDN w:val="0"/>
              <w:adjustRightInd w:val="0"/>
              <w:jc w:val="both"/>
              <w:rPr>
                <w:b/>
                <w:bCs/>
              </w:rPr>
            </w:pPr>
          </w:p>
          <w:p w:rsidR="00D0720F" w:rsidP="00A268BF" w:rsidRDefault="00D0720F" w14:paraId="25494EA6" w14:textId="77777777">
            <w:pPr>
              <w:autoSpaceDE w:val="0"/>
              <w:autoSpaceDN w:val="0"/>
              <w:adjustRightInd w:val="0"/>
              <w:jc w:val="both"/>
              <w:rPr>
                <w:b/>
                <w:bCs/>
              </w:rPr>
            </w:pPr>
          </w:p>
          <w:p w:rsidR="00D0720F" w:rsidP="00A268BF" w:rsidRDefault="00D0720F" w14:paraId="25494EA7" w14:textId="77777777">
            <w:pPr>
              <w:autoSpaceDE w:val="0"/>
              <w:autoSpaceDN w:val="0"/>
              <w:adjustRightInd w:val="0"/>
              <w:jc w:val="both"/>
              <w:rPr>
                <w:b/>
                <w:bCs/>
              </w:rPr>
            </w:pPr>
          </w:p>
          <w:p w:rsidR="00D0720F" w:rsidP="00A268BF" w:rsidRDefault="00D0720F" w14:paraId="25494EA8" w14:textId="77777777">
            <w:pPr>
              <w:autoSpaceDE w:val="0"/>
              <w:autoSpaceDN w:val="0"/>
              <w:adjustRightInd w:val="0"/>
              <w:jc w:val="both"/>
              <w:rPr>
                <w:b/>
                <w:bCs/>
              </w:rPr>
            </w:pPr>
          </w:p>
          <w:p w:rsidR="00D0720F" w:rsidP="00A268BF" w:rsidRDefault="00D0720F" w14:paraId="25494EA9" w14:textId="77777777">
            <w:pPr>
              <w:autoSpaceDE w:val="0"/>
              <w:autoSpaceDN w:val="0"/>
              <w:adjustRightInd w:val="0"/>
              <w:jc w:val="both"/>
              <w:rPr>
                <w:b/>
                <w:bCs/>
              </w:rPr>
            </w:pPr>
          </w:p>
          <w:p w:rsidR="00D0720F" w:rsidP="00A268BF" w:rsidRDefault="00D0720F" w14:paraId="25494EAA" w14:textId="77777777">
            <w:pPr>
              <w:autoSpaceDE w:val="0"/>
              <w:autoSpaceDN w:val="0"/>
              <w:adjustRightInd w:val="0"/>
              <w:jc w:val="both"/>
              <w:rPr>
                <w:b/>
                <w:bCs/>
              </w:rPr>
            </w:pPr>
          </w:p>
          <w:p w:rsidR="00D0720F" w:rsidP="00A268BF" w:rsidRDefault="00D0720F" w14:paraId="25494EAB" w14:textId="77777777">
            <w:pPr>
              <w:autoSpaceDE w:val="0"/>
              <w:autoSpaceDN w:val="0"/>
              <w:adjustRightInd w:val="0"/>
              <w:jc w:val="both"/>
              <w:rPr>
                <w:b/>
                <w:bCs/>
              </w:rPr>
            </w:pPr>
          </w:p>
          <w:p w:rsidR="00D0720F" w:rsidP="00A268BF" w:rsidRDefault="00D0720F" w14:paraId="25494EAC" w14:textId="77777777">
            <w:pPr>
              <w:autoSpaceDE w:val="0"/>
              <w:autoSpaceDN w:val="0"/>
              <w:adjustRightInd w:val="0"/>
              <w:jc w:val="both"/>
              <w:rPr>
                <w:b/>
                <w:bCs/>
              </w:rPr>
            </w:pPr>
          </w:p>
          <w:p w:rsidR="00D0720F" w:rsidP="00A268BF" w:rsidRDefault="00D0720F" w14:paraId="25494EAD" w14:textId="77777777">
            <w:pPr>
              <w:autoSpaceDE w:val="0"/>
              <w:autoSpaceDN w:val="0"/>
              <w:adjustRightInd w:val="0"/>
              <w:jc w:val="both"/>
              <w:rPr>
                <w:b/>
                <w:bCs/>
              </w:rPr>
            </w:pPr>
          </w:p>
          <w:p w:rsidR="00D0720F" w:rsidP="00A268BF" w:rsidRDefault="00D0720F" w14:paraId="25494EAE" w14:textId="77777777">
            <w:pPr>
              <w:autoSpaceDE w:val="0"/>
              <w:autoSpaceDN w:val="0"/>
              <w:adjustRightInd w:val="0"/>
              <w:jc w:val="both"/>
              <w:rPr>
                <w:b/>
                <w:bCs/>
              </w:rPr>
            </w:pPr>
          </w:p>
          <w:p w:rsidR="00D0720F" w:rsidP="00A268BF" w:rsidRDefault="00D0720F" w14:paraId="25494EAF" w14:textId="77777777">
            <w:pPr>
              <w:autoSpaceDE w:val="0"/>
              <w:autoSpaceDN w:val="0"/>
              <w:adjustRightInd w:val="0"/>
              <w:jc w:val="both"/>
              <w:rPr>
                <w:b/>
                <w:bCs/>
              </w:rPr>
            </w:pPr>
          </w:p>
          <w:p w:rsidR="00D0720F" w:rsidP="00A268BF" w:rsidRDefault="00D0720F" w14:paraId="25494EB0" w14:textId="77777777">
            <w:pPr>
              <w:autoSpaceDE w:val="0"/>
              <w:autoSpaceDN w:val="0"/>
              <w:adjustRightInd w:val="0"/>
              <w:jc w:val="both"/>
              <w:rPr>
                <w:b/>
                <w:bCs/>
              </w:rPr>
            </w:pPr>
          </w:p>
          <w:p w:rsidR="00D0720F" w:rsidP="00A268BF" w:rsidRDefault="00D0720F" w14:paraId="25494EB1" w14:textId="77777777">
            <w:pPr>
              <w:autoSpaceDE w:val="0"/>
              <w:autoSpaceDN w:val="0"/>
              <w:adjustRightInd w:val="0"/>
              <w:jc w:val="both"/>
              <w:rPr>
                <w:b/>
                <w:bCs/>
              </w:rPr>
            </w:pPr>
          </w:p>
          <w:p w:rsidR="00D0720F" w:rsidP="00A268BF" w:rsidRDefault="00D0720F" w14:paraId="25494EB2" w14:textId="77777777">
            <w:pPr>
              <w:autoSpaceDE w:val="0"/>
              <w:autoSpaceDN w:val="0"/>
              <w:adjustRightInd w:val="0"/>
              <w:jc w:val="both"/>
              <w:rPr>
                <w:b/>
                <w:bCs/>
              </w:rPr>
            </w:pPr>
          </w:p>
          <w:p w:rsidR="00D0720F" w:rsidP="00A268BF" w:rsidRDefault="00D0720F" w14:paraId="25494EB3" w14:textId="77777777">
            <w:pPr>
              <w:autoSpaceDE w:val="0"/>
              <w:autoSpaceDN w:val="0"/>
              <w:adjustRightInd w:val="0"/>
              <w:jc w:val="both"/>
              <w:rPr>
                <w:b/>
                <w:bCs/>
              </w:rPr>
            </w:pPr>
          </w:p>
          <w:p w:rsidR="00D0720F" w:rsidP="00A268BF" w:rsidRDefault="00D0720F" w14:paraId="25494EB4" w14:textId="77777777">
            <w:pPr>
              <w:autoSpaceDE w:val="0"/>
              <w:autoSpaceDN w:val="0"/>
              <w:adjustRightInd w:val="0"/>
              <w:jc w:val="both"/>
              <w:rPr>
                <w:b/>
                <w:bCs/>
              </w:rPr>
            </w:pPr>
          </w:p>
          <w:p w:rsidR="00D0720F" w:rsidP="00A268BF" w:rsidRDefault="00D0720F" w14:paraId="25494EB5" w14:textId="77777777">
            <w:pPr>
              <w:autoSpaceDE w:val="0"/>
              <w:autoSpaceDN w:val="0"/>
              <w:adjustRightInd w:val="0"/>
              <w:jc w:val="both"/>
              <w:rPr>
                <w:b/>
                <w:bCs/>
              </w:rPr>
            </w:pPr>
          </w:p>
          <w:p w:rsidR="00D0720F" w:rsidP="00A268BF" w:rsidRDefault="00D0720F" w14:paraId="25494EB6" w14:textId="77777777">
            <w:pPr>
              <w:autoSpaceDE w:val="0"/>
              <w:autoSpaceDN w:val="0"/>
              <w:adjustRightInd w:val="0"/>
              <w:jc w:val="both"/>
              <w:rPr>
                <w:b/>
                <w:bCs/>
              </w:rPr>
            </w:pPr>
          </w:p>
          <w:p w:rsidRPr="001B7299" w:rsidR="00D0720F" w:rsidP="00510589" w:rsidRDefault="00D0720F" w14:paraId="25494EB7" w14:textId="77777777">
            <w:pPr>
              <w:autoSpaceDE w:val="0"/>
              <w:autoSpaceDN w:val="0"/>
              <w:adjustRightInd w:val="0"/>
              <w:jc w:val="center"/>
              <w:rPr>
                <w:b/>
                <w:bCs/>
              </w:rPr>
            </w:pPr>
            <w:r>
              <w:rPr>
                <w:b/>
                <w:bCs/>
              </w:rPr>
              <w:t>Ņemts vērā.</w:t>
            </w:r>
          </w:p>
        </w:tc>
        <w:tc>
          <w:tcPr>
            <w:tcW w:w="4278" w:type="dxa"/>
            <w:gridSpan w:val="3"/>
            <w:tcBorders>
              <w:top w:val="single" w:color="auto" w:sz="4" w:space="0"/>
              <w:left w:val="single" w:color="auto" w:sz="4" w:space="0"/>
              <w:bottom w:val="single" w:color="auto" w:sz="4" w:space="0"/>
            </w:tcBorders>
          </w:tcPr>
          <w:p w:rsidRPr="00990BFD" w:rsidR="00990BFD" w:rsidP="00990BFD" w:rsidRDefault="00990BFD" w14:paraId="0BBFB932" w14:textId="59CE59F0">
            <w:pPr>
              <w:autoSpaceDE w:val="0"/>
              <w:autoSpaceDN w:val="0"/>
              <w:adjustRightInd w:val="0"/>
              <w:jc w:val="both"/>
            </w:pPr>
            <w:r w:rsidRPr="00A268BF">
              <w:lastRenderedPageBreak/>
              <w:t>Precizēts Projekts</w:t>
            </w:r>
            <w:r>
              <w:t xml:space="preserve">. </w:t>
            </w:r>
            <w:r w:rsidRPr="00990BFD">
              <w:t xml:space="preserve">Mainīta arī </w:t>
            </w:r>
            <w:r>
              <w:t xml:space="preserve">Projekta </w:t>
            </w:r>
            <w:r w:rsidRPr="00990BFD">
              <w:t>punktu secība, jo lietots termins “pasūtītājs”</w:t>
            </w:r>
            <w:r>
              <w:t>.</w:t>
            </w:r>
          </w:p>
          <w:p w:rsidRPr="00990BFD" w:rsidR="00990BFD" w:rsidP="00990BFD" w:rsidRDefault="00990BFD" w14:paraId="55306F08" w14:textId="77777777">
            <w:pPr>
              <w:autoSpaceDE w:val="0"/>
              <w:autoSpaceDN w:val="0"/>
              <w:adjustRightInd w:val="0"/>
              <w:jc w:val="both"/>
            </w:pPr>
          </w:p>
          <w:p w:rsidR="00990BFD" w:rsidP="00990BFD" w:rsidRDefault="00990BFD" w14:paraId="4089C932" w14:textId="77777777">
            <w:pPr>
              <w:ind w:right="57"/>
              <w:jc w:val="both"/>
            </w:pPr>
          </w:p>
          <w:p w:rsidRPr="00242AC5" w:rsidR="00D0720F" w:rsidP="00990BFD" w:rsidRDefault="00D0720F" w14:paraId="25494ECD" w14:textId="79760AD0">
            <w:pPr>
              <w:ind w:right="57"/>
              <w:jc w:val="both"/>
            </w:pPr>
            <w:r w:rsidRPr="00242AC5">
              <w:rPr>
                <w:color w:val="000000"/>
              </w:rPr>
              <w:t xml:space="preserve">3. </w:t>
            </w:r>
            <w:r w:rsidRPr="00242AC5">
              <w:t>Sabiedrisko pakalpojumu sniedzēju iepirkumu likuma ietvaros pasūtītāja sagatavotās tehniskās specifikācijas, kas ir vajadzīgas Eiropas specifikāciju vai citu Savienībā izmantojamo standartu papildināšanai, nedrīkst būt pretrunā  ar pamatprasībām.</w:t>
            </w:r>
          </w:p>
          <w:p w:rsidRPr="00242AC5" w:rsidR="00D0720F" w:rsidP="00C0309C" w:rsidRDefault="00D0720F" w14:paraId="25494ECE" w14:textId="77777777">
            <w:pPr>
              <w:ind w:left="57" w:right="57"/>
              <w:jc w:val="both"/>
            </w:pPr>
          </w:p>
          <w:p w:rsidRPr="00242AC5" w:rsidR="00D0720F" w:rsidP="00C0309C" w:rsidRDefault="00D0720F" w14:paraId="25494ECF" w14:textId="77777777">
            <w:pPr>
              <w:ind w:left="57" w:right="57"/>
              <w:jc w:val="both"/>
            </w:pPr>
          </w:p>
          <w:p w:rsidRPr="00242AC5" w:rsidR="00D0720F" w:rsidP="00C0309C" w:rsidRDefault="00D0720F" w14:paraId="25494ED0" w14:textId="77777777">
            <w:pPr>
              <w:ind w:left="57" w:right="57"/>
              <w:jc w:val="both"/>
            </w:pPr>
          </w:p>
          <w:p w:rsidRPr="00242AC5" w:rsidR="00D0720F" w:rsidP="00C0309C" w:rsidRDefault="00D0720F" w14:paraId="25494ED1" w14:textId="77777777">
            <w:pPr>
              <w:ind w:left="57" w:right="57"/>
              <w:jc w:val="both"/>
            </w:pPr>
          </w:p>
          <w:p w:rsidRPr="00242AC5" w:rsidR="00D0720F" w:rsidP="00C0309C" w:rsidRDefault="00D0720F" w14:paraId="25494ED2" w14:textId="77777777">
            <w:pPr>
              <w:ind w:left="57" w:right="57"/>
              <w:jc w:val="both"/>
            </w:pPr>
          </w:p>
          <w:p w:rsidRPr="00242AC5" w:rsidR="00D0720F" w:rsidP="00C0309C" w:rsidRDefault="00D0720F" w14:paraId="25494ED3" w14:textId="77777777">
            <w:pPr>
              <w:ind w:left="57" w:right="57"/>
              <w:jc w:val="both"/>
            </w:pPr>
          </w:p>
          <w:p w:rsidRPr="00242AC5" w:rsidR="00D0720F" w:rsidP="00C0309C" w:rsidRDefault="00D0720F" w14:paraId="25494ED4" w14:textId="77777777">
            <w:pPr>
              <w:ind w:left="57" w:right="57"/>
              <w:jc w:val="both"/>
            </w:pPr>
          </w:p>
          <w:p w:rsidRPr="00242AC5" w:rsidR="00D0720F" w:rsidP="00C0309C" w:rsidRDefault="00D0720F" w14:paraId="25494ED5" w14:textId="77777777">
            <w:pPr>
              <w:ind w:left="57" w:right="57"/>
              <w:jc w:val="both"/>
            </w:pPr>
          </w:p>
          <w:p w:rsidRPr="00242AC5" w:rsidR="00D0720F" w:rsidP="00C0309C" w:rsidRDefault="00D0720F" w14:paraId="25494ED6" w14:textId="77777777">
            <w:pPr>
              <w:ind w:left="57" w:right="57"/>
              <w:jc w:val="both"/>
            </w:pPr>
          </w:p>
          <w:p w:rsidRPr="00242AC5" w:rsidR="00D0720F" w:rsidP="00C0309C" w:rsidRDefault="00D0720F" w14:paraId="25494ED7" w14:textId="77777777">
            <w:pPr>
              <w:ind w:left="57" w:right="57"/>
              <w:jc w:val="both"/>
            </w:pPr>
          </w:p>
          <w:p w:rsidRPr="00242AC5" w:rsidR="00D0720F" w:rsidP="00C0309C" w:rsidRDefault="00D0720F" w14:paraId="25494ED8" w14:textId="77777777">
            <w:pPr>
              <w:ind w:left="57" w:right="57"/>
              <w:jc w:val="both"/>
            </w:pPr>
          </w:p>
          <w:p w:rsidRPr="00242AC5" w:rsidR="00D0720F" w:rsidP="00C0309C" w:rsidRDefault="00D0720F" w14:paraId="25494ED9" w14:textId="77777777">
            <w:pPr>
              <w:ind w:left="57" w:right="57"/>
              <w:jc w:val="both"/>
            </w:pPr>
          </w:p>
          <w:p w:rsidRPr="00242AC5" w:rsidR="00D0720F" w:rsidP="00C0309C" w:rsidRDefault="00D0720F" w14:paraId="25494EDA" w14:textId="77777777">
            <w:pPr>
              <w:ind w:left="57" w:right="57"/>
              <w:jc w:val="both"/>
            </w:pPr>
          </w:p>
          <w:p w:rsidRPr="00242AC5" w:rsidR="00D0720F" w:rsidP="00C0309C" w:rsidRDefault="00D0720F" w14:paraId="25494EDB" w14:textId="77777777">
            <w:pPr>
              <w:ind w:left="57" w:right="57"/>
              <w:jc w:val="both"/>
            </w:pPr>
          </w:p>
          <w:p w:rsidRPr="00242AC5" w:rsidR="00D0720F" w:rsidP="00C0309C" w:rsidRDefault="00D0720F" w14:paraId="25494EDC" w14:textId="77777777">
            <w:pPr>
              <w:ind w:left="57" w:right="57"/>
              <w:jc w:val="both"/>
            </w:pPr>
          </w:p>
          <w:p w:rsidRPr="00242AC5" w:rsidR="00D0720F" w:rsidP="00C0309C" w:rsidRDefault="00D0720F" w14:paraId="25494EDD" w14:textId="77777777">
            <w:pPr>
              <w:ind w:left="57" w:right="57"/>
              <w:jc w:val="both"/>
            </w:pPr>
          </w:p>
          <w:p w:rsidRPr="00242AC5" w:rsidR="00D0720F" w:rsidP="00C0309C" w:rsidRDefault="00D0720F" w14:paraId="25494EDE" w14:textId="77777777">
            <w:pPr>
              <w:ind w:left="57" w:right="57"/>
              <w:jc w:val="both"/>
            </w:pPr>
          </w:p>
          <w:p w:rsidRPr="00242AC5" w:rsidR="00D0720F" w:rsidP="00C0309C" w:rsidRDefault="00D0720F" w14:paraId="25494EDF" w14:textId="77777777">
            <w:pPr>
              <w:ind w:left="57" w:right="57"/>
              <w:jc w:val="both"/>
            </w:pPr>
          </w:p>
          <w:p w:rsidRPr="00242AC5" w:rsidR="00D0720F" w:rsidP="00C0309C" w:rsidRDefault="00D0720F" w14:paraId="25494EE0" w14:textId="77777777">
            <w:pPr>
              <w:ind w:left="57" w:right="57"/>
              <w:jc w:val="both"/>
            </w:pPr>
          </w:p>
          <w:p w:rsidRPr="00242AC5" w:rsidR="00D0720F" w:rsidP="00C0309C" w:rsidRDefault="00D0720F" w14:paraId="25494EE1" w14:textId="77777777">
            <w:pPr>
              <w:ind w:left="57" w:right="57"/>
              <w:jc w:val="both"/>
            </w:pPr>
          </w:p>
          <w:p w:rsidRPr="00242AC5" w:rsidR="00D0720F" w:rsidP="00C0309C" w:rsidRDefault="00D0720F" w14:paraId="25494EE2" w14:textId="77777777">
            <w:pPr>
              <w:ind w:left="57" w:right="57"/>
              <w:jc w:val="both"/>
            </w:pPr>
          </w:p>
          <w:p w:rsidRPr="00242AC5" w:rsidR="00D0720F" w:rsidP="00C0309C" w:rsidRDefault="00D0720F" w14:paraId="25494EE3" w14:textId="77777777">
            <w:pPr>
              <w:ind w:left="57" w:right="57"/>
              <w:jc w:val="both"/>
            </w:pPr>
          </w:p>
          <w:p w:rsidRPr="00242AC5" w:rsidR="00D0720F" w:rsidP="00C0309C" w:rsidRDefault="00D0720F" w14:paraId="25494EE4" w14:textId="77777777">
            <w:pPr>
              <w:ind w:left="57" w:right="57"/>
              <w:jc w:val="both"/>
            </w:pPr>
          </w:p>
          <w:p w:rsidRPr="00242AC5" w:rsidR="00D0720F" w:rsidP="00C0309C" w:rsidRDefault="00D0720F" w14:paraId="25494EE5" w14:textId="77777777">
            <w:pPr>
              <w:ind w:left="57" w:right="57"/>
              <w:jc w:val="both"/>
            </w:pPr>
          </w:p>
          <w:p w:rsidRPr="00242AC5" w:rsidR="00D0720F" w:rsidP="00C0309C" w:rsidRDefault="00D0720F" w14:paraId="25494EE6" w14:textId="77777777">
            <w:pPr>
              <w:ind w:left="57" w:right="57"/>
              <w:jc w:val="both"/>
            </w:pPr>
          </w:p>
          <w:p w:rsidRPr="00242AC5" w:rsidR="00D0720F" w:rsidP="00C0309C" w:rsidRDefault="00D0720F" w14:paraId="25494EE7" w14:textId="77777777">
            <w:pPr>
              <w:ind w:left="57" w:right="57"/>
              <w:jc w:val="both"/>
            </w:pPr>
          </w:p>
          <w:p w:rsidRPr="00242AC5" w:rsidR="00D0720F" w:rsidP="00C0309C" w:rsidRDefault="00D0720F" w14:paraId="25494EE8" w14:textId="77777777">
            <w:pPr>
              <w:ind w:left="57" w:right="57"/>
              <w:jc w:val="both"/>
            </w:pPr>
          </w:p>
          <w:p w:rsidRPr="00242AC5" w:rsidR="00D0720F" w:rsidP="00C0309C" w:rsidRDefault="00D0720F" w14:paraId="25494EE9" w14:textId="77777777">
            <w:pPr>
              <w:ind w:left="57" w:right="57"/>
              <w:jc w:val="both"/>
            </w:pPr>
          </w:p>
          <w:p w:rsidRPr="00242AC5" w:rsidR="00D0720F" w:rsidP="00C0309C" w:rsidRDefault="00D0720F" w14:paraId="25494EEA" w14:textId="77777777">
            <w:pPr>
              <w:ind w:left="57" w:right="57"/>
              <w:jc w:val="both"/>
            </w:pPr>
          </w:p>
          <w:p w:rsidRPr="00242AC5" w:rsidR="00D0720F" w:rsidP="00C0309C" w:rsidRDefault="00D0720F" w14:paraId="25494EEB" w14:textId="77777777">
            <w:pPr>
              <w:ind w:left="57" w:right="57"/>
              <w:jc w:val="both"/>
            </w:pPr>
          </w:p>
          <w:p w:rsidRPr="00242AC5" w:rsidR="00D0720F" w:rsidP="00C0309C" w:rsidRDefault="00D0720F" w14:paraId="25494EEC" w14:textId="77777777">
            <w:pPr>
              <w:ind w:left="57" w:right="57"/>
              <w:jc w:val="both"/>
            </w:pPr>
          </w:p>
          <w:p w:rsidRPr="00242AC5" w:rsidR="00D0720F" w:rsidP="00C0309C" w:rsidRDefault="00D0720F" w14:paraId="25494EED" w14:textId="77777777">
            <w:pPr>
              <w:ind w:left="57" w:right="57"/>
              <w:jc w:val="both"/>
            </w:pPr>
          </w:p>
          <w:p w:rsidRPr="00242AC5" w:rsidR="00D0720F" w:rsidP="001B7299" w:rsidRDefault="00D0720F" w14:paraId="25494EEE" w14:textId="77777777">
            <w:pPr>
              <w:ind w:right="57"/>
              <w:jc w:val="both"/>
            </w:pPr>
            <w:r w:rsidRPr="00242AC5">
              <w:rPr>
                <w:color w:val="000000"/>
              </w:rPr>
              <w:t>2.2. Eiropas specifikācija – Latvijas nacionālā standarta statusā reģistrēts Eiropas Parlamenta un Padomes 2012.gada 25.oktobra Regulas (ES) Nr.1025/2012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Nr.1673/2006/EK (turpmāk – Regula (ES) Nr.1025/2012) 2.panta 1.punkta b) apakšpunktā minētais Eiropas standarts, Sabiedrisko pakalpojumu sniedzēju iepirkumu likumā minētais Eiropas tehniskais novērtējums vai kopējā tehniskā specifikācija</w:t>
            </w:r>
            <w:r>
              <w:rPr>
                <w:color w:val="000000"/>
              </w:rPr>
              <w:t>.</w:t>
            </w:r>
          </w:p>
        </w:tc>
      </w:tr>
      <w:tr w:rsidRPr="00823410" w:rsidR="00D0720F" w14:paraId="25494EF5"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F0" w14:textId="77777777">
            <w:pPr>
              <w:ind w:left="360" w:hanging="352"/>
              <w:jc w:val="both"/>
            </w:pPr>
            <w:r w:rsidRPr="00EF34ED">
              <w:lastRenderedPageBreak/>
              <w:t>6.</w:t>
            </w:r>
          </w:p>
        </w:tc>
        <w:tc>
          <w:tcPr>
            <w:tcW w:w="3685" w:type="dxa"/>
            <w:gridSpan w:val="3"/>
            <w:tcBorders>
              <w:left w:val="single" w:color="000000" w:sz="6" w:space="0"/>
              <w:bottom w:val="single" w:color="auto" w:sz="4" w:space="0"/>
              <w:right w:val="single" w:color="000000" w:sz="6" w:space="0"/>
            </w:tcBorders>
          </w:tcPr>
          <w:p w:rsidRPr="00823410" w:rsidR="00D0720F" w:rsidP="00510589" w:rsidRDefault="00D0720F" w14:paraId="25494EF1" w14:textId="77777777">
            <w:pPr>
              <w:jc w:val="both"/>
            </w:pPr>
            <w:r>
              <w:rPr>
                <w:color w:val="000000"/>
              </w:rPr>
              <w:t>3.11</w:t>
            </w:r>
            <w:r w:rsidRPr="007112AE">
              <w:rPr>
                <w:color w:val="000000"/>
              </w:rPr>
              <w:t>. pasūtītājs</w:t>
            </w:r>
            <w:r>
              <w:rPr>
                <w:color w:val="000000"/>
              </w:rPr>
              <w:t xml:space="preserve"> –</w:t>
            </w:r>
            <w:r w:rsidRPr="00D06C53">
              <w:rPr>
                <w:color w:val="000000"/>
              </w:rPr>
              <w:t xml:space="preserve"> </w:t>
            </w:r>
            <w:r w:rsidRPr="00007501">
              <w:rPr>
                <w:color w:val="000000"/>
              </w:rPr>
              <w:t>komersants</w:t>
            </w:r>
            <w:r>
              <w:rPr>
                <w:color w:val="000000"/>
              </w:rPr>
              <w:t xml:space="preserve"> </w:t>
            </w:r>
            <w:r w:rsidRPr="00007501">
              <w:rPr>
                <w:color w:val="000000"/>
              </w:rPr>
              <w:t>vai publiska institūcija,</w:t>
            </w:r>
            <w:r>
              <w:rPr>
                <w:color w:val="000000"/>
              </w:rPr>
              <w:t xml:space="preserve"> kas slēdz līgumus un </w:t>
            </w:r>
            <w:proofErr w:type="spellStart"/>
            <w:r>
              <w:rPr>
                <w:color w:val="000000"/>
              </w:rPr>
              <w:t>pasūta</w:t>
            </w:r>
            <w:proofErr w:type="spellEnd"/>
            <w:r>
              <w:rPr>
                <w:color w:val="000000"/>
              </w:rPr>
              <w:t xml:space="preserve"> </w:t>
            </w:r>
            <w:r w:rsidRPr="00452A4C">
              <w:rPr>
                <w:color w:val="000000"/>
              </w:rPr>
              <w:t>dzelzceļa sistēmas apakšsistēmu</w:t>
            </w:r>
            <w:r>
              <w:rPr>
                <w:color w:val="000000"/>
              </w:rPr>
              <w:t xml:space="preserve"> </w:t>
            </w:r>
            <w:r w:rsidRPr="00D06C53">
              <w:rPr>
                <w:color w:val="000000"/>
              </w:rPr>
              <w:t>projektēšan</w:t>
            </w:r>
            <w:r>
              <w:rPr>
                <w:color w:val="000000"/>
              </w:rPr>
              <w:t>u,</w:t>
            </w:r>
            <w:r w:rsidRPr="00D06C53">
              <w:rPr>
                <w:color w:val="000000"/>
              </w:rPr>
              <w:t xml:space="preserve"> būv</w:t>
            </w:r>
            <w:r>
              <w:rPr>
                <w:color w:val="000000"/>
              </w:rPr>
              <w:t>i, iz</w:t>
            </w:r>
            <w:r w:rsidRPr="00452A4C">
              <w:rPr>
                <w:color w:val="000000"/>
              </w:rPr>
              <w:t>gatavošanu, modernizāciju vai atjaunošanu</w:t>
            </w:r>
            <w:r>
              <w:rPr>
                <w:color w:val="000000"/>
              </w:rPr>
              <w:t>.</w:t>
            </w:r>
          </w:p>
        </w:tc>
        <w:tc>
          <w:tcPr>
            <w:tcW w:w="3969" w:type="dxa"/>
            <w:gridSpan w:val="2"/>
            <w:tcBorders>
              <w:left w:val="single" w:color="000000" w:sz="6" w:space="0"/>
              <w:bottom w:val="single" w:color="auto" w:sz="4" w:space="0"/>
              <w:right w:val="single" w:color="000000" w:sz="6" w:space="0"/>
            </w:tcBorders>
          </w:tcPr>
          <w:p w:rsidRPr="00AD55C0" w:rsidR="00D0720F" w:rsidP="00CC135B" w:rsidRDefault="00D0720F" w14:paraId="25494EF2" w14:textId="77777777">
            <w:pPr>
              <w:ind w:firstLine="34"/>
              <w:jc w:val="both"/>
              <w:rPr>
                <w:b/>
                <w:bCs/>
              </w:rPr>
            </w:pPr>
            <w:r>
              <w:rPr>
                <w:color w:val="000000"/>
              </w:rPr>
              <w:t xml:space="preserve">6. </w:t>
            </w:r>
            <w:r w:rsidRPr="00E621A3">
              <w:rPr>
                <w:color w:val="000000"/>
              </w:rPr>
              <w:t>Lūdzam izvērtēt projekta 3</w:t>
            </w:r>
            <w:r>
              <w:rPr>
                <w:color w:val="000000"/>
              </w:rPr>
              <w:t>.11.apakšpunktā minēto terminu ,,</w:t>
            </w:r>
            <w:r w:rsidRPr="00E621A3">
              <w:rPr>
                <w:color w:val="000000"/>
              </w:rPr>
              <w:t xml:space="preserve">publiska institūcija” un nepieciešamības gadījumā to precizēt, </w:t>
            </w:r>
            <w:r>
              <w:rPr>
                <w:color w:val="000000"/>
              </w:rPr>
              <w:t>piemēram, aizstājot ar terminu ,,</w:t>
            </w:r>
            <w:r w:rsidRPr="00E621A3">
              <w:rPr>
                <w:color w:val="000000"/>
              </w:rPr>
              <w:t xml:space="preserve">publiska persona vai tās </w:t>
            </w:r>
            <w:r>
              <w:rPr>
                <w:color w:val="000000"/>
              </w:rPr>
              <w:t>iestāde”. Norādām, ka jēdziena ,,</w:t>
            </w:r>
            <w:r w:rsidRPr="00E621A3">
              <w:rPr>
                <w:color w:val="000000"/>
              </w:rPr>
              <w:t>publiska institūcija” tvērums Latvijas tiesību aktu sistēmā nav skaidrs.</w:t>
            </w:r>
          </w:p>
        </w:tc>
        <w:tc>
          <w:tcPr>
            <w:tcW w:w="1985" w:type="dxa"/>
            <w:gridSpan w:val="2"/>
            <w:tcBorders>
              <w:left w:val="single" w:color="000000" w:sz="6" w:space="0"/>
              <w:bottom w:val="single" w:color="auto" w:sz="4" w:space="0"/>
              <w:right w:val="single" w:color="000000" w:sz="6" w:space="0"/>
            </w:tcBorders>
          </w:tcPr>
          <w:p w:rsidRPr="00823410" w:rsidR="00D0720F" w:rsidP="00510589" w:rsidRDefault="00D0720F" w14:paraId="25494EF3" w14:textId="73BE0A9F">
            <w:pPr>
              <w:autoSpaceDE w:val="0"/>
              <w:autoSpaceDN w:val="0"/>
              <w:adjustRightInd w:val="0"/>
              <w:jc w:val="center"/>
            </w:pPr>
            <w:r w:rsidRPr="00424260">
              <w:rPr>
                <w:b/>
                <w:bCs/>
              </w:rPr>
              <w:t>Ņemts vērā.</w:t>
            </w: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EF4" w14:textId="77777777">
            <w:pPr>
              <w:ind w:left="57" w:right="57"/>
              <w:jc w:val="both"/>
            </w:pPr>
            <w:r w:rsidRPr="00424260">
              <w:t xml:space="preserve">3.11. pasūtītājs – komersants vai </w:t>
            </w:r>
            <w:r w:rsidRPr="00242AC5">
              <w:t xml:space="preserve">publiska persona vai tās iestāde, kas slēdz līgumus un </w:t>
            </w:r>
            <w:proofErr w:type="spellStart"/>
            <w:r w:rsidRPr="00242AC5">
              <w:t>pasūta</w:t>
            </w:r>
            <w:proofErr w:type="spellEnd"/>
            <w:r w:rsidRPr="00242AC5">
              <w:t xml:space="preserve"> dzelzceļa sistēmas apakšsistēmu projektēšanu, būvi, izgatavošanu, modernizāciju vai atjaunošanu</w:t>
            </w:r>
            <w:r>
              <w:t>.</w:t>
            </w:r>
          </w:p>
        </w:tc>
      </w:tr>
      <w:tr w:rsidRPr="00823410" w:rsidR="00D0720F" w14:paraId="25494F18"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EF6" w14:textId="77777777">
            <w:pPr>
              <w:ind w:left="360" w:hanging="352"/>
              <w:jc w:val="both"/>
            </w:pPr>
            <w:r w:rsidRPr="00EF34ED">
              <w:t>7.</w:t>
            </w:r>
          </w:p>
        </w:tc>
        <w:tc>
          <w:tcPr>
            <w:tcW w:w="3685" w:type="dxa"/>
            <w:gridSpan w:val="3"/>
            <w:tcBorders>
              <w:left w:val="single" w:color="000000" w:sz="6" w:space="0"/>
              <w:bottom w:val="single" w:color="auto" w:sz="4" w:space="0"/>
              <w:right w:val="single" w:color="000000" w:sz="6" w:space="0"/>
            </w:tcBorders>
          </w:tcPr>
          <w:p w:rsidR="00D0720F" w:rsidP="00CC135B" w:rsidRDefault="00D0720F" w14:paraId="25494EF7" w14:textId="77777777">
            <w:pPr>
              <w:jc w:val="both"/>
              <w:rPr>
                <w:color w:val="000000"/>
              </w:rPr>
            </w:pPr>
            <w:r>
              <w:rPr>
                <w:color w:val="000000"/>
              </w:rPr>
              <w:t xml:space="preserve">3.21. </w:t>
            </w:r>
            <w:r w:rsidRPr="00D06C53">
              <w:rPr>
                <w:color w:val="000000"/>
              </w:rPr>
              <w:t>persona ar invaliditāti un persona ar ierobežotām pārvietošanās spējām</w:t>
            </w:r>
            <w:r>
              <w:rPr>
                <w:color w:val="000000"/>
              </w:rPr>
              <w:t xml:space="preserve"> – </w:t>
            </w:r>
            <w:r w:rsidRPr="00D06C53">
              <w:rPr>
                <w:color w:val="000000"/>
              </w:rPr>
              <w:t>jebkur</w:t>
            </w:r>
            <w:r>
              <w:rPr>
                <w:color w:val="000000"/>
              </w:rPr>
              <w:t xml:space="preserve">a </w:t>
            </w:r>
            <w:r w:rsidRPr="00D06C53">
              <w:rPr>
                <w:color w:val="000000"/>
              </w:rPr>
              <w:t>person</w:t>
            </w:r>
            <w:r>
              <w:rPr>
                <w:color w:val="000000"/>
              </w:rPr>
              <w:t>a</w:t>
            </w:r>
            <w:r w:rsidRPr="00D06C53">
              <w:rPr>
                <w:color w:val="000000"/>
              </w:rPr>
              <w:t xml:space="preserve">, kas cieš no pastāvīgiem vai pagaidu fiziskiem, garīgiem, intelektuāliem vai maņu orgānu traucējumiem, kuri, saskaroties ar dažādiem šķēršļiem, var traucēt </w:t>
            </w:r>
            <w:r w:rsidRPr="00647FE5">
              <w:rPr>
                <w:color w:val="000000"/>
              </w:rPr>
              <w:t xml:space="preserve">minētajai personai pilnībā un efektīvi izmantot transportu līdzvērtīgi ar citiem pasažieriem, vai kuras mobilitāte, izmantojot transportu, ir ierobežota vecuma </w:t>
            </w:r>
            <w:r w:rsidRPr="00647FE5">
              <w:rPr>
                <w:color w:val="000000"/>
              </w:rPr>
              <w:lastRenderedPageBreak/>
              <w:t>dēļ;</w:t>
            </w:r>
          </w:p>
          <w:p w:rsidR="00D0720F" w:rsidP="00CC135B" w:rsidRDefault="00D0720F" w14:paraId="25494EF8" w14:textId="77777777">
            <w:pPr>
              <w:jc w:val="both"/>
              <w:rPr>
                <w:color w:val="000000"/>
              </w:rPr>
            </w:pPr>
          </w:p>
          <w:p w:rsidR="00D0720F" w:rsidP="00CC135B" w:rsidRDefault="00D0720F" w14:paraId="25494EF9" w14:textId="77777777">
            <w:pPr>
              <w:jc w:val="both"/>
              <w:rPr>
                <w:color w:val="000000"/>
              </w:rPr>
            </w:pPr>
            <w:r>
              <w:rPr>
                <w:color w:val="000000"/>
              </w:rPr>
              <w:t>1.pielikums:</w:t>
            </w:r>
          </w:p>
          <w:p w:rsidR="00D0720F" w:rsidP="00CC135B" w:rsidRDefault="00D0720F" w14:paraId="25494EFA" w14:textId="77777777">
            <w:pPr>
              <w:jc w:val="both"/>
              <w:rPr>
                <w:color w:val="000000"/>
              </w:rPr>
            </w:pPr>
          </w:p>
          <w:p w:rsidR="00D0720F" w:rsidP="00CC135B" w:rsidRDefault="00D0720F" w14:paraId="25494EFB" w14:textId="77777777">
            <w:pPr>
              <w:jc w:val="both"/>
            </w:pPr>
            <w:r>
              <w:t>16. Infrastruktūras apakšsistēmas un ritošā sastāva apakšsistēmas ir pieejamas personām ar invaliditāti un personām ar ierobežotām pārvietošanās spējām, lai tām nodrošinātu piekļuvi vienlīdzīgi ar citām personām, neveidojot un novēršot šķēršļus un veicot citus atbilstīgus pasākumus. Tas ietver attiecīgo publiski pieejamo apakšsistēmu daļu projektēšanu, būvi, atjaunošanu, modernizāciju, tehnisko apkopi un ekspluatāciju.</w:t>
            </w:r>
          </w:p>
          <w:p w:rsidR="00D0720F" w:rsidP="00CC135B" w:rsidRDefault="00D0720F" w14:paraId="25494EFC" w14:textId="77777777">
            <w:pPr>
              <w:jc w:val="both"/>
            </w:pPr>
          </w:p>
          <w:p w:rsidR="00D0720F" w:rsidP="00CC135B" w:rsidRDefault="00D0720F" w14:paraId="25494EFD" w14:textId="77777777">
            <w:pPr>
              <w:jc w:val="both"/>
            </w:pPr>
            <w:r>
              <w:t>17. Satiksmes nodrošināšanas un vadības apakšsistēmas un pasažieru pārvadājumu telemātikas lietojumprogrammu apakšsistēmas nodrošina nepieciešamos risinājumus, lai personām ar invaliditāti un personām ar ierobežotām pārvietošanās spējām veicinātu piekļuvi vienlīdzīgi ar citām personām, neveidojot un novēršot šķēršļus vai veicot citus atbilstīgus pasākumus.</w:t>
            </w:r>
          </w:p>
          <w:p w:rsidR="00D0720F" w:rsidP="00CC135B" w:rsidRDefault="00D0720F" w14:paraId="25494EFE" w14:textId="77777777">
            <w:pPr>
              <w:jc w:val="both"/>
            </w:pPr>
          </w:p>
          <w:p w:rsidR="00D0720F" w:rsidP="00CC135B" w:rsidRDefault="00D0720F" w14:paraId="25494EFF" w14:textId="77777777">
            <w:pPr>
              <w:jc w:val="both"/>
            </w:pPr>
            <w:r>
              <w:t xml:space="preserve">19. Infrastruktūras apakšsistēmas, ciktāl tās ir publiski pieejamas, ir pieejamas arī personām ar </w:t>
            </w:r>
            <w:r>
              <w:lastRenderedPageBreak/>
              <w:t>invaliditāti un personām ar ierobežotām pārvietošanās spējām, ievērojot šī pielikuma 16. un 17.punkta prasības.</w:t>
            </w:r>
          </w:p>
          <w:p w:rsidR="00D0720F" w:rsidP="00CC135B" w:rsidRDefault="00D0720F" w14:paraId="25494F00" w14:textId="77777777">
            <w:pPr>
              <w:jc w:val="both"/>
            </w:pPr>
          </w:p>
          <w:p w:rsidR="00D0720F" w:rsidP="00CC135B" w:rsidRDefault="00D0720F" w14:paraId="25494F01" w14:textId="77777777">
            <w:pPr>
              <w:jc w:val="both"/>
            </w:pPr>
            <w:r>
              <w:t>42. Ritošā sastāva apakšsistēmas, ciktāl tās ir publiski pieejamas, ir pieejamas arī personām ar invaliditāti un personām ar ierobežotām pārvietošanās spējām, ievērojot šī pielikuma 16. un 17.punkta prasības.</w:t>
            </w:r>
          </w:p>
          <w:p w:rsidR="00D0720F" w:rsidP="00CC135B" w:rsidRDefault="00D0720F" w14:paraId="25494F02" w14:textId="77777777">
            <w:pPr>
              <w:jc w:val="both"/>
            </w:pPr>
          </w:p>
          <w:p w:rsidR="00D0720F" w:rsidP="00CC135B" w:rsidRDefault="00D0720F" w14:paraId="25494F03" w14:textId="77777777">
            <w:pPr>
              <w:jc w:val="both"/>
            </w:pPr>
            <w:r>
              <w:t>50. Veic atbilstīgus pasākumus, lai ekspluatācijas noteikumos tiktu paredzēta nepieciešamā funkcionalitāte, lai nodrošinātu piekļuvi personām ar invaliditāti un personām ar ierobežotām pārvietošanās spējām.</w:t>
            </w:r>
          </w:p>
          <w:p w:rsidR="00D0720F" w:rsidP="00CC135B" w:rsidRDefault="00D0720F" w14:paraId="25494F04" w14:textId="77777777">
            <w:pPr>
              <w:jc w:val="both"/>
            </w:pPr>
          </w:p>
          <w:p w:rsidRPr="00823410" w:rsidR="00D0720F" w:rsidP="00CC135B" w:rsidRDefault="00D0720F" w14:paraId="25494F05" w14:textId="77777777">
            <w:pPr>
              <w:jc w:val="both"/>
            </w:pPr>
            <w:r>
              <w:t>56. Veic atbilstīgus pasākumus, lai pasažieru pārvadājumu apakšsistēmu telemātikas lietojumprogrammās tiktu paredzēta nepieciešamā funkcionalitāte, lai nodrošinātu piekļuvi personām ar invaliditāti un personām ar ierobežotām pārvietošanās spējām.</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06" w14:textId="77777777">
            <w:pPr>
              <w:ind w:firstLine="34"/>
              <w:jc w:val="both"/>
              <w:rPr>
                <w:b/>
                <w:bCs/>
              </w:rPr>
            </w:pPr>
            <w:r>
              <w:rPr>
                <w:color w:val="000000"/>
              </w:rPr>
              <w:lastRenderedPageBreak/>
              <w:t xml:space="preserve">7. </w:t>
            </w:r>
            <w:r w:rsidRPr="00E54462">
              <w:rPr>
                <w:color w:val="000000"/>
              </w:rPr>
              <w:t>Lūdzam izvērtēt un nepieciešamības gadījumā svītrot projekta 3.21.</w:t>
            </w:r>
            <w:r>
              <w:rPr>
                <w:color w:val="000000"/>
              </w:rPr>
              <w:t>apakšpunktā ietverto termina ,,</w:t>
            </w:r>
            <w:r w:rsidRPr="00E54462">
              <w:rPr>
                <w:color w:val="000000"/>
              </w:rPr>
              <w:t>Persona ar invaliditāti un persona ar ierobežotām pārvietošanās spējām” definīciju. Vēršam uzmanību, ka m</w:t>
            </w:r>
            <w:r>
              <w:rPr>
                <w:color w:val="000000"/>
              </w:rPr>
              <w:t>inētajā normā minētais termins ,,</w:t>
            </w:r>
            <w:r w:rsidRPr="00E54462">
              <w:rPr>
                <w:color w:val="000000"/>
              </w:rPr>
              <w:t xml:space="preserve">persona ar invaliditāti” neatbilst Invaliditātes likumā ietvertajam skaidrojumam. Turklāt norādām, ka projekta 3.21.apakšpunktā minētais termins tālāk projekta tekstā netiek lietots. Tāpat Tieslietu ministrija ņem </w:t>
            </w:r>
            <w:r w:rsidRPr="00E54462">
              <w:rPr>
                <w:color w:val="000000"/>
              </w:rPr>
              <w:lastRenderedPageBreak/>
              <w:t xml:space="preserve">vērā, ka minētajā projekta normā pārrakstīts </w:t>
            </w:r>
            <w:r w:rsidRPr="00E54462">
              <w:rPr>
                <w:i/>
                <w:iCs/>
                <w:color w:val="000000"/>
              </w:rPr>
              <w:t xml:space="preserve">Eiropas Parlamenta un Padomes 2016.gada 11.maija Direktīvas (ES) 2016/797 par dzelzceļa sistēmas savstarpēju </w:t>
            </w:r>
            <w:proofErr w:type="spellStart"/>
            <w:r w:rsidRPr="00E54462">
              <w:rPr>
                <w:i/>
                <w:iCs/>
                <w:color w:val="000000"/>
              </w:rPr>
              <w:t>izmantojamību</w:t>
            </w:r>
            <w:proofErr w:type="spellEnd"/>
            <w:r w:rsidRPr="00E54462">
              <w:rPr>
                <w:i/>
                <w:iCs/>
                <w:color w:val="000000"/>
              </w:rPr>
              <w:t xml:space="preserve"> Eiropas Savienībā</w:t>
            </w:r>
            <w:r w:rsidRPr="00E54462">
              <w:rPr>
                <w:color w:val="000000"/>
              </w:rPr>
              <w:t xml:space="preserve"> (turpmāk – Direktīva 2016/797) 2.panta 43.punkts, tomēr kopumā projektā no Direktīvas 2016/797 izrietošais regulējums attiecībā uz šādām personām (piemēram, direktīvas 48. pants) šajā projektā netiek pārņemts un saskaņā ar projekta anotācijas V sadaļā norādīto informāciju tiks pārņemts citos normatīvajos aktos.</w:t>
            </w:r>
          </w:p>
        </w:tc>
        <w:tc>
          <w:tcPr>
            <w:tcW w:w="1985" w:type="dxa"/>
            <w:gridSpan w:val="2"/>
            <w:tcBorders>
              <w:left w:val="single" w:color="000000" w:sz="6" w:space="0"/>
              <w:bottom w:val="single" w:color="auto" w:sz="4" w:space="0"/>
              <w:right w:val="single" w:color="000000" w:sz="6" w:space="0"/>
            </w:tcBorders>
          </w:tcPr>
          <w:p w:rsidR="00510589" w:rsidP="00510589" w:rsidRDefault="00D0720F" w14:paraId="6CBE7DCD" w14:textId="62ED050D">
            <w:pPr>
              <w:autoSpaceDE w:val="0"/>
              <w:autoSpaceDN w:val="0"/>
              <w:adjustRightInd w:val="0"/>
              <w:jc w:val="center"/>
            </w:pPr>
            <w:r>
              <w:rPr>
                <w:b/>
                <w:bCs/>
              </w:rPr>
              <w:lastRenderedPageBreak/>
              <w:t xml:space="preserve">Panākta vienošanās saskaņošanas </w:t>
            </w:r>
            <w:r w:rsidR="00510589">
              <w:rPr>
                <w:b/>
                <w:bCs/>
              </w:rPr>
              <w:t>laik</w:t>
            </w:r>
            <w:r>
              <w:rPr>
                <w:b/>
                <w:bCs/>
              </w:rPr>
              <w:t>ā.</w:t>
            </w:r>
          </w:p>
          <w:p w:rsidRPr="00242AC5" w:rsidR="00D0720F" w:rsidP="00CC135B" w:rsidRDefault="00D0720F" w14:paraId="25494F08" w14:textId="77777777">
            <w:pPr>
              <w:autoSpaceDE w:val="0"/>
              <w:autoSpaceDN w:val="0"/>
              <w:adjustRightInd w:val="0"/>
              <w:jc w:val="both"/>
            </w:pPr>
          </w:p>
          <w:p w:rsidRPr="00242AC5" w:rsidR="00D0720F" w:rsidP="00CC135B" w:rsidRDefault="00D0720F" w14:paraId="25494F09" w14:textId="77777777">
            <w:pPr>
              <w:autoSpaceDE w:val="0"/>
              <w:autoSpaceDN w:val="0"/>
              <w:adjustRightInd w:val="0"/>
              <w:jc w:val="both"/>
            </w:pPr>
            <w:r w:rsidRPr="00242AC5">
              <w:t>Termins lietots 1.pielikumā</w:t>
            </w:r>
            <w:r>
              <w:t>.</w:t>
            </w:r>
          </w:p>
        </w:tc>
        <w:tc>
          <w:tcPr>
            <w:tcW w:w="4278" w:type="dxa"/>
            <w:gridSpan w:val="3"/>
            <w:tcBorders>
              <w:top w:val="single" w:color="auto" w:sz="4" w:space="0"/>
              <w:left w:val="single" w:color="auto" w:sz="4" w:space="0"/>
              <w:bottom w:val="single" w:color="auto" w:sz="4" w:space="0"/>
            </w:tcBorders>
          </w:tcPr>
          <w:p w:rsidR="00510589" w:rsidP="00510589" w:rsidRDefault="00510589" w14:paraId="03508A5F" w14:textId="43D90FE4">
            <w:pPr>
              <w:autoSpaceDE w:val="0"/>
              <w:autoSpaceDN w:val="0"/>
              <w:adjustRightInd w:val="0"/>
              <w:jc w:val="both"/>
            </w:pPr>
            <w:r w:rsidRPr="00242AC5">
              <w:t>Precizēts Projekts un tā 1.pielikums</w:t>
            </w:r>
            <w:r>
              <w:t>.</w:t>
            </w:r>
          </w:p>
          <w:p w:rsidRPr="00242AC5" w:rsidR="00510589" w:rsidP="00510589" w:rsidRDefault="00510589" w14:paraId="79436C34" w14:textId="77777777">
            <w:pPr>
              <w:autoSpaceDE w:val="0"/>
              <w:autoSpaceDN w:val="0"/>
              <w:adjustRightInd w:val="0"/>
              <w:jc w:val="both"/>
            </w:pPr>
          </w:p>
          <w:p w:rsidRPr="00242AC5" w:rsidR="00D0720F" w:rsidP="00603429" w:rsidRDefault="00D0720F" w14:paraId="25494F0A" w14:textId="77777777">
            <w:pPr>
              <w:ind w:right="57"/>
              <w:jc w:val="both"/>
              <w:rPr>
                <w:color w:val="000000"/>
              </w:rPr>
            </w:pPr>
            <w:r w:rsidRPr="00242AC5">
              <w:rPr>
                <w:color w:val="000000"/>
              </w:rPr>
              <w:t>3.21. persona ar ierobežotām pārvietošanās spējām – jebkura persona, kas cieš no pastāvīgiem vai pagaidu fiziskiem, garīgiem, intelektuāliem vai maņu orgānu traucējumiem, kuri, saskaroties ar dažādiem šķēršļiem, var traucēt minētajai personai pilnībā un efektīvi izmantot transportu līdzvērtīgi ar citiem pasažieriem, vai kuras mobilitāte, izmantojot transportu, ir ierobežota vecuma dēļ;</w:t>
            </w:r>
          </w:p>
          <w:p w:rsidRPr="00242AC5" w:rsidR="00D0720F" w:rsidP="00603429" w:rsidRDefault="00D0720F" w14:paraId="25494F0B" w14:textId="77777777">
            <w:pPr>
              <w:ind w:right="57"/>
              <w:jc w:val="both"/>
            </w:pPr>
          </w:p>
          <w:p w:rsidRPr="00242AC5" w:rsidR="00D0720F" w:rsidP="00603429" w:rsidRDefault="00D0720F" w14:paraId="25494F0C" w14:textId="77777777">
            <w:pPr>
              <w:ind w:right="57"/>
              <w:jc w:val="both"/>
            </w:pPr>
            <w:r w:rsidRPr="00242AC5">
              <w:t>1.pielikuma.</w:t>
            </w:r>
          </w:p>
          <w:p w:rsidRPr="00242AC5" w:rsidR="00D0720F" w:rsidP="00603429" w:rsidRDefault="00D0720F" w14:paraId="25494F0D" w14:textId="77777777">
            <w:pPr>
              <w:ind w:right="57"/>
              <w:jc w:val="both"/>
            </w:pPr>
            <w:r w:rsidRPr="00242AC5">
              <w:t>16. Infrastruktūras apakšsistēmas un ritošā sastāva apakšsistēmas ir pieejamas personām ar ierobežotām pārvietošanās spējām, lai tām nodrošinātu piekļuvi vienlīdzīgi ar citām personām, neveidojot un novēršot šķēršļus un veicot citus atbilstīgus pasākumus. Tas ietver attiecīgo publiski pieejamo apakšsistēmu daļu projektēšanu, būvi, atjaunošanu, modernizāciju, tehnisko apkopi un ekspluatāciju.</w:t>
            </w:r>
          </w:p>
          <w:p w:rsidRPr="00242AC5" w:rsidR="00D0720F" w:rsidP="00603429" w:rsidRDefault="00D0720F" w14:paraId="25494F0E" w14:textId="77777777">
            <w:pPr>
              <w:ind w:right="57"/>
              <w:jc w:val="both"/>
            </w:pPr>
          </w:p>
          <w:p w:rsidRPr="00242AC5" w:rsidR="00D0720F" w:rsidP="00603429" w:rsidRDefault="00D0720F" w14:paraId="25494F0F" w14:textId="77777777">
            <w:pPr>
              <w:ind w:right="57"/>
              <w:jc w:val="both"/>
            </w:pPr>
            <w:r w:rsidRPr="00242AC5">
              <w:t>17. Satiksmes nodrošināšanas un vadības apakšsistēmas un pasažieru pārvadājumu telemātikas lietojumprogrammu apakšsistēmas nodrošina nepieciešamos risinājumus, lai personām ar ierobežotām pārvietošanās spējām veicinātu piekļuvi vienlīdzīgi ar citām personām, neveidojot un novēršot šķēršļus vai veicot citus atbilstīgus pasākumus.</w:t>
            </w:r>
          </w:p>
          <w:p w:rsidRPr="00242AC5" w:rsidR="00D0720F" w:rsidP="00603429" w:rsidRDefault="00D0720F" w14:paraId="25494F10" w14:textId="77777777">
            <w:pPr>
              <w:ind w:right="57"/>
              <w:jc w:val="both"/>
            </w:pPr>
          </w:p>
          <w:p w:rsidRPr="00242AC5" w:rsidR="00D0720F" w:rsidP="00603429" w:rsidRDefault="00D0720F" w14:paraId="25494F11" w14:textId="77777777">
            <w:pPr>
              <w:ind w:right="57"/>
              <w:jc w:val="both"/>
            </w:pPr>
            <w:r w:rsidRPr="00242AC5">
              <w:t>19. Infrastruktūras apakšsistēmas, ciktāl tās ir publiski pieejamas, ir pieejamas arī personām ar ierobežotām pārvietošanās spējām, ievērojot šī pielikuma 16. un 17.punkta prasības.</w:t>
            </w:r>
          </w:p>
          <w:p w:rsidRPr="00242AC5" w:rsidR="00D0720F" w:rsidP="00603429" w:rsidRDefault="00D0720F" w14:paraId="25494F12" w14:textId="77777777">
            <w:pPr>
              <w:ind w:right="57"/>
              <w:jc w:val="both"/>
            </w:pPr>
          </w:p>
          <w:p w:rsidRPr="00242AC5" w:rsidR="00D0720F" w:rsidP="00603429" w:rsidRDefault="00D0720F" w14:paraId="25494F13" w14:textId="77777777">
            <w:pPr>
              <w:ind w:right="57"/>
              <w:jc w:val="both"/>
            </w:pPr>
            <w:r w:rsidRPr="00242AC5">
              <w:t xml:space="preserve">42. Ritošā sastāva apakšsistēmas, ciktāl tās ir publiski pieejamas, ir pieejamas arī personām ar ierobežotām pārvietošanās spējām, ievērojot šī pielikuma 16. un </w:t>
            </w:r>
            <w:r w:rsidRPr="00242AC5">
              <w:lastRenderedPageBreak/>
              <w:t>17.punkta prasības.</w:t>
            </w:r>
          </w:p>
          <w:p w:rsidRPr="00242AC5" w:rsidR="00D0720F" w:rsidP="00603429" w:rsidRDefault="00D0720F" w14:paraId="25494F14" w14:textId="77777777">
            <w:pPr>
              <w:ind w:right="57"/>
              <w:jc w:val="both"/>
            </w:pPr>
          </w:p>
          <w:p w:rsidRPr="00242AC5" w:rsidR="00D0720F" w:rsidP="00603429" w:rsidRDefault="00D0720F" w14:paraId="25494F15" w14:textId="77777777">
            <w:pPr>
              <w:ind w:right="57"/>
              <w:jc w:val="both"/>
            </w:pPr>
            <w:r w:rsidRPr="00242AC5">
              <w:t>50. Veic atbilstīgus pasākumus, lai ekspluatācijas noteikumos tiktu paredzēta nepieciešamā funkcionalitāte, lai nodrošinātu piekļuvi personām ar ierobežotām pārvietošanās spējām.</w:t>
            </w:r>
          </w:p>
          <w:p w:rsidRPr="00242AC5" w:rsidR="00D0720F" w:rsidP="00603429" w:rsidRDefault="00D0720F" w14:paraId="25494F16" w14:textId="77777777">
            <w:pPr>
              <w:ind w:right="57"/>
              <w:jc w:val="both"/>
            </w:pPr>
          </w:p>
          <w:p w:rsidRPr="00242AC5" w:rsidR="00D0720F" w:rsidP="00603429" w:rsidRDefault="00D0720F" w14:paraId="25494F17" w14:textId="77777777">
            <w:pPr>
              <w:ind w:right="57"/>
              <w:jc w:val="both"/>
            </w:pPr>
            <w:r w:rsidRPr="00242AC5">
              <w:t>56. Veic atbilstīgus pasākumus, lai pasažieru pārvadājumu apakšsistēmu telemātikas lietojumprogrammās tiktu paredzēta nepieciešamā funkcionalitāte, lai nodrošinātu piekļuvi personām ar ierobežotām pārvietošanās spējām.</w:t>
            </w:r>
          </w:p>
        </w:tc>
      </w:tr>
      <w:tr w:rsidRPr="00823410" w:rsidR="00D0720F" w14:paraId="25494F1E"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19" w14:textId="77777777">
            <w:pPr>
              <w:ind w:left="360" w:hanging="352"/>
              <w:jc w:val="both"/>
            </w:pPr>
            <w:r w:rsidRPr="00EF34ED">
              <w:lastRenderedPageBreak/>
              <w:t>8.</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1A" w14:textId="77777777">
            <w:pPr>
              <w:jc w:val="both"/>
            </w:pPr>
            <w:r w:rsidRPr="003707AD">
              <w:t xml:space="preserve">4.6. paziņotā institūcija piedalās attiecīgajās standartizācijas aktivitātēs un Eiropas Komisijas organizētajās paziņoto institūciju </w:t>
            </w:r>
            <w:r w:rsidRPr="003707AD">
              <w:lastRenderedPageBreak/>
              <w:t>koordinācijas darba grupās</w:t>
            </w:r>
            <w:r w:rsidRPr="00306845">
              <w:t xml:space="preserve"> par</w:t>
            </w:r>
            <w:r w:rsidRPr="00476908">
              <w:t xml:space="preserve"> </w:t>
            </w:r>
            <w:r>
              <w:t>atbilstības novērtēšanu Eiropas Savienības dzelzceļu sistēmā</w:t>
            </w:r>
            <w:r w:rsidRPr="00476908">
              <w:t xml:space="preserve">, vai nodrošina, ka </w:t>
            </w:r>
            <w:r w:rsidRPr="00AD5476">
              <w:t>informācija par minētajām aktivitātēm ir piee</w:t>
            </w:r>
            <w:r>
              <w:t>jama tās darbiniekiem</w:t>
            </w:r>
            <w:r w:rsidRPr="00476908">
              <w:t xml:space="preserve">, kas veic </w:t>
            </w:r>
            <w:r>
              <w:t>atbilstības no</w:t>
            </w:r>
            <w:r w:rsidRPr="00476908">
              <w:t>vērtēšanu</w:t>
            </w:r>
            <w:r>
              <w:t>.</w:t>
            </w:r>
            <w:r w:rsidRPr="00AD5476">
              <w:rPr>
                <w:rFonts w:ascii="Arial" w:hAnsi="Arial" w:cs="Arial"/>
                <w:color w:val="414142"/>
                <w:sz w:val="20"/>
                <w:szCs w:val="20"/>
              </w:rPr>
              <w:t xml:space="preserve"> </w:t>
            </w:r>
            <w:r>
              <w:t>Paziņotā</w:t>
            </w:r>
            <w:r w:rsidRPr="00AD5476">
              <w:t xml:space="preserve"> </w:t>
            </w:r>
            <w:r>
              <w:t>i</w:t>
            </w:r>
            <w:r w:rsidRPr="00AD5476">
              <w:t xml:space="preserve">nstitūcija savā darbībā kā pamatnostādnes izmanto paziņoto institūciju darba grupas </w:t>
            </w:r>
            <w:r>
              <w:t xml:space="preserve">administratīvos </w:t>
            </w:r>
            <w:r w:rsidRPr="00AD5476">
              <w:t>lēmumus un sagatavotos dokumentus</w:t>
            </w:r>
            <w:r>
              <w:t>.</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1B" w14:textId="77777777">
            <w:pPr>
              <w:ind w:firstLine="34"/>
              <w:jc w:val="both"/>
              <w:rPr>
                <w:b/>
                <w:bCs/>
              </w:rPr>
            </w:pPr>
            <w:r>
              <w:rPr>
                <w:color w:val="000000"/>
              </w:rPr>
              <w:lastRenderedPageBreak/>
              <w:t>8. Projekta 4.6.</w:t>
            </w:r>
            <w:r w:rsidRPr="00E54462">
              <w:rPr>
                <w:color w:val="000000"/>
              </w:rPr>
              <w:t xml:space="preserve">apakšpunktu nepieciešams precizēt, svītrojot tajā vārdu </w:t>
            </w:r>
            <w:r>
              <w:rPr>
                <w:color w:val="000000"/>
              </w:rPr>
              <w:t>,,</w:t>
            </w:r>
            <w:r w:rsidRPr="00E54462">
              <w:rPr>
                <w:color w:val="000000"/>
              </w:rPr>
              <w:t xml:space="preserve">administratīvos”. Vēršam uzmanību, ka vārdi “administratīvos </w:t>
            </w:r>
            <w:r w:rsidRPr="00E54462">
              <w:rPr>
                <w:color w:val="000000"/>
              </w:rPr>
              <w:lastRenderedPageBreak/>
              <w:t>lēmumus” var radīt maldinošu priekšstatu par šo lēmumu saistošo raksturu, proti, ka šādi lēmumi ir administratīvie akti, kuru tiesiskuma pārbaude notiks saskaņā ar Administratīvā procesa likumu.</w:t>
            </w:r>
          </w:p>
        </w:tc>
        <w:tc>
          <w:tcPr>
            <w:tcW w:w="1985" w:type="dxa"/>
            <w:gridSpan w:val="2"/>
            <w:tcBorders>
              <w:left w:val="single" w:color="000000" w:sz="6" w:space="0"/>
              <w:bottom w:val="single" w:color="auto" w:sz="4" w:space="0"/>
              <w:right w:val="single" w:color="000000" w:sz="6" w:space="0"/>
            </w:tcBorders>
          </w:tcPr>
          <w:p w:rsidRPr="00F761B9" w:rsidR="00D0720F" w:rsidP="00510589" w:rsidRDefault="00D0720F" w14:paraId="25494F1C" w14:textId="1618F02A">
            <w:pPr>
              <w:autoSpaceDE w:val="0"/>
              <w:autoSpaceDN w:val="0"/>
              <w:adjustRightInd w:val="0"/>
              <w:jc w:val="center"/>
              <w:rPr>
                <w:b/>
                <w:bCs/>
              </w:rPr>
            </w:pPr>
            <w:r>
              <w:rPr>
                <w:b/>
                <w:bCs/>
              </w:rPr>
              <w:lastRenderedPageBreak/>
              <w:t>Ņemts vērā.</w:t>
            </w:r>
          </w:p>
        </w:tc>
        <w:tc>
          <w:tcPr>
            <w:tcW w:w="4278" w:type="dxa"/>
            <w:gridSpan w:val="3"/>
            <w:tcBorders>
              <w:top w:val="single" w:color="auto" w:sz="4" w:space="0"/>
              <w:left w:val="single" w:color="auto" w:sz="4" w:space="0"/>
              <w:bottom w:val="single" w:color="auto" w:sz="4" w:space="0"/>
            </w:tcBorders>
          </w:tcPr>
          <w:p w:rsidRPr="00823410" w:rsidR="00D0720F" w:rsidP="009A0C70" w:rsidRDefault="00D0720F" w14:paraId="25494F1D" w14:textId="77777777">
            <w:pPr>
              <w:ind w:right="57"/>
              <w:jc w:val="both"/>
            </w:pPr>
            <w:r w:rsidRPr="000633C3">
              <w:t xml:space="preserve">4.6. paziņotā institūcija piedalās </w:t>
            </w:r>
            <w:r w:rsidRPr="00242AC5">
              <w:t xml:space="preserve">attiecīgajās standartizācijas aktivitātēs un tieši vai ar ieceltu pārstāvju starpniecību piedalās Eiropas Komisijas organizētajās </w:t>
            </w:r>
            <w:r w:rsidRPr="00242AC5">
              <w:lastRenderedPageBreak/>
              <w:t>paziņoto institūciju koordinācijas darba grupās par atbilstības novērtēšanu Eiropas Savienības dzelzceļu sistēmā, kā arī nodrošina, ka informācija par minētajām aktivitātēm ir pieejama tās darbiniekiem, kas veic atbilstības novērtēšanu. Paziņotā institūcija savā darbībā kā pamatnostādnes izmanto paziņoto institūciju darba grupas lēmumus</w:t>
            </w:r>
            <w:r w:rsidRPr="000633C3">
              <w:t xml:space="preserve"> un sagatavotos dokumentus</w:t>
            </w:r>
            <w:r>
              <w:t>.</w:t>
            </w:r>
          </w:p>
        </w:tc>
      </w:tr>
      <w:tr w:rsidRPr="00823410" w:rsidR="00D0720F" w14:paraId="25494F24"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1F" w14:textId="77777777">
            <w:pPr>
              <w:ind w:left="360" w:hanging="352"/>
              <w:jc w:val="both"/>
            </w:pPr>
            <w:r w:rsidRPr="00EF34ED">
              <w:lastRenderedPageBreak/>
              <w:t>9.</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20" w14:textId="77777777">
            <w:pPr>
              <w:jc w:val="both"/>
            </w:pPr>
            <w:r w:rsidRPr="0092592D">
              <w:t>5.9. atalgojums, ko saņem paziņotās institūcijas vadība un darbinieki, kas veic atbilstības novērtēšanas darbības, nav atkarīgs no veikto novērtēj</w:t>
            </w:r>
            <w:r>
              <w:t>umu skaita vai to rezultātiem.</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21" w14:textId="77777777">
            <w:pPr>
              <w:ind w:left="34"/>
              <w:jc w:val="both"/>
              <w:rPr>
                <w:b/>
                <w:bCs/>
              </w:rPr>
            </w:pPr>
            <w:r>
              <w:rPr>
                <w:color w:val="000000"/>
              </w:rPr>
              <w:t xml:space="preserve">9. </w:t>
            </w:r>
            <w:r w:rsidRPr="00AD3057">
              <w:rPr>
                <w:color w:val="000000"/>
              </w:rPr>
              <w:t>Lūdzam skaidrot projekta 5.9.apakšpunkta atbilstību Likumā ietvertajam</w:t>
            </w:r>
            <w:r>
              <w:rPr>
                <w:color w:val="000000"/>
              </w:rPr>
              <w:t xml:space="preserve"> pilnvarojumam, kā arī likumā ,,</w:t>
            </w:r>
            <w:r w:rsidRPr="00AD3057">
              <w:rPr>
                <w:color w:val="000000"/>
              </w:rPr>
              <w:t>Par atbilstības novērtēšanu” noteiktajam pilnvarojumam. Tieslietu ministrija ņem vērā, ka ar minēto projekta normu tiek pārņemts Direktīvas 2016/797 32.panta 2.punktā ietvertais regulējums, tomēr norādām, ka Ministru kabinets ar projektā paredzētajiem noteikumiem nav tiesīgs ierobežot privātpersonas atalgojumu.</w:t>
            </w:r>
          </w:p>
        </w:tc>
        <w:tc>
          <w:tcPr>
            <w:tcW w:w="1985" w:type="dxa"/>
            <w:gridSpan w:val="2"/>
            <w:tcBorders>
              <w:left w:val="single" w:color="000000" w:sz="6" w:space="0"/>
              <w:bottom w:val="single" w:color="auto" w:sz="4" w:space="0"/>
              <w:right w:val="single" w:color="000000" w:sz="6" w:space="0"/>
            </w:tcBorders>
          </w:tcPr>
          <w:p w:rsidRPr="00251B93" w:rsidR="00D0720F" w:rsidP="00510589" w:rsidRDefault="00D0720F" w14:paraId="25494F22" w14:textId="16D24519">
            <w:pPr>
              <w:autoSpaceDE w:val="0"/>
              <w:autoSpaceDN w:val="0"/>
              <w:adjustRightInd w:val="0"/>
              <w:jc w:val="center"/>
            </w:pPr>
            <w:r>
              <w:rPr>
                <w:b/>
                <w:bCs/>
              </w:rPr>
              <w:t>Ņemts vērā.</w:t>
            </w:r>
          </w:p>
        </w:tc>
        <w:tc>
          <w:tcPr>
            <w:tcW w:w="4278" w:type="dxa"/>
            <w:gridSpan w:val="3"/>
            <w:tcBorders>
              <w:top w:val="single" w:color="auto" w:sz="4" w:space="0"/>
              <w:left w:val="single" w:color="auto" w:sz="4" w:space="0"/>
              <w:bottom w:val="single" w:color="auto" w:sz="4" w:space="0"/>
            </w:tcBorders>
          </w:tcPr>
          <w:p w:rsidRPr="00823410" w:rsidR="00D0720F" w:rsidP="009A0C70" w:rsidRDefault="00D0720F" w14:paraId="25494F23" w14:textId="77777777">
            <w:pPr>
              <w:ind w:right="57"/>
              <w:jc w:val="both"/>
            </w:pPr>
            <w:r w:rsidRPr="0092592D">
              <w:t xml:space="preserve">5.9. </w:t>
            </w:r>
            <w:r w:rsidRPr="00242AC5">
              <w:t>paziņotās institūcijas vadības un darbinieku, kas veic atbilstības novērtēšanas darbības, atlīdzības sistēma nav atkarīga no veikto novērtējumu skaita vai to rezultātiem</w:t>
            </w:r>
            <w:r w:rsidRPr="006A43C5">
              <w:rPr>
                <w:b/>
                <w:bCs/>
              </w:rPr>
              <w:t>.</w:t>
            </w:r>
          </w:p>
        </w:tc>
      </w:tr>
      <w:tr w:rsidRPr="00823410" w:rsidR="00D0720F" w14:paraId="25494F2C"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25" w14:textId="77777777">
            <w:pPr>
              <w:ind w:left="360" w:hanging="352"/>
              <w:jc w:val="both"/>
            </w:pPr>
            <w:r w:rsidRPr="00EF34ED">
              <w:t>10.</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26" w14:textId="77777777">
            <w:pPr>
              <w:jc w:val="both"/>
            </w:pPr>
            <w:r>
              <w:t>12</w:t>
            </w:r>
            <w:r w:rsidRPr="00476908">
              <w:t xml:space="preserve">. Paziņotā </w:t>
            </w:r>
            <w:r>
              <w:t>institūcija</w:t>
            </w:r>
            <w:r w:rsidRPr="00476908">
              <w:t xml:space="preserve"> atbilstības </w:t>
            </w:r>
            <w:r w:rsidRPr="00B732F4">
              <w:t>novērtēšanu veic samērīgi, izvairoties no liekiem apgrūtinājumiem iesaistītajām personām, ņemot vērā uzņēmuma lielumu, nozari, kurā tas darbojas, tā struktūru, attiecīgās produkta tehnoloģijas sarežģītības pakāpi un to</w:t>
            </w:r>
            <w:r w:rsidRPr="00E72AD7">
              <w:t xml:space="preserve">, vai ražošanas process ir </w:t>
            </w:r>
            <w:r w:rsidRPr="00E72AD7">
              <w:lastRenderedPageBreak/>
              <w:t>sērijveida vai n</w:t>
            </w:r>
            <w:r>
              <w:t>ē</w:t>
            </w:r>
            <w:r w:rsidRPr="00E72AD7">
              <w:t xml:space="preserve">, tomēr ievēro tādu stingrību un </w:t>
            </w:r>
            <w:r>
              <w:t>drošības</w:t>
            </w:r>
            <w:r w:rsidRPr="00E72AD7">
              <w:t xml:space="preserve"> līmeni, kāds nepieciešams, lai </w:t>
            </w:r>
            <w:r>
              <w:t>produkts</w:t>
            </w:r>
            <w:r w:rsidRPr="00E72AD7">
              <w:t xml:space="preserve"> atbilstu šo noteikumu prasībām.</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27" w14:textId="77777777">
            <w:pPr>
              <w:ind w:left="34"/>
              <w:jc w:val="both"/>
            </w:pPr>
            <w:r>
              <w:rPr>
                <w:color w:val="000000"/>
              </w:rPr>
              <w:lastRenderedPageBreak/>
              <w:t xml:space="preserve">10. </w:t>
            </w:r>
            <w:r w:rsidRPr="00F70540">
              <w:rPr>
                <w:color w:val="000000"/>
              </w:rPr>
              <w:t>Lūdzam svītrot vai precizēt p</w:t>
            </w:r>
            <w:r>
              <w:rPr>
                <w:color w:val="000000"/>
              </w:rPr>
              <w:t>rojekta 12.</w:t>
            </w:r>
            <w:r w:rsidRPr="00F70540">
              <w:rPr>
                <w:color w:val="000000"/>
              </w:rPr>
              <w:t>punktu, jo šāda norma ir deklaratīva (nav juridiskās slodzes), turklāt neatbilst izveidotajai tiesību sistēmai. Vēršam uzmanību, ka privātpersonai, kura izpilda valsts pārvaldes uzdevumu, ir jādarbojas saskaņā ar Valst</w:t>
            </w:r>
            <w:r>
              <w:rPr>
                <w:color w:val="000000"/>
              </w:rPr>
              <w:t>s pārvaldes iekārtas likuma 10.</w:t>
            </w:r>
            <w:r w:rsidRPr="00F70540">
              <w:rPr>
                <w:color w:val="000000"/>
              </w:rPr>
              <w:t xml:space="preserve">panta pirmajā daļā noteikto </w:t>
            </w:r>
            <w:r w:rsidRPr="00F70540">
              <w:rPr>
                <w:color w:val="000000"/>
              </w:rPr>
              <w:lastRenderedPageBreak/>
              <w:t>tiesiskuma principu, proti, tai jādarbojas saskaņā ar normatīvajos aktos noteiktajām procedūr</w:t>
            </w:r>
            <w:r>
              <w:rPr>
                <w:color w:val="000000"/>
              </w:rPr>
              <w:t>ām un nav pamatoti noteikt, ka ,,</w:t>
            </w:r>
            <w:r w:rsidRPr="00F70540">
              <w:rPr>
                <w:color w:val="000000"/>
              </w:rPr>
              <w:t>institūcija atbilstības novērtēšanu veic samērīgi, izvairoties no liekiem apgrūtinājumiem iesaistītajām personām” vai ka tiek ievērota “tāda stingrība un drošības līmenis, kāds nepieciešams, lai atbilstu šo noteikumu prasībām”. Tieslietu ministrija ņem vērā, ka ar minēto projekta normu tiek burtiski transponēts Direktīvas 2016/797 41.panta 2.punkts, tomēr norāda, ka šī direktīvas norma būtu jāpārņem korekti, piemēram, norādot konkrētus vērtēšanas kritērijus un izvairoties no deklaratīvu un neviennozīmīgi vērtējamu normu iekļaušanas projektā.</w:t>
            </w:r>
          </w:p>
        </w:tc>
        <w:tc>
          <w:tcPr>
            <w:tcW w:w="1985" w:type="dxa"/>
            <w:gridSpan w:val="2"/>
            <w:tcBorders>
              <w:left w:val="single" w:color="000000" w:sz="6" w:space="0"/>
              <w:bottom w:val="single" w:color="auto" w:sz="4" w:space="0"/>
              <w:right w:val="single" w:color="000000" w:sz="6" w:space="0"/>
            </w:tcBorders>
          </w:tcPr>
          <w:p w:rsidRPr="00A268BF" w:rsidR="00D0720F" w:rsidP="00510589" w:rsidRDefault="00D0720F" w14:paraId="25494F28" w14:textId="29B00369">
            <w:pPr>
              <w:autoSpaceDE w:val="0"/>
              <w:autoSpaceDN w:val="0"/>
              <w:adjustRightInd w:val="0"/>
              <w:jc w:val="center"/>
            </w:pPr>
            <w:r>
              <w:rPr>
                <w:b/>
                <w:bCs/>
              </w:rPr>
              <w:lastRenderedPageBreak/>
              <w:t xml:space="preserve">Panākta vienošanās saskaņošanas </w:t>
            </w:r>
            <w:r w:rsidR="00510589">
              <w:rPr>
                <w:b/>
                <w:bCs/>
              </w:rPr>
              <w:t>laikā</w:t>
            </w:r>
            <w:r>
              <w:rPr>
                <w:b/>
                <w:bCs/>
              </w:rPr>
              <w:t>.</w:t>
            </w:r>
          </w:p>
          <w:p w:rsidR="00D0720F" w:rsidP="00AF3D6E" w:rsidRDefault="00D0720F" w14:paraId="25494F29" w14:textId="77777777">
            <w:pPr>
              <w:autoSpaceDE w:val="0"/>
              <w:autoSpaceDN w:val="0"/>
              <w:adjustRightInd w:val="0"/>
              <w:jc w:val="both"/>
            </w:pPr>
            <w:r w:rsidRPr="00A268BF">
              <w:t>Šāda norma tiek uzskatīta</w:t>
            </w:r>
            <w:r>
              <w:t xml:space="preserve"> par būtisku jaunās pieejas direktīvu atbilstības </w:t>
            </w:r>
            <w:r>
              <w:lastRenderedPageBreak/>
              <w:t>novērtēšanā kontekstā, šo normu lieto un izvērtē paziņoto institūciju akreditācijas procesā, kā arī šāda redakcija jau tiek lietota citos normatīvajos aktos, piemēram, Ministru kabineta 2016. gada 12. aprīļa noteikumu Nr. 207 “</w:t>
            </w:r>
            <w:r w:rsidRPr="00AF3D6E">
              <w:t>Vienkāršu spiedtvertņu noteikumi</w:t>
            </w:r>
            <w:r>
              <w:t>” 89.punktā</w:t>
            </w:r>
          </w:p>
          <w:p w:rsidRPr="00AF3D6E" w:rsidR="00D0720F" w:rsidP="00AF3D6E" w:rsidRDefault="00D0720F" w14:paraId="25494F2A" w14:textId="77777777">
            <w:pPr>
              <w:autoSpaceDE w:val="0"/>
              <w:autoSpaceDN w:val="0"/>
              <w:adjustRightInd w:val="0"/>
              <w:jc w:val="both"/>
            </w:pPr>
            <w:r>
              <w:t xml:space="preserve">Šādu un vēl pašsaprotamāku normu, kā piemēram, par </w:t>
            </w:r>
            <w:proofErr w:type="spellStart"/>
            <w:r>
              <w:t>ritekļa</w:t>
            </w:r>
            <w:proofErr w:type="spellEnd"/>
            <w:r>
              <w:t xml:space="preserve"> apkopi atbildīgā struktūra ir atbildīga par </w:t>
            </w:r>
            <w:proofErr w:type="spellStart"/>
            <w:r>
              <w:t>ritekļa</w:t>
            </w:r>
            <w:proofErr w:type="spellEnd"/>
            <w:r>
              <w:t xml:space="preserve"> apkopi, nepārņemšana iepriekšējās direktīvas kontekstā bija par iemeslu pārkāpumu procesam. </w:t>
            </w: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F2B" w14:textId="77777777">
            <w:pPr>
              <w:ind w:left="57" w:right="57"/>
              <w:jc w:val="both"/>
            </w:pPr>
            <w:r>
              <w:lastRenderedPageBreak/>
              <w:t>12</w:t>
            </w:r>
            <w:r w:rsidRPr="00476908">
              <w:t xml:space="preserve">. Paziņotā </w:t>
            </w:r>
            <w:r>
              <w:t>institūcija</w:t>
            </w:r>
            <w:r w:rsidRPr="00476908">
              <w:t xml:space="preserve"> atbilstības </w:t>
            </w:r>
            <w:r w:rsidRPr="00B732F4">
              <w:t>novērtēšanu veic samērīgi, izvairoties no liekiem apgrūtinājumiem iesaistītajām personām, ņemot vērā uzņēmuma lielumu, nozari, kurā tas darbojas, tā struktūru, attiecīgās produkta tehnoloģijas sarežģītības pakāpi un to</w:t>
            </w:r>
            <w:r w:rsidRPr="00E72AD7">
              <w:t>, vai ražošanas process ir sērijveida vai n</w:t>
            </w:r>
            <w:r>
              <w:t>ē</w:t>
            </w:r>
            <w:r w:rsidRPr="00E72AD7">
              <w:t xml:space="preserve">, tomēr ievēro tādu stingrību un </w:t>
            </w:r>
            <w:r>
              <w:lastRenderedPageBreak/>
              <w:t>drošības</w:t>
            </w:r>
            <w:r w:rsidRPr="00E72AD7">
              <w:t xml:space="preserve"> līmeni, kāds nepieciešams, lai </w:t>
            </w:r>
            <w:r>
              <w:t>produkts</w:t>
            </w:r>
            <w:r w:rsidRPr="00E72AD7">
              <w:t xml:space="preserve"> atbilstu šo noteikumu prasībām</w:t>
            </w:r>
            <w:r>
              <w:t>.</w:t>
            </w:r>
          </w:p>
        </w:tc>
      </w:tr>
      <w:tr w:rsidRPr="00823410" w:rsidR="00D0720F" w14:paraId="25494F37" w14:textId="77777777">
        <w:trPr>
          <w:trHeight w:val="255"/>
        </w:trPr>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2D" w14:textId="77777777">
            <w:pPr>
              <w:ind w:left="360" w:hanging="352"/>
              <w:jc w:val="both"/>
            </w:pPr>
            <w:r w:rsidRPr="00EF34ED">
              <w:lastRenderedPageBreak/>
              <w:t>11.</w:t>
            </w:r>
          </w:p>
        </w:tc>
        <w:tc>
          <w:tcPr>
            <w:tcW w:w="3685" w:type="dxa"/>
            <w:gridSpan w:val="3"/>
            <w:tcBorders>
              <w:left w:val="single" w:color="000000" w:sz="6" w:space="0"/>
              <w:bottom w:val="single" w:color="auto" w:sz="4" w:space="0"/>
              <w:right w:val="single" w:color="000000" w:sz="6" w:space="0"/>
            </w:tcBorders>
          </w:tcPr>
          <w:p w:rsidR="00D0720F" w:rsidP="00CC135B" w:rsidRDefault="00D0720F" w14:paraId="25494F2E" w14:textId="77777777">
            <w:pPr>
              <w:jc w:val="both"/>
            </w:pPr>
            <w:r>
              <w:t>45</w:t>
            </w:r>
            <w:r w:rsidRPr="00C42CDB">
              <w:t>. Ja p</w:t>
            </w:r>
            <w:r>
              <w:t xml:space="preserve">rojekts atbilst šo noteikumu </w:t>
            </w:r>
            <w:r w:rsidRPr="006226A4">
              <w:t>40.1. vai 40.2.apakšpunktā</w:t>
            </w:r>
            <w:r w:rsidRPr="00C42CDB">
              <w:t xml:space="preserve"> minētajiem kritērijiem, </w:t>
            </w:r>
            <w:r>
              <w:t>Inspekcija</w:t>
            </w:r>
            <w:r w:rsidRPr="008E5B56">
              <w:t xml:space="preserve"> paziņo </w:t>
            </w:r>
            <w:r>
              <w:t xml:space="preserve">Eiropas </w:t>
            </w:r>
            <w:r w:rsidRPr="008E5B56">
              <w:t xml:space="preserve">Komisijai par savu lēmumu nepiemērot vienu vai vairākas </w:t>
            </w:r>
            <w:r>
              <w:t>savstarpēja</w:t>
            </w:r>
            <w:r w:rsidRPr="00C42CDB">
              <w:t xml:space="preserve">s </w:t>
            </w:r>
            <w:proofErr w:type="spellStart"/>
            <w:r w:rsidRPr="00C42CDB">
              <w:t>izmantojamības</w:t>
            </w:r>
            <w:proofErr w:type="spellEnd"/>
            <w:r w:rsidRPr="00C42CDB">
              <w:t xml:space="preserve"> tehniskās specifikācijas</w:t>
            </w:r>
            <w:r w:rsidRPr="008E5B56">
              <w:t xml:space="preserve"> vai to daļas.</w:t>
            </w:r>
          </w:p>
          <w:p w:rsidR="00D0720F" w:rsidP="00CC135B" w:rsidRDefault="00D0720F" w14:paraId="25494F2F" w14:textId="77777777">
            <w:pPr>
              <w:jc w:val="both"/>
            </w:pPr>
          </w:p>
          <w:p w:rsidRPr="00823410" w:rsidR="00D0720F" w:rsidP="00CC135B" w:rsidRDefault="00D0720F" w14:paraId="25494F30" w14:textId="77777777">
            <w:pPr>
              <w:jc w:val="both"/>
            </w:pPr>
            <w:r>
              <w:t>46</w:t>
            </w:r>
            <w:r w:rsidRPr="008E5B56">
              <w:t xml:space="preserve">. </w:t>
            </w:r>
            <w:r w:rsidRPr="006579CD">
              <w:t xml:space="preserve">Ja projekts atbilst šo noteikumu </w:t>
            </w:r>
            <w:r w:rsidRPr="006226A4">
              <w:t>40.1., 40.3., 40.4. vai 40.5.apakšpunktā</w:t>
            </w:r>
            <w:r w:rsidRPr="006579CD">
              <w:t xml:space="preserve"> minētajiem kritērijiem, </w:t>
            </w:r>
            <w:r>
              <w:t xml:space="preserve">Inspekcija </w:t>
            </w:r>
            <w:proofErr w:type="spellStart"/>
            <w:r>
              <w:t>nosūta</w:t>
            </w:r>
            <w:proofErr w:type="spellEnd"/>
            <w:r w:rsidRPr="006579CD">
              <w:t xml:space="preserve"> Eiropas Komisijai </w:t>
            </w:r>
            <w:r>
              <w:t xml:space="preserve">pieprasījumu apstiprināt </w:t>
            </w:r>
            <w:r w:rsidRPr="006579CD">
              <w:t>lēmumu nepiemēro</w:t>
            </w:r>
            <w:r>
              <w:t>t vienu vai vairākas savstarpēja</w:t>
            </w:r>
            <w:r w:rsidRPr="006579CD">
              <w:t xml:space="preserve">s </w:t>
            </w:r>
            <w:proofErr w:type="spellStart"/>
            <w:r w:rsidRPr="006579CD">
              <w:t>izmantojamības</w:t>
            </w:r>
            <w:proofErr w:type="spellEnd"/>
            <w:r w:rsidRPr="006579CD">
              <w:t xml:space="preserve"> tehniskās specifikācijas vai to daļas</w:t>
            </w:r>
            <w:r>
              <w:t>,</w:t>
            </w:r>
            <w:r w:rsidRPr="008E5B56">
              <w:t xml:space="preserve"> pievienojot </w:t>
            </w:r>
            <w:r w:rsidRPr="006579CD">
              <w:t xml:space="preserve">šo noteikumu </w:t>
            </w:r>
            <w:r w:rsidRPr="006226A4">
              <w:t>41.punktā</w:t>
            </w:r>
            <w:r>
              <w:t xml:space="preserve"> minēto </w:t>
            </w:r>
            <w:r w:rsidRPr="008E5B56">
              <w:t>dokumentāciju, k</w:t>
            </w:r>
            <w:r>
              <w:t>as</w:t>
            </w:r>
            <w:r w:rsidRPr="008E5B56">
              <w:t xml:space="preserve"> ietvert pieprasījuma pamatojum</w:t>
            </w:r>
            <w:r>
              <w:t>u</w:t>
            </w:r>
            <w:r w:rsidRPr="008E5B56">
              <w:t xml:space="preserve"> un alternatīv</w:t>
            </w:r>
            <w:r>
              <w:t>os</w:t>
            </w:r>
            <w:r w:rsidRPr="008E5B56">
              <w:t xml:space="preserve"> noteikum</w:t>
            </w:r>
            <w:r>
              <w:t>us</w:t>
            </w:r>
            <w:r w:rsidRPr="008E5B56">
              <w:t xml:space="preserve">, kurus </w:t>
            </w:r>
            <w:r>
              <w:t>piemēro</w:t>
            </w:r>
            <w:r w:rsidRPr="008E5B56">
              <w:t xml:space="preserve"> </w:t>
            </w:r>
            <w:r>
              <w:t>savstarpēja</w:t>
            </w:r>
            <w:r w:rsidRPr="006579CD">
              <w:t xml:space="preserve">s </w:t>
            </w:r>
            <w:proofErr w:type="spellStart"/>
            <w:r w:rsidRPr="006579CD">
              <w:t>izmantojamības</w:t>
            </w:r>
            <w:proofErr w:type="spellEnd"/>
            <w:r w:rsidRPr="006579CD">
              <w:t xml:space="preserve"> tehniskās specifikācijas</w:t>
            </w:r>
            <w:r w:rsidRPr="008E5B56">
              <w:t xml:space="preserve"> vietā.</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31" w14:textId="77777777">
            <w:pPr>
              <w:ind w:left="34"/>
              <w:jc w:val="both"/>
            </w:pPr>
            <w:r>
              <w:rPr>
                <w:color w:val="000000"/>
              </w:rPr>
              <w:t xml:space="preserve">11. </w:t>
            </w:r>
            <w:r w:rsidRPr="00540BE7">
              <w:rPr>
                <w:color w:val="000000"/>
              </w:rPr>
              <w:t>Lūdzam savstarpēji saskaņot p</w:t>
            </w:r>
            <w:r>
              <w:rPr>
                <w:color w:val="000000"/>
              </w:rPr>
              <w:t>rojekta 45.un 46.</w:t>
            </w:r>
            <w:r w:rsidRPr="00540BE7">
              <w:rPr>
                <w:color w:val="000000"/>
              </w:rPr>
              <w:t xml:space="preserve">punktu. Vēršam uzmanību, ka minētie projekta punkti šobrīd paredz dažādu rīcību iespējamību vienos un tajos pašos projekta 40.1.apakšpunktā noteiktajos apstākļos </w:t>
            </w:r>
            <w:r>
              <w:rPr>
                <w:color w:val="000000"/>
              </w:rPr>
              <w:t>–</w:t>
            </w:r>
            <w:r w:rsidRPr="00540BE7">
              <w:rPr>
                <w:color w:val="000000"/>
              </w:rPr>
              <w:t xml:space="preserve"> proti, ja tehniskais projekts </w:t>
            </w:r>
            <w:r w:rsidRPr="00540BE7">
              <w:rPr>
                <w:color w:val="000000"/>
                <w:u w:val="single"/>
              </w:rPr>
              <w:t>atbilst</w:t>
            </w:r>
            <w:r w:rsidRPr="00540BE7">
              <w:rPr>
                <w:color w:val="000000"/>
              </w:rPr>
              <w:t xml:space="preserve"> projekta 40.1.apakšpunktā minētajam kritērijam. Piedāvājam vienā no minētajiem punktiem svītrot norādi uz projekta 4</w:t>
            </w:r>
            <w:r>
              <w:rPr>
                <w:color w:val="000000"/>
              </w:rPr>
              <w:t>0.1.</w:t>
            </w:r>
            <w:r w:rsidRPr="00540BE7">
              <w:rPr>
                <w:color w:val="000000"/>
              </w:rPr>
              <w:t>apakšpunktu.</w:t>
            </w:r>
          </w:p>
        </w:tc>
        <w:tc>
          <w:tcPr>
            <w:tcW w:w="1985" w:type="dxa"/>
            <w:gridSpan w:val="2"/>
            <w:tcBorders>
              <w:left w:val="single" w:color="000000" w:sz="6" w:space="0"/>
              <w:bottom w:val="single" w:color="auto" w:sz="4" w:space="0"/>
              <w:right w:val="single" w:color="000000" w:sz="6" w:space="0"/>
            </w:tcBorders>
          </w:tcPr>
          <w:p w:rsidR="00D0720F" w:rsidP="00510589" w:rsidRDefault="00D0720F" w14:paraId="25494F32" w14:textId="4B114C1E">
            <w:pPr>
              <w:autoSpaceDE w:val="0"/>
              <w:autoSpaceDN w:val="0"/>
              <w:adjustRightInd w:val="0"/>
              <w:jc w:val="center"/>
              <w:rPr>
                <w:b/>
                <w:bCs/>
              </w:rPr>
            </w:pPr>
            <w:r>
              <w:rPr>
                <w:b/>
                <w:bCs/>
              </w:rPr>
              <w:t>Ņemts vērā</w:t>
            </w:r>
            <w:r w:rsidR="00510589">
              <w:rPr>
                <w:b/>
                <w:bCs/>
              </w:rPr>
              <w:t>.</w:t>
            </w:r>
          </w:p>
          <w:p w:rsidRPr="0050444A" w:rsidR="00D0720F" w:rsidP="00CC135B" w:rsidRDefault="00D0720F" w14:paraId="25494F33" w14:textId="1B55F128">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Pr="0050444A" w:rsidR="00D0720F" w:rsidP="0050444A" w:rsidRDefault="00D0720F" w14:paraId="25494F34" w14:textId="77777777">
            <w:pPr>
              <w:ind w:left="57" w:right="57"/>
              <w:jc w:val="both"/>
            </w:pPr>
            <w:r w:rsidRPr="0050444A">
              <w:t xml:space="preserve">45. Ja projekts atbilst šo noteikumu </w:t>
            </w:r>
            <w:r w:rsidRPr="00242AC5">
              <w:t xml:space="preserve">40.2.apakšpunktā minētajiem kritērijiem, Inspekcija paziņo Eiropas Komisijai par savu lēmumu nepiemērot vienu vai vairākas savstarpējas </w:t>
            </w:r>
            <w:proofErr w:type="spellStart"/>
            <w:r w:rsidRPr="00242AC5">
              <w:t>izmantojamības</w:t>
            </w:r>
            <w:proofErr w:type="spellEnd"/>
            <w:r w:rsidRPr="00242AC5">
              <w:t xml:space="preserve"> tehniskās specifikācijas vai to daļas.</w:t>
            </w:r>
          </w:p>
          <w:p w:rsidRPr="0050444A" w:rsidR="00D0720F" w:rsidP="0050444A" w:rsidRDefault="00D0720F" w14:paraId="25494F35" w14:textId="77777777">
            <w:pPr>
              <w:ind w:left="57" w:right="57"/>
              <w:jc w:val="both"/>
            </w:pPr>
          </w:p>
          <w:p w:rsidRPr="00823410" w:rsidR="00D0720F" w:rsidP="0050444A" w:rsidRDefault="00D0720F" w14:paraId="25494F36" w14:textId="77777777">
            <w:pPr>
              <w:ind w:left="57" w:right="57"/>
              <w:jc w:val="both"/>
            </w:pPr>
            <w:r w:rsidRPr="0050444A">
              <w:t xml:space="preserve">46. Ja projekts atbilst šo noteikumu 40.1., 40.3., 40.4. vai 40.5.apakšpunktā minētajiem kritērijiem, Inspekcija </w:t>
            </w:r>
            <w:proofErr w:type="spellStart"/>
            <w:r w:rsidRPr="0050444A">
              <w:t>nosūta</w:t>
            </w:r>
            <w:proofErr w:type="spellEnd"/>
            <w:r w:rsidRPr="0050444A">
              <w:t xml:space="preserve"> Eiropas Komisijai pieprasījumu apstiprināt lēmumu nepiemērot vienu vai vairākas savstarpējas </w:t>
            </w:r>
            <w:proofErr w:type="spellStart"/>
            <w:r w:rsidRPr="0050444A">
              <w:t>izmantojamības</w:t>
            </w:r>
            <w:proofErr w:type="spellEnd"/>
            <w:r w:rsidRPr="0050444A">
              <w:t xml:space="preserve"> tehniskās specifikācijas vai to daļas, pievienojot šo noteikumu 41.punktā minēto dokumentāciju, kas ietvert pieprasījuma pamatojumu un alternatīvos noteikumus, kurus piemēro savstarpējas </w:t>
            </w:r>
            <w:proofErr w:type="spellStart"/>
            <w:r w:rsidRPr="0050444A">
              <w:t>izmantojamības</w:t>
            </w:r>
            <w:proofErr w:type="spellEnd"/>
            <w:r w:rsidRPr="0050444A">
              <w:t xml:space="preserve"> tehniskās specifikācijas vietā.</w:t>
            </w:r>
          </w:p>
        </w:tc>
      </w:tr>
      <w:tr w:rsidRPr="00823410" w:rsidR="00D0720F" w14:paraId="25494F3D"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38" w14:textId="77777777">
            <w:pPr>
              <w:ind w:left="360" w:hanging="352"/>
              <w:jc w:val="both"/>
            </w:pPr>
            <w:r w:rsidRPr="00EF34ED">
              <w:t>12.</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39" w14:textId="77777777">
            <w:pPr>
              <w:jc w:val="both"/>
            </w:pPr>
            <w:r>
              <w:t>59</w:t>
            </w:r>
            <w:r w:rsidRPr="00B517FA">
              <w:t xml:space="preserve">. Par </w:t>
            </w:r>
            <w:r w:rsidRPr="00124E23">
              <w:t>apakšsistēmas izveides pārbaudi atbildīgajai paziņotajai institūcijai ir pastāvīga piekļuve būvlaukumiem, ražošanas darbnīcām</w:t>
            </w:r>
            <w:r>
              <w:t xml:space="preserve"> (cehiem)</w:t>
            </w:r>
            <w:r w:rsidRPr="00B517FA">
              <w:t>, noliktavām, kā arī, ja nepieciešams,  rūpnieciskās ražošanas vai testēšanas iekārtām, un jebkur</w:t>
            </w:r>
            <w:r>
              <w:t>ai</w:t>
            </w:r>
            <w:r w:rsidRPr="00B517FA">
              <w:t xml:space="preserve"> te</w:t>
            </w:r>
            <w:r>
              <w:t>ritorijai</w:t>
            </w:r>
            <w:r w:rsidRPr="00B517FA">
              <w:t>, kur</w:t>
            </w:r>
            <w:r>
              <w:t>u</w:t>
            </w:r>
            <w:r w:rsidRPr="00B517FA">
              <w:t xml:space="preserve"> </w:t>
            </w:r>
            <w:r>
              <w:t>paziņotā institūcija</w:t>
            </w:r>
            <w:r w:rsidRPr="00B517FA">
              <w:t xml:space="preserve"> </w:t>
            </w:r>
            <w:r w:rsidRPr="00B517FA">
              <w:lastRenderedPageBreak/>
              <w:t>uzskata par nepieciešam</w:t>
            </w:r>
            <w:r>
              <w:t>u</w:t>
            </w:r>
            <w:r w:rsidRPr="00B517FA">
              <w:t xml:space="preserve"> pienākumu </w:t>
            </w:r>
            <w:r>
              <w:t>pildīšanai</w:t>
            </w:r>
            <w:r w:rsidRPr="00B517FA">
              <w:t xml:space="preserve">. </w:t>
            </w:r>
            <w:r w:rsidRPr="00F65676">
              <w:t>Ražotājs, pasūtītājs vai viņu pilnvarots pārstāvis</w:t>
            </w:r>
            <w:r w:rsidRPr="00322962">
              <w:t xml:space="preserve"> paziņotajai institūcijai nodrošina </w:t>
            </w:r>
            <w:r>
              <w:t xml:space="preserve">visas novērtēšanai </w:t>
            </w:r>
            <w:r w:rsidRPr="00322962">
              <w:t>nepi</w:t>
            </w:r>
            <w:r>
              <w:t>eciešamās dokumentācijas</w:t>
            </w:r>
            <w:r w:rsidRPr="00322962">
              <w:t xml:space="preserve"> (piemēram, apakšsist</w:t>
            </w:r>
            <w:r>
              <w:t>ēmas izveides plānu un tehniskās dokumentācijas</w:t>
            </w:r>
            <w:r w:rsidRPr="00322962">
              <w:t>) pieejamību</w:t>
            </w:r>
            <w:r>
              <w:t>.</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3A" w14:textId="77777777">
            <w:pPr>
              <w:ind w:left="34"/>
              <w:jc w:val="both"/>
            </w:pPr>
            <w:r>
              <w:rPr>
                <w:color w:val="000000"/>
              </w:rPr>
              <w:lastRenderedPageBreak/>
              <w:t xml:space="preserve">12. </w:t>
            </w:r>
            <w:r w:rsidRPr="00A856B1">
              <w:rPr>
                <w:color w:val="000000"/>
              </w:rPr>
              <w:t>Lūdzam p</w:t>
            </w:r>
            <w:r>
              <w:rPr>
                <w:color w:val="000000"/>
              </w:rPr>
              <w:t>rojekta 59.</w:t>
            </w:r>
            <w:r w:rsidRPr="00A856B1">
              <w:rPr>
                <w:color w:val="000000"/>
              </w:rPr>
              <w:t xml:space="preserve">punkta pirmajā teikumā svītrot vai precizēt </w:t>
            </w:r>
            <w:r>
              <w:rPr>
                <w:color w:val="000000"/>
              </w:rPr>
              <w:t>vārdus ,,</w:t>
            </w:r>
            <w:r w:rsidRPr="00A856B1">
              <w:rPr>
                <w:color w:val="000000"/>
              </w:rPr>
              <w:t xml:space="preserve">un jebkurai teritorijai, kuru paziņotā institūcija uzskata par nepieciešamu pienākumu pildīšanai”. Vēršam uzmanību, ka trešo personu piekļuves tiesības var aizskart Latvijas Republikas Satversmē noteiktās cilvēktiesības uz mājokli vai īpašumu, </w:t>
            </w:r>
            <w:r w:rsidRPr="00A856B1">
              <w:rPr>
                <w:color w:val="000000"/>
              </w:rPr>
              <w:lastRenderedPageBreak/>
              <w:t>tādēļ Ministru kabineta noteikumos regulējumu var veidot par uzskaitītām vietām, kuras ir tieši saistītas ar konkrētā valsts pār</w:t>
            </w:r>
            <w:r>
              <w:rPr>
                <w:color w:val="000000"/>
              </w:rPr>
              <w:t>valdes uzdevuma izpildi, nevis ,,</w:t>
            </w:r>
            <w:r w:rsidRPr="00A856B1">
              <w:rPr>
                <w:color w:val="000000"/>
              </w:rPr>
              <w:t>jebkurai teritorijai”. Minētais izriet arī no Valst</w:t>
            </w:r>
            <w:r>
              <w:rPr>
                <w:color w:val="000000"/>
              </w:rPr>
              <w:t>s pārvaldes iekārtas likuma 10.</w:t>
            </w:r>
            <w:r w:rsidRPr="00A856B1">
              <w:rPr>
                <w:color w:val="000000"/>
              </w:rPr>
              <w:t>panta pirmajā daļā noteiktā tiesiskuma principa un valsts pārvaldes uzdevuma veicējiem šādos gadījumos nevar paredzēt neierobežotu rīcības brīvību.</w:t>
            </w:r>
          </w:p>
        </w:tc>
        <w:tc>
          <w:tcPr>
            <w:tcW w:w="1985" w:type="dxa"/>
            <w:gridSpan w:val="2"/>
            <w:tcBorders>
              <w:left w:val="single" w:color="000000" w:sz="6" w:space="0"/>
              <w:bottom w:val="single" w:color="auto" w:sz="4" w:space="0"/>
              <w:right w:val="single" w:color="000000" w:sz="6" w:space="0"/>
            </w:tcBorders>
          </w:tcPr>
          <w:p w:rsidRPr="00EF6FE2" w:rsidR="00D0720F" w:rsidP="00510589" w:rsidRDefault="00D0720F" w14:paraId="25494F3B" w14:textId="7083E24F">
            <w:pPr>
              <w:autoSpaceDE w:val="0"/>
              <w:autoSpaceDN w:val="0"/>
              <w:adjustRightInd w:val="0"/>
              <w:jc w:val="center"/>
              <w:rPr>
                <w:b/>
                <w:bCs/>
              </w:rPr>
            </w:pPr>
            <w:r>
              <w:rPr>
                <w:b/>
                <w:bCs/>
              </w:rPr>
              <w:lastRenderedPageBreak/>
              <w:t>Ņemts vērā.</w:t>
            </w:r>
          </w:p>
        </w:tc>
        <w:tc>
          <w:tcPr>
            <w:tcW w:w="4278" w:type="dxa"/>
            <w:gridSpan w:val="3"/>
            <w:tcBorders>
              <w:top w:val="single" w:color="auto" w:sz="4" w:space="0"/>
              <w:left w:val="single" w:color="auto" w:sz="4" w:space="0"/>
              <w:bottom w:val="single" w:color="auto" w:sz="4" w:space="0"/>
            </w:tcBorders>
          </w:tcPr>
          <w:p w:rsidRPr="00823410" w:rsidR="00D0720F" w:rsidP="009A0C70" w:rsidRDefault="00D0720F" w14:paraId="25494F3C" w14:textId="77777777">
            <w:pPr>
              <w:ind w:right="57"/>
              <w:jc w:val="both"/>
            </w:pPr>
            <w:r>
              <w:t>59. Par apakšsistēmas izveides pārbaudi atbildīgajai paziņotajai institūcijai ir pastāvīga piekļuve būvlaukumiem, ražošanas darbnīcām (cehiem), noliktavām, kā arī, ja nepieciešams,  rūpnieciskās ražošanas vai testēšanas iekārtām</w:t>
            </w:r>
            <w:r w:rsidRPr="00242AC5">
              <w:t xml:space="preserve">, un teritorijai, kura ir tieši saistīta ar paziņotās institūcijas pienākumu izpildi. Ražotājs, pasūtītājs </w:t>
            </w:r>
            <w:r w:rsidRPr="00242AC5">
              <w:lastRenderedPageBreak/>
              <w:t>vai viņu pilnvarots pārstāvis paziņotajai institūcijai nodrošina visas novērtēšanai nepieciešamās</w:t>
            </w:r>
            <w:r>
              <w:t xml:space="preserve"> dokumentācijas (piemēram, apakšsistēmas izveides plānu un tehniskās dokumentācijas) pieejamību.</w:t>
            </w:r>
          </w:p>
        </w:tc>
      </w:tr>
      <w:tr w:rsidRPr="00823410" w:rsidR="00D0720F" w14:paraId="25494F45"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3E" w14:textId="77777777">
            <w:pPr>
              <w:ind w:left="360" w:hanging="352"/>
              <w:jc w:val="both"/>
            </w:pPr>
            <w:r w:rsidRPr="00EF34ED">
              <w:lastRenderedPageBreak/>
              <w:t>13.</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3F" w14:textId="77777777">
            <w:pPr>
              <w:jc w:val="both"/>
            </w:pPr>
            <w:r>
              <w:t>48</w:t>
            </w:r>
            <w:r w:rsidRPr="006E6D0C">
              <w:t xml:space="preserve">. Apakšsistēmas veido šo noteikumu 2.pielikumā minētie elementi un tās atbilst </w:t>
            </w:r>
            <w:r>
              <w:t>pamatprasībām, savstarpēja</w:t>
            </w:r>
            <w:r w:rsidRPr="006E6D0C">
              <w:t xml:space="preserve">s </w:t>
            </w:r>
            <w:proofErr w:type="spellStart"/>
            <w:r w:rsidRPr="006E6D0C">
              <w:t>izmantojamības</w:t>
            </w:r>
            <w:proofErr w:type="spellEnd"/>
            <w:r w:rsidRPr="006E6D0C">
              <w:t xml:space="preserve"> tehniskajām specifikācijām, nacionālajām prasībām, kā arī vietējiem nosacījumiem. Šādas atbilstības nodrošināšanai var tikt piemēroti pieņemami Eiropas Savienības un Latvijas atbil</w:t>
            </w:r>
            <w:r>
              <w:t>stības nodrošināšanas līdzekļi.</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40" w14:textId="77777777">
            <w:pPr>
              <w:ind w:left="34"/>
              <w:jc w:val="both"/>
              <w:rPr>
                <w:b/>
                <w:bCs/>
              </w:rPr>
            </w:pPr>
            <w:r>
              <w:rPr>
                <w:color w:val="000000"/>
              </w:rPr>
              <w:t xml:space="preserve">13. </w:t>
            </w:r>
            <w:r w:rsidRPr="00A856B1">
              <w:rPr>
                <w:color w:val="000000"/>
              </w:rPr>
              <w:t xml:space="preserve">Lūdzam projekta 48.punktā </w:t>
            </w:r>
            <w:r>
              <w:rPr>
                <w:color w:val="000000"/>
              </w:rPr>
              <w:t>minētās ,,</w:t>
            </w:r>
            <w:r w:rsidRPr="00A856B1">
              <w:rPr>
                <w:color w:val="000000"/>
              </w:rPr>
              <w:t>nacionālās prasības” aizstāt ar atsauci uz normatīvo aktu vai normatīvo aktu jomu, kas regulē šajā projekta punktā minētās prasības apakšsistēmām, vai arī svītrot minēto norādi uz nacionālajām prasībām. Tāpat lūdzam projekta anotācijā skaidrot, kas i</w:t>
            </w:r>
            <w:r>
              <w:rPr>
                <w:color w:val="000000"/>
              </w:rPr>
              <w:t>r šajā projekta punktā minētie ,,</w:t>
            </w:r>
            <w:r w:rsidRPr="00A856B1">
              <w:rPr>
                <w:color w:val="000000"/>
                <w:u w:val="single"/>
              </w:rPr>
              <w:t>pieņemamie</w:t>
            </w:r>
            <w:r w:rsidRPr="00A856B1">
              <w:rPr>
                <w:color w:val="000000"/>
              </w:rPr>
              <w:t xml:space="preserve"> Eiropas Savienības un Latvijas atbilstības novērtēšanas līdzekļi”, un attiecīgi precizēt projektu.</w:t>
            </w:r>
          </w:p>
        </w:tc>
        <w:tc>
          <w:tcPr>
            <w:tcW w:w="1985" w:type="dxa"/>
            <w:gridSpan w:val="2"/>
            <w:tcBorders>
              <w:left w:val="single" w:color="000000" w:sz="6" w:space="0"/>
              <w:bottom w:val="single" w:color="auto" w:sz="4" w:space="0"/>
              <w:right w:val="single" w:color="000000" w:sz="6" w:space="0"/>
            </w:tcBorders>
          </w:tcPr>
          <w:p w:rsidR="00510589" w:rsidP="00510589" w:rsidRDefault="00D0720F" w14:paraId="6DB2E7C9" w14:textId="27ABF08A">
            <w:pPr>
              <w:autoSpaceDE w:val="0"/>
              <w:autoSpaceDN w:val="0"/>
              <w:adjustRightInd w:val="0"/>
              <w:jc w:val="center"/>
            </w:pPr>
            <w:r>
              <w:rPr>
                <w:b/>
                <w:bCs/>
              </w:rPr>
              <w:t xml:space="preserve">Panākta vienošanās saskaņošanas </w:t>
            </w:r>
            <w:r w:rsidR="00510589">
              <w:rPr>
                <w:b/>
                <w:bCs/>
              </w:rPr>
              <w:t>laik</w:t>
            </w:r>
            <w:r>
              <w:rPr>
                <w:b/>
                <w:bCs/>
              </w:rPr>
              <w:t>ā.</w:t>
            </w:r>
          </w:p>
          <w:p w:rsidR="00510589" w:rsidP="0050444A" w:rsidRDefault="00510589" w14:paraId="6E50AA8E" w14:textId="77777777">
            <w:pPr>
              <w:autoSpaceDE w:val="0"/>
              <w:autoSpaceDN w:val="0"/>
              <w:adjustRightInd w:val="0"/>
              <w:jc w:val="both"/>
            </w:pPr>
          </w:p>
          <w:p w:rsidR="00D0720F" w:rsidP="00FF5EB0" w:rsidRDefault="00D0720F" w14:paraId="25494F42" w14:textId="77777777">
            <w:pPr>
              <w:autoSpaceDE w:val="0"/>
              <w:autoSpaceDN w:val="0"/>
              <w:adjustRightInd w:val="0"/>
              <w:jc w:val="both"/>
            </w:pPr>
          </w:p>
          <w:p w:rsidRPr="00823410" w:rsidR="00D0720F" w:rsidP="00FF5EB0" w:rsidRDefault="00D0720F" w14:paraId="25494F43" w14:textId="2CC36C68">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008D5385" w:rsidP="008D5385" w:rsidRDefault="00D0720F" w14:paraId="19B0F694" w14:textId="77777777">
            <w:pPr>
              <w:autoSpaceDE w:val="0"/>
              <w:autoSpaceDN w:val="0"/>
              <w:adjustRightInd w:val="0"/>
              <w:jc w:val="both"/>
            </w:pPr>
            <w:r>
              <w:t>48</w:t>
            </w:r>
            <w:r w:rsidRPr="006E6D0C">
              <w:t xml:space="preserve">. Apakšsistēmas veido šo noteikumu 2.pielikumā minētie elementi un tās atbilst </w:t>
            </w:r>
            <w:r>
              <w:t>pamatprasībām, savstarpēja</w:t>
            </w:r>
            <w:r w:rsidRPr="006E6D0C">
              <w:t xml:space="preserve">s </w:t>
            </w:r>
            <w:proofErr w:type="spellStart"/>
            <w:r w:rsidRPr="006E6D0C">
              <w:t>izmantojamības</w:t>
            </w:r>
            <w:proofErr w:type="spellEnd"/>
            <w:r w:rsidRPr="006E6D0C">
              <w:t xml:space="preserve"> tehniskajām specifikācijām, nacionālajām prasībām, kā arī vietējiem nosacījumiem. Šādas atbilstības nodrošināšanai var tikt piemēroti pieņemami Eiropas Savienības un Latvijas atbil</w:t>
            </w:r>
            <w:r>
              <w:t>stības nodrošināšanas līdzekļi.</w:t>
            </w:r>
            <w:r w:rsidRPr="006F2A47" w:rsidR="008D5385">
              <w:t xml:space="preserve"> </w:t>
            </w:r>
          </w:p>
          <w:p w:rsidR="008D5385" w:rsidP="008D5385" w:rsidRDefault="008D5385" w14:paraId="0334F6FB" w14:textId="77777777">
            <w:pPr>
              <w:autoSpaceDE w:val="0"/>
              <w:autoSpaceDN w:val="0"/>
              <w:adjustRightInd w:val="0"/>
              <w:jc w:val="both"/>
            </w:pPr>
          </w:p>
          <w:p w:rsidR="008D5385" w:rsidP="008D5385" w:rsidRDefault="008D5385" w14:paraId="794B4797" w14:textId="0F14F33F">
            <w:pPr>
              <w:autoSpaceDE w:val="0"/>
              <w:autoSpaceDN w:val="0"/>
              <w:adjustRightInd w:val="0"/>
              <w:jc w:val="both"/>
            </w:pPr>
            <w:r w:rsidRPr="006F2A47">
              <w:t>Papildināt</w:t>
            </w:r>
            <w:r>
              <w:t>s</w:t>
            </w:r>
            <w:r w:rsidRPr="006F2A47">
              <w:t xml:space="preserve"> </w:t>
            </w:r>
            <w:r>
              <w:t>Projekta anotācijas I sadaļas 2.punkts:</w:t>
            </w:r>
          </w:p>
          <w:p w:rsidRPr="00823410" w:rsidR="00D0720F" w:rsidP="008D5385" w:rsidRDefault="008D5385" w14:paraId="25494F44" w14:textId="2CD9C78A">
            <w:pPr>
              <w:autoSpaceDE w:val="0"/>
              <w:autoSpaceDN w:val="0"/>
              <w:adjustRightInd w:val="0"/>
              <w:jc w:val="both"/>
            </w:pPr>
            <w:r w:rsidRPr="00FF5EB0">
              <w:t>Projekts no</w:t>
            </w:r>
            <w:r>
              <w:t>teic</w:t>
            </w:r>
            <w:r w:rsidRPr="00FF5EB0">
              <w:t xml:space="preserve">, ka atkarībā no konkrētās projekta normas savstarpējās </w:t>
            </w:r>
            <w:proofErr w:type="spellStart"/>
            <w:r w:rsidRPr="00FF5EB0">
              <w:t>izmantojamības</w:t>
            </w:r>
            <w:proofErr w:type="spellEnd"/>
            <w:r w:rsidRPr="00FF5EB0">
              <w:t xml:space="preserve"> nodrošināšanai jāievēro tieši piemērojamie Eiropas Savienības tiesību akti, </w:t>
            </w:r>
            <w:r w:rsidRPr="00A268BF">
              <w:t xml:space="preserve">Dzelzceļa likuma 33. </w:t>
            </w:r>
            <w:r w:rsidRPr="00A268BF">
              <w:rPr>
                <w:vertAlign w:val="superscript"/>
              </w:rPr>
              <w:t>4</w:t>
            </w:r>
            <w:r w:rsidRPr="00A268BF">
              <w:t xml:space="preserve"> pantā minētās nacionālās prasības</w:t>
            </w:r>
            <w:r w:rsidRPr="00FF5EB0">
              <w:t xml:space="preserve"> un projekta 3.22.apakšpunktā minētie vietējie nosacījumi.</w:t>
            </w:r>
          </w:p>
        </w:tc>
      </w:tr>
      <w:tr w:rsidRPr="00823410" w:rsidR="00D0720F" w14:paraId="25494F4B"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46" w14:textId="77777777">
            <w:pPr>
              <w:ind w:left="360" w:hanging="352"/>
              <w:jc w:val="both"/>
            </w:pPr>
            <w:r w:rsidRPr="00EF34ED">
              <w:t>14.</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47" w14:textId="77777777">
            <w:pPr>
              <w:jc w:val="both"/>
            </w:pPr>
            <w:r>
              <w:t>71. Dokumentāciju noformē</w:t>
            </w:r>
            <w:r w:rsidRPr="00A25D6F">
              <w:t xml:space="preserve"> un sarakst</w:t>
            </w:r>
            <w:r>
              <w:t>i,</w:t>
            </w:r>
            <w:r w:rsidRPr="00A25D6F">
              <w:t xml:space="preserve"> saistībā ar </w:t>
            </w:r>
            <w:r>
              <w:t>,,</w:t>
            </w:r>
            <w:r w:rsidRPr="00A25D6F">
              <w:t xml:space="preserve">EK” </w:t>
            </w:r>
            <w:r w:rsidRPr="00A25D6F">
              <w:lastRenderedPageBreak/>
              <w:t>verifikācijas procedūr</w:t>
            </w:r>
            <w:r>
              <w:t>as norisi,</w:t>
            </w:r>
            <w:r w:rsidRPr="00A25D6F">
              <w:t xml:space="preserve"> </w:t>
            </w:r>
            <w:r>
              <w:t>veic</w:t>
            </w:r>
            <w:r w:rsidRPr="00A25D6F">
              <w:t xml:space="preserve"> tās Eiropas Savienības dalībvalsts </w:t>
            </w:r>
            <w:r>
              <w:t xml:space="preserve">oficiālajā </w:t>
            </w:r>
            <w:r w:rsidRPr="00A25D6F">
              <w:t xml:space="preserve">valodā, kurā reģistrēts </w:t>
            </w:r>
            <w:r w:rsidRPr="007D1BEF">
              <w:t>ražotājs, pasūtītājs vai to pilnvarots pārstāvis</w:t>
            </w:r>
            <w:r>
              <w:t xml:space="preserve">, </w:t>
            </w:r>
            <w:r w:rsidRPr="00A25D6F">
              <w:t xml:space="preserve">vai </w:t>
            </w:r>
            <w:r>
              <w:t xml:space="preserve">Eiropas </w:t>
            </w:r>
            <w:r w:rsidRPr="00A25D6F">
              <w:t xml:space="preserve">Savienības oficiālajā valodā, kuras izmantošanai piekritis </w:t>
            </w:r>
            <w:r w:rsidRPr="007D1BEF">
              <w:t>ražotājs, pasūtītājs vai to pilnvarots pārstāvis</w:t>
            </w:r>
            <w:r>
              <w:t>.</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48" w14:textId="77777777">
            <w:pPr>
              <w:ind w:left="34"/>
              <w:jc w:val="both"/>
            </w:pPr>
            <w:r>
              <w:rPr>
                <w:color w:val="000000"/>
              </w:rPr>
              <w:lastRenderedPageBreak/>
              <w:t xml:space="preserve">14. </w:t>
            </w:r>
            <w:r w:rsidRPr="00CC135B">
              <w:rPr>
                <w:color w:val="000000"/>
              </w:rPr>
              <w:t>Projekta 71.</w:t>
            </w:r>
            <w:r>
              <w:rPr>
                <w:color w:val="000000"/>
              </w:rPr>
              <w:t>punkts noteic, ka ,,</w:t>
            </w:r>
            <w:r w:rsidRPr="00CC135B">
              <w:rPr>
                <w:color w:val="000000"/>
              </w:rPr>
              <w:t>d</w:t>
            </w:r>
            <w:r w:rsidRPr="00CC135B">
              <w:t xml:space="preserve">okumentāciju noformē un saraksti, </w:t>
            </w:r>
            <w:r w:rsidRPr="00CC135B">
              <w:lastRenderedPageBreak/>
              <w:t>saistībā ar ,,EK” verifikācijas procedūras norisi, veic tās Eiropas Savienības dalībvalsts oficiālajā valodā, kurā reģistrēts ražotājs, pasūtītājs vai to pilnvarots pārstāvis, vai Eiropas Savienības oficiālajā valodā, kuras izmantošanai piekritis ražotājs, pasūtītājs vai to pilnvarots pārstāvis”. Lūdzam precizēt projekta 71.punktu, norādot subjektu, kam ir pienākums veikt minētās dokumentācijas noformēšanu svešvalodā, kā arī nepieciešamības gadījumā papildināt anotācijas II sadaļu, ja šāda pienākuma noteikšana saistīta ar papildus administratīvajām izmaksām.</w:t>
            </w:r>
          </w:p>
        </w:tc>
        <w:tc>
          <w:tcPr>
            <w:tcW w:w="1985" w:type="dxa"/>
            <w:gridSpan w:val="2"/>
            <w:tcBorders>
              <w:left w:val="single" w:color="000000" w:sz="6" w:space="0"/>
              <w:bottom w:val="single" w:color="auto" w:sz="4" w:space="0"/>
              <w:right w:val="single" w:color="000000" w:sz="6" w:space="0"/>
            </w:tcBorders>
          </w:tcPr>
          <w:p w:rsidR="00D0720F" w:rsidP="00FA0EF9" w:rsidRDefault="00D0720F" w14:paraId="50261508" w14:textId="77777777">
            <w:pPr>
              <w:autoSpaceDE w:val="0"/>
              <w:autoSpaceDN w:val="0"/>
              <w:adjustRightInd w:val="0"/>
              <w:jc w:val="center"/>
              <w:rPr>
                <w:b/>
                <w:bCs/>
              </w:rPr>
            </w:pPr>
            <w:r>
              <w:rPr>
                <w:b/>
                <w:bCs/>
              </w:rPr>
              <w:lastRenderedPageBreak/>
              <w:t xml:space="preserve">Panākta vienošanās </w:t>
            </w:r>
            <w:r>
              <w:rPr>
                <w:b/>
                <w:bCs/>
              </w:rPr>
              <w:lastRenderedPageBreak/>
              <w:t xml:space="preserve">saskaņošanas </w:t>
            </w:r>
            <w:r w:rsidR="00FA0EF9">
              <w:rPr>
                <w:b/>
                <w:bCs/>
              </w:rPr>
              <w:t>laik</w:t>
            </w:r>
            <w:r>
              <w:rPr>
                <w:b/>
                <w:bCs/>
              </w:rPr>
              <w:t>ā.</w:t>
            </w:r>
          </w:p>
          <w:p w:rsidR="00FA0EF9" w:rsidP="00FA0EF9" w:rsidRDefault="00FA0EF9" w14:paraId="3DF72D17" w14:textId="77777777">
            <w:pPr>
              <w:autoSpaceDE w:val="0"/>
              <w:autoSpaceDN w:val="0"/>
              <w:adjustRightInd w:val="0"/>
              <w:jc w:val="center"/>
              <w:rPr>
                <w:b/>
                <w:bCs/>
              </w:rPr>
            </w:pPr>
          </w:p>
          <w:p w:rsidRPr="00FA0EF9" w:rsidR="00FA0EF9" w:rsidP="00FA0EF9" w:rsidRDefault="00FA0EF9" w14:paraId="25494F49" w14:textId="59B09DEB">
            <w:pPr>
              <w:autoSpaceDE w:val="0"/>
              <w:autoSpaceDN w:val="0"/>
              <w:adjustRightInd w:val="0"/>
              <w:jc w:val="center"/>
            </w:pPr>
            <w:r w:rsidRPr="00FA0EF9">
              <w:t>Precizēta Projekta anotācija.</w:t>
            </w:r>
          </w:p>
        </w:tc>
        <w:tc>
          <w:tcPr>
            <w:tcW w:w="4278" w:type="dxa"/>
            <w:gridSpan w:val="3"/>
            <w:tcBorders>
              <w:top w:val="single" w:color="auto" w:sz="4" w:space="0"/>
              <w:left w:val="single" w:color="auto" w:sz="4" w:space="0"/>
              <w:bottom w:val="single" w:color="auto" w:sz="4" w:space="0"/>
            </w:tcBorders>
          </w:tcPr>
          <w:p w:rsidR="00D0720F" w:rsidP="00CC135B" w:rsidRDefault="00D0720F" w14:paraId="2F34FE50" w14:textId="77777777">
            <w:pPr>
              <w:ind w:left="57" w:right="57"/>
              <w:jc w:val="both"/>
            </w:pPr>
            <w:r>
              <w:lastRenderedPageBreak/>
              <w:t>71. Dokumentāciju noformē</w:t>
            </w:r>
            <w:r w:rsidRPr="00A25D6F">
              <w:t xml:space="preserve"> un sarakst</w:t>
            </w:r>
            <w:r>
              <w:t>i,</w:t>
            </w:r>
            <w:r w:rsidRPr="00A25D6F">
              <w:t xml:space="preserve"> saistībā ar </w:t>
            </w:r>
            <w:r>
              <w:t>,,</w:t>
            </w:r>
            <w:r w:rsidRPr="00A25D6F">
              <w:t>EK” verifikācijas procedūr</w:t>
            </w:r>
            <w:r>
              <w:t xml:space="preserve">as </w:t>
            </w:r>
            <w:r>
              <w:lastRenderedPageBreak/>
              <w:t>norisi,</w:t>
            </w:r>
            <w:r w:rsidRPr="00A25D6F">
              <w:t xml:space="preserve"> </w:t>
            </w:r>
            <w:r>
              <w:t>veic</w:t>
            </w:r>
            <w:r w:rsidRPr="00A25D6F">
              <w:t xml:space="preserve"> tās Eiropas Savienības dalībvalsts </w:t>
            </w:r>
            <w:r>
              <w:t xml:space="preserve">oficiālajā </w:t>
            </w:r>
            <w:r w:rsidRPr="00A25D6F">
              <w:t xml:space="preserve">valodā, kurā reģistrēts </w:t>
            </w:r>
            <w:r w:rsidRPr="007D1BEF">
              <w:t>ražotājs, pasūtītājs vai to pilnvarots pārstāvis</w:t>
            </w:r>
            <w:r>
              <w:t xml:space="preserve">, </w:t>
            </w:r>
            <w:r w:rsidRPr="00A25D6F">
              <w:t xml:space="preserve">vai </w:t>
            </w:r>
            <w:r>
              <w:t xml:space="preserve">Eiropas </w:t>
            </w:r>
            <w:r w:rsidRPr="00A25D6F">
              <w:t xml:space="preserve">Savienības oficiālajā valodā, kuras izmantošanai piekritis </w:t>
            </w:r>
            <w:r w:rsidRPr="007D1BEF">
              <w:t>ražotājs, pasūtītājs vai to pilnvarots pārstāvis</w:t>
            </w:r>
            <w:r>
              <w:t>.</w:t>
            </w:r>
          </w:p>
          <w:p w:rsidR="00FA0EF9" w:rsidP="00CC135B" w:rsidRDefault="00FA0EF9" w14:paraId="50B98E07" w14:textId="77777777">
            <w:pPr>
              <w:ind w:left="57" w:right="57"/>
              <w:jc w:val="both"/>
            </w:pPr>
          </w:p>
          <w:p w:rsidRPr="009010EB" w:rsidR="00FA0EF9" w:rsidP="00CC135B" w:rsidRDefault="00FA0EF9" w14:paraId="25494F4A" w14:textId="1F0CFFAF">
            <w:pPr>
              <w:ind w:left="57" w:right="57"/>
              <w:jc w:val="both"/>
              <w:rPr>
                <w:i/>
                <w:iCs/>
              </w:rPr>
            </w:pPr>
          </w:p>
        </w:tc>
      </w:tr>
      <w:tr w:rsidRPr="00823410" w:rsidR="00D0720F" w14:paraId="25494F51"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4C" w14:textId="77777777">
            <w:pPr>
              <w:ind w:left="360" w:hanging="352"/>
              <w:jc w:val="both"/>
            </w:pPr>
            <w:r w:rsidRPr="00EF34ED">
              <w:lastRenderedPageBreak/>
              <w:t>15.</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4D" w14:textId="77777777">
            <w:pPr>
              <w:jc w:val="both"/>
            </w:pPr>
            <w:r w:rsidRPr="00513176">
              <w:t xml:space="preserve">80. Ja šajos noteikumos nav noteiktas citas prasības, šo </w:t>
            </w:r>
            <w:r w:rsidRPr="0081572A">
              <w:t>noteikumu 79.punktā minētās ritošā sastāva apakšsistēmas atbilstības novērtēšanu nacionālo prasību novērtēšanas</w:t>
            </w:r>
            <w:r w:rsidRPr="00513176">
              <w:t xml:space="preserve"> institūcija veic atbilstoši savstarpējas </w:t>
            </w:r>
            <w:proofErr w:type="spellStart"/>
            <w:r w:rsidRPr="00513176">
              <w:t>izmantojamības</w:t>
            </w:r>
            <w:proofErr w:type="spellEnd"/>
            <w:r w:rsidRPr="00513176">
              <w:t xml:space="preserve"> tehniskajās specifikācijās izmantojamajiem atbilstības novērtēšanas procedūru moduļiem. Jebkurā gadījumā atļauts izmantot moduļu kombināciju – tipa pārbaude </w:t>
            </w:r>
            <w:r>
              <w:t>kopā ar vienības verifikāciju.</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4E" w14:textId="77777777">
            <w:pPr>
              <w:ind w:left="34"/>
              <w:jc w:val="both"/>
              <w:rPr>
                <w:b/>
                <w:bCs/>
              </w:rPr>
            </w:pPr>
            <w:r>
              <w:rPr>
                <w:color w:val="000000"/>
              </w:rPr>
              <w:t xml:space="preserve">15. </w:t>
            </w:r>
            <w:r w:rsidRPr="00CC135B">
              <w:rPr>
                <w:color w:val="000000"/>
              </w:rPr>
              <w:t>Lūdzam p</w:t>
            </w:r>
            <w:r>
              <w:rPr>
                <w:color w:val="000000"/>
              </w:rPr>
              <w:t>rojekta 80.</w:t>
            </w:r>
            <w:r w:rsidRPr="00CC135B">
              <w:rPr>
                <w:color w:val="000000"/>
              </w:rPr>
              <w:t>punkta pirmajā teikumā precizēt iekšējo atsauci</w:t>
            </w:r>
            <w:r>
              <w:rPr>
                <w:color w:val="000000"/>
              </w:rPr>
              <w:t xml:space="preserve"> ,,</w:t>
            </w:r>
            <w:r w:rsidRPr="00CC135B">
              <w:rPr>
                <w:i/>
                <w:iCs/>
                <w:color w:val="000000"/>
              </w:rPr>
              <w:t>ja šajos noteikumos nav noteiktas citas prasības</w:t>
            </w:r>
            <w:r w:rsidRPr="00CC135B">
              <w:rPr>
                <w:color w:val="000000"/>
              </w:rPr>
              <w:t>”, noformējot t</w:t>
            </w:r>
            <w:r>
              <w:rPr>
                <w:color w:val="000000"/>
              </w:rPr>
              <w:t>o atbilstoši NAP noteikumu 132.</w:t>
            </w:r>
            <w:r w:rsidRPr="00CC135B">
              <w:rPr>
                <w:color w:val="000000"/>
              </w:rPr>
              <w:t>punktam. Vēršam uzmanību, ka normatīvā akta projekta sagatavošanā var izmantot iekšējās atsauces, ja tādas projekta autori uzskata par nepieciešamām, bet nevar minēt vispārīgu norādi par citām prasībām, it īpaši ņemot vērā projekta un tā pielikumu ievērojamo apjomu.</w:t>
            </w:r>
          </w:p>
        </w:tc>
        <w:tc>
          <w:tcPr>
            <w:tcW w:w="1985" w:type="dxa"/>
            <w:gridSpan w:val="2"/>
            <w:tcBorders>
              <w:left w:val="single" w:color="000000" w:sz="6" w:space="0"/>
              <w:bottom w:val="single" w:color="auto" w:sz="4" w:space="0"/>
              <w:right w:val="single" w:color="000000" w:sz="6" w:space="0"/>
            </w:tcBorders>
          </w:tcPr>
          <w:p w:rsidRPr="00AD5877" w:rsidR="00D0720F" w:rsidP="00FA0EF9" w:rsidRDefault="00D0720F" w14:paraId="25494F4F" w14:textId="124BE848">
            <w:pPr>
              <w:autoSpaceDE w:val="0"/>
              <w:autoSpaceDN w:val="0"/>
              <w:adjustRightInd w:val="0"/>
              <w:jc w:val="center"/>
              <w:rPr>
                <w:b/>
                <w:bCs/>
              </w:rPr>
            </w:pPr>
            <w:r w:rsidRPr="0050444A">
              <w:rPr>
                <w:b/>
                <w:bCs/>
              </w:rPr>
              <w:t>Ņemts vērā.</w:t>
            </w: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F50" w14:textId="77777777">
            <w:pPr>
              <w:ind w:left="57" w:right="57"/>
              <w:jc w:val="both"/>
            </w:pPr>
            <w:r w:rsidRPr="00513176">
              <w:t xml:space="preserve">80. </w:t>
            </w:r>
            <w:r w:rsidRPr="00242AC5">
              <w:t>Šo noteikumu 79.punktā minētās ritošā sastāva apakšsistēmas atbilstības novērtēšanu nacionālo</w:t>
            </w:r>
            <w:r w:rsidRPr="0081572A">
              <w:t xml:space="preserve"> prasību novērtēšanas</w:t>
            </w:r>
            <w:r w:rsidRPr="00513176">
              <w:t xml:space="preserve"> institūcija veic atbilstoši savstarpējas </w:t>
            </w:r>
            <w:proofErr w:type="spellStart"/>
            <w:r w:rsidRPr="00513176">
              <w:t>izmantojamības</w:t>
            </w:r>
            <w:proofErr w:type="spellEnd"/>
            <w:r w:rsidRPr="00513176">
              <w:t xml:space="preserve"> tehniskajās specifikācijās izmantojamajiem atbilstības novērtēšanas procedūru moduļiem. Jebkurā gadījumā atļauts izmantot moduļu kombināciju – tipa pārbaude </w:t>
            </w:r>
            <w:r>
              <w:t>kopā ar vienības verifikāciju.</w:t>
            </w:r>
          </w:p>
        </w:tc>
      </w:tr>
      <w:tr w:rsidRPr="00823410" w:rsidR="00D0720F" w14:paraId="25494F5C" w14:textId="77777777">
        <w:tc>
          <w:tcPr>
            <w:tcW w:w="542" w:type="dxa"/>
            <w:gridSpan w:val="2"/>
            <w:tcBorders>
              <w:left w:val="single" w:color="000000" w:sz="6" w:space="0"/>
              <w:bottom w:val="single" w:color="auto" w:sz="4" w:space="0"/>
              <w:right w:val="single" w:color="000000" w:sz="6" w:space="0"/>
            </w:tcBorders>
          </w:tcPr>
          <w:p w:rsidR="00D0720F" w:rsidP="00CC135B" w:rsidRDefault="00D0720F" w14:paraId="25494F52" w14:textId="77777777">
            <w:pPr>
              <w:ind w:left="360" w:hanging="352"/>
              <w:jc w:val="both"/>
            </w:pPr>
            <w:r w:rsidRPr="00EF34ED">
              <w:t>16.</w:t>
            </w:r>
          </w:p>
          <w:p w:rsidRPr="00EF34ED" w:rsidR="00D0720F" w:rsidP="00CC135B" w:rsidRDefault="00D0720F" w14:paraId="25494F53" w14:textId="77777777">
            <w:pPr>
              <w:ind w:left="360" w:hanging="352"/>
              <w:jc w:val="both"/>
            </w:pPr>
          </w:p>
        </w:tc>
        <w:tc>
          <w:tcPr>
            <w:tcW w:w="3685" w:type="dxa"/>
            <w:gridSpan w:val="3"/>
            <w:tcBorders>
              <w:left w:val="single" w:color="000000" w:sz="6" w:space="0"/>
              <w:bottom w:val="single" w:color="auto" w:sz="4" w:space="0"/>
              <w:right w:val="single" w:color="000000" w:sz="6" w:space="0"/>
            </w:tcBorders>
          </w:tcPr>
          <w:p w:rsidR="00D0720F" w:rsidP="00CC135B" w:rsidRDefault="00D0720F" w14:paraId="25494F54" w14:textId="77777777">
            <w:pPr>
              <w:jc w:val="both"/>
            </w:pPr>
            <w:r>
              <w:t xml:space="preserve">110. Pirms esošo apakšsistēmu atjaunošanas vai modernizācijas, pasūtītājs, ražotājs vai to pilnvarots </w:t>
            </w:r>
            <w:r>
              <w:lastRenderedPageBreak/>
              <w:t xml:space="preserve">pārstāvis </w:t>
            </w:r>
            <w:proofErr w:type="spellStart"/>
            <w:r>
              <w:t>nosūta</w:t>
            </w:r>
            <w:proofErr w:type="spellEnd"/>
            <w:r>
              <w:t xml:space="preserve"> Inspekcijai projekta dokumentāciju. Inspekcija mēneša laikā pēc dokumentācijas saņemšanas informē pasūtītāju, ražotāju vai to pilnvarotu pārstāvi, ka dokumentācija ir pilnīga, vai lūdz papildu informāciju, nosakot samērīgu termiņu tās iesniegšanai. Ja paredzētie atjaunošanas vai modernizācijas darbi neietekmē attiecīgās apakšsistēmas vispārējo drošības līmeni, Inspekcija nepiešķir jaunu stacionārās iekārtas ekspluatācijas atļauju.</w:t>
            </w:r>
          </w:p>
          <w:p w:rsidR="00D0720F" w:rsidP="00CC135B" w:rsidRDefault="00D0720F" w14:paraId="25494F55" w14:textId="77777777">
            <w:pPr>
              <w:jc w:val="both"/>
            </w:pPr>
          </w:p>
          <w:p w:rsidRPr="00823410" w:rsidR="00D0720F" w:rsidP="00CC135B" w:rsidRDefault="00D0720F" w14:paraId="25494F56" w14:textId="77777777">
            <w:pPr>
              <w:jc w:val="both"/>
            </w:pPr>
            <w:r>
              <w:t>112. Inspekcija lēmumu piešķirt atkārtotu stacionārās iekārtas ekspluatācijas atļauju pēc apakšsistēmas atjaunošanas vai modernizācijas pieņem četru mēnešu laikā pēc visas attiecīgās informācijas saņemšanas.</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57" w14:textId="77777777">
            <w:pPr>
              <w:ind w:left="34"/>
              <w:jc w:val="both"/>
              <w:rPr>
                <w:b/>
                <w:bCs/>
              </w:rPr>
            </w:pPr>
            <w:r>
              <w:rPr>
                <w:color w:val="000000"/>
              </w:rPr>
              <w:lastRenderedPageBreak/>
              <w:t xml:space="preserve">16. </w:t>
            </w:r>
            <w:r w:rsidRPr="00CC135B">
              <w:rPr>
                <w:color w:val="000000"/>
              </w:rPr>
              <w:t>Nepieciešams precizēt vai svītrot p</w:t>
            </w:r>
            <w:r>
              <w:rPr>
                <w:color w:val="000000"/>
              </w:rPr>
              <w:t>rojekta 110.un 112.</w:t>
            </w:r>
            <w:r w:rsidRPr="00CC135B">
              <w:rPr>
                <w:color w:val="000000"/>
              </w:rPr>
              <w:t xml:space="preserve">punktu daļā par iesnieguma pieņemšanas un </w:t>
            </w:r>
            <w:r w:rsidRPr="00CC135B">
              <w:rPr>
                <w:color w:val="000000"/>
              </w:rPr>
              <w:lastRenderedPageBreak/>
              <w:t>izskatīšanas termiņiem. Vēršam uzmanību, ka regulējumu par stacionāro iekārtu iesnieguma pieņemšanas un izskatīšanas termiņiem paredz Likuma 43.</w:t>
            </w:r>
            <w:r w:rsidRPr="00CC135B">
              <w:rPr>
                <w:color w:val="000000"/>
                <w:vertAlign w:val="superscript"/>
              </w:rPr>
              <w:t>4</w:t>
            </w:r>
            <w:r w:rsidRPr="00CC135B">
              <w:rPr>
                <w:color w:val="000000"/>
              </w:rPr>
              <w:t xml:space="preserve"> panta piektā daļa. Norādām, ka Ministru kabineta noteikumos neietver tiesību normas, kas dublē augstāka juridiskā spēka tiesību normas. Tāpat norādām, ka Ministru kabineta noteikumos bez īpaša likuma pilnvarojuma nevar noteikt termiņus, kuri neatbilst Administratīvā procesa likumā noteiktajam.</w:t>
            </w:r>
          </w:p>
        </w:tc>
        <w:tc>
          <w:tcPr>
            <w:tcW w:w="1985" w:type="dxa"/>
            <w:gridSpan w:val="2"/>
            <w:tcBorders>
              <w:left w:val="single" w:color="000000" w:sz="6" w:space="0"/>
              <w:bottom w:val="single" w:color="auto" w:sz="4" w:space="0"/>
              <w:right w:val="single" w:color="000000" w:sz="6" w:space="0"/>
            </w:tcBorders>
          </w:tcPr>
          <w:p w:rsidRPr="00823410" w:rsidR="00D0720F" w:rsidP="00FA0EF9" w:rsidRDefault="00D0720F" w14:paraId="25494F58" w14:textId="3B681A07">
            <w:pPr>
              <w:autoSpaceDE w:val="0"/>
              <w:autoSpaceDN w:val="0"/>
              <w:adjustRightInd w:val="0"/>
              <w:jc w:val="center"/>
            </w:pPr>
            <w:r>
              <w:rPr>
                <w:b/>
                <w:bCs/>
              </w:rPr>
              <w:lastRenderedPageBreak/>
              <w:t>Ņemts vērā.</w:t>
            </w:r>
          </w:p>
        </w:tc>
        <w:tc>
          <w:tcPr>
            <w:tcW w:w="4278" w:type="dxa"/>
            <w:gridSpan w:val="3"/>
            <w:tcBorders>
              <w:top w:val="single" w:color="auto" w:sz="4" w:space="0"/>
              <w:left w:val="single" w:color="auto" w:sz="4" w:space="0"/>
              <w:bottom w:val="single" w:color="auto" w:sz="4" w:space="0"/>
            </w:tcBorders>
          </w:tcPr>
          <w:p w:rsidR="00D0720F" w:rsidP="009A0C70" w:rsidRDefault="00D0720F" w14:paraId="25494F59" w14:textId="77777777">
            <w:pPr>
              <w:ind w:right="57"/>
              <w:jc w:val="both"/>
            </w:pPr>
            <w:r w:rsidRPr="00242AC5">
              <w:t xml:space="preserve">109. </w:t>
            </w:r>
            <w:bookmarkStart w:name="p-375778" w:id="0"/>
            <w:bookmarkStart w:name="p95" w:id="1"/>
            <w:bookmarkEnd w:id="0"/>
            <w:bookmarkEnd w:id="1"/>
            <w:r w:rsidRPr="00242AC5">
              <w:t>Pirms esošo apakšsistēmu atjaunošanas vai modernizācijas, pasūtītājs,</w:t>
            </w:r>
            <w:r w:rsidRPr="00F30245">
              <w:t xml:space="preserve"> ražotājs </w:t>
            </w:r>
            <w:r w:rsidRPr="00242AC5">
              <w:t xml:space="preserve">vai to pilnvarots </w:t>
            </w:r>
            <w:r w:rsidRPr="00242AC5">
              <w:lastRenderedPageBreak/>
              <w:t xml:space="preserve">pārstāvis </w:t>
            </w:r>
            <w:proofErr w:type="spellStart"/>
            <w:r w:rsidRPr="00242AC5">
              <w:t>nosūta</w:t>
            </w:r>
            <w:proofErr w:type="spellEnd"/>
            <w:r w:rsidRPr="00242AC5">
              <w:t xml:space="preserve"> Inspekcijai projekta dokumentāciju. Inspekcija informē pasūtītāju, ražotāju vai to</w:t>
            </w:r>
            <w:r w:rsidRPr="00F30245">
              <w:t xml:space="preserve"> pilnvarotu pārstāvi</w:t>
            </w:r>
            <w:r w:rsidRPr="00476908">
              <w:t xml:space="preserve">, ka dokumentācija ir pilnīga, </w:t>
            </w:r>
            <w:r w:rsidRPr="000051FE">
              <w:t xml:space="preserve">vai lūdz papildu informāciju, nosakot samērīgu termiņu tās iesniegšanai. Ja paredzētie atjaunošanas vai modernizācijas darbi neietekmē attiecīgās apakšsistēmas vispārējo drošības līmeni, Inspekcija </w:t>
            </w:r>
            <w:r>
              <w:t>nepiešķir jaunu stacionārās iekārtas ekspluatācijas atļauju.</w:t>
            </w:r>
          </w:p>
          <w:p w:rsidR="00D0720F" w:rsidP="009A0C70" w:rsidRDefault="00D0720F" w14:paraId="25494F5A" w14:textId="77777777">
            <w:pPr>
              <w:ind w:right="57"/>
              <w:jc w:val="both"/>
            </w:pPr>
          </w:p>
          <w:p w:rsidRPr="00823410" w:rsidR="00D0720F" w:rsidP="009A0C70" w:rsidRDefault="00D0720F" w14:paraId="25494F5B" w14:textId="77777777">
            <w:pPr>
              <w:ind w:right="57"/>
              <w:jc w:val="both"/>
            </w:pPr>
            <w:r>
              <w:t>Svītrots 112.punkts.</w:t>
            </w:r>
          </w:p>
        </w:tc>
      </w:tr>
      <w:tr w:rsidRPr="00823410" w:rsidR="00D0720F" w14:paraId="25494F62"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5D" w14:textId="77777777">
            <w:pPr>
              <w:ind w:left="360" w:hanging="352"/>
              <w:jc w:val="both"/>
            </w:pPr>
            <w:r w:rsidRPr="00EF34ED">
              <w:lastRenderedPageBreak/>
              <w:t>17.</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5E" w14:textId="77777777">
            <w:pPr>
              <w:jc w:val="both"/>
            </w:pPr>
            <w:r>
              <w:t>126.</w:t>
            </w:r>
            <w:r w:rsidRPr="00F74979">
              <w:t xml:space="preserve"> Inspekcija ir atbildīga par atļaujām </w:t>
            </w:r>
            <w:proofErr w:type="spellStart"/>
            <w:r w:rsidRPr="00F74979">
              <w:t>ritekļa</w:t>
            </w:r>
            <w:proofErr w:type="spellEnd"/>
            <w:r w:rsidRPr="00F74979">
              <w:t xml:space="preserve"> </w:t>
            </w:r>
            <w:r>
              <w:t xml:space="preserve">vai </w:t>
            </w:r>
            <w:proofErr w:type="spellStart"/>
            <w:r>
              <w:t>ritekļa</w:t>
            </w:r>
            <w:proofErr w:type="spellEnd"/>
            <w:r>
              <w:t xml:space="preserve"> tipa </w:t>
            </w:r>
            <w:r w:rsidRPr="00F74979">
              <w:t>laišanai tirgū, ko tā izsniedz.</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5F" w14:textId="77777777">
            <w:pPr>
              <w:ind w:left="34"/>
              <w:jc w:val="both"/>
              <w:rPr>
                <w:highlight w:val="yellow"/>
              </w:rPr>
            </w:pPr>
            <w:r>
              <w:rPr>
                <w:color w:val="000000"/>
              </w:rPr>
              <w:t xml:space="preserve">17. </w:t>
            </w:r>
            <w:r w:rsidRPr="00CC135B">
              <w:rPr>
                <w:color w:val="000000"/>
              </w:rPr>
              <w:t>Lūdzam svītrot projekta 126.punktu</w:t>
            </w:r>
            <w:r>
              <w:rPr>
                <w:color w:val="000000"/>
              </w:rPr>
              <w:t>, kas šobrīd paredz, ka ,,</w:t>
            </w:r>
            <w:r w:rsidRPr="00CC135B">
              <w:rPr>
                <w:i/>
                <w:iCs/>
              </w:rPr>
              <w:t xml:space="preserve">Inspekcija ir atbildīga par atļaujām </w:t>
            </w:r>
            <w:proofErr w:type="spellStart"/>
            <w:r w:rsidRPr="00CC135B">
              <w:rPr>
                <w:i/>
                <w:iCs/>
              </w:rPr>
              <w:t>ritekļa</w:t>
            </w:r>
            <w:proofErr w:type="spellEnd"/>
            <w:r w:rsidRPr="00CC135B">
              <w:rPr>
                <w:i/>
                <w:iCs/>
              </w:rPr>
              <w:t xml:space="preserve"> vai </w:t>
            </w:r>
            <w:proofErr w:type="spellStart"/>
            <w:r w:rsidRPr="00CC135B">
              <w:rPr>
                <w:i/>
                <w:iCs/>
              </w:rPr>
              <w:t>ritekļa</w:t>
            </w:r>
            <w:proofErr w:type="spellEnd"/>
            <w:r w:rsidRPr="00CC135B">
              <w:rPr>
                <w:i/>
                <w:iCs/>
              </w:rPr>
              <w:t xml:space="preserve"> tipa laišanai tirgū, ko tā izsniedz</w:t>
            </w:r>
            <w:r w:rsidRPr="00CC135B">
              <w:rPr>
                <w:color w:val="000000"/>
              </w:rPr>
              <w:t xml:space="preserve">”. Norādām, ka šāda norma ir lieka un deklaratīva. Tāpat vēršam uzmanību, ka atbilstoši Valsts pārvaldes iekārtas likumā, Administratīvā procesa likumā, Valsts pārvaldes iestāžu nodarīto zaudējumu atlīdzināšanas likumā un citos normatīvajos aktos jau pastāv </w:t>
            </w:r>
            <w:r w:rsidRPr="00CC135B">
              <w:rPr>
                <w:color w:val="000000"/>
              </w:rPr>
              <w:lastRenderedPageBreak/>
              <w:t>nosacījumi par iestādes atbildību par savas darbības tiesiskumu, kā arī par prettiesiskas rīcības juridiskajām sekām.</w:t>
            </w:r>
          </w:p>
        </w:tc>
        <w:tc>
          <w:tcPr>
            <w:tcW w:w="1985" w:type="dxa"/>
            <w:gridSpan w:val="2"/>
            <w:tcBorders>
              <w:left w:val="single" w:color="000000" w:sz="6" w:space="0"/>
              <w:bottom w:val="single" w:color="auto" w:sz="4" w:space="0"/>
              <w:right w:val="single" w:color="000000" w:sz="6" w:space="0"/>
            </w:tcBorders>
          </w:tcPr>
          <w:p w:rsidRPr="004E07EF" w:rsidR="00D0720F" w:rsidP="00CC135B" w:rsidRDefault="00D0720F" w14:paraId="25494F60" w14:textId="6207409B">
            <w:pPr>
              <w:autoSpaceDE w:val="0"/>
              <w:autoSpaceDN w:val="0"/>
              <w:adjustRightInd w:val="0"/>
              <w:jc w:val="both"/>
              <w:rPr>
                <w:b/>
                <w:bCs/>
                <w:highlight w:val="yellow"/>
              </w:rPr>
            </w:pPr>
            <w:r w:rsidRPr="00301B63">
              <w:rPr>
                <w:b/>
                <w:bCs/>
              </w:rPr>
              <w:lastRenderedPageBreak/>
              <w:t xml:space="preserve">Ņemts vērā. </w:t>
            </w:r>
            <w:r w:rsidRPr="00301B63">
              <w:t>Precizēts Projekts un anotācijas</w:t>
            </w:r>
            <w:r w:rsidR="00FA0EF9">
              <w:t xml:space="preserve"> V sadaļas</w:t>
            </w:r>
            <w:r w:rsidRPr="00301B63">
              <w:t xml:space="preserve"> 1.tabula</w:t>
            </w:r>
            <w:r>
              <w:t>.</w:t>
            </w: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F61" w14:textId="77777777">
            <w:pPr>
              <w:ind w:left="57" w:right="57"/>
              <w:jc w:val="both"/>
            </w:pPr>
            <w:r w:rsidRPr="00B76CAA">
              <w:t>Svītrots 126.punkts</w:t>
            </w:r>
            <w:r>
              <w:t>.</w:t>
            </w:r>
          </w:p>
        </w:tc>
      </w:tr>
      <w:tr w:rsidRPr="00823410" w:rsidR="00D0720F" w14:paraId="25494F6E"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63" w14:textId="77777777">
            <w:pPr>
              <w:ind w:left="360" w:hanging="352"/>
              <w:jc w:val="both"/>
            </w:pPr>
            <w:r w:rsidRPr="00EF34ED">
              <w:t>18.</w:t>
            </w:r>
          </w:p>
        </w:tc>
        <w:tc>
          <w:tcPr>
            <w:tcW w:w="3685" w:type="dxa"/>
            <w:gridSpan w:val="3"/>
            <w:tcBorders>
              <w:left w:val="single" w:color="000000" w:sz="6" w:space="0"/>
              <w:bottom w:val="single" w:color="auto" w:sz="4" w:space="0"/>
              <w:right w:val="single" w:color="000000" w:sz="6" w:space="0"/>
            </w:tcBorders>
          </w:tcPr>
          <w:p w:rsidR="00D0720F" w:rsidP="00CC135B" w:rsidRDefault="00D0720F" w14:paraId="25494F64" w14:textId="77777777">
            <w:pPr>
              <w:jc w:val="both"/>
            </w:pPr>
            <w:r>
              <w:t xml:space="preserve">149. Lēmumi, kas pieņemti saskaņā ar Ministru kabineta 2010.gada 28.decembra noteikumiem Nr.1210 ,,Noteikumi par Eiropas dzelzceļa sistēmu savstarpēju </w:t>
            </w:r>
            <w:proofErr w:type="spellStart"/>
            <w:r>
              <w:t>izmantojamību</w:t>
            </w:r>
            <w:proofErr w:type="spellEnd"/>
            <w:r>
              <w:t>” ir spēkā atbilstoši tajos iekļautajiem nosacījumiem.</w:t>
            </w:r>
          </w:p>
          <w:p w:rsidR="00D0720F" w:rsidP="00CC135B" w:rsidRDefault="00D0720F" w14:paraId="25494F65" w14:textId="77777777">
            <w:pPr>
              <w:jc w:val="both"/>
            </w:pPr>
          </w:p>
          <w:p w:rsidRPr="00823410" w:rsidR="00D0720F" w:rsidP="00CC135B" w:rsidRDefault="00D0720F" w14:paraId="25494F66" w14:textId="77777777">
            <w:pPr>
              <w:jc w:val="both"/>
            </w:pPr>
            <w:r>
              <w:t>150. Lēmumi, kas pieņemti saskaņā ar Ministru kabineta 2010.gada 28.decembra noteikumiem Nr.1211 ,,Noteikumi par ritošā sastāva būvi, modernizāciju, atjaunošanas remontu, atbilstības novērtēšanu un pieņemšanu ekspluatācijā” ir spēkā atbilstoši tajos iekļautajiem nosacījumiem.</w:t>
            </w:r>
          </w:p>
        </w:tc>
        <w:tc>
          <w:tcPr>
            <w:tcW w:w="3969" w:type="dxa"/>
            <w:gridSpan w:val="2"/>
            <w:tcBorders>
              <w:left w:val="single" w:color="000000" w:sz="6" w:space="0"/>
              <w:bottom w:val="single" w:color="auto" w:sz="4" w:space="0"/>
              <w:right w:val="single" w:color="000000" w:sz="6" w:space="0"/>
            </w:tcBorders>
          </w:tcPr>
          <w:p w:rsidRPr="00823410" w:rsidR="00D0720F" w:rsidP="00CC135B" w:rsidRDefault="00D0720F" w14:paraId="25494F67" w14:textId="77777777">
            <w:pPr>
              <w:ind w:left="34"/>
              <w:jc w:val="both"/>
              <w:rPr>
                <w:b/>
                <w:bCs/>
              </w:rPr>
            </w:pPr>
            <w:r>
              <w:rPr>
                <w:color w:val="000000"/>
              </w:rPr>
              <w:t xml:space="preserve">18. </w:t>
            </w:r>
            <w:r w:rsidRPr="00CC135B">
              <w:rPr>
                <w:color w:val="000000"/>
              </w:rPr>
              <w:t>Lūdzam svītrot p</w:t>
            </w:r>
            <w:r>
              <w:rPr>
                <w:color w:val="000000"/>
              </w:rPr>
              <w:t>rojekta 149.</w:t>
            </w:r>
            <w:r w:rsidRPr="00CC135B">
              <w:rPr>
                <w:color w:val="000000"/>
              </w:rPr>
              <w:t>un 150.punktu, jo šāda veida pārejas regulējumu Ministru kabineta noteikumos neiekļauj. Vēršam uzmanību, ka jebkuras privātpersonas tiesību aizsardzībai darbojas tiesiskās paļāvības princips un citi Administratīvā procesa likumā noteiktie principi, tādēļ jebkuras darbības, kuras ir veiktas tiesiski, saskaņā ar spēkā esošu normatīvo aktu regulējumu ir saistošas gan privātpersonām, gan arī publiskajam sektoram, tai skaitā valsts pārvaldei. Papildus norādām, ka saskaņā ar Oficiālo publikāciju un t</w:t>
            </w:r>
            <w:r>
              <w:rPr>
                <w:color w:val="000000"/>
              </w:rPr>
              <w:t>iesiskās informācijas likuma 9.</w:t>
            </w:r>
            <w:r w:rsidRPr="00CC135B">
              <w:rPr>
                <w:color w:val="000000"/>
              </w:rPr>
              <w:t>panta ceturto daļu normatīvajam aktam vai tā daļai nav atpakaļejoša spēka, izņemot likumā īpaši paredzētus gadījumus. Tādejādi tikai ar likumu var noteikt tiesisko regulējumu, kas var ietekmēt privātpersonas tiesību aizsardzības principu ievērošanu.</w:t>
            </w:r>
          </w:p>
        </w:tc>
        <w:tc>
          <w:tcPr>
            <w:tcW w:w="1985" w:type="dxa"/>
            <w:gridSpan w:val="2"/>
            <w:tcBorders>
              <w:left w:val="single" w:color="000000" w:sz="6" w:space="0"/>
              <w:bottom w:val="single" w:color="auto" w:sz="4" w:space="0"/>
              <w:right w:val="single" w:color="000000" w:sz="6" w:space="0"/>
            </w:tcBorders>
          </w:tcPr>
          <w:p w:rsidR="00FA0EF9" w:rsidP="00044CEF" w:rsidRDefault="00D0720F" w14:paraId="5CB6DEAA" w14:textId="2CE83F8D">
            <w:pPr>
              <w:autoSpaceDE w:val="0"/>
              <w:autoSpaceDN w:val="0"/>
              <w:adjustRightInd w:val="0"/>
              <w:jc w:val="center"/>
              <w:rPr>
                <w:b/>
                <w:bCs/>
              </w:rPr>
            </w:pPr>
            <w:r>
              <w:rPr>
                <w:b/>
                <w:bCs/>
              </w:rPr>
              <w:t xml:space="preserve">Panākta vienošanās saskaņošanas </w:t>
            </w:r>
            <w:r w:rsidR="00FA0EF9">
              <w:rPr>
                <w:b/>
                <w:bCs/>
              </w:rPr>
              <w:t>laik</w:t>
            </w:r>
            <w:r>
              <w:rPr>
                <w:b/>
                <w:bCs/>
              </w:rPr>
              <w:t>ā.</w:t>
            </w:r>
          </w:p>
          <w:p w:rsidRPr="007639F1" w:rsidR="00D0720F" w:rsidP="00E87788" w:rsidRDefault="00D0720F" w14:paraId="25494F6A" w14:textId="0CC4DCEC">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Pr="00242AC5" w:rsidR="00D0720F" w:rsidP="00287140" w:rsidRDefault="00D0720F" w14:paraId="25494F6B" w14:textId="77777777">
            <w:pPr>
              <w:jc w:val="both"/>
            </w:pPr>
            <w:r w:rsidRPr="00242AC5">
              <w:t xml:space="preserve">151. Lēmumi, kas pieņemti saskaņā ar Ministru kabineta 2010.gada 28.decembra noteikumiem Nr.1210 ,,Noteikumi par Eiropas dzelzceļa sistēmu savstarpēju </w:t>
            </w:r>
            <w:proofErr w:type="spellStart"/>
            <w:r w:rsidRPr="00242AC5">
              <w:t>izmantojamību</w:t>
            </w:r>
            <w:proofErr w:type="spellEnd"/>
            <w:r w:rsidRPr="00242AC5">
              <w:t>” ir spēkā atbilstoši tajos iekļautajiem nosacījumiem.</w:t>
            </w:r>
          </w:p>
          <w:p w:rsidRPr="00242AC5" w:rsidR="00D0720F" w:rsidP="00287140" w:rsidRDefault="00D0720F" w14:paraId="25494F6C" w14:textId="77777777">
            <w:pPr>
              <w:jc w:val="both"/>
            </w:pPr>
          </w:p>
          <w:p w:rsidR="00FA0EF9" w:rsidP="00FA0EF9" w:rsidRDefault="00D0720F" w14:paraId="58C24FE3" w14:textId="77777777">
            <w:pPr>
              <w:autoSpaceDE w:val="0"/>
              <w:autoSpaceDN w:val="0"/>
              <w:adjustRightInd w:val="0"/>
              <w:jc w:val="both"/>
            </w:pPr>
            <w:r w:rsidRPr="00242AC5">
              <w:t>152.</w:t>
            </w:r>
            <w:r w:rsidRPr="00287140">
              <w:t xml:space="preserve"> Lēmumi, kas pieņemti saskaņā ar Ministru kabineta 2010.gada 28.decembra noteikumiem Nr.1211 ,,Noteikumi par ritošā sastāva būvi, modernizāciju, atjaunošanas remontu, atbilstības novērtēšanu un pieņemšanu ekspluatācijā” ir spēkā atbilstoši tajos iekļautajiem nosacījumiem</w:t>
            </w:r>
            <w:r>
              <w:t>.</w:t>
            </w:r>
            <w:r w:rsidRPr="00804210" w:rsidR="00FA0EF9">
              <w:t xml:space="preserve"> </w:t>
            </w:r>
          </w:p>
          <w:p w:rsidR="00FA0EF9" w:rsidP="00FA0EF9" w:rsidRDefault="00FA0EF9" w14:paraId="0868D2D2" w14:textId="77777777">
            <w:pPr>
              <w:autoSpaceDE w:val="0"/>
              <w:autoSpaceDN w:val="0"/>
              <w:adjustRightInd w:val="0"/>
              <w:jc w:val="both"/>
            </w:pPr>
          </w:p>
          <w:p w:rsidRPr="00044CEF" w:rsidR="00FA0EF9" w:rsidP="00FA0EF9" w:rsidRDefault="00FA0EF9" w14:paraId="775BF171" w14:textId="1F65F896">
            <w:pPr>
              <w:autoSpaceDE w:val="0"/>
              <w:autoSpaceDN w:val="0"/>
              <w:adjustRightInd w:val="0"/>
              <w:jc w:val="both"/>
            </w:pPr>
            <w:r w:rsidRPr="00044CEF">
              <w:t>Papildināt</w:t>
            </w:r>
            <w:r w:rsidR="00044CEF">
              <w:t>s Projekta</w:t>
            </w:r>
            <w:r w:rsidRPr="00044CEF">
              <w:t xml:space="preserve"> anotācija</w:t>
            </w:r>
            <w:r w:rsidR="00044CEF">
              <w:t>s I sadaļas 2.punkts</w:t>
            </w:r>
            <w:r w:rsidR="008A0BA8">
              <w:t>:</w:t>
            </w:r>
          </w:p>
          <w:p w:rsidRPr="00044CEF" w:rsidR="00FA0EF9" w:rsidP="00FA0EF9" w:rsidRDefault="00FA0EF9" w14:paraId="1D4A8698" w14:textId="77777777">
            <w:pPr>
              <w:autoSpaceDE w:val="0"/>
              <w:autoSpaceDN w:val="0"/>
              <w:adjustRightInd w:val="0"/>
              <w:jc w:val="both"/>
            </w:pPr>
          </w:p>
          <w:p w:rsidRPr="00823410" w:rsidR="00D0720F" w:rsidP="00FA0EF9" w:rsidRDefault="008A0BA8" w14:paraId="25494F6D" w14:textId="3EC7333E">
            <w:pPr>
              <w:jc w:val="both"/>
            </w:pPr>
            <w:r>
              <w:t>“</w:t>
            </w:r>
            <w:r w:rsidRPr="00044CEF" w:rsidR="00044CEF">
              <w:t xml:space="preserve">Projekts paredz, ka visi lēmumi, kuri tika izdoti saskaņā ar MK noteikumu Nr.1210 un MK noteikumu Nr.1211 prasībām, būs spēkā atbilstoši tajos iekļautajiem nosacījumiem neskatoties uz to, ka minēti normatīvie akti zaudējuši savu spēku, lai šo lēmumu adresātiem būtu nepārprotama pārliecība, ka attiecībā uz viņiem pieņemtie lēmumi ir spēkā un nav nepieciešams saņemt jaunus lēmumus vai atļaujas. Līdzšinēja prakse rāda, ka </w:t>
            </w:r>
            <w:r w:rsidRPr="00044CEF" w:rsidR="00044CEF">
              <w:lastRenderedPageBreak/>
              <w:t xml:space="preserve">līdzīgo normu esamība spēkā esošajos noteikumos ir nepieciešama uz iepriekšējā regulējuma pamata izdoto lēmumu tiesiskā pamatojuma nodrošināšanai, it sevišķi apakšsistēmu vai </w:t>
            </w:r>
            <w:proofErr w:type="spellStart"/>
            <w:r w:rsidRPr="00044CEF" w:rsidR="00044CEF">
              <w:t>ritekļu</w:t>
            </w:r>
            <w:proofErr w:type="spellEnd"/>
            <w:r w:rsidRPr="00044CEF" w:rsidR="00044CEF">
              <w:t xml:space="preserve"> vai </w:t>
            </w:r>
            <w:proofErr w:type="spellStart"/>
            <w:r w:rsidRPr="00044CEF" w:rsidR="00044CEF">
              <w:t>ritekļu</w:t>
            </w:r>
            <w:proofErr w:type="spellEnd"/>
            <w:r w:rsidRPr="00044CEF" w:rsidR="00044CEF">
              <w:t xml:space="preserve"> tipu modernizācijas projektos, kur nepieciešams apliecināt iepriekš izsniegtas atļaujas tiesisko pamatojumu.</w:t>
            </w:r>
            <w:r>
              <w:t>”</w:t>
            </w:r>
          </w:p>
        </w:tc>
      </w:tr>
      <w:tr w:rsidRPr="00CC1C98" w:rsidR="00D0720F" w:rsidTr="00CC1C98" w14:paraId="25494F71" w14:textId="77777777">
        <w:tc>
          <w:tcPr>
            <w:tcW w:w="14459" w:type="dxa"/>
            <w:gridSpan w:val="12"/>
            <w:tcBorders>
              <w:left w:val="single" w:color="000000" w:sz="6" w:space="0"/>
              <w:bottom w:val="single" w:color="auto" w:sz="4" w:space="0"/>
            </w:tcBorders>
            <w:shd w:val="clear" w:color="auto" w:fill="auto"/>
            <w:vAlign w:val="center"/>
          </w:tcPr>
          <w:p w:rsidRPr="00CC1C98" w:rsidR="00D0720F" w:rsidP="00CC135B" w:rsidRDefault="00D0720F" w14:paraId="25494F6F" w14:textId="77777777">
            <w:pPr>
              <w:jc w:val="center"/>
              <w:rPr>
                <w:b/>
                <w:bCs/>
              </w:rPr>
            </w:pPr>
            <w:r w:rsidRPr="00CC1C98">
              <w:rPr>
                <w:b/>
                <w:bCs/>
              </w:rPr>
              <w:lastRenderedPageBreak/>
              <w:t>Ekonomikas ministrija</w:t>
            </w:r>
          </w:p>
          <w:p w:rsidRPr="00CC1C98" w:rsidR="00D0720F" w:rsidP="00CC135B" w:rsidRDefault="00D0720F" w14:paraId="25494F70" w14:textId="2CF60E06">
            <w:pPr>
              <w:jc w:val="center"/>
            </w:pPr>
            <w:r w:rsidRPr="00CC1C98">
              <w:rPr>
                <w:b/>
                <w:bCs/>
              </w:rPr>
              <w:t xml:space="preserve"> </w:t>
            </w:r>
            <w:r w:rsidRPr="00CC1C98">
              <w:rPr>
                <w:i/>
                <w:iCs/>
              </w:rPr>
              <w:t>(2020.gada 27.marta atzinums Nr.3.1-20/2020/74)</w:t>
            </w:r>
          </w:p>
        </w:tc>
      </w:tr>
      <w:tr w:rsidRPr="00823410" w:rsidR="00D0720F" w14:paraId="25494F77"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72" w14:textId="77777777">
            <w:pPr>
              <w:ind w:left="360" w:hanging="352"/>
              <w:jc w:val="both"/>
            </w:pPr>
            <w:r w:rsidRPr="00EF34ED">
              <w:t>19.</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73" w14:textId="77777777">
            <w:pPr>
              <w:jc w:val="both"/>
            </w:pPr>
            <w:r>
              <w:rPr>
                <w:color w:val="000000"/>
              </w:rPr>
              <w:t>3</w:t>
            </w:r>
            <w:r w:rsidRPr="00133EF9">
              <w:rPr>
                <w:color w:val="000000"/>
              </w:rPr>
              <w:t>.</w:t>
            </w:r>
            <w:r>
              <w:rPr>
                <w:color w:val="000000"/>
              </w:rPr>
              <w:t>2</w:t>
            </w:r>
            <w:r w:rsidRPr="00133EF9">
              <w:rPr>
                <w:color w:val="000000"/>
              </w:rPr>
              <w:t>. Eiropas specifikācija</w:t>
            </w:r>
            <w:r>
              <w:rPr>
                <w:color w:val="000000"/>
              </w:rPr>
              <w:t xml:space="preserve"> – </w:t>
            </w:r>
            <w:r w:rsidRPr="007F4CE5">
              <w:rPr>
                <w:color w:val="000000"/>
              </w:rPr>
              <w:t>Latvijas</w:t>
            </w:r>
            <w:r>
              <w:rPr>
                <w:color w:val="000000"/>
              </w:rPr>
              <w:t xml:space="preserve"> </w:t>
            </w:r>
            <w:r w:rsidRPr="007F4CE5">
              <w:rPr>
                <w:color w:val="000000"/>
              </w:rPr>
              <w:t>nacionālā standarta statusā adaptēt</w:t>
            </w:r>
            <w:r w:rsidRPr="00190DB7">
              <w:rPr>
                <w:color w:val="000000"/>
              </w:rPr>
              <w:t>s</w:t>
            </w:r>
            <w:r>
              <w:rPr>
                <w:color w:val="000000"/>
              </w:rPr>
              <w:t xml:space="preserve"> E</w:t>
            </w:r>
            <w:r w:rsidRPr="00317CE1">
              <w:rPr>
                <w:color w:val="000000"/>
              </w:rPr>
              <w:t xml:space="preserve">iropas Parlamenta un Padomes </w:t>
            </w:r>
            <w:r>
              <w:rPr>
                <w:color w:val="000000"/>
              </w:rPr>
              <w:t xml:space="preserve">2012.gada 25.oktobra </w:t>
            </w:r>
            <w:r w:rsidRPr="00317CE1">
              <w:rPr>
                <w:color w:val="000000"/>
              </w:rPr>
              <w:t>Regula</w:t>
            </w:r>
            <w:r>
              <w:rPr>
                <w:color w:val="000000"/>
              </w:rPr>
              <w:t>s (ES) Nr.</w:t>
            </w:r>
            <w:r w:rsidRPr="00317CE1">
              <w:rPr>
                <w:color w:val="000000"/>
              </w:rPr>
              <w:t>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w:t>
            </w:r>
            <w:r>
              <w:rPr>
                <w:color w:val="000000"/>
              </w:rPr>
              <w:t>umu Nr.</w:t>
            </w:r>
            <w:r w:rsidRPr="00317CE1">
              <w:rPr>
                <w:color w:val="000000"/>
              </w:rPr>
              <w:t>1673/2006/</w:t>
            </w:r>
            <w:r w:rsidRPr="00757021">
              <w:rPr>
                <w:color w:val="000000"/>
              </w:rPr>
              <w:t xml:space="preserve">EK </w:t>
            </w:r>
            <w:r>
              <w:rPr>
                <w:color w:val="000000"/>
              </w:rPr>
              <w:t>(turpmāk – Regula (ES) Nr.</w:t>
            </w:r>
            <w:r w:rsidRPr="00757021">
              <w:rPr>
                <w:color w:val="000000"/>
              </w:rPr>
              <w:t>1025/2012)</w:t>
            </w:r>
            <w:r>
              <w:rPr>
                <w:color w:val="000000"/>
              </w:rPr>
              <w:t xml:space="preserve"> 2.panta 1.</w:t>
            </w:r>
            <w:r w:rsidRPr="00234596">
              <w:rPr>
                <w:color w:val="000000"/>
              </w:rPr>
              <w:t>punkta b) apakšpunktā</w:t>
            </w:r>
            <w:r w:rsidRPr="00C54146">
              <w:rPr>
                <w:color w:val="000000"/>
              </w:rPr>
              <w:t xml:space="preserve"> </w:t>
            </w:r>
            <w:r>
              <w:rPr>
                <w:color w:val="000000"/>
              </w:rPr>
              <w:t xml:space="preserve">minētais </w:t>
            </w:r>
            <w:r w:rsidRPr="00C54146">
              <w:rPr>
                <w:color w:val="000000"/>
              </w:rPr>
              <w:t>Eiropas standart</w:t>
            </w:r>
            <w:r>
              <w:rPr>
                <w:color w:val="000000"/>
              </w:rPr>
              <w:t xml:space="preserve">s, </w:t>
            </w:r>
            <w:r w:rsidRPr="00317CE1">
              <w:rPr>
                <w:color w:val="000000"/>
              </w:rPr>
              <w:t xml:space="preserve">Sabiedrisko pakalpojumu sniedzēju iepirkumu likuma </w:t>
            </w:r>
            <w:r>
              <w:rPr>
                <w:color w:val="000000"/>
              </w:rPr>
              <w:t xml:space="preserve">23.panta piektajā daļā minētais </w:t>
            </w:r>
            <w:r w:rsidRPr="00C54146">
              <w:rPr>
                <w:color w:val="000000"/>
              </w:rPr>
              <w:t>Eiropas tehnisk</w:t>
            </w:r>
            <w:r>
              <w:rPr>
                <w:color w:val="000000"/>
              </w:rPr>
              <w:t>ais</w:t>
            </w:r>
            <w:r w:rsidRPr="00C54146">
              <w:rPr>
                <w:color w:val="000000"/>
              </w:rPr>
              <w:t xml:space="preserve"> novērtējum</w:t>
            </w:r>
            <w:r>
              <w:rPr>
                <w:color w:val="000000"/>
              </w:rPr>
              <w:t>s vai</w:t>
            </w:r>
            <w:r w:rsidRPr="00C54146">
              <w:rPr>
                <w:color w:val="000000"/>
              </w:rPr>
              <w:t xml:space="preserve"> </w:t>
            </w:r>
            <w:r w:rsidRPr="00C54146">
              <w:rPr>
                <w:color w:val="000000"/>
              </w:rPr>
              <w:lastRenderedPageBreak/>
              <w:t>kopēj</w:t>
            </w:r>
            <w:r>
              <w:rPr>
                <w:color w:val="000000"/>
              </w:rPr>
              <w:t>ā</w:t>
            </w:r>
            <w:r w:rsidRPr="00C54146">
              <w:rPr>
                <w:color w:val="000000"/>
              </w:rPr>
              <w:t xml:space="preserve"> tehnisk</w:t>
            </w:r>
            <w:r>
              <w:rPr>
                <w:color w:val="000000"/>
              </w:rPr>
              <w:t>ā</w:t>
            </w:r>
            <w:r w:rsidRPr="00C54146">
              <w:rPr>
                <w:color w:val="000000"/>
              </w:rPr>
              <w:t xml:space="preserve"> specifikācij</w:t>
            </w:r>
            <w:r>
              <w:rPr>
                <w:color w:val="000000"/>
              </w:rPr>
              <w:t>a.</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74" w14:textId="77777777">
            <w:pPr>
              <w:ind w:left="34"/>
              <w:jc w:val="both"/>
              <w:rPr>
                <w:b/>
                <w:bCs/>
              </w:rPr>
            </w:pPr>
            <w:r>
              <w:lastRenderedPageBreak/>
              <w:t xml:space="preserve">1. </w:t>
            </w:r>
            <w:r w:rsidRPr="000A5758">
              <w:t xml:space="preserve">Lai nodrošinātu vienotu pieeju normatīvajā regulējumā lūdzam Projekta </w:t>
            </w:r>
            <w:r>
              <w:t>3.2.apakšpunktā vārdu ,,adaptēts” aizstāt ar vārdu ,,</w:t>
            </w:r>
            <w:r w:rsidRPr="000A5758">
              <w:t>reģistrēts”</w:t>
            </w:r>
            <w:r>
              <w:t>.</w:t>
            </w:r>
          </w:p>
        </w:tc>
        <w:tc>
          <w:tcPr>
            <w:tcW w:w="1843" w:type="dxa"/>
            <w:tcBorders>
              <w:left w:val="single" w:color="000000" w:sz="6" w:space="0"/>
              <w:bottom w:val="single" w:color="auto" w:sz="4" w:space="0"/>
              <w:right w:val="single" w:color="000000" w:sz="6" w:space="0"/>
            </w:tcBorders>
          </w:tcPr>
          <w:p w:rsidRPr="00ED0872" w:rsidR="00D0720F" w:rsidP="00CC1C98" w:rsidRDefault="00D0720F" w14:paraId="25494F75" w14:textId="5D619A09">
            <w:pPr>
              <w:autoSpaceDE w:val="0"/>
              <w:autoSpaceDN w:val="0"/>
              <w:adjustRightInd w:val="0"/>
              <w:jc w:val="center"/>
            </w:pPr>
            <w:r w:rsidRPr="00D74329">
              <w:rPr>
                <w:b/>
                <w:bCs/>
              </w:rPr>
              <w:t>Ņemts vērā.</w:t>
            </w: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F76" w14:textId="77777777">
            <w:pPr>
              <w:jc w:val="both"/>
            </w:pPr>
            <w:r w:rsidRPr="00D74329">
              <w:t xml:space="preserve">3.2. Eiropas specifikācija – Latvijas nacionālā standarta </w:t>
            </w:r>
            <w:r w:rsidRPr="00242AC5">
              <w:t>statusā reģistrēts Eiropas Parlamenta un Padomes</w:t>
            </w:r>
            <w:r w:rsidRPr="00D74329">
              <w:t xml:space="preserve"> 2012.gada 25.oktobra Regulas (ES) Nr.1025/2012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Nr.1673/2006/EK (turpmāk – Regula (ES) Nr.1025/2012) 2.panta 1.punkta b) apakšpunktā minētais Eiropas standarts, Sabiedrisko pakalpojumu sniedzēju iepirkumu likuma 23.panta piektajā daļā minētais Eiropas tehniskais novērtējums va</w:t>
            </w:r>
            <w:r>
              <w:t>i kopējā tehniskā specifikācija.</w:t>
            </w:r>
          </w:p>
        </w:tc>
      </w:tr>
      <w:tr w:rsidRPr="00823410" w:rsidR="00D0720F" w14:paraId="25494F7E"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78" w14:textId="77777777">
            <w:pPr>
              <w:ind w:left="360" w:hanging="352"/>
              <w:jc w:val="both"/>
            </w:pPr>
            <w:r w:rsidRPr="00EF34ED">
              <w:t>20.</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79" w14:textId="77777777">
            <w:pPr>
              <w:jc w:val="both"/>
            </w:pPr>
            <w:r>
              <w:rPr>
                <w:color w:val="000000"/>
              </w:rPr>
              <w:t xml:space="preserve">3.3. paziņotā institūcija – </w:t>
            </w:r>
            <w:r w:rsidRPr="00C57157">
              <w:rPr>
                <w:color w:val="000000"/>
              </w:rPr>
              <w:t>nacionālās</w:t>
            </w:r>
            <w:r>
              <w:rPr>
                <w:color w:val="000000"/>
              </w:rPr>
              <w:t xml:space="preserve"> </w:t>
            </w:r>
            <w:r w:rsidRPr="00C57157">
              <w:rPr>
                <w:color w:val="000000"/>
              </w:rPr>
              <w:t xml:space="preserve">akreditācijas institūcijas akreditēta </w:t>
            </w:r>
            <w:r>
              <w:rPr>
                <w:color w:val="000000"/>
              </w:rPr>
              <w:t>s</w:t>
            </w:r>
            <w:r w:rsidRPr="00C57157">
              <w:rPr>
                <w:color w:val="000000"/>
              </w:rPr>
              <w:t xml:space="preserve">avstarpējas </w:t>
            </w:r>
            <w:proofErr w:type="spellStart"/>
            <w:r w:rsidRPr="00C57157">
              <w:rPr>
                <w:color w:val="000000"/>
              </w:rPr>
              <w:t>izmantojamības</w:t>
            </w:r>
            <w:proofErr w:type="spellEnd"/>
            <w:r w:rsidRPr="00C57157">
              <w:rPr>
                <w:color w:val="000000"/>
              </w:rPr>
              <w:t xml:space="preserve"> komponentu un strukturālo </w:t>
            </w:r>
            <w:r w:rsidRPr="0042101F">
              <w:rPr>
                <w:color w:val="000000"/>
              </w:rPr>
              <w:t>apakšsistēmu atbilstības novērtēšanas institūcija,</w:t>
            </w:r>
            <w:r w:rsidRPr="00C57157">
              <w:rPr>
                <w:color w:val="000000"/>
              </w:rPr>
              <w:t xml:space="preserve"> kura ir paziņota Eiropas Komisijai saskaņā ar normatīvajiem aktiem par kārtību, kādā izveido paziņošanas komisiju, kā arī </w:t>
            </w:r>
            <w:r>
              <w:rPr>
                <w:color w:val="000000"/>
              </w:rPr>
              <w:t xml:space="preserve">par </w:t>
            </w:r>
            <w:r w:rsidRPr="00C57157">
              <w:rPr>
                <w:color w:val="000000"/>
              </w:rPr>
              <w:t xml:space="preserve">kārtību, kādā komisija pieņem lēmumu un paziņo Eiropas Komisijai par atbilstības novērtēšanas institūcijām, kas veic atbilstības novērtēšanu reglamentētajā sfērā, vai cita Eiropas Savienības dalībvalsts vai Eiropas Ekonomikas zonas paziņota savstarpējas </w:t>
            </w:r>
            <w:proofErr w:type="spellStart"/>
            <w:r w:rsidRPr="00C57157">
              <w:rPr>
                <w:color w:val="000000"/>
              </w:rPr>
              <w:t>izmantojamības</w:t>
            </w:r>
            <w:proofErr w:type="spellEnd"/>
            <w:r w:rsidRPr="00C57157">
              <w:rPr>
                <w:color w:val="000000"/>
              </w:rPr>
              <w:t xml:space="preserve"> komponentu un strukturālo apakšsistēmu atbilstības novērtēšanas institūcija</w:t>
            </w:r>
            <w:r>
              <w:rPr>
                <w:color w:val="000000"/>
              </w:rPr>
              <w:t>.</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7A" w14:textId="77777777">
            <w:pPr>
              <w:ind w:left="34"/>
              <w:jc w:val="both"/>
              <w:rPr>
                <w:b/>
                <w:bCs/>
              </w:rPr>
            </w:pPr>
            <w:r>
              <w:t xml:space="preserve">2. </w:t>
            </w:r>
            <w:r w:rsidRPr="000A5758">
              <w:t xml:space="preserve">Projekta 3.3.apakšpunkts nosaka, ka paziņotā institūcija – nacionālās akreditācijas institūcijas akreditēta savstarpējas </w:t>
            </w:r>
            <w:proofErr w:type="spellStart"/>
            <w:r w:rsidRPr="000A5758">
              <w:t>izmantojamības</w:t>
            </w:r>
            <w:proofErr w:type="spellEnd"/>
            <w:r w:rsidRPr="000A5758">
              <w:t xml:space="preserve"> komponentu un strukturālo apakšsistēmu atbilstības novērtēšanas institūcija, kura ir paziņota Eiropas Komisijai saskaņā ar normatīvajiem aktiem par kārtību, kādā izveido paziņošanas komisiju, kā arī par kārtību, kādā komisija pieņem lēmumu un paziņo Eiropas Komisijai par atbilstības novērtēšanas institūcijām, kas veic atbilstības novērtēšanu reglamentētajā sfērā, vai cita Eiropas Savienības dalībvalsts vai Eiropas Ekonomikas zonas paziņota savstarpējas </w:t>
            </w:r>
            <w:proofErr w:type="spellStart"/>
            <w:r w:rsidRPr="000A5758">
              <w:t>izmantojamības</w:t>
            </w:r>
            <w:proofErr w:type="spellEnd"/>
            <w:r w:rsidRPr="000A5758">
              <w:t xml:space="preserve"> komponentu un strukturālo apakšsistēmu atbilstības novērtēšanas institūcija. Savukārt Eiropas Parlamenta un Padomes 2016.gada 11.maija Direktīvas (ES) 2016/797 par dzelzceļa sistēmas savstarpēju </w:t>
            </w:r>
            <w:proofErr w:type="spellStart"/>
            <w:r w:rsidRPr="000A5758">
              <w:t>izmantojamību</w:t>
            </w:r>
            <w:proofErr w:type="spellEnd"/>
            <w:r w:rsidRPr="000A5758">
              <w:t xml:space="preserve"> Eiropas Savienībā (turpmāk – Direktīva 797) 2.panta 4</w:t>
            </w:r>
            <w:r>
              <w:t>2</w:t>
            </w:r>
            <w:r w:rsidRPr="000A5758">
              <w:t xml:space="preserve">.punkts paredz, ka atbilstības izvērtēšanas struktūra ir struktūra, kura ir paziņota vai kura ir izraudzīta kā atbildīgā par atbilstības izvērtēšanas darbībām, tostarp kalibrēšanu, testēšanu, sertificēšanu un inspekciju; atbilstības izvērtēšanas struktūra ir klasificēta kā “paziņotā </w:t>
            </w:r>
            <w:r w:rsidRPr="000A5758">
              <w:lastRenderedPageBreak/>
              <w:t>struktūra” pēc tam, kad to ir paziņojusi dalībvalsts; atbilstības izvērtēšanas struktūra ir klasificēta kā “izraudzītā struktūra” pēc tam, kad to ir izraudzījusies dalībvalsts. Ņemot vērā, ka Direktīvas 797 2.panta 4</w:t>
            </w:r>
            <w:r>
              <w:t>2</w:t>
            </w:r>
            <w:r w:rsidRPr="000A5758">
              <w:t>.punktā tiek izdalītas konkrētās atbilstības novērtēšanas institūcijas (kalibrēšana, testēšana, sertificēšana, inspekcija), lūdzam precizēt</w:t>
            </w:r>
            <w:r>
              <w:t xml:space="preserve"> vai papildināt</w:t>
            </w:r>
            <w:r w:rsidRPr="000A5758">
              <w:t xml:space="preserve"> Projekt</w:t>
            </w:r>
            <w:r>
              <w:t>u</w:t>
            </w:r>
            <w:r w:rsidRPr="000A5758">
              <w:t xml:space="preserve"> atbilstoši Direktīvas 797 2.panta 4</w:t>
            </w:r>
            <w:r>
              <w:t>2</w:t>
            </w:r>
            <w:r w:rsidRPr="000A5758">
              <w:t>.punktā noteiktajam.</w:t>
            </w:r>
          </w:p>
        </w:tc>
        <w:tc>
          <w:tcPr>
            <w:tcW w:w="1843" w:type="dxa"/>
            <w:tcBorders>
              <w:left w:val="single" w:color="000000" w:sz="6" w:space="0"/>
              <w:bottom w:val="single" w:color="auto" w:sz="4" w:space="0"/>
              <w:right w:val="single" w:color="000000" w:sz="6" w:space="0"/>
            </w:tcBorders>
          </w:tcPr>
          <w:p w:rsidR="00D0720F" w:rsidP="00CC1C98" w:rsidRDefault="00D0720F" w14:paraId="25494F7B" w14:textId="53081EDC">
            <w:pPr>
              <w:autoSpaceDE w:val="0"/>
              <w:autoSpaceDN w:val="0"/>
              <w:adjustRightInd w:val="0"/>
              <w:jc w:val="center"/>
            </w:pPr>
            <w:r w:rsidRPr="00804210">
              <w:rPr>
                <w:b/>
                <w:bCs/>
              </w:rPr>
              <w:lastRenderedPageBreak/>
              <w:t>Ņemts vērā.</w:t>
            </w:r>
          </w:p>
          <w:p w:rsidRPr="00ED0872" w:rsidR="00D0720F" w:rsidP="00D74329" w:rsidRDefault="00D0720F" w14:paraId="25494F7C" w14:textId="77777777">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F7D" w14:textId="77777777">
            <w:pPr>
              <w:jc w:val="both"/>
            </w:pPr>
            <w:r w:rsidRPr="00D915FD">
              <w:t xml:space="preserve">3.3. paziņotā institūcija – nacionālās akreditācijas institūcijas akreditēta savstarpējas </w:t>
            </w:r>
            <w:proofErr w:type="spellStart"/>
            <w:r w:rsidRPr="00D915FD">
              <w:t>izmantojamības</w:t>
            </w:r>
            <w:proofErr w:type="spellEnd"/>
            <w:r w:rsidRPr="00D915FD">
              <w:t xml:space="preserve"> komponentu un strukturālo apakšsistēmu atbilstības novērtēšanas institūcija, kura ir paziņota Eiropas Komisijai saskaņā ar normatīvajiem aktiem par kārtību, kādā izveido paziņošanas komisiju, kā arī par kārtību, kādā komisija pieņem lēmumu un paziņo Eiropas Komisijai par atbilstības novērtēšanas institūcijām, kas veic atbilstības novērtēšanu reglamentētajā sfērā, vai cita Eiropas Savienības dalībvalsts vai Eiropas Ekonomikas zonas paziņota savstarpējas </w:t>
            </w:r>
            <w:proofErr w:type="spellStart"/>
            <w:r w:rsidRPr="00D915FD">
              <w:t>izmantojamības</w:t>
            </w:r>
            <w:proofErr w:type="spellEnd"/>
            <w:r w:rsidRPr="00D915FD">
              <w:t xml:space="preserve"> komponentu un strukturālo apakšsistēmu atbil</w:t>
            </w:r>
            <w:r>
              <w:t>stības novērtēšanas institūcija.</w:t>
            </w:r>
          </w:p>
        </w:tc>
      </w:tr>
      <w:tr w:rsidRPr="00823410" w:rsidR="00D0720F" w14:paraId="25494F85"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7F" w14:textId="77777777">
            <w:pPr>
              <w:ind w:left="360" w:hanging="352"/>
              <w:jc w:val="both"/>
            </w:pPr>
            <w:r w:rsidRPr="00EF34ED">
              <w:t>21.</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80" w14:textId="77777777">
            <w:pPr>
              <w:jc w:val="both"/>
            </w:pPr>
            <w:r>
              <w:rPr>
                <w:color w:val="000000"/>
              </w:rPr>
              <w:t xml:space="preserve">3.4. </w:t>
            </w:r>
            <w:r w:rsidRPr="00757021">
              <w:rPr>
                <w:color w:val="000000"/>
              </w:rPr>
              <w:t xml:space="preserve">nacionālo prasību novērtēšanas institūcija – šo noteikumu </w:t>
            </w:r>
            <w:r w:rsidRPr="00133EF9">
              <w:rPr>
                <w:color w:val="000000"/>
              </w:rPr>
              <w:t>20.punkta</w:t>
            </w:r>
            <w:r w:rsidRPr="00757021">
              <w:rPr>
                <w:color w:val="000000"/>
              </w:rPr>
              <w:t xml:space="preserve"> prasībām atbilstoša</w:t>
            </w:r>
            <w:r>
              <w:rPr>
                <w:color w:val="000000"/>
              </w:rPr>
              <w:t>,</w:t>
            </w:r>
            <w:r w:rsidRPr="00757021">
              <w:rPr>
                <w:color w:val="000000"/>
              </w:rPr>
              <w:t xml:space="preserve"> saskaņā ar normatīvajiem aktiem par atbilstības </w:t>
            </w:r>
            <w:r w:rsidRPr="00B8508E">
              <w:rPr>
                <w:color w:val="000000"/>
              </w:rPr>
              <w:t>novērtēšanas institūciju novērtēšanu, akreditāciju un uzraudzību, nacionālās akreditācijas institūcijas akreditēta produktu sertificēšanas, inspicēšanas vai pārvaldības sistēmas sertificēšanas institūcija, kura veic strukturālo apakšsistēmu atbilstības šajos noteikumos minētajām nacionālajām prasībām novērtēšanu</w:t>
            </w:r>
            <w:r>
              <w:rPr>
                <w:color w:val="000000"/>
              </w:rPr>
              <w:t>.</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81" w14:textId="77777777">
            <w:pPr>
              <w:ind w:left="34"/>
              <w:jc w:val="both"/>
              <w:rPr>
                <w:b/>
                <w:bCs/>
              </w:rPr>
            </w:pPr>
            <w:r>
              <w:t xml:space="preserve">3. </w:t>
            </w:r>
            <w:r w:rsidRPr="000A5758">
              <w:t>A</w:t>
            </w:r>
            <w:r>
              <w:t xml:space="preserve">tbilstoši Projekta anotācijas V </w:t>
            </w:r>
            <w:r w:rsidRPr="000A5758">
              <w:t>sadaļas 1.tabulā noteiktajam, ar Projekta 3.4.apakšpunktu tiek pārņemtas nacionālajā tiesību sistēmā Eiropas Parlamenta un Padomes 2016.gada 11.maija Direktīvas (ES) 2016/798 par dzelzceļa drošību (turpmāk – Direktīva 798) 3.panta 17.punkts. Vērtējot Direktīvas 798 3.panta 17.punktu, secināms, ka tas nosaka atbilstības izvērtēšanas struktūras definīciju, savukārt Projekta 3.4.apakšpunkts nosaka definējumu nacionālo prasību novērtēšanas institūcijai. Ņemot vērā minēto, lūdzam attiecīgi precizēt Projekta anotāciju un norādīt, kuras Direktīvas 797 vai Direktīvas 798 prasības tiek pārņemtas nacionālajā tiesību sistēmā ar Projekta 3.4.apakšpunktu.</w:t>
            </w:r>
          </w:p>
        </w:tc>
        <w:tc>
          <w:tcPr>
            <w:tcW w:w="1843" w:type="dxa"/>
            <w:tcBorders>
              <w:left w:val="single" w:color="000000" w:sz="6" w:space="0"/>
              <w:bottom w:val="single" w:color="auto" w:sz="4" w:space="0"/>
              <w:right w:val="single" w:color="000000" w:sz="6" w:space="0"/>
            </w:tcBorders>
          </w:tcPr>
          <w:p w:rsidR="00D0720F" w:rsidP="00CC1C98" w:rsidRDefault="00D0720F" w14:paraId="25494F82" w14:textId="57C8179E">
            <w:pPr>
              <w:autoSpaceDE w:val="0"/>
              <w:autoSpaceDN w:val="0"/>
              <w:adjustRightInd w:val="0"/>
              <w:jc w:val="center"/>
            </w:pPr>
            <w:r w:rsidRPr="00804210">
              <w:rPr>
                <w:b/>
                <w:bCs/>
              </w:rPr>
              <w:t>Ņemts vērā.</w:t>
            </w:r>
          </w:p>
          <w:p w:rsidRPr="00ED0872" w:rsidR="00D0720F" w:rsidP="00CC135B" w:rsidRDefault="00D0720F" w14:paraId="25494F83" w14:textId="77777777">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Pr="00823410" w:rsidR="00D0720F" w:rsidP="00CC135B" w:rsidRDefault="00D0720F" w14:paraId="25494F84" w14:textId="77777777">
            <w:pPr>
              <w:jc w:val="both"/>
            </w:pPr>
            <w:r>
              <w:rPr>
                <w:color w:val="000000"/>
              </w:rPr>
              <w:t xml:space="preserve">3.4. </w:t>
            </w:r>
            <w:r w:rsidRPr="00757021">
              <w:rPr>
                <w:color w:val="000000"/>
              </w:rPr>
              <w:t xml:space="preserve">nacionālo prasību novērtēšanas institūcija – šo noteikumu </w:t>
            </w:r>
            <w:r w:rsidRPr="00133EF9">
              <w:rPr>
                <w:color w:val="000000"/>
              </w:rPr>
              <w:t>20.punkta</w:t>
            </w:r>
            <w:r w:rsidRPr="00757021">
              <w:rPr>
                <w:color w:val="000000"/>
              </w:rPr>
              <w:t xml:space="preserve"> prasībām atbilstoša</w:t>
            </w:r>
            <w:r>
              <w:rPr>
                <w:color w:val="000000"/>
              </w:rPr>
              <w:t>,</w:t>
            </w:r>
            <w:r w:rsidRPr="00757021">
              <w:rPr>
                <w:color w:val="000000"/>
              </w:rPr>
              <w:t xml:space="preserve"> saskaņā ar normatīvajiem aktiem par atbilstības </w:t>
            </w:r>
            <w:r w:rsidRPr="00B8508E">
              <w:rPr>
                <w:color w:val="000000"/>
              </w:rPr>
              <w:t>novērtēšanas institūciju novērtēšanu, akreditāciju un uzraudzību, nacionālās akreditācijas institūcijas akreditēta produktu sertificēšanas, inspicēšanas vai pārvaldības sistēmas sertificēšanas institūcija, kura veic strukturālo apakšsistēmu atbilstības šajos noteikumos minētajām nacionālajām prasībām novērtēšanu</w:t>
            </w:r>
            <w:r>
              <w:rPr>
                <w:color w:val="000000"/>
              </w:rPr>
              <w:t>.</w:t>
            </w:r>
          </w:p>
        </w:tc>
      </w:tr>
      <w:tr w:rsidRPr="00823410" w:rsidR="00D0720F" w14:paraId="25494F8E"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86" w14:textId="77777777">
            <w:pPr>
              <w:ind w:left="360" w:hanging="352"/>
              <w:jc w:val="both"/>
            </w:pPr>
            <w:r w:rsidRPr="00EF34ED">
              <w:t>22.</w:t>
            </w:r>
          </w:p>
        </w:tc>
        <w:tc>
          <w:tcPr>
            <w:tcW w:w="3685" w:type="dxa"/>
            <w:gridSpan w:val="3"/>
            <w:tcBorders>
              <w:left w:val="single" w:color="000000" w:sz="6" w:space="0"/>
              <w:bottom w:val="single" w:color="auto" w:sz="4" w:space="0"/>
              <w:right w:val="single" w:color="000000" w:sz="6" w:space="0"/>
            </w:tcBorders>
          </w:tcPr>
          <w:p w:rsidRPr="00242AC5" w:rsidR="00D0720F" w:rsidP="00CC135B" w:rsidRDefault="00D0720F" w14:paraId="25494F87" w14:textId="77777777">
            <w:pPr>
              <w:jc w:val="both"/>
            </w:pPr>
            <w:r w:rsidRPr="00242AC5">
              <w:t>Atbilstības novērtēšanas institūcijas</w:t>
            </w:r>
            <w:r>
              <w:t>.</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88" w14:textId="77777777">
            <w:pPr>
              <w:ind w:left="34"/>
              <w:jc w:val="both"/>
              <w:rPr>
                <w:b/>
                <w:bCs/>
              </w:rPr>
            </w:pPr>
            <w:r>
              <w:t xml:space="preserve">4. </w:t>
            </w:r>
            <w:r w:rsidRPr="00E06B66">
              <w:t xml:space="preserve">Norādām, ka izvērtējot </w:t>
            </w:r>
            <w:r>
              <w:t>Projekta II. Nodaļas nosaukumu ,,</w:t>
            </w:r>
            <w:r w:rsidRPr="00E06B66">
              <w:t xml:space="preserve">Atbilstības </w:t>
            </w:r>
            <w:r w:rsidRPr="00E06B66">
              <w:lastRenderedPageBreak/>
              <w:t>novērtēšanas institūc</w:t>
            </w:r>
            <w:r>
              <w:t xml:space="preserve">ijas” un šīs nodaļas saturu pēc </w:t>
            </w:r>
            <w:r w:rsidRPr="00E06B66">
              <w:t xml:space="preserve">esošā punktu izkārtojuma un numerācijas secināms, ka II </w:t>
            </w:r>
            <w:r>
              <w:t xml:space="preserve">nodaļas nosaukums neatbilst </w:t>
            </w:r>
            <w:r w:rsidRPr="00E06B66">
              <w:t>saturam, jo tajā ietvertie punkti nosaka prasības paziņotajai institūcijai.</w:t>
            </w:r>
            <w:r>
              <w:t xml:space="preserve"> Līdz ar to, lūdzam precizēt II</w:t>
            </w:r>
            <w:r w:rsidRPr="00E06B66">
              <w:t xml:space="preserve"> </w:t>
            </w:r>
            <w:r>
              <w:t xml:space="preserve">nodaļu , lai tā </w:t>
            </w:r>
            <w:r w:rsidRPr="00E06B66">
              <w:t>atbilstu nodaļas nosaukumam</w:t>
            </w:r>
            <w:r>
              <w:t>.</w:t>
            </w:r>
          </w:p>
        </w:tc>
        <w:tc>
          <w:tcPr>
            <w:tcW w:w="1843" w:type="dxa"/>
            <w:tcBorders>
              <w:left w:val="single" w:color="000000" w:sz="6" w:space="0"/>
              <w:bottom w:val="single" w:color="auto" w:sz="4" w:space="0"/>
              <w:right w:val="single" w:color="000000" w:sz="6" w:space="0"/>
            </w:tcBorders>
          </w:tcPr>
          <w:p w:rsidRPr="00804210" w:rsidR="00D0720F" w:rsidP="00EA24AE" w:rsidRDefault="00D0720F" w14:paraId="25494F89" w14:textId="1266611F">
            <w:pPr>
              <w:autoSpaceDE w:val="0"/>
              <w:autoSpaceDN w:val="0"/>
              <w:adjustRightInd w:val="0"/>
              <w:jc w:val="center"/>
              <w:rPr>
                <w:b/>
                <w:bCs/>
              </w:rPr>
            </w:pPr>
            <w:r>
              <w:rPr>
                <w:b/>
                <w:bCs/>
              </w:rPr>
              <w:lastRenderedPageBreak/>
              <w:t xml:space="preserve">Panākta vienošanās </w:t>
            </w:r>
            <w:r>
              <w:rPr>
                <w:b/>
                <w:bCs/>
              </w:rPr>
              <w:lastRenderedPageBreak/>
              <w:t xml:space="preserve">saskaņošanās </w:t>
            </w:r>
            <w:r w:rsidR="00EA24AE">
              <w:rPr>
                <w:b/>
                <w:bCs/>
              </w:rPr>
              <w:t>laik</w:t>
            </w:r>
            <w:r>
              <w:rPr>
                <w:b/>
                <w:bCs/>
              </w:rPr>
              <w:t>ā.</w:t>
            </w:r>
          </w:p>
          <w:p w:rsidRPr="00D915FD" w:rsidR="00D0720F" w:rsidP="00CC135B" w:rsidRDefault="00D0720F" w14:paraId="25494F8C" w14:textId="7E14461E">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00EA24AE" w:rsidP="00EA24AE" w:rsidRDefault="00D0720F" w14:paraId="7EA8F079" w14:textId="4B37D6B7">
            <w:pPr>
              <w:autoSpaceDE w:val="0"/>
              <w:autoSpaceDN w:val="0"/>
              <w:adjustRightInd w:val="0"/>
              <w:jc w:val="both"/>
            </w:pPr>
            <w:r w:rsidRPr="00242AC5">
              <w:lastRenderedPageBreak/>
              <w:t>Atbilstības novērtēšanas institūcijas</w:t>
            </w:r>
            <w:r>
              <w:rPr>
                <w:b/>
                <w:bCs/>
              </w:rPr>
              <w:t>.</w:t>
            </w:r>
            <w:r w:rsidRPr="00804210" w:rsidR="00EA24AE">
              <w:t xml:space="preserve"> Papildināt</w:t>
            </w:r>
            <w:r w:rsidR="00EA24AE">
              <w:t>s Projekta</w:t>
            </w:r>
            <w:r w:rsidRPr="00804210" w:rsidR="00EA24AE">
              <w:t xml:space="preserve"> anotācija</w:t>
            </w:r>
            <w:r w:rsidR="00EA24AE">
              <w:t xml:space="preserve">s I sadaļas </w:t>
            </w:r>
            <w:r w:rsidR="00EA24AE">
              <w:lastRenderedPageBreak/>
              <w:t>2.punkts:</w:t>
            </w:r>
          </w:p>
          <w:p w:rsidR="00EA24AE" w:rsidP="00EA24AE" w:rsidRDefault="00EA24AE" w14:paraId="3834F928" w14:textId="634742BB">
            <w:pPr>
              <w:autoSpaceDE w:val="0"/>
              <w:autoSpaceDN w:val="0"/>
              <w:adjustRightInd w:val="0"/>
              <w:jc w:val="both"/>
            </w:pPr>
          </w:p>
          <w:p w:rsidR="00EA24AE" w:rsidP="00EA24AE" w:rsidRDefault="00EA24AE" w14:paraId="3FD7D98C" w14:textId="56C1B2FD">
            <w:pPr>
              <w:autoSpaceDE w:val="0"/>
              <w:autoSpaceDN w:val="0"/>
              <w:adjustRightInd w:val="0"/>
              <w:jc w:val="both"/>
            </w:pPr>
          </w:p>
          <w:p w:rsidRPr="00823410" w:rsidR="00D0720F" w:rsidP="00EA24AE" w:rsidRDefault="00EA24AE" w14:paraId="25494F8D" w14:textId="298C1527">
            <w:pPr>
              <w:autoSpaceDE w:val="0"/>
              <w:autoSpaceDN w:val="0"/>
              <w:adjustRightInd w:val="0"/>
              <w:jc w:val="both"/>
            </w:pPr>
            <w:r>
              <w:t>“</w:t>
            </w:r>
            <w:r w:rsidRPr="00D915FD">
              <w:t>Projekta II nodaļas nosaukums un arī saturs aptver visas atbilstības novērtēšanas institūcijas, gan paziņoto institūciju, gan nacionālo prasību novērtēšanas institūciju, kā arī  akreditētu iekšējo struktūrvienību, kas var īstenot gan paziņotās institūcijas, gan nacionālo prasību novērtēšanas institūcijas funkcijas</w:t>
            </w:r>
            <w:r>
              <w:t>.”</w:t>
            </w:r>
          </w:p>
        </w:tc>
      </w:tr>
      <w:tr w:rsidRPr="00823410" w:rsidR="00D0720F" w14:paraId="25494F94"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8F" w14:textId="77777777">
            <w:pPr>
              <w:ind w:left="360" w:hanging="352"/>
              <w:jc w:val="both"/>
            </w:pPr>
            <w:r w:rsidRPr="00EF34ED">
              <w:lastRenderedPageBreak/>
              <w:t>23.</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90" w14:textId="77777777">
            <w:pPr>
              <w:jc w:val="both"/>
            </w:pPr>
            <w:r w:rsidRPr="003707AD">
              <w:t>4.6. paziņotā institūcija piedalās attiecīgajās standartizācijas aktivitātēs un Eiropas Komisijas organizētajās paziņoto institūciju koordinācijas darba grupās</w:t>
            </w:r>
            <w:r w:rsidRPr="00306845">
              <w:t xml:space="preserve"> par</w:t>
            </w:r>
            <w:r w:rsidRPr="00476908">
              <w:t xml:space="preserve"> </w:t>
            </w:r>
            <w:r>
              <w:t>atbilstības novērtēšanu Eiropas Savienības dzelzceļu sistēmā</w:t>
            </w:r>
            <w:r w:rsidRPr="00476908">
              <w:t xml:space="preserve">, vai nodrošina, ka </w:t>
            </w:r>
            <w:r w:rsidRPr="00AD5476">
              <w:t>informācija par minētajām aktivitātēm ir piee</w:t>
            </w:r>
            <w:r>
              <w:t>jama tās darbiniekiem</w:t>
            </w:r>
            <w:r w:rsidRPr="00476908">
              <w:t xml:space="preserve">, kas veic </w:t>
            </w:r>
            <w:r>
              <w:t>atbilstības no</w:t>
            </w:r>
            <w:r w:rsidRPr="00476908">
              <w:t>vērtēšanu</w:t>
            </w:r>
            <w:r>
              <w:t>.</w:t>
            </w:r>
            <w:r w:rsidRPr="00AD5476">
              <w:rPr>
                <w:rFonts w:ascii="Arial" w:hAnsi="Arial" w:cs="Arial"/>
                <w:color w:val="414142"/>
                <w:sz w:val="20"/>
                <w:szCs w:val="20"/>
              </w:rPr>
              <w:t xml:space="preserve"> </w:t>
            </w:r>
            <w:r>
              <w:t>Paziņotā</w:t>
            </w:r>
            <w:r w:rsidRPr="00AD5476">
              <w:t xml:space="preserve"> </w:t>
            </w:r>
            <w:r>
              <w:t>i</w:t>
            </w:r>
            <w:r w:rsidRPr="00AD5476">
              <w:t xml:space="preserve">nstitūcija savā darbībā kā pamatnostādnes izmanto paziņoto institūciju darba grupas </w:t>
            </w:r>
            <w:r>
              <w:t xml:space="preserve">administratīvos </w:t>
            </w:r>
            <w:r w:rsidRPr="00AD5476">
              <w:t>lēmumus un sagatavotos dokumentus</w:t>
            </w:r>
            <w:r>
              <w:t>.</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91" w14:textId="77777777">
            <w:pPr>
              <w:ind w:left="34"/>
              <w:jc w:val="both"/>
              <w:rPr>
                <w:b/>
                <w:bCs/>
              </w:rPr>
            </w:pPr>
            <w:r>
              <w:t xml:space="preserve">5. </w:t>
            </w:r>
            <w:r w:rsidRPr="000A5758">
              <w:t>Projekta 4.6.apakšpunktā minētais pienākums paziņotajām institūcijām piedalīties Eiropas Savienības paziņoto institūciju darba grupā vai nodrošināt informācijas pieejamību neatbilst Direktīvas 797 44.panta otraj</w:t>
            </w:r>
            <w:r>
              <w:t>ai daļai, kur tiek prasīts, ka ,,</w:t>
            </w:r>
            <w:r w:rsidRPr="000A5758">
              <w:t>Dalībvalstis nodrošina, lai struktūras, ko tās paziņojušas, tieši vai ar ieceltu pārstāvju starpniecību piedalītos minētās grupas darbā”. Līdz ar to lūgums precizēt Projektu, tajā paredzot pienākumu paziņotai institūcijai pašai vai ar pilnvarota pārstāvja starpniecību piedalīties darba grupās.</w:t>
            </w:r>
          </w:p>
        </w:tc>
        <w:tc>
          <w:tcPr>
            <w:tcW w:w="1843" w:type="dxa"/>
            <w:tcBorders>
              <w:left w:val="single" w:color="000000" w:sz="6" w:space="0"/>
              <w:bottom w:val="single" w:color="auto" w:sz="4" w:space="0"/>
              <w:right w:val="single" w:color="000000" w:sz="6" w:space="0"/>
            </w:tcBorders>
          </w:tcPr>
          <w:p w:rsidRPr="00ED0872" w:rsidR="00D0720F" w:rsidP="00D13610" w:rsidRDefault="00D0720F" w14:paraId="25494F92" w14:textId="6FF8E7DF">
            <w:pPr>
              <w:autoSpaceDE w:val="0"/>
              <w:autoSpaceDN w:val="0"/>
              <w:adjustRightInd w:val="0"/>
              <w:jc w:val="center"/>
            </w:pPr>
            <w:r w:rsidRPr="00974615">
              <w:rPr>
                <w:b/>
                <w:bCs/>
              </w:rPr>
              <w:t>Ņemts vērā.</w:t>
            </w:r>
          </w:p>
        </w:tc>
        <w:tc>
          <w:tcPr>
            <w:tcW w:w="4278" w:type="dxa"/>
            <w:gridSpan w:val="3"/>
            <w:tcBorders>
              <w:top w:val="single" w:color="auto" w:sz="4" w:space="0"/>
              <w:left w:val="single" w:color="auto" w:sz="4" w:space="0"/>
              <w:bottom w:val="single" w:color="auto" w:sz="4" w:space="0"/>
            </w:tcBorders>
          </w:tcPr>
          <w:p w:rsidRPr="00242AC5" w:rsidR="00D0720F" w:rsidP="000633C3" w:rsidRDefault="00D0720F" w14:paraId="25494F93" w14:textId="77777777">
            <w:pPr>
              <w:jc w:val="both"/>
            </w:pPr>
            <w:r w:rsidRPr="00242AC5">
              <w:t>4.6. paziņotā institūcija piedalās attiecīgajās standartizācijas aktivitātēs un tieši vai ar ieceltu pārstāvju starpniecību piedalās Eiropas Komisijas organizētajās paziņoto institūciju koordinācijas darba grupās par atbilstības novērtēšanu Eiropas Savienības dzelzceļu sistēmā, kā arī nodrošina, ka informācija par minētajām aktivitātēm ir pieejama tās darbiniekiem, kas veic atbilstības novērtēšanu. Paziņotā institūcija savā darbībā kā pamatnostādnes izmanto paziņoto institūciju darba grupas administratīvos lēmumus un sagatavotos dokumentus</w:t>
            </w:r>
            <w:r>
              <w:t>.</w:t>
            </w:r>
          </w:p>
        </w:tc>
      </w:tr>
      <w:tr w:rsidRPr="00823410" w:rsidR="00D0720F" w14:paraId="25494F9B"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95" w14:textId="77777777">
            <w:pPr>
              <w:ind w:left="360" w:hanging="352"/>
              <w:jc w:val="both"/>
            </w:pPr>
            <w:r w:rsidRPr="00EF34ED">
              <w:t>24.</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96" w14:textId="77777777">
            <w:pPr>
              <w:jc w:val="both"/>
            </w:pPr>
            <w:r w:rsidRPr="000F77C0">
              <w:t xml:space="preserve">20. Produktu atbilstību nacionālajām prasībām novērtē nacionālo prasību novērtēšanas institūcija. Lai pildītu nacionālo prasību novērtēšanas institūcijas pienākumus, </w:t>
            </w:r>
            <w:r>
              <w:t>institūcija</w:t>
            </w:r>
            <w:r w:rsidRPr="000F77C0">
              <w:t xml:space="preserve"> atbilst </w:t>
            </w:r>
            <w:r>
              <w:t xml:space="preserve">un </w:t>
            </w:r>
            <w:r>
              <w:lastRenderedPageBreak/>
              <w:t xml:space="preserve">darbojas </w:t>
            </w:r>
            <w:r w:rsidRPr="000F77C0">
              <w:t xml:space="preserve">šo noteikumu </w:t>
            </w:r>
            <w:r w:rsidRPr="00DE01B1">
              <w:t>4., 5., 6., 7., 8., 9., 10., 11., 12., 13., 14., 15., 16. un 17.punkt</w:t>
            </w:r>
            <w:r>
              <w:t>ā</w:t>
            </w:r>
            <w:r w:rsidRPr="000F77C0">
              <w:t xml:space="preserve"> </w:t>
            </w:r>
            <w:r>
              <w:t>paredzētajā kārtībā</w:t>
            </w:r>
            <w:r w:rsidRPr="000F77C0">
              <w:t>, izņemot to, ka institūcijas pienākumi attiecas uz nacionāl</w:t>
            </w:r>
            <w:r>
              <w:t>ajām prasībām, nevis savstarpēja</w:t>
            </w:r>
            <w:r w:rsidRPr="000F77C0">
              <w:t xml:space="preserve">s </w:t>
            </w:r>
            <w:proofErr w:type="spellStart"/>
            <w:r w:rsidRPr="000F77C0">
              <w:t>izmantojamības</w:t>
            </w:r>
            <w:proofErr w:type="spellEnd"/>
            <w:r w:rsidRPr="000F77C0">
              <w:t xml:space="preserve"> tehniskajām specifikācijām</w:t>
            </w:r>
            <w:r w:rsidRPr="0018542A">
              <w:t>. Nacionālo prasību novērtēšanas institūcijas pienākumus var pildīt arī paziņotā institūcija, ja tās akreditācijas sfērā ir iekļauta Latvijas nacionālo prasību izpildes atbilstības novērtēšana.</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97" w14:textId="77777777">
            <w:pPr>
              <w:ind w:left="34"/>
              <w:jc w:val="both"/>
              <w:rPr>
                <w:b/>
                <w:bCs/>
              </w:rPr>
            </w:pPr>
            <w:r>
              <w:lastRenderedPageBreak/>
              <w:t xml:space="preserve">6. </w:t>
            </w:r>
            <w:r w:rsidRPr="000A5758">
              <w:t xml:space="preserve">Atbilstoši Projekta 20.punktam, produktu atbilstību nacionālajām prasībām novērtē nacionālo prasību novērtēšanas institūcija. Norādām, ka Projekta 20.punktā, kā arī citos Projekta punktos (66., 74., 75.punkts un citu </w:t>
            </w:r>
            <w:r>
              <w:lastRenderedPageBreak/>
              <w:t>Projekta punkti) ir atsauce uz ,,</w:t>
            </w:r>
            <w:r w:rsidRPr="000A5758">
              <w:t>nacionālajām prasībām”, taču ne Projekta normas, ne arī Projekta anotācija nesniedz nepārprotamu skaidrojumu, kādām tieši nacionālajām prasībām (Ministru kabineta noteikumi, standarti, vadlīnijas vai citu institūciju izstrādāti dokumenti) produktam ir jāatbilst. Ņemot vērā minēto, lūdzam attiecīgi precizēt Projektu vai sniegt skaidrojumu par produktu nacionālajām normām Projekta anotācijā. Vienlaikus lūdzam sniegt skaidrojumu arī par Projek</w:t>
            </w:r>
            <w:r>
              <w:t>ta punktos lietoto formulējumu ,,</w:t>
            </w:r>
            <w:r w:rsidRPr="000A5758">
              <w:t>vietējie nosacījumi”.</w:t>
            </w:r>
          </w:p>
        </w:tc>
        <w:tc>
          <w:tcPr>
            <w:tcW w:w="1843" w:type="dxa"/>
            <w:tcBorders>
              <w:left w:val="single" w:color="000000" w:sz="6" w:space="0"/>
              <w:bottom w:val="single" w:color="auto" w:sz="4" w:space="0"/>
              <w:right w:val="single" w:color="000000" w:sz="6" w:space="0"/>
            </w:tcBorders>
          </w:tcPr>
          <w:p w:rsidR="00D0720F" w:rsidP="000913CE" w:rsidRDefault="00D0720F" w14:paraId="25494F98" w14:textId="584AA227">
            <w:pPr>
              <w:autoSpaceDE w:val="0"/>
              <w:autoSpaceDN w:val="0"/>
              <w:adjustRightInd w:val="0"/>
              <w:jc w:val="center"/>
            </w:pPr>
            <w:r w:rsidRPr="00804210">
              <w:rPr>
                <w:b/>
                <w:bCs/>
              </w:rPr>
              <w:lastRenderedPageBreak/>
              <w:t>Ņemts vērā.</w:t>
            </w:r>
          </w:p>
          <w:p w:rsidRPr="00ED0872" w:rsidR="00D0720F" w:rsidP="00080B98" w:rsidRDefault="00D0720F" w14:paraId="25494F99" w14:textId="77777777">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tcPr>
          <w:p w:rsidR="00D13610" w:rsidP="00CC135B" w:rsidRDefault="00D0720F" w14:paraId="1125CC59" w14:textId="77777777">
            <w:pPr>
              <w:jc w:val="both"/>
            </w:pPr>
            <w:r w:rsidRPr="000F77C0">
              <w:t xml:space="preserve">20. Produktu atbilstību nacionālajām prasībām novērtē nacionālo prasību novērtēšanas institūcija. Lai pildītu nacionālo prasību novērtēšanas institūcijas pienākumus, </w:t>
            </w:r>
            <w:r>
              <w:t>institūcija</w:t>
            </w:r>
            <w:r w:rsidRPr="000F77C0">
              <w:t xml:space="preserve"> atbilst </w:t>
            </w:r>
            <w:r>
              <w:t xml:space="preserve">un darbojas </w:t>
            </w:r>
            <w:r w:rsidRPr="000F77C0">
              <w:t xml:space="preserve">šo noteikumu </w:t>
            </w:r>
            <w:r w:rsidRPr="00DE01B1">
              <w:t xml:space="preserve">4., 5., 6., 7., 8., </w:t>
            </w:r>
            <w:r w:rsidRPr="00DE01B1">
              <w:lastRenderedPageBreak/>
              <w:t>9., 10., 11., 12., 13., 14., 15., 16. un 17.punkt</w:t>
            </w:r>
            <w:r>
              <w:t>ā</w:t>
            </w:r>
            <w:r w:rsidRPr="000F77C0">
              <w:t xml:space="preserve"> </w:t>
            </w:r>
            <w:r>
              <w:t>paredzētajā kārtībā</w:t>
            </w:r>
            <w:r w:rsidRPr="000F77C0">
              <w:t>, izņemot to, ka institūcijas pienākumi attiecas uz nacionāl</w:t>
            </w:r>
            <w:r>
              <w:t>ajām prasībām, nevis savstarpēja</w:t>
            </w:r>
            <w:r w:rsidRPr="000F77C0">
              <w:t xml:space="preserve">s </w:t>
            </w:r>
            <w:proofErr w:type="spellStart"/>
            <w:r w:rsidRPr="000F77C0">
              <w:t>izmantojamības</w:t>
            </w:r>
            <w:proofErr w:type="spellEnd"/>
            <w:r w:rsidRPr="000F77C0">
              <w:t xml:space="preserve"> tehniskajām specifikācijām</w:t>
            </w:r>
            <w:r w:rsidRPr="0018542A">
              <w:t>. Nacionālo prasību novērtēšanas institūcijas pienākumus var pildīt arī paziņotā institūcija, ja tās akreditācijas sfērā ir iekļauta Latvijas nacionālo prasību izpildes atbilstības novērtēšana.</w:t>
            </w:r>
            <w:r w:rsidRPr="00804210" w:rsidR="00D13610">
              <w:t xml:space="preserve"> </w:t>
            </w:r>
          </w:p>
          <w:p w:rsidR="00D13610" w:rsidP="00CC135B" w:rsidRDefault="00D13610" w14:paraId="65233224" w14:textId="77777777">
            <w:pPr>
              <w:jc w:val="both"/>
            </w:pPr>
          </w:p>
          <w:p w:rsidRPr="00823410" w:rsidR="00D0720F" w:rsidP="00CC135B" w:rsidRDefault="00D13610" w14:paraId="25494F9A" w14:textId="085C524D">
            <w:pPr>
              <w:jc w:val="both"/>
            </w:pPr>
            <w:r w:rsidRPr="00804210">
              <w:t xml:space="preserve">Papildināta </w:t>
            </w:r>
            <w:r>
              <w:t xml:space="preserve">Projekta </w:t>
            </w:r>
            <w:r w:rsidRPr="00804210">
              <w:t>anotācija</w:t>
            </w:r>
            <w:r>
              <w:t>.</w:t>
            </w:r>
          </w:p>
        </w:tc>
      </w:tr>
      <w:tr w:rsidRPr="00823410" w:rsidR="00D0720F" w14:paraId="25494FA1" w14:textId="77777777">
        <w:tc>
          <w:tcPr>
            <w:tcW w:w="542" w:type="dxa"/>
            <w:gridSpan w:val="2"/>
            <w:tcBorders>
              <w:left w:val="single" w:color="000000" w:sz="6" w:space="0"/>
              <w:bottom w:val="single" w:color="auto" w:sz="4" w:space="0"/>
              <w:right w:val="single" w:color="000000" w:sz="6" w:space="0"/>
            </w:tcBorders>
          </w:tcPr>
          <w:p w:rsidRPr="00EF34ED" w:rsidR="00D0720F" w:rsidP="00CC135B" w:rsidRDefault="00D0720F" w14:paraId="25494F9C" w14:textId="77777777">
            <w:pPr>
              <w:ind w:left="360" w:hanging="352"/>
              <w:jc w:val="both"/>
            </w:pPr>
            <w:r w:rsidRPr="00EF34ED">
              <w:lastRenderedPageBreak/>
              <w:t>25.</w:t>
            </w:r>
          </w:p>
        </w:tc>
        <w:tc>
          <w:tcPr>
            <w:tcW w:w="3685" w:type="dxa"/>
            <w:gridSpan w:val="3"/>
            <w:tcBorders>
              <w:left w:val="single" w:color="000000" w:sz="6" w:space="0"/>
              <w:bottom w:val="single" w:color="auto" w:sz="4" w:space="0"/>
              <w:right w:val="single" w:color="000000" w:sz="6" w:space="0"/>
            </w:tcBorders>
          </w:tcPr>
          <w:p w:rsidRPr="00823410" w:rsidR="00D0720F" w:rsidP="00CC135B" w:rsidRDefault="00D0720F" w14:paraId="25494F9D" w14:textId="77777777">
            <w:pPr>
              <w:jc w:val="both"/>
            </w:pPr>
            <w:r>
              <w:t>88.1</w:t>
            </w:r>
            <w:r w:rsidRPr="001A3F63">
              <w:t xml:space="preserve">. atbilstības novērtēšanas institūcijas veic tikai būtiskās un nepieciešamās pārbaudes un izvērtē vienīgi tās apakšsistēmas daļas, kas ir pārveidotas, un to </w:t>
            </w:r>
            <w:proofErr w:type="spellStart"/>
            <w:r w:rsidRPr="001A3F63">
              <w:t>saskarni</w:t>
            </w:r>
            <w:proofErr w:type="spellEnd"/>
            <w:r w:rsidRPr="001A3F63">
              <w:t xml:space="preserve"> ar apakšsistēmas nepārveidotajām daļām</w:t>
            </w:r>
            <w:r>
              <w:t>.</w:t>
            </w:r>
          </w:p>
        </w:tc>
        <w:tc>
          <w:tcPr>
            <w:tcW w:w="4111" w:type="dxa"/>
            <w:gridSpan w:val="3"/>
            <w:tcBorders>
              <w:left w:val="single" w:color="000000" w:sz="6" w:space="0"/>
              <w:bottom w:val="single" w:color="auto" w:sz="4" w:space="0"/>
              <w:right w:val="single" w:color="000000" w:sz="6" w:space="0"/>
            </w:tcBorders>
          </w:tcPr>
          <w:p w:rsidRPr="00823410" w:rsidR="00D0720F" w:rsidP="00CC135B" w:rsidRDefault="00D0720F" w14:paraId="25494F9E" w14:textId="77777777">
            <w:pPr>
              <w:ind w:left="34"/>
              <w:jc w:val="both"/>
              <w:rPr>
                <w:b/>
                <w:bCs/>
              </w:rPr>
            </w:pPr>
            <w:r>
              <w:t xml:space="preserve">7. </w:t>
            </w:r>
            <w:r w:rsidRPr="000A5758">
              <w:t xml:space="preserve">Saskaņā ar Projekta 88.1.apakšpunktu, atbilstības novērtēšanas institūcijas veic tikai būtiskās un nepieciešamās pārbaudes un izvērtē vienīgi tās apakšsistēmas daļas, kas ir pārveidotas, un to </w:t>
            </w:r>
            <w:proofErr w:type="spellStart"/>
            <w:r w:rsidRPr="000A5758">
              <w:t>saskarni</w:t>
            </w:r>
            <w:proofErr w:type="spellEnd"/>
            <w:r w:rsidRPr="000A5758">
              <w:t xml:space="preserve"> ar apakšsistēmas nepārveidotajām daļām, ja apakšsistēmā, par kuru ir sagatavota ,,EK” verifikācijas deklarācija, tiek veikts pārveidojums, kas nav remonts, un ražotājs vai pasūtītājs, kas ievieš pārveidojumus, norāda, ka pārveidojums ietekmē tos apakšsistēmas galvenos konstruktīvos raksturlielumus, kuri ir būtiski, lai nodrošinātu apakšsistēmas </w:t>
            </w:r>
            <w:proofErr w:type="spellStart"/>
            <w:r w:rsidRPr="000A5758">
              <w:t>pamatparametru</w:t>
            </w:r>
            <w:proofErr w:type="spellEnd"/>
            <w:r w:rsidRPr="000A5758">
              <w:t xml:space="preserve"> atbilstību prasībām. Ņemot vērā, ka no minētā Projekta apakšpunkta nav skaidrs, vai minētās </w:t>
            </w:r>
            <w:r w:rsidRPr="000A5758">
              <w:lastRenderedPageBreak/>
              <w:t>pārbaudes var veikt paziņotā institūcija vai nacionālo prasību novērtēšanas institūcija, lūdzam attiecīgi precizēt Projekta 88.1.apakšpunktu.</w:t>
            </w:r>
          </w:p>
        </w:tc>
        <w:tc>
          <w:tcPr>
            <w:tcW w:w="1843" w:type="dxa"/>
            <w:tcBorders>
              <w:left w:val="single" w:color="000000" w:sz="6" w:space="0"/>
              <w:bottom w:val="single" w:color="auto" w:sz="4" w:space="0"/>
              <w:right w:val="single" w:color="000000" w:sz="6" w:space="0"/>
            </w:tcBorders>
          </w:tcPr>
          <w:p w:rsidRPr="00ED0872" w:rsidR="00D0720F" w:rsidP="00B9218B" w:rsidRDefault="00D0720F" w14:paraId="25494F9F" w14:textId="1F27DE6D">
            <w:pPr>
              <w:autoSpaceDE w:val="0"/>
              <w:autoSpaceDN w:val="0"/>
              <w:adjustRightInd w:val="0"/>
              <w:jc w:val="center"/>
            </w:pPr>
            <w:r w:rsidRPr="00480244">
              <w:rPr>
                <w:b/>
                <w:bCs/>
              </w:rPr>
              <w:lastRenderedPageBreak/>
              <w:t>Ņemts vērā.</w:t>
            </w:r>
          </w:p>
        </w:tc>
        <w:tc>
          <w:tcPr>
            <w:tcW w:w="4278" w:type="dxa"/>
            <w:gridSpan w:val="3"/>
            <w:tcBorders>
              <w:top w:val="single" w:color="auto" w:sz="4" w:space="0"/>
              <w:left w:val="single" w:color="auto" w:sz="4" w:space="0"/>
              <w:bottom w:val="single" w:color="auto" w:sz="4" w:space="0"/>
            </w:tcBorders>
          </w:tcPr>
          <w:p w:rsidRPr="00823410" w:rsidR="00D0720F" w:rsidP="00480244" w:rsidRDefault="00D0720F" w14:paraId="25494FA0" w14:textId="77777777">
            <w:pPr>
              <w:jc w:val="both"/>
            </w:pPr>
            <w:r w:rsidRPr="00480244">
              <w:t>88.1.</w:t>
            </w:r>
            <w:r w:rsidRPr="00480244">
              <w:rPr>
                <w:b/>
                <w:bCs/>
              </w:rPr>
              <w:t xml:space="preserve"> </w:t>
            </w:r>
            <w:r w:rsidRPr="00242AC5">
              <w:t>paziņotā institūcija un nacionālo prasību novērtēšanas institūcija veic tikai būtiskās un nepieciešamās pārbaudes un izvērtē vienīgi tās apakšsistēmas daļas, kas ir pārveidotas</w:t>
            </w:r>
            <w:r w:rsidRPr="00480244">
              <w:t xml:space="preserve">, un to </w:t>
            </w:r>
            <w:proofErr w:type="spellStart"/>
            <w:r w:rsidRPr="00480244">
              <w:t>saskarni</w:t>
            </w:r>
            <w:proofErr w:type="spellEnd"/>
            <w:r w:rsidRPr="00480244">
              <w:t xml:space="preserve"> ar apakšsistēmas nepārveidotajām daļām</w:t>
            </w:r>
            <w:r>
              <w:t>.</w:t>
            </w:r>
          </w:p>
        </w:tc>
      </w:tr>
      <w:tr w:rsidRPr="00B06CC0" w:rsidR="00D0720F" w14:paraId="25494FA4" w14:textId="77777777">
        <w:tblPrEx>
          <w:tblBorders>
            <w:top w:val="none" w:color="auto" w:sz="0" w:space="0"/>
            <w:left w:val="none" w:color="auto" w:sz="0" w:space="0"/>
            <w:bottom w:val="none" w:color="auto" w:sz="0" w:space="0"/>
            <w:right w:val="none" w:color="auto" w:sz="0" w:space="0"/>
          </w:tblBorders>
        </w:tblPrEx>
        <w:trPr>
          <w:gridBefore w:val="1"/>
          <w:gridAfter w:val="4"/>
          <w:wBefore w:w="34" w:type="dxa"/>
          <w:wAfter w:w="6121" w:type="dxa"/>
        </w:trPr>
        <w:tc>
          <w:tcPr>
            <w:tcW w:w="2157" w:type="dxa"/>
            <w:gridSpan w:val="3"/>
          </w:tcPr>
          <w:p w:rsidRPr="00B06CC0" w:rsidR="00D0720F" w:rsidP="00CC135B" w:rsidRDefault="00D0720F" w14:paraId="25494FA2" w14:textId="77777777">
            <w:pPr>
              <w:pStyle w:val="naiskr"/>
              <w:spacing w:before="0" w:after="0"/>
              <w:jc w:val="both"/>
            </w:pPr>
          </w:p>
        </w:tc>
        <w:tc>
          <w:tcPr>
            <w:tcW w:w="6147" w:type="dxa"/>
            <w:gridSpan w:val="4"/>
            <w:tcBorders>
              <w:top w:val="single" w:color="000000" w:sz="6" w:space="0"/>
            </w:tcBorders>
          </w:tcPr>
          <w:p w:rsidRPr="00B06CC0" w:rsidR="00D0720F" w:rsidP="00CC135B" w:rsidRDefault="00D0720F" w14:paraId="25494FA3" w14:textId="77777777">
            <w:pPr>
              <w:pStyle w:val="naisc"/>
              <w:spacing w:before="0" w:after="0"/>
              <w:jc w:val="both"/>
            </w:pPr>
          </w:p>
        </w:tc>
      </w:tr>
    </w:tbl>
    <w:p w:rsidRPr="0066259F" w:rsidR="00D0720F" w:rsidP="00F1704A" w:rsidRDefault="00D0720F" w14:paraId="25494FA5" w14:textId="77777777">
      <w:pPr>
        <w:ind w:left="3600" w:hanging="3600"/>
        <w:jc w:val="both"/>
      </w:pPr>
      <w:r w:rsidRPr="0066259F">
        <w:t>Atbildīgā amatpersona                                                         ______________________________________________________________________</w:t>
      </w:r>
    </w:p>
    <w:p w:rsidRPr="0066259F" w:rsidR="00D0720F" w:rsidP="00F1704A" w:rsidRDefault="00D0720F" w14:paraId="25494FA6" w14:textId="77777777">
      <w:pPr>
        <w:pStyle w:val="ListParagraph"/>
        <w:spacing w:after="0" w:line="240" w:lineRule="auto"/>
        <w:ind w:left="7200"/>
        <w:jc w:val="both"/>
        <w:rPr>
          <w:rFonts w:ascii="Times New Roman" w:hAnsi="Times New Roman" w:cs="Times New Roman"/>
          <w:sz w:val="24"/>
          <w:szCs w:val="24"/>
        </w:rPr>
      </w:pPr>
      <w:r w:rsidRPr="0066259F">
        <w:rPr>
          <w:rFonts w:ascii="Times New Roman" w:hAnsi="Times New Roman" w:cs="Times New Roman"/>
          <w:sz w:val="24"/>
          <w:szCs w:val="24"/>
        </w:rPr>
        <w:tab/>
        <w:t xml:space="preserve">                                                                                                                                               </w:t>
      </w:r>
    </w:p>
    <w:p w:rsidRPr="0066259F" w:rsidR="00D0720F" w:rsidP="00F1704A" w:rsidRDefault="00D0720F" w14:paraId="25494FA7" w14:textId="77777777">
      <w:pPr>
        <w:pStyle w:val="ListParagraph"/>
        <w:spacing w:after="0" w:line="240" w:lineRule="auto"/>
        <w:ind w:left="7200"/>
        <w:jc w:val="both"/>
        <w:rPr>
          <w:rFonts w:ascii="Times New Roman" w:hAnsi="Times New Roman" w:cs="Times New Roman"/>
          <w:sz w:val="24"/>
          <w:szCs w:val="24"/>
        </w:rPr>
      </w:pPr>
      <w:r w:rsidRPr="0066259F">
        <w:rPr>
          <w:sz w:val="24"/>
          <w:szCs w:val="24"/>
        </w:rPr>
        <w:t xml:space="preserve"> </w:t>
      </w:r>
      <w:r w:rsidRPr="0066259F">
        <w:rPr>
          <w:rFonts w:ascii="Times New Roman" w:hAnsi="Times New Roman" w:cs="Times New Roman"/>
          <w:sz w:val="24"/>
          <w:szCs w:val="24"/>
        </w:rPr>
        <w:t xml:space="preserve"> (P. Markēvičs)</w:t>
      </w:r>
      <w:r w:rsidRPr="0066259F">
        <w:rPr>
          <w:rFonts w:ascii="Times New Roman" w:hAnsi="Times New Roman" w:cs="Times New Roman"/>
          <w:sz w:val="24"/>
          <w:szCs w:val="24"/>
        </w:rPr>
        <w:tab/>
        <w:t xml:space="preserve">                                                                                                                                               </w:t>
      </w:r>
    </w:p>
    <w:p w:rsidRPr="0066259F" w:rsidR="00D0720F" w:rsidP="00F1704A" w:rsidRDefault="00D0720F" w14:paraId="25494FA8" w14:textId="77777777">
      <w:pPr>
        <w:pStyle w:val="naisf"/>
        <w:spacing w:before="0" w:after="0"/>
        <w:ind w:firstLine="0"/>
      </w:pPr>
      <w:r w:rsidRPr="0066259F">
        <w:t>Patriks Markēvičs</w:t>
      </w:r>
    </w:p>
    <w:p w:rsidRPr="0066259F" w:rsidR="00D0720F" w:rsidP="00F1704A" w:rsidRDefault="00D0720F" w14:paraId="25494FA9" w14:textId="77777777">
      <w:pPr>
        <w:pStyle w:val="naisf"/>
        <w:spacing w:before="0" w:after="0"/>
        <w:ind w:firstLine="0"/>
      </w:pPr>
      <w:r w:rsidRPr="0066259F">
        <w:t>Satiksmes ministrijas</w:t>
      </w:r>
    </w:p>
    <w:p w:rsidRPr="0066259F" w:rsidR="00D0720F" w:rsidP="00F1704A" w:rsidRDefault="00D0720F" w14:paraId="25494FAA" w14:textId="77777777">
      <w:pPr>
        <w:pStyle w:val="naisf"/>
        <w:spacing w:before="0" w:after="0"/>
        <w:ind w:firstLine="0"/>
      </w:pPr>
      <w:r w:rsidRPr="0066259F">
        <w:t>Dzelzceļa departamenta direktors,</w:t>
      </w:r>
    </w:p>
    <w:p w:rsidRPr="0066259F" w:rsidR="00D0720F" w:rsidP="00F1704A" w:rsidRDefault="00D0720F" w14:paraId="25494FAB" w14:textId="77777777">
      <w:pPr>
        <w:pStyle w:val="naisf"/>
        <w:spacing w:before="0" w:after="0"/>
        <w:ind w:firstLine="0"/>
      </w:pPr>
      <w:r w:rsidRPr="0066259F">
        <w:t xml:space="preserve">tālr. 67028192, </w:t>
      </w:r>
      <w:hyperlink w:history="1" r:id="rId7">
        <w:r w:rsidRPr="0066259F">
          <w:rPr>
            <w:rStyle w:val="Hyperlink"/>
            <w:color w:val="auto"/>
          </w:rPr>
          <w:t>patriks.markevics@sam.gov.lv</w:t>
        </w:r>
      </w:hyperlink>
      <w:r w:rsidRPr="0066259F">
        <w:t xml:space="preserve"> </w:t>
      </w:r>
    </w:p>
    <w:p w:rsidRPr="004670EA" w:rsidR="00D0720F" w:rsidP="00F1704A" w:rsidRDefault="00D0720F" w14:paraId="25494FAC" w14:textId="77777777">
      <w:pPr>
        <w:ind w:left="3600" w:hanging="3600"/>
        <w:jc w:val="both"/>
      </w:pPr>
    </w:p>
    <w:p w:rsidRPr="00B06CC0" w:rsidR="00D0720F" w:rsidP="00F1704A" w:rsidRDefault="00D0720F" w14:paraId="25494FAD" w14:textId="77777777">
      <w:pPr>
        <w:ind w:left="3600" w:hanging="3600"/>
        <w:jc w:val="both"/>
      </w:pPr>
    </w:p>
    <w:sectPr w:rsidRPr="00B06CC0" w:rsidR="00D0720F" w:rsidSect="000913CE">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4FB0" w14:textId="77777777" w:rsidR="00D0720F" w:rsidRDefault="00D0720F">
      <w:r>
        <w:separator/>
      </w:r>
    </w:p>
  </w:endnote>
  <w:endnote w:type="continuationSeparator" w:id="0">
    <w:p w14:paraId="25494FB1" w14:textId="77777777" w:rsidR="00D0720F" w:rsidRDefault="00D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2AF7" w14:textId="31ED24E4" w:rsidR="0095452C" w:rsidRPr="009F41F2" w:rsidRDefault="0095452C" w:rsidP="0095452C">
    <w:pPr>
      <w:pStyle w:val="Footer"/>
    </w:pPr>
    <w:r>
      <w:rPr>
        <w:sz w:val="20"/>
        <w:szCs w:val="20"/>
      </w:rPr>
      <w:t>SMIzz_220420_VSS-222</w:t>
    </w:r>
  </w:p>
  <w:p w14:paraId="25494FB7" w14:textId="1572ABA9" w:rsidR="00D0720F" w:rsidRPr="0095452C" w:rsidRDefault="00D0720F" w:rsidP="0095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4FB8" w14:textId="77777777" w:rsidR="00D0720F" w:rsidRPr="009F41F2" w:rsidRDefault="00D0720F" w:rsidP="009F41F2">
    <w:pPr>
      <w:pStyle w:val="Footer"/>
    </w:pPr>
    <w:r>
      <w:rPr>
        <w:sz w:val="20"/>
        <w:szCs w:val="20"/>
      </w:rPr>
      <w:t>SMIzz_220420_VSS-222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4FAE" w14:textId="77777777" w:rsidR="00D0720F" w:rsidRDefault="00D0720F">
      <w:r>
        <w:separator/>
      </w:r>
    </w:p>
  </w:footnote>
  <w:footnote w:type="continuationSeparator" w:id="0">
    <w:p w14:paraId="25494FAF" w14:textId="77777777" w:rsidR="00D0720F" w:rsidRDefault="00D0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0F" w:rsidP="00364BB6" w:rsidRDefault="00D0720F" w14:paraId="25494FB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20F" w:rsidRDefault="00D0720F" w14:paraId="25494F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0F" w:rsidP="00364BB6" w:rsidRDefault="00D0720F" w14:paraId="25494FB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720F" w:rsidRDefault="00D0720F" w14:paraId="25494F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15:restartNumberingAfterBreak="0">
    <w:nsid w:val="02484510"/>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14245"/>
    <w:multiLevelType w:val="hybridMultilevel"/>
    <w:tmpl w:val="23445F98"/>
    <w:lvl w:ilvl="0" w:tplc="FFFFFFFF">
      <w:start w:val="1"/>
      <w:numFmt w:val="bullet"/>
      <w:lvlText w:val=""/>
      <w:lvlJc w:val="left"/>
      <w:pPr>
        <w:ind w:left="2487" w:hanging="360"/>
      </w:pPr>
      <w:rPr>
        <w:rFonts w:ascii="Symbol" w:hAnsi="Symbol" w:cs="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06E82DA6"/>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F30FC0"/>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5F21"/>
    <w:multiLevelType w:val="hybridMultilevel"/>
    <w:tmpl w:val="EB34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8B46E8"/>
    <w:multiLevelType w:val="hybridMultilevel"/>
    <w:tmpl w:val="6314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8E67C5"/>
    <w:multiLevelType w:val="hybridMultilevel"/>
    <w:tmpl w:val="86608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A614FC"/>
    <w:multiLevelType w:val="hybridMultilevel"/>
    <w:tmpl w:val="6688D7CC"/>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31A7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156D3529"/>
    <w:multiLevelType w:val="hybridMultilevel"/>
    <w:tmpl w:val="95EC1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6514A2B"/>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16817DD8"/>
    <w:multiLevelType w:val="hybridMultilevel"/>
    <w:tmpl w:val="200E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A4790F"/>
    <w:multiLevelType w:val="hybridMultilevel"/>
    <w:tmpl w:val="F536BC1E"/>
    <w:lvl w:ilvl="0" w:tplc="4856A2D2">
      <w:start w:val="1"/>
      <w:numFmt w:val="decimal"/>
      <w:lvlText w:val="%1."/>
      <w:lvlJc w:val="left"/>
      <w:pPr>
        <w:ind w:left="720" w:hanging="360"/>
      </w:pPr>
      <w:rPr>
        <w:rFonts w:hint="default"/>
        <w:b/>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EC5188"/>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D5C39"/>
    <w:multiLevelType w:val="hybridMultilevel"/>
    <w:tmpl w:val="7E88CD02"/>
    <w:lvl w:ilvl="0" w:tplc="7564197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5E5C20"/>
    <w:multiLevelType w:val="hybridMultilevel"/>
    <w:tmpl w:val="664CD75A"/>
    <w:lvl w:ilvl="0" w:tplc="9068906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CA63A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97212"/>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2A801E37"/>
    <w:multiLevelType w:val="hybridMultilevel"/>
    <w:tmpl w:val="CF56BEA6"/>
    <w:lvl w:ilvl="0" w:tplc="E2A434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2C5021D3"/>
    <w:multiLevelType w:val="hybridMultilevel"/>
    <w:tmpl w:val="1EE494D2"/>
    <w:lvl w:ilvl="0" w:tplc="C6206714">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153CC"/>
    <w:multiLevelType w:val="multilevel"/>
    <w:tmpl w:val="CC8EE4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1652C61"/>
    <w:multiLevelType w:val="hybridMultilevel"/>
    <w:tmpl w:val="6D6A0AA6"/>
    <w:lvl w:ilvl="0" w:tplc="36302C94">
      <w:start w:val="1"/>
      <w:numFmt w:val="decimal"/>
      <w:lvlText w:val="%1."/>
      <w:lvlJc w:val="left"/>
      <w:pPr>
        <w:ind w:left="720" w:hanging="360"/>
      </w:pPr>
      <w:rPr>
        <w:rFonts w:hint="default"/>
      </w:rPr>
    </w:lvl>
    <w:lvl w:ilvl="1" w:tplc="74382680">
      <w:start w:val="1"/>
      <w:numFmt w:val="lowerLetter"/>
      <w:lvlText w:val="%2."/>
      <w:lvlJc w:val="left"/>
      <w:pPr>
        <w:ind w:left="1440" w:hanging="360"/>
      </w:pPr>
    </w:lvl>
    <w:lvl w:ilvl="2" w:tplc="66B6BCC4" w:tentative="1">
      <w:start w:val="1"/>
      <w:numFmt w:val="lowerRoman"/>
      <w:lvlText w:val="%3."/>
      <w:lvlJc w:val="right"/>
      <w:pPr>
        <w:ind w:left="2160" w:hanging="180"/>
      </w:pPr>
    </w:lvl>
    <w:lvl w:ilvl="3" w:tplc="517670AA" w:tentative="1">
      <w:start w:val="1"/>
      <w:numFmt w:val="decimal"/>
      <w:lvlText w:val="%4."/>
      <w:lvlJc w:val="left"/>
      <w:pPr>
        <w:ind w:left="2880" w:hanging="360"/>
      </w:pPr>
    </w:lvl>
    <w:lvl w:ilvl="4" w:tplc="92600600" w:tentative="1">
      <w:start w:val="1"/>
      <w:numFmt w:val="lowerLetter"/>
      <w:lvlText w:val="%5."/>
      <w:lvlJc w:val="left"/>
      <w:pPr>
        <w:ind w:left="3600" w:hanging="360"/>
      </w:pPr>
    </w:lvl>
    <w:lvl w:ilvl="5" w:tplc="AEDCAC2A" w:tentative="1">
      <w:start w:val="1"/>
      <w:numFmt w:val="lowerRoman"/>
      <w:lvlText w:val="%6."/>
      <w:lvlJc w:val="right"/>
      <w:pPr>
        <w:ind w:left="4320" w:hanging="180"/>
      </w:pPr>
    </w:lvl>
    <w:lvl w:ilvl="6" w:tplc="757A4538" w:tentative="1">
      <w:start w:val="1"/>
      <w:numFmt w:val="decimal"/>
      <w:lvlText w:val="%7."/>
      <w:lvlJc w:val="left"/>
      <w:pPr>
        <w:ind w:left="5040" w:hanging="360"/>
      </w:pPr>
    </w:lvl>
    <w:lvl w:ilvl="7" w:tplc="EDC67DB8" w:tentative="1">
      <w:start w:val="1"/>
      <w:numFmt w:val="lowerLetter"/>
      <w:lvlText w:val="%8."/>
      <w:lvlJc w:val="left"/>
      <w:pPr>
        <w:ind w:left="5760" w:hanging="360"/>
      </w:pPr>
    </w:lvl>
    <w:lvl w:ilvl="8" w:tplc="69626DBE" w:tentative="1">
      <w:start w:val="1"/>
      <w:numFmt w:val="lowerRoman"/>
      <w:lvlText w:val="%9."/>
      <w:lvlJc w:val="right"/>
      <w:pPr>
        <w:ind w:left="6480" w:hanging="180"/>
      </w:pPr>
    </w:lvl>
  </w:abstractNum>
  <w:abstractNum w:abstractNumId="24" w15:restartNumberingAfterBreak="0">
    <w:nsid w:val="329C463A"/>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CB1300"/>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15:restartNumberingAfterBreak="0">
    <w:nsid w:val="3D59503A"/>
    <w:multiLevelType w:val="hybridMultilevel"/>
    <w:tmpl w:val="F320ABFA"/>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0A7135B"/>
    <w:multiLevelType w:val="hybridMultilevel"/>
    <w:tmpl w:val="ABBCD970"/>
    <w:lvl w:ilvl="0" w:tplc="C6206714">
      <w:start w:val="10"/>
      <w:numFmt w:val="decimal"/>
      <w:lvlText w:val="%1."/>
      <w:lvlJc w:val="left"/>
      <w:pPr>
        <w:ind w:left="644" w:hanging="360"/>
      </w:pPr>
      <w:rPr>
        <w:rFonts w:hint="default"/>
        <w:b/>
        <w:bCs/>
        <w:i w:val="0"/>
        <w:i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D26BA"/>
    <w:multiLevelType w:val="hybridMultilevel"/>
    <w:tmpl w:val="3E5A75C4"/>
    <w:lvl w:ilvl="0" w:tplc="0426000F">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A251A7"/>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6A23B8"/>
    <w:multiLevelType w:val="hybridMultilevel"/>
    <w:tmpl w:val="D94E15F0"/>
    <w:lvl w:ilvl="0" w:tplc="A4E45504">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15:restartNumberingAfterBreak="0">
    <w:nsid w:val="5BE40B29"/>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65A2D"/>
    <w:multiLevelType w:val="hybridMultilevel"/>
    <w:tmpl w:val="8AD6B53E"/>
    <w:lvl w:ilvl="0" w:tplc="FFFFFFFF">
      <w:start w:val="1"/>
      <w:numFmt w:val="bullet"/>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4" w15:restartNumberingAfterBreak="0">
    <w:nsid w:val="650B1C12"/>
    <w:multiLevelType w:val="hybridMultilevel"/>
    <w:tmpl w:val="7332CEC2"/>
    <w:lvl w:ilvl="0" w:tplc="EB7EE716">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E247F6"/>
    <w:multiLevelType w:val="hybridMultilevel"/>
    <w:tmpl w:val="D4E4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753FBC"/>
    <w:multiLevelType w:val="hybridMultilevel"/>
    <w:tmpl w:val="1EE494D2"/>
    <w:lvl w:ilvl="0" w:tplc="C6206714">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B6551"/>
    <w:multiLevelType w:val="hybridMultilevel"/>
    <w:tmpl w:val="B3AC6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FF42681"/>
    <w:multiLevelType w:val="hybridMultilevel"/>
    <w:tmpl w:val="607ABC46"/>
    <w:lvl w:ilvl="0" w:tplc="7564197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0341E3"/>
    <w:multiLevelType w:val="hybridMultilevel"/>
    <w:tmpl w:val="B9E4D940"/>
    <w:lvl w:ilvl="0" w:tplc="FCF632FA">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826F9A"/>
    <w:multiLevelType w:val="hybridMultilevel"/>
    <w:tmpl w:val="607ABC46"/>
    <w:lvl w:ilvl="0" w:tplc="7564197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BA4703"/>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27041"/>
    <w:multiLevelType w:val="hybridMultilevel"/>
    <w:tmpl w:val="ABBCD970"/>
    <w:lvl w:ilvl="0" w:tplc="C6206714">
      <w:start w:val="10"/>
      <w:numFmt w:val="decimal"/>
      <w:lvlText w:val="%1."/>
      <w:lvlJc w:val="left"/>
      <w:pPr>
        <w:ind w:left="644" w:hanging="360"/>
      </w:pPr>
      <w:rPr>
        <w:rFonts w:hint="default"/>
        <w:b/>
        <w:bCs/>
        <w:i w:val="0"/>
        <w:i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DC94A98"/>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D1106D"/>
    <w:multiLevelType w:val="hybridMultilevel"/>
    <w:tmpl w:val="C54EBBB6"/>
    <w:lvl w:ilvl="0" w:tplc="EEEA47E4">
      <w:start w:val="1"/>
      <w:numFmt w:val="bullet"/>
      <w:lvlText w:val=""/>
      <w:lvlJc w:val="left"/>
      <w:pPr>
        <w:ind w:left="360" w:hanging="360"/>
      </w:pPr>
      <w:rPr>
        <w:rFonts w:ascii="Symbol" w:hAnsi="Symbol" w:cs="Symbol" w:hint="default"/>
      </w:rPr>
    </w:lvl>
    <w:lvl w:ilvl="1" w:tplc="427E6A1A" w:tentative="1">
      <w:start w:val="1"/>
      <w:numFmt w:val="bullet"/>
      <w:lvlText w:val="o"/>
      <w:lvlJc w:val="left"/>
      <w:pPr>
        <w:ind w:left="1080" w:hanging="360"/>
      </w:pPr>
      <w:rPr>
        <w:rFonts w:ascii="Courier New" w:hAnsi="Courier New" w:cs="Courier New" w:hint="default"/>
      </w:rPr>
    </w:lvl>
    <w:lvl w:ilvl="2" w:tplc="C0588906" w:tentative="1">
      <w:start w:val="1"/>
      <w:numFmt w:val="bullet"/>
      <w:lvlText w:val=""/>
      <w:lvlJc w:val="left"/>
      <w:pPr>
        <w:ind w:left="1800" w:hanging="360"/>
      </w:pPr>
      <w:rPr>
        <w:rFonts w:ascii="Wingdings" w:hAnsi="Wingdings" w:cs="Wingdings" w:hint="default"/>
      </w:rPr>
    </w:lvl>
    <w:lvl w:ilvl="3" w:tplc="321EEF50" w:tentative="1">
      <w:start w:val="1"/>
      <w:numFmt w:val="bullet"/>
      <w:lvlText w:val=""/>
      <w:lvlJc w:val="left"/>
      <w:pPr>
        <w:ind w:left="2520" w:hanging="360"/>
      </w:pPr>
      <w:rPr>
        <w:rFonts w:ascii="Symbol" w:hAnsi="Symbol" w:cs="Symbol" w:hint="default"/>
      </w:rPr>
    </w:lvl>
    <w:lvl w:ilvl="4" w:tplc="6F709DD8" w:tentative="1">
      <w:start w:val="1"/>
      <w:numFmt w:val="bullet"/>
      <w:lvlText w:val="o"/>
      <w:lvlJc w:val="left"/>
      <w:pPr>
        <w:ind w:left="3240" w:hanging="360"/>
      </w:pPr>
      <w:rPr>
        <w:rFonts w:ascii="Courier New" w:hAnsi="Courier New" w:cs="Courier New" w:hint="default"/>
      </w:rPr>
    </w:lvl>
    <w:lvl w:ilvl="5" w:tplc="DFF20782" w:tentative="1">
      <w:start w:val="1"/>
      <w:numFmt w:val="bullet"/>
      <w:lvlText w:val=""/>
      <w:lvlJc w:val="left"/>
      <w:pPr>
        <w:ind w:left="3960" w:hanging="360"/>
      </w:pPr>
      <w:rPr>
        <w:rFonts w:ascii="Wingdings" w:hAnsi="Wingdings" w:cs="Wingdings" w:hint="default"/>
      </w:rPr>
    </w:lvl>
    <w:lvl w:ilvl="6" w:tplc="54964F52" w:tentative="1">
      <w:start w:val="1"/>
      <w:numFmt w:val="bullet"/>
      <w:lvlText w:val=""/>
      <w:lvlJc w:val="left"/>
      <w:pPr>
        <w:ind w:left="4680" w:hanging="360"/>
      </w:pPr>
      <w:rPr>
        <w:rFonts w:ascii="Symbol" w:hAnsi="Symbol" w:cs="Symbol" w:hint="default"/>
      </w:rPr>
    </w:lvl>
    <w:lvl w:ilvl="7" w:tplc="965240B8" w:tentative="1">
      <w:start w:val="1"/>
      <w:numFmt w:val="bullet"/>
      <w:lvlText w:val="o"/>
      <w:lvlJc w:val="left"/>
      <w:pPr>
        <w:ind w:left="5400" w:hanging="360"/>
      </w:pPr>
      <w:rPr>
        <w:rFonts w:ascii="Courier New" w:hAnsi="Courier New" w:cs="Courier New" w:hint="default"/>
      </w:rPr>
    </w:lvl>
    <w:lvl w:ilvl="8" w:tplc="384AB8D6" w:tentative="1">
      <w:start w:val="1"/>
      <w:numFmt w:val="bullet"/>
      <w:lvlText w:val=""/>
      <w:lvlJc w:val="left"/>
      <w:pPr>
        <w:ind w:left="6120" w:hanging="360"/>
      </w:pPr>
      <w:rPr>
        <w:rFonts w:ascii="Wingdings" w:hAnsi="Wingdings" w:cs="Wingdings" w:hint="default"/>
      </w:rPr>
    </w:lvl>
  </w:abstractNum>
  <w:num w:numId="1">
    <w:abstractNumId w:val="28"/>
  </w:num>
  <w:num w:numId="2">
    <w:abstractNumId w:val="10"/>
  </w:num>
  <w:num w:numId="3">
    <w:abstractNumId w:val="32"/>
  </w:num>
  <w:num w:numId="4">
    <w:abstractNumId w:val="15"/>
  </w:num>
  <w:num w:numId="5">
    <w:abstractNumId w:val="4"/>
  </w:num>
  <w:num w:numId="6">
    <w:abstractNumId w:val="2"/>
  </w:num>
  <w:num w:numId="7">
    <w:abstractNumId w:val="33"/>
  </w:num>
  <w:num w:numId="8">
    <w:abstractNumId w:val="26"/>
  </w:num>
  <w:num w:numId="9">
    <w:abstractNumId w:val="45"/>
  </w:num>
  <w:num w:numId="10">
    <w:abstractNumId w:val="25"/>
  </w:num>
  <w:num w:numId="11">
    <w:abstractNumId w:val="12"/>
  </w:num>
  <w:num w:numId="12">
    <w:abstractNumId w:val="19"/>
  </w:num>
  <w:num w:numId="13">
    <w:abstractNumId w:val="22"/>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29"/>
  </w:num>
  <w:num w:numId="24">
    <w:abstractNumId w:val="6"/>
  </w:num>
  <w:num w:numId="25">
    <w:abstractNumId w:val="42"/>
  </w:num>
  <w:num w:numId="26">
    <w:abstractNumId w:val="30"/>
  </w:num>
  <w:num w:numId="27">
    <w:abstractNumId w:val="20"/>
  </w:num>
  <w:num w:numId="28">
    <w:abstractNumId w:val="1"/>
  </w:num>
  <w:num w:numId="29">
    <w:abstractNumId w:val="24"/>
  </w:num>
  <w:num w:numId="30">
    <w:abstractNumId w:val="44"/>
  </w:num>
  <w:num w:numId="31">
    <w:abstractNumId w:val="40"/>
  </w:num>
  <w:num w:numId="32">
    <w:abstractNumId w:val="37"/>
  </w:num>
  <w:num w:numId="33">
    <w:abstractNumId w:val="36"/>
  </w:num>
  <w:num w:numId="34">
    <w:abstractNumId w:val="21"/>
  </w:num>
  <w:num w:numId="35">
    <w:abstractNumId w:val="43"/>
  </w:num>
  <w:num w:numId="36">
    <w:abstractNumId w:val="27"/>
  </w:num>
  <w:num w:numId="37">
    <w:abstractNumId w:val="3"/>
  </w:num>
  <w:num w:numId="38">
    <w:abstractNumId w:val="14"/>
  </w:num>
  <w:num w:numId="39">
    <w:abstractNumId w:val="13"/>
  </w:num>
  <w:num w:numId="40">
    <w:abstractNumId w:val="5"/>
  </w:num>
  <w:num w:numId="41">
    <w:abstractNumId w:val="17"/>
  </w:num>
  <w:num w:numId="42">
    <w:abstractNumId w:val="34"/>
  </w:num>
  <w:num w:numId="43">
    <w:abstractNumId w:val="38"/>
  </w:num>
  <w:num w:numId="44">
    <w:abstractNumId w:val="41"/>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0FD"/>
    <w:rsid w:val="0000456E"/>
    <w:rsid w:val="00004706"/>
    <w:rsid w:val="00004E84"/>
    <w:rsid w:val="000051FE"/>
    <w:rsid w:val="00005320"/>
    <w:rsid w:val="000055EA"/>
    <w:rsid w:val="000060CB"/>
    <w:rsid w:val="00006166"/>
    <w:rsid w:val="00006476"/>
    <w:rsid w:val="000068FB"/>
    <w:rsid w:val="00006BF1"/>
    <w:rsid w:val="00006DD9"/>
    <w:rsid w:val="00007501"/>
    <w:rsid w:val="00010056"/>
    <w:rsid w:val="000100E1"/>
    <w:rsid w:val="00010404"/>
    <w:rsid w:val="00010D74"/>
    <w:rsid w:val="0001118D"/>
    <w:rsid w:val="0001131F"/>
    <w:rsid w:val="00011663"/>
    <w:rsid w:val="00011A16"/>
    <w:rsid w:val="00011AB2"/>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76F"/>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4CEF"/>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3C3"/>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0B98"/>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3CE"/>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758"/>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87"/>
    <w:rsid w:val="000B0C94"/>
    <w:rsid w:val="000B10D9"/>
    <w:rsid w:val="000B15E5"/>
    <w:rsid w:val="000B1882"/>
    <w:rsid w:val="000B1AE6"/>
    <w:rsid w:val="000B1DA8"/>
    <w:rsid w:val="000B1F2F"/>
    <w:rsid w:val="000B2382"/>
    <w:rsid w:val="000B2FD7"/>
    <w:rsid w:val="000B3171"/>
    <w:rsid w:val="000B3308"/>
    <w:rsid w:val="000B34A5"/>
    <w:rsid w:val="000B385A"/>
    <w:rsid w:val="000B3A51"/>
    <w:rsid w:val="000B3C55"/>
    <w:rsid w:val="000B3D9C"/>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751"/>
    <w:rsid w:val="000D7C23"/>
    <w:rsid w:val="000D7FCB"/>
    <w:rsid w:val="000E00FE"/>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01D"/>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7C0"/>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446"/>
    <w:rsid w:val="0010468B"/>
    <w:rsid w:val="0010558B"/>
    <w:rsid w:val="00105A89"/>
    <w:rsid w:val="00105A9E"/>
    <w:rsid w:val="00105F3F"/>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D12"/>
    <w:rsid w:val="00124E23"/>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3EF9"/>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453"/>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72D"/>
    <w:rsid w:val="0018386C"/>
    <w:rsid w:val="00183C16"/>
    <w:rsid w:val="00184479"/>
    <w:rsid w:val="001845AD"/>
    <w:rsid w:val="001845B2"/>
    <w:rsid w:val="0018472C"/>
    <w:rsid w:val="00184838"/>
    <w:rsid w:val="00185039"/>
    <w:rsid w:val="0018542A"/>
    <w:rsid w:val="001855A1"/>
    <w:rsid w:val="001855F0"/>
    <w:rsid w:val="00185755"/>
    <w:rsid w:val="00185C3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0DB7"/>
    <w:rsid w:val="00191237"/>
    <w:rsid w:val="00191984"/>
    <w:rsid w:val="00191A5F"/>
    <w:rsid w:val="00191FEE"/>
    <w:rsid w:val="001926F2"/>
    <w:rsid w:val="00192F27"/>
    <w:rsid w:val="001930ED"/>
    <w:rsid w:val="0019337F"/>
    <w:rsid w:val="00193804"/>
    <w:rsid w:val="00193BCE"/>
    <w:rsid w:val="00193CDD"/>
    <w:rsid w:val="00193EEA"/>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188"/>
    <w:rsid w:val="001A2385"/>
    <w:rsid w:val="001A2414"/>
    <w:rsid w:val="001A269B"/>
    <w:rsid w:val="001A2847"/>
    <w:rsid w:val="001A3AA3"/>
    <w:rsid w:val="001A3ADA"/>
    <w:rsid w:val="001A3B5C"/>
    <w:rsid w:val="001A3F63"/>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299"/>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0C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2C26"/>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0CB2"/>
    <w:rsid w:val="0020187E"/>
    <w:rsid w:val="00201C57"/>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432"/>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BFE"/>
    <w:rsid w:val="00215C44"/>
    <w:rsid w:val="002160EB"/>
    <w:rsid w:val="00216116"/>
    <w:rsid w:val="00216393"/>
    <w:rsid w:val="002168C5"/>
    <w:rsid w:val="00216E73"/>
    <w:rsid w:val="00217626"/>
    <w:rsid w:val="0021774C"/>
    <w:rsid w:val="0021779C"/>
    <w:rsid w:val="00217853"/>
    <w:rsid w:val="00217FDB"/>
    <w:rsid w:val="00217FF6"/>
    <w:rsid w:val="002201A8"/>
    <w:rsid w:val="00220A67"/>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596"/>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A62"/>
    <w:rsid w:val="00237C51"/>
    <w:rsid w:val="002402AD"/>
    <w:rsid w:val="002404DB"/>
    <w:rsid w:val="0024131C"/>
    <w:rsid w:val="002415BC"/>
    <w:rsid w:val="00242396"/>
    <w:rsid w:val="00242862"/>
    <w:rsid w:val="00242AC5"/>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CA0"/>
    <w:rsid w:val="00250D20"/>
    <w:rsid w:val="00250EDA"/>
    <w:rsid w:val="00251502"/>
    <w:rsid w:val="002518E8"/>
    <w:rsid w:val="00251B93"/>
    <w:rsid w:val="00251C10"/>
    <w:rsid w:val="002523AA"/>
    <w:rsid w:val="0025247E"/>
    <w:rsid w:val="00252557"/>
    <w:rsid w:val="00252703"/>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3C7A"/>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6478"/>
    <w:rsid w:val="00287140"/>
    <w:rsid w:val="00287504"/>
    <w:rsid w:val="002875FB"/>
    <w:rsid w:val="002876C9"/>
    <w:rsid w:val="00287C25"/>
    <w:rsid w:val="00287DF8"/>
    <w:rsid w:val="00287E89"/>
    <w:rsid w:val="00287EDD"/>
    <w:rsid w:val="00287F31"/>
    <w:rsid w:val="0029069C"/>
    <w:rsid w:val="00290A1E"/>
    <w:rsid w:val="0029141B"/>
    <w:rsid w:val="002914ED"/>
    <w:rsid w:val="00291AAC"/>
    <w:rsid w:val="002927D3"/>
    <w:rsid w:val="00292BA8"/>
    <w:rsid w:val="00292E37"/>
    <w:rsid w:val="00293362"/>
    <w:rsid w:val="0029368A"/>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116"/>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83D"/>
    <w:rsid w:val="002B1A56"/>
    <w:rsid w:val="002B1AE1"/>
    <w:rsid w:val="002B1DBF"/>
    <w:rsid w:val="002B1DD6"/>
    <w:rsid w:val="002B1E12"/>
    <w:rsid w:val="002B207F"/>
    <w:rsid w:val="002B2A48"/>
    <w:rsid w:val="002B2BEE"/>
    <w:rsid w:val="002B2F5B"/>
    <w:rsid w:val="002B31AD"/>
    <w:rsid w:val="002B3A2D"/>
    <w:rsid w:val="002B3EA7"/>
    <w:rsid w:val="002B3F06"/>
    <w:rsid w:val="002B4188"/>
    <w:rsid w:val="002B41B6"/>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828"/>
    <w:rsid w:val="002E2A24"/>
    <w:rsid w:val="002E3D66"/>
    <w:rsid w:val="002E3F11"/>
    <w:rsid w:val="002E4B11"/>
    <w:rsid w:val="002E4ED4"/>
    <w:rsid w:val="002E4F70"/>
    <w:rsid w:val="002E5126"/>
    <w:rsid w:val="002E5886"/>
    <w:rsid w:val="002E5AD3"/>
    <w:rsid w:val="002E635D"/>
    <w:rsid w:val="002E6CF5"/>
    <w:rsid w:val="002E7562"/>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B63"/>
    <w:rsid w:val="00301C91"/>
    <w:rsid w:val="00301D87"/>
    <w:rsid w:val="003022AB"/>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845"/>
    <w:rsid w:val="003069DD"/>
    <w:rsid w:val="00306B16"/>
    <w:rsid w:val="00306BFF"/>
    <w:rsid w:val="00306CAB"/>
    <w:rsid w:val="00310422"/>
    <w:rsid w:val="00310DF7"/>
    <w:rsid w:val="00310E2D"/>
    <w:rsid w:val="0031146F"/>
    <w:rsid w:val="00311795"/>
    <w:rsid w:val="003117B1"/>
    <w:rsid w:val="00311B70"/>
    <w:rsid w:val="00311C10"/>
    <w:rsid w:val="00311CBE"/>
    <w:rsid w:val="00312280"/>
    <w:rsid w:val="00312705"/>
    <w:rsid w:val="00312B3A"/>
    <w:rsid w:val="00312B5E"/>
    <w:rsid w:val="00312BF6"/>
    <w:rsid w:val="00312CD0"/>
    <w:rsid w:val="00312E85"/>
    <w:rsid w:val="003130AE"/>
    <w:rsid w:val="003138F3"/>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CE1"/>
    <w:rsid w:val="00317DC7"/>
    <w:rsid w:val="003200F9"/>
    <w:rsid w:val="00320E31"/>
    <w:rsid w:val="00320F38"/>
    <w:rsid w:val="00321183"/>
    <w:rsid w:val="00321694"/>
    <w:rsid w:val="00321F0A"/>
    <w:rsid w:val="00322172"/>
    <w:rsid w:val="0032232A"/>
    <w:rsid w:val="003223CE"/>
    <w:rsid w:val="003223E9"/>
    <w:rsid w:val="0032244D"/>
    <w:rsid w:val="003225FB"/>
    <w:rsid w:val="00322962"/>
    <w:rsid w:val="00322A2D"/>
    <w:rsid w:val="00322E80"/>
    <w:rsid w:val="003232EB"/>
    <w:rsid w:val="00323732"/>
    <w:rsid w:val="00323862"/>
    <w:rsid w:val="00323C2C"/>
    <w:rsid w:val="00323E10"/>
    <w:rsid w:val="0032424A"/>
    <w:rsid w:val="003243AB"/>
    <w:rsid w:val="003245CC"/>
    <w:rsid w:val="003246A9"/>
    <w:rsid w:val="00324D5B"/>
    <w:rsid w:val="00324E07"/>
    <w:rsid w:val="00324E83"/>
    <w:rsid w:val="00324F5B"/>
    <w:rsid w:val="00325045"/>
    <w:rsid w:val="00325735"/>
    <w:rsid w:val="00325D91"/>
    <w:rsid w:val="00326439"/>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091"/>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296"/>
    <w:rsid w:val="0034567E"/>
    <w:rsid w:val="00345E4A"/>
    <w:rsid w:val="00346EB6"/>
    <w:rsid w:val="00346FDB"/>
    <w:rsid w:val="00347356"/>
    <w:rsid w:val="00347861"/>
    <w:rsid w:val="00347EDB"/>
    <w:rsid w:val="00347F82"/>
    <w:rsid w:val="00350187"/>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969"/>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0B5"/>
    <w:rsid w:val="003704E8"/>
    <w:rsid w:val="003707AD"/>
    <w:rsid w:val="003707E3"/>
    <w:rsid w:val="00370850"/>
    <w:rsid w:val="00370C9B"/>
    <w:rsid w:val="00371740"/>
    <w:rsid w:val="0037176E"/>
    <w:rsid w:val="00371A8E"/>
    <w:rsid w:val="00371E12"/>
    <w:rsid w:val="00371FEF"/>
    <w:rsid w:val="00372221"/>
    <w:rsid w:val="00372CC4"/>
    <w:rsid w:val="00372CF2"/>
    <w:rsid w:val="00372CF4"/>
    <w:rsid w:val="00372EB2"/>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B01"/>
    <w:rsid w:val="003950EB"/>
    <w:rsid w:val="00396E3B"/>
    <w:rsid w:val="00397677"/>
    <w:rsid w:val="003A05B5"/>
    <w:rsid w:val="003A07A1"/>
    <w:rsid w:val="003A09AA"/>
    <w:rsid w:val="003A0ACC"/>
    <w:rsid w:val="003A10A2"/>
    <w:rsid w:val="003A157A"/>
    <w:rsid w:val="003A2042"/>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209"/>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268"/>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BF1"/>
    <w:rsid w:val="003D4D68"/>
    <w:rsid w:val="003D4E1A"/>
    <w:rsid w:val="003D53E4"/>
    <w:rsid w:val="003D54EC"/>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613"/>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7E6"/>
    <w:rsid w:val="003F28C0"/>
    <w:rsid w:val="003F2A1E"/>
    <w:rsid w:val="003F2A69"/>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B4D"/>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F18"/>
    <w:rsid w:val="004201DE"/>
    <w:rsid w:val="004204D9"/>
    <w:rsid w:val="004205AE"/>
    <w:rsid w:val="0042063D"/>
    <w:rsid w:val="004207A0"/>
    <w:rsid w:val="00420AA8"/>
    <w:rsid w:val="00420BE1"/>
    <w:rsid w:val="00420D39"/>
    <w:rsid w:val="0042101F"/>
    <w:rsid w:val="0042126B"/>
    <w:rsid w:val="004213F4"/>
    <w:rsid w:val="00421726"/>
    <w:rsid w:val="004224E0"/>
    <w:rsid w:val="004228F7"/>
    <w:rsid w:val="00422B23"/>
    <w:rsid w:val="00423072"/>
    <w:rsid w:val="00423417"/>
    <w:rsid w:val="00423440"/>
    <w:rsid w:val="0042364E"/>
    <w:rsid w:val="004237E3"/>
    <w:rsid w:val="00423A60"/>
    <w:rsid w:val="004242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E48"/>
    <w:rsid w:val="00443003"/>
    <w:rsid w:val="0044314B"/>
    <w:rsid w:val="00443671"/>
    <w:rsid w:val="0044381E"/>
    <w:rsid w:val="00443BE2"/>
    <w:rsid w:val="00443DCD"/>
    <w:rsid w:val="00443E7E"/>
    <w:rsid w:val="00443E94"/>
    <w:rsid w:val="0044488E"/>
    <w:rsid w:val="004449D9"/>
    <w:rsid w:val="00444C06"/>
    <w:rsid w:val="00444ED9"/>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4C"/>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4AE"/>
    <w:rsid w:val="004554C3"/>
    <w:rsid w:val="004556B4"/>
    <w:rsid w:val="00455914"/>
    <w:rsid w:val="00455996"/>
    <w:rsid w:val="00455C73"/>
    <w:rsid w:val="00455FB6"/>
    <w:rsid w:val="0045637B"/>
    <w:rsid w:val="0045684D"/>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0EA"/>
    <w:rsid w:val="00467B65"/>
    <w:rsid w:val="00467D88"/>
    <w:rsid w:val="004712A0"/>
    <w:rsid w:val="00471BA0"/>
    <w:rsid w:val="00471EA5"/>
    <w:rsid w:val="00471ED0"/>
    <w:rsid w:val="004720C9"/>
    <w:rsid w:val="0047210B"/>
    <w:rsid w:val="00472184"/>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908"/>
    <w:rsid w:val="00476B98"/>
    <w:rsid w:val="00477244"/>
    <w:rsid w:val="004772E2"/>
    <w:rsid w:val="0047739F"/>
    <w:rsid w:val="00477F97"/>
    <w:rsid w:val="0048005D"/>
    <w:rsid w:val="00480244"/>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830"/>
    <w:rsid w:val="004869B6"/>
    <w:rsid w:val="00486B79"/>
    <w:rsid w:val="00486CA2"/>
    <w:rsid w:val="00487709"/>
    <w:rsid w:val="004903D8"/>
    <w:rsid w:val="00490769"/>
    <w:rsid w:val="004909B7"/>
    <w:rsid w:val="00490A2A"/>
    <w:rsid w:val="00490B25"/>
    <w:rsid w:val="00490BD0"/>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409"/>
    <w:rsid w:val="004967B4"/>
    <w:rsid w:val="004967B5"/>
    <w:rsid w:val="004968A7"/>
    <w:rsid w:val="004968EE"/>
    <w:rsid w:val="00496ED4"/>
    <w:rsid w:val="00497181"/>
    <w:rsid w:val="00497D4A"/>
    <w:rsid w:val="004A0441"/>
    <w:rsid w:val="004A070C"/>
    <w:rsid w:val="004A084C"/>
    <w:rsid w:val="004A0C3F"/>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A31"/>
    <w:rsid w:val="004A7C14"/>
    <w:rsid w:val="004B05EE"/>
    <w:rsid w:val="004B1090"/>
    <w:rsid w:val="004B12FD"/>
    <w:rsid w:val="004B15AB"/>
    <w:rsid w:val="004B16C7"/>
    <w:rsid w:val="004B180D"/>
    <w:rsid w:val="004B1916"/>
    <w:rsid w:val="004B1C15"/>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0E0B"/>
    <w:rsid w:val="004C1577"/>
    <w:rsid w:val="004C16A9"/>
    <w:rsid w:val="004C19CA"/>
    <w:rsid w:val="004C1C4E"/>
    <w:rsid w:val="004C20F9"/>
    <w:rsid w:val="004C2107"/>
    <w:rsid w:val="004C262F"/>
    <w:rsid w:val="004C27B9"/>
    <w:rsid w:val="004C2A76"/>
    <w:rsid w:val="004C2B9A"/>
    <w:rsid w:val="004C369D"/>
    <w:rsid w:val="004C36AC"/>
    <w:rsid w:val="004C4272"/>
    <w:rsid w:val="004C44C1"/>
    <w:rsid w:val="004C464D"/>
    <w:rsid w:val="004C4C57"/>
    <w:rsid w:val="004C55FE"/>
    <w:rsid w:val="004C57B9"/>
    <w:rsid w:val="004C5BDA"/>
    <w:rsid w:val="004C5FC6"/>
    <w:rsid w:val="004C60DD"/>
    <w:rsid w:val="004C6435"/>
    <w:rsid w:val="004C649B"/>
    <w:rsid w:val="004C6FFB"/>
    <w:rsid w:val="004C752A"/>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7EF"/>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592"/>
    <w:rsid w:val="004E4817"/>
    <w:rsid w:val="004E4C40"/>
    <w:rsid w:val="004E4C7E"/>
    <w:rsid w:val="004E50C0"/>
    <w:rsid w:val="004E50F0"/>
    <w:rsid w:val="004E5668"/>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44A"/>
    <w:rsid w:val="005045D3"/>
    <w:rsid w:val="00504C0C"/>
    <w:rsid w:val="00504C67"/>
    <w:rsid w:val="00504E48"/>
    <w:rsid w:val="0050514D"/>
    <w:rsid w:val="00505B2D"/>
    <w:rsid w:val="00505CBE"/>
    <w:rsid w:val="00506594"/>
    <w:rsid w:val="00506FDD"/>
    <w:rsid w:val="005070FF"/>
    <w:rsid w:val="00507719"/>
    <w:rsid w:val="00507722"/>
    <w:rsid w:val="00507D95"/>
    <w:rsid w:val="00510589"/>
    <w:rsid w:val="005111E7"/>
    <w:rsid w:val="0051122D"/>
    <w:rsid w:val="005112F9"/>
    <w:rsid w:val="005119F2"/>
    <w:rsid w:val="0051287B"/>
    <w:rsid w:val="00512895"/>
    <w:rsid w:val="00512BBC"/>
    <w:rsid w:val="00513176"/>
    <w:rsid w:val="00513197"/>
    <w:rsid w:val="005133DB"/>
    <w:rsid w:val="005134FB"/>
    <w:rsid w:val="005135FD"/>
    <w:rsid w:val="0051366C"/>
    <w:rsid w:val="00513A45"/>
    <w:rsid w:val="005140C5"/>
    <w:rsid w:val="005142B9"/>
    <w:rsid w:val="005146CC"/>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3846"/>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79C"/>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BE7"/>
    <w:rsid w:val="00540E47"/>
    <w:rsid w:val="00541088"/>
    <w:rsid w:val="0054110E"/>
    <w:rsid w:val="00541177"/>
    <w:rsid w:val="005414B1"/>
    <w:rsid w:val="00541578"/>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87E"/>
    <w:rsid w:val="005529FB"/>
    <w:rsid w:val="00552C22"/>
    <w:rsid w:val="00552D21"/>
    <w:rsid w:val="005531FD"/>
    <w:rsid w:val="005538F7"/>
    <w:rsid w:val="00553946"/>
    <w:rsid w:val="00553A44"/>
    <w:rsid w:val="00554A44"/>
    <w:rsid w:val="00554B14"/>
    <w:rsid w:val="00554C53"/>
    <w:rsid w:val="00554E7C"/>
    <w:rsid w:val="00554F18"/>
    <w:rsid w:val="00555220"/>
    <w:rsid w:val="005555F0"/>
    <w:rsid w:val="00555739"/>
    <w:rsid w:val="005567E5"/>
    <w:rsid w:val="00556E75"/>
    <w:rsid w:val="00557134"/>
    <w:rsid w:val="0055740D"/>
    <w:rsid w:val="005602FA"/>
    <w:rsid w:val="0056069A"/>
    <w:rsid w:val="00560887"/>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4DC4"/>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692"/>
    <w:rsid w:val="005C17A4"/>
    <w:rsid w:val="005C19A8"/>
    <w:rsid w:val="005C1B22"/>
    <w:rsid w:val="005C1E8A"/>
    <w:rsid w:val="005C27CC"/>
    <w:rsid w:val="005C3455"/>
    <w:rsid w:val="005C35EE"/>
    <w:rsid w:val="005C370D"/>
    <w:rsid w:val="005C3A35"/>
    <w:rsid w:val="005C3ABF"/>
    <w:rsid w:val="005C43B4"/>
    <w:rsid w:val="005C47C0"/>
    <w:rsid w:val="005C4882"/>
    <w:rsid w:val="005C498E"/>
    <w:rsid w:val="005C504E"/>
    <w:rsid w:val="005C5655"/>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15"/>
    <w:rsid w:val="005D2632"/>
    <w:rsid w:val="005D2654"/>
    <w:rsid w:val="005D28BD"/>
    <w:rsid w:val="005D31FF"/>
    <w:rsid w:val="005D3392"/>
    <w:rsid w:val="005D38E0"/>
    <w:rsid w:val="005D39D5"/>
    <w:rsid w:val="005D3CA2"/>
    <w:rsid w:val="005D3D4D"/>
    <w:rsid w:val="005D3F32"/>
    <w:rsid w:val="005D436C"/>
    <w:rsid w:val="005D4DD7"/>
    <w:rsid w:val="005D4E3E"/>
    <w:rsid w:val="005D4FFF"/>
    <w:rsid w:val="005D553B"/>
    <w:rsid w:val="005D554F"/>
    <w:rsid w:val="005D571F"/>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0F2"/>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429"/>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9AB"/>
    <w:rsid w:val="00611A75"/>
    <w:rsid w:val="00611F9F"/>
    <w:rsid w:val="00612262"/>
    <w:rsid w:val="006123C6"/>
    <w:rsid w:val="006124DE"/>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225"/>
    <w:rsid w:val="006226A4"/>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4DE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9F1"/>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1FCD"/>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47FE5"/>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81F"/>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9CD"/>
    <w:rsid w:val="00657FDD"/>
    <w:rsid w:val="006603A9"/>
    <w:rsid w:val="00660897"/>
    <w:rsid w:val="00660A31"/>
    <w:rsid w:val="00661028"/>
    <w:rsid w:val="006610E5"/>
    <w:rsid w:val="006617BD"/>
    <w:rsid w:val="006618A3"/>
    <w:rsid w:val="0066194D"/>
    <w:rsid w:val="006621D9"/>
    <w:rsid w:val="0066259F"/>
    <w:rsid w:val="006625C9"/>
    <w:rsid w:val="00662773"/>
    <w:rsid w:val="0066296D"/>
    <w:rsid w:val="00662AF9"/>
    <w:rsid w:val="006630DB"/>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5CEF"/>
    <w:rsid w:val="0066630C"/>
    <w:rsid w:val="006665F3"/>
    <w:rsid w:val="00666BBE"/>
    <w:rsid w:val="00666C5A"/>
    <w:rsid w:val="00667271"/>
    <w:rsid w:val="00667405"/>
    <w:rsid w:val="00667543"/>
    <w:rsid w:val="00667874"/>
    <w:rsid w:val="0066790C"/>
    <w:rsid w:val="00667BBD"/>
    <w:rsid w:val="00667D9C"/>
    <w:rsid w:val="00667E6E"/>
    <w:rsid w:val="00670A51"/>
    <w:rsid w:val="00670A57"/>
    <w:rsid w:val="00670AAE"/>
    <w:rsid w:val="00670BAB"/>
    <w:rsid w:val="00670E07"/>
    <w:rsid w:val="00670F01"/>
    <w:rsid w:val="00671149"/>
    <w:rsid w:val="00671615"/>
    <w:rsid w:val="0067161D"/>
    <w:rsid w:val="00671741"/>
    <w:rsid w:val="00671766"/>
    <w:rsid w:val="0067228D"/>
    <w:rsid w:val="00672375"/>
    <w:rsid w:val="00672914"/>
    <w:rsid w:val="00672C1A"/>
    <w:rsid w:val="00672E05"/>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3A8"/>
    <w:rsid w:val="00694991"/>
    <w:rsid w:val="00694ACB"/>
    <w:rsid w:val="00694C4F"/>
    <w:rsid w:val="00695043"/>
    <w:rsid w:val="00695100"/>
    <w:rsid w:val="006957B2"/>
    <w:rsid w:val="0069587D"/>
    <w:rsid w:val="00696566"/>
    <w:rsid w:val="006966BA"/>
    <w:rsid w:val="006966F9"/>
    <w:rsid w:val="0069722D"/>
    <w:rsid w:val="00697972"/>
    <w:rsid w:val="006A0052"/>
    <w:rsid w:val="006A0A9E"/>
    <w:rsid w:val="006A1517"/>
    <w:rsid w:val="006A160B"/>
    <w:rsid w:val="006A1F1C"/>
    <w:rsid w:val="006A242B"/>
    <w:rsid w:val="006A2486"/>
    <w:rsid w:val="006A2DDE"/>
    <w:rsid w:val="006A30FE"/>
    <w:rsid w:val="006A3263"/>
    <w:rsid w:val="006A3836"/>
    <w:rsid w:val="006A3B52"/>
    <w:rsid w:val="006A3CD5"/>
    <w:rsid w:val="006A3DD3"/>
    <w:rsid w:val="006A420C"/>
    <w:rsid w:val="006A43C5"/>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4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5DE"/>
    <w:rsid w:val="006B78E7"/>
    <w:rsid w:val="006B7DF0"/>
    <w:rsid w:val="006B7E74"/>
    <w:rsid w:val="006B7F6A"/>
    <w:rsid w:val="006B7FAE"/>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0B1"/>
    <w:rsid w:val="006D628F"/>
    <w:rsid w:val="006D63E4"/>
    <w:rsid w:val="006D63FD"/>
    <w:rsid w:val="006D65B4"/>
    <w:rsid w:val="006D6F8B"/>
    <w:rsid w:val="006D754A"/>
    <w:rsid w:val="006D754F"/>
    <w:rsid w:val="006D76AB"/>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54CD"/>
    <w:rsid w:val="006E5613"/>
    <w:rsid w:val="006E586E"/>
    <w:rsid w:val="006E58A3"/>
    <w:rsid w:val="006E5DDD"/>
    <w:rsid w:val="006E5EE2"/>
    <w:rsid w:val="006E6D0C"/>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2A47"/>
    <w:rsid w:val="006F3650"/>
    <w:rsid w:val="006F37F7"/>
    <w:rsid w:val="006F385A"/>
    <w:rsid w:val="006F40E9"/>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8BA"/>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5C5"/>
    <w:rsid w:val="007107DF"/>
    <w:rsid w:val="00710A59"/>
    <w:rsid w:val="00710D43"/>
    <w:rsid w:val="00710E30"/>
    <w:rsid w:val="00710FDE"/>
    <w:rsid w:val="00711261"/>
    <w:rsid w:val="0071127B"/>
    <w:rsid w:val="007112AE"/>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4EA2"/>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2129"/>
    <w:rsid w:val="00722197"/>
    <w:rsid w:val="00722829"/>
    <w:rsid w:val="00722981"/>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2CB1"/>
    <w:rsid w:val="00743F52"/>
    <w:rsid w:val="007445E2"/>
    <w:rsid w:val="00744927"/>
    <w:rsid w:val="00744CC3"/>
    <w:rsid w:val="00744FBE"/>
    <w:rsid w:val="0074509C"/>
    <w:rsid w:val="00745496"/>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D2D"/>
    <w:rsid w:val="00755FC8"/>
    <w:rsid w:val="0075618F"/>
    <w:rsid w:val="00756551"/>
    <w:rsid w:val="0075680E"/>
    <w:rsid w:val="00756B63"/>
    <w:rsid w:val="00757021"/>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9F1"/>
    <w:rsid w:val="00763AE2"/>
    <w:rsid w:val="00763B2D"/>
    <w:rsid w:val="00763B65"/>
    <w:rsid w:val="00763FA6"/>
    <w:rsid w:val="00764173"/>
    <w:rsid w:val="007641D6"/>
    <w:rsid w:val="0076467D"/>
    <w:rsid w:val="00764A03"/>
    <w:rsid w:val="00764B33"/>
    <w:rsid w:val="00764B4C"/>
    <w:rsid w:val="00764CB3"/>
    <w:rsid w:val="00764FA9"/>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DE2"/>
    <w:rsid w:val="00774EC8"/>
    <w:rsid w:val="00775064"/>
    <w:rsid w:val="00775116"/>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B1E"/>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3BC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51E8"/>
    <w:rsid w:val="007C544B"/>
    <w:rsid w:val="007C5C43"/>
    <w:rsid w:val="007C5EB9"/>
    <w:rsid w:val="007C6C07"/>
    <w:rsid w:val="007C7046"/>
    <w:rsid w:val="007C7449"/>
    <w:rsid w:val="007C7994"/>
    <w:rsid w:val="007C7EA5"/>
    <w:rsid w:val="007D0262"/>
    <w:rsid w:val="007D0BF0"/>
    <w:rsid w:val="007D0EFC"/>
    <w:rsid w:val="007D1014"/>
    <w:rsid w:val="007D1129"/>
    <w:rsid w:val="007D1A95"/>
    <w:rsid w:val="007D1BEF"/>
    <w:rsid w:val="007D2009"/>
    <w:rsid w:val="007D2192"/>
    <w:rsid w:val="007D23F2"/>
    <w:rsid w:val="007D245E"/>
    <w:rsid w:val="007D2B23"/>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A7A"/>
    <w:rsid w:val="007E5C4A"/>
    <w:rsid w:val="007E5D8E"/>
    <w:rsid w:val="007E608B"/>
    <w:rsid w:val="007E6699"/>
    <w:rsid w:val="007E66BF"/>
    <w:rsid w:val="007E6915"/>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CAA"/>
    <w:rsid w:val="007F3F71"/>
    <w:rsid w:val="007F4224"/>
    <w:rsid w:val="007F4CE5"/>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6D"/>
    <w:rsid w:val="00802F89"/>
    <w:rsid w:val="0080311B"/>
    <w:rsid w:val="0080319C"/>
    <w:rsid w:val="008034CE"/>
    <w:rsid w:val="00804210"/>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72A"/>
    <w:rsid w:val="008159B4"/>
    <w:rsid w:val="00815BDF"/>
    <w:rsid w:val="00815C18"/>
    <w:rsid w:val="00815FEF"/>
    <w:rsid w:val="0081631B"/>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10"/>
    <w:rsid w:val="008234EF"/>
    <w:rsid w:val="0082366E"/>
    <w:rsid w:val="008237BC"/>
    <w:rsid w:val="00823AB5"/>
    <w:rsid w:val="008249AD"/>
    <w:rsid w:val="00824AEF"/>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BBE"/>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BE2"/>
    <w:rsid w:val="00850C3B"/>
    <w:rsid w:val="00851067"/>
    <w:rsid w:val="008510D0"/>
    <w:rsid w:val="0085144A"/>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0CD"/>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5F1D"/>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7E0"/>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38DF"/>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BA8"/>
    <w:rsid w:val="008A0E9D"/>
    <w:rsid w:val="008A109A"/>
    <w:rsid w:val="008A1218"/>
    <w:rsid w:val="008A14D2"/>
    <w:rsid w:val="008A157E"/>
    <w:rsid w:val="008A15B6"/>
    <w:rsid w:val="008A188B"/>
    <w:rsid w:val="008A18F3"/>
    <w:rsid w:val="008A1A6E"/>
    <w:rsid w:val="008A1C70"/>
    <w:rsid w:val="008A1CE1"/>
    <w:rsid w:val="008A202A"/>
    <w:rsid w:val="008A21E1"/>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45CD"/>
    <w:rsid w:val="008D4B81"/>
    <w:rsid w:val="008D5081"/>
    <w:rsid w:val="008D5385"/>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2355"/>
    <w:rsid w:val="008E3151"/>
    <w:rsid w:val="008E3283"/>
    <w:rsid w:val="008E3322"/>
    <w:rsid w:val="008E3386"/>
    <w:rsid w:val="008E3723"/>
    <w:rsid w:val="008E3A17"/>
    <w:rsid w:val="008E3CAA"/>
    <w:rsid w:val="008E3F3A"/>
    <w:rsid w:val="008E430A"/>
    <w:rsid w:val="008E4C24"/>
    <w:rsid w:val="008E5410"/>
    <w:rsid w:val="008E5A3F"/>
    <w:rsid w:val="008E5B56"/>
    <w:rsid w:val="008E6B34"/>
    <w:rsid w:val="008E7209"/>
    <w:rsid w:val="008E7448"/>
    <w:rsid w:val="008E74EB"/>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0EB"/>
    <w:rsid w:val="0090167B"/>
    <w:rsid w:val="00901C47"/>
    <w:rsid w:val="00901EF2"/>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92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733"/>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2C"/>
    <w:rsid w:val="00954596"/>
    <w:rsid w:val="009545A6"/>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615"/>
    <w:rsid w:val="009748E4"/>
    <w:rsid w:val="00974D3C"/>
    <w:rsid w:val="00974FC9"/>
    <w:rsid w:val="0097522F"/>
    <w:rsid w:val="00975335"/>
    <w:rsid w:val="00975DC0"/>
    <w:rsid w:val="00975EC7"/>
    <w:rsid w:val="00976D65"/>
    <w:rsid w:val="00977554"/>
    <w:rsid w:val="00977722"/>
    <w:rsid w:val="00977733"/>
    <w:rsid w:val="00977998"/>
    <w:rsid w:val="00977CE6"/>
    <w:rsid w:val="0098016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DF2"/>
    <w:rsid w:val="0098433A"/>
    <w:rsid w:val="00984411"/>
    <w:rsid w:val="009844B4"/>
    <w:rsid w:val="0098463A"/>
    <w:rsid w:val="00984692"/>
    <w:rsid w:val="00984AAE"/>
    <w:rsid w:val="00984CB6"/>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BFD"/>
    <w:rsid w:val="00990CF5"/>
    <w:rsid w:val="009913F3"/>
    <w:rsid w:val="00991462"/>
    <w:rsid w:val="00991D0E"/>
    <w:rsid w:val="00991DA1"/>
    <w:rsid w:val="00991DED"/>
    <w:rsid w:val="0099259B"/>
    <w:rsid w:val="009927F1"/>
    <w:rsid w:val="009928E7"/>
    <w:rsid w:val="009929B8"/>
    <w:rsid w:val="00992F48"/>
    <w:rsid w:val="00993604"/>
    <w:rsid w:val="0099360B"/>
    <w:rsid w:val="009936C4"/>
    <w:rsid w:val="0099400F"/>
    <w:rsid w:val="0099405B"/>
    <w:rsid w:val="009947EE"/>
    <w:rsid w:val="009948ED"/>
    <w:rsid w:val="00994C9F"/>
    <w:rsid w:val="0099521B"/>
    <w:rsid w:val="00995ADA"/>
    <w:rsid w:val="00995B99"/>
    <w:rsid w:val="009962A9"/>
    <w:rsid w:val="0099643A"/>
    <w:rsid w:val="00996742"/>
    <w:rsid w:val="00997959"/>
    <w:rsid w:val="00997BA5"/>
    <w:rsid w:val="009A034B"/>
    <w:rsid w:val="009A0933"/>
    <w:rsid w:val="009A0BAF"/>
    <w:rsid w:val="009A0C70"/>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09A"/>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C6EA5"/>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AAF"/>
    <w:rsid w:val="009F1E4D"/>
    <w:rsid w:val="009F27A3"/>
    <w:rsid w:val="009F28A4"/>
    <w:rsid w:val="009F346F"/>
    <w:rsid w:val="009F3D0B"/>
    <w:rsid w:val="009F41F2"/>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828"/>
    <w:rsid w:val="00A12979"/>
    <w:rsid w:val="00A130A5"/>
    <w:rsid w:val="00A131A9"/>
    <w:rsid w:val="00A13618"/>
    <w:rsid w:val="00A137F5"/>
    <w:rsid w:val="00A13BBF"/>
    <w:rsid w:val="00A141C5"/>
    <w:rsid w:val="00A14304"/>
    <w:rsid w:val="00A1453D"/>
    <w:rsid w:val="00A1496B"/>
    <w:rsid w:val="00A1496E"/>
    <w:rsid w:val="00A14F84"/>
    <w:rsid w:val="00A159E5"/>
    <w:rsid w:val="00A16059"/>
    <w:rsid w:val="00A16116"/>
    <w:rsid w:val="00A167C5"/>
    <w:rsid w:val="00A16A4B"/>
    <w:rsid w:val="00A16AFE"/>
    <w:rsid w:val="00A16D6D"/>
    <w:rsid w:val="00A16F66"/>
    <w:rsid w:val="00A172FF"/>
    <w:rsid w:val="00A1740A"/>
    <w:rsid w:val="00A17759"/>
    <w:rsid w:val="00A17806"/>
    <w:rsid w:val="00A17C75"/>
    <w:rsid w:val="00A17E43"/>
    <w:rsid w:val="00A201F8"/>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D1"/>
    <w:rsid w:val="00A24B93"/>
    <w:rsid w:val="00A24CD3"/>
    <w:rsid w:val="00A24D86"/>
    <w:rsid w:val="00A24DF2"/>
    <w:rsid w:val="00A25145"/>
    <w:rsid w:val="00A25461"/>
    <w:rsid w:val="00A2595D"/>
    <w:rsid w:val="00A25D6F"/>
    <w:rsid w:val="00A26367"/>
    <w:rsid w:val="00A2678A"/>
    <w:rsid w:val="00A268BF"/>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09D"/>
    <w:rsid w:val="00A31289"/>
    <w:rsid w:val="00A31C04"/>
    <w:rsid w:val="00A32369"/>
    <w:rsid w:val="00A32A0F"/>
    <w:rsid w:val="00A32AEA"/>
    <w:rsid w:val="00A32B22"/>
    <w:rsid w:val="00A32F32"/>
    <w:rsid w:val="00A33B9A"/>
    <w:rsid w:val="00A33E80"/>
    <w:rsid w:val="00A33EB4"/>
    <w:rsid w:val="00A33EFE"/>
    <w:rsid w:val="00A34D2D"/>
    <w:rsid w:val="00A36075"/>
    <w:rsid w:val="00A36A8E"/>
    <w:rsid w:val="00A36FC3"/>
    <w:rsid w:val="00A372F0"/>
    <w:rsid w:val="00A3769B"/>
    <w:rsid w:val="00A379ED"/>
    <w:rsid w:val="00A37C9E"/>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145"/>
    <w:rsid w:val="00A452F5"/>
    <w:rsid w:val="00A454F8"/>
    <w:rsid w:val="00A457FF"/>
    <w:rsid w:val="00A45BA0"/>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671"/>
    <w:rsid w:val="00A84CD1"/>
    <w:rsid w:val="00A85085"/>
    <w:rsid w:val="00A855D2"/>
    <w:rsid w:val="00A856B1"/>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2BA"/>
    <w:rsid w:val="00AA08E8"/>
    <w:rsid w:val="00AA0DB4"/>
    <w:rsid w:val="00AA0F52"/>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990"/>
    <w:rsid w:val="00AC0D58"/>
    <w:rsid w:val="00AC107B"/>
    <w:rsid w:val="00AC10D7"/>
    <w:rsid w:val="00AC1D10"/>
    <w:rsid w:val="00AC1DA5"/>
    <w:rsid w:val="00AC1EA1"/>
    <w:rsid w:val="00AC1F13"/>
    <w:rsid w:val="00AC1FE5"/>
    <w:rsid w:val="00AC216B"/>
    <w:rsid w:val="00AC26B1"/>
    <w:rsid w:val="00AC29E4"/>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F"/>
    <w:rsid w:val="00AD2B03"/>
    <w:rsid w:val="00AD2E07"/>
    <w:rsid w:val="00AD3057"/>
    <w:rsid w:val="00AD3583"/>
    <w:rsid w:val="00AD38A9"/>
    <w:rsid w:val="00AD4071"/>
    <w:rsid w:val="00AD41A0"/>
    <w:rsid w:val="00AD44EA"/>
    <w:rsid w:val="00AD44ED"/>
    <w:rsid w:val="00AD4782"/>
    <w:rsid w:val="00AD4899"/>
    <w:rsid w:val="00AD4AAC"/>
    <w:rsid w:val="00AD5236"/>
    <w:rsid w:val="00AD527D"/>
    <w:rsid w:val="00AD534A"/>
    <w:rsid w:val="00AD5476"/>
    <w:rsid w:val="00AD54E0"/>
    <w:rsid w:val="00AD55C0"/>
    <w:rsid w:val="00AD5877"/>
    <w:rsid w:val="00AD5881"/>
    <w:rsid w:val="00AD5886"/>
    <w:rsid w:val="00AD5F77"/>
    <w:rsid w:val="00AD5FD2"/>
    <w:rsid w:val="00AD6550"/>
    <w:rsid w:val="00AD758E"/>
    <w:rsid w:val="00AD7AB5"/>
    <w:rsid w:val="00AE07F0"/>
    <w:rsid w:val="00AE08B7"/>
    <w:rsid w:val="00AE0A2B"/>
    <w:rsid w:val="00AE0DBA"/>
    <w:rsid w:val="00AE0F88"/>
    <w:rsid w:val="00AE0FB1"/>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31"/>
    <w:rsid w:val="00AF17AC"/>
    <w:rsid w:val="00AF2375"/>
    <w:rsid w:val="00AF272B"/>
    <w:rsid w:val="00AF283B"/>
    <w:rsid w:val="00AF2854"/>
    <w:rsid w:val="00AF2B70"/>
    <w:rsid w:val="00AF2EC7"/>
    <w:rsid w:val="00AF3AC0"/>
    <w:rsid w:val="00AF3D6E"/>
    <w:rsid w:val="00AF4345"/>
    <w:rsid w:val="00AF4F4A"/>
    <w:rsid w:val="00AF4FA9"/>
    <w:rsid w:val="00AF5342"/>
    <w:rsid w:val="00AF55C2"/>
    <w:rsid w:val="00AF5626"/>
    <w:rsid w:val="00AF5885"/>
    <w:rsid w:val="00AF60E9"/>
    <w:rsid w:val="00AF6105"/>
    <w:rsid w:val="00AF66AB"/>
    <w:rsid w:val="00AF6D67"/>
    <w:rsid w:val="00AF70A2"/>
    <w:rsid w:val="00AF7301"/>
    <w:rsid w:val="00AF759E"/>
    <w:rsid w:val="00AF7D79"/>
    <w:rsid w:val="00AF7DE5"/>
    <w:rsid w:val="00B00598"/>
    <w:rsid w:val="00B00C24"/>
    <w:rsid w:val="00B00F38"/>
    <w:rsid w:val="00B00F93"/>
    <w:rsid w:val="00B011FE"/>
    <w:rsid w:val="00B017AA"/>
    <w:rsid w:val="00B01AE5"/>
    <w:rsid w:val="00B01BBE"/>
    <w:rsid w:val="00B02185"/>
    <w:rsid w:val="00B022A6"/>
    <w:rsid w:val="00B0316A"/>
    <w:rsid w:val="00B03182"/>
    <w:rsid w:val="00B033D0"/>
    <w:rsid w:val="00B03F92"/>
    <w:rsid w:val="00B043F7"/>
    <w:rsid w:val="00B04948"/>
    <w:rsid w:val="00B04EE5"/>
    <w:rsid w:val="00B05135"/>
    <w:rsid w:val="00B055D8"/>
    <w:rsid w:val="00B05B21"/>
    <w:rsid w:val="00B05F25"/>
    <w:rsid w:val="00B065B8"/>
    <w:rsid w:val="00B066CC"/>
    <w:rsid w:val="00B06CC0"/>
    <w:rsid w:val="00B06CD6"/>
    <w:rsid w:val="00B06DB5"/>
    <w:rsid w:val="00B06DBD"/>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E21"/>
    <w:rsid w:val="00B23422"/>
    <w:rsid w:val="00B23441"/>
    <w:rsid w:val="00B234E8"/>
    <w:rsid w:val="00B23A71"/>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7FA"/>
    <w:rsid w:val="00B518A3"/>
    <w:rsid w:val="00B51926"/>
    <w:rsid w:val="00B51DB3"/>
    <w:rsid w:val="00B51E77"/>
    <w:rsid w:val="00B51F9A"/>
    <w:rsid w:val="00B52536"/>
    <w:rsid w:val="00B52939"/>
    <w:rsid w:val="00B529A1"/>
    <w:rsid w:val="00B52ACD"/>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6E77"/>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94F"/>
    <w:rsid w:val="00B72A3B"/>
    <w:rsid w:val="00B731AB"/>
    <w:rsid w:val="00B732B6"/>
    <w:rsid w:val="00B732F4"/>
    <w:rsid w:val="00B734C2"/>
    <w:rsid w:val="00B735F2"/>
    <w:rsid w:val="00B73BDA"/>
    <w:rsid w:val="00B73DD2"/>
    <w:rsid w:val="00B74053"/>
    <w:rsid w:val="00B740B2"/>
    <w:rsid w:val="00B7482A"/>
    <w:rsid w:val="00B748DD"/>
    <w:rsid w:val="00B75E26"/>
    <w:rsid w:val="00B765A0"/>
    <w:rsid w:val="00B76963"/>
    <w:rsid w:val="00B76C02"/>
    <w:rsid w:val="00B76CAA"/>
    <w:rsid w:val="00B77AD0"/>
    <w:rsid w:val="00B77BD2"/>
    <w:rsid w:val="00B80A2A"/>
    <w:rsid w:val="00B814CB"/>
    <w:rsid w:val="00B81B6A"/>
    <w:rsid w:val="00B8200F"/>
    <w:rsid w:val="00B820F4"/>
    <w:rsid w:val="00B826D1"/>
    <w:rsid w:val="00B82C2F"/>
    <w:rsid w:val="00B8305B"/>
    <w:rsid w:val="00B831C6"/>
    <w:rsid w:val="00B835E0"/>
    <w:rsid w:val="00B8382C"/>
    <w:rsid w:val="00B8396D"/>
    <w:rsid w:val="00B840E7"/>
    <w:rsid w:val="00B84BB0"/>
    <w:rsid w:val="00B8508E"/>
    <w:rsid w:val="00B85839"/>
    <w:rsid w:val="00B85B1B"/>
    <w:rsid w:val="00B85BED"/>
    <w:rsid w:val="00B87186"/>
    <w:rsid w:val="00B90331"/>
    <w:rsid w:val="00B903ED"/>
    <w:rsid w:val="00B90A80"/>
    <w:rsid w:val="00B90B2D"/>
    <w:rsid w:val="00B91245"/>
    <w:rsid w:val="00B91439"/>
    <w:rsid w:val="00B9165A"/>
    <w:rsid w:val="00B91919"/>
    <w:rsid w:val="00B9218B"/>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E5"/>
    <w:rsid w:val="00BA156C"/>
    <w:rsid w:val="00BA27F4"/>
    <w:rsid w:val="00BA2940"/>
    <w:rsid w:val="00BA2AEA"/>
    <w:rsid w:val="00BA2C00"/>
    <w:rsid w:val="00BA2E40"/>
    <w:rsid w:val="00BA3022"/>
    <w:rsid w:val="00BA3A5E"/>
    <w:rsid w:val="00BA3CB7"/>
    <w:rsid w:val="00BA41DE"/>
    <w:rsid w:val="00BA46E6"/>
    <w:rsid w:val="00BA4E91"/>
    <w:rsid w:val="00BA4F29"/>
    <w:rsid w:val="00BA506D"/>
    <w:rsid w:val="00BA526C"/>
    <w:rsid w:val="00BA556C"/>
    <w:rsid w:val="00BA5E1A"/>
    <w:rsid w:val="00BA64A7"/>
    <w:rsid w:val="00BA6558"/>
    <w:rsid w:val="00BA78B1"/>
    <w:rsid w:val="00BA7F1A"/>
    <w:rsid w:val="00BB0986"/>
    <w:rsid w:val="00BB0DC0"/>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2EF7"/>
    <w:rsid w:val="00BB3167"/>
    <w:rsid w:val="00BB3322"/>
    <w:rsid w:val="00BB34A9"/>
    <w:rsid w:val="00BB34D9"/>
    <w:rsid w:val="00BB4198"/>
    <w:rsid w:val="00BB452B"/>
    <w:rsid w:val="00BB4645"/>
    <w:rsid w:val="00BB47BE"/>
    <w:rsid w:val="00BB4992"/>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07"/>
    <w:rsid w:val="00BC584C"/>
    <w:rsid w:val="00BC5ED6"/>
    <w:rsid w:val="00BC63A5"/>
    <w:rsid w:val="00BC68AF"/>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B8A"/>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09C"/>
    <w:rsid w:val="00C03C78"/>
    <w:rsid w:val="00C048EE"/>
    <w:rsid w:val="00C04FD3"/>
    <w:rsid w:val="00C0573E"/>
    <w:rsid w:val="00C057B3"/>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49"/>
    <w:rsid w:val="00C16BE0"/>
    <w:rsid w:val="00C16D70"/>
    <w:rsid w:val="00C16F50"/>
    <w:rsid w:val="00C17056"/>
    <w:rsid w:val="00C17769"/>
    <w:rsid w:val="00C200F0"/>
    <w:rsid w:val="00C201AF"/>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779"/>
    <w:rsid w:val="00C419AD"/>
    <w:rsid w:val="00C41B5F"/>
    <w:rsid w:val="00C41D3E"/>
    <w:rsid w:val="00C41F55"/>
    <w:rsid w:val="00C41FFA"/>
    <w:rsid w:val="00C42164"/>
    <w:rsid w:val="00C42767"/>
    <w:rsid w:val="00C42BBC"/>
    <w:rsid w:val="00C42CDB"/>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146"/>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157"/>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285"/>
    <w:rsid w:val="00C665B9"/>
    <w:rsid w:val="00C66686"/>
    <w:rsid w:val="00C66995"/>
    <w:rsid w:val="00C6753F"/>
    <w:rsid w:val="00C678C4"/>
    <w:rsid w:val="00C67B32"/>
    <w:rsid w:val="00C709BD"/>
    <w:rsid w:val="00C70CAA"/>
    <w:rsid w:val="00C71215"/>
    <w:rsid w:val="00C713C5"/>
    <w:rsid w:val="00C72011"/>
    <w:rsid w:val="00C7216B"/>
    <w:rsid w:val="00C727BE"/>
    <w:rsid w:val="00C732A9"/>
    <w:rsid w:val="00C73448"/>
    <w:rsid w:val="00C7393F"/>
    <w:rsid w:val="00C73AFC"/>
    <w:rsid w:val="00C73BA0"/>
    <w:rsid w:val="00C73E2E"/>
    <w:rsid w:val="00C74546"/>
    <w:rsid w:val="00C746DB"/>
    <w:rsid w:val="00C747AC"/>
    <w:rsid w:val="00C748E2"/>
    <w:rsid w:val="00C75050"/>
    <w:rsid w:val="00C751C1"/>
    <w:rsid w:val="00C76146"/>
    <w:rsid w:val="00C76262"/>
    <w:rsid w:val="00C76313"/>
    <w:rsid w:val="00C767BA"/>
    <w:rsid w:val="00C7686D"/>
    <w:rsid w:val="00C76B20"/>
    <w:rsid w:val="00C76E3C"/>
    <w:rsid w:val="00C773B6"/>
    <w:rsid w:val="00C7776C"/>
    <w:rsid w:val="00C77882"/>
    <w:rsid w:val="00C77CA8"/>
    <w:rsid w:val="00C801EC"/>
    <w:rsid w:val="00C80883"/>
    <w:rsid w:val="00C80A55"/>
    <w:rsid w:val="00C81AD8"/>
    <w:rsid w:val="00C81CBF"/>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367"/>
    <w:rsid w:val="00C87B3F"/>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0F4"/>
    <w:rsid w:val="00CA0190"/>
    <w:rsid w:val="00CA0835"/>
    <w:rsid w:val="00CA0B2E"/>
    <w:rsid w:val="00CA0D60"/>
    <w:rsid w:val="00CA108C"/>
    <w:rsid w:val="00CA1636"/>
    <w:rsid w:val="00CA18A7"/>
    <w:rsid w:val="00CA18CA"/>
    <w:rsid w:val="00CA1AF1"/>
    <w:rsid w:val="00CA2557"/>
    <w:rsid w:val="00CA2B55"/>
    <w:rsid w:val="00CA2B59"/>
    <w:rsid w:val="00CA3269"/>
    <w:rsid w:val="00CA346E"/>
    <w:rsid w:val="00CA3820"/>
    <w:rsid w:val="00CA3850"/>
    <w:rsid w:val="00CA4114"/>
    <w:rsid w:val="00CA4348"/>
    <w:rsid w:val="00CA5413"/>
    <w:rsid w:val="00CA5674"/>
    <w:rsid w:val="00CA572C"/>
    <w:rsid w:val="00CA5BDA"/>
    <w:rsid w:val="00CA5C1A"/>
    <w:rsid w:val="00CA5CD9"/>
    <w:rsid w:val="00CA5CDF"/>
    <w:rsid w:val="00CA633F"/>
    <w:rsid w:val="00CA641E"/>
    <w:rsid w:val="00CA6690"/>
    <w:rsid w:val="00CA6B1B"/>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78A"/>
    <w:rsid w:val="00CB7813"/>
    <w:rsid w:val="00CB7866"/>
    <w:rsid w:val="00CB7C18"/>
    <w:rsid w:val="00CC065F"/>
    <w:rsid w:val="00CC06FA"/>
    <w:rsid w:val="00CC0815"/>
    <w:rsid w:val="00CC0D9F"/>
    <w:rsid w:val="00CC10CA"/>
    <w:rsid w:val="00CC135B"/>
    <w:rsid w:val="00CC14A5"/>
    <w:rsid w:val="00CC152E"/>
    <w:rsid w:val="00CC1C98"/>
    <w:rsid w:val="00CC23AF"/>
    <w:rsid w:val="00CC2493"/>
    <w:rsid w:val="00CC29CD"/>
    <w:rsid w:val="00CC300B"/>
    <w:rsid w:val="00CC3222"/>
    <w:rsid w:val="00CC3242"/>
    <w:rsid w:val="00CC3385"/>
    <w:rsid w:val="00CC35F1"/>
    <w:rsid w:val="00CC35FF"/>
    <w:rsid w:val="00CC38E9"/>
    <w:rsid w:val="00CC3AA9"/>
    <w:rsid w:val="00CC417B"/>
    <w:rsid w:val="00CC48C4"/>
    <w:rsid w:val="00CC48C7"/>
    <w:rsid w:val="00CC5710"/>
    <w:rsid w:val="00CC57D7"/>
    <w:rsid w:val="00CC5E9E"/>
    <w:rsid w:val="00CC61F6"/>
    <w:rsid w:val="00CC7032"/>
    <w:rsid w:val="00CC73CE"/>
    <w:rsid w:val="00CC7822"/>
    <w:rsid w:val="00CD0357"/>
    <w:rsid w:val="00CD040B"/>
    <w:rsid w:val="00CD07D8"/>
    <w:rsid w:val="00CD0B34"/>
    <w:rsid w:val="00CD0BEB"/>
    <w:rsid w:val="00CD0E6E"/>
    <w:rsid w:val="00CD0F34"/>
    <w:rsid w:val="00CD23AE"/>
    <w:rsid w:val="00CD27DF"/>
    <w:rsid w:val="00CD2A2D"/>
    <w:rsid w:val="00CD2D8A"/>
    <w:rsid w:val="00CD368F"/>
    <w:rsid w:val="00CD3BAC"/>
    <w:rsid w:val="00CD3FF2"/>
    <w:rsid w:val="00CD4389"/>
    <w:rsid w:val="00CD4420"/>
    <w:rsid w:val="00CD4A65"/>
    <w:rsid w:val="00CD531F"/>
    <w:rsid w:val="00CD5922"/>
    <w:rsid w:val="00CD5BDC"/>
    <w:rsid w:val="00CD5C35"/>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D7D"/>
    <w:rsid w:val="00CE7F23"/>
    <w:rsid w:val="00CF048D"/>
    <w:rsid w:val="00CF04AE"/>
    <w:rsid w:val="00CF0A4C"/>
    <w:rsid w:val="00CF1411"/>
    <w:rsid w:val="00CF150A"/>
    <w:rsid w:val="00CF1E02"/>
    <w:rsid w:val="00CF2225"/>
    <w:rsid w:val="00CF23B3"/>
    <w:rsid w:val="00CF25E7"/>
    <w:rsid w:val="00CF2E22"/>
    <w:rsid w:val="00CF3904"/>
    <w:rsid w:val="00CF3A72"/>
    <w:rsid w:val="00CF3BE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CF7F80"/>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C53"/>
    <w:rsid w:val="00D06D27"/>
    <w:rsid w:val="00D06E46"/>
    <w:rsid w:val="00D06F95"/>
    <w:rsid w:val="00D0720F"/>
    <w:rsid w:val="00D073CC"/>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10"/>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09C"/>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8BF"/>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0B"/>
    <w:rsid w:val="00D52B1B"/>
    <w:rsid w:val="00D52BDD"/>
    <w:rsid w:val="00D5329E"/>
    <w:rsid w:val="00D534C2"/>
    <w:rsid w:val="00D535C6"/>
    <w:rsid w:val="00D53F81"/>
    <w:rsid w:val="00D5410F"/>
    <w:rsid w:val="00D54A02"/>
    <w:rsid w:val="00D55828"/>
    <w:rsid w:val="00D558FA"/>
    <w:rsid w:val="00D55F83"/>
    <w:rsid w:val="00D561C7"/>
    <w:rsid w:val="00D564DF"/>
    <w:rsid w:val="00D5650E"/>
    <w:rsid w:val="00D56992"/>
    <w:rsid w:val="00D576DD"/>
    <w:rsid w:val="00D57CB4"/>
    <w:rsid w:val="00D57DEC"/>
    <w:rsid w:val="00D57E0B"/>
    <w:rsid w:val="00D600C3"/>
    <w:rsid w:val="00D6092A"/>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329"/>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10B"/>
    <w:rsid w:val="00D8732E"/>
    <w:rsid w:val="00D87E67"/>
    <w:rsid w:val="00D87EDF"/>
    <w:rsid w:val="00D90391"/>
    <w:rsid w:val="00D91092"/>
    <w:rsid w:val="00D91294"/>
    <w:rsid w:val="00D915FD"/>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84"/>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0EFF"/>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1B1"/>
    <w:rsid w:val="00DE02ED"/>
    <w:rsid w:val="00DE0BFE"/>
    <w:rsid w:val="00DE0E5D"/>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B1E"/>
    <w:rsid w:val="00DE5C30"/>
    <w:rsid w:val="00DE637C"/>
    <w:rsid w:val="00DE6480"/>
    <w:rsid w:val="00DE6709"/>
    <w:rsid w:val="00DE68C8"/>
    <w:rsid w:val="00DE68EE"/>
    <w:rsid w:val="00DE6BCA"/>
    <w:rsid w:val="00DE6D24"/>
    <w:rsid w:val="00DE6D66"/>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317"/>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66"/>
    <w:rsid w:val="00E06B7B"/>
    <w:rsid w:val="00E06E20"/>
    <w:rsid w:val="00E07847"/>
    <w:rsid w:val="00E07AAC"/>
    <w:rsid w:val="00E07DD9"/>
    <w:rsid w:val="00E102F8"/>
    <w:rsid w:val="00E10416"/>
    <w:rsid w:val="00E10421"/>
    <w:rsid w:val="00E106C4"/>
    <w:rsid w:val="00E10765"/>
    <w:rsid w:val="00E10B19"/>
    <w:rsid w:val="00E10B5D"/>
    <w:rsid w:val="00E11C35"/>
    <w:rsid w:val="00E11F99"/>
    <w:rsid w:val="00E120BA"/>
    <w:rsid w:val="00E12E84"/>
    <w:rsid w:val="00E12FCF"/>
    <w:rsid w:val="00E13012"/>
    <w:rsid w:val="00E13273"/>
    <w:rsid w:val="00E13379"/>
    <w:rsid w:val="00E13708"/>
    <w:rsid w:val="00E139EE"/>
    <w:rsid w:val="00E14005"/>
    <w:rsid w:val="00E140B5"/>
    <w:rsid w:val="00E14227"/>
    <w:rsid w:val="00E142C0"/>
    <w:rsid w:val="00E14B0C"/>
    <w:rsid w:val="00E14D83"/>
    <w:rsid w:val="00E14FA6"/>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9AD"/>
    <w:rsid w:val="00E23B67"/>
    <w:rsid w:val="00E24287"/>
    <w:rsid w:val="00E246EE"/>
    <w:rsid w:val="00E24B74"/>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B71"/>
    <w:rsid w:val="00E41E14"/>
    <w:rsid w:val="00E41F46"/>
    <w:rsid w:val="00E42569"/>
    <w:rsid w:val="00E42985"/>
    <w:rsid w:val="00E434A0"/>
    <w:rsid w:val="00E4355A"/>
    <w:rsid w:val="00E43E86"/>
    <w:rsid w:val="00E43F48"/>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BC"/>
    <w:rsid w:val="00E53CCA"/>
    <w:rsid w:val="00E54462"/>
    <w:rsid w:val="00E54629"/>
    <w:rsid w:val="00E54715"/>
    <w:rsid w:val="00E548C6"/>
    <w:rsid w:val="00E54D6B"/>
    <w:rsid w:val="00E54DDF"/>
    <w:rsid w:val="00E54E6F"/>
    <w:rsid w:val="00E5517E"/>
    <w:rsid w:val="00E55197"/>
    <w:rsid w:val="00E55338"/>
    <w:rsid w:val="00E559D5"/>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BA8"/>
    <w:rsid w:val="00E6156B"/>
    <w:rsid w:val="00E61E25"/>
    <w:rsid w:val="00E61E28"/>
    <w:rsid w:val="00E621A3"/>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857"/>
    <w:rsid w:val="00E66888"/>
    <w:rsid w:val="00E66F4C"/>
    <w:rsid w:val="00E67457"/>
    <w:rsid w:val="00E6749A"/>
    <w:rsid w:val="00E67556"/>
    <w:rsid w:val="00E6777E"/>
    <w:rsid w:val="00E67919"/>
    <w:rsid w:val="00E67A97"/>
    <w:rsid w:val="00E701EA"/>
    <w:rsid w:val="00E7047C"/>
    <w:rsid w:val="00E70616"/>
    <w:rsid w:val="00E70DA8"/>
    <w:rsid w:val="00E711E9"/>
    <w:rsid w:val="00E7198D"/>
    <w:rsid w:val="00E71BB9"/>
    <w:rsid w:val="00E724BF"/>
    <w:rsid w:val="00E7252F"/>
    <w:rsid w:val="00E72AD7"/>
    <w:rsid w:val="00E73274"/>
    <w:rsid w:val="00E73950"/>
    <w:rsid w:val="00E739AA"/>
    <w:rsid w:val="00E73BA5"/>
    <w:rsid w:val="00E73FC2"/>
    <w:rsid w:val="00E74175"/>
    <w:rsid w:val="00E74481"/>
    <w:rsid w:val="00E74517"/>
    <w:rsid w:val="00E7479E"/>
    <w:rsid w:val="00E7487B"/>
    <w:rsid w:val="00E752E4"/>
    <w:rsid w:val="00E753DE"/>
    <w:rsid w:val="00E755D7"/>
    <w:rsid w:val="00E7566D"/>
    <w:rsid w:val="00E75A52"/>
    <w:rsid w:val="00E75AB8"/>
    <w:rsid w:val="00E75B8D"/>
    <w:rsid w:val="00E76D01"/>
    <w:rsid w:val="00E76E91"/>
    <w:rsid w:val="00E77071"/>
    <w:rsid w:val="00E771F5"/>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70C"/>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88"/>
    <w:rsid w:val="00E877DC"/>
    <w:rsid w:val="00E87931"/>
    <w:rsid w:val="00E87D05"/>
    <w:rsid w:val="00E90071"/>
    <w:rsid w:val="00E90091"/>
    <w:rsid w:val="00E9014D"/>
    <w:rsid w:val="00E90AA5"/>
    <w:rsid w:val="00E911DB"/>
    <w:rsid w:val="00E91C4D"/>
    <w:rsid w:val="00E91F96"/>
    <w:rsid w:val="00E9243A"/>
    <w:rsid w:val="00E92E99"/>
    <w:rsid w:val="00E9308A"/>
    <w:rsid w:val="00E93BA8"/>
    <w:rsid w:val="00E943F3"/>
    <w:rsid w:val="00E95255"/>
    <w:rsid w:val="00E9552B"/>
    <w:rsid w:val="00E959F7"/>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4AE"/>
    <w:rsid w:val="00EA25A2"/>
    <w:rsid w:val="00EA2788"/>
    <w:rsid w:val="00EA2C6E"/>
    <w:rsid w:val="00EA33B1"/>
    <w:rsid w:val="00EA3447"/>
    <w:rsid w:val="00EA37DB"/>
    <w:rsid w:val="00EA4151"/>
    <w:rsid w:val="00EA436D"/>
    <w:rsid w:val="00EA460A"/>
    <w:rsid w:val="00EA4928"/>
    <w:rsid w:val="00EA4964"/>
    <w:rsid w:val="00EA4C80"/>
    <w:rsid w:val="00EA4F1A"/>
    <w:rsid w:val="00EA5169"/>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BEA"/>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5EC7"/>
    <w:rsid w:val="00EC6663"/>
    <w:rsid w:val="00EC6674"/>
    <w:rsid w:val="00EC66D2"/>
    <w:rsid w:val="00EC67E7"/>
    <w:rsid w:val="00EC6859"/>
    <w:rsid w:val="00EC6D65"/>
    <w:rsid w:val="00EC6FDD"/>
    <w:rsid w:val="00EC7563"/>
    <w:rsid w:val="00EC7E1F"/>
    <w:rsid w:val="00ED0854"/>
    <w:rsid w:val="00ED0872"/>
    <w:rsid w:val="00ED0A1B"/>
    <w:rsid w:val="00ED0CCB"/>
    <w:rsid w:val="00ED12EB"/>
    <w:rsid w:val="00ED1775"/>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7405"/>
    <w:rsid w:val="00EE7788"/>
    <w:rsid w:val="00EE784A"/>
    <w:rsid w:val="00EE7A62"/>
    <w:rsid w:val="00EE7E91"/>
    <w:rsid w:val="00EF01AE"/>
    <w:rsid w:val="00EF01D0"/>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4ED"/>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6FE2"/>
    <w:rsid w:val="00EF70E6"/>
    <w:rsid w:val="00EF72CC"/>
    <w:rsid w:val="00EF7A15"/>
    <w:rsid w:val="00EF7B9B"/>
    <w:rsid w:val="00EF7C5C"/>
    <w:rsid w:val="00F00391"/>
    <w:rsid w:val="00F01E9A"/>
    <w:rsid w:val="00F01F8C"/>
    <w:rsid w:val="00F023A8"/>
    <w:rsid w:val="00F02C53"/>
    <w:rsid w:val="00F035A6"/>
    <w:rsid w:val="00F0378C"/>
    <w:rsid w:val="00F04387"/>
    <w:rsid w:val="00F0475C"/>
    <w:rsid w:val="00F04AD0"/>
    <w:rsid w:val="00F04F76"/>
    <w:rsid w:val="00F05074"/>
    <w:rsid w:val="00F053BC"/>
    <w:rsid w:val="00F05463"/>
    <w:rsid w:val="00F058A0"/>
    <w:rsid w:val="00F05D09"/>
    <w:rsid w:val="00F06110"/>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70B"/>
    <w:rsid w:val="00F11E26"/>
    <w:rsid w:val="00F11F55"/>
    <w:rsid w:val="00F11F56"/>
    <w:rsid w:val="00F1207E"/>
    <w:rsid w:val="00F1225A"/>
    <w:rsid w:val="00F123BA"/>
    <w:rsid w:val="00F1258B"/>
    <w:rsid w:val="00F12D39"/>
    <w:rsid w:val="00F12DEC"/>
    <w:rsid w:val="00F13027"/>
    <w:rsid w:val="00F13151"/>
    <w:rsid w:val="00F13474"/>
    <w:rsid w:val="00F13C5A"/>
    <w:rsid w:val="00F14C65"/>
    <w:rsid w:val="00F150CF"/>
    <w:rsid w:val="00F15523"/>
    <w:rsid w:val="00F16391"/>
    <w:rsid w:val="00F1704A"/>
    <w:rsid w:val="00F17710"/>
    <w:rsid w:val="00F2001F"/>
    <w:rsid w:val="00F20195"/>
    <w:rsid w:val="00F201DD"/>
    <w:rsid w:val="00F2030B"/>
    <w:rsid w:val="00F2062B"/>
    <w:rsid w:val="00F206A5"/>
    <w:rsid w:val="00F208FF"/>
    <w:rsid w:val="00F20944"/>
    <w:rsid w:val="00F20B78"/>
    <w:rsid w:val="00F2151C"/>
    <w:rsid w:val="00F21A18"/>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45"/>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37F80"/>
    <w:rsid w:val="00F407E1"/>
    <w:rsid w:val="00F40851"/>
    <w:rsid w:val="00F40FDC"/>
    <w:rsid w:val="00F4106E"/>
    <w:rsid w:val="00F41148"/>
    <w:rsid w:val="00F413EB"/>
    <w:rsid w:val="00F41746"/>
    <w:rsid w:val="00F41909"/>
    <w:rsid w:val="00F41A90"/>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676"/>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540"/>
    <w:rsid w:val="00F70685"/>
    <w:rsid w:val="00F70AC2"/>
    <w:rsid w:val="00F70FEF"/>
    <w:rsid w:val="00F711F3"/>
    <w:rsid w:val="00F7125D"/>
    <w:rsid w:val="00F71428"/>
    <w:rsid w:val="00F71EDF"/>
    <w:rsid w:val="00F72FA8"/>
    <w:rsid w:val="00F73AB7"/>
    <w:rsid w:val="00F73C5D"/>
    <w:rsid w:val="00F73CAA"/>
    <w:rsid w:val="00F7410B"/>
    <w:rsid w:val="00F74979"/>
    <w:rsid w:val="00F749A7"/>
    <w:rsid w:val="00F74C10"/>
    <w:rsid w:val="00F75415"/>
    <w:rsid w:val="00F75880"/>
    <w:rsid w:val="00F75E7D"/>
    <w:rsid w:val="00F761B9"/>
    <w:rsid w:val="00F76A4A"/>
    <w:rsid w:val="00F773F9"/>
    <w:rsid w:val="00F77BE3"/>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D10"/>
    <w:rsid w:val="00F97F5A"/>
    <w:rsid w:val="00FA031F"/>
    <w:rsid w:val="00FA0890"/>
    <w:rsid w:val="00FA0A6C"/>
    <w:rsid w:val="00FA0EF9"/>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0DD"/>
    <w:rsid w:val="00FD7255"/>
    <w:rsid w:val="00FD75A9"/>
    <w:rsid w:val="00FD785F"/>
    <w:rsid w:val="00FD7A91"/>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610"/>
    <w:rsid w:val="00FF571F"/>
    <w:rsid w:val="00FF5A31"/>
    <w:rsid w:val="00FF5EB0"/>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94DBD"/>
  <w15:docId w15:val="{1C542F4C-44FA-40D3-98FF-6CBCD08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35B"/>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4826"/>
    <w:rPr>
      <w:rFonts w:ascii="Cambria" w:hAnsi="Cambria" w:cs="Cambria"/>
      <w:b/>
      <w:bCs/>
      <w:color w:val="365F91"/>
      <w:sz w:val="28"/>
      <w:szCs w:val="28"/>
    </w:rPr>
  </w:style>
  <w:style w:type="character" w:styleId="Hyperlink">
    <w:name w:val="Hyperlink"/>
    <w:basedOn w:val="DefaultParagraphFont"/>
    <w:uiPriority w:val="99"/>
    <w:semiHidden/>
    <w:rsid w:val="00944826"/>
    <w:rPr>
      <w:color w:val="0000FF"/>
      <w:u w:val="single"/>
    </w:rPr>
  </w:style>
  <w:style w:type="character" w:styleId="FollowedHyperlink">
    <w:name w:val="FollowedHyperlink"/>
    <w:basedOn w:val="DefaultParagraphFont"/>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99"/>
    <w:qFormat/>
    <w:rsid w:val="00944826"/>
    <w:rPr>
      <w:b/>
      <w:bCs/>
    </w:rPr>
  </w:style>
  <w:style w:type="character" w:customStyle="1" w:styleId="th1">
    <w:name w:val="th1"/>
    <w:basedOn w:val="DefaultParagraphFont"/>
    <w:uiPriority w:val="99"/>
    <w:rsid w:val="00944826"/>
    <w:rPr>
      <w:b/>
      <w:bCs/>
      <w:color w:val="333333"/>
    </w:rPr>
  </w:style>
  <w:style w:type="character" w:styleId="Emphasis">
    <w:name w:val="Emphasis"/>
    <w:basedOn w:val="DefaultParagraphFont"/>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rsid w:val="002308FA"/>
    <w:rPr>
      <w:rFonts w:ascii="Tahoma" w:hAnsi="Tahoma" w:cs="Tahoma"/>
      <w:sz w:val="16"/>
      <w:szCs w:val="16"/>
    </w:rPr>
  </w:style>
  <w:style w:type="table" w:styleId="TableGrid">
    <w:name w:val="Table Grid"/>
    <w:basedOn w:val="TableNormal"/>
    <w:uiPriority w:val="99"/>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99"/>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basedOn w:val="DefaultParagraphFont"/>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basedOn w:val="DefaultParagraphFont"/>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uiPriority w:val="99"/>
    <w:rsid w:val="00ED3BEC"/>
    <w:rPr>
      <w:sz w:val="24"/>
      <w:szCs w:val="24"/>
      <w:lang w:val="en-GB"/>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basedOn w:val="DefaultParagraphFont"/>
    <w:link w:val="PlainText"/>
    <w:uiPriority w:val="99"/>
    <w:rsid w:val="00EC6859"/>
    <w:rPr>
      <w:rFonts w:ascii="Calibri" w:hAnsi="Calibri" w:cs="Calibri"/>
      <w:sz w:val="22"/>
      <w:szCs w:val="22"/>
    </w:rPr>
  </w:style>
  <w:style w:type="paragraph" w:styleId="NoSpacing">
    <w:name w:val="No Spacing"/>
    <w:uiPriority w:val="99"/>
    <w:qFormat/>
    <w:rsid w:val="00E17224"/>
    <w:rPr>
      <w:rFonts w:ascii="Calibri" w:hAnsi="Calibri" w:cs="Calibri"/>
      <w:lang w:val="lv-LV"/>
    </w:rPr>
  </w:style>
  <w:style w:type="character" w:customStyle="1" w:styleId="navigatable">
    <w:name w:val="navigatable"/>
    <w:basedOn w:val="DefaultParagraphFont"/>
    <w:uiPriority w:val="99"/>
    <w:rsid w:val="00BB4645"/>
  </w:style>
  <w:style w:type="paragraph" w:customStyle="1" w:styleId="tv2132">
    <w:name w:val="tv2132"/>
    <w:basedOn w:val="Normal"/>
    <w:uiPriority w:val="99"/>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8637">
      <w:marLeft w:val="0"/>
      <w:marRight w:val="0"/>
      <w:marTop w:val="0"/>
      <w:marBottom w:val="0"/>
      <w:divBdr>
        <w:top w:val="none" w:sz="0" w:space="0" w:color="auto"/>
        <w:left w:val="none" w:sz="0" w:space="0" w:color="auto"/>
        <w:bottom w:val="none" w:sz="0" w:space="0" w:color="auto"/>
        <w:right w:val="none" w:sz="0" w:space="0" w:color="auto"/>
      </w:divBdr>
    </w:div>
    <w:div w:id="903178638">
      <w:marLeft w:val="0"/>
      <w:marRight w:val="0"/>
      <w:marTop w:val="0"/>
      <w:marBottom w:val="0"/>
      <w:divBdr>
        <w:top w:val="none" w:sz="0" w:space="0" w:color="auto"/>
        <w:left w:val="none" w:sz="0" w:space="0" w:color="auto"/>
        <w:bottom w:val="none" w:sz="0" w:space="0" w:color="auto"/>
        <w:right w:val="none" w:sz="0" w:space="0" w:color="auto"/>
      </w:divBdr>
    </w:div>
    <w:div w:id="903178639">
      <w:marLeft w:val="0"/>
      <w:marRight w:val="0"/>
      <w:marTop w:val="0"/>
      <w:marBottom w:val="0"/>
      <w:divBdr>
        <w:top w:val="none" w:sz="0" w:space="0" w:color="auto"/>
        <w:left w:val="none" w:sz="0" w:space="0" w:color="auto"/>
        <w:bottom w:val="none" w:sz="0" w:space="0" w:color="auto"/>
        <w:right w:val="none" w:sz="0" w:space="0" w:color="auto"/>
      </w:divBdr>
    </w:div>
    <w:div w:id="903178640">
      <w:marLeft w:val="0"/>
      <w:marRight w:val="0"/>
      <w:marTop w:val="0"/>
      <w:marBottom w:val="0"/>
      <w:divBdr>
        <w:top w:val="none" w:sz="0" w:space="0" w:color="auto"/>
        <w:left w:val="none" w:sz="0" w:space="0" w:color="auto"/>
        <w:bottom w:val="none" w:sz="0" w:space="0" w:color="auto"/>
        <w:right w:val="none" w:sz="0" w:space="0" w:color="auto"/>
      </w:divBdr>
    </w:div>
    <w:div w:id="903178641">
      <w:marLeft w:val="0"/>
      <w:marRight w:val="0"/>
      <w:marTop w:val="0"/>
      <w:marBottom w:val="0"/>
      <w:divBdr>
        <w:top w:val="none" w:sz="0" w:space="0" w:color="auto"/>
        <w:left w:val="none" w:sz="0" w:space="0" w:color="auto"/>
        <w:bottom w:val="none" w:sz="0" w:space="0" w:color="auto"/>
        <w:right w:val="none" w:sz="0" w:space="0" w:color="auto"/>
      </w:divBdr>
    </w:div>
    <w:div w:id="903178642">
      <w:marLeft w:val="0"/>
      <w:marRight w:val="0"/>
      <w:marTop w:val="0"/>
      <w:marBottom w:val="0"/>
      <w:divBdr>
        <w:top w:val="none" w:sz="0" w:space="0" w:color="auto"/>
        <w:left w:val="none" w:sz="0" w:space="0" w:color="auto"/>
        <w:bottom w:val="none" w:sz="0" w:space="0" w:color="auto"/>
        <w:right w:val="none" w:sz="0" w:space="0" w:color="auto"/>
      </w:divBdr>
    </w:div>
    <w:div w:id="903178643">
      <w:marLeft w:val="0"/>
      <w:marRight w:val="0"/>
      <w:marTop w:val="0"/>
      <w:marBottom w:val="0"/>
      <w:divBdr>
        <w:top w:val="none" w:sz="0" w:space="0" w:color="auto"/>
        <w:left w:val="none" w:sz="0" w:space="0" w:color="auto"/>
        <w:bottom w:val="none" w:sz="0" w:space="0" w:color="auto"/>
        <w:right w:val="none" w:sz="0" w:space="0" w:color="auto"/>
      </w:divBdr>
    </w:div>
    <w:div w:id="903178644">
      <w:marLeft w:val="0"/>
      <w:marRight w:val="0"/>
      <w:marTop w:val="0"/>
      <w:marBottom w:val="0"/>
      <w:divBdr>
        <w:top w:val="none" w:sz="0" w:space="0" w:color="auto"/>
        <w:left w:val="none" w:sz="0" w:space="0" w:color="auto"/>
        <w:bottom w:val="none" w:sz="0" w:space="0" w:color="auto"/>
        <w:right w:val="none" w:sz="0" w:space="0" w:color="auto"/>
      </w:divBdr>
    </w:div>
    <w:div w:id="903178645">
      <w:marLeft w:val="0"/>
      <w:marRight w:val="0"/>
      <w:marTop w:val="0"/>
      <w:marBottom w:val="0"/>
      <w:divBdr>
        <w:top w:val="none" w:sz="0" w:space="0" w:color="auto"/>
        <w:left w:val="none" w:sz="0" w:space="0" w:color="auto"/>
        <w:bottom w:val="none" w:sz="0" w:space="0" w:color="auto"/>
        <w:right w:val="none" w:sz="0" w:space="0" w:color="auto"/>
      </w:divBdr>
    </w:div>
    <w:div w:id="903178646">
      <w:marLeft w:val="0"/>
      <w:marRight w:val="0"/>
      <w:marTop w:val="0"/>
      <w:marBottom w:val="0"/>
      <w:divBdr>
        <w:top w:val="none" w:sz="0" w:space="0" w:color="auto"/>
        <w:left w:val="none" w:sz="0" w:space="0" w:color="auto"/>
        <w:bottom w:val="none" w:sz="0" w:space="0" w:color="auto"/>
        <w:right w:val="none" w:sz="0" w:space="0" w:color="auto"/>
      </w:divBdr>
    </w:div>
    <w:div w:id="903178649">
      <w:marLeft w:val="0"/>
      <w:marRight w:val="0"/>
      <w:marTop w:val="0"/>
      <w:marBottom w:val="0"/>
      <w:divBdr>
        <w:top w:val="none" w:sz="0" w:space="0" w:color="auto"/>
        <w:left w:val="none" w:sz="0" w:space="0" w:color="auto"/>
        <w:bottom w:val="none" w:sz="0" w:space="0" w:color="auto"/>
        <w:right w:val="none" w:sz="0" w:space="0" w:color="auto"/>
      </w:divBdr>
    </w:div>
    <w:div w:id="903178650">
      <w:marLeft w:val="0"/>
      <w:marRight w:val="0"/>
      <w:marTop w:val="0"/>
      <w:marBottom w:val="0"/>
      <w:divBdr>
        <w:top w:val="none" w:sz="0" w:space="0" w:color="auto"/>
        <w:left w:val="none" w:sz="0" w:space="0" w:color="auto"/>
        <w:bottom w:val="none" w:sz="0" w:space="0" w:color="auto"/>
        <w:right w:val="none" w:sz="0" w:space="0" w:color="auto"/>
      </w:divBdr>
    </w:div>
    <w:div w:id="903178651">
      <w:marLeft w:val="0"/>
      <w:marRight w:val="0"/>
      <w:marTop w:val="0"/>
      <w:marBottom w:val="0"/>
      <w:divBdr>
        <w:top w:val="none" w:sz="0" w:space="0" w:color="auto"/>
        <w:left w:val="none" w:sz="0" w:space="0" w:color="auto"/>
        <w:bottom w:val="none" w:sz="0" w:space="0" w:color="auto"/>
        <w:right w:val="none" w:sz="0" w:space="0" w:color="auto"/>
      </w:divBdr>
      <w:divsChild>
        <w:div w:id="903178647">
          <w:marLeft w:val="0"/>
          <w:marRight w:val="0"/>
          <w:marTop w:val="0"/>
          <w:marBottom w:val="0"/>
          <w:divBdr>
            <w:top w:val="none" w:sz="0" w:space="0" w:color="auto"/>
            <w:left w:val="none" w:sz="0" w:space="0" w:color="auto"/>
            <w:bottom w:val="none" w:sz="0" w:space="0" w:color="auto"/>
            <w:right w:val="none" w:sz="0" w:space="0" w:color="auto"/>
          </w:divBdr>
        </w:div>
        <w:div w:id="903178652">
          <w:marLeft w:val="0"/>
          <w:marRight w:val="0"/>
          <w:marTop w:val="0"/>
          <w:marBottom w:val="0"/>
          <w:divBdr>
            <w:top w:val="single" w:sz="12" w:space="0" w:color="8CC4C3"/>
            <w:left w:val="single" w:sz="12" w:space="0" w:color="8CC4C3"/>
            <w:bottom w:val="single" w:sz="12" w:space="0" w:color="8CC4C3"/>
            <w:right w:val="single" w:sz="12" w:space="0" w:color="8CC4C3"/>
          </w:divBdr>
          <w:divsChild>
            <w:div w:id="903178648">
              <w:marLeft w:val="0"/>
              <w:marRight w:val="0"/>
              <w:marTop w:val="0"/>
              <w:marBottom w:val="0"/>
              <w:divBdr>
                <w:top w:val="none" w:sz="0" w:space="0" w:color="auto"/>
                <w:left w:val="none" w:sz="0" w:space="0" w:color="auto"/>
                <w:bottom w:val="none" w:sz="0" w:space="0" w:color="auto"/>
                <w:right w:val="none" w:sz="0" w:space="0" w:color="auto"/>
              </w:divBdr>
            </w:div>
            <w:div w:id="9031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654">
      <w:marLeft w:val="0"/>
      <w:marRight w:val="0"/>
      <w:marTop w:val="0"/>
      <w:marBottom w:val="0"/>
      <w:divBdr>
        <w:top w:val="none" w:sz="0" w:space="0" w:color="auto"/>
        <w:left w:val="none" w:sz="0" w:space="0" w:color="auto"/>
        <w:bottom w:val="none" w:sz="0" w:space="0" w:color="auto"/>
        <w:right w:val="none" w:sz="0" w:space="0" w:color="auto"/>
      </w:divBdr>
    </w:div>
    <w:div w:id="903178655">
      <w:marLeft w:val="0"/>
      <w:marRight w:val="0"/>
      <w:marTop w:val="0"/>
      <w:marBottom w:val="0"/>
      <w:divBdr>
        <w:top w:val="none" w:sz="0" w:space="0" w:color="auto"/>
        <w:left w:val="none" w:sz="0" w:space="0" w:color="auto"/>
        <w:bottom w:val="none" w:sz="0" w:space="0" w:color="auto"/>
        <w:right w:val="none" w:sz="0" w:space="0" w:color="auto"/>
      </w:divBdr>
      <w:divsChild>
        <w:div w:id="903178663">
          <w:marLeft w:val="0"/>
          <w:marRight w:val="0"/>
          <w:marTop w:val="0"/>
          <w:marBottom w:val="0"/>
          <w:divBdr>
            <w:top w:val="none" w:sz="0" w:space="0" w:color="auto"/>
            <w:left w:val="none" w:sz="0" w:space="0" w:color="auto"/>
            <w:bottom w:val="none" w:sz="0" w:space="0" w:color="auto"/>
            <w:right w:val="none" w:sz="0" w:space="0" w:color="auto"/>
          </w:divBdr>
        </w:div>
      </w:divsChild>
    </w:div>
    <w:div w:id="903178656">
      <w:marLeft w:val="0"/>
      <w:marRight w:val="0"/>
      <w:marTop w:val="0"/>
      <w:marBottom w:val="0"/>
      <w:divBdr>
        <w:top w:val="none" w:sz="0" w:space="0" w:color="auto"/>
        <w:left w:val="none" w:sz="0" w:space="0" w:color="auto"/>
        <w:bottom w:val="none" w:sz="0" w:space="0" w:color="auto"/>
        <w:right w:val="none" w:sz="0" w:space="0" w:color="auto"/>
      </w:divBdr>
    </w:div>
    <w:div w:id="903178657">
      <w:marLeft w:val="0"/>
      <w:marRight w:val="0"/>
      <w:marTop w:val="0"/>
      <w:marBottom w:val="0"/>
      <w:divBdr>
        <w:top w:val="none" w:sz="0" w:space="0" w:color="auto"/>
        <w:left w:val="none" w:sz="0" w:space="0" w:color="auto"/>
        <w:bottom w:val="none" w:sz="0" w:space="0" w:color="auto"/>
        <w:right w:val="none" w:sz="0" w:space="0" w:color="auto"/>
      </w:divBdr>
    </w:div>
    <w:div w:id="903178658">
      <w:marLeft w:val="0"/>
      <w:marRight w:val="0"/>
      <w:marTop w:val="0"/>
      <w:marBottom w:val="0"/>
      <w:divBdr>
        <w:top w:val="none" w:sz="0" w:space="0" w:color="auto"/>
        <w:left w:val="none" w:sz="0" w:space="0" w:color="auto"/>
        <w:bottom w:val="none" w:sz="0" w:space="0" w:color="auto"/>
        <w:right w:val="none" w:sz="0" w:space="0" w:color="auto"/>
      </w:divBdr>
    </w:div>
    <w:div w:id="903178660">
      <w:marLeft w:val="0"/>
      <w:marRight w:val="0"/>
      <w:marTop w:val="0"/>
      <w:marBottom w:val="0"/>
      <w:divBdr>
        <w:top w:val="none" w:sz="0" w:space="0" w:color="auto"/>
        <w:left w:val="none" w:sz="0" w:space="0" w:color="auto"/>
        <w:bottom w:val="none" w:sz="0" w:space="0" w:color="auto"/>
        <w:right w:val="none" w:sz="0" w:space="0" w:color="auto"/>
      </w:divBdr>
    </w:div>
    <w:div w:id="903178661">
      <w:marLeft w:val="0"/>
      <w:marRight w:val="0"/>
      <w:marTop w:val="0"/>
      <w:marBottom w:val="0"/>
      <w:divBdr>
        <w:top w:val="none" w:sz="0" w:space="0" w:color="auto"/>
        <w:left w:val="none" w:sz="0" w:space="0" w:color="auto"/>
        <w:bottom w:val="none" w:sz="0" w:space="0" w:color="auto"/>
        <w:right w:val="none" w:sz="0" w:space="0" w:color="auto"/>
      </w:divBdr>
    </w:div>
    <w:div w:id="903178662">
      <w:marLeft w:val="0"/>
      <w:marRight w:val="0"/>
      <w:marTop w:val="0"/>
      <w:marBottom w:val="0"/>
      <w:divBdr>
        <w:top w:val="none" w:sz="0" w:space="0" w:color="auto"/>
        <w:left w:val="none" w:sz="0" w:space="0" w:color="auto"/>
        <w:bottom w:val="none" w:sz="0" w:space="0" w:color="auto"/>
        <w:right w:val="none" w:sz="0" w:space="0" w:color="auto"/>
      </w:divBdr>
      <w:divsChild>
        <w:div w:id="903178659">
          <w:marLeft w:val="0"/>
          <w:marRight w:val="0"/>
          <w:marTop w:val="0"/>
          <w:marBottom w:val="0"/>
          <w:divBdr>
            <w:top w:val="none" w:sz="0" w:space="0" w:color="auto"/>
            <w:left w:val="none" w:sz="0" w:space="0" w:color="auto"/>
            <w:bottom w:val="none" w:sz="0" w:space="0" w:color="auto"/>
            <w:right w:val="none" w:sz="0" w:space="0" w:color="auto"/>
          </w:divBdr>
        </w:div>
      </w:divsChild>
    </w:div>
    <w:div w:id="903178664">
      <w:marLeft w:val="0"/>
      <w:marRight w:val="0"/>
      <w:marTop w:val="0"/>
      <w:marBottom w:val="0"/>
      <w:divBdr>
        <w:top w:val="none" w:sz="0" w:space="0" w:color="auto"/>
        <w:left w:val="none" w:sz="0" w:space="0" w:color="auto"/>
        <w:bottom w:val="none" w:sz="0" w:space="0" w:color="auto"/>
        <w:right w:val="none" w:sz="0" w:space="0" w:color="auto"/>
      </w:divBdr>
    </w:div>
    <w:div w:id="903178665">
      <w:marLeft w:val="0"/>
      <w:marRight w:val="0"/>
      <w:marTop w:val="0"/>
      <w:marBottom w:val="0"/>
      <w:divBdr>
        <w:top w:val="none" w:sz="0" w:space="0" w:color="auto"/>
        <w:left w:val="none" w:sz="0" w:space="0" w:color="auto"/>
        <w:bottom w:val="none" w:sz="0" w:space="0" w:color="auto"/>
        <w:right w:val="none" w:sz="0" w:space="0" w:color="auto"/>
      </w:divBdr>
    </w:div>
    <w:div w:id="903178666">
      <w:marLeft w:val="0"/>
      <w:marRight w:val="0"/>
      <w:marTop w:val="0"/>
      <w:marBottom w:val="0"/>
      <w:divBdr>
        <w:top w:val="none" w:sz="0" w:space="0" w:color="auto"/>
        <w:left w:val="none" w:sz="0" w:space="0" w:color="auto"/>
        <w:bottom w:val="none" w:sz="0" w:space="0" w:color="auto"/>
        <w:right w:val="none" w:sz="0" w:space="0" w:color="auto"/>
      </w:divBdr>
    </w:div>
    <w:div w:id="903178667">
      <w:marLeft w:val="0"/>
      <w:marRight w:val="0"/>
      <w:marTop w:val="0"/>
      <w:marBottom w:val="0"/>
      <w:divBdr>
        <w:top w:val="none" w:sz="0" w:space="0" w:color="auto"/>
        <w:left w:val="none" w:sz="0" w:space="0" w:color="auto"/>
        <w:bottom w:val="none" w:sz="0" w:space="0" w:color="auto"/>
        <w:right w:val="none" w:sz="0" w:space="0" w:color="auto"/>
      </w:divBdr>
    </w:div>
    <w:div w:id="903178668">
      <w:marLeft w:val="0"/>
      <w:marRight w:val="0"/>
      <w:marTop w:val="0"/>
      <w:marBottom w:val="0"/>
      <w:divBdr>
        <w:top w:val="none" w:sz="0" w:space="0" w:color="auto"/>
        <w:left w:val="none" w:sz="0" w:space="0" w:color="auto"/>
        <w:bottom w:val="none" w:sz="0" w:space="0" w:color="auto"/>
        <w:right w:val="none" w:sz="0" w:space="0" w:color="auto"/>
      </w:divBdr>
    </w:div>
    <w:div w:id="903178669">
      <w:marLeft w:val="0"/>
      <w:marRight w:val="0"/>
      <w:marTop w:val="0"/>
      <w:marBottom w:val="0"/>
      <w:divBdr>
        <w:top w:val="none" w:sz="0" w:space="0" w:color="auto"/>
        <w:left w:val="none" w:sz="0" w:space="0" w:color="auto"/>
        <w:bottom w:val="none" w:sz="0" w:space="0" w:color="auto"/>
        <w:right w:val="none" w:sz="0" w:space="0" w:color="auto"/>
      </w:divBdr>
    </w:div>
    <w:div w:id="903178670">
      <w:marLeft w:val="0"/>
      <w:marRight w:val="0"/>
      <w:marTop w:val="0"/>
      <w:marBottom w:val="0"/>
      <w:divBdr>
        <w:top w:val="none" w:sz="0" w:space="0" w:color="auto"/>
        <w:left w:val="none" w:sz="0" w:space="0" w:color="auto"/>
        <w:bottom w:val="none" w:sz="0" w:space="0" w:color="auto"/>
        <w:right w:val="none" w:sz="0" w:space="0" w:color="auto"/>
      </w:divBdr>
    </w:div>
    <w:div w:id="903178671">
      <w:marLeft w:val="0"/>
      <w:marRight w:val="0"/>
      <w:marTop w:val="0"/>
      <w:marBottom w:val="0"/>
      <w:divBdr>
        <w:top w:val="none" w:sz="0" w:space="0" w:color="auto"/>
        <w:left w:val="none" w:sz="0" w:space="0" w:color="auto"/>
        <w:bottom w:val="none" w:sz="0" w:space="0" w:color="auto"/>
        <w:right w:val="none" w:sz="0" w:space="0" w:color="auto"/>
      </w:divBdr>
    </w:div>
    <w:div w:id="903178672">
      <w:marLeft w:val="0"/>
      <w:marRight w:val="0"/>
      <w:marTop w:val="0"/>
      <w:marBottom w:val="0"/>
      <w:divBdr>
        <w:top w:val="none" w:sz="0" w:space="0" w:color="auto"/>
        <w:left w:val="none" w:sz="0" w:space="0" w:color="auto"/>
        <w:bottom w:val="none" w:sz="0" w:space="0" w:color="auto"/>
        <w:right w:val="none" w:sz="0" w:space="0" w:color="auto"/>
      </w:divBdr>
    </w:div>
    <w:div w:id="903178673">
      <w:marLeft w:val="0"/>
      <w:marRight w:val="0"/>
      <w:marTop w:val="0"/>
      <w:marBottom w:val="0"/>
      <w:divBdr>
        <w:top w:val="none" w:sz="0" w:space="0" w:color="auto"/>
        <w:left w:val="none" w:sz="0" w:space="0" w:color="auto"/>
        <w:bottom w:val="none" w:sz="0" w:space="0" w:color="auto"/>
        <w:right w:val="none" w:sz="0" w:space="0" w:color="auto"/>
      </w:divBdr>
    </w:div>
    <w:div w:id="903178674">
      <w:marLeft w:val="0"/>
      <w:marRight w:val="0"/>
      <w:marTop w:val="0"/>
      <w:marBottom w:val="0"/>
      <w:divBdr>
        <w:top w:val="none" w:sz="0" w:space="0" w:color="auto"/>
        <w:left w:val="none" w:sz="0" w:space="0" w:color="auto"/>
        <w:bottom w:val="none" w:sz="0" w:space="0" w:color="auto"/>
        <w:right w:val="none" w:sz="0" w:space="0" w:color="auto"/>
      </w:divBdr>
    </w:div>
    <w:div w:id="903178675">
      <w:marLeft w:val="0"/>
      <w:marRight w:val="0"/>
      <w:marTop w:val="0"/>
      <w:marBottom w:val="0"/>
      <w:divBdr>
        <w:top w:val="none" w:sz="0" w:space="0" w:color="auto"/>
        <w:left w:val="none" w:sz="0" w:space="0" w:color="auto"/>
        <w:bottom w:val="none" w:sz="0" w:space="0" w:color="auto"/>
        <w:right w:val="none" w:sz="0" w:space="0" w:color="auto"/>
      </w:divBdr>
    </w:div>
    <w:div w:id="903178676">
      <w:marLeft w:val="0"/>
      <w:marRight w:val="0"/>
      <w:marTop w:val="0"/>
      <w:marBottom w:val="0"/>
      <w:divBdr>
        <w:top w:val="none" w:sz="0" w:space="0" w:color="auto"/>
        <w:left w:val="none" w:sz="0" w:space="0" w:color="auto"/>
        <w:bottom w:val="none" w:sz="0" w:space="0" w:color="auto"/>
        <w:right w:val="none" w:sz="0" w:space="0" w:color="auto"/>
      </w:divBdr>
    </w:div>
    <w:div w:id="903178677">
      <w:marLeft w:val="0"/>
      <w:marRight w:val="0"/>
      <w:marTop w:val="0"/>
      <w:marBottom w:val="0"/>
      <w:divBdr>
        <w:top w:val="none" w:sz="0" w:space="0" w:color="auto"/>
        <w:left w:val="none" w:sz="0" w:space="0" w:color="auto"/>
        <w:bottom w:val="none" w:sz="0" w:space="0" w:color="auto"/>
        <w:right w:val="none" w:sz="0" w:space="0" w:color="auto"/>
      </w:divBdr>
    </w:div>
    <w:div w:id="903178678">
      <w:marLeft w:val="0"/>
      <w:marRight w:val="0"/>
      <w:marTop w:val="0"/>
      <w:marBottom w:val="0"/>
      <w:divBdr>
        <w:top w:val="none" w:sz="0" w:space="0" w:color="auto"/>
        <w:left w:val="none" w:sz="0" w:space="0" w:color="auto"/>
        <w:bottom w:val="none" w:sz="0" w:space="0" w:color="auto"/>
        <w:right w:val="none" w:sz="0" w:space="0" w:color="auto"/>
      </w:divBdr>
    </w:div>
    <w:div w:id="903178679">
      <w:marLeft w:val="0"/>
      <w:marRight w:val="0"/>
      <w:marTop w:val="0"/>
      <w:marBottom w:val="0"/>
      <w:divBdr>
        <w:top w:val="none" w:sz="0" w:space="0" w:color="auto"/>
        <w:left w:val="none" w:sz="0" w:space="0" w:color="auto"/>
        <w:bottom w:val="none" w:sz="0" w:space="0" w:color="auto"/>
        <w:right w:val="none" w:sz="0" w:space="0" w:color="auto"/>
      </w:divBdr>
    </w:div>
    <w:div w:id="903178680">
      <w:marLeft w:val="0"/>
      <w:marRight w:val="0"/>
      <w:marTop w:val="0"/>
      <w:marBottom w:val="0"/>
      <w:divBdr>
        <w:top w:val="none" w:sz="0" w:space="0" w:color="auto"/>
        <w:left w:val="none" w:sz="0" w:space="0" w:color="auto"/>
        <w:bottom w:val="none" w:sz="0" w:space="0" w:color="auto"/>
        <w:right w:val="none" w:sz="0" w:space="0" w:color="auto"/>
      </w:divBdr>
    </w:div>
    <w:div w:id="903178681">
      <w:marLeft w:val="0"/>
      <w:marRight w:val="0"/>
      <w:marTop w:val="0"/>
      <w:marBottom w:val="0"/>
      <w:divBdr>
        <w:top w:val="none" w:sz="0" w:space="0" w:color="auto"/>
        <w:left w:val="none" w:sz="0" w:space="0" w:color="auto"/>
        <w:bottom w:val="none" w:sz="0" w:space="0" w:color="auto"/>
        <w:right w:val="none" w:sz="0" w:space="0" w:color="auto"/>
      </w:divBdr>
    </w:div>
    <w:div w:id="903178682">
      <w:marLeft w:val="0"/>
      <w:marRight w:val="0"/>
      <w:marTop w:val="0"/>
      <w:marBottom w:val="0"/>
      <w:divBdr>
        <w:top w:val="none" w:sz="0" w:space="0" w:color="auto"/>
        <w:left w:val="none" w:sz="0" w:space="0" w:color="auto"/>
        <w:bottom w:val="none" w:sz="0" w:space="0" w:color="auto"/>
        <w:right w:val="none" w:sz="0" w:space="0" w:color="auto"/>
      </w:divBdr>
    </w:div>
    <w:div w:id="903178683">
      <w:marLeft w:val="0"/>
      <w:marRight w:val="0"/>
      <w:marTop w:val="0"/>
      <w:marBottom w:val="0"/>
      <w:divBdr>
        <w:top w:val="none" w:sz="0" w:space="0" w:color="auto"/>
        <w:left w:val="none" w:sz="0" w:space="0" w:color="auto"/>
        <w:bottom w:val="none" w:sz="0" w:space="0" w:color="auto"/>
        <w:right w:val="none" w:sz="0" w:space="0" w:color="auto"/>
      </w:divBdr>
    </w:div>
    <w:div w:id="903178684">
      <w:marLeft w:val="0"/>
      <w:marRight w:val="0"/>
      <w:marTop w:val="0"/>
      <w:marBottom w:val="0"/>
      <w:divBdr>
        <w:top w:val="none" w:sz="0" w:space="0" w:color="auto"/>
        <w:left w:val="none" w:sz="0" w:space="0" w:color="auto"/>
        <w:bottom w:val="none" w:sz="0" w:space="0" w:color="auto"/>
        <w:right w:val="none" w:sz="0" w:space="0" w:color="auto"/>
      </w:divBdr>
    </w:div>
    <w:div w:id="903178685">
      <w:marLeft w:val="0"/>
      <w:marRight w:val="0"/>
      <w:marTop w:val="0"/>
      <w:marBottom w:val="0"/>
      <w:divBdr>
        <w:top w:val="none" w:sz="0" w:space="0" w:color="auto"/>
        <w:left w:val="none" w:sz="0" w:space="0" w:color="auto"/>
        <w:bottom w:val="none" w:sz="0" w:space="0" w:color="auto"/>
        <w:right w:val="none" w:sz="0" w:space="0" w:color="auto"/>
      </w:divBdr>
    </w:div>
    <w:div w:id="903178686">
      <w:marLeft w:val="0"/>
      <w:marRight w:val="0"/>
      <w:marTop w:val="0"/>
      <w:marBottom w:val="0"/>
      <w:divBdr>
        <w:top w:val="none" w:sz="0" w:space="0" w:color="auto"/>
        <w:left w:val="none" w:sz="0" w:space="0" w:color="auto"/>
        <w:bottom w:val="none" w:sz="0" w:space="0" w:color="auto"/>
        <w:right w:val="none" w:sz="0" w:space="0" w:color="auto"/>
      </w:divBdr>
    </w:div>
    <w:div w:id="903178687">
      <w:marLeft w:val="0"/>
      <w:marRight w:val="0"/>
      <w:marTop w:val="0"/>
      <w:marBottom w:val="0"/>
      <w:divBdr>
        <w:top w:val="none" w:sz="0" w:space="0" w:color="auto"/>
        <w:left w:val="none" w:sz="0" w:space="0" w:color="auto"/>
        <w:bottom w:val="none" w:sz="0" w:space="0" w:color="auto"/>
        <w:right w:val="none" w:sz="0" w:space="0" w:color="auto"/>
      </w:divBdr>
    </w:div>
    <w:div w:id="903178688">
      <w:marLeft w:val="0"/>
      <w:marRight w:val="0"/>
      <w:marTop w:val="0"/>
      <w:marBottom w:val="0"/>
      <w:divBdr>
        <w:top w:val="none" w:sz="0" w:space="0" w:color="auto"/>
        <w:left w:val="none" w:sz="0" w:space="0" w:color="auto"/>
        <w:bottom w:val="none" w:sz="0" w:space="0" w:color="auto"/>
        <w:right w:val="none" w:sz="0" w:space="0" w:color="auto"/>
      </w:divBdr>
    </w:div>
    <w:div w:id="903178689">
      <w:marLeft w:val="0"/>
      <w:marRight w:val="0"/>
      <w:marTop w:val="0"/>
      <w:marBottom w:val="0"/>
      <w:divBdr>
        <w:top w:val="none" w:sz="0" w:space="0" w:color="auto"/>
        <w:left w:val="none" w:sz="0" w:space="0" w:color="auto"/>
        <w:bottom w:val="none" w:sz="0" w:space="0" w:color="auto"/>
        <w:right w:val="none" w:sz="0" w:space="0" w:color="auto"/>
      </w:divBdr>
    </w:div>
    <w:div w:id="903178690">
      <w:marLeft w:val="0"/>
      <w:marRight w:val="0"/>
      <w:marTop w:val="0"/>
      <w:marBottom w:val="0"/>
      <w:divBdr>
        <w:top w:val="none" w:sz="0" w:space="0" w:color="auto"/>
        <w:left w:val="none" w:sz="0" w:space="0" w:color="auto"/>
        <w:bottom w:val="none" w:sz="0" w:space="0" w:color="auto"/>
        <w:right w:val="none" w:sz="0" w:space="0" w:color="auto"/>
      </w:divBdr>
    </w:div>
    <w:div w:id="903178691">
      <w:marLeft w:val="0"/>
      <w:marRight w:val="0"/>
      <w:marTop w:val="0"/>
      <w:marBottom w:val="0"/>
      <w:divBdr>
        <w:top w:val="none" w:sz="0" w:space="0" w:color="auto"/>
        <w:left w:val="none" w:sz="0" w:space="0" w:color="auto"/>
        <w:bottom w:val="none" w:sz="0" w:space="0" w:color="auto"/>
        <w:right w:val="none" w:sz="0" w:space="0" w:color="auto"/>
      </w:divBdr>
    </w:div>
    <w:div w:id="903178692">
      <w:marLeft w:val="0"/>
      <w:marRight w:val="0"/>
      <w:marTop w:val="0"/>
      <w:marBottom w:val="0"/>
      <w:divBdr>
        <w:top w:val="none" w:sz="0" w:space="0" w:color="auto"/>
        <w:left w:val="none" w:sz="0" w:space="0" w:color="auto"/>
        <w:bottom w:val="none" w:sz="0" w:space="0" w:color="auto"/>
        <w:right w:val="none" w:sz="0" w:space="0" w:color="auto"/>
      </w:divBdr>
    </w:div>
    <w:div w:id="903178693">
      <w:marLeft w:val="0"/>
      <w:marRight w:val="0"/>
      <w:marTop w:val="0"/>
      <w:marBottom w:val="0"/>
      <w:divBdr>
        <w:top w:val="none" w:sz="0" w:space="0" w:color="auto"/>
        <w:left w:val="none" w:sz="0" w:space="0" w:color="auto"/>
        <w:bottom w:val="none" w:sz="0" w:space="0" w:color="auto"/>
        <w:right w:val="none" w:sz="0" w:space="0" w:color="auto"/>
      </w:divBdr>
    </w:div>
    <w:div w:id="903178694">
      <w:marLeft w:val="0"/>
      <w:marRight w:val="0"/>
      <w:marTop w:val="0"/>
      <w:marBottom w:val="0"/>
      <w:divBdr>
        <w:top w:val="none" w:sz="0" w:space="0" w:color="auto"/>
        <w:left w:val="none" w:sz="0" w:space="0" w:color="auto"/>
        <w:bottom w:val="none" w:sz="0" w:space="0" w:color="auto"/>
        <w:right w:val="none" w:sz="0" w:space="0" w:color="auto"/>
      </w:divBdr>
    </w:div>
    <w:div w:id="903178695">
      <w:marLeft w:val="0"/>
      <w:marRight w:val="0"/>
      <w:marTop w:val="0"/>
      <w:marBottom w:val="0"/>
      <w:divBdr>
        <w:top w:val="none" w:sz="0" w:space="0" w:color="auto"/>
        <w:left w:val="none" w:sz="0" w:space="0" w:color="auto"/>
        <w:bottom w:val="none" w:sz="0" w:space="0" w:color="auto"/>
        <w:right w:val="none" w:sz="0" w:space="0" w:color="auto"/>
      </w:divBdr>
    </w:div>
    <w:div w:id="903178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ks.markevics@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23</Pages>
  <Words>30491</Words>
  <Characters>17381</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„Noteikumi par dzelzceļa savstarpējo izmantojamību" (VSS-222)</vt:lpstr>
    </vt:vector>
  </TitlesOfParts>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„Noteikumi par dzelzceļa savstarpējo izmantojamību" (VSS-222)</dc:title>
  <dc:subject>Izziņa</dc:subject>
  <dc:creator/>
  <cp:keywords>Izziņa</cp:keywords>
  <dc:description>Gailīte, 67234308,linda.gailite@vdzti.gov.lv, Balaša 67028071Santa.Balasa@mk.gov.lv; Dainis.Lacis@vdzti.gov.lv</dc:description>
  <cp:lastModifiedBy>Ineta Vula</cp:lastModifiedBy>
  <cp:revision>25</cp:revision>
  <cp:lastPrinted>2018-12-03T10:16:00Z</cp:lastPrinted>
  <dcterms:created xsi:type="dcterms:W3CDTF">2020-04-22T13:27:00Z</dcterms:created>
  <dcterms:modified xsi:type="dcterms:W3CDTF">2020-05-08T12:03:00Z</dcterms:modified>
</cp:coreProperties>
</file>