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F3C0" w14:textId="0F4E19B3" w:rsidR="00525F54" w:rsidRPr="00D624B9" w:rsidRDefault="00525F54" w:rsidP="00D624B9">
      <w:pPr>
        <w:rPr>
          <w:rFonts w:eastAsia="Calibri"/>
          <w:sz w:val="28"/>
          <w:szCs w:val="28"/>
          <w:lang w:val="de-DE" w:eastAsia="en-US"/>
        </w:rPr>
      </w:pPr>
    </w:p>
    <w:p w14:paraId="4DD9516D" w14:textId="77777777" w:rsidR="006457F2" w:rsidRPr="00D624B9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D624B9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2EF76872" w14:textId="425D602E" w:rsidR="00D624B9" w:rsidRPr="00D624B9" w:rsidRDefault="00D624B9" w:rsidP="00C91CA9">
      <w:pPr>
        <w:tabs>
          <w:tab w:val="left" w:pos="6663"/>
        </w:tabs>
        <w:rPr>
          <w:b/>
          <w:sz w:val="28"/>
          <w:szCs w:val="28"/>
        </w:rPr>
      </w:pPr>
      <w:r w:rsidRPr="00D624B9">
        <w:rPr>
          <w:sz w:val="28"/>
          <w:szCs w:val="28"/>
        </w:rPr>
        <w:t xml:space="preserve">2020. gada </w:t>
      </w:r>
      <w:r w:rsidR="006E3579">
        <w:rPr>
          <w:sz w:val="28"/>
          <w:szCs w:val="28"/>
        </w:rPr>
        <w:t>4. jūnijā</w:t>
      </w:r>
      <w:r w:rsidRPr="00D624B9">
        <w:rPr>
          <w:sz w:val="28"/>
          <w:szCs w:val="28"/>
        </w:rPr>
        <w:tab/>
        <w:t>Noteikumi Nr.</w:t>
      </w:r>
      <w:r w:rsidR="006E3579">
        <w:rPr>
          <w:sz w:val="28"/>
          <w:szCs w:val="28"/>
        </w:rPr>
        <w:t> 358</w:t>
      </w:r>
    </w:p>
    <w:p w14:paraId="646EA186" w14:textId="1D186629" w:rsidR="00D624B9" w:rsidRPr="00D624B9" w:rsidRDefault="00D624B9" w:rsidP="00C91CA9">
      <w:pPr>
        <w:tabs>
          <w:tab w:val="left" w:pos="6663"/>
        </w:tabs>
        <w:rPr>
          <w:sz w:val="28"/>
          <w:szCs w:val="28"/>
        </w:rPr>
      </w:pPr>
      <w:r w:rsidRPr="00D624B9">
        <w:rPr>
          <w:sz w:val="28"/>
          <w:szCs w:val="28"/>
        </w:rPr>
        <w:t>Rīgā</w:t>
      </w:r>
      <w:r w:rsidRPr="00D624B9">
        <w:rPr>
          <w:sz w:val="28"/>
          <w:szCs w:val="28"/>
        </w:rPr>
        <w:tab/>
        <w:t>(prot. Nr.</w:t>
      </w:r>
      <w:r w:rsidR="006E3579">
        <w:rPr>
          <w:sz w:val="28"/>
          <w:szCs w:val="28"/>
        </w:rPr>
        <w:t> 39 3</w:t>
      </w:r>
      <w:bookmarkStart w:id="0" w:name="_GoBack"/>
      <w:bookmarkEnd w:id="0"/>
      <w:r w:rsidRPr="00D624B9">
        <w:rPr>
          <w:sz w:val="28"/>
          <w:szCs w:val="28"/>
        </w:rPr>
        <w:t>. §)</w:t>
      </w:r>
    </w:p>
    <w:p w14:paraId="401F9A05" w14:textId="4729F060" w:rsidR="006457F2" w:rsidRPr="00D624B9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413A9015" w14:textId="525DDFF0" w:rsidR="00651D4F" w:rsidRPr="00D624B9" w:rsidRDefault="007E35C4" w:rsidP="00816BC7">
      <w:pPr>
        <w:jc w:val="center"/>
        <w:rPr>
          <w:b/>
          <w:sz w:val="28"/>
          <w:szCs w:val="28"/>
        </w:rPr>
      </w:pPr>
      <w:r w:rsidRPr="00D624B9">
        <w:rPr>
          <w:b/>
          <w:bCs/>
          <w:sz w:val="28"/>
          <w:szCs w:val="28"/>
        </w:rPr>
        <w:t>G</w:t>
      </w:r>
      <w:r w:rsidR="00816BC7" w:rsidRPr="00D624B9">
        <w:rPr>
          <w:b/>
          <w:bCs/>
          <w:sz w:val="28"/>
          <w:szCs w:val="28"/>
        </w:rPr>
        <w:t>rozījumi Ministru kabineta 2015. gada 3. novembra noteikumos Nr. 637 "</w:t>
      </w:r>
      <w:bookmarkStart w:id="1" w:name="_Hlk25589004"/>
      <w:r w:rsidR="00816BC7" w:rsidRPr="00D624B9">
        <w:rPr>
          <w:b/>
          <w:bCs/>
          <w:sz w:val="28"/>
          <w:szCs w:val="28"/>
        </w:rPr>
        <w:t>Darbības programmas "Izaugsme un nodarbinātība" 4.4.1. specifiskā atbalsta mērķa "Attīstīt ETL uzlādes infrastruktūru Latvijā" īstenošanas noteikumi</w:t>
      </w:r>
      <w:bookmarkEnd w:id="1"/>
      <w:r w:rsidR="00816BC7" w:rsidRPr="00D624B9">
        <w:rPr>
          <w:b/>
          <w:bCs/>
          <w:sz w:val="28"/>
          <w:szCs w:val="28"/>
        </w:rPr>
        <w:t>"</w:t>
      </w:r>
    </w:p>
    <w:p w14:paraId="7EB65D67" w14:textId="77777777" w:rsidR="00651D4F" w:rsidRPr="00D624B9" w:rsidRDefault="00651D4F" w:rsidP="00651D4F">
      <w:pPr>
        <w:jc w:val="center"/>
        <w:rPr>
          <w:sz w:val="28"/>
          <w:szCs w:val="28"/>
        </w:rPr>
      </w:pPr>
    </w:p>
    <w:p w14:paraId="097CBB95" w14:textId="77777777" w:rsidR="008D04CD" w:rsidRPr="00D624B9" w:rsidRDefault="008D04CD" w:rsidP="008D04CD">
      <w:pPr>
        <w:ind w:firstLine="720"/>
        <w:jc w:val="right"/>
        <w:rPr>
          <w:sz w:val="28"/>
          <w:szCs w:val="28"/>
        </w:rPr>
      </w:pPr>
      <w:r w:rsidRPr="00D624B9">
        <w:rPr>
          <w:sz w:val="28"/>
          <w:szCs w:val="28"/>
        </w:rPr>
        <w:t>Izdoti saskaņā ar Eiropas Savienības struktūrfondu</w:t>
      </w:r>
    </w:p>
    <w:p w14:paraId="113500CC" w14:textId="77777777" w:rsidR="008D04CD" w:rsidRPr="00D624B9" w:rsidRDefault="008D04CD" w:rsidP="008D04CD">
      <w:pPr>
        <w:ind w:firstLine="720"/>
        <w:jc w:val="right"/>
        <w:rPr>
          <w:sz w:val="28"/>
          <w:szCs w:val="28"/>
        </w:rPr>
      </w:pPr>
      <w:r w:rsidRPr="00D624B9">
        <w:rPr>
          <w:sz w:val="28"/>
          <w:szCs w:val="28"/>
        </w:rPr>
        <w:t>un Kohēzijas fonda 2014.–2020. gada plānošanas perioda</w:t>
      </w:r>
    </w:p>
    <w:p w14:paraId="2900F24D" w14:textId="7664D958" w:rsidR="00651D4F" w:rsidRPr="00D624B9" w:rsidRDefault="008D04CD" w:rsidP="008D04CD">
      <w:pPr>
        <w:ind w:firstLine="720"/>
        <w:jc w:val="right"/>
        <w:rPr>
          <w:sz w:val="28"/>
          <w:szCs w:val="28"/>
        </w:rPr>
      </w:pPr>
      <w:r w:rsidRPr="00D624B9">
        <w:rPr>
          <w:sz w:val="28"/>
          <w:szCs w:val="28"/>
        </w:rPr>
        <w:t>vadības likuma 20. panta 13. punktu</w:t>
      </w:r>
    </w:p>
    <w:p w14:paraId="24146704" w14:textId="77777777" w:rsidR="008D04CD" w:rsidRPr="00D624B9" w:rsidRDefault="008D04CD" w:rsidP="008D04CD">
      <w:pPr>
        <w:ind w:firstLine="720"/>
        <w:jc w:val="right"/>
        <w:rPr>
          <w:sz w:val="28"/>
          <w:szCs w:val="28"/>
        </w:rPr>
      </w:pPr>
    </w:p>
    <w:p w14:paraId="738991D5" w14:textId="16B1B380" w:rsidR="00816BC7" w:rsidRPr="00D624B9" w:rsidRDefault="00816BC7" w:rsidP="00816BC7">
      <w:pPr>
        <w:ind w:firstLine="720"/>
        <w:jc w:val="both"/>
        <w:rPr>
          <w:sz w:val="28"/>
          <w:szCs w:val="28"/>
        </w:rPr>
      </w:pPr>
      <w:r w:rsidRPr="00D624B9">
        <w:rPr>
          <w:sz w:val="28"/>
          <w:szCs w:val="28"/>
        </w:rPr>
        <w:t>Izdarīt Ministru kabineta 201</w:t>
      </w:r>
      <w:r w:rsidR="00C96904" w:rsidRPr="00D624B9">
        <w:rPr>
          <w:sz w:val="28"/>
          <w:szCs w:val="28"/>
        </w:rPr>
        <w:t>5</w:t>
      </w:r>
      <w:r w:rsidRPr="00D624B9">
        <w:rPr>
          <w:sz w:val="28"/>
          <w:szCs w:val="28"/>
        </w:rPr>
        <w:t xml:space="preserve">. gada 3. </w:t>
      </w:r>
      <w:r w:rsidR="00C96904" w:rsidRPr="00D624B9">
        <w:rPr>
          <w:sz w:val="28"/>
          <w:szCs w:val="28"/>
        </w:rPr>
        <w:t>novembra</w:t>
      </w:r>
      <w:r w:rsidRPr="00D624B9">
        <w:rPr>
          <w:sz w:val="28"/>
          <w:szCs w:val="28"/>
        </w:rPr>
        <w:t xml:space="preserve"> noteikumos Nr. </w:t>
      </w:r>
      <w:r w:rsidR="0074764B" w:rsidRPr="00D624B9">
        <w:rPr>
          <w:sz w:val="28"/>
          <w:szCs w:val="28"/>
        </w:rPr>
        <w:t>637</w:t>
      </w:r>
      <w:r w:rsidRPr="00D624B9">
        <w:rPr>
          <w:sz w:val="28"/>
          <w:szCs w:val="28"/>
        </w:rPr>
        <w:t xml:space="preserve"> "</w:t>
      </w:r>
      <w:r w:rsidR="0074764B" w:rsidRPr="00D624B9">
        <w:rPr>
          <w:sz w:val="28"/>
          <w:szCs w:val="28"/>
        </w:rPr>
        <w:t>Darbības programmas "Izaugsme un nodarbinātība" 4.4.1. specifiskā atbalsta mērķa "Attīstīt ETL uzlādes infrastruktūru Latvijā" īstenošanas noteikumi</w:t>
      </w:r>
      <w:r w:rsidRPr="00D624B9">
        <w:rPr>
          <w:sz w:val="28"/>
          <w:szCs w:val="28"/>
        </w:rPr>
        <w:t>" (Latvijas Vēstnesis, 201</w:t>
      </w:r>
      <w:r w:rsidR="0074764B" w:rsidRPr="00D624B9">
        <w:rPr>
          <w:sz w:val="28"/>
          <w:szCs w:val="28"/>
        </w:rPr>
        <w:t>5</w:t>
      </w:r>
      <w:r w:rsidRPr="00D624B9">
        <w:rPr>
          <w:sz w:val="28"/>
          <w:szCs w:val="28"/>
        </w:rPr>
        <w:t xml:space="preserve">, </w:t>
      </w:r>
      <w:r w:rsidR="0074764B" w:rsidRPr="00D624B9">
        <w:rPr>
          <w:sz w:val="28"/>
          <w:szCs w:val="28"/>
        </w:rPr>
        <w:t>220</w:t>
      </w:r>
      <w:r w:rsidRPr="00D624B9">
        <w:rPr>
          <w:sz w:val="28"/>
          <w:szCs w:val="28"/>
        </w:rPr>
        <w:t>.</w:t>
      </w:r>
      <w:r w:rsidR="00AF505D">
        <w:rPr>
          <w:sz w:val="28"/>
          <w:szCs w:val="28"/>
        </w:rPr>
        <w:t> </w:t>
      </w:r>
      <w:r w:rsidRPr="00D624B9">
        <w:rPr>
          <w:sz w:val="28"/>
          <w:szCs w:val="28"/>
        </w:rPr>
        <w:t>nr.; 2017, 11</w:t>
      </w:r>
      <w:r w:rsidR="0074764B" w:rsidRPr="00D624B9">
        <w:rPr>
          <w:sz w:val="28"/>
          <w:szCs w:val="28"/>
        </w:rPr>
        <w:t>1</w:t>
      </w:r>
      <w:r w:rsidRPr="00D624B9">
        <w:rPr>
          <w:sz w:val="28"/>
          <w:szCs w:val="28"/>
        </w:rPr>
        <w:t>.</w:t>
      </w:r>
      <w:r w:rsidR="00AF505D">
        <w:rPr>
          <w:sz w:val="28"/>
          <w:szCs w:val="28"/>
        </w:rPr>
        <w:t> </w:t>
      </w:r>
      <w:r w:rsidRPr="00D624B9">
        <w:rPr>
          <w:sz w:val="28"/>
          <w:szCs w:val="28"/>
        </w:rPr>
        <w:t>nr.) šādus grozījumus:</w:t>
      </w:r>
    </w:p>
    <w:p w14:paraId="7FAC7CDB" w14:textId="77777777" w:rsidR="00816BC7" w:rsidRPr="00D624B9" w:rsidRDefault="00816BC7" w:rsidP="00816BC7">
      <w:pPr>
        <w:ind w:firstLine="720"/>
        <w:jc w:val="both"/>
        <w:rPr>
          <w:sz w:val="28"/>
          <w:szCs w:val="28"/>
        </w:rPr>
      </w:pPr>
    </w:p>
    <w:p w14:paraId="173ECDBB" w14:textId="6CFD9605" w:rsidR="00816BC7" w:rsidRPr="00D624B9" w:rsidRDefault="00816BC7" w:rsidP="00816BC7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1. Aizstāt </w:t>
      </w:r>
      <w:r w:rsidR="00733CC0" w:rsidRPr="00D624B9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Pr="00D624B9">
        <w:rPr>
          <w:rFonts w:ascii="Times New Roman" w:hAnsi="Times New Roman" w:cs="Times New Roman"/>
          <w:sz w:val="28"/>
          <w:szCs w:val="28"/>
          <w:lang w:eastAsia="lv-LV"/>
        </w:rPr>
        <w:t>.1. apakšpunktā skaitli "</w:t>
      </w:r>
      <w:r w:rsidR="005C4767" w:rsidRPr="00D624B9">
        <w:rPr>
          <w:rFonts w:ascii="Times New Roman" w:hAnsi="Times New Roman" w:cs="Times New Roman"/>
          <w:sz w:val="28"/>
          <w:szCs w:val="28"/>
          <w:lang w:eastAsia="lv-LV"/>
        </w:rPr>
        <w:t>150</w:t>
      </w:r>
      <w:r w:rsidRPr="00D624B9">
        <w:rPr>
          <w:rFonts w:ascii="Times New Roman" w:hAnsi="Times New Roman" w:cs="Times New Roman"/>
          <w:sz w:val="28"/>
          <w:szCs w:val="28"/>
          <w:lang w:eastAsia="lv-LV"/>
        </w:rPr>
        <w:t>" ar skaitli "</w:t>
      </w:r>
      <w:r w:rsidR="005C4767" w:rsidRPr="00D624B9">
        <w:rPr>
          <w:rFonts w:ascii="Times New Roman" w:hAnsi="Times New Roman" w:cs="Times New Roman"/>
          <w:sz w:val="28"/>
          <w:szCs w:val="28"/>
          <w:lang w:eastAsia="lv-LV"/>
        </w:rPr>
        <w:t>139</w:t>
      </w:r>
      <w:r w:rsidRPr="00D624B9">
        <w:rPr>
          <w:rFonts w:ascii="Times New Roman" w:hAnsi="Times New Roman" w:cs="Times New Roman"/>
          <w:sz w:val="28"/>
          <w:szCs w:val="28"/>
          <w:lang w:eastAsia="lv-LV"/>
        </w:rPr>
        <w:t>".</w:t>
      </w:r>
    </w:p>
    <w:p w14:paraId="5F672F43" w14:textId="77777777" w:rsidR="00816BC7" w:rsidRPr="00D624B9" w:rsidRDefault="00816BC7" w:rsidP="00816BC7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48CFD40" w14:textId="32FC4515" w:rsidR="00816BC7" w:rsidRPr="00D624B9" w:rsidRDefault="00816BC7" w:rsidP="00816BC7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B9">
        <w:rPr>
          <w:rFonts w:ascii="Times New Roman" w:hAnsi="Times New Roman" w:cs="Times New Roman"/>
          <w:sz w:val="28"/>
          <w:szCs w:val="28"/>
        </w:rPr>
        <w:t xml:space="preserve">2. Aizstāt </w:t>
      </w:r>
      <w:r w:rsidR="00516585" w:rsidRPr="00D624B9">
        <w:rPr>
          <w:rFonts w:ascii="Times New Roman" w:hAnsi="Times New Roman" w:cs="Times New Roman"/>
          <w:sz w:val="28"/>
          <w:szCs w:val="28"/>
        </w:rPr>
        <w:t>4</w:t>
      </w:r>
      <w:r w:rsidRPr="00D624B9">
        <w:rPr>
          <w:rFonts w:ascii="Times New Roman" w:hAnsi="Times New Roman" w:cs="Times New Roman"/>
          <w:sz w:val="28"/>
          <w:szCs w:val="28"/>
        </w:rPr>
        <w:t xml:space="preserve">.2. apakšpunktā </w:t>
      </w:r>
      <w:r w:rsidR="005C4767" w:rsidRPr="00D624B9">
        <w:rPr>
          <w:rFonts w:ascii="Times New Roman" w:hAnsi="Times New Roman" w:cs="Times New Roman"/>
          <w:sz w:val="28"/>
          <w:szCs w:val="28"/>
        </w:rPr>
        <w:t>skaitli</w:t>
      </w:r>
      <w:r w:rsidRPr="00D624B9">
        <w:rPr>
          <w:rFonts w:ascii="Times New Roman" w:hAnsi="Times New Roman" w:cs="Times New Roman"/>
          <w:sz w:val="28"/>
          <w:szCs w:val="28"/>
        </w:rPr>
        <w:t xml:space="preserve"> "</w:t>
      </w:r>
      <w:r w:rsidR="005C4767" w:rsidRPr="00D624B9">
        <w:rPr>
          <w:rFonts w:ascii="Times New Roman" w:hAnsi="Times New Roman" w:cs="Times New Roman"/>
          <w:sz w:val="28"/>
          <w:szCs w:val="28"/>
        </w:rPr>
        <w:t>747</w:t>
      </w:r>
      <w:r w:rsidRPr="00D624B9">
        <w:rPr>
          <w:rFonts w:ascii="Times New Roman" w:hAnsi="Times New Roman" w:cs="Times New Roman"/>
          <w:sz w:val="28"/>
          <w:szCs w:val="28"/>
        </w:rPr>
        <w:t xml:space="preserve">" ar </w:t>
      </w:r>
      <w:r w:rsidR="006B6341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skaitli </w:t>
      </w:r>
      <w:r w:rsidRPr="00D624B9">
        <w:rPr>
          <w:rFonts w:ascii="Times New Roman" w:hAnsi="Times New Roman" w:cs="Times New Roman"/>
          <w:sz w:val="28"/>
          <w:szCs w:val="28"/>
        </w:rPr>
        <w:t>"</w:t>
      </w:r>
      <w:r w:rsidR="005C4767" w:rsidRPr="00D624B9">
        <w:rPr>
          <w:rFonts w:ascii="Times New Roman" w:hAnsi="Times New Roman" w:cs="Times New Roman"/>
          <w:sz w:val="28"/>
          <w:szCs w:val="28"/>
        </w:rPr>
        <w:t>693</w:t>
      </w:r>
      <w:r w:rsidRPr="00D624B9">
        <w:rPr>
          <w:rFonts w:ascii="Times New Roman" w:hAnsi="Times New Roman" w:cs="Times New Roman"/>
          <w:sz w:val="28"/>
          <w:szCs w:val="28"/>
        </w:rPr>
        <w:t>".</w:t>
      </w:r>
    </w:p>
    <w:p w14:paraId="565F7AC4" w14:textId="77777777" w:rsidR="005C4767" w:rsidRPr="00D624B9" w:rsidRDefault="005C4767" w:rsidP="00816BC7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B865AAA" w14:textId="5A0B29E8" w:rsidR="00AC5853" w:rsidRPr="00D624B9" w:rsidRDefault="005C4767" w:rsidP="00816BC7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3. </w:t>
      </w:r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Izteikt 7. punktu </w:t>
      </w:r>
      <w:r w:rsidR="0094794C" w:rsidRPr="00D624B9">
        <w:rPr>
          <w:rFonts w:ascii="Times New Roman" w:hAnsi="Times New Roman" w:cs="Times New Roman"/>
          <w:sz w:val="28"/>
          <w:szCs w:val="28"/>
          <w:lang w:eastAsia="lv-LV"/>
        </w:rPr>
        <w:t>šād</w:t>
      </w:r>
      <w:r w:rsidR="00E630CA" w:rsidRPr="00D624B9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 redakcij</w:t>
      </w:r>
      <w:r w:rsidR="00E630CA" w:rsidRPr="00D624B9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018EC86E" w14:textId="77777777" w:rsidR="00AC5853" w:rsidRPr="00D624B9" w:rsidRDefault="00AC5853" w:rsidP="00816BC7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442F2C7" w14:textId="161C28A6" w:rsidR="00AC5853" w:rsidRPr="00D624B9" w:rsidRDefault="00D624B9" w:rsidP="00816BC7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624B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>7. Specifiskajam atbalstam plānotais kopējais attiecināmais finansējums ir</w:t>
      </w:r>
      <w:proofErr w:type="gramStart"/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  </w:t>
      </w:r>
      <w:proofErr w:type="gramEnd"/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7 801 701 </w:t>
      </w:r>
      <w:proofErr w:type="spellStart"/>
      <w:r w:rsidR="00AC5853" w:rsidRPr="00D624B9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, tai skaitā Eiropas Reģionālās attīstības fonda (turpmāk – ERAF) finansējums – 6 631 445 </w:t>
      </w:r>
      <w:proofErr w:type="spellStart"/>
      <w:r w:rsidR="00AC5853" w:rsidRPr="00D624B9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 un valsts budžeta finansējums – 1 170 256 </w:t>
      </w:r>
      <w:proofErr w:type="spellStart"/>
      <w:r w:rsidR="00AC5853" w:rsidRPr="00D624B9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AC5853" w:rsidRPr="00D624B9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D624B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94794C" w:rsidRPr="00D624B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7ECE5DF1" w14:textId="77777777" w:rsidR="00651D4F" w:rsidRPr="00D624B9" w:rsidRDefault="00651D4F" w:rsidP="00651D4F">
      <w:pPr>
        <w:jc w:val="both"/>
        <w:rPr>
          <w:sz w:val="28"/>
          <w:szCs w:val="28"/>
        </w:rPr>
      </w:pPr>
    </w:p>
    <w:p w14:paraId="66A5F6CF" w14:textId="230B5C4B" w:rsidR="009F3B4A" w:rsidRPr="00D624B9" w:rsidRDefault="009F3B4A" w:rsidP="009F3B4A">
      <w:pPr>
        <w:ind w:firstLine="709"/>
        <w:jc w:val="both"/>
        <w:rPr>
          <w:sz w:val="28"/>
          <w:szCs w:val="28"/>
        </w:rPr>
      </w:pPr>
      <w:r w:rsidRPr="00D624B9">
        <w:rPr>
          <w:sz w:val="28"/>
          <w:szCs w:val="28"/>
        </w:rPr>
        <w:t>4. Svītrot 9. punktu.</w:t>
      </w:r>
    </w:p>
    <w:p w14:paraId="4DF6F54A" w14:textId="77777777" w:rsidR="00651D4F" w:rsidRPr="00D624B9" w:rsidRDefault="00651D4F" w:rsidP="00651D4F">
      <w:pPr>
        <w:jc w:val="both"/>
        <w:rPr>
          <w:sz w:val="28"/>
          <w:szCs w:val="28"/>
        </w:rPr>
      </w:pPr>
    </w:p>
    <w:p w14:paraId="1E903265" w14:textId="77777777" w:rsidR="00D624B9" w:rsidRPr="00D624B9" w:rsidRDefault="00D624B9" w:rsidP="00B5421E">
      <w:pPr>
        <w:ind w:firstLine="709"/>
        <w:jc w:val="both"/>
        <w:rPr>
          <w:sz w:val="28"/>
          <w:szCs w:val="28"/>
        </w:rPr>
      </w:pPr>
    </w:p>
    <w:p w14:paraId="1CEA21BD" w14:textId="77777777" w:rsidR="00D624B9" w:rsidRPr="00D624B9" w:rsidRDefault="00D624B9" w:rsidP="00B5421E">
      <w:pPr>
        <w:ind w:firstLine="709"/>
        <w:jc w:val="both"/>
        <w:rPr>
          <w:sz w:val="28"/>
          <w:szCs w:val="28"/>
        </w:rPr>
      </w:pPr>
    </w:p>
    <w:p w14:paraId="5D1D095A" w14:textId="77777777" w:rsidR="00D624B9" w:rsidRPr="00D624B9" w:rsidRDefault="00D624B9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624B9">
        <w:rPr>
          <w:sz w:val="28"/>
          <w:szCs w:val="28"/>
        </w:rPr>
        <w:t>Ministru prezidents</w:t>
      </w:r>
      <w:r w:rsidRPr="00D624B9">
        <w:rPr>
          <w:sz w:val="28"/>
          <w:szCs w:val="28"/>
        </w:rPr>
        <w:tab/>
        <w:t>A. K. Kariņš</w:t>
      </w:r>
    </w:p>
    <w:p w14:paraId="3DFCBCA7" w14:textId="77777777" w:rsidR="00D624B9" w:rsidRPr="00D624B9" w:rsidRDefault="00D624B9" w:rsidP="00B5421E">
      <w:pPr>
        <w:ind w:firstLine="709"/>
        <w:jc w:val="both"/>
        <w:rPr>
          <w:sz w:val="28"/>
          <w:szCs w:val="28"/>
        </w:rPr>
      </w:pPr>
    </w:p>
    <w:p w14:paraId="23DE2F48" w14:textId="77777777" w:rsidR="00D624B9" w:rsidRPr="00D624B9" w:rsidRDefault="00D624B9" w:rsidP="00B5421E">
      <w:pPr>
        <w:ind w:firstLine="709"/>
        <w:jc w:val="both"/>
        <w:rPr>
          <w:sz w:val="28"/>
          <w:szCs w:val="28"/>
        </w:rPr>
      </w:pPr>
    </w:p>
    <w:p w14:paraId="1DC8A41E" w14:textId="77777777" w:rsidR="00D624B9" w:rsidRPr="00D624B9" w:rsidRDefault="00D624B9" w:rsidP="00B5421E">
      <w:pPr>
        <w:ind w:firstLine="709"/>
        <w:jc w:val="both"/>
        <w:rPr>
          <w:sz w:val="28"/>
          <w:szCs w:val="28"/>
        </w:rPr>
      </w:pPr>
    </w:p>
    <w:p w14:paraId="354CC6E6" w14:textId="77777777" w:rsidR="00D624B9" w:rsidRPr="00D624B9" w:rsidRDefault="00D624B9" w:rsidP="00B5421E">
      <w:pPr>
        <w:tabs>
          <w:tab w:val="left" w:pos="6521"/>
        </w:tabs>
        <w:ind w:firstLine="709"/>
        <w:rPr>
          <w:sz w:val="28"/>
          <w:szCs w:val="28"/>
        </w:rPr>
      </w:pPr>
      <w:r w:rsidRPr="00D624B9">
        <w:rPr>
          <w:sz w:val="28"/>
          <w:szCs w:val="28"/>
        </w:rPr>
        <w:t>Satiksmes ministrs</w:t>
      </w:r>
      <w:r w:rsidRPr="00D624B9">
        <w:rPr>
          <w:sz w:val="28"/>
          <w:szCs w:val="28"/>
        </w:rPr>
        <w:tab/>
        <w:t>T. </w:t>
      </w:r>
      <w:proofErr w:type="spellStart"/>
      <w:r w:rsidRPr="00D624B9">
        <w:rPr>
          <w:sz w:val="28"/>
          <w:szCs w:val="28"/>
        </w:rPr>
        <w:t>Linkaits</w:t>
      </w:r>
      <w:proofErr w:type="spellEnd"/>
    </w:p>
    <w:sectPr w:rsidR="00D624B9" w:rsidRPr="00D624B9" w:rsidSect="00D624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4A84" w14:textId="77777777" w:rsidR="00FD4D01" w:rsidRDefault="00FD4D01">
      <w:r>
        <w:separator/>
      </w:r>
    </w:p>
  </w:endnote>
  <w:endnote w:type="continuationSeparator" w:id="0">
    <w:p w14:paraId="789483A9" w14:textId="77777777" w:rsidR="00FD4D01" w:rsidRDefault="00FD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61BE6800" w:rsidR="006457F2" w:rsidRPr="00D624B9" w:rsidRDefault="00D624B9">
    <w:pPr>
      <w:pStyle w:val="Footer"/>
      <w:rPr>
        <w:sz w:val="16"/>
        <w:szCs w:val="16"/>
      </w:rPr>
    </w:pPr>
    <w:r>
      <w:rPr>
        <w:sz w:val="16"/>
        <w:szCs w:val="16"/>
      </w:rPr>
      <w:t>N0960_0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1641" w14:textId="77777777" w:rsidR="00FD4D01" w:rsidRDefault="00FD4D01">
      <w:r>
        <w:separator/>
      </w:r>
    </w:p>
  </w:footnote>
  <w:footnote w:type="continuationSeparator" w:id="0">
    <w:p w14:paraId="14CACC3A" w14:textId="77777777" w:rsidR="00FD4D01" w:rsidRDefault="00FD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C254" w14:textId="236BEB1B" w:rsidR="00D624B9" w:rsidRDefault="00D624B9">
    <w:pPr>
      <w:pStyle w:val="Header"/>
    </w:pPr>
  </w:p>
  <w:p w14:paraId="7FD8B81B" w14:textId="77777777" w:rsidR="00D624B9" w:rsidRDefault="00D624B9">
    <w:pPr>
      <w:pStyle w:val="Header"/>
    </w:pPr>
    <w:r>
      <w:rPr>
        <w:noProof/>
      </w:rPr>
      <w:drawing>
        <wp:inline distT="0" distB="0" distL="0" distR="0" wp14:anchorId="381BD46D" wp14:editId="1EB133B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3FA5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E33C4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0535"/>
    <w:rsid w:val="003B6775"/>
    <w:rsid w:val="003C368A"/>
    <w:rsid w:val="003D16AF"/>
    <w:rsid w:val="003E1992"/>
    <w:rsid w:val="003F039C"/>
    <w:rsid w:val="003F2AFD"/>
    <w:rsid w:val="00404CAA"/>
    <w:rsid w:val="004203E7"/>
    <w:rsid w:val="00422080"/>
    <w:rsid w:val="00433DAD"/>
    <w:rsid w:val="004466A0"/>
    <w:rsid w:val="00452998"/>
    <w:rsid w:val="0046483F"/>
    <w:rsid w:val="00482603"/>
    <w:rsid w:val="004923A8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16585"/>
    <w:rsid w:val="00523382"/>
    <w:rsid w:val="00523B02"/>
    <w:rsid w:val="00524BFD"/>
    <w:rsid w:val="005256C0"/>
    <w:rsid w:val="00525F54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4767"/>
    <w:rsid w:val="005C78D9"/>
    <w:rsid w:val="005C7F82"/>
    <w:rsid w:val="005D285F"/>
    <w:rsid w:val="005D534B"/>
    <w:rsid w:val="005E2B87"/>
    <w:rsid w:val="005F5401"/>
    <w:rsid w:val="00600472"/>
    <w:rsid w:val="0060088B"/>
    <w:rsid w:val="00600E89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B6341"/>
    <w:rsid w:val="006C4B76"/>
    <w:rsid w:val="006E3579"/>
    <w:rsid w:val="006E5D5F"/>
    <w:rsid w:val="006E5FE2"/>
    <w:rsid w:val="006E6314"/>
    <w:rsid w:val="00721036"/>
    <w:rsid w:val="0072507B"/>
    <w:rsid w:val="00733CC0"/>
    <w:rsid w:val="00736E51"/>
    <w:rsid w:val="00746861"/>
    <w:rsid w:val="00746F4F"/>
    <w:rsid w:val="0074764B"/>
    <w:rsid w:val="00750EE3"/>
    <w:rsid w:val="00774A4B"/>
    <w:rsid w:val="00775F74"/>
    <w:rsid w:val="00787DA8"/>
    <w:rsid w:val="007947CC"/>
    <w:rsid w:val="00796BFD"/>
    <w:rsid w:val="007B5DBD"/>
    <w:rsid w:val="007C63F0"/>
    <w:rsid w:val="007E35C4"/>
    <w:rsid w:val="007E6756"/>
    <w:rsid w:val="007F7F31"/>
    <w:rsid w:val="0080189A"/>
    <w:rsid w:val="00812AFA"/>
    <w:rsid w:val="00816BC7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21D22"/>
    <w:rsid w:val="00932D89"/>
    <w:rsid w:val="0094794C"/>
    <w:rsid w:val="00947B4D"/>
    <w:rsid w:val="00965351"/>
    <w:rsid w:val="009724F6"/>
    <w:rsid w:val="00976A21"/>
    <w:rsid w:val="00980D1E"/>
    <w:rsid w:val="0098390C"/>
    <w:rsid w:val="00985027"/>
    <w:rsid w:val="00993B6A"/>
    <w:rsid w:val="009A7A12"/>
    <w:rsid w:val="009C5A63"/>
    <w:rsid w:val="009C76ED"/>
    <w:rsid w:val="009D1238"/>
    <w:rsid w:val="009F1E4B"/>
    <w:rsid w:val="009F3B4A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C4BCC"/>
    <w:rsid w:val="00AC5853"/>
    <w:rsid w:val="00AD28A5"/>
    <w:rsid w:val="00AF505D"/>
    <w:rsid w:val="00AF5AB5"/>
    <w:rsid w:val="00B12F17"/>
    <w:rsid w:val="00B1583A"/>
    <w:rsid w:val="00B16A5E"/>
    <w:rsid w:val="00B249E8"/>
    <w:rsid w:val="00B30445"/>
    <w:rsid w:val="00B3099A"/>
    <w:rsid w:val="00B30D1A"/>
    <w:rsid w:val="00B43B5E"/>
    <w:rsid w:val="00B57553"/>
    <w:rsid w:val="00B57ACD"/>
    <w:rsid w:val="00B60DB3"/>
    <w:rsid w:val="00B77A0F"/>
    <w:rsid w:val="00B81177"/>
    <w:rsid w:val="00B83E78"/>
    <w:rsid w:val="00B9584F"/>
    <w:rsid w:val="00BA4539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96904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17F29"/>
    <w:rsid w:val="00D34E8D"/>
    <w:rsid w:val="00D436D1"/>
    <w:rsid w:val="00D46149"/>
    <w:rsid w:val="00D46C11"/>
    <w:rsid w:val="00D53187"/>
    <w:rsid w:val="00D624B9"/>
    <w:rsid w:val="00D651B6"/>
    <w:rsid w:val="00D65840"/>
    <w:rsid w:val="00D76D68"/>
    <w:rsid w:val="00D81E23"/>
    <w:rsid w:val="00D86F43"/>
    <w:rsid w:val="00D92529"/>
    <w:rsid w:val="00D962ED"/>
    <w:rsid w:val="00DA4BAA"/>
    <w:rsid w:val="00DC25B2"/>
    <w:rsid w:val="00E2556F"/>
    <w:rsid w:val="00E25C04"/>
    <w:rsid w:val="00E368BA"/>
    <w:rsid w:val="00E36A1B"/>
    <w:rsid w:val="00E43197"/>
    <w:rsid w:val="00E555E7"/>
    <w:rsid w:val="00E630CA"/>
    <w:rsid w:val="00E6461F"/>
    <w:rsid w:val="00E830CB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0766"/>
    <w:rsid w:val="00FD34BC"/>
    <w:rsid w:val="00FD4D0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naislab">
    <w:name w:val="naislab"/>
    <w:basedOn w:val="Normal"/>
    <w:uiPriority w:val="99"/>
    <w:rsid w:val="00816BC7"/>
    <w:pPr>
      <w:suppressAutoHyphens/>
      <w:autoSpaceDN w:val="0"/>
      <w:spacing w:before="100" w:after="100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6294-7805-4D13-976C-3B54EB0C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grozījumiem Ministru kabineta 2015. gada 3. novembra noteikumos Nr. 637 "Darbības programmas "Izaugsme un nodarbinātība" 4.4.1. specifiskā atbalsta mērķa "Attīstīt ETL uzlādes infrastruktūru Latvijā" īstenošanas noteikumi"</vt:lpstr>
      <vt:lpstr>Par Ministru kabineta 2017. gada 4. aprīļa noteikumu Nr. 198</vt:lpstr>
    </vt:vector>
  </TitlesOfParts>
  <Company>Satiksmes ministrija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Ministru kabineta 2015. gada 3. novembra noteikumos Nr. 637 "Darbības programmas "Izaugsme un nodarbinātība" 4.4.1. specifiskā atbalsta mērķa "Attīstīt ETL uzlādes infrastruktūru Latvijā" īstenošanas noteikumi"</dc:title>
  <dc:subject>Noteikumu projekts</dc:subject>
  <dc:creator>Kaspars.Slihta@sam.gov.lv;Atis.Jekabsons@sam.gov.lv</dc:creator>
  <cp:keywords>Ministru kabineta noteikumu projekts</cp:keywords>
  <dc:description>kaspars.slihta@sam.gov.lv, 67028395; atis.jekabsons@sam.gov.lv, 67028044.</dc:description>
  <cp:lastModifiedBy>Leontine Babkina</cp:lastModifiedBy>
  <cp:revision>14</cp:revision>
  <cp:lastPrinted>2020-05-25T07:57:00Z</cp:lastPrinted>
  <dcterms:created xsi:type="dcterms:W3CDTF">2020-04-01T13:14:00Z</dcterms:created>
  <dcterms:modified xsi:type="dcterms:W3CDTF">2020-06-05T13:04:00Z</dcterms:modified>
</cp:coreProperties>
</file>