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4656" w:rsidR="00B95E50" w:rsidP="00B95E50" w:rsidRDefault="00B95E50" w14:paraId="1CFDFF10" w14:textId="1259B92B">
      <w:pPr>
        <w:shd w:val="clear" w:color="auto" w:fill="FFFFFF"/>
        <w:spacing w:after="0"/>
        <w:jc w:val="center"/>
        <w:rPr>
          <w:rFonts w:eastAsia="Times New Roman"/>
          <w:b/>
        </w:rPr>
      </w:pPr>
      <w:r w:rsidRPr="00124656">
        <w:rPr>
          <w:rFonts w:eastAsia="Times New Roman"/>
          <w:b/>
        </w:rPr>
        <w:t xml:space="preserve">Ministru kabineta noteikumu projekta </w:t>
      </w:r>
      <w:bookmarkStart w:name="_Hlk27131967" w:id="0"/>
      <w:r w:rsidRPr="00124656">
        <w:rPr>
          <w:rFonts w:eastAsia="Times New Roman"/>
          <w:b/>
        </w:rPr>
        <w:t xml:space="preserve">“Grozījumi </w:t>
      </w:r>
      <w:r w:rsidRPr="00124656">
        <w:rPr>
          <w:b/>
          <w:color w:val="000000"/>
        </w:rPr>
        <w:t xml:space="preserve">Ministru kabineta </w:t>
      </w:r>
      <w:bookmarkStart w:name="_Hlk6393453" w:id="1"/>
      <w:r w:rsidRPr="00124656">
        <w:rPr>
          <w:b/>
          <w:color w:val="000000"/>
        </w:rPr>
        <w:t xml:space="preserve">2012.gada </w:t>
      </w:r>
      <w:bookmarkEnd w:id="1"/>
      <w:r w:rsidRPr="00124656">
        <w:rPr>
          <w:b/>
          <w:color w:val="000000"/>
        </w:rPr>
        <w:t>3.janvāra noteikumos Nr.28 “</w:t>
      </w:r>
      <w:r w:rsidRPr="00124656">
        <w:rPr>
          <w:b/>
          <w:color w:val="000000"/>
          <w:shd w:val="clear" w:color="auto" w:fill="FFFFFF"/>
        </w:rPr>
        <w:t>Valsts akciju sabiedrības “Latvijas gaisa satiksme” sniegto aeronavigācijas pakalpojumu maksas noteikšanas un iekasēšanas kārtība</w:t>
      </w:r>
      <w:r w:rsidRPr="00124656">
        <w:rPr>
          <w:b/>
          <w:color w:val="000000"/>
        </w:rPr>
        <w:t>”</w:t>
      </w:r>
      <w:r w:rsidRPr="00124656">
        <w:rPr>
          <w:rFonts w:eastAsia="Times New Roman"/>
          <w:b/>
        </w:rPr>
        <w:t xml:space="preserve"> </w:t>
      </w:r>
      <w:bookmarkEnd w:id="0"/>
      <w:r w:rsidRPr="00124656">
        <w:rPr>
          <w:rFonts w:eastAsia="Times New Roman"/>
          <w:b/>
        </w:rPr>
        <w:t>sākotnējās ietekmes novērtējuma ziņojums (anotācija)</w:t>
      </w:r>
    </w:p>
    <w:p w:rsidRPr="005511D3" w:rsidR="00B95E50" w:rsidP="00B95E50" w:rsidRDefault="00B95E50" w14:paraId="572EB9D1" w14:textId="77777777">
      <w:pPr>
        <w:shd w:val="clear" w:color="auto" w:fill="FFFFFF"/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8C0EDC" w:rsidR="008C0EDC" w:rsidTr="008C0EDC" w14:paraId="72EAC7E4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3E6990F4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Pr="008C0EDC" w:rsidR="008C0EDC" w:rsidTr="007C5C75" w14:paraId="3C32EC2B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34035B35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681BD1" w:rsidRDefault="00272B62" w14:paraId="7FCED0F3" w14:textId="4BD4456D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272B62">
              <w:rPr>
                <w:rFonts w:eastAsia="Times New Roman"/>
                <w:lang w:eastAsia="lv-LV"/>
              </w:rPr>
              <w:t>Neaizpilda atbilstoši Ministru kabineta 2009.gada 15.decembra instrukcijas Nr.19 “Tiesību akta projekta sākotnējās ietekmes izvērtēšanas kārtība” 5.</w:t>
            </w:r>
            <w:r w:rsidRPr="009F564F">
              <w:rPr>
                <w:rFonts w:eastAsia="Times New Roman"/>
                <w:vertAlign w:val="superscript"/>
                <w:lang w:eastAsia="lv-LV"/>
              </w:rPr>
              <w:t>1</w:t>
            </w:r>
            <w:r w:rsidR="003B3E8C">
              <w:rPr>
                <w:rFonts w:eastAsia="Times New Roman"/>
                <w:lang w:eastAsia="lv-LV"/>
              </w:rPr>
              <w:t xml:space="preserve"> </w:t>
            </w:r>
            <w:r w:rsidRPr="00272B62">
              <w:rPr>
                <w:rFonts w:eastAsia="Times New Roman"/>
                <w:lang w:eastAsia="lv-LV"/>
              </w:rPr>
              <w:t>punkt</w:t>
            </w:r>
            <w:r w:rsidR="00CE7835">
              <w:rPr>
                <w:rFonts w:eastAsia="Times New Roman"/>
                <w:lang w:eastAsia="lv-LV"/>
              </w:rPr>
              <w:t>ā noteiktajam</w:t>
            </w:r>
            <w:r w:rsidR="00B95E50">
              <w:rPr>
                <w:rFonts w:eastAsia="Times New Roman"/>
                <w:lang w:eastAsia="lv-LV"/>
              </w:rPr>
              <w:t>.</w:t>
            </w:r>
          </w:p>
        </w:tc>
      </w:tr>
    </w:tbl>
    <w:p w:rsidRPr="008C0EDC" w:rsidR="008C0EDC" w:rsidP="008C0EDC" w:rsidRDefault="008C0EDC" w14:paraId="089B0B0F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8C0EDC" w:rsidR="008C0EDC" w:rsidTr="008C0EDC" w14:paraId="184D6147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3F040555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I. Tiesību akta projekta izstrādes nepieciešamība</w:t>
            </w:r>
          </w:p>
        </w:tc>
      </w:tr>
      <w:tr w:rsidRPr="008C0EDC" w:rsidR="008C0EDC" w:rsidTr="00BA0797" w14:paraId="082EEA29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6B999AA3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7ECE41BE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8C0EDC" w:rsidP="00805357" w:rsidRDefault="00805357" w14:paraId="49BD10D5" w14:textId="27CA621B">
            <w:pPr>
              <w:spacing w:after="0"/>
              <w:rPr>
                <w:rFonts w:eastAsia="Times New Roman"/>
                <w:lang w:eastAsia="lv-LV"/>
              </w:rPr>
            </w:pPr>
            <w:r w:rsidRPr="00805357">
              <w:rPr>
                <w:rFonts w:eastAsia="Times New Roman"/>
                <w:lang w:eastAsia="lv-LV"/>
              </w:rPr>
              <w:t xml:space="preserve">Likuma „Par aviāciju” </w:t>
            </w:r>
            <w:r w:rsidR="00B95E50">
              <w:rPr>
                <w:rFonts w:eastAsia="Times New Roman"/>
                <w:lang w:eastAsia="lv-LV"/>
              </w:rPr>
              <w:t>28</w:t>
            </w:r>
            <w:r w:rsidRPr="00805357">
              <w:rPr>
                <w:rFonts w:eastAsia="Times New Roman"/>
                <w:lang w:eastAsia="lv-LV"/>
              </w:rPr>
              <w:t xml:space="preserve">.panta </w:t>
            </w:r>
            <w:r w:rsidR="00B95E50">
              <w:rPr>
                <w:rFonts w:eastAsia="Times New Roman"/>
                <w:lang w:eastAsia="lv-LV"/>
              </w:rPr>
              <w:t>pirmā</w:t>
            </w:r>
            <w:r w:rsidRPr="00805357">
              <w:rPr>
                <w:rFonts w:eastAsia="Times New Roman"/>
                <w:lang w:eastAsia="lv-LV"/>
              </w:rPr>
              <w:t xml:space="preserve"> daļa</w:t>
            </w:r>
            <w:r w:rsidR="00CE7835">
              <w:rPr>
                <w:rFonts w:eastAsia="Times New Roman"/>
                <w:lang w:eastAsia="lv-LV"/>
              </w:rPr>
              <w:t>.</w:t>
            </w:r>
          </w:p>
          <w:p w:rsidRPr="008C0EDC" w:rsidR="007A720C" w:rsidP="00805357" w:rsidRDefault="007A720C" w14:paraId="753B8A20" w14:textId="77777777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Pr="00D54E9D" w:rsidR="00D54E9D" w:rsidTr="00BA0797" w14:paraId="133CB299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0AD9D62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61FA476D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D54E9D" w:rsidR="00446BA9" w:rsidP="00BF627B" w:rsidRDefault="007C5C75" w14:paraId="69D4C2CD" w14:textId="57271FA2">
            <w:pPr>
              <w:spacing w:after="0"/>
              <w:ind w:firstLine="675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D54E9D">
              <w:rPr>
                <w:bCs/>
                <w:color w:val="000000" w:themeColor="text1"/>
              </w:rPr>
              <w:t>Ministru kabineta 2012.gada 3.janvāra noteikumu Nr.28 “</w:t>
            </w:r>
            <w:r w:rsidRPr="00D54E9D">
              <w:rPr>
                <w:bCs/>
                <w:color w:val="000000" w:themeColor="text1"/>
                <w:shd w:val="clear" w:color="auto" w:fill="FFFFFF"/>
              </w:rPr>
              <w:t xml:space="preserve">Valsts akciju sabiedrības “Latvijas gaisa satiksme” sniegto aeronavigācijas pakalpojumu maksas noteikšanas un iekasēšanas kārtība” (turpmāk </w:t>
            </w:r>
            <w:r w:rsidRPr="00D54E9D" w:rsidR="00BF627B">
              <w:rPr>
                <w:bCs/>
                <w:color w:val="000000" w:themeColor="text1"/>
                <w:shd w:val="clear" w:color="auto" w:fill="FFFFFF"/>
              </w:rPr>
              <w:t>–</w:t>
            </w:r>
            <w:r w:rsidRPr="00D54E9D">
              <w:rPr>
                <w:bCs/>
                <w:color w:val="000000" w:themeColor="text1"/>
                <w:shd w:val="clear" w:color="auto" w:fill="FFFFFF"/>
              </w:rPr>
              <w:t xml:space="preserve"> M</w:t>
            </w:r>
            <w:r w:rsidRPr="00D54E9D" w:rsidR="00BF627B">
              <w:rPr>
                <w:bCs/>
                <w:color w:val="000000" w:themeColor="text1"/>
                <w:shd w:val="clear" w:color="auto" w:fill="FFFFFF"/>
              </w:rPr>
              <w:t xml:space="preserve">K </w:t>
            </w:r>
            <w:r w:rsidRPr="00D54E9D">
              <w:rPr>
                <w:bCs/>
                <w:color w:val="000000" w:themeColor="text1"/>
                <w:shd w:val="clear" w:color="auto" w:fill="FFFFFF"/>
              </w:rPr>
              <w:t>not</w:t>
            </w:r>
            <w:r w:rsidRPr="00D54E9D" w:rsidR="00BF627B">
              <w:rPr>
                <w:bCs/>
                <w:color w:val="000000" w:themeColor="text1"/>
                <w:shd w:val="clear" w:color="auto" w:fill="FFFFFF"/>
              </w:rPr>
              <w:t xml:space="preserve">eikumi </w:t>
            </w:r>
            <w:r w:rsidR="00B17991">
              <w:rPr>
                <w:bCs/>
                <w:color w:val="000000" w:themeColor="text1"/>
                <w:shd w:val="clear" w:color="auto" w:fill="FFFFFF"/>
              </w:rPr>
              <w:t>N</w:t>
            </w:r>
            <w:r w:rsidRPr="00D54E9D" w:rsidR="00BF627B">
              <w:rPr>
                <w:bCs/>
                <w:color w:val="000000" w:themeColor="text1"/>
                <w:shd w:val="clear" w:color="auto" w:fill="FFFFFF"/>
              </w:rPr>
              <w:t>r</w:t>
            </w:r>
            <w:r w:rsidRPr="00D54E9D">
              <w:rPr>
                <w:bCs/>
                <w:color w:val="000000" w:themeColor="text1"/>
                <w:shd w:val="clear" w:color="auto" w:fill="FFFFFF"/>
              </w:rPr>
              <w:t xml:space="preserve">.28) 3.1.apakšunktā ir ietverta atsauce uz Eiropas Komisijas regulas pantu, kurā ir uzskaitīti lidojumi, kas ir atbrīvoti no aeronavigācijas pakalpojumu maksām. </w:t>
            </w:r>
            <w:r w:rsidRPr="00D54E9D" w:rsidR="00BF627B">
              <w:rPr>
                <w:bCs/>
                <w:color w:val="000000" w:themeColor="text1"/>
                <w:shd w:val="clear" w:color="auto" w:fill="FFFFFF"/>
              </w:rPr>
              <w:t xml:space="preserve">Eiropas </w:t>
            </w:r>
            <w:r w:rsidRPr="00D54E9D" w:rsidR="00CE7835">
              <w:rPr>
                <w:color w:val="000000" w:themeColor="text1"/>
                <w:shd w:val="clear" w:color="auto" w:fill="FFFFFF"/>
              </w:rPr>
              <w:t xml:space="preserve">Komisija 2019.gada 11.februārī ir pieņēmusi īstenošanas Regulu (EK) Nr. 2019/317, </w:t>
            </w:r>
            <w:r w:rsidRPr="00D54E9D" w:rsidR="00CE7835">
              <w:rPr>
                <w:color w:val="000000" w:themeColor="text1"/>
              </w:rPr>
              <w:t>ar ko nosaka darbības uzlabošanas sistēmu un tarifikācijas sistēmu Eiropas vienotajā gaisa telpā un atceļ Īstenošanas regulas (ES) Nr. 390/2013 un (ES) Nr. 391/2013</w:t>
            </w:r>
            <w:r w:rsidR="009F564F">
              <w:rPr>
                <w:color w:val="000000" w:themeColor="text1"/>
              </w:rPr>
              <w:t>,</w:t>
            </w:r>
            <w:r w:rsidRPr="00D54E9D" w:rsidR="00446BA9">
              <w:rPr>
                <w:color w:val="000000" w:themeColor="text1"/>
              </w:rPr>
              <w:t xml:space="preserve"> (turpmāk - Regula </w:t>
            </w:r>
            <w:r w:rsidRPr="00D54E9D" w:rsidR="00446BA9">
              <w:rPr>
                <w:color w:val="000000" w:themeColor="text1"/>
                <w:shd w:val="clear" w:color="auto" w:fill="FFFFFF"/>
              </w:rPr>
              <w:t>Nr. 2019/317)</w:t>
            </w:r>
            <w:r w:rsidRPr="00D54E9D" w:rsidR="00CE7835">
              <w:rPr>
                <w:color w:val="000000" w:themeColor="text1"/>
              </w:rPr>
              <w:t>, kas nosaka</w:t>
            </w:r>
            <w:r w:rsidRPr="00D54E9D" w:rsidR="00D26C05">
              <w:rPr>
                <w:color w:val="000000" w:themeColor="text1"/>
              </w:rPr>
              <w:t xml:space="preserve">, kādi lidojumi ir atbrīvoti no aeronavigācijas pakalpojumu maksas. </w:t>
            </w:r>
            <w:r w:rsidRPr="00D54E9D" w:rsidR="00AA5306">
              <w:rPr>
                <w:color w:val="000000" w:themeColor="text1"/>
              </w:rPr>
              <w:t>Nomainoties regulai</w:t>
            </w:r>
            <w:r w:rsidR="00CF07D6">
              <w:rPr>
                <w:color w:val="000000" w:themeColor="text1"/>
              </w:rPr>
              <w:t>,</w:t>
            </w:r>
            <w:r w:rsidRPr="00D54E9D" w:rsidR="00AA5306">
              <w:rPr>
                <w:bCs/>
                <w:color w:val="000000" w:themeColor="text1"/>
                <w:shd w:val="clear" w:color="auto" w:fill="FFFFFF"/>
              </w:rPr>
              <w:t xml:space="preserve"> no maksas atbrīvoto lidojumu uzskaitījums nav mainīts</w:t>
            </w:r>
            <w:r w:rsidRPr="00D54E9D" w:rsidR="009D43F1">
              <w:rPr>
                <w:bCs/>
                <w:color w:val="000000" w:themeColor="text1"/>
                <w:shd w:val="clear" w:color="auto" w:fill="FFFFFF"/>
              </w:rPr>
              <w:t>.</w:t>
            </w:r>
          </w:p>
          <w:p w:rsidRPr="00D54E9D" w:rsidR="00B9616E" w:rsidP="009F564F" w:rsidRDefault="00D26C05" w14:paraId="77C0398F" w14:textId="69DEDBE7">
            <w:pPr>
              <w:spacing w:after="0"/>
              <w:ind w:firstLine="675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D54E9D">
              <w:rPr>
                <w:color w:val="000000" w:themeColor="text1"/>
              </w:rPr>
              <w:t xml:space="preserve">Attiecīgi ir jāveic grozījumi </w:t>
            </w:r>
            <w:r w:rsidRPr="00D54E9D">
              <w:rPr>
                <w:bCs/>
                <w:color w:val="000000" w:themeColor="text1"/>
              </w:rPr>
              <w:t>M</w:t>
            </w:r>
            <w:r w:rsidRPr="00D54E9D" w:rsidR="00AA5306">
              <w:rPr>
                <w:bCs/>
                <w:color w:val="000000" w:themeColor="text1"/>
              </w:rPr>
              <w:t>K</w:t>
            </w:r>
            <w:r w:rsidRPr="00D54E9D" w:rsidR="00BF627B">
              <w:rPr>
                <w:bCs/>
                <w:color w:val="000000" w:themeColor="text1"/>
              </w:rPr>
              <w:t xml:space="preserve"> noteikumos </w:t>
            </w:r>
            <w:r w:rsidR="00B17991">
              <w:rPr>
                <w:bCs/>
                <w:color w:val="000000" w:themeColor="text1"/>
              </w:rPr>
              <w:t>N</w:t>
            </w:r>
            <w:r w:rsidRPr="00D54E9D" w:rsidR="00BF627B">
              <w:rPr>
                <w:bCs/>
                <w:color w:val="000000" w:themeColor="text1"/>
              </w:rPr>
              <w:t>r.</w:t>
            </w:r>
            <w:r w:rsidRPr="00D54E9D" w:rsidR="00AA5306">
              <w:rPr>
                <w:bCs/>
                <w:color w:val="000000" w:themeColor="text1"/>
              </w:rPr>
              <w:t>28:</w:t>
            </w:r>
          </w:p>
          <w:p w:rsidRPr="00D54E9D" w:rsidR="002B5488" w:rsidP="00B17991" w:rsidRDefault="00AA5306" w14:paraId="7F8A0BBA" w14:textId="4D04D081">
            <w:pPr>
              <w:pStyle w:val="ListParagraph"/>
              <w:numPr>
                <w:ilvl w:val="0"/>
                <w:numId w:val="1"/>
              </w:numPr>
              <w:tabs>
                <w:tab w:val="left" w:pos="391"/>
              </w:tabs>
              <w:spacing w:after="0"/>
              <w:ind w:left="0" w:firstLine="108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D54E9D">
              <w:rPr>
                <w:bCs/>
                <w:color w:val="000000" w:themeColor="text1"/>
                <w:shd w:val="clear" w:color="auto" w:fill="FFFFFF"/>
              </w:rPr>
              <w:t>aizstājot</w:t>
            </w:r>
            <w:r w:rsidRPr="00D54E9D" w:rsidR="00B9616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54E9D" w:rsidR="00D26C05">
              <w:rPr>
                <w:bCs/>
                <w:color w:val="000000" w:themeColor="text1"/>
                <w:shd w:val="clear" w:color="auto" w:fill="FFFFFF"/>
              </w:rPr>
              <w:t xml:space="preserve">3.1.apakšpunktā </w:t>
            </w:r>
            <w:r w:rsidRPr="00D54E9D" w:rsidR="00446BA9">
              <w:rPr>
                <w:bCs/>
                <w:color w:val="000000" w:themeColor="text1"/>
                <w:shd w:val="clear" w:color="auto" w:fill="FFFFFF"/>
              </w:rPr>
              <w:t xml:space="preserve">minēto </w:t>
            </w:r>
            <w:r w:rsidRPr="00D54E9D" w:rsidR="00D54E9D">
              <w:rPr>
                <w:bCs/>
                <w:color w:val="000000" w:themeColor="text1"/>
                <w:shd w:val="clear" w:color="auto" w:fill="FFFFFF"/>
              </w:rPr>
              <w:t xml:space="preserve">Eiropas </w:t>
            </w:r>
            <w:r w:rsidRPr="00D54E9D" w:rsidR="00D54E9D">
              <w:rPr>
                <w:color w:val="000000" w:themeColor="text1"/>
                <w:shd w:val="clear" w:color="auto" w:fill="FFFFFF"/>
              </w:rPr>
              <w:t>Komisijas 2006.gada 6.decembra Regulu (EK) Nr. 1794/2006, ar ko nosaka kopēju tarifikācijas sistēmu aeronavigācijas pakalpojumiem</w:t>
            </w:r>
            <w:r w:rsidRPr="00D54E9D" w:rsidR="00D54E9D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D54E9D">
              <w:rPr>
                <w:bCs/>
                <w:color w:val="000000" w:themeColor="text1"/>
                <w:shd w:val="clear" w:color="auto" w:fill="FFFFFF"/>
              </w:rPr>
              <w:t xml:space="preserve">un atsauci uz tās 9.panta pirmo daļu </w:t>
            </w:r>
            <w:r w:rsidRPr="00D54E9D" w:rsidR="00446BA9">
              <w:rPr>
                <w:bCs/>
                <w:color w:val="000000" w:themeColor="text1"/>
                <w:shd w:val="clear" w:color="auto" w:fill="FFFFFF"/>
              </w:rPr>
              <w:t xml:space="preserve">ar </w:t>
            </w:r>
            <w:r w:rsidRPr="00D54E9D" w:rsidR="007C5C75">
              <w:rPr>
                <w:bCs/>
                <w:color w:val="000000" w:themeColor="text1"/>
                <w:shd w:val="clear" w:color="auto" w:fill="FFFFFF"/>
              </w:rPr>
              <w:t>R</w:t>
            </w:r>
            <w:r w:rsidRPr="00D54E9D" w:rsidR="00446BA9">
              <w:rPr>
                <w:bCs/>
                <w:color w:val="000000" w:themeColor="text1"/>
                <w:shd w:val="clear" w:color="auto" w:fill="FFFFFF"/>
              </w:rPr>
              <w:t xml:space="preserve">egulu </w:t>
            </w:r>
            <w:r w:rsidRPr="00D54E9D" w:rsidR="00446BA9">
              <w:rPr>
                <w:color w:val="000000" w:themeColor="text1"/>
                <w:shd w:val="clear" w:color="auto" w:fill="FFFFFF"/>
              </w:rPr>
              <w:t>Nr. 2019/317</w:t>
            </w:r>
            <w:r w:rsidRPr="00D54E9D">
              <w:rPr>
                <w:color w:val="000000" w:themeColor="text1"/>
                <w:shd w:val="clear" w:color="auto" w:fill="FFFFFF"/>
              </w:rPr>
              <w:t xml:space="preserve">, </w:t>
            </w:r>
            <w:r w:rsidR="00D54E9D">
              <w:rPr>
                <w:color w:val="000000" w:themeColor="text1"/>
                <w:shd w:val="clear" w:color="auto" w:fill="FFFFFF"/>
              </w:rPr>
              <w:t xml:space="preserve">un tās 31.panta trešo daļu, </w:t>
            </w:r>
            <w:r w:rsidRPr="00D54E9D">
              <w:rPr>
                <w:color w:val="000000" w:themeColor="text1"/>
                <w:shd w:val="clear" w:color="auto" w:fill="FFFFFF"/>
              </w:rPr>
              <w:t>kas pašlaik nosaka no aeronavigācijas maksām atbrīvoto lidojumu sarakstu;</w:t>
            </w:r>
          </w:p>
          <w:p w:rsidRPr="00DA6C42" w:rsidR="00D26C05" w:rsidP="00B17991" w:rsidRDefault="00AA5306" w14:paraId="76A42C19" w14:textId="17EE21C9">
            <w:pPr>
              <w:pStyle w:val="ListParagraph"/>
              <w:numPr>
                <w:ilvl w:val="0"/>
                <w:numId w:val="1"/>
              </w:numPr>
              <w:tabs>
                <w:tab w:val="left" w:pos="391"/>
              </w:tabs>
              <w:ind w:left="0" w:firstLine="2"/>
              <w:jc w:val="both"/>
            </w:pPr>
            <w:r w:rsidRPr="00DA6C42">
              <w:rPr>
                <w:bCs/>
                <w:color w:val="000000" w:themeColor="text1"/>
                <w:shd w:val="clear" w:color="auto" w:fill="FFFFFF"/>
              </w:rPr>
              <w:t xml:space="preserve">aizstājot </w:t>
            </w:r>
            <w:r w:rsidRPr="00DA6C42" w:rsidR="00D26C05">
              <w:rPr>
                <w:color w:val="000000" w:themeColor="text1"/>
                <w:shd w:val="clear" w:color="auto" w:fill="FFFFFF"/>
              </w:rPr>
              <w:t xml:space="preserve">10.punktā </w:t>
            </w:r>
            <w:r w:rsidRPr="00DA6C42" w:rsidR="00446BA9">
              <w:rPr>
                <w:color w:val="000000" w:themeColor="text1"/>
                <w:shd w:val="clear" w:color="auto" w:fill="FFFFFF"/>
              </w:rPr>
              <w:t>minēt</w:t>
            </w:r>
            <w:r w:rsidRPr="00DA6C42">
              <w:rPr>
                <w:color w:val="000000" w:themeColor="text1"/>
                <w:shd w:val="clear" w:color="auto" w:fill="FFFFFF"/>
              </w:rPr>
              <w:t>o</w:t>
            </w:r>
            <w:r w:rsidRPr="00DA6C42" w:rsidR="009F564F">
              <w:rPr>
                <w:color w:val="000000" w:themeColor="text1"/>
                <w:shd w:val="clear" w:color="auto" w:fill="FFFFFF"/>
              </w:rPr>
              <w:t xml:space="preserve"> atsauci uz spēkā neesošajiem</w:t>
            </w:r>
            <w:r w:rsidRPr="00DA6C42" w:rsidR="00446BA9">
              <w:rPr>
                <w:color w:val="000000" w:themeColor="text1"/>
                <w:shd w:val="clear" w:color="auto" w:fill="FFFFFF"/>
              </w:rPr>
              <w:t xml:space="preserve"> Ministru kabineta </w:t>
            </w:r>
            <w:r w:rsidRPr="00DA6C42" w:rsidR="00EB614E">
              <w:rPr>
                <w:color w:val="000000" w:themeColor="text1"/>
                <w:shd w:val="clear" w:color="auto" w:fill="FFFFFF"/>
              </w:rPr>
              <w:t xml:space="preserve">2008.gada 22.septembra </w:t>
            </w:r>
            <w:r w:rsidRPr="00DA6C42" w:rsidR="00446BA9">
              <w:rPr>
                <w:color w:val="000000" w:themeColor="text1"/>
                <w:shd w:val="clear" w:color="auto" w:fill="FFFFFF"/>
              </w:rPr>
              <w:t>noteikum</w:t>
            </w:r>
            <w:r w:rsidRPr="00DA6C42" w:rsidR="009F564F">
              <w:rPr>
                <w:color w:val="000000" w:themeColor="text1"/>
                <w:shd w:val="clear" w:color="auto" w:fill="FFFFFF"/>
              </w:rPr>
              <w:t>iem</w:t>
            </w:r>
            <w:r w:rsidRPr="00DA6C42">
              <w:rPr>
                <w:color w:val="000000" w:themeColor="text1"/>
                <w:shd w:val="clear" w:color="auto" w:fill="FFFFFF"/>
              </w:rPr>
              <w:t xml:space="preserve"> </w:t>
            </w:r>
            <w:r w:rsidR="00B17991">
              <w:rPr>
                <w:color w:val="000000" w:themeColor="text1"/>
                <w:shd w:val="clear" w:color="auto" w:fill="FFFFFF"/>
              </w:rPr>
              <w:t>N</w:t>
            </w:r>
            <w:r w:rsidRPr="00DA6C42" w:rsidR="00EB614E">
              <w:rPr>
                <w:color w:val="000000" w:themeColor="text1"/>
                <w:shd w:val="clear" w:color="auto" w:fill="FFFFFF"/>
              </w:rPr>
              <w:t xml:space="preserve">r.775 “Aeronavigācijas informācijas sagatavošanas un izplatīšanas kārtība” </w:t>
            </w:r>
            <w:r w:rsidRPr="00DA6C42" w:rsidR="00446BA9">
              <w:rPr>
                <w:color w:val="000000" w:themeColor="text1"/>
                <w:shd w:val="clear" w:color="auto" w:fill="FFFFFF"/>
              </w:rPr>
              <w:t xml:space="preserve">ar </w:t>
            </w:r>
            <w:r w:rsidRPr="00DA6C42" w:rsidR="00DA6C42">
              <w:rPr>
                <w:color w:val="000000" w:themeColor="text1"/>
                <w:shd w:val="clear" w:color="auto" w:fill="FFFFFF"/>
              </w:rPr>
              <w:t xml:space="preserve">norādi, ka </w:t>
            </w:r>
            <w:r w:rsidRPr="00DA6C42" w:rsidR="00DA6C42">
              <w:rPr>
                <w:bCs/>
                <w:color w:val="000000" w:themeColor="text1"/>
                <w:shd w:val="clear" w:color="auto" w:fill="FFFFFF"/>
              </w:rPr>
              <w:t>punktā minētā informācija jā</w:t>
            </w:r>
            <w:r w:rsidRPr="00DA6C42" w:rsidR="00DA6C42">
              <w:rPr>
                <w:color w:val="000000" w:themeColor="text1"/>
                <w:shd w:val="clear" w:color="auto" w:fill="FFFFFF"/>
              </w:rPr>
              <w:t xml:space="preserve">publicē informatīvajā izdevumā “Aeronavigācijas informācijas </w:t>
            </w:r>
            <w:r w:rsidRPr="00DA6C42" w:rsidR="00DA6C42">
              <w:rPr>
                <w:color w:val="000000" w:themeColor="text1"/>
                <w:shd w:val="clear" w:color="auto" w:fill="FFFFFF"/>
              </w:rPr>
              <w:lastRenderedPageBreak/>
              <w:t>publikācija”, ievērojot noteikto Aeronavigācijas informācijas sagatavošanas un izplatīšanas kārtību.</w:t>
            </w:r>
          </w:p>
        </w:tc>
      </w:tr>
      <w:tr w:rsidRPr="00BF627B" w:rsidR="00BF627B" w:rsidTr="00BA0797" w14:paraId="2C4E4DC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AA5306" w14:paraId="1A9C4045" w14:textId="3CE8085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lastRenderedPageBreak/>
              <w:t xml:space="preserve">3. 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775A62BE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F627B" w:rsidR="008C0EDC" w:rsidP="00681BD1" w:rsidRDefault="00147E2E" w14:paraId="618AFE65" w14:textId="77777777">
            <w:pPr>
              <w:spacing w:after="0"/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Satiksmes ministrija</w:t>
            </w:r>
            <w:r w:rsidRPr="00BF627B" w:rsidR="00997BF5">
              <w:rPr>
                <w:rFonts w:eastAsia="Times New Roman"/>
                <w:color w:val="000000" w:themeColor="text1"/>
                <w:lang w:eastAsia="lv-LV"/>
              </w:rPr>
              <w:t xml:space="preserve">, </w:t>
            </w:r>
            <w:r w:rsidRPr="00BF627B" w:rsidR="00AF5474">
              <w:rPr>
                <w:rFonts w:eastAsia="Times New Roman"/>
                <w:color w:val="000000" w:themeColor="text1"/>
                <w:lang w:eastAsia="lv-LV"/>
              </w:rPr>
              <w:t>valsts aģentūra “</w:t>
            </w:r>
            <w:r w:rsidRPr="00BF627B">
              <w:rPr>
                <w:rFonts w:eastAsia="Times New Roman"/>
                <w:color w:val="000000" w:themeColor="text1"/>
                <w:lang w:eastAsia="lv-LV"/>
              </w:rPr>
              <w:t>Civilās aviācijas aģentūra</w:t>
            </w:r>
            <w:r w:rsidRPr="00BF627B" w:rsidR="00AF5474">
              <w:rPr>
                <w:rFonts w:eastAsia="Times New Roman"/>
                <w:color w:val="000000" w:themeColor="text1"/>
                <w:lang w:eastAsia="lv-LV"/>
              </w:rPr>
              <w:t>”</w:t>
            </w:r>
            <w:r w:rsidRPr="00BF627B" w:rsidR="00997BF5">
              <w:rPr>
                <w:rFonts w:eastAsia="Times New Roman"/>
                <w:color w:val="000000" w:themeColor="text1"/>
                <w:lang w:eastAsia="lv-LV"/>
              </w:rPr>
              <w:t>, valsts akciju sabiedrība “Latvijas gaisa satiksme”</w:t>
            </w:r>
            <w:r w:rsidRPr="00BF627B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</w:tr>
      <w:tr w:rsidRPr="00BF627B" w:rsidR="00BF627B" w:rsidTr="00BA0797" w14:paraId="003B891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530A59A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4F1F3D41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F627B" w:rsidR="008C0EDC" w:rsidP="002B3211" w:rsidRDefault="00ED1837" w14:paraId="7C7DC6AB" w14:textId="10D0E230">
            <w:pPr>
              <w:spacing w:after="0"/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Nav.</w:t>
            </w:r>
          </w:p>
        </w:tc>
      </w:tr>
    </w:tbl>
    <w:p w:rsidRPr="00BF627B" w:rsidR="008C0EDC" w:rsidP="008C0EDC" w:rsidRDefault="008C0EDC" w14:paraId="0706A0F5" w14:textId="77777777">
      <w:pPr>
        <w:spacing w:after="0"/>
        <w:rPr>
          <w:rFonts w:eastAsia="Times New Roman"/>
          <w:color w:val="000000" w:themeColor="text1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BF627B" w:rsidR="00BF627B" w:rsidTr="008C0EDC" w14:paraId="1859654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F627B" w:rsidR="008C0EDC" w:rsidP="008C0EDC" w:rsidRDefault="008C0EDC" w14:paraId="24597E92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BF627B" w:rsidR="00BF627B" w:rsidTr="00BA0797" w14:paraId="113F74C6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388FDD0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021F3186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F627B" w:rsidR="007A720C" w:rsidP="00F27F3A" w:rsidRDefault="00CF07D6" w14:paraId="01BB808E" w14:textId="16B49CF4">
            <w:pPr>
              <w:spacing w:after="0"/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A</w:t>
            </w:r>
            <w:r w:rsidRPr="00BF627B" w:rsidR="00B95E50">
              <w:rPr>
                <w:rFonts w:eastAsia="Times New Roman"/>
                <w:color w:val="000000" w:themeColor="text1"/>
                <w:lang w:eastAsia="lv-LV"/>
              </w:rPr>
              <w:t>viokompānijas, kas izmanto Latvijas Republikas gaisa telpu.</w:t>
            </w:r>
          </w:p>
        </w:tc>
      </w:tr>
      <w:tr w:rsidRPr="00BF627B" w:rsidR="00BF627B" w:rsidTr="00BA0797" w14:paraId="1017A3A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4A6F8858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33CE87EE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F627B" w:rsidR="008C0EDC" w:rsidP="00B008D8" w:rsidRDefault="00CF07D6" w14:paraId="154195AC" w14:textId="46A31BA7">
            <w:pPr>
              <w:spacing w:after="0"/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BF627B" w:rsidR="00BF627B" w:rsidTr="00BA0797" w14:paraId="1ED3CDC9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75EE1209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4936D157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F627B" w:rsidR="007A720C" w:rsidP="008374B6" w:rsidRDefault="00CF07D6" w14:paraId="2D974236" w14:textId="7A68BCAC">
            <w:pPr>
              <w:spacing w:after="0"/>
              <w:jc w:val="both"/>
              <w:rPr>
                <w:rFonts w:eastAsia="Times New Roman"/>
                <w:color w:val="000000" w:themeColor="text1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BF627B" w:rsidR="00BF627B" w:rsidTr="00BA0797" w14:paraId="6F66761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3E8A6C64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5F6D0008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F627B" w:rsidR="008C0EDC" w:rsidP="008C0EDC" w:rsidRDefault="00CF07D6" w14:paraId="73A72C96" w14:textId="6C6F3E45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BF627B" w:rsidR="00BF627B" w:rsidTr="00BA0797" w14:paraId="6888D32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48CD5D72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F627B" w:rsidR="008C0EDC" w:rsidP="008C0EDC" w:rsidRDefault="008C0EDC" w14:paraId="0986B975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F627B" w:rsidR="008C0EDC" w:rsidP="008C0EDC" w:rsidRDefault="008374B6" w14:paraId="10856538" w14:textId="77777777">
            <w:pPr>
              <w:spacing w:after="0"/>
              <w:rPr>
                <w:rFonts w:eastAsia="Times New Roman"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Nav.</w:t>
            </w:r>
          </w:p>
        </w:tc>
      </w:tr>
    </w:tbl>
    <w:p w:rsidRPr="00BF627B" w:rsidR="008C0EDC" w:rsidP="008C0EDC" w:rsidRDefault="008C0EDC" w14:paraId="6419A01D" w14:textId="77777777">
      <w:pPr>
        <w:spacing w:after="0"/>
        <w:rPr>
          <w:rFonts w:eastAsia="Times New Roman"/>
          <w:color w:val="000000" w:themeColor="text1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F627B" w:rsidR="00BF627B" w:rsidTr="008C0EDC" w14:paraId="61F673AF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F627B" w:rsidR="008C0EDC" w:rsidP="008C0EDC" w:rsidRDefault="008C0EDC" w14:paraId="462058AB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III. Tiesību akta projekta ietekme uz valsts budžetu un pašvaldību budžetiem</w:t>
            </w:r>
          </w:p>
        </w:tc>
      </w:tr>
      <w:tr w:rsidRPr="00BF627B" w:rsidR="00BF627B" w:rsidTr="008C0EDC" w14:paraId="6F54288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F627B" w:rsidR="00E47C0C" w:rsidP="008C0EDC" w:rsidRDefault="00E47C0C" w14:paraId="46C0D910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Projekts šo jomu neskar</w:t>
            </w:r>
            <w:r w:rsidRPr="00BF627B" w:rsidR="000270AD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</w:tr>
    </w:tbl>
    <w:p w:rsidRPr="00BF627B" w:rsidR="008C0EDC" w:rsidP="008C0EDC" w:rsidRDefault="008C0EDC" w14:paraId="0AA2DA12" w14:textId="77777777">
      <w:pPr>
        <w:spacing w:after="0"/>
        <w:rPr>
          <w:rFonts w:eastAsia="Times New Roman"/>
          <w:color w:val="000000" w:themeColor="text1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F627B" w:rsidR="00BF627B" w:rsidTr="008C0EDC" w14:paraId="769B007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F627B" w:rsidR="008C0EDC" w:rsidP="008C0EDC" w:rsidRDefault="008C0EDC" w14:paraId="2494AC19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IV. Tiesību akta projekta ietekme uz spēkā esošo tiesību normu sistēmu</w:t>
            </w:r>
          </w:p>
        </w:tc>
      </w:tr>
      <w:tr w:rsidRPr="00BF627B" w:rsidR="00BF627B" w:rsidTr="008C0EDC" w14:paraId="13074A19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BF627B" w:rsidR="00E47C0C" w:rsidP="008C0EDC" w:rsidRDefault="00E47C0C" w14:paraId="336DB6B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Projekts šo jomu neskar</w:t>
            </w:r>
            <w:r w:rsidRPr="00BF627B" w:rsidR="000270AD">
              <w:rPr>
                <w:rFonts w:eastAsia="Times New Roman"/>
                <w:color w:val="000000" w:themeColor="text1"/>
                <w:lang w:eastAsia="lv-LV"/>
              </w:rPr>
              <w:t>.</w:t>
            </w:r>
          </w:p>
        </w:tc>
      </w:tr>
    </w:tbl>
    <w:p w:rsidRPr="00BF627B" w:rsidR="008C0EDC" w:rsidP="008C0EDC" w:rsidRDefault="008C0EDC" w14:paraId="19B25CBA" w14:textId="77777777">
      <w:pPr>
        <w:spacing w:after="0"/>
        <w:rPr>
          <w:rFonts w:eastAsia="Times New Roman"/>
          <w:color w:val="000000" w:themeColor="text1"/>
          <w:lang w:eastAsia="lv-LV"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977"/>
        <w:gridCol w:w="5468"/>
        <w:gridCol w:w="54"/>
      </w:tblGrid>
      <w:tr w:rsidRPr="00BF627B" w:rsidR="00BF627B" w:rsidTr="009F564F" w14:paraId="00F29A3D" w14:textId="77777777">
        <w:trPr>
          <w:gridAfter w:val="1"/>
          <w:wAfter w:w="5" w:type="pct"/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F627B" w:rsidR="008C0EDC" w:rsidP="008C0EDC" w:rsidRDefault="008C0EDC" w14:paraId="6A9C1586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BF627B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V. Tiesību akta projekta atbilstība Latvijas Republikas starptautiskajām saistībām</w:t>
            </w:r>
          </w:p>
        </w:tc>
      </w:tr>
      <w:tr w:rsidRPr="008C0EDC" w:rsidR="00BC733D" w:rsidTr="009F564F" w14:paraId="3A09A275" w14:textId="77777777">
        <w:trPr>
          <w:tblCellSpacing w:w="15" w:type="dxa"/>
        </w:trPr>
        <w:tc>
          <w:tcPr>
            <w:tcW w:w="2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2A1FAA56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1BD660AA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01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BC733D" w:rsidP="009F564F" w:rsidRDefault="000E46DE" w14:paraId="0B5AEB82" w14:textId="4F8BF93E">
            <w:pPr>
              <w:pStyle w:val="doc-ti"/>
              <w:shd w:val="clear" w:color="auto" w:fill="FFFFFF"/>
              <w:spacing w:before="240" w:beforeAutospacing="0" w:after="120" w:afterAutospacing="0"/>
              <w:jc w:val="both"/>
            </w:pPr>
            <w:r w:rsidRPr="009F564F">
              <w:rPr>
                <w:color w:val="000000"/>
              </w:rPr>
              <w:t>Eiropas Komisijas  2019. gada 11. februāra Īstenošanas Regula (ES) 2019/317</w:t>
            </w:r>
            <w:r w:rsidR="005202FA">
              <w:rPr>
                <w:color w:val="000000"/>
              </w:rPr>
              <w:t xml:space="preserve">, </w:t>
            </w:r>
            <w:r w:rsidRPr="009F564F">
              <w:rPr>
                <w:color w:val="000000"/>
              </w:rPr>
              <w:t>ar ko nosaka darbības uzlabošanas sistēmu un tarifikācijas sistēmu Eiropas vienotajā gaisa telpā un atceļ Īstenošanas regulas (ES) Nr. 390/2013 un (ES) Nr. 391/2013</w:t>
            </w:r>
            <w:r w:rsidR="004054F6">
              <w:rPr>
                <w:color w:val="000000"/>
              </w:rPr>
              <w:t xml:space="preserve"> </w:t>
            </w:r>
            <w:r w:rsidRPr="00F07836" w:rsidR="004054F6">
              <w:t xml:space="preserve">(publicēta “Eiropas Savienības Oficiālajā Vēstnesī” L </w:t>
            </w:r>
            <w:r w:rsidR="004054F6">
              <w:t>5</w:t>
            </w:r>
            <w:r w:rsidRPr="00F07836" w:rsidR="004054F6">
              <w:t xml:space="preserve">6/1, </w:t>
            </w:r>
            <w:r w:rsidR="004054F6">
              <w:t>25</w:t>
            </w:r>
            <w:r w:rsidRPr="00F07836" w:rsidR="004054F6">
              <w:t>.0</w:t>
            </w:r>
            <w:r w:rsidR="004054F6">
              <w:t>2</w:t>
            </w:r>
            <w:r w:rsidRPr="00F07836" w:rsidR="004054F6">
              <w:t>.201</w:t>
            </w:r>
            <w:r w:rsidR="004054F6">
              <w:t>9</w:t>
            </w:r>
            <w:r w:rsidRPr="00F07836" w:rsidR="004054F6">
              <w:t>)</w:t>
            </w:r>
            <w:r w:rsidR="00B17991">
              <w:t>.</w:t>
            </w:r>
          </w:p>
        </w:tc>
      </w:tr>
      <w:tr w:rsidRPr="008C0EDC" w:rsidR="00BC733D" w:rsidTr="009F564F" w14:paraId="76AD73DC" w14:textId="77777777">
        <w:trPr>
          <w:tblCellSpacing w:w="15" w:type="dxa"/>
        </w:trPr>
        <w:tc>
          <w:tcPr>
            <w:tcW w:w="2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1EAA403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046F46EB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01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BC733D" w:rsidP="00F56659" w:rsidRDefault="00B17991" w14:paraId="3C006848" w14:textId="4749C11F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B17991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Pr="008C0EDC" w:rsidR="00BC733D" w:rsidTr="009F564F" w14:paraId="57FEB263" w14:textId="77777777">
        <w:trPr>
          <w:tblCellSpacing w:w="15" w:type="dxa"/>
        </w:trPr>
        <w:tc>
          <w:tcPr>
            <w:tcW w:w="2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7742B9BA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55DC09AF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01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BC733D" w:rsidP="00F56659" w:rsidRDefault="00BC733D" w14:paraId="756C54D0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Pr="008C0EDC" w:rsidR="00BC733D" w:rsidP="00BC733D" w:rsidRDefault="00BC733D" w14:paraId="610E5F7F" w14:textId="77777777">
      <w:pPr>
        <w:spacing w:after="0"/>
        <w:rPr>
          <w:rFonts w:eastAsia="Times New Roman"/>
          <w:lang w:eastAsia="lv-LV"/>
        </w:rPr>
      </w:pPr>
    </w:p>
    <w:tbl>
      <w:tblPr>
        <w:tblpPr w:leftFromText="180" w:rightFromText="180" w:vertAnchor="text" w:tblpY="1"/>
        <w:tblOverlap w:val="never"/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7"/>
        <w:gridCol w:w="1806"/>
        <w:gridCol w:w="41"/>
        <w:gridCol w:w="2077"/>
        <w:gridCol w:w="2709"/>
        <w:gridCol w:w="54"/>
      </w:tblGrid>
      <w:tr w:rsidRPr="008C0EDC" w:rsidR="00BC733D" w:rsidTr="00B17991" w14:paraId="65FF954E" w14:textId="77777777">
        <w:trPr>
          <w:gridAfter w:val="1"/>
          <w:wAfter w:w="5" w:type="dxa"/>
          <w:tblCellSpacing w:w="15" w:type="dxa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BC733D" w:rsidP="00F56659" w:rsidRDefault="00BC733D" w14:paraId="7F727BAD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1. tabula</w:t>
            </w:r>
            <w:r w:rsidRPr="008C0EDC">
              <w:rPr>
                <w:rFonts w:eastAsia="Times New Roman"/>
                <w:b/>
                <w:bCs/>
                <w:lang w:eastAsia="lv-LV"/>
              </w:rPr>
              <w:br/>
              <w:t>Tiesību akta projekta atbilstība ES tiesību aktiem</w:t>
            </w:r>
          </w:p>
        </w:tc>
      </w:tr>
      <w:tr w:rsidRPr="008C0EDC" w:rsidR="00BC733D" w:rsidTr="00B17991" w14:paraId="426F8A85" w14:textId="77777777">
        <w:trPr>
          <w:gridAfter w:val="1"/>
          <w:wAfter w:w="5" w:type="dxa"/>
          <w:tblCellSpacing w:w="15" w:type="dxa"/>
        </w:trPr>
        <w:tc>
          <w:tcPr>
            <w:tcW w:w="1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190FBC1D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Attiecīgā ES tiesību akta datums, numurs un nosaukums</w:t>
            </w:r>
          </w:p>
        </w:tc>
        <w:tc>
          <w:tcPr>
            <w:tcW w:w="3647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BC733D" w:rsidP="009F564F" w:rsidRDefault="000E46DE" w14:paraId="721C4AD4" w14:textId="73829282">
            <w:pPr>
              <w:pStyle w:val="doc-ti"/>
              <w:shd w:val="clear" w:color="auto" w:fill="FFFFFF"/>
              <w:spacing w:before="240" w:beforeAutospacing="0" w:after="120" w:afterAutospacing="0"/>
              <w:jc w:val="both"/>
            </w:pPr>
            <w:r w:rsidRPr="00F56659">
              <w:rPr>
                <w:color w:val="000000"/>
              </w:rPr>
              <w:t>Eiropas Komisijas  2019. gada 11. februāra Īstenošanas Regula (ES) 2019/317</w:t>
            </w:r>
            <w:r w:rsidR="005202FA">
              <w:rPr>
                <w:color w:val="000000"/>
              </w:rPr>
              <w:t xml:space="preserve">, </w:t>
            </w:r>
            <w:r w:rsidRPr="00F56659">
              <w:rPr>
                <w:color w:val="000000"/>
              </w:rPr>
              <w:t>ar ko nosaka darbības uzlabošanas sistēmu un tarifikācijas sistēmu Eiropas vienotajā gaisa telpā un atceļ Īstenošanas regulas (ES) Nr. 390/2013 un (ES) Nr. 391/2013</w:t>
            </w:r>
            <w:r>
              <w:rPr>
                <w:color w:val="000000"/>
              </w:rPr>
              <w:t xml:space="preserve"> </w:t>
            </w:r>
            <w:r w:rsidRPr="00F07836">
              <w:t xml:space="preserve">(publicēta “Eiropas Savienības Oficiālajā Vēstnesī” L </w:t>
            </w:r>
            <w:r>
              <w:t>56</w:t>
            </w:r>
            <w:r w:rsidRPr="00F07836">
              <w:t xml:space="preserve">/1, </w:t>
            </w:r>
            <w:r>
              <w:t>25</w:t>
            </w:r>
            <w:r w:rsidRPr="00F07836">
              <w:t>.0</w:t>
            </w:r>
            <w:r w:rsidR="00444209">
              <w:t>2</w:t>
            </w:r>
            <w:r w:rsidRPr="00F07836">
              <w:t>.201</w:t>
            </w:r>
            <w:r w:rsidR="00444209">
              <w:t>9</w:t>
            </w:r>
            <w:r w:rsidRPr="00F07836">
              <w:t>)</w:t>
            </w:r>
            <w:r w:rsidR="00B17991">
              <w:t>.</w:t>
            </w:r>
          </w:p>
        </w:tc>
      </w:tr>
      <w:tr w:rsidRPr="008C0EDC" w:rsidR="00BC733D" w:rsidTr="00B17991" w14:paraId="6C98CAAE" w14:textId="77777777">
        <w:trPr>
          <w:gridAfter w:val="1"/>
          <w:wAfter w:w="5" w:type="dxa"/>
          <w:tblCellSpacing w:w="15" w:type="dxa"/>
        </w:trPr>
        <w:tc>
          <w:tcPr>
            <w:tcW w:w="1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BC733D" w:rsidP="00F56659" w:rsidRDefault="00BC733D" w14:paraId="4C21F28C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</w:t>
            </w:r>
          </w:p>
        </w:tc>
        <w:tc>
          <w:tcPr>
            <w:tcW w:w="10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BC733D" w:rsidP="00F56659" w:rsidRDefault="00BC733D" w14:paraId="4D62C3B8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B</w:t>
            </w:r>
          </w:p>
        </w:tc>
        <w:tc>
          <w:tcPr>
            <w:tcW w:w="11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BC733D" w:rsidP="00F56659" w:rsidRDefault="00BC733D" w14:paraId="60FB4208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</w:t>
            </w:r>
          </w:p>
        </w:tc>
        <w:tc>
          <w:tcPr>
            <w:tcW w:w="14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BC733D" w:rsidP="00F56659" w:rsidRDefault="00BC733D" w14:paraId="22212518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D</w:t>
            </w:r>
          </w:p>
        </w:tc>
      </w:tr>
      <w:tr w:rsidRPr="008C0EDC" w:rsidR="00BC733D" w:rsidTr="00B17991" w14:paraId="1B48ECAC" w14:textId="77777777">
        <w:trPr>
          <w:gridAfter w:val="1"/>
          <w:wAfter w:w="5" w:type="dxa"/>
          <w:tblCellSpacing w:w="15" w:type="dxa"/>
        </w:trPr>
        <w:tc>
          <w:tcPr>
            <w:tcW w:w="1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3CA4618F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0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093F779B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BC733D" w:rsidP="00F56659" w:rsidRDefault="00BC733D" w14:paraId="62DC21D0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8C0EDC">
              <w:rPr>
                <w:rFonts w:eastAsia="Times New Roman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8C0EDC">
              <w:rPr>
                <w:rFonts w:eastAsia="Times New Roman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BC733D" w:rsidP="00F56659" w:rsidRDefault="00BC733D" w14:paraId="320A24B8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8C0EDC">
              <w:rPr>
                <w:rFonts w:eastAsia="Times New Roman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8C0EDC">
              <w:rPr>
                <w:rFonts w:eastAsia="Times New Roman"/>
                <w:lang w:eastAsia="lv-LV"/>
              </w:rPr>
              <w:br/>
              <w:t>Norāda iespējamās alternatīvas (t. sk. alternatīvas, kas neparedz tiesiskā regulējuma izstrādi) - kādos gadījumos būtu iespējams izvairīties no stingrāku prasību noteikšanas, nekā paredzēts attiecīgajos ES tiesību aktos</w:t>
            </w:r>
          </w:p>
          <w:p w:rsidRPr="008C0EDC" w:rsidR="00BC733D" w:rsidP="00F56659" w:rsidRDefault="00BC733D" w14:paraId="4A2F7FDC" w14:textId="77777777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Pr="008C0EDC" w:rsidR="00BC733D" w:rsidTr="00B17991" w14:paraId="080B87A4" w14:textId="77777777">
        <w:trPr>
          <w:gridAfter w:val="1"/>
          <w:wAfter w:w="5" w:type="dxa"/>
          <w:tblCellSpacing w:w="15" w:type="dxa"/>
        </w:trPr>
        <w:tc>
          <w:tcPr>
            <w:tcW w:w="13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A71EBF" w:rsidR="00BC733D" w:rsidP="00F56659" w:rsidRDefault="00BC733D" w14:paraId="57AC3C7A" w14:textId="6E174577">
            <w:pPr>
              <w:spacing w:after="0"/>
              <w:rPr>
                <w:rFonts w:eastAsia="Times New Roman"/>
                <w:lang w:eastAsia="lv-LV"/>
              </w:rPr>
            </w:pPr>
            <w:r w:rsidRPr="00A71EBF">
              <w:rPr>
                <w:rFonts w:eastAsia="Times New Roman"/>
                <w:lang w:eastAsia="lv-LV"/>
              </w:rPr>
              <w:t>Regula</w:t>
            </w:r>
            <w:r>
              <w:rPr>
                <w:rFonts w:eastAsia="Times New Roman"/>
                <w:lang w:eastAsia="lv-LV"/>
              </w:rPr>
              <w:t>s</w:t>
            </w:r>
            <w:r w:rsidRPr="00A71EBF">
              <w:rPr>
                <w:rFonts w:eastAsia="Times New Roman"/>
                <w:lang w:eastAsia="lv-LV"/>
              </w:rPr>
              <w:t xml:space="preserve"> Nr.201</w:t>
            </w:r>
            <w:r w:rsidR="000E46DE">
              <w:rPr>
                <w:rFonts w:eastAsia="Times New Roman"/>
                <w:lang w:eastAsia="lv-LV"/>
              </w:rPr>
              <w:t>9</w:t>
            </w:r>
            <w:r w:rsidRPr="00A71EBF">
              <w:rPr>
                <w:rFonts w:eastAsia="Times New Roman"/>
                <w:lang w:eastAsia="lv-LV"/>
              </w:rPr>
              <w:t>/</w:t>
            </w:r>
            <w:r w:rsidR="000E46DE">
              <w:rPr>
                <w:rFonts w:eastAsia="Times New Roman"/>
                <w:lang w:eastAsia="lv-LV"/>
              </w:rPr>
              <w:t>0317</w:t>
            </w:r>
            <w:r w:rsidRPr="00A71EBF">
              <w:rPr>
                <w:rFonts w:eastAsia="Times New Roman"/>
                <w:lang w:eastAsia="lv-LV"/>
              </w:rPr>
              <w:t xml:space="preserve"> 3</w:t>
            </w:r>
            <w:r w:rsidR="000E46DE">
              <w:rPr>
                <w:rFonts w:eastAsia="Times New Roman"/>
                <w:lang w:eastAsia="lv-LV"/>
              </w:rPr>
              <w:t>1</w:t>
            </w:r>
            <w:r w:rsidRPr="00A71EBF">
              <w:rPr>
                <w:rFonts w:eastAsia="Times New Roman"/>
                <w:lang w:eastAsia="lv-LV"/>
              </w:rPr>
              <w:t>.pant</w:t>
            </w:r>
            <w:r w:rsidR="000E46DE">
              <w:rPr>
                <w:rFonts w:eastAsia="Times New Roman"/>
                <w:lang w:eastAsia="lv-LV"/>
              </w:rPr>
              <w:t xml:space="preserve">a </w:t>
            </w:r>
            <w:r w:rsidR="000A274C">
              <w:rPr>
                <w:rFonts w:eastAsia="Times New Roman"/>
                <w:lang w:eastAsia="lv-LV"/>
              </w:rPr>
              <w:t>3.punkts</w:t>
            </w:r>
          </w:p>
        </w:tc>
        <w:tc>
          <w:tcPr>
            <w:tcW w:w="10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556AD9" w:rsidR="00BC733D" w:rsidP="00F56659" w:rsidRDefault="00BC733D" w14:paraId="059904CB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556AD9">
              <w:rPr>
                <w:rFonts w:eastAsia="Times New Roman"/>
                <w:lang w:eastAsia="lv-LV"/>
              </w:rPr>
              <w:t>Projekta 1.punkts</w:t>
            </w:r>
          </w:p>
        </w:tc>
        <w:tc>
          <w:tcPr>
            <w:tcW w:w="11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040A8" w:rsidR="00BC733D" w:rsidP="00F56659" w:rsidRDefault="00BC733D" w14:paraId="5A598582" w14:textId="77777777">
            <w:r w:rsidRPr="00C040A8">
              <w:t>Tiesību norma ieviesta pilnībā</w:t>
            </w:r>
          </w:p>
        </w:tc>
        <w:tc>
          <w:tcPr>
            <w:tcW w:w="14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040A8" w:rsidR="00BC733D" w:rsidP="00F56659" w:rsidRDefault="00BC733D" w14:paraId="3763BB0C" w14:textId="77777777">
            <w:r w:rsidRPr="00C040A8">
              <w:t>Projekts stingrākas prasības neparedz</w:t>
            </w:r>
          </w:p>
        </w:tc>
      </w:tr>
      <w:tr w:rsidRPr="008C0EDC" w:rsidR="000E46DE" w:rsidTr="00B17991" w14:paraId="54507861" w14:textId="77777777">
        <w:trPr>
          <w:tblCellSpacing w:w="15" w:type="dxa"/>
        </w:trPr>
        <w:tc>
          <w:tcPr>
            <w:tcW w:w="23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46DE" w:rsidP="00F56659" w:rsidRDefault="000E46DE" w14:paraId="75AA7078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264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0E46DE" w:rsidP="00F56659" w:rsidRDefault="000E46DE" w14:paraId="26A99F49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0E46DE" w:rsidTr="00B17991" w14:paraId="218C25A0" w14:textId="77777777">
        <w:trPr>
          <w:tblCellSpacing w:w="15" w:type="dxa"/>
        </w:trPr>
        <w:tc>
          <w:tcPr>
            <w:tcW w:w="23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46DE" w:rsidP="00F56659" w:rsidRDefault="000E46DE" w14:paraId="2E26F84E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64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0E46DE" w:rsidP="00F56659" w:rsidRDefault="000E46DE" w14:paraId="2810A4B9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E47C0C">
              <w:rPr>
                <w:rFonts w:eastAsia="Times New Roman"/>
                <w:lang w:eastAsia="lv-LV"/>
              </w:rPr>
              <w:t>Projekts šo jomu neskar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0E46DE" w:rsidTr="00B17991" w14:paraId="7CA56AFB" w14:textId="77777777">
        <w:trPr>
          <w:tblCellSpacing w:w="15" w:type="dxa"/>
        </w:trPr>
        <w:tc>
          <w:tcPr>
            <w:tcW w:w="230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46DE" w:rsidP="00F56659" w:rsidRDefault="000E46DE" w14:paraId="188C2B7E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649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0E46DE" w:rsidP="00F56659" w:rsidRDefault="000E46DE" w14:paraId="546D355F" w14:textId="729F2679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</w:t>
            </w:r>
            <w:r w:rsidR="00B17991">
              <w:rPr>
                <w:rFonts w:eastAsia="Times New Roman"/>
                <w:lang w:eastAsia="lv-LV"/>
              </w:rPr>
              <w:t>.</w:t>
            </w:r>
          </w:p>
        </w:tc>
      </w:tr>
    </w:tbl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3100"/>
        <w:gridCol w:w="5402"/>
      </w:tblGrid>
      <w:tr w:rsidRPr="008C0EDC" w:rsidR="008C0EDC" w:rsidTr="008C0EDC" w14:paraId="2AB649BF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4509F985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VI. Sabiedrības līdzdalība un komunikācijas aktivitātes</w:t>
            </w:r>
          </w:p>
        </w:tc>
      </w:tr>
      <w:tr w:rsidRPr="008C0EDC" w:rsidR="00CF07D6" w:rsidTr="00CF07D6" w14:paraId="18C8D899" w14:textId="77777777">
        <w:trPr>
          <w:tblCellSpacing w:w="15" w:type="dxa"/>
        </w:trPr>
        <w:tc>
          <w:tcPr>
            <w:tcW w:w="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7EB9C586" w14:textId="0F8A4B00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lastRenderedPageBreak/>
              <w:t>1.</w:t>
            </w:r>
          </w:p>
        </w:tc>
        <w:tc>
          <w:tcPr>
            <w:tcW w:w="1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37DB9EB1" w14:textId="476C031C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B17991" w:rsidRDefault="00CF07D6" w14:paraId="3C014BE1" w14:textId="23CACA79">
            <w:pPr>
              <w:spacing w:after="0"/>
              <w:rPr>
                <w:rFonts w:eastAsia="Times New Roman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Projekts šo jomu neskar.</w:t>
            </w:r>
          </w:p>
        </w:tc>
      </w:tr>
      <w:tr w:rsidRPr="008C0EDC" w:rsidR="00CF07D6" w:rsidTr="00CF07D6" w14:paraId="3DE83CEC" w14:textId="77777777">
        <w:trPr>
          <w:tblCellSpacing w:w="15" w:type="dxa"/>
        </w:trPr>
        <w:tc>
          <w:tcPr>
            <w:tcW w:w="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092EEE62" w14:textId="15C02749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687BD986" w14:textId="07AFD465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29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B17991" w:rsidRDefault="00CF07D6" w14:paraId="7254E529" w14:textId="35C65328">
            <w:pPr>
              <w:spacing w:after="0"/>
              <w:rPr>
                <w:rFonts w:eastAsia="Times New Roman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Projekts šo jomu neskar.</w:t>
            </w:r>
          </w:p>
        </w:tc>
      </w:tr>
      <w:tr w:rsidRPr="008C0EDC" w:rsidR="00CF07D6" w:rsidTr="00CF07D6" w14:paraId="115A889C" w14:textId="77777777">
        <w:trPr>
          <w:tblCellSpacing w:w="15" w:type="dxa"/>
        </w:trPr>
        <w:tc>
          <w:tcPr>
            <w:tcW w:w="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745094FA" w14:textId="7F73D4FE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52702E95" w14:textId="19BF1E38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29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B17991" w:rsidRDefault="00CF07D6" w14:paraId="34B7FC65" w14:textId="1470FF26">
            <w:pPr>
              <w:spacing w:after="0"/>
              <w:rPr>
                <w:rFonts w:eastAsia="Times New Roman"/>
                <w:lang w:eastAsia="lv-LV"/>
              </w:rPr>
            </w:pPr>
            <w:r w:rsidRPr="00BF627B">
              <w:rPr>
                <w:rFonts w:eastAsia="Times New Roman"/>
                <w:color w:val="000000" w:themeColor="text1"/>
                <w:lang w:eastAsia="lv-LV"/>
              </w:rPr>
              <w:t>Projekts šo jomu neskar.</w:t>
            </w:r>
          </w:p>
        </w:tc>
      </w:tr>
      <w:tr w:rsidRPr="008C0EDC" w:rsidR="00CF07D6" w:rsidTr="00CF07D6" w14:paraId="0DE7DB4C" w14:textId="77777777">
        <w:trPr>
          <w:tblCellSpacing w:w="15" w:type="dxa"/>
        </w:trPr>
        <w:tc>
          <w:tcPr>
            <w:tcW w:w="28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3341EA5F" w14:textId="53F70D41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6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CF07D6" w14:paraId="02C8FFDA" w14:textId="47C45852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CF07D6" w:rsidP="00CF07D6" w:rsidRDefault="009F564F" w14:paraId="740C10A7" w14:textId="0B992DF2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color w:val="000000" w:themeColor="text1"/>
                <w:lang w:eastAsia="lv-LV"/>
              </w:rPr>
              <w:t>Noteikumu projektā paredzētajām izmaiņām</w:t>
            </w:r>
            <w:r w:rsidR="00CF07D6">
              <w:rPr>
                <w:rFonts w:eastAsia="Times New Roman"/>
                <w:color w:val="000000" w:themeColor="text1"/>
                <w:lang w:eastAsia="lv-LV"/>
              </w:rPr>
              <w:t xml:space="preserve"> ir tehnisks raksturs, kas nemaina MK noteikumu Nr.28 būtību.</w:t>
            </w:r>
          </w:p>
        </w:tc>
      </w:tr>
    </w:tbl>
    <w:p w:rsidRPr="008C0EDC" w:rsidR="008C0EDC" w:rsidP="008C0EDC" w:rsidRDefault="008C0EDC" w14:paraId="11A826BC" w14:textId="77777777">
      <w:pPr>
        <w:spacing w:after="0"/>
        <w:rPr>
          <w:rFonts w:eastAsia="Times New Roman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8C0EDC" w:rsidR="008C0EDC" w:rsidTr="008C0EDC" w14:paraId="660BCCC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C0EDC" w:rsidR="008C0EDC" w:rsidP="008C0EDC" w:rsidRDefault="008C0EDC" w14:paraId="7AE2B37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C0EDC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Pr="008C0EDC" w:rsidR="008C0EDC" w:rsidTr="000B6C51" w14:paraId="00627A5A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6DBB9B2C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13CDF9E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CE7835" w14:paraId="275B9B53" w14:textId="0C742BBF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Valsts aģentūra “</w:t>
            </w:r>
            <w:r w:rsidR="00D935AC">
              <w:rPr>
                <w:rFonts w:eastAsia="Times New Roman"/>
                <w:lang w:eastAsia="lv-LV"/>
              </w:rPr>
              <w:t>Civilās aviācijas aģentūra</w:t>
            </w:r>
            <w:r>
              <w:rPr>
                <w:rFonts w:eastAsia="Times New Roman"/>
                <w:lang w:eastAsia="lv-LV"/>
              </w:rPr>
              <w:t>”</w:t>
            </w:r>
            <w:r w:rsidR="00272B62">
              <w:rPr>
                <w:rFonts w:eastAsia="Times New Roman"/>
                <w:lang w:eastAsia="lv-LV"/>
              </w:rPr>
              <w:t xml:space="preserve"> un </w:t>
            </w:r>
            <w:r w:rsidR="00260DAB">
              <w:rPr>
                <w:rFonts w:eastAsia="Times New Roman"/>
                <w:lang w:eastAsia="lv-LV"/>
              </w:rPr>
              <w:t>v</w:t>
            </w:r>
            <w:r>
              <w:rPr>
                <w:rFonts w:eastAsia="Times New Roman"/>
                <w:lang w:eastAsia="lv-LV"/>
              </w:rPr>
              <w:t xml:space="preserve">alsts akciju sabiedrība </w:t>
            </w:r>
            <w:r w:rsidR="00272B62">
              <w:rPr>
                <w:rFonts w:eastAsia="Times New Roman"/>
                <w:lang w:eastAsia="lv-LV"/>
              </w:rPr>
              <w:t>“Latvijas gaisa satiksme”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8C0EDC" w:rsidTr="000B6C51" w14:paraId="7651395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5CFC6ED7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2B5488" w:rsidP="008C0EDC" w:rsidRDefault="008C0EDC" w14:paraId="5B350506" w14:textId="27E84F2B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  <w:r w:rsidRPr="008C0EDC">
              <w:rPr>
                <w:rFonts w:eastAsia="Times New Roman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D935AC" w:rsidRDefault="00D935AC" w14:paraId="1C0E9405" w14:textId="0CFA7D93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D935AC">
              <w:rPr>
                <w:rFonts w:eastAsia="Times New Roman"/>
                <w:lang w:eastAsia="lv-LV"/>
              </w:rPr>
              <w:t>Noteikumu projekta izpilde neietekmēs pārvaldes funkcijas vai institucionālo struktūru, jo izpilde tiks nodrošināta jau esošās valsts pārvaldes institucionālās uzbūves ietvaros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Pr="008C0EDC" w:rsidR="008C0EDC" w:rsidTr="000B6C51" w14:paraId="1DFEC0C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2510A66E" w14:textId="77777777">
            <w:pPr>
              <w:spacing w:before="100" w:beforeAutospacing="1" w:after="100" w:afterAutospacing="1"/>
              <w:jc w:val="center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C0EDC" w:rsidR="008C0EDC" w:rsidP="008C0EDC" w:rsidRDefault="008C0EDC" w14:paraId="0ACD80E3" w14:textId="77777777">
            <w:pPr>
              <w:spacing w:after="0"/>
              <w:rPr>
                <w:rFonts w:eastAsia="Times New Roman"/>
                <w:lang w:eastAsia="lv-LV"/>
              </w:rPr>
            </w:pPr>
            <w:r w:rsidRPr="008C0EDC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0EDC" w:rsidR="008C0EDC" w:rsidP="008C0EDC" w:rsidRDefault="00D935AC" w14:paraId="08D63D6A" w14:textId="77777777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Nav.</w:t>
            </w:r>
          </w:p>
        </w:tc>
      </w:tr>
    </w:tbl>
    <w:p w:rsidR="000B6C51" w:rsidP="000B6C51" w:rsidRDefault="000B6C51" w14:paraId="5136981D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="000B6C51" w:rsidP="000B6C51" w:rsidRDefault="000B6C51" w14:paraId="36767A1C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Pr="00260DAB" w:rsidR="000B6C51" w:rsidP="000B6C51" w:rsidRDefault="000B6C51" w14:paraId="7A375B63" w14:textId="77777777">
      <w:pPr>
        <w:tabs>
          <w:tab w:val="left" w:pos="6237"/>
        </w:tabs>
        <w:spacing w:after="0"/>
        <w:ind w:firstLine="720"/>
      </w:pPr>
      <w:r w:rsidRPr="00260DAB">
        <w:t>Satiksmes ministrs</w:t>
      </w:r>
      <w:r w:rsidRPr="00260DAB">
        <w:tab/>
      </w:r>
      <w:r w:rsidRPr="00260DAB" w:rsidR="00882D76">
        <w:t>T.Linkaits</w:t>
      </w:r>
    </w:p>
    <w:p w:rsidRPr="00260DAB" w:rsidR="000B6C51" w:rsidP="000B6C51" w:rsidRDefault="000B6C51" w14:paraId="38B9CF4A" w14:textId="77777777">
      <w:pPr>
        <w:tabs>
          <w:tab w:val="left" w:pos="6237"/>
        </w:tabs>
        <w:spacing w:after="0"/>
        <w:ind w:firstLine="720"/>
      </w:pPr>
    </w:p>
    <w:p w:rsidRPr="00260DAB" w:rsidR="00FA2B4D" w:rsidP="00FA2B4D" w:rsidRDefault="00FA2B4D" w14:paraId="4B521A21" w14:textId="77777777">
      <w:pPr>
        <w:spacing w:after="0"/>
        <w:ind w:firstLine="720"/>
      </w:pPr>
      <w:r w:rsidRPr="00260DAB">
        <w:t xml:space="preserve">Vīza: </w:t>
      </w:r>
    </w:p>
    <w:p w:rsidRPr="00260DAB" w:rsidR="00FA2B4D" w:rsidP="00FA2B4D" w:rsidRDefault="00CC4FAE" w14:paraId="27C1526F" w14:textId="24977DB2">
      <w:pPr>
        <w:spacing w:after="0"/>
        <w:ind w:firstLine="720"/>
      </w:pPr>
      <w:r w:rsidRPr="00260DAB">
        <w:t>v</w:t>
      </w:r>
      <w:r w:rsidRPr="00260DAB" w:rsidR="00FA2B4D">
        <w:t>alsts sekretār</w:t>
      </w:r>
      <w:r w:rsidRPr="00260DAB" w:rsidR="007C451A">
        <w:t>e</w:t>
      </w:r>
      <w:r w:rsidRPr="00260DAB" w:rsidR="002D3079">
        <w:tab/>
      </w:r>
      <w:r w:rsidRPr="00260DAB" w:rsidR="002D3079">
        <w:tab/>
      </w:r>
      <w:r w:rsidRPr="00260DAB" w:rsidR="002D3079">
        <w:tab/>
      </w:r>
      <w:r w:rsidRPr="00260DAB" w:rsidR="002D3079">
        <w:tab/>
        <w:t xml:space="preserve"> </w:t>
      </w:r>
      <w:r w:rsidRPr="00260DAB" w:rsidR="00272B62">
        <w:tab/>
        <w:t xml:space="preserve">       </w:t>
      </w:r>
      <w:r w:rsidRPr="00260DAB" w:rsidR="007C451A">
        <w:t>I.Stepanova</w:t>
      </w:r>
    </w:p>
    <w:p w:rsidRPr="003A4796" w:rsidR="000B6C51" w:rsidP="00FA2B4D" w:rsidRDefault="000B6C51" w14:paraId="3E843C20" w14:textId="0D6BACD2">
      <w:pPr>
        <w:spacing w:after="0"/>
        <w:ind w:firstLine="720"/>
        <w:rPr>
          <w:sz w:val="28"/>
          <w:szCs w:val="28"/>
        </w:rPr>
      </w:pPr>
    </w:p>
    <w:p w:rsidRPr="003A4796" w:rsidR="000B6C51" w:rsidP="000B6C51" w:rsidRDefault="000B6C51" w14:paraId="72035C42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Pr="003A4796" w:rsidR="000B6C51" w:rsidP="000B6C51" w:rsidRDefault="000B6C51" w14:paraId="05F73881" w14:textId="77777777">
      <w:pPr>
        <w:tabs>
          <w:tab w:val="left" w:pos="6237"/>
        </w:tabs>
        <w:spacing w:after="0"/>
        <w:ind w:firstLine="720"/>
        <w:rPr>
          <w:sz w:val="28"/>
          <w:szCs w:val="28"/>
        </w:rPr>
      </w:pPr>
    </w:p>
    <w:p w:rsidRPr="001C044F" w:rsidR="008C0EDC" w:rsidP="000B6C51" w:rsidRDefault="008C0EDC" w14:paraId="7EF4EE5E" w14:textId="5CC4151C">
      <w:pPr>
        <w:tabs>
          <w:tab w:val="left" w:pos="1500"/>
        </w:tabs>
        <w:spacing w:after="0"/>
      </w:pPr>
    </w:p>
    <w:sectPr w:rsidRPr="001C044F" w:rsidR="008C0EDC" w:rsidSect="007C5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C264" w14:textId="77777777" w:rsidR="00CD2B1C" w:rsidRDefault="00CD2B1C" w:rsidP="0055695F">
      <w:pPr>
        <w:spacing w:after="0"/>
      </w:pPr>
      <w:r>
        <w:separator/>
      </w:r>
    </w:p>
  </w:endnote>
  <w:endnote w:type="continuationSeparator" w:id="0">
    <w:p w14:paraId="41FF2AC6" w14:textId="77777777" w:rsidR="00CD2B1C" w:rsidRDefault="00CD2B1C" w:rsidP="00556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A042" w14:textId="77777777" w:rsidR="00DA6C42" w:rsidRDefault="00DA6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E96D" w14:textId="343C6A83" w:rsidR="00B9616E" w:rsidRDefault="00B9616E" w:rsidP="00B9616E">
    <w:pPr>
      <w:pStyle w:val="Footer"/>
    </w:pPr>
    <w:r>
      <w:t>SManot_</w:t>
    </w:r>
    <w:r w:rsidR="00DA6C42">
      <w:t>300320_</w:t>
    </w:r>
    <w:r>
      <w:t>maksa</w:t>
    </w:r>
    <w:r w:rsidR="004042ED"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6ECB" w14:textId="3CC74944" w:rsidR="00E948DC" w:rsidRDefault="00E948DC" w:rsidP="0055695F">
    <w:pPr>
      <w:pStyle w:val="Footer"/>
    </w:pPr>
    <w:r>
      <w:t>SManot_</w:t>
    </w:r>
    <w:r w:rsidR="00051AA1">
      <w:t>300320_</w:t>
    </w:r>
    <w:r w:rsidR="00B9616E">
      <w:t>maksas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FF22" w14:textId="77777777" w:rsidR="00CD2B1C" w:rsidRDefault="00CD2B1C" w:rsidP="0055695F">
      <w:pPr>
        <w:spacing w:after="0"/>
      </w:pPr>
      <w:r>
        <w:separator/>
      </w:r>
    </w:p>
  </w:footnote>
  <w:footnote w:type="continuationSeparator" w:id="0">
    <w:p w14:paraId="3FFF92D7" w14:textId="77777777" w:rsidR="00CD2B1C" w:rsidRDefault="00CD2B1C" w:rsidP="00556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42" w:rsidRDefault="00DA6C42" w14:paraId="5413035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377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48DC" w:rsidRDefault="00E948DC" w14:paraId="1F522910" w14:textId="01E90D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8DC" w:rsidRDefault="00E948DC" w14:paraId="2DFE0B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42" w:rsidRDefault="00DA6C42" w14:paraId="095216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CA4"/>
    <w:multiLevelType w:val="hybridMultilevel"/>
    <w:tmpl w:val="BFF475E0"/>
    <w:lvl w:ilvl="0" w:tplc="8B12D1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30"/>
    <w:rsid w:val="00011A47"/>
    <w:rsid w:val="00026275"/>
    <w:rsid w:val="000270AD"/>
    <w:rsid w:val="000300A3"/>
    <w:rsid w:val="000356DE"/>
    <w:rsid w:val="000424C2"/>
    <w:rsid w:val="0004615A"/>
    <w:rsid w:val="00051AA1"/>
    <w:rsid w:val="00097FF3"/>
    <w:rsid w:val="000A274C"/>
    <w:rsid w:val="000B3EB7"/>
    <w:rsid w:val="000B6C51"/>
    <w:rsid w:val="000B6CF6"/>
    <w:rsid w:val="000C52BA"/>
    <w:rsid w:val="000D3C3D"/>
    <w:rsid w:val="000D7B5D"/>
    <w:rsid w:val="000E17C5"/>
    <w:rsid w:val="000E221F"/>
    <w:rsid w:val="000E42FA"/>
    <w:rsid w:val="000E46DE"/>
    <w:rsid w:val="000E60B4"/>
    <w:rsid w:val="00101073"/>
    <w:rsid w:val="00147E2E"/>
    <w:rsid w:val="001733DC"/>
    <w:rsid w:val="00182764"/>
    <w:rsid w:val="001C044F"/>
    <w:rsid w:val="001F59CB"/>
    <w:rsid w:val="00207CCD"/>
    <w:rsid w:val="00220390"/>
    <w:rsid w:val="00230CEE"/>
    <w:rsid w:val="002606F3"/>
    <w:rsid w:val="00260DAB"/>
    <w:rsid w:val="00272B62"/>
    <w:rsid w:val="002854CA"/>
    <w:rsid w:val="00292A01"/>
    <w:rsid w:val="002A2173"/>
    <w:rsid w:val="002A67F6"/>
    <w:rsid w:val="002B3211"/>
    <w:rsid w:val="002B5488"/>
    <w:rsid w:val="002C0921"/>
    <w:rsid w:val="002D3079"/>
    <w:rsid w:val="00326C28"/>
    <w:rsid w:val="003439A7"/>
    <w:rsid w:val="00395F1F"/>
    <w:rsid w:val="003A3CFD"/>
    <w:rsid w:val="003B3E8C"/>
    <w:rsid w:val="003B70F8"/>
    <w:rsid w:val="003C5D25"/>
    <w:rsid w:val="003D0104"/>
    <w:rsid w:val="003D1EED"/>
    <w:rsid w:val="003D26D2"/>
    <w:rsid w:val="003E0DDE"/>
    <w:rsid w:val="003E12C3"/>
    <w:rsid w:val="003E68CA"/>
    <w:rsid w:val="003F3132"/>
    <w:rsid w:val="004042ED"/>
    <w:rsid w:val="004054F6"/>
    <w:rsid w:val="00433D90"/>
    <w:rsid w:val="00444209"/>
    <w:rsid w:val="00446BA9"/>
    <w:rsid w:val="004837EA"/>
    <w:rsid w:val="00485DD1"/>
    <w:rsid w:val="004A5118"/>
    <w:rsid w:val="004E0C7A"/>
    <w:rsid w:val="004E5AB3"/>
    <w:rsid w:val="004F06E2"/>
    <w:rsid w:val="00517085"/>
    <w:rsid w:val="005202FA"/>
    <w:rsid w:val="0053304A"/>
    <w:rsid w:val="0055695F"/>
    <w:rsid w:val="00556AD9"/>
    <w:rsid w:val="005863C1"/>
    <w:rsid w:val="005C1A57"/>
    <w:rsid w:val="005C5266"/>
    <w:rsid w:val="005E160D"/>
    <w:rsid w:val="005E3BD5"/>
    <w:rsid w:val="005E5BFE"/>
    <w:rsid w:val="005F758D"/>
    <w:rsid w:val="00611574"/>
    <w:rsid w:val="00633670"/>
    <w:rsid w:val="0063380F"/>
    <w:rsid w:val="0064375B"/>
    <w:rsid w:val="00643F23"/>
    <w:rsid w:val="00666552"/>
    <w:rsid w:val="00673BDD"/>
    <w:rsid w:val="0068097B"/>
    <w:rsid w:val="00681BD1"/>
    <w:rsid w:val="00691224"/>
    <w:rsid w:val="0069531A"/>
    <w:rsid w:val="006C3C2E"/>
    <w:rsid w:val="006D5E10"/>
    <w:rsid w:val="006E2442"/>
    <w:rsid w:val="006F6DF7"/>
    <w:rsid w:val="007120AC"/>
    <w:rsid w:val="00727A82"/>
    <w:rsid w:val="0073502A"/>
    <w:rsid w:val="00740EC3"/>
    <w:rsid w:val="00742B85"/>
    <w:rsid w:val="00742C4D"/>
    <w:rsid w:val="007507D9"/>
    <w:rsid w:val="00766865"/>
    <w:rsid w:val="00766A49"/>
    <w:rsid w:val="00767443"/>
    <w:rsid w:val="007A5ED4"/>
    <w:rsid w:val="007A720C"/>
    <w:rsid w:val="007B475E"/>
    <w:rsid w:val="007B5920"/>
    <w:rsid w:val="007C451A"/>
    <w:rsid w:val="007C5C75"/>
    <w:rsid w:val="007D3F68"/>
    <w:rsid w:val="007F3DAB"/>
    <w:rsid w:val="008045A0"/>
    <w:rsid w:val="00805357"/>
    <w:rsid w:val="0082253A"/>
    <w:rsid w:val="00822CF8"/>
    <w:rsid w:val="008264F2"/>
    <w:rsid w:val="008374B6"/>
    <w:rsid w:val="0085605E"/>
    <w:rsid w:val="00874136"/>
    <w:rsid w:val="00880BCB"/>
    <w:rsid w:val="00882D76"/>
    <w:rsid w:val="008A3BA3"/>
    <w:rsid w:val="008A725C"/>
    <w:rsid w:val="008B35E6"/>
    <w:rsid w:val="008C0EDC"/>
    <w:rsid w:val="008C496D"/>
    <w:rsid w:val="008F5F77"/>
    <w:rsid w:val="008F70A7"/>
    <w:rsid w:val="009052DD"/>
    <w:rsid w:val="00941234"/>
    <w:rsid w:val="0094386A"/>
    <w:rsid w:val="00955D0A"/>
    <w:rsid w:val="00961BF9"/>
    <w:rsid w:val="009948D6"/>
    <w:rsid w:val="00997BF5"/>
    <w:rsid w:val="009B504C"/>
    <w:rsid w:val="009B6569"/>
    <w:rsid w:val="009C388D"/>
    <w:rsid w:val="009D0A36"/>
    <w:rsid w:val="009D43F1"/>
    <w:rsid w:val="009F241D"/>
    <w:rsid w:val="009F41AA"/>
    <w:rsid w:val="009F41E2"/>
    <w:rsid w:val="009F4DF2"/>
    <w:rsid w:val="009F564F"/>
    <w:rsid w:val="00A030A9"/>
    <w:rsid w:val="00A046F2"/>
    <w:rsid w:val="00A103D2"/>
    <w:rsid w:val="00A162DD"/>
    <w:rsid w:val="00A17490"/>
    <w:rsid w:val="00A2109E"/>
    <w:rsid w:val="00A22836"/>
    <w:rsid w:val="00A23AA9"/>
    <w:rsid w:val="00A31A6D"/>
    <w:rsid w:val="00A33D25"/>
    <w:rsid w:val="00A34C95"/>
    <w:rsid w:val="00A42B9B"/>
    <w:rsid w:val="00A70EE7"/>
    <w:rsid w:val="00A71EBF"/>
    <w:rsid w:val="00AA5306"/>
    <w:rsid w:val="00AC59E9"/>
    <w:rsid w:val="00AF465C"/>
    <w:rsid w:val="00AF5474"/>
    <w:rsid w:val="00B008D8"/>
    <w:rsid w:val="00B17991"/>
    <w:rsid w:val="00B23067"/>
    <w:rsid w:val="00B66034"/>
    <w:rsid w:val="00B7741A"/>
    <w:rsid w:val="00B85FC2"/>
    <w:rsid w:val="00B9211A"/>
    <w:rsid w:val="00B95E50"/>
    <w:rsid w:val="00B9616E"/>
    <w:rsid w:val="00BA0797"/>
    <w:rsid w:val="00BC733D"/>
    <w:rsid w:val="00BE4C08"/>
    <w:rsid w:val="00BF627B"/>
    <w:rsid w:val="00C040A8"/>
    <w:rsid w:val="00C2265B"/>
    <w:rsid w:val="00C41E24"/>
    <w:rsid w:val="00C4757E"/>
    <w:rsid w:val="00C66F4A"/>
    <w:rsid w:val="00C75107"/>
    <w:rsid w:val="00C764BA"/>
    <w:rsid w:val="00CA39BD"/>
    <w:rsid w:val="00CC4FAE"/>
    <w:rsid w:val="00CD2B1C"/>
    <w:rsid w:val="00CD79D2"/>
    <w:rsid w:val="00CE7835"/>
    <w:rsid w:val="00CF07D6"/>
    <w:rsid w:val="00CF6BBF"/>
    <w:rsid w:val="00D12846"/>
    <w:rsid w:val="00D23D81"/>
    <w:rsid w:val="00D24C62"/>
    <w:rsid w:val="00D26C05"/>
    <w:rsid w:val="00D34773"/>
    <w:rsid w:val="00D47830"/>
    <w:rsid w:val="00D54E9D"/>
    <w:rsid w:val="00D73034"/>
    <w:rsid w:val="00D73EEA"/>
    <w:rsid w:val="00D935AC"/>
    <w:rsid w:val="00DA6C42"/>
    <w:rsid w:val="00DC5A4C"/>
    <w:rsid w:val="00DC7E97"/>
    <w:rsid w:val="00DD1EB6"/>
    <w:rsid w:val="00DD3A6C"/>
    <w:rsid w:val="00DD5E08"/>
    <w:rsid w:val="00E31C3C"/>
    <w:rsid w:val="00E47C0C"/>
    <w:rsid w:val="00E522EB"/>
    <w:rsid w:val="00E65936"/>
    <w:rsid w:val="00E73854"/>
    <w:rsid w:val="00E948DC"/>
    <w:rsid w:val="00EB5648"/>
    <w:rsid w:val="00EB614E"/>
    <w:rsid w:val="00EC0683"/>
    <w:rsid w:val="00ED1837"/>
    <w:rsid w:val="00EE16A0"/>
    <w:rsid w:val="00EF7E42"/>
    <w:rsid w:val="00F00ED7"/>
    <w:rsid w:val="00F010AB"/>
    <w:rsid w:val="00F07836"/>
    <w:rsid w:val="00F27F3A"/>
    <w:rsid w:val="00F46CA1"/>
    <w:rsid w:val="00F57965"/>
    <w:rsid w:val="00F72E86"/>
    <w:rsid w:val="00F73462"/>
    <w:rsid w:val="00F91824"/>
    <w:rsid w:val="00FA1AC8"/>
    <w:rsid w:val="00FA2B4D"/>
    <w:rsid w:val="00FA318D"/>
    <w:rsid w:val="00FA57F5"/>
    <w:rsid w:val="00FB0483"/>
    <w:rsid w:val="00FD5A6A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AC8D8"/>
  <w15:docId w15:val="{F4F88123-E7AD-4097-8ABC-24F8F2F8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EDC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95F"/>
  </w:style>
  <w:style w:type="paragraph" w:styleId="Footer">
    <w:name w:val="footer"/>
    <w:basedOn w:val="Normal"/>
    <w:link w:val="FooterChar"/>
    <w:uiPriority w:val="99"/>
    <w:unhideWhenUsed/>
    <w:rsid w:val="0055695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95F"/>
  </w:style>
  <w:style w:type="character" w:styleId="Hyperlink">
    <w:name w:val="Hyperlink"/>
    <w:uiPriority w:val="99"/>
    <w:rsid w:val="000B6C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5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4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5306"/>
    <w:pPr>
      <w:ind w:left="720"/>
      <w:contextualSpacing/>
    </w:pPr>
  </w:style>
  <w:style w:type="paragraph" w:customStyle="1" w:styleId="doc-ti">
    <w:name w:val="doc-ti"/>
    <w:basedOn w:val="Normal"/>
    <w:rsid w:val="000E46DE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99D7-D5E9-4403-B861-794427E0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4602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2012.gada 3.janvāra noteikumos Nr.28 “Valsts akciju sabiedrības “Latvijas gaisa satiksme” sniegto aeronavigācijas pakalpojumu maksas noteikšanas un iekasēšanas kārtība”” sākotnējās ietekmes</vt:lpstr>
    </vt:vector>
  </TitlesOfParts>
  <Company>Satiksmes ministrija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2012.gada 3.janvāra noteikumos Nr.28 “Valsts akciju sabiedrības “Latvijas gaisa satiksme” sniegto aeronavigācijas pakalpojumu maksas noteikšanas un iekasēšanas kārtība”” sākotnējās ietekmes novērtējuma ziņojums (anotācija)</dc:title>
  <dc:subject>Anotācija</dc:subject>
  <dc:creator>Ž.Jansone</dc:creator>
  <dc:description>67028258;
zaneta.jansone@sam.gov.lv</dc:description>
  <cp:lastModifiedBy>Baiba Jirgena</cp:lastModifiedBy>
  <cp:revision>6</cp:revision>
  <cp:lastPrinted>2019-12-10T12:20:00Z</cp:lastPrinted>
  <dcterms:created xsi:type="dcterms:W3CDTF">2020-04-03T06:47:00Z</dcterms:created>
  <dcterms:modified xsi:type="dcterms:W3CDTF">2020-05-11T08:23:00Z</dcterms:modified>
</cp:coreProperties>
</file>