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Pr="00AE76EB" w:rsidR="000A531F" w:rsidP="00173110" w:rsidRDefault="00173110" w14:paraId="458B585A" w14:textId="2BFEC249">
      <w:pPr>
        <w:jc w:val="center"/>
        <w:rPr>
          <w:b/>
          <w:sz w:val="28"/>
          <w:szCs w:val="28"/>
        </w:rPr>
      </w:pPr>
      <w:r w:rsidRPr="00173110">
        <w:rPr>
          <w:b/>
          <w:sz w:val="28"/>
          <w:szCs w:val="28"/>
        </w:rPr>
        <w:t>“Par Latvijas Universitātei piederošā nekustamā īpašuma pārņemšanu valsts īpašumā”</w:t>
      </w:r>
    </w:p>
    <w:bookmarkEnd w:id="0"/>
    <w:p w:rsidR="00D81B3E" w:rsidP="00D81B3E" w:rsidRDefault="00D81B3E" w14:paraId="4C38BA15" w14:textId="77777777">
      <w:pPr>
        <w:rPr>
          <w:b/>
        </w:rPr>
      </w:pPr>
    </w:p>
    <w:p w:rsidRPr="0053729A" w:rsidR="000A531F" w:rsidP="000A531F" w:rsidRDefault="000A531F" w14:paraId="7F60A93B" w14:textId="7F571E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D81B3E" w:rsidR="000A531F" w:rsidP="0072110C" w:rsidRDefault="000A531F" w14:paraId="3A493631" w14:textId="77777777">
            <w:pPr>
              <w:jc w:val="center"/>
            </w:pPr>
            <w:r w:rsidRPr="00D81B3E">
              <w:t>Nr.p.k.</w:t>
            </w:r>
          </w:p>
        </w:tc>
        <w:tc>
          <w:tcPr>
            <w:tcW w:w="1980" w:type="dxa"/>
            <w:vAlign w:val="center"/>
          </w:tcPr>
          <w:p w:rsidRPr="00D81B3E" w:rsidR="000A531F" w:rsidP="0072110C" w:rsidRDefault="000A531F" w14:paraId="25B0D616" w14:textId="77777777">
            <w:pPr>
              <w:jc w:val="center"/>
            </w:pPr>
            <w:r w:rsidRPr="00D81B3E">
              <w:t>Saskaņošanai nosūtītā projekta redakcija (konkrēta punkta (panta) redakcija)</w:t>
            </w:r>
          </w:p>
        </w:tc>
        <w:tc>
          <w:tcPr>
            <w:tcW w:w="4500" w:type="dxa"/>
            <w:vAlign w:val="center"/>
          </w:tcPr>
          <w:p w:rsidRPr="00D81B3E" w:rsidR="000A531F" w:rsidP="0072110C" w:rsidRDefault="000A531F" w14:paraId="0C11CD22" w14:textId="77777777">
            <w:pPr>
              <w:jc w:val="center"/>
            </w:pPr>
            <w:r w:rsidRPr="00D81B3E">
              <w:t>Atzinumā norādītais ministrijas (citas institūcijas) iebildums, kā arī saskaņošanā papildus izteiktais iebildums par projekta konkrēto punktu (pantu)</w:t>
            </w:r>
          </w:p>
        </w:tc>
        <w:tc>
          <w:tcPr>
            <w:tcW w:w="3240" w:type="dxa"/>
            <w:vAlign w:val="center"/>
          </w:tcPr>
          <w:p w:rsidRPr="00D81B3E" w:rsidR="000A531F" w:rsidP="0072110C" w:rsidRDefault="000A531F" w14:paraId="21F73B3D" w14:textId="77777777">
            <w:pPr>
              <w:jc w:val="center"/>
            </w:pPr>
            <w:r w:rsidRPr="00D81B3E">
              <w:t>Atbildīgās ministrijas pamatojums iebilduma noraidījumam</w:t>
            </w:r>
          </w:p>
        </w:tc>
        <w:tc>
          <w:tcPr>
            <w:tcW w:w="1620" w:type="dxa"/>
            <w:vAlign w:val="center"/>
          </w:tcPr>
          <w:p w:rsidRPr="00D81B3E" w:rsidR="000A531F" w:rsidP="0072110C" w:rsidRDefault="000A531F" w14:paraId="24A85B3E" w14:textId="77777777">
            <w:pPr>
              <w:jc w:val="center"/>
            </w:pPr>
            <w:r w:rsidRPr="00D81B3E">
              <w:t>Atzinuma sniedzēja uzturētais iebildums, ja tas atšķiras no atzinumā norādītā iebilduma pamatojuma</w:t>
            </w:r>
          </w:p>
        </w:tc>
        <w:tc>
          <w:tcPr>
            <w:tcW w:w="2186" w:type="dxa"/>
            <w:vAlign w:val="center"/>
          </w:tcPr>
          <w:p w:rsidRPr="00D81B3E" w:rsidR="000A531F" w:rsidP="0072110C" w:rsidRDefault="000A531F" w14:paraId="69C12952" w14:textId="77777777">
            <w:pPr>
              <w:jc w:val="center"/>
            </w:pPr>
            <w:r w:rsidRPr="00D81B3E">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D81B3E" w:rsidP="00D81B3E" w:rsidRDefault="000A531F" w14:paraId="476C28E1" w14:textId="0009471F">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D201AD" w:rsidP="00E44D7D" w:rsidRDefault="00E44D7D" w14:paraId="72916AB6" w14:textId="77777777">
            <w:pPr>
              <w:pStyle w:val="ListParagraph"/>
              <w:numPr>
                <w:ilvl w:val="0"/>
                <w:numId w:val="5"/>
              </w:numPr>
            </w:pPr>
            <w:r>
              <w:t xml:space="preserve"> </w:t>
            </w:r>
            <w:r w:rsidRPr="00020056" w:rsidR="00D201AD">
              <w:t xml:space="preserve">2020.gada </w:t>
            </w:r>
            <w:r w:rsidRPr="00020056" w:rsidR="004A3842">
              <w:t>2</w:t>
            </w:r>
            <w:r w:rsidR="00DF0CEF">
              <w:t>3</w:t>
            </w:r>
            <w:r w:rsidRPr="00020056" w:rsidR="005C709A">
              <w:t>.aprīlis</w:t>
            </w:r>
            <w:r w:rsidRPr="00020056" w:rsidR="00D201AD">
              <w:t xml:space="preserve"> (elektroniskā saskaņošana).</w:t>
            </w:r>
          </w:p>
          <w:p w:rsidRPr="003A7944" w:rsidR="00E44D7D" w:rsidP="00E44D7D" w:rsidRDefault="00E44D7D" w14:paraId="43E80F13" w14:textId="63A56EE8">
            <w:pPr>
              <w:pStyle w:val="ListParagraph"/>
              <w:numPr>
                <w:ilvl w:val="0"/>
                <w:numId w:val="5"/>
              </w:numPr>
            </w:pPr>
            <w:r>
              <w:t>2020.gada 7.maijs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173110" w14:paraId="184AF6D7" w14:textId="589BA20D">
            <w:pPr>
              <w:ind w:left="72"/>
            </w:pPr>
            <w:r>
              <w:t>Izglītības un zinātnes ministrija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393548F3">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00D201AD" w:rsidP="00E44D7D" w:rsidRDefault="00E44D7D" w14:paraId="5244CE31" w14:textId="4D91C2CC">
            <w:pPr>
              <w:pStyle w:val="ListParagraph"/>
              <w:numPr>
                <w:ilvl w:val="0"/>
                <w:numId w:val="6"/>
              </w:numPr>
            </w:pPr>
            <w:r>
              <w:t xml:space="preserve"> </w:t>
            </w:r>
            <w:r w:rsidR="00B14512">
              <w:t>Finanšu ministrijas 20</w:t>
            </w:r>
            <w:r w:rsidR="00173110">
              <w:t>19</w:t>
            </w:r>
            <w:r w:rsidR="00B14512">
              <w:t xml:space="preserve">.gada </w:t>
            </w:r>
            <w:r w:rsidR="00173110">
              <w:t xml:space="preserve">5.jūlija </w:t>
            </w:r>
            <w:r w:rsidR="00B14512">
              <w:t>atzinums Nr.12/A-7/</w:t>
            </w:r>
            <w:r w:rsidR="00173110">
              <w:t>3164</w:t>
            </w:r>
            <w:r w:rsidR="00DC002D">
              <w:t>.</w:t>
            </w:r>
          </w:p>
          <w:p w:rsidR="005C709A" w:rsidP="00D47019" w:rsidRDefault="00E44D7D" w14:paraId="2D2A36E5" w14:textId="5CC858D7">
            <w:r>
              <w:t xml:space="preserve">                   </w:t>
            </w:r>
            <w:r w:rsidR="005C709A">
              <w:t>Tieslietu ministrijas 20</w:t>
            </w:r>
            <w:r w:rsidR="00173110">
              <w:t>19</w:t>
            </w:r>
            <w:r w:rsidR="005C709A">
              <w:t xml:space="preserve">.gada </w:t>
            </w:r>
            <w:r w:rsidR="00173110">
              <w:t xml:space="preserve">11.jūlija </w:t>
            </w:r>
            <w:r w:rsidR="005C709A">
              <w:t>atzinums Nr.1-9.1/</w:t>
            </w:r>
            <w:r w:rsidR="00173110">
              <w:t>714.</w:t>
            </w:r>
          </w:p>
          <w:p w:rsidR="00E44D7D" w:rsidP="00E44D7D" w:rsidRDefault="00E44D7D" w14:paraId="69C04564" w14:textId="6F9C7FFF">
            <w:pPr>
              <w:pStyle w:val="ListParagraph"/>
              <w:numPr>
                <w:ilvl w:val="0"/>
                <w:numId w:val="6"/>
              </w:numPr>
            </w:pPr>
            <w:r>
              <w:t xml:space="preserve"> Finanšu ministrijas e - pasta atzinums 2020.gada 29.aprīļa atzinums Nr.10.1-6/7-1/403.</w:t>
            </w:r>
          </w:p>
          <w:p w:rsidR="00E44D7D" w:rsidP="00E44D7D" w:rsidRDefault="00E44D7D" w14:paraId="1032F1E3" w14:textId="11C41D81">
            <w:r>
              <w:t xml:space="preserve">                   Tieslietu ministrijas e - pasta atzinums 2020.gada 30.aprīļa atzinums </w:t>
            </w:r>
          </w:p>
          <w:p w:rsidR="00E44D7D" w:rsidP="00E44D7D" w:rsidRDefault="00E44D7D" w14:paraId="0D0505AD" w14:textId="340AFC61">
            <w:pPr>
              <w:pStyle w:val="ListParagraph"/>
              <w:ind w:left="1080"/>
            </w:pPr>
          </w:p>
          <w:p w:rsidRPr="003A7944" w:rsidR="00173110" w:rsidP="00020056" w:rsidRDefault="00173110" w14:paraId="11A709A3" w14:textId="274214F1"/>
        </w:tc>
      </w:tr>
      <w:tr w:rsidRPr="000C6C1A" w:rsidR="000A531F" w:rsidTr="00906110" w14:paraId="0DDF6A41" w14:textId="77777777">
        <w:trPr>
          <w:trHeight w:val="80"/>
        </w:trPr>
        <w:tc>
          <w:tcPr>
            <w:tcW w:w="6132" w:type="dxa"/>
            <w:gridSpan w:val="2"/>
            <w:vAlign w:val="bottom"/>
          </w:tcPr>
          <w:p w:rsidRPr="000C6C1A" w:rsidR="000A531F" w:rsidP="0072110C" w:rsidRDefault="000A531F" w14:paraId="626803DB" w14:textId="77777777">
            <w:r w:rsidRPr="000C6C1A">
              <w:lastRenderedPageBreak/>
              <w:t>Ministrijas (citas institūcijas), kuras nav ieradušās uz sanāksmi vai kuras nav atbildējušas uz uzaicinājumu piedalīties elektroniskajā saskaņošanā</w:t>
            </w:r>
          </w:p>
        </w:tc>
        <w:tc>
          <w:tcPr>
            <w:tcW w:w="8038" w:type="dxa"/>
          </w:tcPr>
          <w:p w:rsidRPr="000C6C1A" w:rsidR="000A531F" w:rsidP="0072110C" w:rsidRDefault="000A531F" w14:paraId="4B68C877" w14:textId="77777777"/>
        </w:tc>
      </w:tr>
    </w:tbl>
    <w:p w:rsidRPr="000C6C1A" w:rsidR="00AE76EB" w:rsidP="00D81B3E" w:rsidRDefault="00AE76EB" w14:paraId="797CA628" w14:textId="77777777">
      <w:pPr>
        <w:pStyle w:val="naisf"/>
        <w:spacing w:before="0" w:after="0"/>
        <w:ind w:firstLine="0"/>
        <w:rPr>
          <w:b/>
          <w:sz w:val="28"/>
          <w:szCs w:val="28"/>
        </w:rPr>
      </w:pPr>
    </w:p>
    <w:p w:rsidRPr="000C6C1A" w:rsidR="00C73711" w:rsidP="00390339" w:rsidRDefault="000A531F" w14:paraId="7FB632DB" w14:textId="208716A6">
      <w:pPr>
        <w:pStyle w:val="naisf"/>
        <w:spacing w:before="0" w:after="0"/>
        <w:ind w:firstLine="0"/>
        <w:jc w:val="center"/>
        <w:rPr>
          <w:b/>
        </w:rPr>
      </w:pPr>
      <w:r w:rsidRPr="000C6C1A">
        <w:rPr>
          <w:b/>
          <w:sz w:val="28"/>
          <w:szCs w:val="28"/>
        </w:rPr>
        <w:t xml:space="preserve">II. </w:t>
      </w:r>
      <w:r w:rsidRPr="000C6C1A"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Pr="000C6C1A" w:rsidR="005D403F" w:rsidTr="0091003F" w14:paraId="19535BC7" w14:textId="77777777">
        <w:tc>
          <w:tcPr>
            <w:tcW w:w="675" w:type="dxa"/>
          </w:tcPr>
          <w:p w:rsidRPr="000C6C1A" w:rsidR="005D403F" w:rsidP="005D403F" w:rsidRDefault="005D403F" w14:paraId="0BCA00DC" w14:textId="77777777">
            <w:pPr>
              <w:pStyle w:val="naisf"/>
              <w:spacing w:before="0" w:after="0"/>
              <w:ind w:firstLine="0"/>
              <w:jc w:val="center"/>
            </w:pPr>
            <w:r w:rsidRPr="000C6C1A">
              <w:t>Nr.</w:t>
            </w:r>
          </w:p>
          <w:p w:rsidRPr="000C6C1A" w:rsidR="005D403F" w:rsidP="005D403F" w:rsidRDefault="005D403F" w14:paraId="5F8FB0CA" w14:textId="77777777">
            <w:pPr>
              <w:pStyle w:val="naisf"/>
              <w:spacing w:before="0" w:after="0"/>
              <w:ind w:firstLine="0"/>
              <w:jc w:val="center"/>
            </w:pPr>
            <w:r w:rsidRPr="000C6C1A">
              <w:t>p.k.</w:t>
            </w:r>
          </w:p>
        </w:tc>
        <w:tc>
          <w:tcPr>
            <w:tcW w:w="3119" w:type="dxa"/>
          </w:tcPr>
          <w:p w:rsidRPr="000C6C1A" w:rsidR="005D403F" w:rsidP="005D403F" w:rsidRDefault="005D403F" w14:paraId="267E306B" w14:textId="77777777">
            <w:pPr>
              <w:pStyle w:val="naisf"/>
              <w:spacing w:before="0" w:after="0"/>
              <w:ind w:firstLine="0"/>
              <w:jc w:val="center"/>
            </w:pPr>
            <w:r w:rsidRPr="000C6C1A">
              <w:t>Saskaņošanai nosūtītā projekta redakcija (konkrēta punkta (panta) redakcija)</w:t>
            </w:r>
          </w:p>
        </w:tc>
        <w:tc>
          <w:tcPr>
            <w:tcW w:w="4678" w:type="dxa"/>
          </w:tcPr>
          <w:p w:rsidRPr="000C6C1A" w:rsidR="005D403F" w:rsidP="005D403F" w:rsidRDefault="005D403F" w14:paraId="52143616" w14:textId="77777777">
            <w:pPr>
              <w:pStyle w:val="naisf"/>
              <w:spacing w:before="0" w:after="0"/>
              <w:ind w:firstLine="0"/>
              <w:jc w:val="center"/>
            </w:pPr>
            <w:r w:rsidRPr="000C6C1A">
              <w:t>Atzinumā norādītais ministrijas (citas institūcijas) iebildums, kā arī saskaņošanā papildus izteiktais iebildums par projekta konkrēto punktu (pantu)</w:t>
            </w:r>
          </w:p>
        </w:tc>
        <w:tc>
          <w:tcPr>
            <w:tcW w:w="2722" w:type="dxa"/>
          </w:tcPr>
          <w:p w:rsidRPr="000C6C1A" w:rsidR="005D403F" w:rsidP="005D403F" w:rsidRDefault="005D403F" w14:paraId="6C6BD330" w14:textId="77777777">
            <w:pPr>
              <w:pStyle w:val="naisf"/>
              <w:spacing w:before="0" w:after="0"/>
              <w:ind w:firstLine="0"/>
              <w:jc w:val="center"/>
            </w:pPr>
            <w:r w:rsidRPr="000C6C1A">
              <w:t>Atbildīgās ministrijas norāde par to, ka iebildums ir ņemts vērā, vai informācija par saskaņošanā panākto alternatīvo risinājumu</w:t>
            </w:r>
          </w:p>
        </w:tc>
        <w:tc>
          <w:tcPr>
            <w:tcW w:w="2980" w:type="dxa"/>
          </w:tcPr>
          <w:p w:rsidRPr="000C6C1A" w:rsidR="005D403F" w:rsidP="005D403F" w:rsidRDefault="005D403F" w14:paraId="7F91D989" w14:textId="77777777">
            <w:pPr>
              <w:pStyle w:val="naisf"/>
              <w:spacing w:before="0" w:after="0"/>
              <w:ind w:firstLine="0"/>
              <w:jc w:val="center"/>
            </w:pPr>
            <w:r w:rsidRPr="000C6C1A">
              <w:t>Projekta attiecīgā punkta (panta) galīgā redakcija</w:t>
            </w:r>
          </w:p>
        </w:tc>
      </w:tr>
      <w:tr w:rsidRPr="000C6C1A" w:rsidR="005D403F" w:rsidTr="0091003F" w14:paraId="4254AEA4" w14:textId="77777777">
        <w:tc>
          <w:tcPr>
            <w:tcW w:w="675" w:type="dxa"/>
          </w:tcPr>
          <w:p w:rsidRPr="000C6C1A" w:rsidR="00E44D7D" w:rsidP="005D403F" w:rsidRDefault="00E44D7D" w14:paraId="190DE8B9" w14:textId="3DB1E9EB">
            <w:pPr>
              <w:pStyle w:val="naisf"/>
              <w:spacing w:before="0" w:after="0"/>
              <w:ind w:firstLine="0"/>
              <w:jc w:val="center"/>
              <w:rPr>
                <w:b/>
                <w:bCs/>
                <w:i/>
                <w:iCs/>
              </w:rPr>
            </w:pPr>
            <w:r w:rsidRPr="000C6C1A">
              <w:rPr>
                <w:b/>
                <w:bCs/>
                <w:i/>
                <w:iCs/>
              </w:rPr>
              <w:t>I.</w:t>
            </w:r>
          </w:p>
          <w:p w:rsidRPr="000C6C1A" w:rsidR="005D403F" w:rsidP="005D403F" w:rsidRDefault="005D403F" w14:paraId="2DF49046" w14:textId="2BACA3A0">
            <w:pPr>
              <w:pStyle w:val="naisf"/>
              <w:spacing w:before="0" w:after="0"/>
              <w:ind w:firstLine="0"/>
              <w:jc w:val="center"/>
            </w:pPr>
            <w:r w:rsidRPr="000C6C1A">
              <w:t>1</w:t>
            </w:r>
            <w:r w:rsidRPr="000C6C1A" w:rsidR="00D47019">
              <w:t>.</w:t>
            </w:r>
          </w:p>
        </w:tc>
        <w:tc>
          <w:tcPr>
            <w:tcW w:w="3119" w:type="dxa"/>
          </w:tcPr>
          <w:p w:rsidRPr="000C6C1A" w:rsidR="00E44D7D" w:rsidP="00491E1F" w:rsidRDefault="00E44D7D" w14:paraId="05897BC7" w14:textId="77777777">
            <w:pPr>
              <w:jc w:val="both"/>
              <w:rPr>
                <w:b/>
                <w:bCs/>
                <w:lang w:eastAsia="ko-KR"/>
              </w:rPr>
            </w:pPr>
          </w:p>
          <w:p w:rsidRPr="000C6C1A" w:rsidR="00274B83" w:rsidP="00491E1F" w:rsidRDefault="00274B83" w14:paraId="1F11B3E6" w14:textId="45A5D281">
            <w:pPr>
              <w:jc w:val="both"/>
              <w:rPr>
                <w:b/>
                <w:bCs/>
                <w:lang w:eastAsia="ko-KR"/>
              </w:rPr>
            </w:pPr>
            <w:r w:rsidRPr="000C6C1A">
              <w:rPr>
                <w:b/>
                <w:bCs/>
                <w:lang w:eastAsia="ko-KR"/>
              </w:rPr>
              <w:t>Rīkojums :</w:t>
            </w:r>
          </w:p>
          <w:p w:rsidRPr="000C6C1A" w:rsidR="00491E1F" w:rsidP="00491E1F" w:rsidRDefault="00274B83" w14:paraId="0EECC346" w14:textId="77777777">
            <w:pPr>
              <w:jc w:val="both"/>
              <w:rPr>
                <w:lang w:eastAsia="ko-KR"/>
              </w:rPr>
            </w:pPr>
            <w:r w:rsidRPr="000C6C1A">
              <w:rPr>
                <w:lang w:eastAsia="ko-KR"/>
              </w:rPr>
              <w:t xml:space="preserve">1. </w:t>
            </w:r>
            <w:r w:rsidRPr="000C6C1A" w:rsidR="0021388A">
              <w:rPr>
                <w:lang w:eastAsia="ko-KR"/>
              </w:rPr>
              <w:t>Saskaņā ar Publiskas personas mantas atsavināšanas likuma 42. panta otro daļu un 43.pantu un Dzelzceļa likuma 15. panta pirmo daļu pārņemt bez atlīdzības valsts īpašumā un nodot Satiksmes ministrijas valdījumā Latvijas Universitātei piederošo  nekustamo īpašumu Rīgā (nekustamā īpašuma kadastra Nr. 01000540162) – zemes vienību (zemes vienības kadastra apzīmējums 01000540115) 0.0262 ha platībā.</w:t>
            </w:r>
          </w:p>
          <w:p w:rsidRPr="000C6C1A" w:rsidR="00824569" w:rsidP="00491E1F" w:rsidRDefault="00824569" w14:paraId="4303C9C9" w14:textId="77777777">
            <w:pPr>
              <w:jc w:val="both"/>
              <w:rPr>
                <w:lang w:eastAsia="ko-KR"/>
              </w:rPr>
            </w:pPr>
            <w:r w:rsidRPr="000C6C1A">
              <w:rPr>
                <w:lang w:eastAsia="ko-KR"/>
              </w:rPr>
              <w:t xml:space="preserve">                        </w:t>
            </w:r>
          </w:p>
          <w:p w:rsidRPr="000C6C1A" w:rsidR="00824569" w:rsidP="00491E1F" w:rsidRDefault="00824569" w14:paraId="3D72F603" w14:textId="77777777">
            <w:pPr>
              <w:jc w:val="both"/>
              <w:rPr>
                <w:lang w:eastAsia="ko-KR"/>
              </w:rPr>
            </w:pPr>
          </w:p>
          <w:p w:rsidRPr="000C6C1A" w:rsidR="00824569" w:rsidP="00491E1F" w:rsidRDefault="00824569" w14:paraId="129B4DB6" w14:textId="77777777">
            <w:pPr>
              <w:jc w:val="both"/>
              <w:rPr>
                <w:lang w:eastAsia="ko-KR"/>
              </w:rPr>
            </w:pPr>
          </w:p>
          <w:p w:rsidRPr="000C6C1A" w:rsidR="00824569" w:rsidP="00491E1F" w:rsidRDefault="00824569" w14:paraId="20672BDF" w14:textId="77777777">
            <w:pPr>
              <w:jc w:val="both"/>
              <w:rPr>
                <w:lang w:eastAsia="ko-KR"/>
              </w:rPr>
            </w:pPr>
          </w:p>
          <w:p w:rsidRPr="000C6C1A" w:rsidR="00824569" w:rsidP="00491E1F" w:rsidRDefault="00824569" w14:paraId="09107CAA" w14:textId="77777777">
            <w:pPr>
              <w:jc w:val="both"/>
              <w:rPr>
                <w:lang w:eastAsia="ko-KR"/>
              </w:rPr>
            </w:pPr>
          </w:p>
          <w:p w:rsidRPr="000C6C1A" w:rsidR="00824569" w:rsidP="00491E1F" w:rsidRDefault="00824569" w14:paraId="71CEB111" w14:textId="77777777">
            <w:pPr>
              <w:jc w:val="both"/>
              <w:rPr>
                <w:lang w:eastAsia="ko-KR"/>
              </w:rPr>
            </w:pPr>
          </w:p>
          <w:p w:rsidRPr="000C6C1A" w:rsidR="00824569" w:rsidP="00491E1F" w:rsidRDefault="00824569" w14:paraId="40C73843" w14:textId="77777777">
            <w:pPr>
              <w:jc w:val="both"/>
              <w:rPr>
                <w:lang w:eastAsia="ko-KR"/>
              </w:rPr>
            </w:pPr>
          </w:p>
          <w:p w:rsidRPr="000C6C1A" w:rsidR="00824569" w:rsidP="00491E1F" w:rsidRDefault="00824569" w14:paraId="11419F69" w14:textId="77777777">
            <w:pPr>
              <w:jc w:val="both"/>
              <w:rPr>
                <w:lang w:eastAsia="ko-KR"/>
              </w:rPr>
            </w:pPr>
          </w:p>
          <w:p w:rsidRPr="000C6C1A" w:rsidR="00824569" w:rsidP="00491E1F" w:rsidRDefault="00824569" w14:paraId="4FD58D29" w14:textId="77777777">
            <w:pPr>
              <w:jc w:val="both"/>
              <w:rPr>
                <w:lang w:eastAsia="ko-KR"/>
              </w:rPr>
            </w:pPr>
          </w:p>
          <w:p w:rsidRPr="000C6C1A" w:rsidR="00824569" w:rsidP="00491E1F" w:rsidRDefault="00824569" w14:paraId="1A4FA300" w14:textId="4F56B9F3">
            <w:pPr>
              <w:jc w:val="both"/>
              <w:rPr>
                <w:lang w:eastAsia="ko-KR"/>
              </w:rPr>
            </w:pPr>
            <w:r w:rsidRPr="000C6C1A">
              <w:rPr>
                <w:lang w:eastAsia="ko-KR"/>
              </w:rPr>
              <w:t xml:space="preserve">Rīkojuma projekta 2. un 3. punkts.                                                                         </w:t>
            </w:r>
          </w:p>
        </w:tc>
        <w:tc>
          <w:tcPr>
            <w:tcW w:w="4678" w:type="dxa"/>
          </w:tcPr>
          <w:p w:rsidRPr="000C6C1A" w:rsidR="00E44D7D" w:rsidP="00C00E70" w:rsidRDefault="00E44D7D" w14:paraId="68742BB8" w14:textId="77777777">
            <w:pPr>
              <w:widowControl w:val="0"/>
              <w:jc w:val="both"/>
              <w:rPr>
                <w:b/>
                <w:bCs/>
              </w:rPr>
            </w:pPr>
          </w:p>
          <w:p w:rsidRPr="000C6C1A" w:rsidR="007F5237" w:rsidP="00C00E70" w:rsidRDefault="005C709A" w14:paraId="16DB981A" w14:textId="065E3DC4">
            <w:pPr>
              <w:widowControl w:val="0"/>
              <w:jc w:val="both"/>
            </w:pPr>
            <w:r w:rsidRPr="000C6C1A">
              <w:rPr>
                <w:b/>
                <w:bCs/>
              </w:rPr>
              <w:t>Finanšu ministrijas</w:t>
            </w:r>
            <w:r w:rsidRPr="000C6C1A">
              <w:t xml:space="preserve"> </w:t>
            </w:r>
            <w:r w:rsidRPr="000C6C1A" w:rsidR="00B61ABD">
              <w:rPr>
                <w:b/>
                <w:bCs/>
              </w:rPr>
              <w:t>iebildumi :</w:t>
            </w:r>
          </w:p>
          <w:p w:rsidRPr="000C6C1A" w:rsidR="00B61ABD" w:rsidP="00E638EB" w:rsidRDefault="006E54CC" w14:paraId="50BCCC7E" w14:textId="77777777">
            <w:pPr>
              <w:widowControl w:val="0"/>
              <w:jc w:val="both"/>
              <w:rPr>
                <w:b/>
                <w:bCs/>
              </w:rPr>
            </w:pPr>
            <w:r w:rsidRPr="000C6C1A">
              <w:rPr>
                <w:b/>
                <w:bCs/>
              </w:rPr>
              <w:t>1.</w:t>
            </w:r>
          </w:p>
          <w:p w:rsidRPr="000C6C1A" w:rsidR="006E54CC" w:rsidP="00E638EB" w:rsidRDefault="00B61ABD" w14:paraId="79A1B05D" w14:textId="1615C314">
            <w:pPr>
              <w:widowControl w:val="0"/>
              <w:jc w:val="both"/>
            </w:pPr>
            <w:r w:rsidRPr="000C6C1A">
              <w:t>- p</w:t>
            </w:r>
            <w:r w:rsidRPr="000C6C1A" w:rsidR="006E54CC">
              <w:t>apildināt rīkojuma projekta 1.punkta ievaddaļu ar šādu teikumu “Ņemot vērā, ka Latvijas Universitātes īpašumā nodotais nekustamais īpašums netiek izmantots Ministru kabineta 2013.gada 30.jūlija rīkojuma Nr.347 "Par valsts nekustamo īpašumu nodošanu Latvijas Universitātes īpašumā" 1.9. apakšpunktā minētās funkcijas īstenošanai…”;</w:t>
            </w:r>
          </w:p>
          <w:p w:rsidRPr="000C6C1A" w:rsidR="00B61ABD" w:rsidP="00B61ABD" w:rsidRDefault="00B61ABD" w14:paraId="5F1E4528" w14:textId="6E62D672">
            <w:pPr>
              <w:spacing w:line="276" w:lineRule="auto"/>
              <w:jc w:val="both"/>
              <w:rPr>
                <w:color w:val="000000"/>
              </w:rPr>
            </w:pPr>
            <w:r w:rsidRPr="000C6C1A">
              <w:t xml:space="preserve">- </w:t>
            </w:r>
            <w:r w:rsidRPr="000C6C1A">
              <w:rPr>
                <w:color w:val="000000"/>
              </w:rPr>
              <w:t>pamatot Rīkojuma projektu ar atsaucēm uz atbilstošām tiesību normām. Rīkojuma projekts ir pamatojams ar Publiskas personas mantas atsavināšanas likuma 42. pantu pirmo daļu, nevis otro daļu;</w:t>
            </w:r>
          </w:p>
          <w:p w:rsidRPr="000C6C1A" w:rsidR="00274B83" w:rsidP="00B61ABD" w:rsidRDefault="00274B83" w14:paraId="60C9B7AB" w14:textId="3597F676">
            <w:pPr>
              <w:spacing w:line="276" w:lineRule="auto"/>
              <w:jc w:val="both"/>
              <w:rPr>
                <w:color w:val="000000"/>
              </w:rPr>
            </w:pPr>
          </w:p>
          <w:p w:rsidRPr="000C6C1A" w:rsidR="00274B83" w:rsidP="00B61ABD" w:rsidRDefault="00274B83" w14:paraId="21D6D074" w14:textId="4907C5D6">
            <w:pPr>
              <w:spacing w:line="276" w:lineRule="auto"/>
              <w:jc w:val="both"/>
              <w:rPr>
                <w:color w:val="000000"/>
              </w:rPr>
            </w:pPr>
          </w:p>
          <w:p w:rsidRPr="000C6C1A" w:rsidR="00274B83" w:rsidP="00B61ABD" w:rsidRDefault="00274B83" w14:paraId="4A3D7876" w14:textId="334318EA">
            <w:pPr>
              <w:spacing w:line="276" w:lineRule="auto"/>
              <w:jc w:val="both"/>
              <w:rPr>
                <w:color w:val="000000"/>
              </w:rPr>
            </w:pPr>
          </w:p>
          <w:p w:rsidRPr="000C6C1A" w:rsidR="00274B83" w:rsidP="00B61ABD" w:rsidRDefault="00274B83" w14:paraId="301F9EE0" w14:textId="481ED75C">
            <w:pPr>
              <w:spacing w:line="276" w:lineRule="auto"/>
              <w:jc w:val="both"/>
              <w:rPr>
                <w:color w:val="000000"/>
              </w:rPr>
            </w:pPr>
          </w:p>
          <w:p w:rsidRPr="000C6C1A" w:rsidR="00274B83" w:rsidP="00B61ABD" w:rsidRDefault="00274B83" w14:paraId="6238B20C" w14:textId="34135718">
            <w:pPr>
              <w:spacing w:line="276" w:lineRule="auto"/>
              <w:jc w:val="both"/>
              <w:rPr>
                <w:color w:val="000000"/>
              </w:rPr>
            </w:pPr>
          </w:p>
          <w:p w:rsidRPr="000C6C1A" w:rsidR="00274B83" w:rsidP="00B61ABD" w:rsidRDefault="00274B83" w14:paraId="6500FA4D" w14:textId="718F39DB">
            <w:pPr>
              <w:spacing w:line="276" w:lineRule="auto"/>
              <w:jc w:val="both"/>
              <w:rPr>
                <w:color w:val="000000"/>
              </w:rPr>
            </w:pPr>
          </w:p>
          <w:p w:rsidRPr="000C6C1A" w:rsidR="00274B83" w:rsidP="00B61ABD" w:rsidRDefault="00274B83" w14:paraId="1EAB7741" w14:textId="330AB349">
            <w:pPr>
              <w:spacing w:line="276" w:lineRule="auto"/>
              <w:jc w:val="both"/>
              <w:rPr>
                <w:color w:val="000000"/>
              </w:rPr>
            </w:pPr>
          </w:p>
          <w:p w:rsidRPr="000C6C1A" w:rsidR="00274B83" w:rsidP="00B61ABD" w:rsidRDefault="00274B83" w14:paraId="3C8CB39D" w14:textId="77777777">
            <w:pPr>
              <w:spacing w:line="276" w:lineRule="auto"/>
              <w:jc w:val="both"/>
              <w:rPr>
                <w:color w:val="000000"/>
              </w:rPr>
            </w:pPr>
          </w:p>
          <w:p w:rsidRPr="000C6C1A" w:rsidR="00B61ABD" w:rsidP="00B61ABD" w:rsidRDefault="00B61ABD" w14:paraId="566FC45A" w14:textId="0782D410">
            <w:pPr>
              <w:spacing w:line="276" w:lineRule="auto"/>
              <w:jc w:val="both"/>
            </w:pPr>
            <w:r w:rsidRPr="000C6C1A">
              <w:rPr>
                <w:color w:val="000000"/>
              </w:rPr>
              <w:t>- svītrot rīkojuma projekta 2.un 3.punktu, un papildināt ar jaunu punktu, kas noteic uzdevumu Satiksmes ministrijai pārņemt no Latvijas universitātes šā rīkojuma 1.punktā minēto nekustamo īpašumu un normatīvajos aktos noteiktajā kārtībā ierakstīt zemesgrāmatā uz valsts vārda Satiksmes ministrijas personā;</w:t>
            </w:r>
          </w:p>
          <w:p w:rsidRPr="000C6C1A" w:rsidR="00B61ABD" w:rsidP="00B61ABD" w:rsidRDefault="00B61ABD" w14:paraId="05382854" w14:textId="77777777">
            <w:pPr>
              <w:spacing w:line="276" w:lineRule="auto"/>
              <w:jc w:val="both"/>
            </w:pPr>
          </w:p>
          <w:p w:rsidRPr="000C6C1A" w:rsidR="0021388A" w:rsidP="00E638EB" w:rsidRDefault="0021388A" w14:paraId="1643CECE" w14:textId="274FF4FC">
            <w:pPr>
              <w:widowControl w:val="0"/>
              <w:jc w:val="both"/>
            </w:pPr>
          </w:p>
          <w:p w:rsidRPr="000C6C1A" w:rsidR="0021388A" w:rsidP="00E638EB" w:rsidRDefault="0021388A" w14:paraId="67E924DD" w14:textId="77777777">
            <w:pPr>
              <w:widowControl w:val="0"/>
              <w:jc w:val="both"/>
            </w:pPr>
          </w:p>
          <w:p w:rsidRPr="000C6C1A" w:rsidR="005C709A" w:rsidP="005C709A" w:rsidRDefault="005C709A" w14:paraId="724A8C63" w14:textId="48DA4029">
            <w:pPr>
              <w:widowControl w:val="0"/>
              <w:jc w:val="both"/>
            </w:pPr>
          </w:p>
        </w:tc>
        <w:tc>
          <w:tcPr>
            <w:tcW w:w="2722" w:type="dxa"/>
          </w:tcPr>
          <w:p w:rsidRPr="000C6C1A" w:rsidR="00E44D7D" w:rsidP="00D47019" w:rsidRDefault="00E44D7D" w14:paraId="5562C3C7" w14:textId="77777777">
            <w:pPr>
              <w:pStyle w:val="naisf"/>
              <w:spacing w:before="0" w:after="0"/>
              <w:ind w:firstLine="0"/>
              <w:rPr>
                <w:b/>
                <w:bCs/>
              </w:rPr>
            </w:pPr>
          </w:p>
          <w:p w:rsidRPr="000C6C1A" w:rsidR="00955F6B" w:rsidP="00D47019" w:rsidRDefault="00B61ABD" w14:paraId="28309DBD" w14:textId="4BBE0F6E">
            <w:pPr>
              <w:pStyle w:val="naisf"/>
              <w:spacing w:before="0" w:after="0"/>
              <w:ind w:firstLine="0"/>
              <w:rPr>
                <w:b/>
                <w:bCs/>
              </w:rPr>
            </w:pPr>
            <w:r w:rsidRPr="000C6C1A">
              <w:rPr>
                <w:b/>
                <w:bCs/>
              </w:rPr>
              <w:t>Iebildums</w:t>
            </w:r>
            <w:r w:rsidRPr="000C6C1A" w:rsidR="0021388A">
              <w:rPr>
                <w:b/>
                <w:bCs/>
              </w:rPr>
              <w:t xml:space="preserve"> ņemts </w:t>
            </w:r>
            <w:r w:rsidRPr="000C6C1A" w:rsidR="007F5237">
              <w:rPr>
                <w:b/>
                <w:bCs/>
              </w:rPr>
              <w:t>vērā.</w:t>
            </w:r>
          </w:p>
          <w:p w:rsidRPr="000C6C1A" w:rsidR="00824569" w:rsidP="00D47019" w:rsidRDefault="00824569" w14:paraId="2A2187A4" w14:textId="77777777">
            <w:pPr>
              <w:pStyle w:val="naisf"/>
              <w:spacing w:before="0" w:after="0"/>
              <w:ind w:firstLine="0"/>
              <w:rPr>
                <w:b/>
                <w:bCs/>
              </w:rPr>
            </w:pPr>
          </w:p>
          <w:p w:rsidRPr="000C6C1A" w:rsidR="00824569" w:rsidP="00D47019" w:rsidRDefault="00824569" w14:paraId="10329CF7" w14:textId="77777777">
            <w:pPr>
              <w:pStyle w:val="naisf"/>
              <w:spacing w:before="0" w:after="0"/>
              <w:ind w:firstLine="0"/>
              <w:rPr>
                <w:b/>
                <w:bCs/>
              </w:rPr>
            </w:pPr>
          </w:p>
          <w:p w:rsidRPr="000C6C1A" w:rsidR="00824569" w:rsidP="00D47019" w:rsidRDefault="00824569" w14:paraId="577E6B2E" w14:textId="77777777">
            <w:pPr>
              <w:pStyle w:val="naisf"/>
              <w:spacing w:before="0" w:after="0"/>
              <w:ind w:firstLine="0"/>
              <w:rPr>
                <w:b/>
                <w:bCs/>
              </w:rPr>
            </w:pPr>
          </w:p>
          <w:p w:rsidRPr="000C6C1A" w:rsidR="00824569" w:rsidP="00D47019" w:rsidRDefault="00824569" w14:paraId="40075637" w14:textId="77777777">
            <w:pPr>
              <w:pStyle w:val="naisf"/>
              <w:spacing w:before="0" w:after="0"/>
              <w:ind w:firstLine="0"/>
              <w:rPr>
                <w:b/>
                <w:bCs/>
              </w:rPr>
            </w:pPr>
          </w:p>
          <w:p w:rsidRPr="000C6C1A" w:rsidR="00824569" w:rsidP="00D47019" w:rsidRDefault="00824569" w14:paraId="6D43CDAD" w14:textId="77777777">
            <w:pPr>
              <w:pStyle w:val="naisf"/>
              <w:spacing w:before="0" w:after="0"/>
              <w:ind w:firstLine="0"/>
              <w:rPr>
                <w:b/>
                <w:bCs/>
              </w:rPr>
            </w:pPr>
          </w:p>
          <w:p w:rsidRPr="000C6C1A" w:rsidR="00824569" w:rsidP="00D47019" w:rsidRDefault="00824569" w14:paraId="06A04465" w14:textId="77777777">
            <w:pPr>
              <w:pStyle w:val="naisf"/>
              <w:spacing w:before="0" w:after="0"/>
              <w:ind w:firstLine="0"/>
              <w:rPr>
                <w:b/>
                <w:bCs/>
              </w:rPr>
            </w:pPr>
          </w:p>
          <w:p w:rsidRPr="000C6C1A" w:rsidR="00824569" w:rsidP="00D47019" w:rsidRDefault="00824569" w14:paraId="55E3DD7A" w14:textId="77777777">
            <w:pPr>
              <w:pStyle w:val="naisf"/>
              <w:spacing w:before="0" w:after="0"/>
              <w:ind w:firstLine="0"/>
              <w:rPr>
                <w:b/>
                <w:bCs/>
              </w:rPr>
            </w:pPr>
          </w:p>
          <w:p w:rsidRPr="000C6C1A" w:rsidR="00824569" w:rsidP="00D47019" w:rsidRDefault="00824569" w14:paraId="21EFF086" w14:textId="77777777">
            <w:pPr>
              <w:pStyle w:val="naisf"/>
              <w:spacing w:before="0" w:after="0"/>
              <w:ind w:firstLine="0"/>
              <w:rPr>
                <w:b/>
                <w:bCs/>
              </w:rPr>
            </w:pPr>
          </w:p>
          <w:p w:rsidRPr="000C6C1A" w:rsidR="00824569" w:rsidP="00D47019" w:rsidRDefault="00824569" w14:paraId="31D6934F" w14:textId="77777777">
            <w:pPr>
              <w:pStyle w:val="naisf"/>
              <w:spacing w:before="0" w:after="0"/>
              <w:ind w:firstLine="0"/>
              <w:rPr>
                <w:b/>
                <w:bCs/>
              </w:rPr>
            </w:pPr>
          </w:p>
          <w:p w:rsidRPr="000C6C1A" w:rsidR="00824569" w:rsidP="00D47019" w:rsidRDefault="00824569" w14:paraId="56877750" w14:textId="77777777">
            <w:pPr>
              <w:pStyle w:val="naisf"/>
              <w:spacing w:before="0" w:after="0"/>
              <w:ind w:firstLine="0"/>
              <w:rPr>
                <w:b/>
                <w:bCs/>
              </w:rPr>
            </w:pPr>
          </w:p>
          <w:p w:rsidRPr="000C6C1A" w:rsidR="00824569" w:rsidP="00D47019" w:rsidRDefault="00824569" w14:paraId="5FB1F6C5" w14:textId="77777777">
            <w:pPr>
              <w:pStyle w:val="naisf"/>
              <w:spacing w:before="0" w:after="0"/>
              <w:ind w:firstLine="0"/>
              <w:rPr>
                <w:b/>
                <w:bCs/>
              </w:rPr>
            </w:pPr>
          </w:p>
          <w:p w:rsidRPr="000C6C1A" w:rsidR="00824569" w:rsidP="00D47019" w:rsidRDefault="00824569" w14:paraId="53D6263C" w14:textId="77777777">
            <w:pPr>
              <w:pStyle w:val="naisf"/>
              <w:spacing w:before="0" w:after="0"/>
              <w:ind w:firstLine="0"/>
              <w:rPr>
                <w:b/>
                <w:bCs/>
              </w:rPr>
            </w:pPr>
          </w:p>
          <w:p w:rsidRPr="000C6C1A" w:rsidR="00824569" w:rsidP="00D47019" w:rsidRDefault="00824569" w14:paraId="7A12EEA6" w14:textId="77777777">
            <w:pPr>
              <w:pStyle w:val="naisf"/>
              <w:spacing w:before="0" w:after="0"/>
              <w:ind w:firstLine="0"/>
              <w:rPr>
                <w:b/>
                <w:bCs/>
              </w:rPr>
            </w:pPr>
          </w:p>
          <w:p w:rsidRPr="000C6C1A" w:rsidR="00824569" w:rsidP="00D47019" w:rsidRDefault="00824569" w14:paraId="7826540B" w14:textId="77777777">
            <w:pPr>
              <w:pStyle w:val="naisf"/>
              <w:spacing w:before="0" w:after="0"/>
              <w:ind w:firstLine="0"/>
              <w:rPr>
                <w:b/>
                <w:bCs/>
              </w:rPr>
            </w:pPr>
          </w:p>
          <w:p w:rsidRPr="000C6C1A" w:rsidR="00824569" w:rsidP="00D47019" w:rsidRDefault="00824569" w14:paraId="66B9FFCB" w14:textId="77777777">
            <w:pPr>
              <w:pStyle w:val="naisf"/>
              <w:spacing w:before="0" w:after="0"/>
              <w:ind w:firstLine="0"/>
              <w:rPr>
                <w:b/>
                <w:bCs/>
              </w:rPr>
            </w:pPr>
          </w:p>
          <w:p w:rsidRPr="000C6C1A" w:rsidR="00824569" w:rsidP="00D47019" w:rsidRDefault="00824569" w14:paraId="21120C68" w14:textId="77777777">
            <w:pPr>
              <w:pStyle w:val="naisf"/>
              <w:spacing w:before="0" w:after="0"/>
              <w:ind w:firstLine="0"/>
              <w:rPr>
                <w:b/>
                <w:bCs/>
              </w:rPr>
            </w:pPr>
          </w:p>
          <w:p w:rsidRPr="000C6C1A" w:rsidR="00824569" w:rsidP="00D47019" w:rsidRDefault="00824569" w14:paraId="6859C2B2" w14:textId="77777777">
            <w:pPr>
              <w:pStyle w:val="naisf"/>
              <w:spacing w:before="0" w:after="0"/>
              <w:ind w:firstLine="0"/>
              <w:rPr>
                <w:b/>
                <w:bCs/>
              </w:rPr>
            </w:pPr>
          </w:p>
          <w:p w:rsidRPr="000C6C1A" w:rsidR="00824569" w:rsidP="00D47019" w:rsidRDefault="00824569" w14:paraId="47CB1E42" w14:textId="77777777">
            <w:pPr>
              <w:pStyle w:val="naisf"/>
              <w:spacing w:before="0" w:after="0"/>
              <w:ind w:firstLine="0"/>
              <w:rPr>
                <w:b/>
                <w:bCs/>
              </w:rPr>
            </w:pPr>
          </w:p>
          <w:p w:rsidRPr="000C6C1A" w:rsidR="00824569" w:rsidP="00D47019" w:rsidRDefault="00824569" w14:paraId="08C4131A" w14:textId="77777777">
            <w:pPr>
              <w:pStyle w:val="naisf"/>
              <w:spacing w:before="0" w:after="0"/>
              <w:ind w:firstLine="0"/>
              <w:rPr>
                <w:b/>
                <w:bCs/>
              </w:rPr>
            </w:pPr>
          </w:p>
          <w:p w:rsidRPr="000C6C1A" w:rsidR="00824569" w:rsidP="00D47019" w:rsidRDefault="00824569" w14:paraId="365CE272" w14:textId="77777777">
            <w:pPr>
              <w:pStyle w:val="naisf"/>
              <w:spacing w:before="0" w:after="0"/>
              <w:ind w:firstLine="0"/>
              <w:rPr>
                <w:b/>
                <w:bCs/>
              </w:rPr>
            </w:pPr>
          </w:p>
          <w:p w:rsidRPr="000C6C1A" w:rsidR="00824569" w:rsidP="00D47019" w:rsidRDefault="00824569" w14:paraId="423E4211" w14:textId="77777777">
            <w:pPr>
              <w:pStyle w:val="naisf"/>
              <w:spacing w:before="0" w:after="0"/>
              <w:ind w:firstLine="0"/>
              <w:rPr>
                <w:b/>
                <w:bCs/>
              </w:rPr>
            </w:pPr>
          </w:p>
          <w:p w:rsidRPr="000C6C1A" w:rsidR="00824569" w:rsidP="00D47019" w:rsidRDefault="00824569" w14:paraId="707C4A16" w14:textId="77777777">
            <w:pPr>
              <w:pStyle w:val="naisf"/>
              <w:spacing w:before="0" w:after="0"/>
              <w:ind w:firstLine="0"/>
              <w:rPr>
                <w:b/>
                <w:bCs/>
              </w:rPr>
            </w:pPr>
          </w:p>
          <w:p w:rsidRPr="000C6C1A" w:rsidR="00824569" w:rsidP="00D47019" w:rsidRDefault="00824569" w14:paraId="263DBD61" w14:textId="77777777">
            <w:pPr>
              <w:pStyle w:val="naisf"/>
              <w:spacing w:before="0" w:after="0"/>
              <w:ind w:firstLine="0"/>
              <w:rPr>
                <w:b/>
                <w:bCs/>
              </w:rPr>
            </w:pPr>
          </w:p>
          <w:p w:rsidRPr="000C6C1A" w:rsidR="00824569" w:rsidP="00D47019" w:rsidRDefault="00824569" w14:paraId="1D7029B9" w14:textId="77777777">
            <w:pPr>
              <w:pStyle w:val="naisf"/>
              <w:spacing w:before="0" w:after="0"/>
              <w:ind w:firstLine="0"/>
              <w:rPr>
                <w:b/>
                <w:bCs/>
              </w:rPr>
            </w:pPr>
          </w:p>
          <w:p w:rsidRPr="000C6C1A" w:rsidR="00824569" w:rsidP="00D47019" w:rsidRDefault="00824569" w14:paraId="7DF0D8B0" w14:textId="77777777">
            <w:pPr>
              <w:pStyle w:val="naisf"/>
              <w:spacing w:before="0" w:after="0"/>
              <w:ind w:firstLine="0"/>
              <w:rPr>
                <w:b/>
                <w:bCs/>
              </w:rPr>
            </w:pPr>
          </w:p>
          <w:p w:rsidRPr="000C6C1A" w:rsidR="00824569" w:rsidP="00D47019" w:rsidRDefault="00824569" w14:paraId="28EFBD50" w14:textId="77777777">
            <w:pPr>
              <w:pStyle w:val="naisf"/>
              <w:spacing w:before="0" w:after="0"/>
              <w:ind w:firstLine="0"/>
              <w:rPr>
                <w:b/>
                <w:bCs/>
              </w:rPr>
            </w:pPr>
          </w:p>
          <w:p w:rsidRPr="000C6C1A" w:rsidR="00824569" w:rsidP="00D47019" w:rsidRDefault="00824569" w14:paraId="4F11965E" w14:textId="564D5D60">
            <w:pPr>
              <w:pStyle w:val="naisf"/>
              <w:spacing w:before="0" w:after="0"/>
              <w:ind w:firstLine="0"/>
              <w:rPr>
                <w:b/>
                <w:bCs/>
              </w:rPr>
            </w:pPr>
            <w:r w:rsidRPr="000C6C1A">
              <w:rPr>
                <w:b/>
                <w:bCs/>
              </w:rPr>
              <w:t xml:space="preserve">Rīkojuma projekta </w:t>
            </w:r>
            <w:r w:rsidRPr="000C6C1A">
              <w:rPr>
                <w:color w:val="000000"/>
              </w:rPr>
              <w:t>2.un 3.punkts svītrots, un papildināts ar jaunu punktu.</w:t>
            </w:r>
          </w:p>
        </w:tc>
        <w:tc>
          <w:tcPr>
            <w:tcW w:w="2980" w:type="dxa"/>
          </w:tcPr>
          <w:p w:rsidRPr="000C6C1A" w:rsidR="00E44D7D" w:rsidP="00274B83" w:rsidRDefault="00E44D7D" w14:paraId="4428D828" w14:textId="77777777">
            <w:pPr>
              <w:jc w:val="both"/>
              <w:rPr>
                <w:b/>
              </w:rPr>
            </w:pPr>
          </w:p>
          <w:p w:rsidRPr="000C6C1A" w:rsidR="00274B83" w:rsidP="00274B83" w:rsidRDefault="00E638EB" w14:paraId="64FF3672" w14:textId="48FD9ACF">
            <w:pPr>
              <w:jc w:val="both"/>
              <w:rPr>
                <w:b/>
              </w:rPr>
            </w:pPr>
            <w:r w:rsidRPr="000C6C1A">
              <w:rPr>
                <w:b/>
              </w:rPr>
              <w:t>Rīkojum</w:t>
            </w:r>
            <w:r w:rsidRPr="000C6C1A" w:rsidR="00274B83">
              <w:rPr>
                <w:b/>
              </w:rPr>
              <w:t>s :</w:t>
            </w:r>
            <w:r w:rsidRPr="000C6C1A">
              <w:rPr>
                <w:b/>
              </w:rPr>
              <w:t xml:space="preserve"> </w:t>
            </w:r>
          </w:p>
          <w:p w:rsidRPr="000C6C1A" w:rsidR="00274B83" w:rsidP="00274B83" w:rsidRDefault="00274B83" w14:paraId="43AA2702" w14:textId="77777777">
            <w:pPr>
              <w:jc w:val="both"/>
              <w:rPr>
                <w:bCs/>
              </w:rPr>
            </w:pPr>
            <w:r w:rsidRPr="000C6C1A">
              <w:rPr>
                <w:bCs/>
              </w:rPr>
              <w:t xml:space="preserve">1. </w:t>
            </w:r>
            <w:r w:rsidRPr="000C6C1A" w:rsidR="006E54CC">
              <w:rPr>
                <w:bCs/>
              </w:rPr>
              <w:t xml:space="preserve">Ņemot vērā, ka Latvijas Universitātes īpašumā nodotais nekustamais īpašums Rīgā, kadastra Nr.01000540162 – zemes vienība 0.0262 ha platībā (zemes vienības kadastra apzīmējums 01000540115), netiek izmantots Ministru kabineta 2013.gada 30.jūlija rīkojuma Nr.347 “Par valsts nekustamo īpašumu nodošanu Latvijas Universitātes īpašumā” 1.9.apakšpunktā minētās funkcijas īstenošanai,  saskaņā ar Publiskas personas mantas atsavināšanas likuma 42. </w:t>
            </w:r>
            <w:r w:rsidRPr="000C6C1A" w:rsidR="006E54CC">
              <w:rPr>
                <w:bCs/>
              </w:rPr>
              <w:lastRenderedPageBreak/>
              <w:t xml:space="preserve">panta pirmo daļu un 43. pantu pārņemt minēto nekustamo īpašumu bez atlīdzības valsts īpašumā un nodot Satiksmes ministrijas valdījumā. </w:t>
            </w:r>
            <w:r w:rsidRPr="000C6C1A">
              <w:rPr>
                <w:bCs/>
              </w:rPr>
              <w:t xml:space="preserve"> </w:t>
            </w:r>
          </w:p>
          <w:p w:rsidRPr="000C6C1A" w:rsidR="00274B83" w:rsidP="00274B83" w:rsidRDefault="00274B83" w14:paraId="2BB4635D" w14:textId="5274FFD8">
            <w:pPr>
              <w:jc w:val="both"/>
              <w:rPr>
                <w:iCs/>
                <w:color w:val="000000"/>
              </w:rPr>
            </w:pPr>
            <w:r w:rsidRPr="000C6C1A">
              <w:rPr>
                <w:bCs/>
              </w:rPr>
              <w:t xml:space="preserve">2. </w:t>
            </w:r>
            <w:r w:rsidRPr="000C6C1A" w:rsidR="006E54CC">
              <w:rPr>
                <w:bCs/>
              </w:rPr>
              <w:t xml:space="preserve"> </w:t>
            </w:r>
            <w:r w:rsidRPr="000C6C1A" w:rsidR="00F13F94">
              <w:rPr>
                <w:bCs/>
              </w:rPr>
              <w:t xml:space="preserve">  </w:t>
            </w:r>
            <w:r w:rsidRPr="000C6C1A">
              <w:t xml:space="preserve">Satiksmes ministrijai </w:t>
            </w:r>
            <w:r w:rsidRPr="000C6C1A" w:rsidR="00824569">
              <w:t xml:space="preserve">šā rīkojuma 1.punktā minēto nekustamo īpašumu normatīvos aktos </w:t>
            </w:r>
            <w:r w:rsidRPr="000C6C1A" w:rsidR="00824569">
              <w:rPr>
                <w:iCs/>
                <w:color w:val="000000"/>
              </w:rPr>
              <w:t>noteiktajā kārtībā ierakstīt zemesgrāmatā uz valsts vārda Satiksmes ministrijas personā, vienlaikus dzēst no Rīgas pilsētas zemesgrāmatas nodalījuma Nr. 100000529584 II daļas 2. iedaļas atzīmi Nr. 1.1.</w:t>
            </w:r>
          </w:p>
        </w:tc>
      </w:tr>
      <w:tr w:rsidRPr="000C6C1A" w:rsidR="001914B9" w:rsidTr="0091003F" w14:paraId="031ABAFE" w14:textId="77777777">
        <w:tc>
          <w:tcPr>
            <w:tcW w:w="675" w:type="dxa"/>
          </w:tcPr>
          <w:p w:rsidRPr="000C6C1A" w:rsidR="001914B9" w:rsidP="00824569" w:rsidRDefault="001914B9" w14:paraId="45BCAAD6" w14:textId="4638E2AA">
            <w:pPr>
              <w:pStyle w:val="naisf"/>
              <w:spacing w:before="0" w:after="0"/>
              <w:ind w:firstLine="0"/>
            </w:pPr>
          </w:p>
        </w:tc>
        <w:tc>
          <w:tcPr>
            <w:tcW w:w="3119" w:type="dxa"/>
          </w:tcPr>
          <w:p w:rsidRPr="000C6C1A" w:rsidR="00EC74F1" w:rsidP="00411949" w:rsidRDefault="00EC74F1" w14:paraId="71F2A4BD" w14:textId="4972B3C1">
            <w:pPr>
              <w:jc w:val="both"/>
              <w:rPr>
                <w:szCs w:val="28"/>
              </w:rPr>
            </w:pPr>
          </w:p>
        </w:tc>
        <w:tc>
          <w:tcPr>
            <w:tcW w:w="4678" w:type="dxa"/>
          </w:tcPr>
          <w:p w:rsidRPr="000C6C1A" w:rsidR="00411949" w:rsidP="007A6F0F" w:rsidRDefault="00824569" w14:paraId="7150FEA0" w14:textId="20B1DD56">
            <w:pPr>
              <w:jc w:val="both"/>
              <w:rPr>
                <w:lang w:eastAsia="en-US"/>
              </w:rPr>
            </w:pPr>
            <w:r w:rsidRPr="000C6C1A">
              <w:rPr>
                <w:b/>
                <w:bCs/>
                <w:lang w:eastAsia="en-US"/>
              </w:rPr>
              <w:t>2.</w:t>
            </w:r>
            <w:r w:rsidRPr="000C6C1A" w:rsidR="007B387E">
              <w:rPr>
                <w:lang w:eastAsia="en-US"/>
              </w:rPr>
              <w:t xml:space="preserve"> Lūdzam anotācijā iekļaut informāciju, ka, saskaņošanas laikā, sniedzot atzinumu par projektu, Finanšu ministrija ir sniegusi piekrišanu par to, ka nekustamais īpašums tiek nodots Satiksmes ministrijas valdījumā, jo saskaņā ar Ministru kabineta 2013.gada 30.jūlija rīkojuma Nr.347 "Par valsts nekustamo īpašumu nodošanu Latvijas Universitātes īpašumā" 4.2.apakšpunktā noteikto pienākumu - minētais nekustamai īpašums bez atlīdzības jānodod valstij Finanšu ministrijas personā.</w:t>
            </w:r>
          </w:p>
          <w:p w:rsidRPr="000C6C1A" w:rsidR="0099571E" w:rsidP="007A6F0F" w:rsidRDefault="0099571E" w14:paraId="0E3C08C4" w14:textId="586790CA">
            <w:pPr>
              <w:jc w:val="both"/>
              <w:rPr>
                <w:lang w:eastAsia="en-US"/>
              </w:rPr>
            </w:pPr>
          </w:p>
        </w:tc>
        <w:tc>
          <w:tcPr>
            <w:tcW w:w="2722" w:type="dxa"/>
          </w:tcPr>
          <w:p w:rsidRPr="000C6C1A" w:rsidR="001914B9" w:rsidP="00FE5C77" w:rsidRDefault="007B387E" w14:paraId="3247B2CD" w14:textId="3BFAA3F0">
            <w:pPr>
              <w:pStyle w:val="naisf"/>
              <w:spacing w:before="0" w:after="0"/>
              <w:ind w:firstLine="0"/>
              <w:rPr>
                <w:rFonts w:eastAsia="Calibri"/>
                <w:b/>
                <w:lang w:eastAsia="en-US"/>
              </w:rPr>
            </w:pPr>
            <w:r w:rsidRPr="000C6C1A">
              <w:rPr>
                <w:rFonts w:eastAsia="Calibri"/>
                <w:b/>
                <w:lang w:eastAsia="en-US"/>
              </w:rPr>
              <w:t>Iebildums ņemts vērā</w:t>
            </w:r>
          </w:p>
        </w:tc>
        <w:tc>
          <w:tcPr>
            <w:tcW w:w="2980" w:type="dxa"/>
          </w:tcPr>
          <w:p w:rsidRPr="000C6C1A" w:rsidR="007B387E" w:rsidP="007B387E" w:rsidRDefault="007B387E" w14:paraId="23F80DE2" w14:textId="5512FC19">
            <w:pPr>
              <w:jc w:val="both"/>
              <w:rPr>
                <w:iCs/>
                <w:color w:val="000000"/>
              </w:rPr>
            </w:pPr>
            <w:r w:rsidRPr="000C6C1A">
              <w:rPr>
                <w:iCs/>
                <w:color w:val="000000"/>
              </w:rPr>
              <w:t>Anotācijas I sadaļas 2.punkts papildināt</w:t>
            </w:r>
            <w:r w:rsidR="004964AE">
              <w:rPr>
                <w:iCs/>
                <w:color w:val="000000"/>
              </w:rPr>
              <w:t>s</w:t>
            </w:r>
            <w:r w:rsidRPr="000C6C1A">
              <w:rPr>
                <w:iCs/>
                <w:color w:val="000000"/>
              </w:rPr>
              <w:t xml:space="preserve"> a</w:t>
            </w:r>
            <w:r w:rsidRPr="000C6C1A" w:rsidR="00BC6005">
              <w:rPr>
                <w:iCs/>
                <w:color w:val="000000"/>
              </w:rPr>
              <w:t>r nepieciešamo</w:t>
            </w:r>
            <w:r w:rsidRPr="000C6C1A">
              <w:rPr>
                <w:iCs/>
                <w:color w:val="000000"/>
              </w:rPr>
              <w:t xml:space="preserve"> informāciju</w:t>
            </w:r>
            <w:r w:rsidRPr="000C6C1A" w:rsidR="00BC6005">
              <w:rPr>
                <w:iCs/>
                <w:color w:val="000000"/>
              </w:rPr>
              <w:t>. Skatīt anotāciju.</w:t>
            </w:r>
          </w:p>
          <w:p w:rsidRPr="000C6C1A" w:rsidR="007B387E" w:rsidP="007B387E" w:rsidRDefault="007B387E" w14:paraId="7FB3C8A9" w14:textId="77777777">
            <w:pPr>
              <w:jc w:val="both"/>
              <w:rPr>
                <w:iCs/>
                <w:color w:val="000000"/>
              </w:rPr>
            </w:pPr>
          </w:p>
          <w:p w:rsidRPr="000C6C1A" w:rsidR="00EC74F1" w:rsidP="007A6F0F" w:rsidRDefault="00EC74F1" w14:paraId="24AFB0B4" w14:textId="4CC1F28C">
            <w:pPr>
              <w:jc w:val="both"/>
              <w:rPr>
                <w:iCs/>
                <w:color w:val="000000"/>
              </w:rPr>
            </w:pPr>
          </w:p>
        </w:tc>
      </w:tr>
      <w:tr w:rsidRPr="000C6C1A" w:rsidR="00385EC6" w:rsidTr="0091003F" w14:paraId="380CD09A" w14:textId="77777777">
        <w:tc>
          <w:tcPr>
            <w:tcW w:w="675" w:type="dxa"/>
          </w:tcPr>
          <w:p w:rsidRPr="000C6C1A" w:rsidR="00385EC6" w:rsidP="005D403F" w:rsidRDefault="00385EC6" w14:paraId="69365FE0" w14:textId="35927CAB">
            <w:pPr>
              <w:pStyle w:val="naisf"/>
              <w:spacing w:before="0" w:after="0"/>
              <w:ind w:firstLine="0"/>
              <w:jc w:val="center"/>
            </w:pPr>
          </w:p>
        </w:tc>
        <w:tc>
          <w:tcPr>
            <w:tcW w:w="3119" w:type="dxa"/>
          </w:tcPr>
          <w:p w:rsidRPr="000C6C1A" w:rsidR="00385EC6" w:rsidP="004021B9" w:rsidRDefault="00385EC6" w14:paraId="6608F302" w14:textId="77777777">
            <w:pPr>
              <w:jc w:val="both"/>
              <w:rPr>
                <w:szCs w:val="28"/>
              </w:rPr>
            </w:pPr>
          </w:p>
        </w:tc>
        <w:tc>
          <w:tcPr>
            <w:tcW w:w="4678" w:type="dxa"/>
          </w:tcPr>
          <w:p w:rsidRPr="000C6C1A" w:rsidR="00385EC6" w:rsidP="007B387E" w:rsidRDefault="006D644F" w14:paraId="005F7D61" w14:textId="23ECB5D5">
            <w:pPr>
              <w:jc w:val="both"/>
              <w:rPr>
                <w:b/>
                <w:bCs/>
                <w:lang w:eastAsia="en-US"/>
              </w:rPr>
            </w:pPr>
            <w:r w:rsidRPr="000C6C1A">
              <w:rPr>
                <w:b/>
                <w:bCs/>
                <w:lang w:eastAsia="en-US"/>
              </w:rPr>
              <w:t>3.</w:t>
            </w:r>
            <w:r w:rsidRPr="000C6C1A">
              <w:rPr>
                <w:lang w:eastAsia="en-US"/>
              </w:rPr>
              <w:t xml:space="preserve"> </w:t>
            </w:r>
            <w:r w:rsidRPr="000C6C1A" w:rsidR="00BC6005">
              <w:rPr>
                <w:lang w:eastAsia="en-US"/>
              </w:rPr>
              <w:t>Lūdzam anotācijā iekļaut skaidrojumu par nekustamā īpašuma Jelgavas ielā 1, Rīgā, sadali, kā rezultātā ir izveidots nekustamais īpašums Rīgā (nekustamā īpašuma kadastra Nr.01000540162) – 0.0262 ha platībā, kam atvērts jauns zemesgrāmatas nodalījums.</w:t>
            </w:r>
          </w:p>
        </w:tc>
        <w:tc>
          <w:tcPr>
            <w:tcW w:w="2722" w:type="dxa"/>
          </w:tcPr>
          <w:p w:rsidRPr="000C6C1A" w:rsidR="00380B98" w:rsidP="00FE5C77" w:rsidRDefault="00BC6005" w14:paraId="14439E85" w14:textId="7953FBFE">
            <w:pPr>
              <w:pStyle w:val="naisf"/>
              <w:spacing w:before="0" w:after="0"/>
              <w:ind w:firstLine="0"/>
              <w:rPr>
                <w:rFonts w:eastAsia="Calibri"/>
                <w:bCs/>
                <w:lang w:eastAsia="en-US"/>
              </w:rPr>
            </w:pPr>
            <w:r w:rsidRPr="000C6C1A">
              <w:rPr>
                <w:rFonts w:eastAsia="Calibri"/>
                <w:b/>
                <w:lang w:eastAsia="en-US"/>
              </w:rPr>
              <w:t>Iebildums ņemts vērā</w:t>
            </w:r>
          </w:p>
          <w:p w:rsidRPr="000C6C1A" w:rsidR="006C4AF1" w:rsidP="00FE5C77" w:rsidRDefault="006C4AF1" w14:paraId="6A59AA0F" w14:textId="51930600">
            <w:pPr>
              <w:pStyle w:val="naisf"/>
              <w:spacing w:before="0" w:after="0"/>
              <w:ind w:firstLine="0"/>
              <w:rPr>
                <w:rFonts w:eastAsia="Calibri"/>
                <w:bCs/>
                <w:lang w:eastAsia="en-US"/>
              </w:rPr>
            </w:pPr>
          </w:p>
        </w:tc>
        <w:tc>
          <w:tcPr>
            <w:tcW w:w="2980" w:type="dxa"/>
          </w:tcPr>
          <w:p w:rsidRPr="000C6C1A" w:rsidR="00BC6005" w:rsidP="00BC6005" w:rsidRDefault="00BC6005" w14:paraId="5BBD50F5" w14:textId="3CDD6AD6">
            <w:pPr>
              <w:jc w:val="both"/>
              <w:rPr>
                <w:iCs/>
                <w:color w:val="000000"/>
              </w:rPr>
            </w:pPr>
            <w:r w:rsidRPr="000C6C1A">
              <w:rPr>
                <w:iCs/>
                <w:color w:val="000000"/>
              </w:rPr>
              <w:t>Anotācijas I sadaļas 2.punkts papildināt</w:t>
            </w:r>
            <w:r w:rsidR="004964AE">
              <w:rPr>
                <w:iCs/>
                <w:color w:val="000000"/>
              </w:rPr>
              <w:t>s</w:t>
            </w:r>
            <w:r w:rsidRPr="000C6C1A">
              <w:rPr>
                <w:iCs/>
                <w:color w:val="000000"/>
              </w:rPr>
              <w:t xml:space="preserve"> ar nepieciešamo informāciju. Skatīt anotāciju.</w:t>
            </w:r>
          </w:p>
          <w:p w:rsidRPr="000C6C1A" w:rsidR="00385EC6" w:rsidP="00BC6005" w:rsidRDefault="00385EC6" w14:paraId="0CDDE7A8" w14:textId="54CAFDC5">
            <w:pPr>
              <w:jc w:val="both"/>
              <w:rPr>
                <w:iCs/>
                <w:color w:val="000000"/>
              </w:rPr>
            </w:pPr>
          </w:p>
        </w:tc>
      </w:tr>
      <w:tr w:rsidRPr="000C6C1A" w:rsidR="00411949" w:rsidTr="0091003F" w14:paraId="26B90C43" w14:textId="77777777">
        <w:tc>
          <w:tcPr>
            <w:tcW w:w="675" w:type="dxa"/>
          </w:tcPr>
          <w:p w:rsidRPr="000C6C1A" w:rsidR="00411949" w:rsidP="005D403F" w:rsidRDefault="00411949" w14:paraId="0274EB0E" w14:textId="65583B11">
            <w:pPr>
              <w:pStyle w:val="naisf"/>
              <w:spacing w:before="0" w:after="0"/>
              <w:ind w:firstLine="0"/>
              <w:jc w:val="center"/>
            </w:pPr>
          </w:p>
        </w:tc>
        <w:tc>
          <w:tcPr>
            <w:tcW w:w="3119" w:type="dxa"/>
          </w:tcPr>
          <w:p w:rsidRPr="000C6C1A" w:rsidR="00411949" w:rsidP="004021B9" w:rsidRDefault="00411949" w14:paraId="5A6A22F2" w14:textId="77777777">
            <w:pPr>
              <w:jc w:val="both"/>
              <w:rPr>
                <w:szCs w:val="28"/>
              </w:rPr>
            </w:pPr>
          </w:p>
        </w:tc>
        <w:tc>
          <w:tcPr>
            <w:tcW w:w="4678" w:type="dxa"/>
          </w:tcPr>
          <w:p w:rsidRPr="000C6C1A" w:rsidR="00411949" w:rsidP="001C60E5" w:rsidRDefault="006D644F" w14:paraId="34CB73DC" w14:textId="11B4F8F2">
            <w:pPr>
              <w:jc w:val="both"/>
              <w:rPr>
                <w:lang w:eastAsia="en-US"/>
              </w:rPr>
            </w:pPr>
            <w:r w:rsidRPr="000C6C1A">
              <w:rPr>
                <w:b/>
                <w:bCs/>
                <w:lang w:eastAsia="en-US"/>
              </w:rPr>
              <w:t>4.</w:t>
            </w:r>
            <w:r w:rsidRPr="000C6C1A">
              <w:rPr>
                <w:lang w:eastAsia="en-US"/>
              </w:rPr>
              <w:t xml:space="preserve"> </w:t>
            </w:r>
            <w:r w:rsidRPr="000C6C1A" w:rsidR="001C60E5">
              <w:rPr>
                <w:lang w:eastAsia="en-US"/>
              </w:rPr>
              <w:t>Lūdzam anotācijas III sadaļā norādīt konkrētas n+1 un n+2 vērtības, proti, 2020.gadam un 2021.gadam.</w:t>
            </w:r>
          </w:p>
        </w:tc>
        <w:tc>
          <w:tcPr>
            <w:tcW w:w="2722" w:type="dxa"/>
          </w:tcPr>
          <w:p w:rsidRPr="000C6C1A" w:rsidR="00411949" w:rsidP="00D81B3E" w:rsidRDefault="001C60E5" w14:paraId="7C289682" w14:textId="6AFCD1CB">
            <w:pPr>
              <w:pStyle w:val="naisf"/>
              <w:spacing w:before="0"/>
              <w:ind w:firstLine="0"/>
              <w:rPr>
                <w:rFonts w:eastAsia="Calibri"/>
                <w:bCs/>
                <w:lang w:eastAsia="en-US"/>
              </w:rPr>
            </w:pPr>
            <w:r w:rsidRPr="000C6C1A">
              <w:rPr>
                <w:rFonts w:eastAsia="Calibri"/>
                <w:b/>
                <w:lang w:eastAsia="en-US"/>
              </w:rPr>
              <w:t xml:space="preserve">Iebildums ņemts vērā. </w:t>
            </w:r>
            <w:r w:rsidRPr="000C6C1A">
              <w:rPr>
                <w:rFonts w:eastAsia="Calibri"/>
                <w:bCs/>
                <w:lang w:eastAsia="en-US"/>
              </w:rPr>
              <w:t>Precizēta anotācijas III sadaļa.</w:t>
            </w:r>
          </w:p>
        </w:tc>
        <w:tc>
          <w:tcPr>
            <w:tcW w:w="2980" w:type="dxa"/>
          </w:tcPr>
          <w:p w:rsidRPr="000C6C1A" w:rsidR="001C60E5" w:rsidP="001C60E5" w:rsidRDefault="001C60E5" w14:paraId="62A7CD4B" w14:textId="77777777">
            <w:pPr>
              <w:jc w:val="both"/>
              <w:rPr>
                <w:iCs/>
                <w:color w:val="000000"/>
              </w:rPr>
            </w:pPr>
            <w:r w:rsidRPr="000C6C1A">
              <w:rPr>
                <w:iCs/>
                <w:color w:val="000000"/>
              </w:rPr>
              <w:t>Skatīt anotāciju.</w:t>
            </w:r>
          </w:p>
          <w:p w:rsidRPr="000C6C1A" w:rsidR="00A23CC0" w:rsidP="007F0A92" w:rsidRDefault="00A23CC0" w14:paraId="3C230664" w14:textId="67F075E3">
            <w:pPr>
              <w:jc w:val="both"/>
              <w:rPr>
                <w:b/>
                <w:bCs/>
                <w:iCs/>
                <w:color w:val="000000"/>
                <w:highlight w:val="yellow"/>
              </w:rPr>
            </w:pPr>
          </w:p>
        </w:tc>
      </w:tr>
      <w:tr w:rsidRPr="000C6C1A" w:rsidR="005F3CFA" w:rsidTr="0091003F" w14:paraId="1830B944" w14:textId="77777777">
        <w:tc>
          <w:tcPr>
            <w:tcW w:w="675" w:type="dxa"/>
          </w:tcPr>
          <w:p w:rsidRPr="000C6C1A" w:rsidR="005F3CFA" w:rsidP="005D403F" w:rsidRDefault="00D06CD2" w14:paraId="18E197E6" w14:textId="2D5EFC76">
            <w:pPr>
              <w:pStyle w:val="naisf"/>
              <w:spacing w:before="0" w:after="0"/>
              <w:ind w:firstLine="0"/>
              <w:jc w:val="center"/>
            </w:pPr>
            <w:r w:rsidRPr="000C6C1A">
              <w:t>2.</w:t>
            </w:r>
          </w:p>
        </w:tc>
        <w:tc>
          <w:tcPr>
            <w:tcW w:w="3119" w:type="dxa"/>
          </w:tcPr>
          <w:p w:rsidRPr="000C6C1A" w:rsidR="005F3CFA" w:rsidP="004021B9" w:rsidRDefault="005F3CFA" w14:paraId="218D1851" w14:textId="77777777">
            <w:pPr>
              <w:jc w:val="both"/>
              <w:rPr>
                <w:szCs w:val="28"/>
              </w:rPr>
            </w:pPr>
          </w:p>
        </w:tc>
        <w:tc>
          <w:tcPr>
            <w:tcW w:w="4678" w:type="dxa"/>
          </w:tcPr>
          <w:p w:rsidRPr="000C6C1A" w:rsidR="005F3CFA" w:rsidP="001C60E5" w:rsidRDefault="00D06CD2" w14:paraId="3E4095C2" w14:textId="7A03DABB">
            <w:pPr>
              <w:jc w:val="both"/>
              <w:rPr>
                <w:b/>
                <w:bCs/>
                <w:lang w:eastAsia="en-US"/>
              </w:rPr>
            </w:pPr>
            <w:r w:rsidRPr="000C6C1A">
              <w:rPr>
                <w:b/>
                <w:bCs/>
                <w:lang w:eastAsia="en-US"/>
              </w:rPr>
              <w:t>Tieslietu ministrijas iebildum</w:t>
            </w:r>
            <w:r w:rsidR="004964AE">
              <w:rPr>
                <w:b/>
                <w:bCs/>
                <w:lang w:eastAsia="en-US"/>
              </w:rPr>
              <w:t>s</w:t>
            </w:r>
            <w:r w:rsidRPr="000C6C1A">
              <w:rPr>
                <w:b/>
                <w:bCs/>
                <w:lang w:eastAsia="en-US"/>
              </w:rPr>
              <w:t xml:space="preserve"> :</w:t>
            </w:r>
          </w:p>
          <w:p w:rsidRPr="000C6C1A" w:rsidR="00D06CD2" w:rsidP="001C60E5" w:rsidRDefault="006D644F" w14:paraId="3CEA9306" w14:textId="1B6921D2">
            <w:pPr>
              <w:jc w:val="both"/>
              <w:rPr>
                <w:lang w:eastAsia="en-US"/>
              </w:rPr>
            </w:pPr>
            <w:r w:rsidRPr="000C6C1A">
              <w:rPr>
                <w:b/>
                <w:bCs/>
                <w:lang w:eastAsia="en-US"/>
              </w:rPr>
              <w:t>1.</w:t>
            </w:r>
            <w:r w:rsidRPr="000C6C1A">
              <w:rPr>
                <w:lang w:eastAsia="en-US"/>
              </w:rPr>
              <w:t xml:space="preserve"> </w:t>
            </w:r>
            <w:r w:rsidRPr="000C6C1A" w:rsidR="00D06CD2">
              <w:rPr>
                <w:lang w:eastAsia="en-US"/>
              </w:rPr>
              <w:t>Tieslietu ministrijas ieskatā, nododot nekustamo īpašumu Nr.1 valstij, izpildās tā nodošanas atpakaļ valstij gadījums, kad tas vairs nav nepieciešams universitātes funkciju nodrošināšanai. Proti, Projekta 2.3. apakšpunkts, kas paredz nekustamā īpašuma Nr.1 nodošanu atpakaļ Latvijas Universitātei, ja tas netiek izmantots Projektā norādīto funkciju īstenošanai, būtu svītrojams un ir pretrunā ar Publiskas personas mantas atsavināšanas likuma normām, ņemot vērā, ka sākotnēji tas bijis valsts īpašums, kas nodots atsavinātas publiskas personas (Latvijas Universitātes) īpašumā konkrētu funkciju īstenošanai. Tādējādi lūdzam svītrot Projekta 2.3., 3.1. apakšpunktus un precizēt Projektu atbilstoši pastāvošajai praksei par gadījumiem, kad valstij tiek nodots atpakaļ valsts nekustamais īpašums.</w:t>
            </w:r>
          </w:p>
        </w:tc>
        <w:tc>
          <w:tcPr>
            <w:tcW w:w="2722" w:type="dxa"/>
          </w:tcPr>
          <w:p w:rsidRPr="000C6C1A" w:rsidR="005F3CFA" w:rsidP="001C60E5" w:rsidRDefault="00D06CD2" w14:paraId="0E171E7B" w14:textId="69FBDA3F">
            <w:pPr>
              <w:pStyle w:val="naisf"/>
              <w:spacing w:before="0"/>
              <w:ind w:firstLine="0"/>
              <w:rPr>
                <w:rFonts w:eastAsia="Calibri"/>
                <w:bCs/>
                <w:lang w:eastAsia="en-US"/>
              </w:rPr>
            </w:pPr>
            <w:r w:rsidRPr="000C6C1A">
              <w:rPr>
                <w:rFonts w:eastAsia="Calibri"/>
                <w:b/>
                <w:lang w:eastAsia="en-US"/>
              </w:rPr>
              <w:t>Iebildums ņemts vērā.</w:t>
            </w:r>
          </w:p>
        </w:tc>
        <w:tc>
          <w:tcPr>
            <w:tcW w:w="2980" w:type="dxa"/>
          </w:tcPr>
          <w:p w:rsidRPr="000C6C1A" w:rsidR="005F3CFA" w:rsidP="007F0A92" w:rsidRDefault="00D06CD2" w14:paraId="27F90B3C" w14:textId="35AA4B32">
            <w:pPr>
              <w:jc w:val="both"/>
              <w:rPr>
                <w:iCs/>
                <w:color w:val="000000"/>
              </w:rPr>
            </w:pPr>
            <w:r w:rsidRPr="000C6C1A">
              <w:rPr>
                <w:iCs/>
                <w:color w:val="000000"/>
              </w:rPr>
              <w:t>Skatīt rīkojuma projektu</w:t>
            </w:r>
          </w:p>
        </w:tc>
      </w:tr>
      <w:tr w:rsidRPr="000C6C1A" w:rsidR="00200F20" w:rsidTr="0091003F" w14:paraId="15DD4C43" w14:textId="77777777">
        <w:tc>
          <w:tcPr>
            <w:tcW w:w="675" w:type="dxa"/>
          </w:tcPr>
          <w:p w:rsidRPr="000C6C1A" w:rsidR="00200F20" w:rsidP="005D403F" w:rsidRDefault="00200F20" w14:paraId="32C9E69A" w14:textId="29EC3E03">
            <w:pPr>
              <w:pStyle w:val="naisf"/>
              <w:spacing w:before="0" w:after="0"/>
              <w:ind w:firstLine="0"/>
              <w:jc w:val="center"/>
            </w:pPr>
          </w:p>
        </w:tc>
        <w:tc>
          <w:tcPr>
            <w:tcW w:w="3119" w:type="dxa"/>
          </w:tcPr>
          <w:p w:rsidRPr="000C6C1A" w:rsidR="00200F20" w:rsidP="004021B9" w:rsidRDefault="00200F20" w14:paraId="06A06CA7" w14:textId="75238EA4">
            <w:pPr>
              <w:jc w:val="both"/>
              <w:rPr>
                <w:szCs w:val="28"/>
              </w:rPr>
            </w:pPr>
          </w:p>
        </w:tc>
        <w:tc>
          <w:tcPr>
            <w:tcW w:w="4678" w:type="dxa"/>
          </w:tcPr>
          <w:p w:rsidRPr="000C6C1A" w:rsidR="00200F20" w:rsidP="00D06CD2" w:rsidRDefault="00D06CD2" w14:paraId="5374F9D0" w14:textId="2B434637">
            <w:pPr>
              <w:jc w:val="both"/>
              <w:rPr>
                <w:lang w:eastAsia="en-US"/>
              </w:rPr>
            </w:pPr>
            <w:r w:rsidRPr="000C6C1A">
              <w:rPr>
                <w:b/>
                <w:bCs/>
                <w:lang w:eastAsia="en-US"/>
              </w:rPr>
              <w:t>2.</w:t>
            </w:r>
            <w:r w:rsidRPr="000C6C1A">
              <w:rPr>
                <w:lang w:eastAsia="en-US"/>
              </w:rPr>
              <w:t xml:space="preserve"> Tieslietu ministrijas ieskatā no Projekta anotācijas nav saprotams, kāds ir bijis tiesiskais pamats nekustamā īpašuma Nr.1 </w:t>
            </w:r>
            <w:r w:rsidRPr="000C6C1A">
              <w:rPr>
                <w:lang w:eastAsia="en-US"/>
              </w:rPr>
              <w:lastRenderedPageBreak/>
              <w:t>atdalīšanai no nekustamā īpašuma Nr.2. Ievērojot minēto, lūdzam papildināt anotāciju ar minēto informāciju, skaidrojot, vai nekustamā īpašuma Nr.1 atdalīšana no nekustamā īpašuma Nr.2 nav pretrunā ar Publiskas personas mantas atsavināšanas likumu un MK rīkojumu Nr.2.</w:t>
            </w:r>
          </w:p>
        </w:tc>
        <w:tc>
          <w:tcPr>
            <w:tcW w:w="2722" w:type="dxa"/>
          </w:tcPr>
          <w:p w:rsidRPr="000C6C1A" w:rsidR="00200F20" w:rsidP="00EC74F1" w:rsidRDefault="00D06CD2" w14:paraId="49A094C7" w14:textId="1DBC08DE">
            <w:pPr>
              <w:pStyle w:val="naisf"/>
              <w:spacing w:before="0"/>
              <w:ind w:firstLine="0"/>
              <w:rPr>
                <w:rFonts w:eastAsia="Calibri"/>
                <w:b/>
                <w:lang w:eastAsia="en-US"/>
              </w:rPr>
            </w:pPr>
            <w:r w:rsidRPr="000C6C1A">
              <w:rPr>
                <w:rFonts w:eastAsia="Calibri"/>
                <w:b/>
                <w:lang w:eastAsia="en-US"/>
              </w:rPr>
              <w:lastRenderedPageBreak/>
              <w:t>Iebildums ņemts vērā</w:t>
            </w:r>
          </w:p>
        </w:tc>
        <w:tc>
          <w:tcPr>
            <w:tcW w:w="2980" w:type="dxa"/>
          </w:tcPr>
          <w:p w:rsidRPr="000C6C1A" w:rsidR="00200F20" w:rsidP="00200F20" w:rsidRDefault="00D06CD2" w14:paraId="30786592" w14:textId="5BEF1BC9">
            <w:pPr>
              <w:jc w:val="both"/>
              <w:rPr>
                <w:b/>
                <w:bCs/>
                <w:iCs/>
                <w:color w:val="000000"/>
              </w:rPr>
            </w:pPr>
            <w:r w:rsidRPr="000C6C1A">
              <w:rPr>
                <w:iCs/>
                <w:color w:val="000000"/>
              </w:rPr>
              <w:t>Anotācijas I sadaļas 2.punkts papildināt</w:t>
            </w:r>
            <w:r w:rsidR="004964AE">
              <w:rPr>
                <w:iCs/>
                <w:color w:val="000000"/>
              </w:rPr>
              <w:t>s</w:t>
            </w:r>
            <w:r w:rsidRPr="000C6C1A">
              <w:rPr>
                <w:iCs/>
                <w:color w:val="000000"/>
              </w:rPr>
              <w:t xml:space="preserve"> ar nepieciešamo informāciju.</w:t>
            </w:r>
          </w:p>
        </w:tc>
      </w:tr>
      <w:tr w:rsidRPr="000C6C1A" w:rsidR="00200F20" w:rsidTr="0091003F" w14:paraId="53F381FB" w14:textId="77777777">
        <w:tc>
          <w:tcPr>
            <w:tcW w:w="675" w:type="dxa"/>
          </w:tcPr>
          <w:p w:rsidRPr="000C6C1A" w:rsidR="00200F20" w:rsidP="005D403F" w:rsidRDefault="00200F20" w14:paraId="29C9A00A" w14:textId="22503F90">
            <w:pPr>
              <w:pStyle w:val="naisf"/>
              <w:spacing w:before="0" w:after="0"/>
              <w:ind w:firstLine="0"/>
              <w:jc w:val="center"/>
            </w:pPr>
          </w:p>
        </w:tc>
        <w:tc>
          <w:tcPr>
            <w:tcW w:w="3119" w:type="dxa"/>
          </w:tcPr>
          <w:p w:rsidRPr="000C6C1A" w:rsidR="00200F20" w:rsidP="004021B9" w:rsidRDefault="00200F20" w14:paraId="370D6850" w14:textId="1C59CD50">
            <w:pPr>
              <w:jc w:val="both"/>
              <w:rPr>
                <w:szCs w:val="28"/>
              </w:rPr>
            </w:pPr>
          </w:p>
        </w:tc>
        <w:tc>
          <w:tcPr>
            <w:tcW w:w="4678" w:type="dxa"/>
          </w:tcPr>
          <w:p w:rsidRPr="000C6C1A" w:rsidR="00200F20" w:rsidP="00D06CD2" w:rsidRDefault="006D644F" w14:paraId="1867A63F" w14:textId="4C0906D1">
            <w:pPr>
              <w:jc w:val="both"/>
              <w:rPr>
                <w:b/>
                <w:bCs/>
                <w:lang w:eastAsia="en-US"/>
              </w:rPr>
            </w:pPr>
            <w:r w:rsidRPr="000C6C1A">
              <w:rPr>
                <w:b/>
                <w:bCs/>
                <w:lang w:eastAsia="en-US"/>
              </w:rPr>
              <w:t>3.</w:t>
            </w:r>
            <w:r w:rsidRPr="000C6C1A">
              <w:rPr>
                <w:lang w:eastAsia="en-US"/>
              </w:rPr>
              <w:t xml:space="preserve"> Lūdzam skaidrot, vai saskaņā ar Publiskas personas mantas atsavināšanas likuma normām iespējams pārņemt atpakaļ valsts īpašumā tikai valsts nekustamā īpašuma Nr.2 daļu – nekustamo īpašumu Nr.1, nevis visu nekustamo īpašumu Nr.2. Vienlaikus lūdzam skaidrot, vai, ja valstij tiek nodota atpakaļ tikai daļa no nekustamā īpašuma Nr.2 (proti, nekustamais īpašums Nr.1), būtu jāgroza arī MK rīkojums Nr.2.</w:t>
            </w:r>
          </w:p>
        </w:tc>
        <w:tc>
          <w:tcPr>
            <w:tcW w:w="2722" w:type="dxa"/>
          </w:tcPr>
          <w:p w:rsidRPr="000C6C1A" w:rsidR="00200F20" w:rsidP="00EC74F1" w:rsidRDefault="006D644F" w14:paraId="5B6188EA" w14:textId="42F54731">
            <w:pPr>
              <w:pStyle w:val="naisf"/>
              <w:spacing w:before="0"/>
              <w:ind w:firstLine="0"/>
              <w:rPr>
                <w:rFonts w:eastAsia="Calibri"/>
                <w:b/>
                <w:lang w:eastAsia="en-US"/>
              </w:rPr>
            </w:pPr>
            <w:r w:rsidRPr="000C6C1A">
              <w:rPr>
                <w:rFonts w:eastAsia="Calibri"/>
                <w:b/>
                <w:lang w:eastAsia="en-US"/>
              </w:rPr>
              <w:t>Iebildums</w:t>
            </w:r>
            <w:r w:rsidRPr="000C6C1A" w:rsidR="00592240">
              <w:rPr>
                <w:rFonts w:eastAsia="Calibri"/>
                <w:b/>
                <w:lang w:eastAsia="en-US"/>
              </w:rPr>
              <w:t xml:space="preserve"> ņemts vērā.</w:t>
            </w:r>
          </w:p>
        </w:tc>
        <w:tc>
          <w:tcPr>
            <w:tcW w:w="2980" w:type="dxa"/>
          </w:tcPr>
          <w:p w:rsidRPr="000C6C1A" w:rsidR="00C62357" w:rsidP="00C62357" w:rsidRDefault="00C62357" w14:paraId="46C63B6D" w14:textId="38F6D583">
            <w:pPr>
              <w:jc w:val="both"/>
              <w:rPr>
                <w:b/>
                <w:bCs/>
                <w:iCs/>
                <w:color w:val="000000"/>
              </w:rPr>
            </w:pPr>
            <w:r w:rsidRPr="000C6C1A">
              <w:rPr>
                <w:iCs/>
                <w:color w:val="000000"/>
              </w:rPr>
              <w:t>Anotācijas I sadaļas 2.punkts papildināt</w:t>
            </w:r>
            <w:r w:rsidR="004964AE">
              <w:rPr>
                <w:iCs/>
                <w:color w:val="000000"/>
              </w:rPr>
              <w:t>s</w:t>
            </w:r>
            <w:r w:rsidRPr="000C6C1A">
              <w:rPr>
                <w:iCs/>
                <w:color w:val="000000"/>
              </w:rPr>
              <w:t xml:space="preserve"> ar nepieciešamo informāciju.</w:t>
            </w:r>
          </w:p>
          <w:p w:rsidRPr="000C6C1A" w:rsidR="00200F20" w:rsidP="007F0A92" w:rsidRDefault="00200F20" w14:paraId="47CE6488" w14:textId="1B192633">
            <w:pPr>
              <w:jc w:val="both"/>
              <w:rPr>
                <w:iCs/>
                <w:color w:val="000000"/>
              </w:rPr>
            </w:pPr>
          </w:p>
        </w:tc>
      </w:tr>
      <w:tr w:rsidRPr="000C6C1A" w:rsidR="00200F20" w:rsidTr="0091003F" w14:paraId="33FF7EA9" w14:textId="77777777">
        <w:tc>
          <w:tcPr>
            <w:tcW w:w="675" w:type="dxa"/>
          </w:tcPr>
          <w:p w:rsidRPr="000C6C1A" w:rsidR="00200F20" w:rsidP="005D403F" w:rsidRDefault="00200F20" w14:paraId="37AAA3D3" w14:textId="37F8BC05">
            <w:pPr>
              <w:pStyle w:val="naisf"/>
              <w:spacing w:before="0" w:after="0"/>
              <w:ind w:firstLine="0"/>
              <w:jc w:val="center"/>
            </w:pPr>
          </w:p>
        </w:tc>
        <w:tc>
          <w:tcPr>
            <w:tcW w:w="3119" w:type="dxa"/>
          </w:tcPr>
          <w:p w:rsidRPr="000C6C1A" w:rsidR="00200F20" w:rsidP="004021B9" w:rsidRDefault="00200F20" w14:paraId="285BA048" w14:textId="77777777">
            <w:pPr>
              <w:jc w:val="both"/>
              <w:rPr>
                <w:szCs w:val="28"/>
              </w:rPr>
            </w:pPr>
          </w:p>
        </w:tc>
        <w:tc>
          <w:tcPr>
            <w:tcW w:w="4678" w:type="dxa"/>
          </w:tcPr>
          <w:p w:rsidRPr="000C6C1A" w:rsidR="00200F20" w:rsidP="00D81B3E" w:rsidRDefault="006D644F" w14:paraId="5E20C0B2" w14:textId="4EE9660D">
            <w:pPr>
              <w:widowControl w:val="0"/>
              <w:suppressAutoHyphens/>
              <w:autoSpaceDN w:val="0"/>
              <w:jc w:val="both"/>
              <w:textAlignment w:val="baseline"/>
              <w:rPr>
                <w:lang w:eastAsia="en-US"/>
              </w:rPr>
            </w:pPr>
            <w:r w:rsidRPr="000C6C1A">
              <w:rPr>
                <w:b/>
                <w:bCs/>
                <w:lang w:eastAsia="en-US"/>
              </w:rPr>
              <w:t xml:space="preserve">4. </w:t>
            </w:r>
            <w:r w:rsidRPr="000C6C1A">
              <w:rPr>
                <w:lang w:eastAsia="en-US"/>
              </w:rPr>
              <w:t>MK rīkojuma Nr.2. 4.2. apakšpunktā noteikts, ka, ja nodotie nekustamie īpašumi (tajā skaitā nekustamais īpašums Nr.2 un arī no tā atdalītais nekustamais īpašums Nr.1)  vairs netiek izmantoti funkciju nodrošināšanai, tie bez atlīdzības nododami valstij Finanšu ministrijas personā. Ievērojot minēto, lūdzam anotācijā skaidrot, kāpēc nekustamais īpašums nododams valstij Satiksmes ministrijas personā, nevis valstij Finanšu ministrijas personā, kā to nosaka MK rīkojums Nr.2.</w:t>
            </w:r>
          </w:p>
        </w:tc>
        <w:tc>
          <w:tcPr>
            <w:tcW w:w="2722" w:type="dxa"/>
          </w:tcPr>
          <w:p w:rsidRPr="000C6C1A" w:rsidR="00200F20" w:rsidP="00EC74F1" w:rsidRDefault="00C62357" w14:paraId="298D6500" w14:textId="4D8AB4E1">
            <w:pPr>
              <w:pStyle w:val="naisf"/>
              <w:spacing w:before="0"/>
              <w:ind w:firstLine="0"/>
              <w:rPr>
                <w:rFonts w:eastAsia="Calibri"/>
                <w:b/>
                <w:lang w:eastAsia="en-US"/>
              </w:rPr>
            </w:pPr>
            <w:r w:rsidRPr="000C6C1A">
              <w:rPr>
                <w:rFonts w:eastAsia="Calibri"/>
                <w:b/>
                <w:lang w:eastAsia="en-US"/>
              </w:rPr>
              <w:t>Iebildums ir ņemts vērā.</w:t>
            </w:r>
            <w:r w:rsidRPr="000C6C1A">
              <w:rPr>
                <w:b/>
                <w:bCs/>
                <w:iCs/>
                <w:color w:val="000000"/>
              </w:rPr>
              <w:t xml:space="preserve"> </w:t>
            </w:r>
            <w:r w:rsidRPr="000C6C1A">
              <w:rPr>
                <w:iCs/>
                <w:color w:val="000000"/>
              </w:rPr>
              <w:t>Rail Baltica projektu realizē Satiksmes ministrija. Nekustamie īpašumi, kas nepieciešami projekta realizācijai, tiek atsavināt</w:t>
            </w:r>
            <w:r w:rsidR="004964AE">
              <w:rPr>
                <w:iCs/>
                <w:color w:val="000000"/>
              </w:rPr>
              <w:t>i</w:t>
            </w:r>
            <w:r w:rsidRPr="000C6C1A">
              <w:rPr>
                <w:iCs/>
                <w:color w:val="000000"/>
              </w:rPr>
              <w:t xml:space="preserve"> un reģistrēti uz valsts vārda Satiksmes ministrijas personā.</w:t>
            </w:r>
          </w:p>
        </w:tc>
        <w:tc>
          <w:tcPr>
            <w:tcW w:w="2980" w:type="dxa"/>
          </w:tcPr>
          <w:p w:rsidRPr="000C6C1A" w:rsidR="00C62357" w:rsidP="00C62357" w:rsidRDefault="00C62357" w14:paraId="0A7C7BCB" w14:textId="24FE5EE1">
            <w:pPr>
              <w:jc w:val="both"/>
              <w:rPr>
                <w:b/>
                <w:bCs/>
                <w:iCs/>
                <w:color w:val="000000"/>
              </w:rPr>
            </w:pPr>
            <w:r w:rsidRPr="000C6C1A">
              <w:rPr>
                <w:iCs/>
                <w:color w:val="000000"/>
              </w:rPr>
              <w:t>Anotācijas I sadaļas 2.punkts papildināt</w:t>
            </w:r>
            <w:r w:rsidR="004964AE">
              <w:rPr>
                <w:iCs/>
                <w:color w:val="000000"/>
              </w:rPr>
              <w:t>s</w:t>
            </w:r>
            <w:r w:rsidRPr="000C6C1A">
              <w:rPr>
                <w:iCs/>
                <w:color w:val="000000"/>
              </w:rPr>
              <w:t xml:space="preserve"> ar nepieciešamo informāciju.</w:t>
            </w:r>
          </w:p>
          <w:p w:rsidRPr="000C6C1A" w:rsidR="00013A9E" w:rsidP="00C62357" w:rsidRDefault="00013A9E" w14:paraId="30687FE7" w14:textId="769ED6DA">
            <w:pPr>
              <w:jc w:val="both"/>
              <w:rPr>
                <w:iCs/>
                <w:color w:val="000000"/>
              </w:rPr>
            </w:pPr>
          </w:p>
        </w:tc>
      </w:tr>
      <w:tr w:rsidRPr="000C6C1A" w:rsidR="00E44D7D" w:rsidTr="0091003F" w14:paraId="267B71C5" w14:textId="77777777">
        <w:tc>
          <w:tcPr>
            <w:tcW w:w="675" w:type="dxa"/>
          </w:tcPr>
          <w:p w:rsidRPr="000C6C1A" w:rsidR="00E44D7D" w:rsidP="00E44D7D" w:rsidRDefault="00E44D7D" w14:paraId="5FCB8D85" w14:textId="06D15B48">
            <w:pPr>
              <w:pStyle w:val="naisf"/>
              <w:spacing w:before="0" w:after="0"/>
              <w:ind w:firstLine="0"/>
              <w:jc w:val="center"/>
              <w:rPr>
                <w:b/>
                <w:bCs/>
                <w:i/>
                <w:iCs/>
              </w:rPr>
            </w:pPr>
            <w:r w:rsidRPr="000C6C1A">
              <w:rPr>
                <w:b/>
                <w:bCs/>
                <w:i/>
                <w:iCs/>
              </w:rPr>
              <w:t>II.</w:t>
            </w:r>
          </w:p>
        </w:tc>
        <w:tc>
          <w:tcPr>
            <w:tcW w:w="3119" w:type="dxa"/>
          </w:tcPr>
          <w:p w:rsidRPr="000C6C1A" w:rsidR="00E44D7D" w:rsidP="00E44D7D" w:rsidRDefault="00E44D7D" w14:paraId="1F0114F0" w14:textId="77777777">
            <w:pPr>
              <w:jc w:val="both"/>
              <w:rPr>
                <w:szCs w:val="28"/>
              </w:rPr>
            </w:pPr>
          </w:p>
        </w:tc>
        <w:tc>
          <w:tcPr>
            <w:tcW w:w="4678" w:type="dxa"/>
          </w:tcPr>
          <w:p w:rsidRPr="000C6C1A" w:rsidR="00E44D7D" w:rsidP="00FD3CF0" w:rsidRDefault="00E44D7D" w14:paraId="4684E005" w14:textId="472D52C8">
            <w:pPr>
              <w:widowControl w:val="0"/>
              <w:jc w:val="both"/>
            </w:pPr>
            <w:r w:rsidRPr="000C6C1A">
              <w:rPr>
                <w:b/>
                <w:bCs/>
              </w:rPr>
              <w:t>Finanšu ministrija</w:t>
            </w:r>
            <w:r w:rsidRPr="000C6C1A" w:rsidR="00FD3CF0">
              <w:rPr>
                <w:b/>
                <w:bCs/>
              </w:rPr>
              <w:t>s e – pasta atzinumā izteiktie iebildumi :</w:t>
            </w:r>
          </w:p>
          <w:p w:rsidRPr="000C6C1A" w:rsidR="00E44D7D" w:rsidP="00E44D7D" w:rsidRDefault="00E44D7D" w14:paraId="0E5D72BA" w14:textId="1E41A9D7">
            <w:pPr>
              <w:pStyle w:val="ListParagraph"/>
              <w:widowControl w:val="0"/>
              <w:numPr>
                <w:ilvl w:val="0"/>
                <w:numId w:val="8"/>
              </w:numPr>
              <w:ind w:left="0" w:firstLine="360"/>
              <w:jc w:val="both"/>
              <w:rPr>
                <w:i/>
                <w:iCs/>
              </w:rPr>
            </w:pPr>
            <w:r w:rsidRPr="000C6C1A">
              <w:t xml:space="preserve">Rīkojuma projekta anotācijas I sadaļas 2.punktā ir norādīts, ka valsts, nododot </w:t>
            </w:r>
            <w:r w:rsidRPr="000C6C1A">
              <w:lastRenderedPageBreak/>
              <w:t xml:space="preserve">Latvijas Universitātes (turpmāk – LU) īpašumā nekustamo īpašumu, nav noteikusi aizliegumu to dalīt, vai arī noteikusi pienākumu atgriezt valsts īpašumā to pilnā apjomā. Norādām, ka atbilstoši Publiskas personas mantas atsavināšanas likuma 42.panta pirmajai daļai,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Līdz ar to nevar secināt, ka nav noteikts pienākums atgriezt valsts īpašumā nodoto nekustamo īpašumu pilnā apjomā. LU īpašumā nodoto valsts īpašumu, ja tas vairs nav nepieciešams LU funkciju nodrošināšanai, ir pienākums nodot atpakaļ valstij pilnā apjomā, bet neaizliedz nodot atpakaļ valstij daļu no nodotā nekustamā īpašuma, kas nepieciešama valstij. Ņemot vērā minēto, lūdzam no rīkojuma projekta anotācijas svītrot minēto informāciju. </w:t>
            </w:r>
          </w:p>
          <w:p w:rsidRPr="000C6C1A" w:rsidR="00E44D7D" w:rsidP="00E44D7D" w:rsidRDefault="00E44D7D" w14:paraId="078D0B11" w14:textId="77777777">
            <w:pPr>
              <w:widowControl w:val="0"/>
              <w:suppressAutoHyphens/>
              <w:autoSpaceDN w:val="0"/>
              <w:jc w:val="both"/>
              <w:textAlignment w:val="baseline"/>
              <w:rPr>
                <w:b/>
                <w:bCs/>
                <w:lang w:eastAsia="en-US"/>
              </w:rPr>
            </w:pPr>
          </w:p>
        </w:tc>
        <w:tc>
          <w:tcPr>
            <w:tcW w:w="2722" w:type="dxa"/>
          </w:tcPr>
          <w:p w:rsidRPr="000C6C1A" w:rsidR="00E44D7D" w:rsidP="00E44D7D" w:rsidRDefault="00E44D7D" w14:paraId="2BE67721" w14:textId="77777777">
            <w:pPr>
              <w:pStyle w:val="naisf"/>
              <w:spacing w:before="0"/>
              <w:ind w:firstLine="0"/>
              <w:rPr>
                <w:rFonts w:eastAsia="Calibri"/>
                <w:b/>
                <w:lang w:eastAsia="en-US"/>
              </w:rPr>
            </w:pPr>
          </w:p>
          <w:p w:rsidRPr="000C6C1A" w:rsidR="00E44D7D" w:rsidP="00E44D7D" w:rsidRDefault="00E44D7D" w14:paraId="4374EEDA" w14:textId="77777777">
            <w:pPr>
              <w:pStyle w:val="naisf"/>
              <w:spacing w:before="0" w:after="0"/>
              <w:ind w:firstLine="0"/>
              <w:rPr>
                <w:b/>
                <w:bCs/>
              </w:rPr>
            </w:pPr>
            <w:r w:rsidRPr="000C6C1A">
              <w:rPr>
                <w:b/>
                <w:bCs/>
              </w:rPr>
              <w:t>Iebildums ņemts vērā</w:t>
            </w:r>
          </w:p>
          <w:p w:rsidRPr="000C6C1A" w:rsidR="00E44D7D" w:rsidP="00E44D7D" w:rsidRDefault="00E44D7D" w14:paraId="77FBEE12" w14:textId="77777777">
            <w:pPr>
              <w:pStyle w:val="naisf"/>
              <w:spacing w:before="0" w:after="0"/>
              <w:ind w:firstLine="0"/>
              <w:rPr>
                <w:b/>
                <w:bCs/>
              </w:rPr>
            </w:pPr>
            <w:r w:rsidRPr="000C6C1A">
              <w:lastRenderedPageBreak/>
              <w:t>Rīkojuma projekta anotācijas I sadaļas 2.punkts precizēts.</w:t>
            </w:r>
          </w:p>
          <w:p w:rsidRPr="000C6C1A" w:rsidR="00E44D7D" w:rsidP="00E44D7D" w:rsidRDefault="00E44D7D" w14:paraId="48EE306A" w14:textId="7730F2FB">
            <w:pPr>
              <w:pStyle w:val="naisf"/>
              <w:spacing w:before="0"/>
              <w:ind w:firstLine="0"/>
              <w:rPr>
                <w:rFonts w:eastAsia="Calibri"/>
                <w:b/>
                <w:lang w:eastAsia="en-US"/>
              </w:rPr>
            </w:pPr>
          </w:p>
        </w:tc>
        <w:tc>
          <w:tcPr>
            <w:tcW w:w="2980" w:type="dxa"/>
          </w:tcPr>
          <w:p w:rsidRPr="000C6C1A" w:rsidR="00E44D7D" w:rsidP="00E44D7D" w:rsidRDefault="00E44D7D" w14:paraId="7D4D11B9" w14:textId="77777777">
            <w:pPr>
              <w:jc w:val="both"/>
              <w:rPr>
                <w:iCs/>
                <w:color w:val="000000"/>
              </w:rPr>
            </w:pPr>
          </w:p>
          <w:p w:rsidRPr="000C6C1A" w:rsidR="00E44D7D" w:rsidP="00E44D7D" w:rsidRDefault="00E44D7D" w14:paraId="74C436E9" w14:textId="10ADD8C7">
            <w:pPr>
              <w:jc w:val="both"/>
              <w:rPr>
                <w:iCs/>
                <w:color w:val="000000"/>
              </w:rPr>
            </w:pPr>
            <w:r w:rsidRPr="000C6C1A">
              <w:rPr>
                <w:iCs/>
                <w:color w:val="000000"/>
              </w:rPr>
              <w:t>Skatīt anotāciju.</w:t>
            </w:r>
          </w:p>
        </w:tc>
      </w:tr>
      <w:tr w:rsidRPr="000C6C1A" w:rsidR="00E44D7D" w:rsidTr="0091003F" w14:paraId="528D9326" w14:textId="77777777">
        <w:tc>
          <w:tcPr>
            <w:tcW w:w="675" w:type="dxa"/>
          </w:tcPr>
          <w:p w:rsidRPr="000C6C1A" w:rsidR="00E44D7D" w:rsidP="00E44D7D" w:rsidRDefault="00E44D7D" w14:paraId="76EF3295" w14:textId="77777777">
            <w:pPr>
              <w:pStyle w:val="naisf"/>
              <w:spacing w:before="0" w:after="0"/>
              <w:ind w:firstLine="0"/>
              <w:jc w:val="center"/>
              <w:rPr>
                <w:b/>
                <w:bCs/>
                <w:i/>
                <w:iCs/>
              </w:rPr>
            </w:pPr>
          </w:p>
        </w:tc>
        <w:tc>
          <w:tcPr>
            <w:tcW w:w="3119" w:type="dxa"/>
          </w:tcPr>
          <w:p w:rsidRPr="000C6C1A" w:rsidR="00E44D7D" w:rsidP="00E44D7D" w:rsidRDefault="00E44D7D" w14:paraId="517463F5" w14:textId="77777777">
            <w:pPr>
              <w:jc w:val="both"/>
              <w:rPr>
                <w:szCs w:val="28"/>
              </w:rPr>
            </w:pPr>
          </w:p>
        </w:tc>
        <w:tc>
          <w:tcPr>
            <w:tcW w:w="4678" w:type="dxa"/>
          </w:tcPr>
          <w:p w:rsidRPr="000C6C1A" w:rsidR="00E44D7D" w:rsidP="00E44D7D" w:rsidRDefault="00E44D7D" w14:paraId="47D22115" w14:textId="613C51C2">
            <w:pPr>
              <w:pStyle w:val="ListParagraph"/>
              <w:widowControl w:val="0"/>
              <w:numPr>
                <w:ilvl w:val="0"/>
                <w:numId w:val="8"/>
              </w:numPr>
              <w:ind w:left="0" w:firstLine="360"/>
              <w:jc w:val="both"/>
              <w:rPr>
                <w:i/>
                <w:iCs/>
              </w:rPr>
            </w:pPr>
            <w:r w:rsidRPr="000C6C1A">
              <w:t xml:space="preserve">Rīkojuma projekta anotācijas I sadaļas 2.punktā norādīts: “Savukārt, izbeidzoties nepieciešamībai Nekustamo īpašumu izmantot valsts publiskās lietošanas dzelzceļa infrastruktūras uzturēšanai, tā atdošana atpakaļ Latvijas Universitātei tiks īstenota, ievērojot </w:t>
            </w:r>
            <w:r w:rsidRPr="000C6C1A">
              <w:lastRenderedPageBreak/>
              <w:t>Civillikuma 850. pantā noteikto, ka būve ir atzīstama par nekustamā īpašuma sastāvā ietilpstošās zemes vienības blakus lietu, ir nesaraujami saistīta ar šo zemes vienību un  atbilstoši Civillikuma 853. pantam ir atsavināma kopā ar galvenajām lietām.”</w:t>
            </w:r>
          </w:p>
          <w:p w:rsidRPr="000C6C1A" w:rsidR="00E44D7D" w:rsidP="00E44D7D" w:rsidRDefault="00E44D7D" w14:paraId="634C0B27" w14:textId="77777777">
            <w:pPr>
              <w:widowControl w:val="0"/>
              <w:jc w:val="both"/>
            </w:pPr>
            <w:r w:rsidRPr="000C6C1A">
              <w:t>Vēršam uzmanību, ka pamatojoties uz Publiskas personas mantas atsavināšanas likuma 42. panta pirmo daļu rīkojuma projekts paredz nodot atpakaļ nekustamo īpašumu valstij bez atlīdzības, ņemot vērā, ka tas netiek izmantots LU funkciju nodrošināšanai un, izbeidzoties nepieciešamībai izmantot nekustamo īpašumu valsts publiskās lietošanas dzelzceļa infrastruktūras uzturēšanai, valstij nav pienākums nododamo nekustamo īpašumu nodot atpakaļ LU īpašumā. Līdz ar to lūdzam rīkojuma projekta anotācijā svītrot minēto informāciju, jo tas ir pretrunā ar Publiskas personas mantas atsavināšanas likuma 42.panta pirmo daļu.</w:t>
            </w:r>
          </w:p>
          <w:p w:rsidRPr="000C6C1A" w:rsidR="00E44D7D" w:rsidP="00E44D7D" w:rsidRDefault="00E44D7D" w14:paraId="792B8225" w14:textId="77777777">
            <w:pPr>
              <w:widowControl w:val="0"/>
              <w:rPr>
                <w:b/>
                <w:bCs/>
              </w:rPr>
            </w:pPr>
          </w:p>
        </w:tc>
        <w:tc>
          <w:tcPr>
            <w:tcW w:w="2722" w:type="dxa"/>
          </w:tcPr>
          <w:p w:rsidRPr="000C6C1A" w:rsidR="00E44D7D" w:rsidP="00E44D7D" w:rsidRDefault="00E44D7D" w14:paraId="3D7ED6AE" w14:textId="77777777">
            <w:pPr>
              <w:pStyle w:val="naisf"/>
              <w:spacing w:before="0" w:after="0"/>
              <w:ind w:firstLine="0"/>
              <w:rPr>
                <w:rFonts w:eastAsia="Calibri"/>
                <w:b/>
                <w:lang w:eastAsia="en-US"/>
              </w:rPr>
            </w:pPr>
            <w:r w:rsidRPr="000C6C1A">
              <w:rPr>
                <w:rFonts w:eastAsia="Calibri"/>
                <w:b/>
                <w:lang w:eastAsia="en-US"/>
              </w:rPr>
              <w:lastRenderedPageBreak/>
              <w:t>Iebildums ņemts vērā</w:t>
            </w:r>
          </w:p>
          <w:p w:rsidRPr="000C6C1A" w:rsidR="00E44D7D" w:rsidP="00E44D7D" w:rsidRDefault="00E44D7D" w14:paraId="152CC4F9" w14:textId="45FE9B77">
            <w:pPr>
              <w:pStyle w:val="naisf"/>
              <w:spacing w:before="0"/>
              <w:ind w:firstLine="0"/>
              <w:rPr>
                <w:rFonts w:eastAsia="Calibri"/>
                <w:b/>
                <w:lang w:eastAsia="en-US"/>
              </w:rPr>
            </w:pPr>
            <w:r w:rsidRPr="000C6C1A">
              <w:t>Rīkojuma projekta anotācijas I sadaļas 2. punkts precizēts.</w:t>
            </w:r>
          </w:p>
        </w:tc>
        <w:tc>
          <w:tcPr>
            <w:tcW w:w="2980" w:type="dxa"/>
          </w:tcPr>
          <w:p w:rsidRPr="000C6C1A" w:rsidR="00E44D7D" w:rsidP="00E44D7D" w:rsidRDefault="00E44D7D" w14:paraId="718D3DED" w14:textId="6C7D7F7F">
            <w:pPr>
              <w:jc w:val="both"/>
              <w:rPr>
                <w:iCs/>
                <w:color w:val="000000"/>
              </w:rPr>
            </w:pPr>
            <w:r w:rsidRPr="000C6C1A">
              <w:rPr>
                <w:iCs/>
                <w:color w:val="000000"/>
              </w:rPr>
              <w:t>Skatīt anotāciju.</w:t>
            </w:r>
          </w:p>
        </w:tc>
      </w:tr>
      <w:tr w:rsidRPr="000C6C1A" w:rsidR="00E44D7D" w:rsidTr="00FD3CF0" w14:paraId="588BC5F8" w14:textId="77777777">
        <w:trPr>
          <w:trHeight w:val="2542"/>
        </w:trPr>
        <w:tc>
          <w:tcPr>
            <w:tcW w:w="675" w:type="dxa"/>
          </w:tcPr>
          <w:p w:rsidRPr="000C6C1A" w:rsidR="00E44D7D" w:rsidP="00E44D7D" w:rsidRDefault="00E44D7D" w14:paraId="59BEDE5D" w14:textId="77777777">
            <w:pPr>
              <w:pStyle w:val="naisf"/>
              <w:spacing w:before="0" w:after="0"/>
              <w:ind w:firstLine="0"/>
              <w:jc w:val="center"/>
              <w:rPr>
                <w:b/>
                <w:bCs/>
                <w:i/>
                <w:iCs/>
              </w:rPr>
            </w:pPr>
          </w:p>
        </w:tc>
        <w:tc>
          <w:tcPr>
            <w:tcW w:w="3119" w:type="dxa"/>
          </w:tcPr>
          <w:p w:rsidRPr="000C6C1A" w:rsidR="00E44D7D" w:rsidP="00E44D7D" w:rsidRDefault="00E44D7D" w14:paraId="0A6582E2" w14:textId="77777777">
            <w:pPr>
              <w:jc w:val="both"/>
              <w:rPr>
                <w:szCs w:val="28"/>
              </w:rPr>
            </w:pPr>
          </w:p>
        </w:tc>
        <w:tc>
          <w:tcPr>
            <w:tcW w:w="4678" w:type="dxa"/>
          </w:tcPr>
          <w:p w:rsidRPr="000C6C1A" w:rsidR="00E44D7D" w:rsidP="00FD3CF0" w:rsidRDefault="00FD3CF0" w14:paraId="1A744BAC" w14:textId="5311B820">
            <w:pPr>
              <w:widowControl w:val="0"/>
              <w:jc w:val="both"/>
              <w:rPr>
                <w:b/>
                <w:bCs/>
              </w:rPr>
            </w:pPr>
            <w:r w:rsidRPr="000C6C1A">
              <w:rPr>
                <w:b/>
                <w:bCs/>
              </w:rPr>
              <w:t>Tieslietu ministrijas e – pasta atzinumā izteiktais iebildums :</w:t>
            </w:r>
          </w:p>
          <w:p w:rsidRPr="000C6C1A" w:rsidR="00FD3CF0" w:rsidP="00FD3CF0" w:rsidRDefault="00FD3CF0" w14:paraId="735ADD8F" w14:textId="03B2DA69">
            <w:pPr>
              <w:jc w:val="both"/>
              <w:rPr>
                <w:lang w:eastAsia="en-US"/>
              </w:rPr>
            </w:pPr>
            <w:r w:rsidRPr="000C6C1A">
              <w:rPr>
                <w:lang w:eastAsia="en-US"/>
              </w:rPr>
              <w:t xml:space="preserve">Tieslietu ministrija lūdz atkārtoti izvērtēt, vai Publiskas personas mantas atsavināšanas likuma (turpmāk – likums) 42. panta pirmā daļa pieļauj pārņemt atpakaļ īpašumā tikai valsts nekustamā īpašuma daļu, nevis visu funkcijas veikšanai nodoto īpašumu. Proti, Tieslietu ministrijas ieskatā no likuma nav iespējams secināt, ka nodoto valsts īpašumu </w:t>
            </w:r>
            <w:r w:rsidRPr="000C6C1A">
              <w:rPr>
                <w:lang w:eastAsia="en-US"/>
              </w:rPr>
              <w:lastRenderedPageBreak/>
              <w:t>drīkst sadalīt un pēc tam, kad tas vai tā daļa vairs nav nepieciešama konkrētās funkcijas veikšanai, nodot to vai tā daļu atpakaļ valstij. Vienlaikus tas, ka šādas darbības netika aizliegtas Ministru kabineta rīkojumā ar kuru konkrētais īpašums nodots, nenozīmē to, ka tas ir atļauts un atbilst likuma prasībām. Turklāt likums ir augstāka juridiskā spēka akts nekā Ministru kabineta rīkojums.</w:t>
            </w:r>
          </w:p>
        </w:tc>
        <w:tc>
          <w:tcPr>
            <w:tcW w:w="2722" w:type="dxa"/>
          </w:tcPr>
          <w:p w:rsidRPr="000C6C1A" w:rsidR="00FD3CF0" w:rsidP="00FD3CF0" w:rsidRDefault="00FD3CF0" w14:paraId="5A8991DB" w14:textId="77777777">
            <w:pPr>
              <w:pStyle w:val="naisf"/>
              <w:ind w:firstLine="0"/>
              <w:rPr>
                <w:rFonts w:eastAsia="Calibri"/>
                <w:b/>
                <w:lang w:eastAsia="en-US"/>
              </w:rPr>
            </w:pPr>
            <w:r w:rsidRPr="000C6C1A">
              <w:rPr>
                <w:rFonts w:eastAsia="Calibri"/>
                <w:b/>
                <w:lang w:eastAsia="en-US"/>
              </w:rPr>
              <w:lastRenderedPageBreak/>
              <w:t>Iebildums izvērtēts</w:t>
            </w:r>
          </w:p>
          <w:p w:rsidRPr="000C6C1A" w:rsidR="00FD3CF0" w:rsidP="00FD3CF0" w:rsidRDefault="00FD3CF0" w14:paraId="6AAD5506" w14:textId="1C737712">
            <w:pPr>
              <w:pStyle w:val="naisf"/>
              <w:spacing w:before="0"/>
              <w:ind w:firstLine="0"/>
              <w:rPr>
                <w:rFonts w:eastAsia="Calibri"/>
                <w:bCs/>
                <w:lang w:eastAsia="en-US"/>
              </w:rPr>
            </w:pPr>
            <w:r w:rsidRPr="000C6C1A">
              <w:rPr>
                <w:rFonts w:eastAsia="Calibri"/>
                <w:bCs/>
                <w:lang w:eastAsia="en-US"/>
              </w:rPr>
              <w:t xml:space="preserve">Satiksmes ministrija vērš uzmanību, ka no Ministru kabineta 2013. gada  30. jūlija rīkojuma Nr. 347 “Par valsts nekustamo īpašumu nodošanu Latvijas Universitātes īpašumā” (turpmāk – Rīkojums Nr. 347) </w:t>
            </w:r>
            <w:r w:rsidRPr="000C6C1A">
              <w:rPr>
                <w:rFonts w:eastAsia="Calibri"/>
                <w:bCs/>
                <w:lang w:eastAsia="en-US"/>
              </w:rPr>
              <w:lastRenderedPageBreak/>
              <w:t>1.9. apakšpunktā minētā nekustamā īpašuma (nekustamā īpašuma kadastra Nr. 0100 054 2005) Jelgavas ielā 1, Rīgā, nodalīto nekustamo īpašumu (kadastra Nr. 0100 054 0162), kura sastāvā ir zemes vienība (zemes vienības kadastra apzīmējums 0100 054 0115) 0,</w:t>
            </w:r>
            <w:r w:rsidR="004964AE">
              <w:rPr>
                <w:rFonts w:eastAsia="Calibri"/>
                <w:bCs/>
                <w:lang w:eastAsia="en-US"/>
              </w:rPr>
              <w:t>0</w:t>
            </w:r>
            <w:r w:rsidRPr="000C6C1A">
              <w:rPr>
                <w:rFonts w:eastAsia="Calibri"/>
                <w:bCs/>
                <w:lang w:eastAsia="en-US"/>
              </w:rPr>
              <w:t>262 ha platībā, Latvijas Universitāte (turpmāk – LU) nevar  izmantot Rīkojumā Nr. 347 noteiktajam mērķim – LU funkcijas nodrošināšanai</w:t>
            </w:r>
            <w:r w:rsidR="004964AE">
              <w:rPr>
                <w:rFonts w:eastAsia="Calibri"/>
                <w:bCs/>
                <w:lang w:eastAsia="en-US"/>
              </w:rPr>
              <w:t>, jo nekustamais īpašums visā tā platībā atrodas aizsargjoslas teritorijā gar ielu</w:t>
            </w:r>
            <w:r w:rsidRPr="000C6C1A">
              <w:rPr>
                <w:rFonts w:eastAsia="Calibri"/>
                <w:bCs/>
                <w:lang w:eastAsia="en-US"/>
              </w:rPr>
              <w:t>. Līdz ar ko nekustamais īpašums (kadastra Nr. 0100 054 0162) pārņemams atpakaļ valsts īpašumā, turklāt nekustamā īpašuma pārņemšana ir būtiska</w:t>
            </w:r>
            <w:r w:rsidRPr="000C6C1A">
              <w:t xml:space="preserve"> </w:t>
            </w:r>
            <w:r w:rsidRPr="000C6C1A">
              <w:rPr>
                <w:rFonts w:eastAsia="Calibri"/>
                <w:bCs/>
                <w:lang w:eastAsia="en-US"/>
              </w:rPr>
              <w:t xml:space="preserve">Rail Baltica projekta realizācijas nodrošināšanai.  </w:t>
            </w:r>
          </w:p>
          <w:p w:rsidRPr="000C6C1A" w:rsidR="00FD3CF0" w:rsidP="00FD3CF0" w:rsidRDefault="00FD3CF0" w14:paraId="16A3B88D" w14:textId="1BA99FE9">
            <w:pPr>
              <w:pStyle w:val="naisf"/>
              <w:spacing w:before="0"/>
              <w:ind w:firstLine="0"/>
              <w:rPr>
                <w:rFonts w:eastAsia="Calibri"/>
                <w:bCs/>
                <w:lang w:eastAsia="en-US"/>
              </w:rPr>
            </w:pPr>
            <w:r w:rsidRPr="000C6C1A">
              <w:rPr>
                <w:rFonts w:eastAsia="Calibri"/>
                <w:bCs/>
                <w:lang w:eastAsia="en-US"/>
              </w:rPr>
              <w:lastRenderedPageBreak/>
              <w:t>Satiksmes ministrija, interpretējot (tulkojot) tiesību normu pēc dažādām interpretācijas pamatmetodēm, tostarp teleoloģiskās (jēgas un mērķa) interpretācijas metodes, noskaidro</w:t>
            </w:r>
            <w:r w:rsidR="004964AE">
              <w:rPr>
                <w:rFonts w:eastAsia="Calibri"/>
                <w:bCs/>
                <w:lang w:eastAsia="en-US"/>
              </w:rPr>
              <w:t>jot</w:t>
            </w:r>
            <w:r w:rsidRPr="000C6C1A">
              <w:rPr>
                <w:rFonts w:eastAsia="Calibri"/>
                <w:bCs/>
                <w:lang w:eastAsia="en-US"/>
              </w:rPr>
              <w:t xml:space="preserve"> tiesību normas jēgu, pamatojoties uz lietderīgu un taisnīgu mērķi, kas ar attiecīgo tiesību normu jāsasniedz, secinājusi, ka </w:t>
            </w:r>
            <w:r w:rsidR="004964AE">
              <w:rPr>
                <w:rFonts w:eastAsia="Calibri"/>
                <w:bCs/>
                <w:lang w:eastAsia="en-US"/>
              </w:rPr>
              <w:t>at</w:t>
            </w:r>
            <w:r w:rsidRPr="000C6C1A">
              <w:rPr>
                <w:rFonts w:eastAsia="Calibri"/>
                <w:bCs/>
                <w:lang w:eastAsia="en-US"/>
              </w:rPr>
              <w:t>dalītā nekustamā īpašuma pārņemšana valsts īpašumā nav vērtējama kā pretrunīga ar Publiskas personas mantas atsavināšanas likuma 42. panta pirmo daļu un Rīkojumu  Nr. 337. Arī Finanšu ministrijas 29.04.2020. atzinumā pausta nostāja</w:t>
            </w:r>
            <w:r w:rsidR="004964AE">
              <w:rPr>
                <w:rFonts w:eastAsia="Calibri"/>
                <w:bCs/>
                <w:lang w:eastAsia="en-US"/>
              </w:rPr>
              <w:t>,</w:t>
            </w:r>
            <w:r w:rsidRPr="000C6C1A">
              <w:rPr>
                <w:rFonts w:eastAsia="Calibri"/>
                <w:bCs/>
                <w:lang w:eastAsia="en-US"/>
              </w:rPr>
              <w:t xml:space="preserve"> atbilstoši kurai, ja LU īpašumā nodotais valsts īpašums vairs nav nepieciešams LU funkciju nodrošināšanai, tai ir pienākums nodot atpakaļ valstij pilnā apjomā, bet Publiskas personas </w:t>
            </w:r>
            <w:r w:rsidRPr="000C6C1A">
              <w:rPr>
                <w:rFonts w:eastAsia="Calibri"/>
                <w:bCs/>
                <w:lang w:eastAsia="en-US"/>
              </w:rPr>
              <w:lastRenderedPageBreak/>
              <w:t xml:space="preserve">mantas atsavināšanas likuma 42. panta pirmā daļa neaizliedz nodot atpakaļ valstij daļu no nodotā nekustamā īpašuma, kas nepieciešama valstij. </w:t>
            </w:r>
          </w:p>
          <w:p w:rsidRPr="000C6C1A" w:rsidR="00FD3CF0" w:rsidP="00FD3CF0" w:rsidRDefault="00FD3CF0" w14:paraId="21EBA5E2" w14:textId="77777777">
            <w:pPr>
              <w:pStyle w:val="naisf"/>
              <w:spacing w:before="0"/>
              <w:ind w:firstLine="0"/>
              <w:rPr>
                <w:rFonts w:eastAsia="Calibri"/>
                <w:bCs/>
                <w:lang w:eastAsia="en-US"/>
              </w:rPr>
            </w:pPr>
            <w:r w:rsidRPr="000C6C1A">
              <w:rPr>
                <w:rFonts w:eastAsia="Calibri"/>
                <w:bCs/>
                <w:lang w:eastAsia="en-US"/>
              </w:rPr>
              <w:t xml:space="preserve">Papildus vēršam uzmanību, ka arī līdzšinējā Publiskas personas mantas atsavināšanas likuma 42. panta piemērošanas praksē ir atbalstītas ieceres veikt atvasinātas publiskas personas īpašumā nodota valsts nekustamā īpašuma reālo sadali (skat. Ministru kabineta 2018. gada 27. novembra rīkojumu Nr. 636 “Par Latvijas Universitātes Nekustamo īpašumu attīstības plānu 2018.-2023. gadam”). Arī analoģiski vērtējamos jautājumos par turpmāku rīcību ar atvasinātu publisku personu īpašumā nodotajām valsts būvēm (būvju nojaukšanu) ir nostabilizējusies </w:t>
            </w:r>
            <w:r w:rsidRPr="000C6C1A">
              <w:rPr>
                <w:rFonts w:eastAsia="Calibri"/>
                <w:bCs/>
                <w:lang w:eastAsia="en-US"/>
              </w:rPr>
              <w:lastRenderedPageBreak/>
              <w:t xml:space="preserve">Publiskas personas mantas atsavināšanas likuma 42. panta piemērošanas prakse (skat. </w:t>
            </w:r>
            <w:hyperlink w:history="1" r:id="rId8">
              <w:r w:rsidRPr="000C6C1A">
                <w:rPr>
                  <w:rStyle w:val="Hyperlink"/>
                  <w:rFonts w:eastAsia="Calibri"/>
                  <w:bCs/>
                  <w:u w:val="none"/>
                  <w:lang w:eastAsia="en-US"/>
                </w:rPr>
                <w:t>https://tai.mk.gov.lv/img/ccee9fe8-3640-4117-9dcb-b3e6b365b4d7.pdf</w:t>
              </w:r>
            </w:hyperlink>
            <w:r w:rsidRPr="000C6C1A">
              <w:rPr>
                <w:rFonts w:eastAsia="Calibri"/>
                <w:bCs/>
                <w:lang w:eastAsia="en-US"/>
              </w:rPr>
              <w:t xml:space="preserve">, </w:t>
            </w:r>
            <w:hyperlink w:history="1" r:id="rId9">
              <w:r w:rsidRPr="000C6C1A">
                <w:rPr>
                  <w:rStyle w:val="Hyperlink"/>
                  <w:rFonts w:eastAsia="Calibri"/>
                  <w:bCs/>
                  <w:u w:val="none"/>
                  <w:lang w:eastAsia="en-US"/>
                </w:rPr>
                <w:t>https://likumi.lv//ta/id/280197?&amp;search=on</w:t>
              </w:r>
            </w:hyperlink>
            <w:r w:rsidRPr="000C6C1A">
              <w:rPr>
                <w:rFonts w:eastAsia="Calibri"/>
                <w:bCs/>
                <w:lang w:eastAsia="en-US"/>
              </w:rPr>
              <w:t xml:space="preserve">, </w:t>
            </w:r>
            <w:hyperlink w:history="1" r:id="rId10">
              <w:r w:rsidRPr="000C6C1A">
                <w:rPr>
                  <w:rStyle w:val="Hyperlink"/>
                  <w:rFonts w:eastAsia="Calibri"/>
                  <w:bCs/>
                  <w:u w:val="none"/>
                  <w:lang w:eastAsia="en-US"/>
                </w:rPr>
                <w:t>https://likumi.lv//ta/id/305245?&amp;search=on</w:t>
              </w:r>
            </w:hyperlink>
            <w:r w:rsidRPr="000C6C1A">
              <w:rPr>
                <w:rFonts w:eastAsia="Calibri"/>
                <w:bCs/>
                <w:lang w:eastAsia="en-US"/>
              </w:rPr>
              <w:t xml:space="preserve">, </w:t>
            </w:r>
          </w:p>
          <w:p w:rsidRPr="000C6C1A" w:rsidR="00FD3CF0" w:rsidP="00FD3CF0" w:rsidRDefault="004964AE" w14:paraId="68478C77" w14:textId="77777777">
            <w:pPr>
              <w:pStyle w:val="naisf"/>
              <w:ind w:firstLine="0"/>
              <w:rPr>
                <w:rFonts w:eastAsia="Calibri"/>
                <w:bCs/>
                <w:lang w:eastAsia="en-US"/>
              </w:rPr>
            </w:pPr>
            <w:hyperlink w:history="1" r:id="rId11">
              <w:r w:rsidRPr="000C6C1A" w:rsidR="00FD3CF0">
                <w:rPr>
                  <w:rStyle w:val="Hyperlink"/>
                  <w:rFonts w:eastAsia="Calibri"/>
                  <w:bCs/>
                  <w:u w:val="none"/>
                  <w:lang w:eastAsia="en-US"/>
                </w:rPr>
                <w:t>https://likumi.lv//ta/id/301756?&amp;search=on</w:t>
              </w:r>
            </w:hyperlink>
            <w:r w:rsidRPr="000C6C1A" w:rsidR="00FD3CF0">
              <w:rPr>
                <w:rFonts w:eastAsia="Calibri"/>
                <w:bCs/>
                <w:lang w:eastAsia="en-US"/>
              </w:rPr>
              <w:t>).</w:t>
            </w:r>
          </w:p>
          <w:p w:rsidRPr="000C6C1A" w:rsidR="00E44D7D" w:rsidP="00FD3CF0" w:rsidRDefault="00E44D7D" w14:paraId="7FF29F65" w14:textId="5E5AF9E8">
            <w:pPr>
              <w:pStyle w:val="naisf"/>
              <w:ind w:firstLine="0"/>
              <w:rPr>
                <w:rFonts w:eastAsia="Calibri"/>
                <w:bCs/>
                <w:lang w:eastAsia="en-US"/>
              </w:rPr>
            </w:pPr>
          </w:p>
        </w:tc>
        <w:tc>
          <w:tcPr>
            <w:tcW w:w="2980" w:type="dxa"/>
          </w:tcPr>
          <w:p w:rsidR="00E44D7D" w:rsidP="00E44D7D" w:rsidRDefault="00FD3CF0" w14:paraId="13453BBD" w14:textId="77777777">
            <w:pPr>
              <w:jc w:val="both"/>
              <w:rPr>
                <w:iCs/>
                <w:color w:val="000000"/>
              </w:rPr>
            </w:pPr>
            <w:r w:rsidRPr="000C6C1A">
              <w:rPr>
                <w:iCs/>
                <w:color w:val="000000"/>
              </w:rPr>
              <w:lastRenderedPageBreak/>
              <w:t>Skatīt anotāciju.</w:t>
            </w:r>
          </w:p>
          <w:p w:rsidRPr="000C6C1A" w:rsidR="004964AE" w:rsidP="00E44D7D" w:rsidRDefault="004964AE" w14:paraId="19D9EDFD" w14:textId="259EDE1E">
            <w:pPr>
              <w:jc w:val="both"/>
              <w:rPr>
                <w:iCs/>
                <w:color w:val="000000"/>
              </w:rPr>
            </w:pPr>
            <w:r>
              <w:rPr>
                <w:rFonts w:eastAsia="Calibri"/>
                <w:bCs/>
                <w:lang w:eastAsia="en-US"/>
              </w:rPr>
              <w:t>A</w:t>
            </w:r>
            <w:r w:rsidRPr="000C6C1A">
              <w:rPr>
                <w:rFonts w:eastAsia="Calibri"/>
                <w:bCs/>
                <w:lang w:eastAsia="en-US"/>
              </w:rPr>
              <w:t>notācijas I sadaļas 2. punkts precizēts.</w:t>
            </w:r>
          </w:p>
        </w:tc>
      </w:tr>
    </w:tbl>
    <w:p w:rsidRPr="000C6C1A" w:rsidR="00C62357" w:rsidP="000A531F" w:rsidRDefault="00C62357" w14:paraId="4960A14F" w14:textId="77777777">
      <w:pPr>
        <w:jc w:val="both"/>
      </w:pPr>
    </w:p>
    <w:p w:rsidRPr="000C6C1A" w:rsidR="000A531F" w:rsidP="000A531F" w:rsidRDefault="000A531F" w14:paraId="53C4EB95" w14:textId="64A5D81C">
      <w:pPr>
        <w:jc w:val="both"/>
      </w:pPr>
      <w:r w:rsidRPr="000C6C1A">
        <w:t>Atbildīgā amatpersona __________________________________________</w:t>
      </w:r>
    </w:p>
    <w:p w:rsidRPr="000C6C1A" w:rsidR="00020056" w:rsidP="00020056" w:rsidRDefault="00020056" w14:paraId="2589A521" w14:textId="77777777">
      <w:pPr>
        <w:rPr>
          <w:bCs/>
          <w:sz w:val="22"/>
          <w:szCs w:val="22"/>
        </w:rPr>
      </w:pPr>
    </w:p>
    <w:p w:rsidRPr="000C6C1A" w:rsidR="00020056" w:rsidP="00020056" w:rsidRDefault="00020056" w14:paraId="3D332F93" w14:textId="05799D06">
      <w:pPr>
        <w:rPr>
          <w:bCs/>
          <w:sz w:val="22"/>
          <w:szCs w:val="22"/>
        </w:rPr>
      </w:pPr>
      <w:r w:rsidRPr="000C6C1A">
        <w:rPr>
          <w:bCs/>
          <w:sz w:val="22"/>
          <w:szCs w:val="22"/>
        </w:rPr>
        <w:t xml:space="preserve"> Anda Dundure, </w:t>
      </w:r>
    </w:p>
    <w:p w:rsidRPr="000C6C1A" w:rsidR="00020056" w:rsidP="00020056" w:rsidRDefault="00020056" w14:paraId="6FB4F3B7" w14:textId="77777777">
      <w:pPr>
        <w:rPr>
          <w:bCs/>
          <w:sz w:val="22"/>
          <w:szCs w:val="22"/>
        </w:rPr>
      </w:pPr>
      <w:r w:rsidRPr="000C6C1A">
        <w:rPr>
          <w:bCs/>
          <w:sz w:val="22"/>
          <w:szCs w:val="22"/>
        </w:rPr>
        <w:t>Satiksmes ministrija</w:t>
      </w:r>
    </w:p>
    <w:p w:rsidRPr="000C6C1A" w:rsidR="00020056" w:rsidP="00020056" w:rsidRDefault="00020056" w14:paraId="0BF6A11B" w14:textId="77777777">
      <w:pPr>
        <w:rPr>
          <w:bCs/>
          <w:sz w:val="22"/>
          <w:szCs w:val="22"/>
        </w:rPr>
      </w:pPr>
      <w:r w:rsidRPr="000C6C1A">
        <w:rPr>
          <w:bCs/>
          <w:sz w:val="22"/>
          <w:szCs w:val="22"/>
        </w:rPr>
        <w:t xml:space="preserve">Juridiskais departaments </w:t>
      </w:r>
    </w:p>
    <w:p w:rsidRPr="000C6C1A" w:rsidR="00020056" w:rsidP="00020056" w:rsidRDefault="00020056" w14:paraId="0F8F3266" w14:textId="77777777">
      <w:pPr>
        <w:rPr>
          <w:bCs/>
          <w:sz w:val="22"/>
          <w:szCs w:val="22"/>
        </w:rPr>
      </w:pPr>
      <w:r w:rsidRPr="000C6C1A">
        <w:rPr>
          <w:bCs/>
          <w:sz w:val="22"/>
          <w:szCs w:val="22"/>
        </w:rPr>
        <w:t>Nekustamo īpašumu nodaļas vecākā referente</w:t>
      </w:r>
    </w:p>
    <w:p w:rsidRPr="000C6C1A" w:rsidR="00020056" w:rsidP="00020056" w:rsidRDefault="00020056" w14:paraId="038D1F44" w14:textId="77777777">
      <w:pPr>
        <w:rPr>
          <w:bCs/>
          <w:sz w:val="22"/>
          <w:szCs w:val="22"/>
        </w:rPr>
      </w:pPr>
      <w:r w:rsidRPr="000C6C1A">
        <w:rPr>
          <w:sz w:val="22"/>
          <w:szCs w:val="22"/>
        </w:rPr>
        <w:t xml:space="preserve">67028249, </w:t>
      </w:r>
      <w:smartTag w:uri="urn:schemas-microsoft-com:office:smarttags" w:element="PersonName">
        <w:r w:rsidRPr="000C6C1A">
          <w:rPr>
            <w:sz w:val="22"/>
            <w:szCs w:val="22"/>
          </w:rPr>
          <w:t>anda.dundure@sam.gov.lv</w:t>
        </w:r>
      </w:smartTag>
    </w:p>
    <w:p w:rsidRPr="000C6C1A" w:rsidR="005F3723" w:rsidP="00390339" w:rsidRDefault="005F3723" w14:paraId="2D2820F1" w14:textId="35472595">
      <w:pPr>
        <w:jc w:val="both"/>
      </w:pPr>
    </w:p>
    <w:sectPr w:rsidRPr="000C6C1A" w:rsidR="005F3723" w:rsidSect="002A4998">
      <w:headerReference w:type="even" r:id="rId12"/>
      <w:headerReference w:type="default" r:id="rId13"/>
      <w:footerReference w:type="default" r:id="rId14"/>
      <w:footerReference w:type="first" r:id="rId15"/>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B2317" w14:textId="77777777" w:rsidR="00B40911" w:rsidRDefault="00B40911" w:rsidP="000A531F">
      <w:r>
        <w:separator/>
      </w:r>
    </w:p>
  </w:endnote>
  <w:endnote w:type="continuationSeparator" w:id="0">
    <w:p w14:paraId="6BD1D0A5" w14:textId="77777777" w:rsidR="00B40911" w:rsidRDefault="00B40911"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26F21A58" w:rsidR="00FC51C5" w:rsidRPr="00FC51C5" w:rsidRDefault="008D3595" w:rsidP="00FC51C5">
    <w:pPr>
      <w:jc w:val="both"/>
      <w:rPr>
        <w:bCs/>
        <w:sz w:val="20"/>
        <w:szCs w:val="20"/>
        <w:lang w:eastAsia="ko-KR"/>
      </w:rPr>
    </w:pPr>
    <w:r>
      <w:rPr>
        <w:sz w:val="20"/>
        <w:szCs w:val="20"/>
      </w:rPr>
      <w:t>SMi</w:t>
    </w:r>
    <w:r w:rsidR="00AA30C8">
      <w:rPr>
        <w:sz w:val="20"/>
        <w:szCs w:val="20"/>
      </w:rPr>
      <w:t>zz_</w:t>
    </w:r>
    <w:r w:rsidR="00FD3CF0">
      <w:rPr>
        <w:sz w:val="20"/>
        <w:szCs w:val="20"/>
      </w:rPr>
      <w:t>07</w:t>
    </w:r>
    <w:r w:rsidR="004165C5">
      <w:rPr>
        <w:sz w:val="20"/>
        <w:szCs w:val="20"/>
      </w:rPr>
      <w:t>0</w:t>
    </w:r>
    <w:r w:rsidR="00FD3CF0">
      <w:rPr>
        <w:sz w:val="20"/>
        <w:szCs w:val="20"/>
      </w:rPr>
      <w:t>5</w:t>
    </w:r>
    <w:r w:rsidR="004165C5">
      <w:rPr>
        <w:sz w:val="20"/>
        <w:szCs w:val="20"/>
      </w:rPr>
      <w:t>20</w:t>
    </w:r>
    <w:r w:rsidR="005F437F">
      <w:rPr>
        <w:sz w:val="20"/>
        <w:szCs w:val="20"/>
      </w:rPr>
      <w:t>_</w:t>
    </w:r>
    <w:r w:rsidR="00290A24">
      <w:rPr>
        <w:sz w:val="20"/>
        <w:szCs w:val="20"/>
      </w:rPr>
      <w:t>VSS</w:t>
    </w:r>
    <w:r w:rsidR="00CE6204">
      <w:rPr>
        <w:sz w:val="20"/>
        <w:szCs w:val="20"/>
      </w:rPr>
      <w:t>579</w:t>
    </w:r>
  </w:p>
  <w:p w14:paraId="0E9B010F" w14:textId="77777777" w:rsidR="00013AD7" w:rsidRPr="00570BB9" w:rsidRDefault="004964AE"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41C93217" w:rsidR="00EA4FB1" w:rsidRPr="00FC51C5" w:rsidRDefault="008D3595" w:rsidP="00EA4FB1">
    <w:pPr>
      <w:jc w:val="both"/>
      <w:rPr>
        <w:bCs/>
        <w:sz w:val="20"/>
        <w:szCs w:val="20"/>
        <w:lang w:eastAsia="ko-KR"/>
      </w:rPr>
    </w:pPr>
    <w:r>
      <w:rPr>
        <w:sz w:val="20"/>
        <w:szCs w:val="20"/>
      </w:rPr>
      <w:t>SMi</w:t>
    </w:r>
    <w:r w:rsidR="00E9372F">
      <w:rPr>
        <w:sz w:val="20"/>
        <w:szCs w:val="20"/>
      </w:rPr>
      <w:t>zz_</w:t>
    </w:r>
    <w:r w:rsidR="00FD3CF0">
      <w:rPr>
        <w:sz w:val="20"/>
        <w:szCs w:val="20"/>
      </w:rPr>
      <w:t>07</w:t>
    </w:r>
    <w:r w:rsidR="005C709A">
      <w:rPr>
        <w:sz w:val="20"/>
        <w:szCs w:val="20"/>
      </w:rPr>
      <w:t>0</w:t>
    </w:r>
    <w:r w:rsidR="00FD3CF0">
      <w:rPr>
        <w:sz w:val="20"/>
        <w:szCs w:val="20"/>
      </w:rPr>
      <w:t>5</w:t>
    </w:r>
    <w:r w:rsidR="00AE76EB">
      <w:rPr>
        <w:sz w:val="20"/>
        <w:szCs w:val="20"/>
      </w:rPr>
      <w:t>20</w:t>
    </w:r>
    <w:r w:rsidR="005F437F">
      <w:rPr>
        <w:sz w:val="20"/>
        <w:szCs w:val="20"/>
      </w:rPr>
      <w:t>_</w:t>
    </w:r>
    <w:r w:rsidR="00E15A76">
      <w:rPr>
        <w:sz w:val="20"/>
        <w:szCs w:val="20"/>
      </w:rPr>
      <w:t>VSS</w:t>
    </w:r>
    <w:r w:rsidR="00CE6204">
      <w:rPr>
        <w:sz w:val="20"/>
        <w:szCs w:val="20"/>
      </w:rPr>
      <w:t>579</w:t>
    </w:r>
  </w:p>
  <w:p w14:paraId="71D70F49" w14:textId="77777777" w:rsidR="00E65AF3" w:rsidRPr="00E15A76" w:rsidRDefault="00E65AF3" w:rsidP="00E65AF3">
    <w:pPr>
      <w:jc w:val="both"/>
      <w:rPr>
        <w:bCs/>
        <w:sz w:val="20"/>
        <w:szCs w:val="20"/>
      </w:rPr>
    </w:pPr>
  </w:p>
  <w:p w14:paraId="627254F6" w14:textId="77777777" w:rsidR="00013AD7" w:rsidRPr="0022701B" w:rsidRDefault="004964AE"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61C3F" w14:textId="77777777" w:rsidR="00B40911" w:rsidRDefault="00B40911" w:rsidP="000A531F">
      <w:r>
        <w:separator/>
      </w:r>
    </w:p>
  </w:footnote>
  <w:footnote w:type="continuationSeparator" w:id="0">
    <w:p w14:paraId="6154E31A" w14:textId="77777777" w:rsidR="00B40911" w:rsidRDefault="00B40911"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4964AE"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4964AE"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4BC"/>
    <w:multiLevelType w:val="hybridMultilevel"/>
    <w:tmpl w:val="887C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508F9"/>
    <w:multiLevelType w:val="hybridMultilevel"/>
    <w:tmpl w:val="70C8475C"/>
    <w:lvl w:ilvl="0" w:tplc="FD729C62">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2" w15:restartNumberingAfterBreak="0">
    <w:nsid w:val="1AFC711F"/>
    <w:multiLevelType w:val="hybridMultilevel"/>
    <w:tmpl w:val="C4ACA3C8"/>
    <w:lvl w:ilvl="0" w:tplc="7402163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3CD7453"/>
    <w:multiLevelType w:val="hybridMultilevel"/>
    <w:tmpl w:val="64A20260"/>
    <w:lvl w:ilvl="0" w:tplc="4F90CEF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FD60B9D"/>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912CF"/>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C7B99"/>
    <w:multiLevelType w:val="hybridMultilevel"/>
    <w:tmpl w:val="047A302C"/>
    <w:lvl w:ilvl="0" w:tplc="7B1A3B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13A9E"/>
    <w:rsid w:val="00020056"/>
    <w:rsid w:val="00031A2B"/>
    <w:rsid w:val="00036659"/>
    <w:rsid w:val="0004179C"/>
    <w:rsid w:val="00054FE8"/>
    <w:rsid w:val="0006139E"/>
    <w:rsid w:val="00070584"/>
    <w:rsid w:val="0007084A"/>
    <w:rsid w:val="000A39DD"/>
    <w:rsid w:val="000A531F"/>
    <w:rsid w:val="000B045E"/>
    <w:rsid w:val="000B5ECF"/>
    <w:rsid w:val="000C6C1A"/>
    <w:rsid w:val="000E7C70"/>
    <w:rsid w:val="00120A54"/>
    <w:rsid w:val="0013486B"/>
    <w:rsid w:val="001616A0"/>
    <w:rsid w:val="00161C98"/>
    <w:rsid w:val="00173110"/>
    <w:rsid w:val="001770D4"/>
    <w:rsid w:val="00185895"/>
    <w:rsid w:val="001914B9"/>
    <w:rsid w:val="001B0C1E"/>
    <w:rsid w:val="001B4F15"/>
    <w:rsid w:val="001C60E5"/>
    <w:rsid w:val="001E1A14"/>
    <w:rsid w:val="001E350D"/>
    <w:rsid w:val="001F380D"/>
    <w:rsid w:val="001F5E0D"/>
    <w:rsid w:val="00200F20"/>
    <w:rsid w:val="00203435"/>
    <w:rsid w:val="00212734"/>
    <w:rsid w:val="00212D1C"/>
    <w:rsid w:val="0021388A"/>
    <w:rsid w:val="00214B4E"/>
    <w:rsid w:val="0021718F"/>
    <w:rsid w:val="002230AC"/>
    <w:rsid w:val="00236459"/>
    <w:rsid w:val="00251198"/>
    <w:rsid w:val="00264C2F"/>
    <w:rsid w:val="00270D5D"/>
    <w:rsid w:val="002710B5"/>
    <w:rsid w:val="0027374D"/>
    <w:rsid w:val="00274B83"/>
    <w:rsid w:val="00283C11"/>
    <w:rsid w:val="00287A40"/>
    <w:rsid w:val="00290A24"/>
    <w:rsid w:val="00297E79"/>
    <w:rsid w:val="002C47B5"/>
    <w:rsid w:val="002D3C34"/>
    <w:rsid w:val="002D588B"/>
    <w:rsid w:val="002D7A98"/>
    <w:rsid w:val="002E51C4"/>
    <w:rsid w:val="002F21FE"/>
    <w:rsid w:val="00302611"/>
    <w:rsid w:val="00304936"/>
    <w:rsid w:val="00307E7E"/>
    <w:rsid w:val="003101D8"/>
    <w:rsid w:val="00326543"/>
    <w:rsid w:val="003501C0"/>
    <w:rsid w:val="00380B98"/>
    <w:rsid w:val="00385EC6"/>
    <w:rsid w:val="00390339"/>
    <w:rsid w:val="003C1E3D"/>
    <w:rsid w:val="003D2373"/>
    <w:rsid w:val="003D37F3"/>
    <w:rsid w:val="003E112E"/>
    <w:rsid w:val="004021B9"/>
    <w:rsid w:val="00405454"/>
    <w:rsid w:val="00410ADB"/>
    <w:rsid w:val="00411949"/>
    <w:rsid w:val="004165C5"/>
    <w:rsid w:val="004227B4"/>
    <w:rsid w:val="004273F5"/>
    <w:rsid w:val="00431A7C"/>
    <w:rsid w:val="004401DB"/>
    <w:rsid w:val="00444A47"/>
    <w:rsid w:val="004501FB"/>
    <w:rsid w:val="00453894"/>
    <w:rsid w:val="00457251"/>
    <w:rsid w:val="00474825"/>
    <w:rsid w:val="00483870"/>
    <w:rsid w:val="00485BEE"/>
    <w:rsid w:val="00486CEF"/>
    <w:rsid w:val="00487BCB"/>
    <w:rsid w:val="004911C0"/>
    <w:rsid w:val="00491E1F"/>
    <w:rsid w:val="004964AE"/>
    <w:rsid w:val="0049672C"/>
    <w:rsid w:val="004A3325"/>
    <w:rsid w:val="004A3842"/>
    <w:rsid w:val="004A4217"/>
    <w:rsid w:val="004F4734"/>
    <w:rsid w:val="004F65A9"/>
    <w:rsid w:val="005023AC"/>
    <w:rsid w:val="00511A74"/>
    <w:rsid w:val="00517539"/>
    <w:rsid w:val="00523477"/>
    <w:rsid w:val="0053729A"/>
    <w:rsid w:val="00546049"/>
    <w:rsid w:val="00552EEB"/>
    <w:rsid w:val="00557845"/>
    <w:rsid w:val="00557BA5"/>
    <w:rsid w:val="005617F5"/>
    <w:rsid w:val="00562EF2"/>
    <w:rsid w:val="0057339C"/>
    <w:rsid w:val="005776CA"/>
    <w:rsid w:val="00580CD2"/>
    <w:rsid w:val="00592240"/>
    <w:rsid w:val="005A5CE7"/>
    <w:rsid w:val="005B5C10"/>
    <w:rsid w:val="005C28F5"/>
    <w:rsid w:val="005C29DE"/>
    <w:rsid w:val="005C709A"/>
    <w:rsid w:val="005D403F"/>
    <w:rsid w:val="005F3723"/>
    <w:rsid w:val="005F3CFA"/>
    <w:rsid w:val="005F437F"/>
    <w:rsid w:val="005F4B79"/>
    <w:rsid w:val="00602FC3"/>
    <w:rsid w:val="00606571"/>
    <w:rsid w:val="00640D28"/>
    <w:rsid w:val="006523CA"/>
    <w:rsid w:val="006854E4"/>
    <w:rsid w:val="00693260"/>
    <w:rsid w:val="006B04E7"/>
    <w:rsid w:val="006B3025"/>
    <w:rsid w:val="006C196E"/>
    <w:rsid w:val="006C4AF1"/>
    <w:rsid w:val="006C703C"/>
    <w:rsid w:val="006D534A"/>
    <w:rsid w:val="006D644F"/>
    <w:rsid w:val="006E1F6A"/>
    <w:rsid w:val="006E54CC"/>
    <w:rsid w:val="00705DBC"/>
    <w:rsid w:val="00707579"/>
    <w:rsid w:val="00716F47"/>
    <w:rsid w:val="007210AF"/>
    <w:rsid w:val="0072704D"/>
    <w:rsid w:val="00732176"/>
    <w:rsid w:val="007469D5"/>
    <w:rsid w:val="00757582"/>
    <w:rsid w:val="00761D93"/>
    <w:rsid w:val="00764E51"/>
    <w:rsid w:val="00770AD8"/>
    <w:rsid w:val="00783E6E"/>
    <w:rsid w:val="007A38FD"/>
    <w:rsid w:val="007A67A2"/>
    <w:rsid w:val="007A6F0F"/>
    <w:rsid w:val="007B0C72"/>
    <w:rsid w:val="007B387E"/>
    <w:rsid w:val="007C21FF"/>
    <w:rsid w:val="007C24D1"/>
    <w:rsid w:val="007D3819"/>
    <w:rsid w:val="007E2611"/>
    <w:rsid w:val="007F0A92"/>
    <w:rsid w:val="007F39E0"/>
    <w:rsid w:val="007F5214"/>
    <w:rsid w:val="007F5237"/>
    <w:rsid w:val="007F7190"/>
    <w:rsid w:val="008138C6"/>
    <w:rsid w:val="00824569"/>
    <w:rsid w:val="00840AC1"/>
    <w:rsid w:val="008454B7"/>
    <w:rsid w:val="00845C31"/>
    <w:rsid w:val="00857BEB"/>
    <w:rsid w:val="00861F81"/>
    <w:rsid w:val="00863A75"/>
    <w:rsid w:val="008655DA"/>
    <w:rsid w:val="00887A13"/>
    <w:rsid w:val="0089722D"/>
    <w:rsid w:val="008973CB"/>
    <w:rsid w:val="008A3BA3"/>
    <w:rsid w:val="008B1CF5"/>
    <w:rsid w:val="008C2198"/>
    <w:rsid w:val="008C7596"/>
    <w:rsid w:val="008D3595"/>
    <w:rsid w:val="008D74D3"/>
    <w:rsid w:val="008D7795"/>
    <w:rsid w:val="008E5699"/>
    <w:rsid w:val="0090000D"/>
    <w:rsid w:val="00906110"/>
    <w:rsid w:val="0091003F"/>
    <w:rsid w:val="009214DA"/>
    <w:rsid w:val="00930695"/>
    <w:rsid w:val="00940187"/>
    <w:rsid w:val="0094059F"/>
    <w:rsid w:val="00955F6B"/>
    <w:rsid w:val="009637BC"/>
    <w:rsid w:val="00967A82"/>
    <w:rsid w:val="009702A1"/>
    <w:rsid w:val="00971B02"/>
    <w:rsid w:val="00972C39"/>
    <w:rsid w:val="00974FA1"/>
    <w:rsid w:val="00975516"/>
    <w:rsid w:val="00977DFB"/>
    <w:rsid w:val="009903D9"/>
    <w:rsid w:val="0099571E"/>
    <w:rsid w:val="009A067A"/>
    <w:rsid w:val="009B4AC0"/>
    <w:rsid w:val="009D0DE2"/>
    <w:rsid w:val="009D6B36"/>
    <w:rsid w:val="009E765A"/>
    <w:rsid w:val="009E7D11"/>
    <w:rsid w:val="00A15FF0"/>
    <w:rsid w:val="00A23CC0"/>
    <w:rsid w:val="00A34347"/>
    <w:rsid w:val="00A36F3C"/>
    <w:rsid w:val="00A67E47"/>
    <w:rsid w:val="00A91A94"/>
    <w:rsid w:val="00A95B09"/>
    <w:rsid w:val="00AA30C8"/>
    <w:rsid w:val="00AA4796"/>
    <w:rsid w:val="00AA6CE9"/>
    <w:rsid w:val="00AB2D31"/>
    <w:rsid w:val="00AC59EC"/>
    <w:rsid w:val="00AD0322"/>
    <w:rsid w:val="00AD080E"/>
    <w:rsid w:val="00AD3972"/>
    <w:rsid w:val="00AD6446"/>
    <w:rsid w:val="00AE76EB"/>
    <w:rsid w:val="00AF7C82"/>
    <w:rsid w:val="00B13F24"/>
    <w:rsid w:val="00B14512"/>
    <w:rsid w:val="00B33DAC"/>
    <w:rsid w:val="00B40911"/>
    <w:rsid w:val="00B43775"/>
    <w:rsid w:val="00B44F89"/>
    <w:rsid w:val="00B45DE0"/>
    <w:rsid w:val="00B61ABD"/>
    <w:rsid w:val="00B641E0"/>
    <w:rsid w:val="00B65773"/>
    <w:rsid w:val="00B87422"/>
    <w:rsid w:val="00B90BD6"/>
    <w:rsid w:val="00B93C32"/>
    <w:rsid w:val="00BA5981"/>
    <w:rsid w:val="00BA5B5C"/>
    <w:rsid w:val="00BB085E"/>
    <w:rsid w:val="00BB5CE6"/>
    <w:rsid w:val="00BC0E1F"/>
    <w:rsid w:val="00BC16F0"/>
    <w:rsid w:val="00BC6005"/>
    <w:rsid w:val="00BF46D9"/>
    <w:rsid w:val="00BF56C6"/>
    <w:rsid w:val="00C00E70"/>
    <w:rsid w:val="00C03748"/>
    <w:rsid w:val="00C24317"/>
    <w:rsid w:val="00C319A3"/>
    <w:rsid w:val="00C62357"/>
    <w:rsid w:val="00C708D6"/>
    <w:rsid w:val="00C73711"/>
    <w:rsid w:val="00C759D4"/>
    <w:rsid w:val="00C77313"/>
    <w:rsid w:val="00C80A32"/>
    <w:rsid w:val="00C908F5"/>
    <w:rsid w:val="00CA0484"/>
    <w:rsid w:val="00CA590E"/>
    <w:rsid w:val="00CC0355"/>
    <w:rsid w:val="00CC6A3D"/>
    <w:rsid w:val="00CD3D34"/>
    <w:rsid w:val="00CD59D2"/>
    <w:rsid w:val="00CE6204"/>
    <w:rsid w:val="00CF228A"/>
    <w:rsid w:val="00D058F7"/>
    <w:rsid w:val="00D06CD2"/>
    <w:rsid w:val="00D17E2B"/>
    <w:rsid w:val="00D201AD"/>
    <w:rsid w:val="00D47019"/>
    <w:rsid w:val="00D55FAD"/>
    <w:rsid w:val="00D56DC4"/>
    <w:rsid w:val="00D66F4C"/>
    <w:rsid w:val="00D7217B"/>
    <w:rsid w:val="00D81B3E"/>
    <w:rsid w:val="00D84BD2"/>
    <w:rsid w:val="00DA2FA4"/>
    <w:rsid w:val="00DA5A2A"/>
    <w:rsid w:val="00DC000F"/>
    <w:rsid w:val="00DC002D"/>
    <w:rsid w:val="00DC28A7"/>
    <w:rsid w:val="00DF0CEF"/>
    <w:rsid w:val="00DF3EEC"/>
    <w:rsid w:val="00DF59E7"/>
    <w:rsid w:val="00DF5CFC"/>
    <w:rsid w:val="00E15A76"/>
    <w:rsid w:val="00E33864"/>
    <w:rsid w:val="00E41B15"/>
    <w:rsid w:val="00E44D7D"/>
    <w:rsid w:val="00E51EB0"/>
    <w:rsid w:val="00E638EB"/>
    <w:rsid w:val="00E65AF3"/>
    <w:rsid w:val="00E90C3C"/>
    <w:rsid w:val="00E91805"/>
    <w:rsid w:val="00E9372F"/>
    <w:rsid w:val="00E97C36"/>
    <w:rsid w:val="00EA0FF1"/>
    <w:rsid w:val="00EA19C2"/>
    <w:rsid w:val="00EA2237"/>
    <w:rsid w:val="00EA35D7"/>
    <w:rsid w:val="00EA4FB1"/>
    <w:rsid w:val="00EA5070"/>
    <w:rsid w:val="00EA671E"/>
    <w:rsid w:val="00EB2FCF"/>
    <w:rsid w:val="00EC74F1"/>
    <w:rsid w:val="00ED020A"/>
    <w:rsid w:val="00ED02EA"/>
    <w:rsid w:val="00ED471F"/>
    <w:rsid w:val="00EE477A"/>
    <w:rsid w:val="00EE4B10"/>
    <w:rsid w:val="00EE7A2F"/>
    <w:rsid w:val="00EF21E1"/>
    <w:rsid w:val="00F07B97"/>
    <w:rsid w:val="00F13F94"/>
    <w:rsid w:val="00F34D14"/>
    <w:rsid w:val="00F5533C"/>
    <w:rsid w:val="00F57C7D"/>
    <w:rsid w:val="00F62623"/>
    <w:rsid w:val="00F6335A"/>
    <w:rsid w:val="00F6373F"/>
    <w:rsid w:val="00F77C0F"/>
    <w:rsid w:val="00F87749"/>
    <w:rsid w:val="00FA1CC8"/>
    <w:rsid w:val="00FA2A7F"/>
    <w:rsid w:val="00FC51C5"/>
    <w:rsid w:val="00FD3CF0"/>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4097"/>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A3D"/>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character" w:styleId="Hyperlink">
    <w:name w:val="Hyperlink"/>
    <w:basedOn w:val="DefaultParagraphFont"/>
    <w:uiPriority w:val="99"/>
    <w:unhideWhenUsed/>
    <w:rsid w:val="006E54CC"/>
    <w:rPr>
      <w:color w:val="0000FF" w:themeColor="hyperlink"/>
      <w:u w:val="single"/>
    </w:rPr>
  </w:style>
  <w:style w:type="character" w:styleId="UnresolvedMention">
    <w:name w:val="Unresolved Mention"/>
    <w:basedOn w:val="DefaultParagraphFont"/>
    <w:uiPriority w:val="99"/>
    <w:semiHidden/>
    <w:unhideWhenUsed/>
    <w:rsid w:val="006E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573419607">
      <w:bodyDiv w:val="1"/>
      <w:marLeft w:val="0"/>
      <w:marRight w:val="0"/>
      <w:marTop w:val="0"/>
      <w:marBottom w:val="0"/>
      <w:divBdr>
        <w:top w:val="none" w:sz="0" w:space="0" w:color="auto"/>
        <w:left w:val="none" w:sz="0" w:space="0" w:color="auto"/>
        <w:bottom w:val="none" w:sz="0" w:space="0" w:color="auto"/>
        <w:right w:val="none" w:sz="0" w:space="0" w:color="auto"/>
      </w:divBdr>
    </w:div>
    <w:div w:id="19772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i.mk.gov.lv/img/ccee9fe8-3640-4117-9dcb-b3e6b365b4d7.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01756?&amp;search=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05245?&amp;search=on" TargetMode="External"/><Relationship Id="rId4" Type="http://schemas.openxmlformats.org/officeDocument/2006/relationships/settings" Target="settings.xml"/><Relationship Id="rId9" Type="http://schemas.openxmlformats.org/officeDocument/2006/relationships/hyperlink" Target="https://likumi.lv//ta/id/280197?&amp;search=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E36BB-E7AB-419A-A1E1-74080990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9338</Words>
  <Characters>5323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Par nekustamā īpašuma pirkšanu Eiropas standarta platuma publiskās lietošanas dzelzceļa infrastruktūras līnijas Rail Baltica būvniecības projekta īstenošanai</vt:lpstr>
    </vt:vector>
  </TitlesOfParts>
  <Company>Satiksmes ministrija</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pirkšanu Eiropas standarta platuma publiskās lietošanas dzelzceļa infrastruktūras līnijas Rail Baltica būvniecības projekta īstenošanai</dc:title>
  <dc:subject>izziņa par atzinumos izteiktiem iebildumiem</dc:subject>
  <dc:creator>anda.dundure@sam.gov.lv; 67028249</dc:creator>
  <cp:keywords>MK rīkojuma projekts</cp:keywords>
  <dc:description>anda.dundure@sam.gov.lv; 67028249</dc:description>
  <cp:lastModifiedBy>Baiba Jirgena</cp:lastModifiedBy>
  <cp:revision>4</cp:revision>
  <cp:lastPrinted>2020-04-07T14:00:00Z</cp:lastPrinted>
  <dcterms:created xsi:type="dcterms:W3CDTF">2020-05-15T07:25:00Z</dcterms:created>
  <dcterms:modified xsi:type="dcterms:W3CDTF">2020-05-21T10:55:00Z</dcterms:modified>
</cp:coreProperties>
</file>