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4232" w14:textId="77777777" w:rsidR="007116C7" w:rsidRPr="00712B66" w:rsidRDefault="007116C7" w:rsidP="00DB7395">
      <w:pPr>
        <w:pStyle w:val="naisnod"/>
        <w:spacing w:before="0" w:after="0"/>
        <w:ind w:firstLine="720"/>
        <w:rPr>
          <w:sz w:val="28"/>
          <w:szCs w:val="28"/>
        </w:rPr>
      </w:pPr>
      <w:bookmarkStart w:id="0" w:name="_GoBack"/>
      <w:r w:rsidRPr="00712B66">
        <w:rPr>
          <w:sz w:val="28"/>
          <w:szCs w:val="28"/>
        </w:rPr>
        <w:t>Izziņa par atzinumos sniegtajiem iebildumiem</w:t>
      </w:r>
    </w:p>
    <w:p w14:paraId="672A6659"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66AC179C" w14:textId="77777777">
        <w:trPr>
          <w:jc w:val="center"/>
        </w:trPr>
        <w:tc>
          <w:tcPr>
            <w:tcW w:w="10188" w:type="dxa"/>
            <w:tcBorders>
              <w:bottom w:val="single" w:sz="6" w:space="0" w:color="000000"/>
            </w:tcBorders>
          </w:tcPr>
          <w:p w14:paraId="5856E93B" w14:textId="77777777" w:rsidR="007116C7" w:rsidRPr="00712B66" w:rsidRDefault="004F3F70" w:rsidP="004F3F70">
            <w:pPr>
              <w:ind w:firstLine="720"/>
              <w:jc w:val="center"/>
            </w:pPr>
            <w:r>
              <w:rPr>
                <w:b/>
                <w:bCs/>
                <w:sz w:val="28"/>
                <w:szCs w:val="28"/>
              </w:rPr>
              <w:t>Likumprojekta</w:t>
            </w:r>
            <w:r w:rsidRPr="004E480C">
              <w:rPr>
                <w:b/>
                <w:bCs/>
                <w:sz w:val="28"/>
                <w:szCs w:val="28"/>
              </w:rPr>
              <w:t xml:space="preserve"> “Grozījumi </w:t>
            </w:r>
            <w:r>
              <w:rPr>
                <w:b/>
                <w:bCs/>
                <w:sz w:val="28"/>
                <w:szCs w:val="28"/>
              </w:rPr>
              <w:t>likumā</w:t>
            </w:r>
            <w:r w:rsidRPr="004E480C">
              <w:rPr>
                <w:b/>
                <w:bCs/>
                <w:sz w:val="28"/>
                <w:szCs w:val="28"/>
              </w:rPr>
              <w:t xml:space="preserve"> “</w:t>
            </w:r>
            <w:r>
              <w:rPr>
                <w:b/>
                <w:bCs/>
                <w:sz w:val="28"/>
                <w:szCs w:val="28"/>
              </w:rPr>
              <w:t>Par Piesārņojumu</w:t>
            </w:r>
            <w:r w:rsidRPr="004E480C">
              <w:rPr>
                <w:b/>
                <w:bCs/>
                <w:sz w:val="28"/>
                <w:szCs w:val="28"/>
              </w:rPr>
              <w:t>”” un tā sākotnējās ietekmes novērtējuma ziņojumam (anotācija</w:t>
            </w:r>
            <w:r>
              <w:rPr>
                <w:b/>
                <w:bCs/>
                <w:sz w:val="28"/>
                <w:szCs w:val="28"/>
              </w:rPr>
              <w:t>i</w:t>
            </w:r>
            <w:r w:rsidRPr="004E480C">
              <w:rPr>
                <w:b/>
                <w:bCs/>
                <w:sz w:val="28"/>
                <w:szCs w:val="28"/>
              </w:rPr>
              <w:t>)</w:t>
            </w:r>
          </w:p>
        </w:tc>
      </w:tr>
      <w:bookmarkEnd w:id="0"/>
    </w:tbl>
    <w:p w14:paraId="0A37501D" w14:textId="77777777" w:rsidR="007B4C0F" w:rsidRPr="00712B66" w:rsidRDefault="007B4C0F" w:rsidP="00DB7395">
      <w:pPr>
        <w:pStyle w:val="naisf"/>
        <w:spacing w:before="0" w:after="0"/>
        <w:ind w:firstLine="720"/>
      </w:pPr>
    </w:p>
    <w:p w14:paraId="0D9F7314"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DAB6C7B"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7FCD9C32"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D6E062B"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FF908D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C1B671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849A262"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712B66" w:rsidRDefault="005F4BFD" w:rsidP="00364BB6">
            <w:pPr>
              <w:jc w:val="center"/>
            </w:pPr>
            <w:r w:rsidRPr="00712B66">
              <w:t>Projekta attiecīgā punkta (panta) galīgā redakcija</w:t>
            </w:r>
          </w:p>
        </w:tc>
      </w:tr>
      <w:tr w:rsidR="005F4BFD" w:rsidRPr="008A36C9" w14:paraId="5BCE67E0" w14:textId="77777777">
        <w:tc>
          <w:tcPr>
            <w:tcW w:w="708" w:type="dxa"/>
            <w:tcBorders>
              <w:top w:val="single" w:sz="6" w:space="0" w:color="000000"/>
              <w:left w:val="single" w:sz="6" w:space="0" w:color="000000"/>
              <w:bottom w:val="single" w:sz="6" w:space="0" w:color="000000"/>
              <w:right w:val="single" w:sz="6" w:space="0" w:color="000000"/>
            </w:tcBorders>
          </w:tcPr>
          <w:p w14:paraId="649841BE" w14:textId="77777777" w:rsidR="005F4BFD" w:rsidRPr="00CD031F" w:rsidRDefault="008A36C9" w:rsidP="008A36C9">
            <w:pPr>
              <w:pStyle w:val="naisc"/>
              <w:spacing w:before="0" w:after="0"/>
              <w:rPr>
                <w:color w:val="000000" w:themeColor="text1"/>
                <w:sz w:val="20"/>
                <w:szCs w:val="20"/>
              </w:rPr>
            </w:pPr>
            <w:r w:rsidRPr="00CD031F">
              <w:rPr>
                <w:color w:val="000000" w:themeColor="text1"/>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8F999B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FCD5EC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598DEE6"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8A36C9" w:rsidRDefault="008A36C9" w:rsidP="008A36C9">
            <w:pPr>
              <w:jc w:val="center"/>
              <w:rPr>
                <w:sz w:val="20"/>
                <w:szCs w:val="20"/>
              </w:rPr>
            </w:pPr>
            <w:r w:rsidRPr="008A36C9">
              <w:rPr>
                <w:sz w:val="20"/>
                <w:szCs w:val="20"/>
              </w:rPr>
              <w:t>6</w:t>
            </w:r>
          </w:p>
        </w:tc>
      </w:tr>
      <w:tr w:rsidR="0021040D" w:rsidRPr="00712B66" w14:paraId="02EB378F" w14:textId="77777777">
        <w:tc>
          <w:tcPr>
            <w:tcW w:w="708" w:type="dxa"/>
            <w:tcBorders>
              <w:left w:val="single" w:sz="6" w:space="0" w:color="000000"/>
              <w:bottom w:val="single" w:sz="4" w:space="0" w:color="auto"/>
              <w:right w:val="single" w:sz="6" w:space="0" w:color="000000"/>
            </w:tcBorders>
          </w:tcPr>
          <w:p w14:paraId="6A05A809" w14:textId="7AFD4F16" w:rsidR="0021040D" w:rsidRPr="00CD031F" w:rsidRDefault="0021040D" w:rsidP="006B2DD2"/>
        </w:tc>
        <w:tc>
          <w:tcPr>
            <w:tcW w:w="3086" w:type="dxa"/>
            <w:tcBorders>
              <w:left w:val="single" w:sz="6" w:space="0" w:color="000000"/>
              <w:bottom w:val="single" w:sz="4" w:space="0" w:color="auto"/>
              <w:right w:val="single" w:sz="6" w:space="0" w:color="000000"/>
            </w:tcBorders>
          </w:tcPr>
          <w:p w14:paraId="5A39BBE3" w14:textId="0CEE11DD" w:rsidR="00722E2B" w:rsidRPr="006030D7" w:rsidRDefault="00722E2B" w:rsidP="006B2DD2"/>
        </w:tc>
        <w:tc>
          <w:tcPr>
            <w:tcW w:w="3118" w:type="dxa"/>
            <w:tcBorders>
              <w:left w:val="single" w:sz="6" w:space="0" w:color="000000"/>
              <w:bottom w:val="single" w:sz="4" w:space="0" w:color="auto"/>
              <w:right w:val="single" w:sz="6" w:space="0" w:color="000000"/>
            </w:tcBorders>
          </w:tcPr>
          <w:p w14:paraId="41C8F396" w14:textId="45A785AE" w:rsidR="0021040D" w:rsidRPr="00712B66" w:rsidRDefault="0021040D" w:rsidP="0021040D">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2A3D3EC" w14:textId="74D3BFB0" w:rsidR="0021040D" w:rsidRPr="00712B66" w:rsidRDefault="0021040D" w:rsidP="0021040D">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D0B940D" w14:textId="77777777" w:rsidR="0021040D" w:rsidRPr="00712B66" w:rsidRDefault="0021040D" w:rsidP="0021040D"/>
        </w:tc>
        <w:tc>
          <w:tcPr>
            <w:tcW w:w="1920" w:type="dxa"/>
            <w:tcBorders>
              <w:top w:val="single" w:sz="4" w:space="0" w:color="auto"/>
              <w:left w:val="single" w:sz="4" w:space="0" w:color="auto"/>
              <w:bottom w:val="single" w:sz="4" w:space="0" w:color="auto"/>
            </w:tcBorders>
          </w:tcPr>
          <w:p w14:paraId="0E27B00A" w14:textId="77777777" w:rsidR="0021040D" w:rsidRPr="00712B66" w:rsidRDefault="0021040D" w:rsidP="0021040D"/>
        </w:tc>
      </w:tr>
      <w:tr w:rsidR="0021040D" w:rsidRPr="00712B66" w14:paraId="60061E4C" w14:textId="77777777">
        <w:tc>
          <w:tcPr>
            <w:tcW w:w="708" w:type="dxa"/>
            <w:tcBorders>
              <w:left w:val="single" w:sz="6" w:space="0" w:color="000000"/>
              <w:bottom w:val="single" w:sz="4" w:space="0" w:color="auto"/>
              <w:right w:val="single" w:sz="6" w:space="0" w:color="000000"/>
            </w:tcBorders>
          </w:tcPr>
          <w:p w14:paraId="44EAFD9C" w14:textId="77777777" w:rsidR="0021040D" w:rsidRPr="00CD031F" w:rsidRDefault="0021040D" w:rsidP="0021040D">
            <w:pPr>
              <w:pStyle w:val="naisc"/>
              <w:spacing w:before="0" w:after="0"/>
              <w:ind w:firstLine="720"/>
              <w:rPr>
                <w:color w:val="000000" w:themeColor="text1"/>
              </w:rPr>
            </w:pPr>
          </w:p>
        </w:tc>
        <w:tc>
          <w:tcPr>
            <w:tcW w:w="3086" w:type="dxa"/>
            <w:tcBorders>
              <w:left w:val="single" w:sz="6" w:space="0" w:color="000000"/>
              <w:bottom w:val="single" w:sz="4" w:space="0" w:color="auto"/>
              <w:right w:val="single" w:sz="6" w:space="0" w:color="000000"/>
            </w:tcBorders>
          </w:tcPr>
          <w:p w14:paraId="4B94D5A5" w14:textId="77777777" w:rsidR="0021040D" w:rsidRPr="00712B66" w:rsidRDefault="0021040D" w:rsidP="0021040D">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DEEC669" w14:textId="77777777" w:rsidR="0021040D" w:rsidRPr="00712B66" w:rsidRDefault="0021040D" w:rsidP="0021040D">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656B9AB" w14:textId="77777777" w:rsidR="0021040D" w:rsidRPr="00712B66" w:rsidRDefault="0021040D" w:rsidP="0021040D">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B0818" w14:textId="77777777" w:rsidR="0021040D" w:rsidRPr="00712B66" w:rsidRDefault="0021040D" w:rsidP="0021040D"/>
        </w:tc>
        <w:tc>
          <w:tcPr>
            <w:tcW w:w="1920" w:type="dxa"/>
            <w:tcBorders>
              <w:top w:val="single" w:sz="4" w:space="0" w:color="auto"/>
              <w:left w:val="single" w:sz="4" w:space="0" w:color="auto"/>
              <w:bottom w:val="single" w:sz="4" w:space="0" w:color="auto"/>
              <w:right w:val="single" w:sz="4" w:space="0" w:color="auto"/>
            </w:tcBorders>
          </w:tcPr>
          <w:p w14:paraId="049F31CB" w14:textId="77777777" w:rsidR="0021040D" w:rsidRPr="00712B66" w:rsidRDefault="0021040D" w:rsidP="0021040D"/>
        </w:tc>
      </w:tr>
    </w:tbl>
    <w:p w14:paraId="53128261" w14:textId="77777777" w:rsidR="007B4C0F" w:rsidRPr="00712B66" w:rsidRDefault="007B4C0F" w:rsidP="007B4C0F">
      <w:pPr>
        <w:pStyle w:val="naisf"/>
        <w:spacing w:before="0" w:after="0"/>
        <w:ind w:firstLine="0"/>
      </w:pPr>
    </w:p>
    <w:p w14:paraId="78FDF30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62486C05"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699DBE4A" w14:textId="77777777">
        <w:tc>
          <w:tcPr>
            <w:tcW w:w="6345" w:type="dxa"/>
          </w:tcPr>
          <w:p w14:paraId="4103ABA5"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4101652C" w14:textId="345BBE6E" w:rsidR="007B4C0F" w:rsidRPr="00712B66" w:rsidRDefault="00472FEE" w:rsidP="00472FEE">
            <w:pPr>
              <w:pStyle w:val="NormalWeb"/>
              <w:spacing w:before="0" w:beforeAutospacing="0" w:after="0" w:afterAutospacing="0"/>
            </w:pPr>
            <w:r w:rsidRPr="0028614E">
              <w:t xml:space="preserve">Elektroniskā saskaņošana </w:t>
            </w:r>
            <w:r>
              <w:t>2020</w:t>
            </w:r>
            <w:r w:rsidRPr="006F57BF">
              <w:t xml:space="preserve">. gada </w:t>
            </w:r>
            <w:r>
              <w:t>28. aprīlis</w:t>
            </w:r>
          </w:p>
        </w:tc>
      </w:tr>
      <w:tr w:rsidR="003C27A2" w:rsidRPr="00712B66" w14:paraId="4B99056E" w14:textId="77777777">
        <w:tc>
          <w:tcPr>
            <w:tcW w:w="6345" w:type="dxa"/>
          </w:tcPr>
          <w:p w14:paraId="1299C43A"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4DDBEF00" w14:textId="77777777" w:rsidR="003C27A2" w:rsidRPr="00712B66" w:rsidRDefault="003C27A2" w:rsidP="0036160E">
            <w:pPr>
              <w:pStyle w:val="NormalWeb"/>
              <w:spacing w:before="0" w:beforeAutospacing="0" w:after="0" w:afterAutospacing="0"/>
              <w:ind w:firstLine="720"/>
            </w:pPr>
          </w:p>
        </w:tc>
      </w:tr>
      <w:tr w:rsidR="007B4C0F" w:rsidRPr="00712B66" w14:paraId="1D817C5C" w14:textId="77777777">
        <w:tc>
          <w:tcPr>
            <w:tcW w:w="6345" w:type="dxa"/>
          </w:tcPr>
          <w:p w14:paraId="4CB73FD7"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0E3DE039" w14:textId="187DA78D" w:rsidR="004F3F70" w:rsidRDefault="004F3F70" w:rsidP="004F3F70">
            <w:r w:rsidRPr="0028614E">
              <w:t>Ekonomikas ministrija (</w:t>
            </w:r>
            <w:r>
              <w:t>15.04.2020.</w:t>
            </w:r>
            <w:r w:rsidRPr="0028614E">
              <w:t>)</w:t>
            </w:r>
          </w:p>
          <w:p w14:paraId="2791865E" w14:textId="44E8B865" w:rsidR="001C5026" w:rsidRDefault="001C5026" w:rsidP="004F3F70">
            <w:r>
              <w:t>Latvijas Pašvaldību Savienība (1</w:t>
            </w:r>
            <w:r w:rsidR="00065A97">
              <w:t>5</w:t>
            </w:r>
            <w:r>
              <w:t>.04.</w:t>
            </w:r>
            <w:r w:rsidR="003D4DE0">
              <w:t>2020.)</w:t>
            </w:r>
          </w:p>
          <w:p w14:paraId="6FFE9911" w14:textId="59E6F781" w:rsidR="00FD5A71" w:rsidRDefault="00FD5A71" w:rsidP="004F3F70">
            <w:r>
              <w:t>Aizsardzības ministrija (16.04.2020.)</w:t>
            </w:r>
          </w:p>
          <w:p w14:paraId="0CB1EA15" w14:textId="1865BDDF" w:rsidR="00EA08DB" w:rsidRDefault="00EA08DB" w:rsidP="004F3F70">
            <w:r>
              <w:t>Satiksmes ministrija (17.04.2020.)</w:t>
            </w:r>
          </w:p>
          <w:p w14:paraId="1231C89D" w14:textId="6A0E0902" w:rsidR="00682A14" w:rsidRDefault="00682A14" w:rsidP="004F3F70">
            <w:r>
              <w:t>T</w:t>
            </w:r>
            <w:r w:rsidR="005846A5">
              <w:t>ieslietu ministrija (</w:t>
            </w:r>
            <w:r w:rsidR="005F1D02">
              <w:t>20</w:t>
            </w:r>
            <w:r w:rsidR="005846A5">
              <w:t>.04.2020.)</w:t>
            </w:r>
          </w:p>
          <w:p w14:paraId="377C711C" w14:textId="7409DC31" w:rsidR="001B2AA0" w:rsidRDefault="001B2AA0" w:rsidP="004F3F70">
            <w:r>
              <w:t>Latvijas Lielo pilsētu asociācija (21.04.2020.)</w:t>
            </w:r>
          </w:p>
          <w:p w14:paraId="12B13E27" w14:textId="5241BC1A" w:rsidR="00472FEE" w:rsidRDefault="00472FEE" w:rsidP="004F3F70">
            <w:r>
              <w:t>Finanšu ministrija (27.04.2020.)</w:t>
            </w:r>
          </w:p>
          <w:p w14:paraId="3EA56265" w14:textId="6C39A614" w:rsidR="00472FEE" w:rsidRDefault="00472FEE" w:rsidP="004F3F70">
            <w:r>
              <w:t>Ekonomikas ministrija (30.04.2020.)</w:t>
            </w:r>
          </w:p>
          <w:p w14:paraId="69BC8DC3" w14:textId="2374F40F" w:rsidR="00472FEE" w:rsidRDefault="00472FEE" w:rsidP="004F3F70">
            <w:r>
              <w:t>Latvijas Pašvaldību Savienība</w:t>
            </w:r>
            <w:r w:rsidR="00065A97">
              <w:t xml:space="preserve"> (05.05.2020.)</w:t>
            </w:r>
          </w:p>
          <w:p w14:paraId="30F48DB0" w14:textId="66F7B68F" w:rsidR="00472FEE" w:rsidRDefault="00472FEE" w:rsidP="004F3F70">
            <w:r>
              <w:t>Latvijas Lielo pilsētu asociācija (07.05.2020.)</w:t>
            </w:r>
          </w:p>
          <w:p w14:paraId="778AA70A" w14:textId="48237333" w:rsidR="00472FEE" w:rsidRDefault="00472FEE" w:rsidP="004F3F70">
            <w:r>
              <w:t>Satiksmes ministrija (07.05.2020.)</w:t>
            </w:r>
          </w:p>
          <w:p w14:paraId="28E9DEE4" w14:textId="5EAEC6EE" w:rsidR="00656911" w:rsidRDefault="00656911" w:rsidP="004F3F70">
            <w:r>
              <w:lastRenderedPageBreak/>
              <w:t>Finanšu ministrija (07.05.2020.)</w:t>
            </w:r>
          </w:p>
          <w:p w14:paraId="118EF16C" w14:textId="4E4A65E9" w:rsidR="000205D8" w:rsidRDefault="000205D8" w:rsidP="004F3F70">
            <w:r>
              <w:t>Tieslietu ministrija (08.05.2020.)</w:t>
            </w:r>
          </w:p>
          <w:p w14:paraId="3461D779" w14:textId="77BBB7E4" w:rsidR="007B4C0F" w:rsidRPr="00712B66" w:rsidRDefault="007B4C0F" w:rsidP="0036160E">
            <w:pPr>
              <w:pStyle w:val="NormalWeb"/>
              <w:spacing w:before="0" w:beforeAutospacing="0" w:after="0" w:afterAutospacing="0"/>
              <w:ind w:firstLine="720"/>
            </w:pPr>
          </w:p>
        </w:tc>
      </w:tr>
      <w:tr w:rsidR="007B4C0F" w:rsidRPr="00712B66" w14:paraId="4D17554C" w14:textId="77777777">
        <w:tc>
          <w:tcPr>
            <w:tcW w:w="6345" w:type="dxa"/>
          </w:tcPr>
          <w:p w14:paraId="63D9C952" w14:textId="01976037" w:rsidR="007B4C0F" w:rsidRPr="00712B66" w:rsidRDefault="007B4C0F" w:rsidP="0036160E">
            <w:pPr>
              <w:pStyle w:val="naiskr"/>
              <w:spacing w:before="0" w:after="0"/>
              <w:ind w:firstLine="720"/>
            </w:pPr>
            <w:r w:rsidRPr="00712B66">
              <w:lastRenderedPageBreak/>
              <w:t>  </w:t>
            </w:r>
          </w:p>
        </w:tc>
        <w:tc>
          <w:tcPr>
            <w:tcW w:w="6237" w:type="dxa"/>
            <w:gridSpan w:val="2"/>
            <w:tcBorders>
              <w:top w:val="single" w:sz="6" w:space="0" w:color="000000"/>
              <w:bottom w:val="single" w:sz="6" w:space="0" w:color="000000"/>
            </w:tcBorders>
          </w:tcPr>
          <w:p w14:paraId="3CF2D8B6" w14:textId="77777777" w:rsidR="007B4C0F" w:rsidRPr="00712B66" w:rsidRDefault="007B4C0F" w:rsidP="0036160E">
            <w:pPr>
              <w:pStyle w:val="naiskr"/>
              <w:spacing w:before="0" w:after="0"/>
              <w:ind w:firstLine="720"/>
            </w:pPr>
          </w:p>
        </w:tc>
      </w:tr>
      <w:tr w:rsidR="000D0AED" w:rsidRPr="00712B66" w14:paraId="0FB78278" w14:textId="77777777">
        <w:trPr>
          <w:trHeight w:val="285"/>
        </w:trPr>
        <w:tc>
          <w:tcPr>
            <w:tcW w:w="6345" w:type="dxa"/>
          </w:tcPr>
          <w:p w14:paraId="1FC39945" w14:textId="77777777" w:rsidR="000D0AED" w:rsidRPr="00712B66" w:rsidRDefault="000D0AED" w:rsidP="000D0AED">
            <w:pPr>
              <w:pStyle w:val="naiskr"/>
              <w:spacing w:before="0" w:after="0"/>
            </w:pPr>
          </w:p>
        </w:tc>
        <w:tc>
          <w:tcPr>
            <w:tcW w:w="1203" w:type="dxa"/>
          </w:tcPr>
          <w:p w14:paraId="0562CB0E" w14:textId="77777777" w:rsidR="000D0AED" w:rsidRPr="00712B66" w:rsidRDefault="000D0AED" w:rsidP="0036160E">
            <w:pPr>
              <w:pStyle w:val="naiskr"/>
              <w:spacing w:before="0" w:after="0"/>
              <w:ind w:firstLine="720"/>
            </w:pPr>
          </w:p>
        </w:tc>
        <w:tc>
          <w:tcPr>
            <w:tcW w:w="5034" w:type="dxa"/>
          </w:tcPr>
          <w:p w14:paraId="34CE0A41" w14:textId="77777777" w:rsidR="000D0AED" w:rsidRPr="00712B66" w:rsidRDefault="000D0AED" w:rsidP="0036160E">
            <w:pPr>
              <w:pStyle w:val="naiskr"/>
              <w:spacing w:before="0" w:after="0"/>
              <w:ind w:firstLine="12"/>
            </w:pPr>
          </w:p>
        </w:tc>
      </w:tr>
    </w:tbl>
    <w:p w14:paraId="62EBF3C5" w14:textId="272D3343" w:rsidR="008A36C9" w:rsidRDefault="008A36C9"/>
    <w:tbl>
      <w:tblPr>
        <w:tblW w:w="12616" w:type="dxa"/>
        <w:tblLook w:val="00A0" w:firstRow="1" w:lastRow="0" w:firstColumn="1" w:lastColumn="0" w:noHBand="0" w:noVBand="0"/>
      </w:tblPr>
      <w:tblGrid>
        <w:gridCol w:w="6379"/>
        <w:gridCol w:w="654"/>
        <w:gridCol w:w="5238"/>
        <w:gridCol w:w="345"/>
      </w:tblGrid>
      <w:tr w:rsidR="00570028" w:rsidRPr="00712B66" w14:paraId="180470DE" w14:textId="77777777" w:rsidTr="00570028">
        <w:trPr>
          <w:trHeight w:val="285"/>
        </w:trPr>
        <w:tc>
          <w:tcPr>
            <w:tcW w:w="6379" w:type="dxa"/>
          </w:tcPr>
          <w:p w14:paraId="17565671"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654" w:type="dxa"/>
          </w:tcPr>
          <w:p w14:paraId="6D98A12B" w14:textId="77777777" w:rsidR="007B4C0F" w:rsidRPr="00712B66" w:rsidRDefault="007B4C0F" w:rsidP="0036160E">
            <w:pPr>
              <w:pStyle w:val="naiskr"/>
              <w:spacing w:before="0" w:after="0"/>
              <w:ind w:firstLine="720"/>
            </w:pPr>
          </w:p>
        </w:tc>
        <w:tc>
          <w:tcPr>
            <w:tcW w:w="5583" w:type="dxa"/>
            <w:gridSpan w:val="2"/>
          </w:tcPr>
          <w:p w14:paraId="2946DB82" w14:textId="77777777" w:rsidR="007B4C0F" w:rsidRPr="00712B66" w:rsidRDefault="007B4C0F" w:rsidP="0036160E">
            <w:pPr>
              <w:pStyle w:val="naiskr"/>
              <w:spacing w:before="0" w:after="0"/>
              <w:ind w:firstLine="12"/>
            </w:pPr>
          </w:p>
        </w:tc>
      </w:tr>
      <w:tr w:rsidR="00570028" w:rsidRPr="00712B66" w14:paraId="68FA2DFE" w14:textId="77777777" w:rsidTr="00570028">
        <w:trPr>
          <w:trHeight w:val="465"/>
        </w:trPr>
        <w:tc>
          <w:tcPr>
            <w:tcW w:w="6379" w:type="dxa"/>
          </w:tcPr>
          <w:p w14:paraId="1EC148DA" w14:textId="77777777" w:rsidR="003C27A2" w:rsidRPr="00712B66" w:rsidRDefault="003C27A2"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5997CC1D" w14:textId="77777777" w:rsidR="003C27A2" w:rsidRPr="00712B66" w:rsidRDefault="003C27A2" w:rsidP="0036160E">
            <w:pPr>
              <w:pStyle w:val="NormalWeb"/>
              <w:spacing w:before="0" w:beforeAutospacing="0" w:after="0" w:afterAutospacing="0"/>
              <w:ind w:firstLine="720"/>
            </w:pPr>
          </w:p>
        </w:tc>
      </w:tr>
      <w:tr w:rsidR="00570028" w:rsidRPr="00712B66" w14:paraId="110FFD37" w14:textId="77777777" w:rsidTr="00570028">
        <w:trPr>
          <w:gridAfter w:val="1"/>
          <w:wAfter w:w="345" w:type="dxa"/>
          <w:trHeight w:val="465"/>
        </w:trPr>
        <w:tc>
          <w:tcPr>
            <w:tcW w:w="12271" w:type="dxa"/>
            <w:gridSpan w:val="3"/>
          </w:tcPr>
          <w:p w14:paraId="6B699379" w14:textId="77777777" w:rsidR="007B4C0F" w:rsidRPr="00712B66" w:rsidRDefault="007B4C0F" w:rsidP="003C27A2">
            <w:pPr>
              <w:pStyle w:val="naisc"/>
              <w:spacing w:before="0" w:after="0"/>
              <w:ind w:left="4820" w:firstLine="720"/>
            </w:pPr>
          </w:p>
        </w:tc>
      </w:tr>
      <w:tr w:rsidR="00570028" w:rsidRPr="00712B66" w14:paraId="315657D9" w14:textId="77777777" w:rsidTr="00570028">
        <w:tc>
          <w:tcPr>
            <w:tcW w:w="6379" w:type="dxa"/>
          </w:tcPr>
          <w:p w14:paraId="551CF35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37" w:type="dxa"/>
            <w:gridSpan w:val="3"/>
          </w:tcPr>
          <w:p w14:paraId="3FE9F23F" w14:textId="77777777" w:rsidR="007B4C0F" w:rsidRPr="00712B66" w:rsidRDefault="007B4C0F" w:rsidP="0036160E">
            <w:pPr>
              <w:pStyle w:val="naiskr"/>
              <w:spacing w:before="0" w:after="0"/>
              <w:ind w:firstLine="720"/>
            </w:pPr>
          </w:p>
        </w:tc>
      </w:tr>
      <w:tr w:rsidR="00570028" w:rsidRPr="00712B66" w14:paraId="15697AC1" w14:textId="77777777" w:rsidTr="00570028">
        <w:tc>
          <w:tcPr>
            <w:tcW w:w="6379" w:type="dxa"/>
          </w:tcPr>
          <w:p w14:paraId="30E8012D"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1F72F646" w14:textId="77777777" w:rsidR="007B4C0F" w:rsidRPr="00712B66" w:rsidRDefault="007B4C0F" w:rsidP="0036160E">
            <w:pPr>
              <w:pStyle w:val="naiskr"/>
              <w:spacing w:before="0" w:after="0"/>
              <w:ind w:firstLine="720"/>
            </w:pPr>
          </w:p>
        </w:tc>
      </w:tr>
      <w:tr w:rsidR="00570028" w:rsidRPr="00712B66" w14:paraId="2FD26760" w14:textId="77777777" w:rsidTr="00570028">
        <w:tc>
          <w:tcPr>
            <w:tcW w:w="6379" w:type="dxa"/>
          </w:tcPr>
          <w:p w14:paraId="70F52DA7" w14:textId="77777777" w:rsidR="007B4C0F" w:rsidRPr="00712B66" w:rsidRDefault="007B4C0F" w:rsidP="0036160E">
            <w:pPr>
              <w:pStyle w:val="naiskr"/>
              <w:spacing w:before="0" w:after="0"/>
              <w:ind w:firstLine="720"/>
            </w:pPr>
            <w:r w:rsidRPr="00712B66">
              <w:t>  </w:t>
            </w:r>
          </w:p>
        </w:tc>
        <w:tc>
          <w:tcPr>
            <w:tcW w:w="6237" w:type="dxa"/>
            <w:gridSpan w:val="3"/>
            <w:tcBorders>
              <w:bottom w:val="single" w:sz="6" w:space="0" w:color="000000"/>
            </w:tcBorders>
          </w:tcPr>
          <w:p w14:paraId="08CE6F91" w14:textId="77777777" w:rsidR="007B4C0F" w:rsidRPr="00712B66" w:rsidRDefault="007B4C0F" w:rsidP="0036160E">
            <w:pPr>
              <w:pStyle w:val="naiskr"/>
              <w:spacing w:before="0" w:after="0"/>
              <w:ind w:firstLine="720"/>
            </w:pPr>
          </w:p>
        </w:tc>
      </w:tr>
    </w:tbl>
    <w:p w14:paraId="61CDCEAD" w14:textId="77BAA436" w:rsidR="00683081" w:rsidRDefault="00683081" w:rsidP="00683081">
      <w:pPr>
        <w:pStyle w:val="naisf"/>
        <w:spacing w:before="0" w:after="0"/>
        <w:ind w:firstLine="720"/>
      </w:pPr>
    </w:p>
    <w:p w14:paraId="4E3AA706" w14:textId="77777777" w:rsidR="00DB628C" w:rsidRPr="00712B66" w:rsidRDefault="00DB628C" w:rsidP="00683081">
      <w:pPr>
        <w:pStyle w:val="naisf"/>
        <w:spacing w:before="0" w:after="0"/>
        <w:ind w:firstLine="720"/>
      </w:pPr>
    </w:p>
    <w:p w14:paraId="11D5340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BB9E253"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3465"/>
        <w:gridCol w:w="3339"/>
      </w:tblGrid>
      <w:tr w:rsidR="00134188" w:rsidRPr="00712B66" w14:paraId="485BFFB8" w14:textId="77777777" w:rsidTr="4B600882">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134188" w:rsidRPr="00712B66" w:rsidRDefault="00134188" w:rsidP="009623BC">
            <w:pPr>
              <w:pStyle w:val="naisc"/>
              <w:spacing w:before="0" w:after="0"/>
            </w:pPr>
            <w:r w:rsidRPr="00712B66">
              <w:t>Nr. p.</w:t>
            </w:r>
            <w:r w:rsidR="00D64FB0">
              <w:t> </w:t>
            </w:r>
            <w:r w:rsidRPr="00712B66">
              <w:t>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339" w:type="dxa"/>
            <w:tcBorders>
              <w:top w:val="single" w:sz="4" w:space="0" w:color="auto"/>
              <w:left w:val="single" w:sz="4" w:space="0" w:color="auto"/>
              <w:bottom w:val="single" w:sz="4" w:space="0" w:color="auto"/>
            </w:tcBorders>
            <w:vAlign w:val="center"/>
          </w:tcPr>
          <w:p w14:paraId="238BA930" w14:textId="77777777" w:rsidR="00134188" w:rsidRPr="00712B66" w:rsidRDefault="00134188" w:rsidP="009623BC">
            <w:pPr>
              <w:jc w:val="center"/>
            </w:pPr>
            <w:r w:rsidRPr="00712B66">
              <w:t>Projekta attiecīgā punkta (panta) galīgā redakcija</w:t>
            </w:r>
          </w:p>
        </w:tc>
      </w:tr>
      <w:tr w:rsidR="00134188" w:rsidRPr="003B71E0" w14:paraId="226C25EF" w14:textId="77777777" w:rsidTr="4B600882">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3B71E0" w:rsidRDefault="003B71E0" w:rsidP="003B71E0">
            <w:pPr>
              <w:pStyle w:val="naisc"/>
              <w:spacing w:before="0" w:after="0"/>
              <w:rPr>
                <w:sz w:val="20"/>
                <w:szCs w:val="20"/>
              </w:rPr>
            </w:pPr>
            <w:r w:rsidRPr="003B71E0">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339" w:type="dxa"/>
            <w:tcBorders>
              <w:top w:val="single" w:sz="4" w:space="0" w:color="auto"/>
              <w:left w:val="single" w:sz="4" w:space="0" w:color="auto"/>
              <w:bottom w:val="single" w:sz="4" w:space="0" w:color="auto"/>
            </w:tcBorders>
          </w:tcPr>
          <w:p w14:paraId="44240AAE" w14:textId="77777777" w:rsidR="00134188" w:rsidRPr="003B71E0" w:rsidRDefault="003B71E0" w:rsidP="003B71E0">
            <w:pPr>
              <w:jc w:val="center"/>
              <w:rPr>
                <w:sz w:val="20"/>
                <w:szCs w:val="20"/>
              </w:rPr>
            </w:pPr>
            <w:r w:rsidRPr="003B71E0">
              <w:rPr>
                <w:sz w:val="20"/>
                <w:szCs w:val="20"/>
              </w:rPr>
              <w:t>5</w:t>
            </w:r>
          </w:p>
        </w:tc>
      </w:tr>
      <w:tr w:rsidR="00134188" w:rsidRPr="00712B66" w14:paraId="71F69634" w14:textId="77777777" w:rsidTr="4B600882">
        <w:tc>
          <w:tcPr>
            <w:tcW w:w="708" w:type="dxa"/>
            <w:tcBorders>
              <w:left w:val="single" w:sz="6" w:space="0" w:color="000000" w:themeColor="text1"/>
              <w:bottom w:val="single" w:sz="4" w:space="0" w:color="auto"/>
              <w:right w:val="single" w:sz="6" w:space="0" w:color="000000" w:themeColor="text1"/>
            </w:tcBorders>
          </w:tcPr>
          <w:p w14:paraId="6B7135B9" w14:textId="77777777" w:rsidR="00134188" w:rsidRPr="00712B66" w:rsidRDefault="004F3F70" w:rsidP="004F3F70">
            <w:pPr>
              <w:pStyle w:val="naisc"/>
              <w:spacing w:before="0" w:after="0"/>
              <w:ind w:firstLine="720"/>
            </w:pPr>
            <w:r>
              <w:t>11.</w:t>
            </w:r>
          </w:p>
        </w:tc>
        <w:tc>
          <w:tcPr>
            <w:tcW w:w="3086" w:type="dxa"/>
            <w:tcBorders>
              <w:left w:val="single" w:sz="6" w:space="0" w:color="000000" w:themeColor="text1"/>
              <w:bottom w:val="single" w:sz="4" w:space="0" w:color="auto"/>
              <w:right w:val="single" w:sz="6" w:space="0" w:color="000000" w:themeColor="text1"/>
            </w:tcBorders>
          </w:tcPr>
          <w:p w14:paraId="4D1DCFAF" w14:textId="77777777" w:rsidR="00711B3D" w:rsidRPr="004C46C7" w:rsidRDefault="004F3F70" w:rsidP="00DB628C">
            <w:pPr>
              <w:contextualSpacing/>
              <w:jc w:val="both"/>
              <w:rPr>
                <w:b/>
              </w:rPr>
            </w:pPr>
            <w:r w:rsidRPr="004C46C7">
              <w:rPr>
                <w:b/>
              </w:rPr>
              <w:t>Likumprojekta 2. pants</w:t>
            </w:r>
            <w:r w:rsidR="00711B3D" w:rsidRPr="004C46C7">
              <w:rPr>
                <w:b/>
              </w:rPr>
              <w:t>:</w:t>
            </w:r>
          </w:p>
          <w:p w14:paraId="7C5C25A1" w14:textId="77777777" w:rsidR="004C46C7" w:rsidRDefault="004C46C7" w:rsidP="00DB628C">
            <w:pPr>
              <w:pStyle w:val="CommentText"/>
              <w:contextualSpacing/>
              <w:jc w:val="both"/>
              <w:rPr>
                <w:sz w:val="24"/>
                <w:szCs w:val="24"/>
              </w:rPr>
            </w:pPr>
          </w:p>
          <w:p w14:paraId="4AAD8193" w14:textId="4A10AA25" w:rsidR="004C46C7" w:rsidRPr="004C46C7" w:rsidRDefault="004C46C7" w:rsidP="00DB628C">
            <w:pPr>
              <w:pStyle w:val="CommentText"/>
              <w:contextualSpacing/>
              <w:jc w:val="both"/>
              <w:rPr>
                <w:sz w:val="24"/>
                <w:szCs w:val="24"/>
              </w:rPr>
            </w:pPr>
            <w:r w:rsidRPr="004C46C7">
              <w:rPr>
                <w:sz w:val="24"/>
                <w:szCs w:val="24"/>
              </w:rPr>
              <w:t>“(2) Emisijas kvotas derīgums ir atkarīgs no tā izdošanas perioda:</w:t>
            </w:r>
          </w:p>
          <w:p w14:paraId="7D50BDA3" w14:textId="77777777" w:rsidR="004C46C7" w:rsidRPr="004C46C7" w:rsidRDefault="004C46C7" w:rsidP="00DB628C">
            <w:pPr>
              <w:pStyle w:val="CommentText"/>
              <w:contextualSpacing/>
              <w:jc w:val="both"/>
              <w:rPr>
                <w:sz w:val="24"/>
                <w:szCs w:val="24"/>
              </w:rPr>
            </w:pPr>
            <w:r w:rsidRPr="004C46C7">
              <w:rPr>
                <w:sz w:val="24"/>
                <w:szCs w:val="24"/>
              </w:rPr>
              <w:lastRenderedPageBreak/>
              <w:t>1) 32.</w:t>
            </w:r>
            <w:r w:rsidRPr="004C46C7">
              <w:rPr>
                <w:sz w:val="24"/>
                <w:szCs w:val="24"/>
                <w:vertAlign w:val="superscript"/>
              </w:rPr>
              <w:t>2</w:t>
            </w:r>
            <w:r w:rsidRPr="004C46C7">
              <w:rPr>
                <w:sz w:val="24"/>
                <w:szCs w:val="24"/>
              </w:rPr>
              <w:t xml:space="preserve"> panta 1.</w:t>
            </w:r>
            <w:r w:rsidRPr="004C46C7">
              <w:rPr>
                <w:sz w:val="24"/>
                <w:szCs w:val="24"/>
                <w:vertAlign w:val="superscript"/>
              </w:rPr>
              <w:t>1</w:t>
            </w:r>
            <w:r w:rsidRPr="004C46C7">
              <w:rPr>
                <w:sz w:val="24"/>
                <w:szCs w:val="24"/>
              </w:rPr>
              <w:t xml:space="preserve"> daļas 3. punktā noteiktā perioda laikā izdotās kvotas ir beztermiņa;</w:t>
            </w:r>
          </w:p>
          <w:p w14:paraId="1D88233B" w14:textId="77777777" w:rsidR="004C46C7" w:rsidRPr="004C46C7" w:rsidRDefault="004C46C7" w:rsidP="00DB628C">
            <w:pPr>
              <w:pStyle w:val="CommentText"/>
              <w:contextualSpacing/>
              <w:jc w:val="both"/>
              <w:rPr>
                <w:sz w:val="24"/>
                <w:szCs w:val="24"/>
              </w:rPr>
            </w:pPr>
            <w:r w:rsidRPr="004C46C7">
              <w:rPr>
                <w:sz w:val="24"/>
                <w:szCs w:val="24"/>
              </w:rPr>
              <w:t>2) 32.</w:t>
            </w:r>
            <w:r w:rsidRPr="004C46C7">
              <w:rPr>
                <w:sz w:val="24"/>
                <w:szCs w:val="24"/>
                <w:vertAlign w:val="superscript"/>
              </w:rPr>
              <w:t>2</w:t>
            </w:r>
            <w:r w:rsidRPr="004C46C7">
              <w:rPr>
                <w:sz w:val="24"/>
                <w:szCs w:val="24"/>
              </w:rPr>
              <w:t xml:space="preserve"> panta 1.</w:t>
            </w:r>
            <w:r w:rsidRPr="004C46C7">
              <w:rPr>
                <w:sz w:val="24"/>
                <w:szCs w:val="24"/>
                <w:vertAlign w:val="superscript"/>
              </w:rPr>
              <w:t>1</w:t>
            </w:r>
            <w:r w:rsidRPr="004C46C7">
              <w:rPr>
                <w:sz w:val="24"/>
                <w:szCs w:val="24"/>
              </w:rPr>
              <w:t xml:space="preserve"> daļas 4. punktā noteiktā perioda laikā izdotās kvotas ir derīgas tajos 10 kalendārajos gados, kuros tās ir izdotas.”.</w:t>
            </w:r>
          </w:p>
          <w:p w14:paraId="07A40184" w14:textId="77777777" w:rsidR="00711B3D" w:rsidRPr="004C46C7" w:rsidRDefault="00711B3D" w:rsidP="00DB628C">
            <w:pPr>
              <w:contextualSpacing/>
              <w:jc w:val="both"/>
              <w:rPr>
                <w:b/>
              </w:rPr>
            </w:pPr>
          </w:p>
          <w:p w14:paraId="2E9046B8" w14:textId="63CF4005" w:rsidR="004F3F70" w:rsidRDefault="00E04E45" w:rsidP="00DB628C">
            <w:pPr>
              <w:contextualSpacing/>
              <w:jc w:val="both"/>
              <w:rPr>
                <w:b/>
              </w:rPr>
            </w:pPr>
            <w:r>
              <w:rPr>
                <w:b/>
              </w:rPr>
              <w:t>Likumprojekta</w:t>
            </w:r>
            <w:r w:rsidR="004F3F70" w:rsidRPr="004C46C7">
              <w:rPr>
                <w:b/>
              </w:rPr>
              <w:t xml:space="preserve"> anotācijas </w:t>
            </w:r>
            <w:r w:rsidR="004F3F70" w:rsidRPr="00E04E45">
              <w:rPr>
                <w:b/>
              </w:rPr>
              <w:t>I</w:t>
            </w:r>
            <w:r>
              <w:rPr>
                <w:b/>
              </w:rPr>
              <w:t> </w:t>
            </w:r>
            <w:r w:rsidR="004F3F70" w:rsidRPr="00E04E45">
              <w:rPr>
                <w:b/>
              </w:rPr>
              <w:t>sadaļas 2. punkt</w:t>
            </w:r>
            <w:r w:rsidR="007E3347">
              <w:rPr>
                <w:b/>
              </w:rPr>
              <w:t>a sadaļa</w:t>
            </w:r>
            <w:r w:rsidR="004F3F70" w:rsidRPr="00E04E45">
              <w:rPr>
                <w:b/>
              </w:rPr>
              <w:t>:</w:t>
            </w:r>
          </w:p>
          <w:p w14:paraId="50E42AAB" w14:textId="73321099" w:rsidR="002174C4" w:rsidRPr="002174C4" w:rsidRDefault="002174C4" w:rsidP="00DB628C">
            <w:pPr>
              <w:contextualSpacing/>
              <w:jc w:val="both"/>
              <w:rPr>
                <w:iCs/>
              </w:rPr>
            </w:pPr>
            <w:r>
              <w:rPr>
                <w:iCs/>
              </w:rPr>
              <w:t xml:space="preserve">“Šobrīd emisijas kvotas, kas tika piešķirtas, sākot ar 2013. gada 1. janvāri, balstoties uz Latvijas normatīvo regulējumu, ir derīgas astoņu gadu ilgos periodos. Šis derīguma termiņš tika noteikts ar 2009. gada 23. aprīļa </w:t>
            </w:r>
            <w:r w:rsidRPr="00AA59DE">
              <w:rPr>
                <w:iCs/>
              </w:rPr>
              <w:t xml:space="preserve">Eiropas Parlamenta </w:t>
            </w:r>
            <w:r>
              <w:rPr>
                <w:iCs/>
              </w:rPr>
              <w:t xml:space="preserve">un Padomes Direktīvu 2009/29/EK, </w:t>
            </w:r>
            <w:r w:rsidRPr="00AA59DE">
              <w:rPr>
                <w:iCs/>
              </w:rPr>
              <w:t>ar ko Direktīvu 2003/87/EK groza, lai uzlabotu un paplašinātu Kopienas siltumnīcas efektu izraisošo gāzu emisiju kvotu tirdzniecības sistēmu</w:t>
            </w:r>
            <w:r>
              <w:rPr>
                <w:iCs/>
              </w:rPr>
              <w:t xml:space="preserve">. Direktīva 2018/410 noteica jaunu emisijas kvotu derīgumu termiņu, gan ES ETS 3. periodam, gan periodiem, kas sekos. </w:t>
            </w:r>
            <w:r>
              <w:rPr>
                <w:iCs/>
              </w:rPr>
              <w:lastRenderedPageBreak/>
              <w:t>Balstoties uz izmaiņām emisijas kvotu derīguma termiņos, kas tika veiktas ar Direktīvu 2018/410, emisijas kvotas, kas tika piešķirtas, sākot ar 2013. gada 1. janvāri, ir beztermiņa, un ES ETS ceturtajā periodā izsniegtās emisijas kvotas būs derīgas tikai uz noteikto</w:t>
            </w:r>
            <w:r w:rsidRPr="00013F85">
              <w:rPr>
                <w:b/>
                <w:iCs/>
              </w:rPr>
              <w:t xml:space="preserve"> -</w:t>
            </w:r>
            <w:r>
              <w:rPr>
                <w:iCs/>
              </w:rPr>
              <w:t xml:space="preserve"> desmit gadu periodu.”</w:t>
            </w:r>
          </w:p>
          <w:p w14:paraId="6E8C6065" w14:textId="77777777" w:rsidR="00E04E45" w:rsidRPr="004C46C7" w:rsidRDefault="00E04E45" w:rsidP="00DB628C">
            <w:pPr>
              <w:contextualSpacing/>
              <w:jc w:val="both"/>
              <w:rPr>
                <w:b/>
              </w:rPr>
            </w:pPr>
          </w:p>
          <w:p w14:paraId="23DE523C" w14:textId="77777777" w:rsidR="00134188" w:rsidRPr="004C46C7" w:rsidRDefault="00134188" w:rsidP="00DB628C">
            <w:pPr>
              <w:pStyle w:val="naisc"/>
              <w:spacing w:before="0" w:after="0"/>
              <w:ind w:firstLine="720"/>
              <w:contextualSpacing/>
              <w:jc w:val="both"/>
            </w:pPr>
          </w:p>
        </w:tc>
        <w:tc>
          <w:tcPr>
            <w:tcW w:w="4394" w:type="dxa"/>
            <w:tcBorders>
              <w:left w:val="single" w:sz="6" w:space="0" w:color="000000" w:themeColor="text1"/>
              <w:bottom w:val="single" w:sz="4" w:space="0" w:color="auto"/>
              <w:right w:val="single" w:sz="6" w:space="0" w:color="000000" w:themeColor="text1"/>
            </w:tcBorders>
          </w:tcPr>
          <w:p w14:paraId="4CDF5103" w14:textId="4E7E8526" w:rsidR="004F3F70" w:rsidRDefault="004F3F70" w:rsidP="00DB628C">
            <w:pPr>
              <w:widowControl w:val="0"/>
              <w:contextualSpacing/>
              <w:jc w:val="both"/>
              <w:rPr>
                <w:b/>
              </w:rPr>
            </w:pPr>
            <w:r>
              <w:rPr>
                <w:b/>
              </w:rPr>
              <w:lastRenderedPageBreak/>
              <w:t>Ekonomikas ministrija, 15.04</w:t>
            </w:r>
            <w:r w:rsidRPr="0028614E">
              <w:rPr>
                <w:b/>
              </w:rPr>
              <w:t>. atzinums</w:t>
            </w:r>
            <w:r>
              <w:rPr>
                <w:b/>
              </w:rPr>
              <w:t xml:space="preserve"> </w:t>
            </w:r>
            <w:r w:rsidRPr="00017333">
              <w:rPr>
                <w:b/>
              </w:rPr>
              <w:t xml:space="preserve">Nr. </w:t>
            </w:r>
            <w:r w:rsidRPr="004F3F70">
              <w:rPr>
                <w:b/>
              </w:rPr>
              <w:t>3.1-20/2020/85</w:t>
            </w:r>
            <w:r w:rsidR="00F709F6">
              <w:rPr>
                <w:b/>
              </w:rPr>
              <w:t>:</w:t>
            </w:r>
          </w:p>
          <w:p w14:paraId="66C6E7E2" w14:textId="77777777" w:rsidR="00DB628C" w:rsidRDefault="00DB628C" w:rsidP="00DB628C">
            <w:pPr>
              <w:widowControl w:val="0"/>
              <w:contextualSpacing/>
              <w:jc w:val="both"/>
              <w:rPr>
                <w:b/>
              </w:rPr>
            </w:pPr>
          </w:p>
          <w:p w14:paraId="71D8D14D" w14:textId="77777777" w:rsidR="00721062" w:rsidRPr="00721062" w:rsidRDefault="00721062" w:rsidP="00DB628C">
            <w:pPr>
              <w:widowControl w:val="0"/>
              <w:contextualSpacing/>
              <w:jc w:val="both"/>
              <w:rPr>
                <w:bCs/>
              </w:rPr>
            </w:pPr>
            <w:r w:rsidRPr="00721062">
              <w:rPr>
                <w:bCs/>
              </w:rPr>
              <w:t xml:space="preserve">Likumprojekta otrā daļa neatbilst Eiropas Parlamenta un Padomes 2018. gada 14. marta direktīvas Nr. 2018/410, ar ko groza </w:t>
            </w:r>
            <w:r w:rsidRPr="00721062">
              <w:rPr>
                <w:bCs/>
              </w:rPr>
              <w:lastRenderedPageBreak/>
              <w:t xml:space="preserve">Direktīvu 2003/87/EK, lai sekmētu emisiju </w:t>
            </w:r>
            <w:proofErr w:type="spellStart"/>
            <w:r w:rsidRPr="00721062">
              <w:rPr>
                <w:bCs/>
              </w:rPr>
              <w:t>izmaksefektīvu</w:t>
            </w:r>
            <w:proofErr w:type="spellEnd"/>
            <w:r w:rsidRPr="00721062">
              <w:rPr>
                <w:bCs/>
              </w:rPr>
              <w:t xml:space="preserve"> samazināšanu un investīcijas </w:t>
            </w:r>
            <w:proofErr w:type="spellStart"/>
            <w:r w:rsidRPr="00721062">
              <w:rPr>
                <w:bCs/>
              </w:rPr>
              <w:t>mazoglekļa</w:t>
            </w:r>
            <w:proofErr w:type="spellEnd"/>
            <w:r w:rsidRPr="00721062">
              <w:rPr>
                <w:bCs/>
              </w:rPr>
              <w:t xml:space="preserve"> risinājumos, un Lēmumu (ES) 2015/1814 (turpmāk – direktīva 2018/410) 1. panta 21. punktā izteiktajam Eiropas Parlamenta un Padomes 2003. gada 13. oktobra direktīvas Nr. 2013/87/EK, ar kuru nosaka sistēmu siltumnīcas efektu izraisošo gāzu emisijas kvotu tirdzniecībai Kopienā un groza Padomes Direktīvu 96/61/EK (turpmāk – direktīva 2003/87/EK) 13.pantam.</w:t>
            </w:r>
          </w:p>
          <w:p w14:paraId="25E2615F" w14:textId="77777777" w:rsidR="00721062" w:rsidRPr="00721062" w:rsidRDefault="00721062" w:rsidP="00DB628C">
            <w:pPr>
              <w:widowControl w:val="0"/>
              <w:contextualSpacing/>
              <w:jc w:val="both"/>
              <w:rPr>
                <w:bCs/>
              </w:rPr>
            </w:pPr>
            <w:r w:rsidRPr="00721062">
              <w:rPr>
                <w:bCs/>
              </w:rPr>
              <w:t>Norādām, ka ar direktīvu 2018/410 grozītajā direktīvas 2003/87/EK 13.panta 1.teikumā ir noteikts, ka tās emisijas kvotas, kuras ir izsniegtas sākot ar 2013.gada 1.janvāri (nenorādot beigu termiņu minēto kvotu izsniegšanai), ir beztermiņa. Norādām arī, ka ar direktīvu 2018/410 grozītajā direktīvas 2003/87/EK 13. panta 2. teikumā ir skaidri norādīts, ka emisijas kvotas, kuras ir izdotas sākot ar 2021.gada 1.janvāri ir derīgas tām emisijām, kuras ir radītas no 2021.gada 1.janvāra (“</w:t>
            </w:r>
            <w:proofErr w:type="spellStart"/>
            <w:r w:rsidRPr="00721062">
              <w:rPr>
                <w:bCs/>
              </w:rPr>
              <w:t>Allowances</w:t>
            </w:r>
            <w:proofErr w:type="spellEnd"/>
            <w:r w:rsidRPr="00721062">
              <w:rPr>
                <w:bCs/>
              </w:rPr>
              <w:t xml:space="preserve"> </w:t>
            </w:r>
            <w:proofErr w:type="spellStart"/>
            <w:r w:rsidRPr="00721062">
              <w:rPr>
                <w:bCs/>
              </w:rPr>
              <w:t>issued</w:t>
            </w:r>
            <w:proofErr w:type="spellEnd"/>
            <w:r w:rsidRPr="00721062">
              <w:rPr>
                <w:bCs/>
              </w:rPr>
              <w:t xml:space="preserve"> </w:t>
            </w:r>
            <w:proofErr w:type="spellStart"/>
            <w:r w:rsidRPr="00721062">
              <w:rPr>
                <w:bCs/>
              </w:rPr>
              <w:t>from</w:t>
            </w:r>
            <w:proofErr w:type="spellEnd"/>
            <w:r w:rsidRPr="00721062">
              <w:rPr>
                <w:bCs/>
              </w:rPr>
              <w:t xml:space="preserve"> 1 </w:t>
            </w:r>
            <w:proofErr w:type="spellStart"/>
            <w:r w:rsidRPr="00721062">
              <w:rPr>
                <w:bCs/>
              </w:rPr>
              <w:t>January</w:t>
            </w:r>
            <w:proofErr w:type="spellEnd"/>
            <w:r w:rsidRPr="00721062">
              <w:rPr>
                <w:bCs/>
              </w:rPr>
              <w:t xml:space="preserve"> 2021 </w:t>
            </w:r>
            <w:proofErr w:type="spellStart"/>
            <w:r w:rsidRPr="00721062">
              <w:rPr>
                <w:bCs/>
              </w:rPr>
              <w:t>onwards</w:t>
            </w:r>
            <w:proofErr w:type="spellEnd"/>
            <w:r w:rsidRPr="00721062">
              <w:rPr>
                <w:bCs/>
              </w:rPr>
              <w:t xml:space="preserve"> </w:t>
            </w:r>
            <w:proofErr w:type="spellStart"/>
            <w:r w:rsidRPr="00721062">
              <w:rPr>
                <w:bCs/>
              </w:rPr>
              <w:t>shall</w:t>
            </w:r>
            <w:proofErr w:type="spellEnd"/>
            <w:r w:rsidRPr="00721062">
              <w:rPr>
                <w:bCs/>
              </w:rPr>
              <w:t xml:space="preserve"> …. </w:t>
            </w:r>
            <w:proofErr w:type="spellStart"/>
            <w:r w:rsidRPr="00721062">
              <w:rPr>
                <w:bCs/>
              </w:rPr>
              <w:t>be</w:t>
            </w:r>
            <w:proofErr w:type="spellEnd"/>
            <w:r w:rsidRPr="00721062">
              <w:rPr>
                <w:bCs/>
              </w:rPr>
              <w:t xml:space="preserve"> </w:t>
            </w:r>
            <w:proofErr w:type="spellStart"/>
            <w:r w:rsidRPr="00721062">
              <w:rPr>
                <w:bCs/>
              </w:rPr>
              <w:t>valid</w:t>
            </w:r>
            <w:proofErr w:type="spellEnd"/>
            <w:r w:rsidRPr="00721062">
              <w:rPr>
                <w:bCs/>
              </w:rPr>
              <w:t xml:space="preserve"> </w:t>
            </w:r>
            <w:proofErr w:type="spellStart"/>
            <w:r w:rsidRPr="00721062">
              <w:rPr>
                <w:bCs/>
              </w:rPr>
              <w:t>for</w:t>
            </w:r>
            <w:proofErr w:type="spellEnd"/>
            <w:r w:rsidRPr="00721062">
              <w:rPr>
                <w:bCs/>
              </w:rPr>
              <w:t xml:space="preserve"> </w:t>
            </w:r>
            <w:proofErr w:type="spellStart"/>
            <w:r w:rsidRPr="00721062">
              <w:rPr>
                <w:bCs/>
              </w:rPr>
              <w:t>emissions</w:t>
            </w:r>
            <w:proofErr w:type="spellEnd"/>
            <w:r w:rsidRPr="00721062">
              <w:rPr>
                <w:bCs/>
              </w:rPr>
              <w:t xml:space="preserve"> </w:t>
            </w:r>
            <w:proofErr w:type="spellStart"/>
            <w:r w:rsidRPr="00721062">
              <w:rPr>
                <w:bCs/>
              </w:rPr>
              <w:t>from</w:t>
            </w:r>
            <w:proofErr w:type="spellEnd"/>
            <w:r w:rsidRPr="00721062">
              <w:rPr>
                <w:bCs/>
              </w:rPr>
              <w:t xml:space="preserve"> </w:t>
            </w:r>
            <w:proofErr w:type="spellStart"/>
            <w:r w:rsidRPr="00721062">
              <w:rPr>
                <w:bCs/>
              </w:rPr>
              <w:t>the</w:t>
            </w:r>
            <w:proofErr w:type="spellEnd"/>
            <w:r w:rsidRPr="00721062">
              <w:rPr>
                <w:bCs/>
              </w:rPr>
              <w:t xml:space="preserve"> first </w:t>
            </w:r>
            <w:proofErr w:type="spellStart"/>
            <w:r w:rsidRPr="00721062">
              <w:rPr>
                <w:bCs/>
              </w:rPr>
              <w:t>year</w:t>
            </w:r>
            <w:proofErr w:type="spellEnd"/>
            <w:r w:rsidRPr="00721062">
              <w:rPr>
                <w:bCs/>
              </w:rPr>
              <w:t xml:space="preserve"> </w:t>
            </w:r>
            <w:proofErr w:type="spellStart"/>
            <w:r w:rsidRPr="00721062">
              <w:rPr>
                <w:bCs/>
              </w:rPr>
              <w:t>of</w:t>
            </w:r>
            <w:proofErr w:type="spellEnd"/>
            <w:r w:rsidRPr="00721062">
              <w:rPr>
                <w:bCs/>
              </w:rPr>
              <w:t xml:space="preserve"> </w:t>
            </w:r>
            <w:proofErr w:type="spellStart"/>
            <w:r w:rsidRPr="00721062">
              <w:rPr>
                <w:bCs/>
              </w:rPr>
              <w:t>that</w:t>
            </w:r>
            <w:proofErr w:type="spellEnd"/>
            <w:r w:rsidRPr="00721062">
              <w:rPr>
                <w:bCs/>
              </w:rPr>
              <w:t xml:space="preserve"> period </w:t>
            </w:r>
            <w:proofErr w:type="spellStart"/>
            <w:r w:rsidRPr="00721062">
              <w:rPr>
                <w:bCs/>
              </w:rPr>
              <w:t>onwards</w:t>
            </w:r>
            <w:proofErr w:type="spellEnd"/>
            <w:r w:rsidRPr="00721062">
              <w:rPr>
                <w:bCs/>
              </w:rPr>
              <w:t xml:space="preserve">”), bet nav noteikts beigu periods šo emisijas kvotu derīguma termiņam. Tāpat šī informācija ir norādīta Eiropas Komisijas publicētajā priekšlikumā COM(2015) 337 </w:t>
            </w:r>
            <w:proofErr w:type="spellStart"/>
            <w:r w:rsidRPr="00721062">
              <w:rPr>
                <w:bCs/>
              </w:rPr>
              <w:t>final</w:t>
            </w:r>
            <w:proofErr w:type="spellEnd"/>
            <w:r w:rsidRPr="00721062">
              <w:rPr>
                <w:bCs/>
              </w:rPr>
              <w:t xml:space="preserve"> (2015/148(COD)) – “Kvotu derīgums </w:t>
            </w:r>
            <w:r w:rsidRPr="00721062">
              <w:rPr>
                <w:bCs/>
              </w:rPr>
              <w:lastRenderedPageBreak/>
              <w:t>(13. pants). Lai mazinātu administratīvos izdevumus, priekšlikumā paredzēts, ka kvotas, kas piešķirtas vienam tirdzniecības periodam, ir derīgas arī turpmākajos tirdzniecības periodos.”.</w:t>
            </w:r>
          </w:p>
          <w:p w14:paraId="78BE50A6" w14:textId="77777777" w:rsidR="00721062" w:rsidRPr="00721062" w:rsidRDefault="00721062" w:rsidP="00DB628C">
            <w:pPr>
              <w:widowControl w:val="0"/>
              <w:contextualSpacing/>
              <w:jc w:val="both"/>
              <w:rPr>
                <w:bCs/>
              </w:rPr>
            </w:pPr>
            <w:r w:rsidRPr="00721062">
              <w:rPr>
                <w:bCs/>
              </w:rPr>
              <w:t>Savukārt likumprojekta otrajā daļā ir noteikts, ka termiņa nav tām emisijas kvotām, kuras ir izsniegtas sākot ar 2013.gada 1.janvāri un līdz 2020.gada 31.decembrim (tātad ir iekļauts beigu termiņš minēto beztermiņa kvotu izsniegšanai), kas savukārt varētu nozīmēt, ka tās emisijas kvotas, kuras ir izsniegtas citā periodā, vairs nav beztermiņa. Tāpat arī likumprojekta otrajā daļā ir noteikts, ka emisijas kvotas, kuras ir izsniegtas sākot ar 2021.gada 1.janvāri, ir derīgas tikai tajā 10-gadu periodā, kurā šis emisijas kvotas ir izsniegtas.</w:t>
            </w:r>
          </w:p>
          <w:p w14:paraId="51A24B47" w14:textId="3828FA06" w:rsidR="00721062" w:rsidRPr="00721062" w:rsidRDefault="00721062" w:rsidP="00DB628C">
            <w:pPr>
              <w:widowControl w:val="0"/>
              <w:contextualSpacing/>
              <w:jc w:val="both"/>
              <w:rPr>
                <w:bCs/>
              </w:rPr>
            </w:pPr>
            <w:r w:rsidRPr="00721062">
              <w:rPr>
                <w:bCs/>
              </w:rPr>
              <w:t>Ņemot vērā iepriekšminēto, kā arī to, ka minētā regulējuma īstenošana apdraudētu komersantu tiesības un iespējas darbībām Eiropas Savienības emisijas kvotu tirdzniecības sistēmā, likumprojekta 2.pantā ietvertais regulējums un atbilstošās anotācijā iekļautās sadaļas nav atbalstāmas.</w:t>
            </w:r>
          </w:p>
          <w:p w14:paraId="52E56223" w14:textId="77777777" w:rsidR="00134188" w:rsidRPr="00712B66" w:rsidRDefault="00134188" w:rsidP="00DB628C">
            <w:pPr>
              <w:pStyle w:val="naisc"/>
              <w:spacing w:before="0" w:after="0"/>
              <w:ind w:firstLine="720"/>
              <w:contextualSpacing/>
              <w:jc w:val="both"/>
            </w:pPr>
          </w:p>
        </w:tc>
        <w:tc>
          <w:tcPr>
            <w:tcW w:w="3465" w:type="dxa"/>
            <w:tcBorders>
              <w:left w:val="single" w:sz="6" w:space="0" w:color="000000" w:themeColor="text1"/>
              <w:bottom w:val="single" w:sz="4" w:space="0" w:color="auto"/>
              <w:right w:val="single" w:sz="6" w:space="0" w:color="000000" w:themeColor="text1"/>
            </w:tcBorders>
          </w:tcPr>
          <w:p w14:paraId="5F9D7630" w14:textId="77777777" w:rsidR="004F3F70" w:rsidRPr="0028614E" w:rsidRDefault="004F3F70" w:rsidP="00DB628C">
            <w:pPr>
              <w:contextualSpacing/>
              <w:jc w:val="both"/>
              <w:rPr>
                <w:b/>
                <w:lang w:eastAsia="x-none"/>
              </w:rPr>
            </w:pPr>
            <w:r>
              <w:rPr>
                <w:b/>
                <w:lang w:eastAsia="x-none"/>
              </w:rPr>
              <w:lastRenderedPageBreak/>
              <w:t>Ņ</w:t>
            </w:r>
            <w:r w:rsidRPr="0028614E">
              <w:rPr>
                <w:b/>
                <w:lang w:eastAsia="x-none"/>
              </w:rPr>
              <w:t>emts vērā</w:t>
            </w:r>
          </w:p>
          <w:p w14:paraId="07547A01" w14:textId="77777777" w:rsidR="00134188" w:rsidRPr="00712B66" w:rsidRDefault="00134188" w:rsidP="00DB628C">
            <w:pPr>
              <w:pStyle w:val="naisc"/>
              <w:spacing w:before="0" w:after="0"/>
              <w:ind w:firstLine="720"/>
              <w:contextualSpacing/>
              <w:jc w:val="both"/>
            </w:pPr>
          </w:p>
        </w:tc>
        <w:tc>
          <w:tcPr>
            <w:tcW w:w="3339" w:type="dxa"/>
            <w:tcBorders>
              <w:top w:val="single" w:sz="4" w:space="0" w:color="auto"/>
              <w:left w:val="single" w:sz="4" w:space="0" w:color="auto"/>
              <w:bottom w:val="single" w:sz="4" w:space="0" w:color="auto"/>
            </w:tcBorders>
          </w:tcPr>
          <w:p w14:paraId="2DD8E665" w14:textId="40ADED59" w:rsidR="004F3F70" w:rsidRPr="00502A3D" w:rsidRDefault="004F3F70" w:rsidP="00DB628C">
            <w:pPr>
              <w:contextualSpacing/>
              <w:jc w:val="both"/>
              <w:rPr>
                <w:rFonts w:eastAsia="Calibri"/>
                <w:b/>
                <w:bCs/>
              </w:rPr>
            </w:pPr>
            <w:r w:rsidRPr="00502A3D">
              <w:rPr>
                <w:rFonts w:eastAsia="Calibri"/>
                <w:b/>
                <w:bCs/>
              </w:rPr>
              <w:t>Precizēta likumprojekta 2.  panta  redakcija:</w:t>
            </w:r>
          </w:p>
          <w:p w14:paraId="6B7750F6" w14:textId="5B69E134" w:rsidR="00DD3C52" w:rsidRDefault="00DD3C52" w:rsidP="00DB628C">
            <w:pPr>
              <w:contextualSpacing/>
              <w:jc w:val="both"/>
              <w:rPr>
                <w:rFonts w:eastAsia="Calibri"/>
              </w:rPr>
            </w:pPr>
          </w:p>
          <w:p w14:paraId="56F65E4A" w14:textId="3440FA52" w:rsidR="00DD3C52" w:rsidRPr="00DD3C52" w:rsidRDefault="00711B3D" w:rsidP="00DB628C">
            <w:pPr>
              <w:pStyle w:val="CommentText"/>
              <w:contextualSpacing/>
              <w:jc w:val="both"/>
              <w:rPr>
                <w:sz w:val="24"/>
                <w:szCs w:val="24"/>
              </w:rPr>
            </w:pPr>
            <w:r>
              <w:rPr>
                <w:sz w:val="24"/>
                <w:szCs w:val="24"/>
              </w:rPr>
              <w:t>“</w:t>
            </w:r>
            <w:r w:rsidR="00DD3C52" w:rsidRPr="00DD3C52">
              <w:rPr>
                <w:sz w:val="24"/>
                <w:szCs w:val="24"/>
              </w:rPr>
              <w:t>(2) Emisijas kvotas derīgums ir atkarīgs no tā izdošanas perioda:</w:t>
            </w:r>
          </w:p>
          <w:p w14:paraId="487FB12B" w14:textId="77777777" w:rsidR="00711B3D" w:rsidRDefault="00DD3C52" w:rsidP="00DB628C">
            <w:pPr>
              <w:pStyle w:val="CommentText"/>
              <w:contextualSpacing/>
              <w:jc w:val="both"/>
              <w:rPr>
                <w:sz w:val="24"/>
                <w:szCs w:val="24"/>
              </w:rPr>
            </w:pPr>
            <w:r w:rsidRPr="00DD3C52">
              <w:rPr>
                <w:sz w:val="24"/>
                <w:szCs w:val="24"/>
              </w:rPr>
              <w:lastRenderedPageBreak/>
              <w:t>1) 32.</w:t>
            </w:r>
            <w:r w:rsidRPr="00DD3C52">
              <w:rPr>
                <w:sz w:val="24"/>
                <w:szCs w:val="24"/>
                <w:vertAlign w:val="superscript"/>
              </w:rPr>
              <w:t>2</w:t>
            </w:r>
            <w:r w:rsidRPr="00DD3C52">
              <w:rPr>
                <w:sz w:val="24"/>
                <w:szCs w:val="24"/>
              </w:rPr>
              <w:t xml:space="preserve"> panta 1.</w:t>
            </w:r>
            <w:r w:rsidRPr="00DD3C52">
              <w:rPr>
                <w:sz w:val="24"/>
                <w:szCs w:val="24"/>
                <w:vertAlign w:val="superscript"/>
              </w:rPr>
              <w:t>1</w:t>
            </w:r>
            <w:r w:rsidRPr="00DD3C52">
              <w:rPr>
                <w:sz w:val="24"/>
                <w:szCs w:val="24"/>
              </w:rPr>
              <w:t xml:space="preserve"> daļas 3. punktā noteiktā perioda laikā izdotās kvotas ir beztermiņa;</w:t>
            </w:r>
          </w:p>
          <w:p w14:paraId="07F18134" w14:textId="3A50AF35" w:rsidR="00DD3C52" w:rsidRPr="0039202B" w:rsidRDefault="00DD3C52" w:rsidP="00DB628C">
            <w:pPr>
              <w:pStyle w:val="CommentText"/>
              <w:contextualSpacing/>
              <w:jc w:val="both"/>
              <w:rPr>
                <w:sz w:val="24"/>
                <w:szCs w:val="24"/>
              </w:rPr>
            </w:pPr>
            <w:r w:rsidRPr="00DD3C52">
              <w:rPr>
                <w:sz w:val="24"/>
                <w:szCs w:val="24"/>
              </w:rPr>
              <w:t>2) 32.</w:t>
            </w:r>
            <w:r w:rsidRPr="00DD3C52">
              <w:rPr>
                <w:sz w:val="24"/>
                <w:szCs w:val="24"/>
                <w:vertAlign w:val="superscript"/>
              </w:rPr>
              <w:t>2</w:t>
            </w:r>
            <w:r w:rsidRPr="00DD3C52">
              <w:rPr>
                <w:sz w:val="24"/>
                <w:szCs w:val="24"/>
              </w:rPr>
              <w:t xml:space="preserve"> panta 1.</w:t>
            </w:r>
            <w:r w:rsidRPr="00DD3C52">
              <w:rPr>
                <w:sz w:val="24"/>
                <w:szCs w:val="24"/>
                <w:vertAlign w:val="superscript"/>
              </w:rPr>
              <w:t>1</w:t>
            </w:r>
            <w:r w:rsidRPr="00DD3C52">
              <w:rPr>
                <w:sz w:val="24"/>
                <w:szCs w:val="24"/>
              </w:rPr>
              <w:t xml:space="preserve"> daļas 4. punktā noteiktā perioda laikā izdotās kvotas ir beztermiņa un tām tiek norādīts, kurā Eiropas Savienības Emisijas kvotu tirdzniecības sistēmas </w:t>
            </w:r>
            <w:r w:rsidR="00F67407">
              <w:rPr>
                <w:sz w:val="24"/>
                <w:szCs w:val="24"/>
              </w:rPr>
              <w:t>desmit</w:t>
            </w:r>
            <w:r w:rsidRPr="00DD3C52">
              <w:rPr>
                <w:sz w:val="24"/>
                <w:szCs w:val="24"/>
              </w:rPr>
              <w:t xml:space="preserve"> gadu periodā, tās tikušas izdotas. Šīs </w:t>
            </w:r>
            <w:r w:rsidR="00F67407">
              <w:rPr>
                <w:sz w:val="24"/>
                <w:szCs w:val="24"/>
              </w:rPr>
              <w:t xml:space="preserve">emisijas </w:t>
            </w:r>
            <w:r w:rsidRPr="00DD3C52">
              <w:rPr>
                <w:sz w:val="24"/>
                <w:szCs w:val="24"/>
              </w:rPr>
              <w:t>kvotas ir derīgas emisijas kvotu nodošanai sākot no minētā perioda pirmā gada.</w:t>
            </w:r>
            <w:r w:rsidR="00711B3D">
              <w:rPr>
                <w:sz w:val="24"/>
                <w:szCs w:val="24"/>
              </w:rPr>
              <w:t>”</w:t>
            </w:r>
          </w:p>
          <w:p w14:paraId="5043CB0F" w14:textId="77777777" w:rsidR="004F3F70" w:rsidRDefault="004F3F70" w:rsidP="00DB628C">
            <w:pPr>
              <w:contextualSpacing/>
              <w:jc w:val="both"/>
              <w:rPr>
                <w:rFonts w:eastAsia="Calibri"/>
              </w:rPr>
            </w:pPr>
          </w:p>
          <w:p w14:paraId="09AF1B73" w14:textId="77777777" w:rsidR="004F3F70" w:rsidRPr="004D7C26" w:rsidRDefault="004F3F70" w:rsidP="00DB628C">
            <w:pPr>
              <w:contextualSpacing/>
              <w:jc w:val="both"/>
              <w:rPr>
                <w:rFonts w:eastAsia="Calibri"/>
                <w:b/>
                <w:bCs/>
              </w:rPr>
            </w:pPr>
            <w:r w:rsidRPr="004D7C26">
              <w:rPr>
                <w:rFonts w:eastAsia="Calibri"/>
                <w:b/>
                <w:bCs/>
              </w:rPr>
              <w:t>Precizēta likumprojekta anotācijas  redakcija:</w:t>
            </w:r>
          </w:p>
          <w:p w14:paraId="6537F28F" w14:textId="77786445" w:rsidR="004D7C26" w:rsidRPr="004D7C26" w:rsidRDefault="004D7C26" w:rsidP="00DB628C">
            <w:pPr>
              <w:contextualSpacing/>
              <w:jc w:val="both"/>
              <w:rPr>
                <w:iCs/>
              </w:rPr>
            </w:pPr>
            <w:r>
              <w:rPr>
                <w:iCs/>
              </w:rPr>
              <w:t xml:space="preserve">“Šobrīd emisijas kvotas, kas tika piešķirtas, sākot ar 2013. gada 1. janvāri, balstoties uz Latvijas normatīvo regulējumu, ir derīgas astoņu gadu ilgos periodos. Šis derīguma termiņš tika noteikts ar 2009. gada 23. aprīļa </w:t>
            </w:r>
            <w:r w:rsidRPr="00AA59DE">
              <w:rPr>
                <w:iCs/>
              </w:rPr>
              <w:t xml:space="preserve">Eiropas Parlamenta </w:t>
            </w:r>
            <w:r>
              <w:rPr>
                <w:iCs/>
              </w:rPr>
              <w:t xml:space="preserve">un Padomes Direktīvu 2009/29/EK, </w:t>
            </w:r>
            <w:r w:rsidRPr="00AA59DE">
              <w:rPr>
                <w:iCs/>
              </w:rPr>
              <w:t>ar ko Direktīvu 2003/87/EK groza, lai uzlabotu un paplašinātu Kopienas siltumnīcas efektu izraisošo gāzu emisiju kvotu tirdzniecības sistēmu</w:t>
            </w:r>
            <w:r>
              <w:rPr>
                <w:iCs/>
              </w:rPr>
              <w:t xml:space="preserve">. Direktīva 2018/410 noteica jaunu emisijas kvotu derīgumu termiņu, gan ES </w:t>
            </w:r>
            <w:r>
              <w:rPr>
                <w:iCs/>
              </w:rPr>
              <w:lastRenderedPageBreak/>
              <w:t xml:space="preserve">ETS 3. periodam, gan periodiem, kas sekos. Balstoties uz izmaiņām emisijas kvotu derīguma termiņos, kas tika veiktas ar Direktīvu 2018/410, emisijas kvotas, kas tika piešķirtas, sākot ar 2013. gada 1. janvāri, ir beztermiņa, un ES ETS emisijas kvotas, kas izsniegtas pēc 2021. gada 1. janvāra arī būs beztermiņa, iekļaujot norādi, kurā 10-gadu periodā tās ir tikušas izdotas.  Atšķirība starp kvotām, kas izdotas pirms un pēc 2021. gada 1. janvāra ir izstrādāta, </w:t>
            </w:r>
            <w:r w:rsidRPr="00981F80">
              <w:t>lai novērstu to, ka emisijas kvotas, kuras par 2021. gadu ir piešķirtas saskaņā ar direktīvas 2003/87/EK 11. panta 2. punktu, tiek izmantotas 2020.gada saistību izpildei – emisijas kvotu nodošanai par 2020.gadā radītajām emisijām, jo konkrētā gada emisijas kvotas tiek piešķirtas ātrāk nekā ir jāveic emisijas kvotu nodošana par iepriekšējā gadā radīto emisiju apjomu.</w:t>
            </w:r>
            <w:r>
              <w:rPr>
                <w:iCs/>
              </w:rPr>
              <w:t>”</w:t>
            </w:r>
          </w:p>
        </w:tc>
      </w:tr>
      <w:tr w:rsidR="003B71E0" w:rsidRPr="00712B66" w14:paraId="6DFB9E20" w14:textId="77777777" w:rsidTr="4B600882">
        <w:tc>
          <w:tcPr>
            <w:tcW w:w="708" w:type="dxa"/>
            <w:tcBorders>
              <w:left w:val="single" w:sz="6" w:space="0" w:color="000000" w:themeColor="text1"/>
              <w:bottom w:val="single" w:sz="4" w:space="0" w:color="auto"/>
              <w:right w:val="single" w:sz="6" w:space="0" w:color="000000" w:themeColor="text1"/>
            </w:tcBorders>
          </w:tcPr>
          <w:p w14:paraId="4BF4A8E9" w14:textId="77777777" w:rsidR="003B71E0" w:rsidRDefault="00C161D7" w:rsidP="003B71E0">
            <w:pPr>
              <w:pStyle w:val="naisc"/>
              <w:spacing w:before="0" w:after="0"/>
              <w:ind w:firstLine="720"/>
            </w:pPr>
            <w:r>
              <w:lastRenderedPageBreak/>
              <w:t>2</w:t>
            </w:r>
          </w:p>
          <w:p w14:paraId="70DF9E56" w14:textId="2FB40B92" w:rsidR="006B2DD2" w:rsidRPr="006B2DD2" w:rsidRDefault="006B2DD2" w:rsidP="006B2DD2">
            <w:pPr>
              <w:jc w:val="center"/>
            </w:pPr>
            <w:r>
              <w:t>2.</w:t>
            </w:r>
          </w:p>
        </w:tc>
        <w:tc>
          <w:tcPr>
            <w:tcW w:w="3086" w:type="dxa"/>
            <w:tcBorders>
              <w:left w:val="single" w:sz="6" w:space="0" w:color="000000" w:themeColor="text1"/>
              <w:bottom w:val="single" w:sz="4" w:space="0" w:color="auto"/>
              <w:right w:val="single" w:sz="6" w:space="0" w:color="000000" w:themeColor="text1"/>
            </w:tcBorders>
          </w:tcPr>
          <w:p w14:paraId="620680E0" w14:textId="0EA4010C" w:rsidR="003B71E0" w:rsidRPr="0065391A" w:rsidRDefault="2E6AF2F3" w:rsidP="00DB628C">
            <w:pPr>
              <w:contextualSpacing/>
              <w:jc w:val="both"/>
              <w:rPr>
                <w:b/>
                <w:bCs/>
              </w:rPr>
            </w:pPr>
            <w:r w:rsidRPr="0065391A">
              <w:rPr>
                <w:b/>
                <w:bCs/>
              </w:rPr>
              <w:t>Likumprojekta 1.pants:</w:t>
            </w:r>
          </w:p>
          <w:p w14:paraId="44C8D8DD" w14:textId="77777777" w:rsidR="00F94C8A" w:rsidRPr="00712B66" w:rsidRDefault="00F94C8A" w:rsidP="00DB628C">
            <w:pPr>
              <w:contextualSpacing/>
              <w:jc w:val="both"/>
            </w:pPr>
          </w:p>
          <w:p w14:paraId="2636B9E6" w14:textId="67E81088" w:rsidR="003B71E0" w:rsidRPr="00712B66" w:rsidRDefault="2E6AF2F3" w:rsidP="00DB628C">
            <w:pPr>
              <w:contextualSpacing/>
              <w:jc w:val="both"/>
            </w:pPr>
            <w:r w:rsidRPr="079107B8">
              <w:lastRenderedPageBreak/>
              <w:t>1. Papildināt 17. pantu ar 2.</w:t>
            </w:r>
            <w:r w:rsidRPr="079107B8">
              <w:rPr>
                <w:vertAlign w:val="superscript"/>
              </w:rPr>
              <w:t xml:space="preserve">2 </w:t>
            </w:r>
            <w:r w:rsidRPr="079107B8">
              <w:t>daļu šādā redakcijā:</w:t>
            </w:r>
          </w:p>
          <w:p w14:paraId="44E871BC" w14:textId="57DB8DD5" w:rsidR="003B71E0" w:rsidRPr="00712B66" w:rsidRDefault="2E6AF2F3" w:rsidP="00DB628C">
            <w:pPr>
              <w:contextualSpacing/>
              <w:jc w:val="both"/>
            </w:pPr>
            <w:r w:rsidRPr="079107B8">
              <w:t>“(2</w:t>
            </w:r>
            <w:r w:rsidRPr="079107B8">
              <w:rPr>
                <w:vertAlign w:val="superscript"/>
              </w:rPr>
              <w:t>2</w:t>
            </w:r>
            <w:r w:rsidRPr="079107B8">
              <w:t>) Lai izstrādātu šī panta 2</w:t>
            </w:r>
            <w:r w:rsidRPr="079107B8">
              <w:rPr>
                <w:vertAlign w:val="superscript"/>
              </w:rPr>
              <w:t>1</w:t>
            </w:r>
            <w:r w:rsidRPr="079107B8">
              <w:t>. daļā minēto rīcības programmu un noteiktu galvenos piesārņojuma avotus un plānotu tālāku pasākumu veikšanu, pašvaldībai ir tiesības veikt informācijas ievākšanu un apkopošanu par tās teritorijā izmantotajām apkures iekārtām, kā arī izdot saistošos noteikumus par kārtību, kādā tiek veikta šādas informācijas ievākšana.”</w:t>
            </w:r>
          </w:p>
        </w:tc>
        <w:tc>
          <w:tcPr>
            <w:tcW w:w="4394" w:type="dxa"/>
            <w:tcBorders>
              <w:left w:val="single" w:sz="6" w:space="0" w:color="000000" w:themeColor="text1"/>
              <w:bottom w:val="single" w:sz="4" w:space="0" w:color="auto"/>
              <w:right w:val="single" w:sz="6" w:space="0" w:color="000000" w:themeColor="text1"/>
            </w:tcBorders>
          </w:tcPr>
          <w:p w14:paraId="43083220" w14:textId="4BA369DC" w:rsidR="003B71E0" w:rsidRPr="00712B66" w:rsidRDefault="502B80C7" w:rsidP="00DB628C">
            <w:pPr>
              <w:pStyle w:val="naisc"/>
              <w:spacing w:before="0" w:after="0"/>
              <w:contextualSpacing/>
              <w:jc w:val="both"/>
              <w:rPr>
                <w:b/>
                <w:bCs/>
              </w:rPr>
            </w:pPr>
            <w:r w:rsidRPr="06BED3E0">
              <w:rPr>
                <w:b/>
                <w:bCs/>
              </w:rPr>
              <w:lastRenderedPageBreak/>
              <w:t>Latvijas Pašvaldību savienība</w:t>
            </w:r>
            <w:r w:rsidR="1D37B95A" w:rsidRPr="66AF3A2C">
              <w:rPr>
                <w:b/>
                <w:bCs/>
              </w:rPr>
              <w:t xml:space="preserve"> un Latvijas Lielo pilsētu asociācija</w:t>
            </w:r>
            <w:r w:rsidRPr="06BED3E0">
              <w:rPr>
                <w:b/>
                <w:bCs/>
              </w:rPr>
              <w:t>:</w:t>
            </w:r>
          </w:p>
          <w:p w14:paraId="7CF59505" w14:textId="3F070DD7" w:rsidR="003B71E0" w:rsidRPr="00712B66" w:rsidRDefault="502B80C7" w:rsidP="00DB628C">
            <w:pPr>
              <w:contextualSpacing/>
              <w:jc w:val="both"/>
            </w:pPr>
            <w:r w:rsidRPr="06BED3E0">
              <w:lastRenderedPageBreak/>
              <w:t>1. Lai nodrošinātu pašvaldībai iegūt pilnīgu informāciju par ne tikai par apkures iekārtām, bet arī par izmantoto kurināmo, lūdzam papildināt likumprojekta 1. pantu un izteikt to šādā redakcijā: “(2</w:t>
            </w:r>
            <w:r w:rsidRPr="06BED3E0">
              <w:rPr>
                <w:vertAlign w:val="superscript"/>
              </w:rPr>
              <w:t>2</w:t>
            </w:r>
            <w:r w:rsidRPr="06BED3E0">
              <w:t>) Lai izstrādātu šī panta 2</w:t>
            </w:r>
            <w:r w:rsidRPr="06BED3E0">
              <w:rPr>
                <w:vertAlign w:val="superscript"/>
              </w:rPr>
              <w:t>1</w:t>
            </w:r>
            <w:r w:rsidRPr="06BED3E0">
              <w:t xml:space="preserve">. daļā minēto rīcības programmu un noteiktu galvenos piesārņojuma avotus un plānotu tālāku pasākumu veikšanu, pašvaldībai ir tiesības veikt informācijas ievākšanu un apkopošanu par tās teritorijā izmantotajām apkures iekārtām </w:t>
            </w:r>
            <w:r w:rsidRPr="06BED3E0">
              <w:rPr>
                <w:u w:val="single"/>
              </w:rPr>
              <w:t>un tajās izmantotā kurināmā veidu un apjomiem</w:t>
            </w:r>
            <w:r w:rsidRPr="06BED3E0">
              <w:t>, kā arī izdot saistošos noteikumus par kārtību, kādā tiek veikta šādas informācijas ievākšana.”</w:t>
            </w:r>
          </w:p>
          <w:p w14:paraId="144A5D23" w14:textId="37A1A415" w:rsidR="003B71E0" w:rsidRPr="00712B66" w:rsidRDefault="003B71E0" w:rsidP="00DB628C">
            <w:pPr>
              <w:pStyle w:val="naisc"/>
              <w:spacing w:before="0" w:after="0"/>
              <w:contextualSpacing/>
              <w:jc w:val="both"/>
            </w:pPr>
          </w:p>
        </w:tc>
        <w:tc>
          <w:tcPr>
            <w:tcW w:w="3465" w:type="dxa"/>
            <w:tcBorders>
              <w:left w:val="single" w:sz="6" w:space="0" w:color="000000" w:themeColor="text1"/>
              <w:bottom w:val="single" w:sz="4" w:space="0" w:color="auto"/>
              <w:right w:val="single" w:sz="6" w:space="0" w:color="000000" w:themeColor="text1"/>
            </w:tcBorders>
          </w:tcPr>
          <w:p w14:paraId="738610EB" w14:textId="0883B771" w:rsidR="003B71E0" w:rsidRPr="00712B66" w:rsidRDefault="502B80C7" w:rsidP="00DB628C">
            <w:pPr>
              <w:pStyle w:val="naisc"/>
              <w:spacing w:before="0" w:after="0"/>
              <w:ind w:firstLine="56"/>
              <w:contextualSpacing/>
              <w:jc w:val="both"/>
              <w:rPr>
                <w:b/>
                <w:bCs/>
              </w:rPr>
            </w:pPr>
            <w:r w:rsidRPr="06BED3E0">
              <w:rPr>
                <w:b/>
                <w:bCs/>
              </w:rPr>
              <w:lastRenderedPageBreak/>
              <w:t>Ņemts vērā</w:t>
            </w:r>
          </w:p>
        </w:tc>
        <w:tc>
          <w:tcPr>
            <w:tcW w:w="3339" w:type="dxa"/>
            <w:tcBorders>
              <w:top w:val="single" w:sz="4" w:space="0" w:color="auto"/>
              <w:left w:val="single" w:sz="4" w:space="0" w:color="auto"/>
              <w:bottom w:val="single" w:sz="4" w:space="0" w:color="auto"/>
            </w:tcBorders>
          </w:tcPr>
          <w:p w14:paraId="4C0A990D" w14:textId="505C5F9F" w:rsidR="0065391A" w:rsidRPr="00502A3D" w:rsidRDefault="0065391A" w:rsidP="00DB628C">
            <w:pPr>
              <w:contextualSpacing/>
              <w:jc w:val="both"/>
              <w:rPr>
                <w:rFonts w:eastAsia="Calibri"/>
                <w:b/>
                <w:bCs/>
              </w:rPr>
            </w:pPr>
            <w:r w:rsidRPr="00502A3D">
              <w:rPr>
                <w:rFonts w:eastAsia="Calibri"/>
                <w:b/>
                <w:bCs/>
              </w:rPr>
              <w:t xml:space="preserve">Precizēta likumprojekta </w:t>
            </w:r>
            <w:r>
              <w:rPr>
                <w:rFonts w:eastAsia="Calibri"/>
                <w:b/>
                <w:bCs/>
              </w:rPr>
              <w:t>1</w:t>
            </w:r>
            <w:r w:rsidRPr="00502A3D">
              <w:rPr>
                <w:rFonts w:eastAsia="Calibri"/>
                <w:b/>
                <w:bCs/>
              </w:rPr>
              <w:t>.  panta  redakcija:</w:t>
            </w:r>
          </w:p>
          <w:p w14:paraId="6581749D" w14:textId="77777777" w:rsidR="0065391A" w:rsidRPr="00712B66" w:rsidRDefault="0065391A" w:rsidP="00DB628C">
            <w:pPr>
              <w:contextualSpacing/>
              <w:jc w:val="both"/>
            </w:pPr>
          </w:p>
          <w:p w14:paraId="30C88385" w14:textId="1A2A88F1" w:rsidR="003B71E0" w:rsidRPr="00712B66" w:rsidRDefault="5369289E" w:rsidP="00DB628C">
            <w:pPr>
              <w:contextualSpacing/>
              <w:jc w:val="both"/>
              <w:rPr>
                <w:color w:val="002060"/>
              </w:rPr>
            </w:pPr>
            <w:r w:rsidRPr="079107B8">
              <w:lastRenderedPageBreak/>
              <w:t>1. Papildināt 17. pantu ar 2.</w:t>
            </w:r>
            <w:r w:rsidRPr="079107B8">
              <w:rPr>
                <w:vertAlign w:val="superscript"/>
              </w:rPr>
              <w:t xml:space="preserve">2 </w:t>
            </w:r>
            <w:r w:rsidRPr="079107B8">
              <w:t>daļu šādā redakcijā:</w:t>
            </w:r>
          </w:p>
          <w:p w14:paraId="637805D2" w14:textId="2843C797" w:rsidR="003B71E0" w:rsidRPr="00712B66" w:rsidRDefault="5369289E" w:rsidP="00DB628C">
            <w:pPr>
              <w:contextualSpacing/>
              <w:jc w:val="both"/>
              <w:rPr>
                <w:color w:val="002060"/>
              </w:rPr>
            </w:pPr>
            <w:r>
              <w:t>“(2</w:t>
            </w:r>
            <w:r w:rsidRPr="4B600882">
              <w:rPr>
                <w:vertAlign w:val="superscript"/>
              </w:rPr>
              <w:t>2</w:t>
            </w:r>
            <w:r>
              <w:t>) Lai izstrādātu šī panta 2</w:t>
            </w:r>
            <w:r w:rsidRPr="4B600882">
              <w:rPr>
                <w:vertAlign w:val="superscript"/>
              </w:rPr>
              <w:t>1</w:t>
            </w:r>
            <w:r>
              <w:t>.daļā minēto rīcības programmu un noteiktu galvenos piesārņojuma avotus un plānotu tālāku pasākumu veikšanu, pašvaldībai ir tiesības veikt informācijas ievākšanu un apkopošanu par tās teritorijā izmantotajām apkures iekārtām un tajās izmantotā kurināmā veidu un apjomu</w:t>
            </w:r>
            <w:r w:rsidR="0A14F6A3">
              <w:t xml:space="preserve">. Pašvaldības dome </w:t>
            </w:r>
            <w:r w:rsidR="3A1F80A7">
              <w:t>nepieciešamības gadījumā</w:t>
            </w:r>
            <w:r w:rsidR="0A14F6A3">
              <w:t xml:space="preserve"> izdot noteikumus, kuros nosaka kārtību, kādā tiek veikta informācijas ievākšana par tās teritorijā izmantotajām apkures iekārtām un tajās izmantotā kurināmā veidu un apjomu.”</w:t>
            </w:r>
          </w:p>
        </w:tc>
      </w:tr>
      <w:tr w:rsidR="006B2DD2" w:rsidRPr="00712B66" w14:paraId="19F7E70C" w14:textId="77777777" w:rsidTr="4B600882">
        <w:tc>
          <w:tcPr>
            <w:tcW w:w="708" w:type="dxa"/>
            <w:tcBorders>
              <w:left w:val="single" w:sz="6" w:space="0" w:color="000000" w:themeColor="text1"/>
              <w:bottom w:val="single" w:sz="4" w:space="0" w:color="auto"/>
              <w:right w:val="single" w:sz="6" w:space="0" w:color="000000" w:themeColor="text1"/>
            </w:tcBorders>
          </w:tcPr>
          <w:p w14:paraId="12436420" w14:textId="40BA206C" w:rsidR="006B2DD2" w:rsidRDefault="006B2DD2" w:rsidP="006B2DD2">
            <w:pPr>
              <w:pStyle w:val="naisc"/>
              <w:spacing w:before="0" w:after="0"/>
              <w:ind w:firstLine="720"/>
            </w:pPr>
            <w:r>
              <w:lastRenderedPageBreak/>
              <w:t>3</w:t>
            </w:r>
          </w:p>
          <w:p w14:paraId="0CD8B23F" w14:textId="3B6290DF" w:rsidR="006B2DD2" w:rsidRPr="006B2DD2" w:rsidRDefault="006B2DD2" w:rsidP="006B2DD2">
            <w:pPr>
              <w:jc w:val="center"/>
            </w:pPr>
            <w:r>
              <w:t>3.</w:t>
            </w:r>
          </w:p>
        </w:tc>
        <w:tc>
          <w:tcPr>
            <w:tcW w:w="3086" w:type="dxa"/>
            <w:tcBorders>
              <w:left w:val="single" w:sz="6" w:space="0" w:color="000000" w:themeColor="text1"/>
              <w:bottom w:val="single" w:sz="4" w:space="0" w:color="auto"/>
              <w:right w:val="single" w:sz="6" w:space="0" w:color="000000" w:themeColor="text1"/>
            </w:tcBorders>
          </w:tcPr>
          <w:p w14:paraId="71B89714" w14:textId="77777777" w:rsidR="006B2DD2" w:rsidRDefault="006B2DD2" w:rsidP="00DB628C">
            <w:pPr>
              <w:pStyle w:val="naisc"/>
              <w:spacing w:before="0" w:after="0"/>
              <w:contextualSpacing/>
              <w:jc w:val="both"/>
              <w:rPr>
                <w:b/>
                <w:bCs/>
              </w:rPr>
            </w:pPr>
            <w:r w:rsidRPr="00AD6369">
              <w:rPr>
                <w:b/>
                <w:bCs/>
              </w:rPr>
              <w:t>Likumprojekta sākotnējā redakcijā nav</w:t>
            </w:r>
          </w:p>
          <w:p w14:paraId="703AD5C7" w14:textId="77777777" w:rsidR="006B2DD2" w:rsidRPr="079107B8" w:rsidRDefault="006B2DD2" w:rsidP="00DB628C">
            <w:pPr>
              <w:contextualSpacing/>
              <w:jc w:val="both"/>
            </w:pPr>
          </w:p>
        </w:tc>
        <w:tc>
          <w:tcPr>
            <w:tcW w:w="4394" w:type="dxa"/>
            <w:tcBorders>
              <w:left w:val="single" w:sz="6" w:space="0" w:color="000000" w:themeColor="text1"/>
              <w:bottom w:val="single" w:sz="4" w:space="0" w:color="auto"/>
              <w:right w:val="single" w:sz="6" w:space="0" w:color="000000" w:themeColor="text1"/>
            </w:tcBorders>
          </w:tcPr>
          <w:p w14:paraId="1346C3E5" w14:textId="5E38C4DB" w:rsidR="006B2DD2" w:rsidRDefault="006B2DD2" w:rsidP="00DB628C">
            <w:pPr>
              <w:pStyle w:val="naisc"/>
              <w:spacing w:before="0" w:after="0"/>
              <w:contextualSpacing/>
              <w:jc w:val="both"/>
              <w:rPr>
                <w:b/>
                <w:bCs/>
              </w:rPr>
            </w:pPr>
            <w:r w:rsidRPr="06BED3E0">
              <w:rPr>
                <w:b/>
                <w:bCs/>
              </w:rPr>
              <w:t>Latvijas Pašvaldību savienība:</w:t>
            </w:r>
          </w:p>
          <w:p w14:paraId="42E4E9E3" w14:textId="77777777" w:rsidR="0065391A" w:rsidRDefault="0065391A" w:rsidP="00DB628C">
            <w:pPr>
              <w:pStyle w:val="naisc"/>
              <w:spacing w:before="0" w:after="0"/>
              <w:contextualSpacing/>
              <w:jc w:val="both"/>
              <w:rPr>
                <w:b/>
                <w:bCs/>
              </w:rPr>
            </w:pPr>
          </w:p>
          <w:p w14:paraId="1CD5E7E2" w14:textId="77777777" w:rsidR="006B2DD2" w:rsidRDefault="006B2DD2" w:rsidP="00DB628C">
            <w:pPr>
              <w:contextualSpacing/>
              <w:jc w:val="both"/>
              <w:rPr>
                <w:sz w:val="28"/>
                <w:szCs w:val="28"/>
              </w:rPr>
            </w:pPr>
            <w:r w:rsidRPr="06BED3E0">
              <w:t xml:space="preserve">2. Ierosinām veikt grozījumus likumā “Par piesārņojumu”, kas izriet no likuma harmonizēšanas ar Eiropas Parlamenta un Padomes direktīvu 2002/49/EK (2002. gada 25. jūnijs) (turpmāk – Direktīva) par vides trokšņa novērtēšanu un pārvaldību: </w:t>
            </w:r>
          </w:p>
          <w:p w14:paraId="552D8BB6" w14:textId="77777777" w:rsidR="006B2DD2" w:rsidRDefault="006B2DD2" w:rsidP="00DB628C">
            <w:pPr>
              <w:contextualSpacing/>
              <w:jc w:val="both"/>
              <w:rPr>
                <w:sz w:val="28"/>
                <w:szCs w:val="28"/>
              </w:rPr>
            </w:pPr>
            <w:r w:rsidRPr="06BED3E0">
              <w:t xml:space="preserve">2.1. izteikt 1. panta 13) punktu šādā redakcijā: “trokšņa kartēšana — tādu datu, kas uzrāda esošu vai prognozētu stāvokli saistībā ar troksni, izteikšanu ar trokšņa </w:t>
            </w:r>
            <w:r w:rsidRPr="06BED3E0">
              <w:rPr>
                <w:u w:val="single"/>
              </w:rPr>
              <w:t>indikatoru</w:t>
            </w:r>
            <w:r w:rsidRPr="06BED3E0">
              <w:t xml:space="preserve">, norādot attiecīgo spēkā esošo robežvērtību pārsniegumus, trokšņa ietekmēto cilvēku skaitu konkrētā rajonā vai to mājokļu skaitu konkrētā rajonā, uz kuriem iedarbojas troksnis, ko raksturo konkrēts trokšņa </w:t>
            </w:r>
            <w:r w:rsidRPr="06BED3E0">
              <w:rPr>
                <w:u w:val="single"/>
              </w:rPr>
              <w:t>indikators</w:t>
            </w:r>
            <w:r w:rsidRPr="06BED3E0">
              <w:t>”;</w:t>
            </w:r>
          </w:p>
          <w:p w14:paraId="4F55B150" w14:textId="77777777" w:rsidR="006B2DD2" w:rsidRDefault="006B2DD2" w:rsidP="00DB628C">
            <w:pPr>
              <w:contextualSpacing/>
              <w:jc w:val="both"/>
              <w:rPr>
                <w:sz w:val="28"/>
                <w:szCs w:val="28"/>
              </w:rPr>
            </w:pPr>
            <w:r w:rsidRPr="06BED3E0">
              <w:t xml:space="preserve">2.2. izteikt 1. panta 14) punktu šādā redakcijā: trokšņa </w:t>
            </w:r>
            <w:r w:rsidRPr="06BED3E0">
              <w:rPr>
                <w:u w:val="single"/>
              </w:rPr>
              <w:t>indikators</w:t>
            </w:r>
            <w:r w:rsidRPr="06BED3E0">
              <w:t xml:space="preserve"> — fizikāls lielums, ar ko raksturo to troksni vidē, kam ir saistība ar kaitīgām sekām;</w:t>
            </w:r>
          </w:p>
          <w:p w14:paraId="25802EFE" w14:textId="77777777" w:rsidR="006B2DD2" w:rsidRDefault="006B2DD2" w:rsidP="00DB628C">
            <w:pPr>
              <w:contextualSpacing/>
              <w:jc w:val="both"/>
              <w:rPr>
                <w:sz w:val="28"/>
                <w:szCs w:val="28"/>
              </w:rPr>
            </w:pPr>
            <w:r w:rsidRPr="06BED3E0">
              <w:t>2.3. 1.panta 16) punktā svītrot vārdu “piemēram”, jo Direktīvā šajā punktā minētie trokšņa avoti ir kā obligāts priekšnosacījuma, nevis ilustrējošs piemērs;</w:t>
            </w:r>
          </w:p>
          <w:p w14:paraId="41979373" w14:textId="77777777" w:rsidR="006B2DD2" w:rsidRDefault="006B2DD2" w:rsidP="00DB628C">
            <w:pPr>
              <w:contextualSpacing/>
              <w:jc w:val="both"/>
              <w:rPr>
                <w:sz w:val="28"/>
                <w:szCs w:val="28"/>
              </w:rPr>
            </w:pPr>
            <w:r w:rsidRPr="06BED3E0">
              <w:t xml:space="preserve">2.4. 18.1 panta (1) daļā  vārdus “…dzelzceļa līnijām, autoceļiem un lidostām, kurās satiksmes intensitāte ir vairāk nekā 50 000 gaisa kuģu gadā,…” aizvietot ar vārdiem “… </w:t>
            </w:r>
            <w:r w:rsidRPr="06BED3E0">
              <w:rPr>
                <w:u w:val="single"/>
              </w:rPr>
              <w:t>galvenajiem autoceļiem, galvenajām dzelzceļa līnijām un galvenajām lidostām</w:t>
            </w:r>
            <w:r w:rsidRPr="06BED3E0">
              <w:t>…”;</w:t>
            </w:r>
          </w:p>
          <w:p w14:paraId="1C282AA8" w14:textId="6F00800F" w:rsidR="006B2DD2" w:rsidRPr="06BED3E0" w:rsidRDefault="006B2DD2" w:rsidP="00DB628C">
            <w:pPr>
              <w:pStyle w:val="naisc"/>
              <w:spacing w:before="0" w:after="0"/>
              <w:contextualSpacing/>
              <w:jc w:val="both"/>
              <w:rPr>
                <w:b/>
                <w:bCs/>
              </w:rPr>
            </w:pPr>
            <w:r w:rsidRPr="06BED3E0">
              <w:t xml:space="preserve">2.5. izteikt 18. 1 panta (3) punkta 1) apakšpunktu šādā redakcijā: “1) trokšņa </w:t>
            </w:r>
            <w:r w:rsidRPr="06BED3E0">
              <w:rPr>
                <w:u w:val="single"/>
              </w:rPr>
              <w:t>indikatorus</w:t>
            </w:r>
            <w:r w:rsidRPr="06BED3E0">
              <w:t>, to piemērošanas kārtību un novērtēšanas metodes.”</w:t>
            </w:r>
          </w:p>
        </w:tc>
        <w:tc>
          <w:tcPr>
            <w:tcW w:w="3465" w:type="dxa"/>
            <w:tcBorders>
              <w:left w:val="single" w:sz="6" w:space="0" w:color="000000" w:themeColor="text1"/>
              <w:bottom w:val="single" w:sz="4" w:space="0" w:color="auto"/>
              <w:right w:val="single" w:sz="6" w:space="0" w:color="000000" w:themeColor="text1"/>
            </w:tcBorders>
          </w:tcPr>
          <w:p w14:paraId="7BF91002" w14:textId="02CD3819" w:rsidR="006B2DD2" w:rsidRDefault="006B2DD2" w:rsidP="00DB628C">
            <w:pPr>
              <w:pStyle w:val="naisc"/>
              <w:spacing w:before="0" w:after="0"/>
              <w:ind w:left="63" w:hanging="7"/>
              <w:contextualSpacing/>
              <w:jc w:val="both"/>
              <w:rPr>
                <w:b/>
              </w:rPr>
            </w:pPr>
            <w:r w:rsidRPr="006B2DD2">
              <w:rPr>
                <w:b/>
              </w:rPr>
              <w:t>Saskaņošanas laikā panākta vienošanās</w:t>
            </w:r>
          </w:p>
          <w:p w14:paraId="15EDC8B0" w14:textId="77777777" w:rsidR="0065391A" w:rsidRPr="006B2DD2" w:rsidRDefault="0065391A" w:rsidP="00DB628C">
            <w:pPr>
              <w:pStyle w:val="naisc"/>
              <w:spacing w:before="0" w:after="0"/>
              <w:ind w:left="63" w:hanging="7"/>
              <w:contextualSpacing/>
              <w:jc w:val="both"/>
              <w:rPr>
                <w:b/>
              </w:rPr>
            </w:pPr>
          </w:p>
          <w:p w14:paraId="7A6DC815" w14:textId="77777777" w:rsidR="006B2DD2" w:rsidRDefault="006B2DD2" w:rsidP="00DB628C">
            <w:pPr>
              <w:contextualSpacing/>
              <w:jc w:val="both"/>
            </w:pPr>
            <w:r>
              <w:t xml:space="preserve">Jautājumi par vides trokšņa pārvaldību (tai skaitā, terminoloģiju), vides trokšņa stratēģisko karšu un rīcības plānu izstrādi (tai skaitā,  </w:t>
            </w:r>
            <w:r w:rsidRPr="102B8B8E">
              <w:t>Eiropas Parlamenta un Padomes 2002. gada 25. jūnija direktīvas 2002/49/EK par vides trokšņa novērtēšanu un pārvaldību</w:t>
            </w:r>
            <w:r>
              <w:t xml:space="preserve"> direktīvas (direktīva 2002/49/EK) prasību pārņemšanu, kā arī direktīvu prasību pārņemšanu ar kuru tiek grozīta direktīva  2002/49/EK) ir noregulēti Ministru kabineta 2014.gada 7. janvāra noteikumos Nr. 16 “Trokšņa novērtēšanas un pārvaldības kārtība”</w:t>
            </w:r>
          </w:p>
          <w:p w14:paraId="4BF93025" w14:textId="60A1C54A" w:rsidR="006B2DD2" w:rsidRPr="006B2DD2" w:rsidRDefault="006B2DD2" w:rsidP="00DB628C">
            <w:pPr>
              <w:pStyle w:val="naisc"/>
              <w:spacing w:before="0" w:after="0"/>
              <w:ind w:firstLine="56"/>
              <w:contextualSpacing/>
              <w:jc w:val="both"/>
              <w:rPr>
                <w:bCs/>
              </w:rPr>
            </w:pPr>
            <w:r>
              <w:t>Uzsveram, ka šobrīd tiek virzīts informatīvais ziņojums “Par vides trokšņa regulējumu” (VSS-98), kura ietvaros tiks izvērtēta nepieciešamību izdarīt grozījumus normatīvajos aktos vai jaunu normatīvo aktu izdošana.</w:t>
            </w:r>
          </w:p>
        </w:tc>
        <w:tc>
          <w:tcPr>
            <w:tcW w:w="3339" w:type="dxa"/>
            <w:tcBorders>
              <w:top w:val="single" w:sz="4" w:space="0" w:color="auto"/>
              <w:left w:val="single" w:sz="4" w:space="0" w:color="auto"/>
              <w:bottom w:val="single" w:sz="4" w:space="0" w:color="auto"/>
            </w:tcBorders>
          </w:tcPr>
          <w:p w14:paraId="31B8CF5D" w14:textId="77777777" w:rsidR="006B2DD2" w:rsidRPr="079107B8" w:rsidRDefault="006B2DD2" w:rsidP="00DB628C">
            <w:pPr>
              <w:contextualSpacing/>
              <w:jc w:val="both"/>
            </w:pPr>
          </w:p>
        </w:tc>
      </w:tr>
      <w:tr w:rsidR="006B2DD2" w14:paraId="45449992" w14:textId="77777777" w:rsidTr="4B600882">
        <w:tc>
          <w:tcPr>
            <w:tcW w:w="708" w:type="dxa"/>
            <w:tcBorders>
              <w:left w:val="single" w:sz="6" w:space="0" w:color="000000" w:themeColor="text1"/>
              <w:bottom w:val="single" w:sz="4" w:space="0" w:color="auto"/>
              <w:right w:val="single" w:sz="6" w:space="0" w:color="000000" w:themeColor="text1"/>
            </w:tcBorders>
          </w:tcPr>
          <w:p w14:paraId="1DB2584B" w14:textId="32822E51" w:rsidR="006B2DD2" w:rsidRDefault="006B2DD2" w:rsidP="006B2DD2">
            <w:pPr>
              <w:pStyle w:val="naisc"/>
            </w:pPr>
            <w:r>
              <w:t>4.</w:t>
            </w:r>
          </w:p>
        </w:tc>
        <w:tc>
          <w:tcPr>
            <w:tcW w:w="3086" w:type="dxa"/>
            <w:tcBorders>
              <w:left w:val="single" w:sz="6" w:space="0" w:color="000000" w:themeColor="text1"/>
              <w:bottom w:val="single" w:sz="4" w:space="0" w:color="auto"/>
              <w:right w:val="single" w:sz="6" w:space="0" w:color="000000" w:themeColor="text1"/>
            </w:tcBorders>
          </w:tcPr>
          <w:p w14:paraId="61E31F5F" w14:textId="62ED8B9E" w:rsidR="006B2DD2" w:rsidRPr="0065391A" w:rsidRDefault="006B2DD2" w:rsidP="00DB628C">
            <w:pPr>
              <w:contextualSpacing/>
              <w:jc w:val="both"/>
              <w:rPr>
                <w:b/>
                <w:bCs/>
              </w:rPr>
            </w:pPr>
            <w:r w:rsidRPr="0065391A">
              <w:rPr>
                <w:b/>
                <w:bCs/>
              </w:rPr>
              <w:t>Likumprojekta 1.pants:</w:t>
            </w:r>
          </w:p>
          <w:p w14:paraId="4E122AA7" w14:textId="77777777" w:rsidR="0065391A" w:rsidRPr="00712B66" w:rsidRDefault="0065391A" w:rsidP="00DB628C">
            <w:pPr>
              <w:contextualSpacing/>
              <w:jc w:val="both"/>
            </w:pPr>
          </w:p>
          <w:p w14:paraId="61377AD8" w14:textId="77777777" w:rsidR="006B2DD2" w:rsidRPr="00712B66" w:rsidRDefault="006B2DD2" w:rsidP="00DB628C">
            <w:pPr>
              <w:contextualSpacing/>
              <w:jc w:val="both"/>
            </w:pPr>
            <w:r w:rsidRPr="079107B8">
              <w:t>1. Papildināt 17. pantu ar 2.</w:t>
            </w:r>
            <w:r w:rsidRPr="079107B8">
              <w:rPr>
                <w:vertAlign w:val="superscript"/>
              </w:rPr>
              <w:t xml:space="preserve">2 </w:t>
            </w:r>
            <w:r w:rsidRPr="079107B8">
              <w:t>daļu šādā redakcijā:</w:t>
            </w:r>
          </w:p>
          <w:p w14:paraId="5DF203B2" w14:textId="2870898F" w:rsidR="006B2DD2" w:rsidRPr="00825385" w:rsidRDefault="006B2DD2" w:rsidP="00DB628C">
            <w:pPr>
              <w:pStyle w:val="naisc"/>
              <w:spacing w:before="0" w:after="0"/>
              <w:contextualSpacing/>
              <w:jc w:val="both"/>
              <w:rPr>
                <w:b/>
              </w:rPr>
            </w:pPr>
            <w:r w:rsidRPr="079107B8">
              <w:t>“(2</w:t>
            </w:r>
            <w:r w:rsidRPr="079107B8">
              <w:rPr>
                <w:vertAlign w:val="superscript"/>
              </w:rPr>
              <w:t>2</w:t>
            </w:r>
            <w:r w:rsidRPr="079107B8">
              <w:t>) Lai izstrādātu šī panta 2</w:t>
            </w:r>
            <w:r w:rsidRPr="079107B8">
              <w:rPr>
                <w:vertAlign w:val="superscript"/>
              </w:rPr>
              <w:t>1</w:t>
            </w:r>
            <w:r w:rsidRPr="079107B8">
              <w:t>. daļā minēto rīcības programmu un noteiktu galvenos piesārņojuma avotus un plānotu tālāku pasākumu veikšanu, pašvaldībai ir tiesības veikt informācijas ievākšanu un apkopošanu par tās teritorijā izmantotajām apkures iekārtām, kā arī izdot saistošos noteikumus par kārtību, kādā tiek veikta šādas informācijas ievākšana.”</w:t>
            </w:r>
          </w:p>
        </w:tc>
        <w:tc>
          <w:tcPr>
            <w:tcW w:w="4394" w:type="dxa"/>
            <w:tcBorders>
              <w:left w:val="single" w:sz="6" w:space="0" w:color="000000" w:themeColor="text1"/>
              <w:bottom w:val="single" w:sz="4" w:space="0" w:color="auto"/>
              <w:right w:val="single" w:sz="6" w:space="0" w:color="000000" w:themeColor="text1"/>
            </w:tcBorders>
          </w:tcPr>
          <w:p w14:paraId="2EA6B555" w14:textId="5263C059" w:rsidR="006B2DD2" w:rsidRDefault="006B2DD2" w:rsidP="00DB628C">
            <w:pPr>
              <w:widowControl w:val="0"/>
              <w:contextualSpacing/>
              <w:jc w:val="both"/>
              <w:rPr>
                <w:b/>
              </w:rPr>
            </w:pPr>
            <w:r w:rsidRPr="006D467B">
              <w:rPr>
                <w:b/>
              </w:rPr>
              <w:t>Tieslietu ministrija, 20.04. atzinums Nr. 1-9.1/401:</w:t>
            </w:r>
          </w:p>
          <w:p w14:paraId="57D6EF92" w14:textId="77777777" w:rsidR="0065391A" w:rsidRPr="006D467B" w:rsidRDefault="0065391A" w:rsidP="00DB628C">
            <w:pPr>
              <w:widowControl w:val="0"/>
              <w:contextualSpacing/>
              <w:jc w:val="both"/>
              <w:rPr>
                <w:b/>
              </w:rPr>
            </w:pPr>
          </w:p>
          <w:p w14:paraId="1170D65A" w14:textId="4A5EB731" w:rsidR="006B2DD2" w:rsidRPr="006D467B" w:rsidRDefault="006B2DD2" w:rsidP="00DB628C">
            <w:pPr>
              <w:ind w:right="12"/>
              <w:contextualSpacing/>
              <w:jc w:val="both"/>
            </w:pPr>
            <w:r w:rsidRPr="006D467B">
              <w:t>1. Lūdzam likumprojekta 1. pantā ietverto pilnvarojumu izdot pašvaldību saistošos noteikumus izteikt saskaņā ar Ministru kabineta 2009. gada 3. februāra noteikumu Nr.108 “Normatīvo aktu projektu sagatavošanas noteikumi” 54. punktu.</w:t>
            </w:r>
          </w:p>
          <w:p w14:paraId="2884A453" w14:textId="77777777" w:rsidR="006B2DD2" w:rsidRDefault="006B2DD2" w:rsidP="00DB628C">
            <w:pPr>
              <w:widowControl w:val="0"/>
              <w:contextualSpacing/>
              <w:jc w:val="both"/>
              <w:rPr>
                <w:b/>
              </w:rPr>
            </w:pPr>
          </w:p>
        </w:tc>
        <w:tc>
          <w:tcPr>
            <w:tcW w:w="3465" w:type="dxa"/>
            <w:tcBorders>
              <w:left w:val="single" w:sz="6" w:space="0" w:color="000000" w:themeColor="text1"/>
              <w:bottom w:val="single" w:sz="4" w:space="0" w:color="auto"/>
              <w:right w:val="single" w:sz="6" w:space="0" w:color="000000" w:themeColor="text1"/>
            </w:tcBorders>
          </w:tcPr>
          <w:p w14:paraId="03A0C3C5" w14:textId="50677D19" w:rsidR="006B2DD2" w:rsidRPr="06BED3E0" w:rsidRDefault="006B2DD2" w:rsidP="00DB628C">
            <w:pPr>
              <w:pStyle w:val="naisc"/>
              <w:spacing w:before="0" w:after="0"/>
              <w:contextualSpacing/>
              <w:jc w:val="both"/>
              <w:rPr>
                <w:b/>
                <w:bCs/>
              </w:rPr>
            </w:pPr>
            <w:r>
              <w:rPr>
                <w:b/>
                <w:bCs/>
              </w:rPr>
              <w:t>Ņemts vērā</w:t>
            </w:r>
          </w:p>
        </w:tc>
        <w:tc>
          <w:tcPr>
            <w:tcW w:w="3339" w:type="dxa"/>
            <w:tcBorders>
              <w:top w:val="single" w:sz="4" w:space="0" w:color="auto"/>
              <w:left w:val="single" w:sz="4" w:space="0" w:color="auto"/>
              <w:bottom w:val="single" w:sz="4" w:space="0" w:color="auto"/>
            </w:tcBorders>
          </w:tcPr>
          <w:p w14:paraId="348E4556" w14:textId="0D398C03" w:rsidR="0065391A" w:rsidRPr="00502A3D" w:rsidRDefault="0065391A" w:rsidP="00DB628C">
            <w:pPr>
              <w:contextualSpacing/>
              <w:jc w:val="both"/>
              <w:rPr>
                <w:rFonts w:eastAsia="Calibri"/>
                <w:b/>
                <w:bCs/>
              </w:rPr>
            </w:pPr>
            <w:r w:rsidRPr="00502A3D">
              <w:rPr>
                <w:rFonts w:eastAsia="Calibri"/>
                <w:b/>
                <w:bCs/>
              </w:rPr>
              <w:t xml:space="preserve">Precizēta likumprojekta </w:t>
            </w:r>
            <w:r>
              <w:rPr>
                <w:rFonts w:eastAsia="Calibri"/>
                <w:b/>
                <w:bCs/>
              </w:rPr>
              <w:t>1</w:t>
            </w:r>
            <w:r w:rsidRPr="00502A3D">
              <w:rPr>
                <w:rFonts w:eastAsia="Calibri"/>
                <w:b/>
                <w:bCs/>
              </w:rPr>
              <w:t>.  panta  redakcija:</w:t>
            </w:r>
          </w:p>
          <w:p w14:paraId="22C682A2" w14:textId="77777777" w:rsidR="0065391A" w:rsidRPr="0065391A" w:rsidRDefault="0065391A" w:rsidP="00DB628C">
            <w:pPr>
              <w:contextualSpacing/>
              <w:jc w:val="both"/>
              <w:rPr>
                <w:b/>
                <w:bCs/>
              </w:rPr>
            </w:pPr>
          </w:p>
          <w:p w14:paraId="630E8BEB" w14:textId="167D039C" w:rsidR="006B2DD2" w:rsidRPr="008B27CD" w:rsidRDefault="006B2DD2" w:rsidP="00DB628C">
            <w:pPr>
              <w:contextualSpacing/>
              <w:jc w:val="both"/>
            </w:pPr>
            <w:r w:rsidRPr="4F9D64DF">
              <w:t>1. Papildināt 17. pantu ar 2.</w:t>
            </w:r>
            <w:r w:rsidRPr="4F9D64DF">
              <w:rPr>
                <w:vertAlign w:val="superscript"/>
              </w:rPr>
              <w:t xml:space="preserve">2 </w:t>
            </w:r>
            <w:r w:rsidRPr="4F9D64DF">
              <w:t>daļu šādā redakcijā:</w:t>
            </w:r>
          </w:p>
          <w:p w14:paraId="5E0F0876" w14:textId="62F27617" w:rsidR="006B2DD2" w:rsidRPr="008B27CD" w:rsidRDefault="006B2DD2" w:rsidP="00DB628C">
            <w:pPr>
              <w:contextualSpacing/>
              <w:jc w:val="both"/>
              <w:rPr>
                <w:color w:val="002060"/>
              </w:rPr>
            </w:pPr>
            <w:r>
              <w:t>“(2</w:t>
            </w:r>
            <w:r w:rsidRPr="4B600882">
              <w:rPr>
                <w:vertAlign w:val="superscript"/>
              </w:rPr>
              <w:t>2</w:t>
            </w:r>
            <w:r>
              <w:t>) Lai izstrādātu šī panta 2</w:t>
            </w:r>
            <w:r w:rsidRPr="4B600882">
              <w:rPr>
                <w:vertAlign w:val="superscript"/>
              </w:rPr>
              <w:t>1</w:t>
            </w:r>
            <w:r>
              <w:t>.daļā minēto rīcības programmu un noteiktu galvenos piesārņojuma avotus un plānotu tālāku pasākumu veikšanu, pašvaldībai ir tiesības veikt informācijas ievākšanu un apkopošanu par tās teritorijā izmantotajām apkures iekārtām un tajās izmantotā kurināmā veidu un apjomu. Pašvaldības dome nepieciešamības gadījumā izdot noteikumus, kuros nosaka kārtību, kādā tiek veikta informācijas ievākšana par tās teritorijā izmantotajām apkures iekārtām un tajās izmantotā kurināmā veidu un apjomu.”</w:t>
            </w:r>
          </w:p>
          <w:p w14:paraId="49831836" w14:textId="7095DB6A" w:rsidR="006B2DD2" w:rsidRPr="008B27CD" w:rsidRDefault="006B2DD2" w:rsidP="00DB628C">
            <w:pPr>
              <w:contextualSpacing/>
              <w:jc w:val="both"/>
              <w:rPr>
                <w:b/>
                <w:bCs/>
              </w:rPr>
            </w:pPr>
          </w:p>
        </w:tc>
      </w:tr>
      <w:tr w:rsidR="006B2DD2" w14:paraId="4B39934D" w14:textId="77777777" w:rsidTr="00D42972">
        <w:tc>
          <w:tcPr>
            <w:tcW w:w="708" w:type="dxa"/>
            <w:tcBorders>
              <w:left w:val="single" w:sz="6" w:space="0" w:color="000000" w:themeColor="text1"/>
              <w:bottom w:val="single" w:sz="4" w:space="0" w:color="auto"/>
              <w:right w:val="single" w:sz="6" w:space="0" w:color="000000" w:themeColor="text1"/>
            </w:tcBorders>
          </w:tcPr>
          <w:p w14:paraId="0E1CD3DB" w14:textId="400D1C0E" w:rsidR="006B2DD2" w:rsidRDefault="006B2DD2" w:rsidP="006B2DD2">
            <w:pPr>
              <w:pStyle w:val="naisc"/>
            </w:pPr>
            <w:r>
              <w:t>5.</w:t>
            </w:r>
          </w:p>
        </w:tc>
        <w:tc>
          <w:tcPr>
            <w:tcW w:w="3086" w:type="dxa"/>
            <w:tcBorders>
              <w:left w:val="single" w:sz="6" w:space="0" w:color="000000" w:themeColor="text1"/>
              <w:bottom w:val="single" w:sz="4" w:space="0" w:color="auto"/>
              <w:right w:val="single" w:sz="6" w:space="0" w:color="000000" w:themeColor="text1"/>
            </w:tcBorders>
          </w:tcPr>
          <w:p w14:paraId="745C7E02" w14:textId="0B356AB0" w:rsidR="006B2DD2" w:rsidRDefault="006B2DD2" w:rsidP="00DB628C">
            <w:pPr>
              <w:pStyle w:val="naisc"/>
              <w:spacing w:before="0" w:after="0"/>
              <w:contextualSpacing/>
              <w:jc w:val="both"/>
              <w:rPr>
                <w:b/>
              </w:rPr>
            </w:pPr>
            <w:r w:rsidRPr="00825385">
              <w:rPr>
                <w:b/>
              </w:rPr>
              <w:t>Likumprojekta anotācijas V. sadaļas 1. tabulas sadaļa attiecībā uz rīcības brīvības izman</w:t>
            </w:r>
            <w:r>
              <w:rPr>
                <w:b/>
              </w:rPr>
              <w:t>to</w:t>
            </w:r>
            <w:r w:rsidRPr="00825385">
              <w:rPr>
                <w:b/>
              </w:rPr>
              <w:t>šanu:</w:t>
            </w:r>
          </w:p>
          <w:p w14:paraId="1B4A8741" w14:textId="77777777" w:rsidR="0065391A" w:rsidRPr="00825385" w:rsidRDefault="0065391A" w:rsidP="00DB628C">
            <w:pPr>
              <w:pStyle w:val="naisc"/>
              <w:spacing w:before="0" w:after="0"/>
              <w:contextualSpacing/>
              <w:jc w:val="both"/>
            </w:pPr>
          </w:p>
          <w:p w14:paraId="1B5B1135" w14:textId="77777777" w:rsidR="006B2DD2" w:rsidRPr="00825385" w:rsidRDefault="006B2DD2" w:rsidP="00DB628C">
            <w:pPr>
              <w:contextualSpacing/>
              <w:jc w:val="both"/>
              <w:rPr>
                <w:iCs/>
              </w:rPr>
            </w:pPr>
            <w:r w:rsidRPr="00825385">
              <w:rPr>
                <w:iCs/>
              </w:rPr>
              <w:t>Ar Likumprojektu ir pārņemtas Direktīvas 2018/410 prasības saistībā ar 1. panta 21. punktā izteikto 13. pantu.</w:t>
            </w:r>
          </w:p>
          <w:p w14:paraId="3E0AC377" w14:textId="18B50A65" w:rsidR="006B2DD2" w:rsidRPr="00825385" w:rsidRDefault="006B2DD2" w:rsidP="00DB628C">
            <w:pPr>
              <w:pStyle w:val="naisc"/>
              <w:spacing w:before="0" w:after="0"/>
              <w:contextualSpacing/>
              <w:jc w:val="both"/>
            </w:pPr>
          </w:p>
        </w:tc>
        <w:tc>
          <w:tcPr>
            <w:tcW w:w="4394" w:type="dxa"/>
            <w:tcBorders>
              <w:left w:val="single" w:sz="6" w:space="0" w:color="000000" w:themeColor="text1"/>
              <w:bottom w:val="single" w:sz="4" w:space="0" w:color="auto"/>
              <w:right w:val="single" w:sz="6" w:space="0" w:color="000000" w:themeColor="text1"/>
            </w:tcBorders>
          </w:tcPr>
          <w:p w14:paraId="4D1EB28C" w14:textId="15338DA0" w:rsidR="006B2DD2" w:rsidRDefault="006B2DD2" w:rsidP="00DB628C">
            <w:pPr>
              <w:widowControl w:val="0"/>
              <w:contextualSpacing/>
              <w:jc w:val="both"/>
              <w:rPr>
                <w:b/>
              </w:rPr>
            </w:pPr>
            <w:r>
              <w:rPr>
                <w:b/>
              </w:rPr>
              <w:t>Tieslietu ministrija, 20.04</w:t>
            </w:r>
            <w:r w:rsidRPr="0028614E">
              <w:rPr>
                <w:b/>
              </w:rPr>
              <w:t>. atzinums</w:t>
            </w:r>
            <w:r>
              <w:rPr>
                <w:b/>
              </w:rPr>
              <w:t xml:space="preserve"> </w:t>
            </w:r>
            <w:r w:rsidRPr="00017333">
              <w:rPr>
                <w:b/>
              </w:rPr>
              <w:t xml:space="preserve">Nr. </w:t>
            </w:r>
            <w:r w:rsidRPr="00F01336">
              <w:rPr>
                <w:b/>
              </w:rPr>
              <w:t>1-9.1/401</w:t>
            </w:r>
            <w:r>
              <w:rPr>
                <w:b/>
              </w:rPr>
              <w:t>:</w:t>
            </w:r>
          </w:p>
          <w:p w14:paraId="75CCF1C3" w14:textId="77777777" w:rsidR="0065391A" w:rsidRDefault="0065391A" w:rsidP="00DB628C">
            <w:pPr>
              <w:widowControl w:val="0"/>
              <w:contextualSpacing/>
              <w:jc w:val="both"/>
              <w:rPr>
                <w:b/>
              </w:rPr>
            </w:pPr>
          </w:p>
          <w:p w14:paraId="42AEB173" w14:textId="1B395AF1" w:rsidR="006B2DD2" w:rsidRPr="00F01336" w:rsidRDefault="006B2DD2" w:rsidP="00DB628C">
            <w:pPr>
              <w:widowControl w:val="0"/>
              <w:contextualSpacing/>
              <w:jc w:val="both"/>
              <w:rPr>
                <w:bCs/>
              </w:rPr>
            </w:pPr>
            <w:r>
              <w:rPr>
                <w:bCs/>
              </w:rPr>
              <w:t>2. </w:t>
            </w:r>
            <w:r w:rsidRPr="005F1D02">
              <w:rPr>
                <w:bCs/>
              </w:rPr>
              <w:t xml:space="preserve">Lūdzam svītrot informāciju projekta anotācijas V sadaļas 1. tabulā attiecībā uz rīcības brīvības izmantošanu, jo Eiropas Parlamenta un Padomes 2018. gada 14. marta Direktīvas (ES) 2018/410, ar ko groza Direktīvu 2003/87/EK, lai sekmētu emisiju </w:t>
            </w:r>
            <w:proofErr w:type="spellStart"/>
            <w:r w:rsidRPr="005F1D02">
              <w:rPr>
                <w:bCs/>
              </w:rPr>
              <w:t>izmaksefektīvu</w:t>
            </w:r>
            <w:proofErr w:type="spellEnd"/>
            <w:r w:rsidRPr="005F1D02">
              <w:rPr>
                <w:bCs/>
              </w:rPr>
              <w:t xml:space="preserve"> samazināšanu un investīcijas </w:t>
            </w:r>
            <w:proofErr w:type="spellStart"/>
            <w:r w:rsidRPr="005F1D02">
              <w:rPr>
                <w:bCs/>
              </w:rPr>
              <w:t>mazoglekļa</w:t>
            </w:r>
            <w:proofErr w:type="spellEnd"/>
            <w:r w:rsidRPr="005F1D02">
              <w:rPr>
                <w:bCs/>
              </w:rPr>
              <w:t xml:space="preserve"> risinājumos, un Lēmumu (ES) 2015/1814, 1. panta 21. punkts neparedz dalībvalsts rīcības brīvību.</w:t>
            </w:r>
          </w:p>
          <w:p w14:paraId="685D274A" w14:textId="03994C96" w:rsidR="006B2DD2" w:rsidRDefault="006B2DD2" w:rsidP="00DB628C">
            <w:pPr>
              <w:pStyle w:val="naisc"/>
              <w:spacing w:before="0" w:after="0"/>
              <w:contextualSpacing/>
              <w:jc w:val="both"/>
            </w:pPr>
          </w:p>
        </w:tc>
        <w:tc>
          <w:tcPr>
            <w:tcW w:w="3465" w:type="dxa"/>
            <w:tcBorders>
              <w:left w:val="single" w:sz="6" w:space="0" w:color="000000" w:themeColor="text1"/>
              <w:bottom w:val="single" w:sz="4" w:space="0" w:color="auto"/>
              <w:right w:val="single" w:sz="6" w:space="0" w:color="000000" w:themeColor="text1"/>
            </w:tcBorders>
          </w:tcPr>
          <w:p w14:paraId="3BDFD097" w14:textId="23BDCC81" w:rsidR="006B2DD2" w:rsidRDefault="006B2DD2" w:rsidP="00DB628C">
            <w:pPr>
              <w:pStyle w:val="naisc"/>
              <w:spacing w:before="0" w:after="0"/>
              <w:contextualSpacing/>
              <w:jc w:val="both"/>
            </w:pPr>
            <w:r w:rsidRPr="06BED3E0">
              <w:rPr>
                <w:b/>
                <w:bCs/>
              </w:rPr>
              <w:t>Ņemts vērā</w:t>
            </w:r>
          </w:p>
        </w:tc>
        <w:tc>
          <w:tcPr>
            <w:tcW w:w="3339" w:type="dxa"/>
            <w:tcBorders>
              <w:top w:val="single" w:sz="4" w:space="0" w:color="auto"/>
              <w:left w:val="single" w:sz="4" w:space="0" w:color="auto"/>
              <w:bottom w:val="single" w:sz="4" w:space="0" w:color="auto"/>
            </w:tcBorders>
          </w:tcPr>
          <w:p w14:paraId="72F1DC14" w14:textId="64E979D7" w:rsidR="006B2DD2" w:rsidRPr="008B27CD" w:rsidRDefault="006B2DD2" w:rsidP="00DB628C">
            <w:pPr>
              <w:contextualSpacing/>
              <w:jc w:val="both"/>
              <w:rPr>
                <w:b/>
                <w:bCs/>
              </w:rPr>
            </w:pPr>
            <w:r w:rsidRPr="008B27CD">
              <w:rPr>
                <w:b/>
                <w:bCs/>
              </w:rPr>
              <w:t>Svītrota informācija likumprojekta anotācijas V sadaļas 1. tabulā attiecībā uz rīcības brīvības izman</w:t>
            </w:r>
            <w:r>
              <w:rPr>
                <w:b/>
                <w:bCs/>
              </w:rPr>
              <w:t>to</w:t>
            </w:r>
            <w:r w:rsidRPr="008B27CD">
              <w:rPr>
                <w:b/>
                <w:bCs/>
              </w:rPr>
              <w:t>šanu</w:t>
            </w:r>
          </w:p>
        </w:tc>
      </w:tr>
      <w:tr w:rsidR="006B2DD2" w14:paraId="33318A42" w14:textId="77777777" w:rsidTr="00D42972">
        <w:tc>
          <w:tcPr>
            <w:tcW w:w="708" w:type="dxa"/>
            <w:tcBorders>
              <w:top w:val="single" w:sz="4" w:space="0" w:color="auto"/>
              <w:left w:val="single" w:sz="6" w:space="0" w:color="000000" w:themeColor="text1"/>
              <w:bottom w:val="single" w:sz="4" w:space="0" w:color="auto"/>
              <w:right w:val="single" w:sz="6" w:space="0" w:color="000000" w:themeColor="text1"/>
            </w:tcBorders>
          </w:tcPr>
          <w:p w14:paraId="2C0F3128" w14:textId="031120D1" w:rsidR="006B2DD2" w:rsidRDefault="006B2DD2" w:rsidP="006B2DD2">
            <w:pPr>
              <w:pStyle w:val="naisc"/>
            </w:pPr>
            <w:r>
              <w:t>6.</w:t>
            </w:r>
          </w:p>
        </w:tc>
        <w:tc>
          <w:tcPr>
            <w:tcW w:w="3086" w:type="dxa"/>
            <w:tcBorders>
              <w:top w:val="single" w:sz="4" w:space="0" w:color="auto"/>
              <w:left w:val="single" w:sz="6" w:space="0" w:color="000000" w:themeColor="text1"/>
              <w:bottom w:val="single" w:sz="4" w:space="0" w:color="auto"/>
              <w:right w:val="single" w:sz="6" w:space="0" w:color="000000" w:themeColor="text1"/>
            </w:tcBorders>
          </w:tcPr>
          <w:p w14:paraId="19103CE2" w14:textId="77777777" w:rsidR="00FD4A90" w:rsidRPr="00502A3D" w:rsidRDefault="00FD4A90" w:rsidP="00DB628C">
            <w:pPr>
              <w:contextualSpacing/>
              <w:jc w:val="both"/>
              <w:rPr>
                <w:rFonts w:eastAsia="Calibri"/>
                <w:b/>
                <w:bCs/>
              </w:rPr>
            </w:pPr>
            <w:r>
              <w:rPr>
                <w:rFonts w:eastAsia="Calibri"/>
                <w:b/>
                <w:bCs/>
              </w:rPr>
              <w:t>L</w:t>
            </w:r>
            <w:r w:rsidRPr="00502A3D">
              <w:rPr>
                <w:rFonts w:eastAsia="Calibri"/>
                <w:b/>
                <w:bCs/>
              </w:rPr>
              <w:t>ikumprojekta 2.  panta  redakcija:</w:t>
            </w:r>
          </w:p>
          <w:p w14:paraId="1EFC5CD5" w14:textId="77777777" w:rsidR="00FD4A90" w:rsidRDefault="00FD4A90" w:rsidP="00DB628C">
            <w:pPr>
              <w:contextualSpacing/>
              <w:jc w:val="both"/>
              <w:rPr>
                <w:rFonts w:eastAsia="Calibri"/>
              </w:rPr>
            </w:pPr>
          </w:p>
          <w:p w14:paraId="528209BB" w14:textId="77777777" w:rsidR="00FD4A90" w:rsidRPr="00DD3C52" w:rsidRDefault="00FD4A90" w:rsidP="00DB628C">
            <w:pPr>
              <w:pStyle w:val="CommentText"/>
              <w:contextualSpacing/>
              <w:jc w:val="both"/>
              <w:rPr>
                <w:sz w:val="24"/>
                <w:szCs w:val="24"/>
              </w:rPr>
            </w:pPr>
            <w:r>
              <w:rPr>
                <w:sz w:val="24"/>
                <w:szCs w:val="24"/>
              </w:rPr>
              <w:t>“</w:t>
            </w:r>
            <w:r w:rsidRPr="00DD3C52">
              <w:rPr>
                <w:sz w:val="24"/>
                <w:szCs w:val="24"/>
              </w:rPr>
              <w:t>(2) Emisijas kvotas derīgums ir atkarīgs no tā izdošanas perioda:</w:t>
            </w:r>
          </w:p>
          <w:p w14:paraId="61BC272B" w14:textId="77777777" w:rsidR="00FD4A90" w:rsidRDefault="00FD4A90" w:rsidP="00DB628C">
            <w:pPr>
              <w:pStyle w:val="CommentText"/>
              <w:contextualSpacing/>
              <w:jc w:val="both"/>
              <w:rPr>
                <w:sz w:val="24"/>
                <w:szCs w:val="24"/>
              </w:rPr>
            </w:pPr>
            <w:r w:rsidRPr="00DD3C52">
              <w:rPr>
                <w:sz w:val="24"/>
                <w:szCs w:val="24"/>
              </w:rPr>
              <w:t>1) 32.</w:t>
            </w:r>
            <w:r w:rsidRPr="00DD3C52">
              <w:rPr>
                <w:sz w:val="24"/>
                <w:szCs w:val="24"/>
                <w:vertAlign w:val="superscript"/>
              </w:rPr>
              <w:t>2</w:t>
            </w:r>
            <w:r w:rsidRPr="00DD3C52">
              <w:rPr>
                <w:sz w:val="24"/>
                <w:szCs w:val="24"/>
              </w:rPr>
              <w:t xml:space="preserve"> panta 1.</w:t>
            </w:r>
            <w:r w:rsidRPr="00DD3C52">
              <w:rPr>
                <w:sz w:val="24"/>
                <w:szCs w:val="24"/>
                <w:vertAlign w:val="superscript"/>
              </w:rPr>
              <w:t>1</w:t>
            </w:r>
            <w:r w:rsidRPr="00DD3C52">
              <w:rPr>
                <w:sz w:val="24"/>
                <w:szCs w:val="24"/>
              </w:rPr>
              <w:t xml:space="preserve"> daļas 3. punktā noteiktā perioda laikā izdotās kvotas ir beztermiņa;</w:t>
            </w:r>
          </w:p>
          <w:p w14:paraId="0A378D77" w14:textId="77777777" w:rsidR="00FD4A90" w:rsidRPr="0039202B" w:rsidRDefault="00FD4A90" w:rsidP="00DB628C">
            <w:pPr>
              <w:pStyle w:val="CommentText"/>
              <w:contextualSpacing/>
              <w:jc w:val="both"/>
              <w:rPr>
                <w:sz w:val="24"/>
                <w:szCs w:val="24"/>
              </w:rPr>
            </w:pPr>
            <w:r w:rsidRPr="00DD3C52">
              <w:rPr>
                <w:sz w:val="24"/>
                <w:szCs w:val="24"/>
              </w:rPr>
              <w:t>2) 32.</w:t>
            </w:r>
            <w:r w:rsidRPr="00DD3C52">
              <w:rPr>
                <w:sz w:val="24"/>
                <w:szCs w:val="24"/>
                <w:vertAlign w:val="superscript"/>
              </w:rPr>
              <w:t>2</w:t>
            </w:r>
            <w:r w:rsidRPr="00DD3C52">
              <w:rPr>
                <w:sz w:val="24"/>
                <w:szCs w:val="24"/>
              </w:rPr>
              <w:t xml:space="preserve"> panta 1.</w:t>
            </w:r>
            <w:r w:rsidRPr="00DD3C52">
              <w:rPr>
                <w:sz w:val="24"/>
                <w:szCs w:val="24"/>
                <w:vertAlign w:val="superscript"/>
              </w:rPr>
              <w:t>1</w:t>
            </w:r>
            <w:r w:rsidRPr="00DD3C52">
              <w:rPr>
                <w:sz w:val="24"/>
                <w:szCs w:val="24"/>
              </w:rPr>
              <w:t xml:space="preserve"> daļas 4. punktā noteiktā perioda laikā izdotās kvotas ir beztermiņa un tām tiek norādīts, kurā Eiropas Savienības Emisijas kvotu tirdzniecības sistēmas </w:t>
            </w:r>
            <w:r>
              <w:rPr>
                <w:sz w:val="24"/>
                <w:szCs w:val="24"/>
              </w:rPr>
              <w:t>desmit</w:t>
            </w:r>
            <w:r w:rsidRPr="00DD3C52">
              <w:rPr>
                <w:sz w:val="24"/>
                <w:szCs w:val="24"/>
              </w:rPr>
              <w:t xml:space="preserve"> gadu periodā, tās tikušas izdotas. Šīs </w:t>
            </w:r>
            <w:r>
              <w:rPr>
                <w:sz w:val="24"/>
                <w:szCs w:val="24"/>
              </w:rPr>
              <w:t xml:space="preserve">emisijas </w:t>
            </w:r>
            <w:r w:rsidRPr="00DD3C52">
              <w:rPr>
                <w:sz w:val="24"/>
                <w:szCs w:val="24"/>
              </w:rPr>
              <w:t>kvotas ir derīgas emisijas kvotu nodošanai sākot no minētā perioda pirmā gada.</w:t>
            </w:r>
            <w:r>
              <w:rPr>
                <w:sz w:val="24"/>
                <w:szCs w:val="24"/>
              </w:rPr>
              <w:t>”</w:t>
            </w:r>
          </w:p>
          <w:p w14:paraId="5DDDA55E" w14:textId="77777777" w:rsidR="006B2DD2" w:rsidRPr="00825385" w:rsidRDefault="006B2DD2" w:rsidP="00DB628C">
            <w:pPr>
              <w:pStyle w:val="CommentText"/>
              <w:contextualSpacing/>
              <w:jc w:val="both"/>
              <w:rPr>
                <w:b/>
              </w:rPr>
            </w:pPr>
          </w:p>
        </w:tc>
        <w:tc>
          <w:tcPr>
            <w:tcW w:w="4394" w:type="dxa"/>
            <w:tcBorders>
              <w:top w:val="single" w:sz="4" w:space="0" w:color="auto"/>
              <w:left w:val="single" w:sz="6" w:space="0" w:color="000000" w:themeColor="text1"/>
              <w:bottom w:val="single" w:sz="4" w:space="0" w:color="auto"/>
              <w:right w:val="single" w:sz="6" w:space="0" w:color="000000" w:themeColor="text1"/>
            </w:tcBorders>
          </w:tcPr>
          <w:p w14:paraId="764525EE" w14:textId="77777777" w:rsidR="00FD4A90" w:rsidRDefault="00FD4A90" w:rsidP="00DB628C">
            <w:pPr>
              <w:widowControl w:val="0"/>
              <w:contextualSpacing/>
              <w:jc w:val="both"/>
              <w:rPr>
                <w:b/>
              </w:rPr>
            </w:pPr>
            <w:r>
              <w:rPr>
                <w:b/>
              </w:rPr>
              <w:t>Ekonomikas ministrija, 30.04</w:t>
            </w:r>
            <w:r w:rsidRPr="0028614E">
              <w:rPr>
                <w:b/>
              </w:rPr>
              <w:t>. atzinums</w:t>
            </w:r>
            <w:r>
              <w:rPr>
                <w:b/>
              </w:rPr>
              <w:t xml:space="preserve"> Nr.</w:t>
            </w:r>
            <w:r w:rsidRPr="00D42972">
              <w:rPr>
                <w:b/>
              </w:rPr>
              <w:t xml:space="preserve"> 3.1-20/2020/97</w:t>
            </w:r>
          </w:p>
          <w:p w14:paraId="55CD191D" w14:textId="77777777" w:rsidR="00FD4A90" w:rsidRDefault="00FD4A90" w:rsidP="00DB628C">
            <w:pPr>
              <w:widowControl w:val="0"/>
              <w:contextualSpacing/>
              <w:jc w:val="both"/>
            </w:pPr>
            <w:r>
              <w:t>Priekšlikums:</w:t>
            </w:r>
          </w:p>
          <w:p w14:paraId="1B1DFF30" w14:textId="373DBD9A" w:rsidR="006B2DD2" w:rsidRPr="00C4092C" w:rsidRDefault="00FD4A90" w:rsidP="00DB628C">
            <w:pPr>
              <w:widowControl w:val="0"/>
              <w:contextualSpacing/>
              <w:jc w:val="both"/>
            </w:pPr>
            <w:r w:rsidRPr="00D42972">
              <w:t>Vienlaikus Ekonomikas ministrija izsaka priekšlikumu Vides aizsardzības un reģionālās attīstības ministrijai precizēt likumprojekta otrajā daļā izteikto likuma “Par piesārņojumu” 32.2 panta otrās daļas 2. punkta 2. teikumu, lai viennozīmīgi būtu skaidrs, ka emisijas kvotas var nodot, atskaitoties par konkrētā perioda pirmajā gadā radīto emisiju apjomu, jo šobrīd šis teikums vairāk ir saprotams tā, ka emisijas kvotas jau var sākt nodot minētā perioda pirmajā gadā, t.i. 2021.gadā. Līdz ar to Ekonomikas ministrija ierosina minētajā teikumā noteikt, ka “emisijas kvotas ir derīgas emisijas kvotu nodošanai, sākot ar minētā perioda otro gadu”, vai noteikt, ka “emisijas kvotas ir derīgas emisijas kvotu nodošanai par to emisiju apjomu, kas radīts sākot no minētā perioda pirmā gada”.</w:t>
            </w:r>
          </w:p>
        </w:tc>
        <w:tc>
          <w:tcPr>
            <w:tcW w:w="3465" w:type="dxa"/>
            <w:tcBorders>
              <w:top w:val="single" w:sz="4" w:space="0" w:color="auto"/>
              <w:left w:val="single" w:sz="6" w:space="0" w:color="000000" w:themeColor="text1"/>
              <w:bottom w:val="single" w:sz="4" w:space="0" w:color="auto"/>
              <w:right w:val="single" w:sz="6" w:space="0" w:color="000000" w:themeColor="text1"/>
            </w:tcBorders>
          </w:tcPr>
          <w:p w14:paraId="68D38776" w14:textId="0F190039" w:rsidR="006B2DD2" w:rsidRPr="06BED3E0" w:rsidRDefault="00FD4A90" w:rsidP="00DB628C">
            <w:pPr>
              <w:pStyle w:val="naisc"/>
              <w:spacing w:before="0" w:after="0"/>
              <w:contextualSpacing/>
              <w:jc w:val="both"/>
              <w:rPr>
                <w:b/>
                <w:bCs/>
              </w:rPr>
            </w:pPr>
            <w:r w:rsidRPr="06BED3E0">
              <w:rPr>
                <w:b/>
                <w:bCs/>
              </w:rPr>
              <w:t>Ņemts vērā</w:t>
            </w:r>
          </w:p>
        </w:tc>
        <w:tc>
          <w:tcPr>
            <w:tcW w:w="3339" w:type="dxa"/>
            <w:tcBorders>
              <w:top w:val="single" w:sz="4" w:space="0" w:color="auto"/>
              <w:left w:val="single" w:sz="4" w:space="0" w:color="auto"/>
              <w:bottom w:val="single" w:sz="4" w:space="0" w:color="auto"/>
            </w:tcBorders>
          </w:tcPr>
          <w:p w14:paraId="06932930" w14:textId="77777777" w:rsidR="00FD4A90" w:rsidRPr="00502A3D" w:rsidRDefault="00FD4A90" w:rsidP="00DB628C">
            <w:pPr>
              <w:contextualSpacing/>
              <w:jc w:val="both"/>
              <w:rPr>
                <w:rFonts w:eastAsia="Calibri"/>
                <w:b/>
                <w:bCs/>
              </w:rPr>
            </w:pPr>
            <w:r>
              <w:rPr>
                <w:rFonts w:eastAsia="Calibri"/>
                <w:b/>
                <w:bCs/>
              </w:rPr>
              <w:t>Precizēta l</w:t>
            </w:r>
            <w:r w:rsidRPr="00502A3D">
              <w:rPr>
                <w:rFonts w:eastAsia="Calibri"/>
                <w:b/>
                <w:bCs/>
              </w:rPr>
              <w:t>ikumprojekta 2.  panta  redakcija:</w:t>
            </w:r>
          </w:p>
          <w:p w14:paraId="569FD168" w14:textId="77777777" w:rsidR="00FD4A90" w:rsidRDefault="00FD4A90" w:rsidP="00DB628C">
            <w:pPr>
              <w:contextualSpacing/>
              <w:jc w:val="both"/>
              <w:rPr>
                <w:b/>
                <w:bCs/>
              </w:rPr>
            </w:pPr>
          </w:p>
          <w:p w14:paraId="4C315ABF" w14:textId="77777777" w:rsidR="00FD4A90" w:rsidRPr="00D42972" w:rsidRDefault="00FD4A90" w:rsidP="00DB628C">
            <w:pPr>
              <w:contextualSpacing/>
              <w:jc w:val="both"/>
              <w:rPr>
                <w:bCs/>
              </w:rPr>
            </w:pPr>
            <w:r w:rsidRPr="00D42972">
              <w:rPr>
                <w:bCs/>
              </w:rPr>
              <w:t>“(2) Emisijas kvotas derīgums ir atkarīgs no tā izdošanas perioda:</w:t>
            </w:r>
          </w:p>
          <w:p w14:paraId="1C7334AB" w14:textId="77777777" w:rsidR="00FD4A90" w:rsidRPr="00D42972" w:rsidRDefault="00FD4A90" w:rsidP="00DB628C">
            <w:pPr>
              <w:contextualSpacing/>
              <w:jc w:val="both"/>
              <w:rPr>
                <w:bCs/>
              </w:rPr>
            </w:pPr>
            <w:r w:rsidRPr="00D42972">
              <w:rPr>
                <w:bCs/>
              </w:rPr>
              <w:t>1) 32.2 panta 1.1 daļas 3. punktā noteiktā perioda laikā izdotās kvotas ir beztermiņa;</w:t>
            </w:r>
          </w:p>
          <w:p w14:paraId="1600AE75" w14:textId="0AB85173" w:rsidR="006B2DD2" w:rsidRPr="008B27CD" w:rsidRDefault="00FD4A90" w:rsidP="00DB628C">
            <w:pPr>
              <w:contextualSpacing/>
              <w:jc w:val="both"/>
              <w:rPr>
                <w:b/>
                <w:bCs/>
              </w:rPr>
            </w:pPr>
            <w:r w:rsidRPr="00D42972">
              <w:rPr>
                <w:bCs/>
              </w:rPr>
              <w:t>2) 32.2 panta 1.1 daļas 4. punktā noteiktā perioda laikā izdotās kvotas ir beztermiņa un tām tiek norādīts, kurā Eiropas Savienības Emisijas kvotu tirdzniecības sistēmas desmit gadu periodā, tās tikušas izdotas. Šīs emisijas kvotas ir derīgas emisijas kvotu nodošanai par to emisiju apjomu, kas radīts sākot no minētā perioda pirmā gada.”</w:t>
            </w:r>
          </w:p>
        </w:tc>
      </w:tr>
    </w:tbl>
    <w:p w14:paraId="20CA52B8" w14:textId="5F4BDA63" w:rsidR="00262D35" w:rsidRDefault="00262D35" w:rsidP="004F3F70">
      <w:pPr>
        <w:rPr>
          <w:sz w:val="20"/>
          <w:szCs w:val="20"/>
        </w:rPr>
      </w:pPr>
    </w:p>
    <w:p w14:paraId="428ADD08" w14:textId="77777777" w:rsidR="00262D35" w:rsidRDefault="00262D35" w:rsidP="004F3F70">
      <w:pPr>
        <w:rPr>
          <w:sz w:val="20"/>
          <w:szCs w:val="20"/>
        </w:rPr>
      </w:pPr>
    </w:p>
    <w:p w14:paraId="2BD139D7" w14:textId="0CD42B39" w:rsidR="004F3F70" w:rsidRPr="0028614E" w:rsidRDefault="004F3F70" w:rsidP="004F3F70">
      <w:pPr>
        <w:rPr>
          <w:sz w:val="20"/>
          <w:szCs w:val="20"/>
        </w:rPr>
      </w:pPr>
      <w:r w:rsidRPr="0028614E">
        <w:rPr>
          <w:sz w:val="20"/>
          <w:szCs w:val="20"/>
        </w:rPr>
        <w:t xml:space="preserve">Atbildīgā amatpersona: </w:t>
      </w:r>
    </w:p>
    <w:p w14:paraId="3B7B4B86" w14:textId="77777777" w:rsidR="004F3F70" w:rsidRPr="0028614E" w:rsidRDefault="004F3F70" w:rsidP="004F3F70">
      <w:pPr>
        <w:rPr>
          <w:sz w:val="20"/>
          <w:szCs w:val="20"/>
        </w:rPr>
      </w:pPr>
    </w:p>
    <w:p w14:paraId="55E7EB20" w14:textId="77777777" w:rsidR="004F3F70" w:rsidRDefault="004F3F70" w:rsidP="004F3F70">
      <w:pPr>
        <w:rPr>
          <w:sz w:val="20"/>
          <w:szCs w:val="20"/>
        </w:rPr>
      </w:pPr>
      <w:r>
        <w:rPr>
          <w:sz w:val="20"/>
          <w:szCs w:val="20"/>
        </w:rPr>
        <w:t>Leimane</w:t>
      </w:r>
      <w:r w:rsidRPr="00035214">
        <w:t xml:space="preserve"> </w:t>
      </w:r>
      <w:r w:rsidRPr="00035214">
        <w:rPr>
          <w:sz w:val="20"/>
          <w:szCs w:val="20"/>
        </w:rPr>
        <w:t>67026528</w:t>
      </w:r>
    </w:p>
    <w:p w14:paraId="5294F7B9" w14:textId="77777777" w:rsidR="004F3F70" w:rsidRDefault="004A6151" w:rsidP="004F3F70">
      <w:pPr>
        <w:rPr>
          <w:sz w:val="20"/>
          <w:szCs w:val="20"/>
        </w:rPr>
      </w:pPr>
      <w:hyperlink r:id="rId7" w:history="1">
        <w:r w:rsidR="004F3F70" w:rsidRPr="005A0615">
          <w:rPr>
            <w:rStyle w:val="Hyperlink"/>
            <w:sz w:val="20"/>
            <w:szCs w:val="20"/>
          </w:rPr>
          <w:t>Liza.Leimane@varam.gov.lv</w:t>
        </w:r>
      </w:hyperlink>
    </w:p>
    <w:p w14:paraId="3A0FF5F2" w14:textId="77777777" w:rsidR="004F3F70" w:rsidRPr="004F3F70" w:rsidRDefault="004F3F70" w:rsidP="004F3F70">
      <w:pPr>
        <w:pStyle w:val="naisf"/>
        <w:spacing w:before="0" w:after="0"/>
        <w:ind w:firstLine="0"/>
      </w:pPr>
    </w:p>
    <w:sectPr w:rsidR="004F3F70" w:rsidRPr="004F3F70" w:rsidSect="0011482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0C360" w14:textId="77777777" w:rsidR="004A6151" w:rsidRDefault="004A6151">
      <w:r>
        <w:separator/>
      </w:r>
    </w:p>
  </w:endnote>
  <w:endnote w:type="continuationSeparator" w:id="0">
    <w:p w14:paraId="327EEF2F" w14:textId="77777777" w:rsidR="004A6151" w:rsidRDefault="004A6151">
      <w:r>
        <w:continuationSeparator/>
      </w:r>
    </w:p>
  </w:endnote>
  <w:endnote w:type="continuationNotice" w:id="1">
    <w:p w14:paraId="11CBC447" w14:textId="77777777" w:rsidR="004A6151" w:rsidRDefault="004A6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B566" w14:textId="712CA8DB" w:rsidR="004A6151" w:rsidRPr="004F3F70" w:rsidRDefault="004A6151" w:rsidP="00934462">
    <w:pPr>
      <w:pStyle w:val="Footer"/>
      <w:rPr>
        <w:sz w:val="20"/>
        <w:szCs w:val="20"/>
      </w:rPr>
    </w:pPr>
    <w:r w:rsidRPr="004F3F70">
      <w:rPr>
        <w:sz w:val="20"/>
        <w:szCs w:val="20"/>
        <w:lang w:val="en-GB"/>
      </w:rPr>
      <w:fldChar w:fldCharType="begin"/>
    </w:r>
    <w:r w:rsidRPr="004F3F70">
      <w:rPr>
        <w:sz w:val="20"/>
        <w:szCs w:val="20"/>
        <w:lang w:val="en-GB"/>
      </w:rPr>
      <w:instrText xml:space="preserve"> FILENAME </w:instrText>
    </w:r>
    <w:r w:rsidRPr="004F3F70">
      <w:rPr>
        <w:sz w:val="20"/>
        <w:szCs w:val="20"/>
        <w:lang w:val="en-GB"/>
      </w:rPr>
      <w:fldChar w:fldCharType="separate"/>
    </w:r>
    <w:r>
      <w:rPr>
        <w:noProof/>
        <w:sz w:val="20"/>
        <w:szCs w:val="20"/>
        <w:lang w:val="en-GB"/>
      </w:rPr>
      <w:t>VARAMIzz_120520_Groz_ParPiesarn.docx</w:t>
    </w:r>
    <w:r w:rsidRPr="004F3F70">
      <w:rPr>
        <w:sz w:val="20"/>
        <w:szCs w:val="20"/>
        <w:lang w:val="en-GB"/>
      </w:rPr>
      <w:fldChar w:fldCharType="end"/>
    </w:r>
  </w:p>
  <w:p w14:paraId="16A6441B" w14:textId="3E7A6F3D" w:rsidR="004A6151" w:rsidRPr="004F3F70" w:rsidRDefault="004A6151" w:rsidP="006030D7">
    <w:pPr>
      <w:pStyle w:val="Footer"/>
      <w:tabs>
        <w:tab w:val="clear" w:pos="4153"/>
        <w:tab w:val="clear" w:pos="8306"/>
        <w:tab w:val="left" w:pos="9060"/>
      </w:tabs>
      <w:rPr>
        <w:sz w:val="20"/>
        <w:szCs w:val="20"/>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38900342"/>
  <w:bookmarkStart w:id="2" w:name="_Hlk38900343"/>
  <w:bookmarkStart w:id="3" w:name="_Hlk38900344"/>
  <w:bookmarkStart w:id="4" w:name="_Hlk38900345"/>
  <w:p w14:paraId="33B9B569" w14:textId="51BFA4A8" w:rsidR="004A6151" w:rsidRPr="004F3F70" w:rsidRDefault="004A6151">
    <w:pPr>
      <w:pStyle w:val="Footer"/>
      <w:rPr>
        <w:sz w:val="20"/>
        <w:szCs w:val="20"/>
      </w:rPr>
    </w:pPr>
    <w:r w:rsidRPr="004F3F70">
      <w:rPr>
        <w:sz w:val="20"/>
        <w:szCs w:val="20"/>
        <w:lang w:val="en-GB"/>
      </w:rPr>
      <w:fldChar w:fldCharType="begin"/>
    </w:r>
    <w:r w:rsidRPr="004F3F70">
      <w:rPr>
        <w:sz w:val="20"/>
        <w:szCs w:val="20"/>
        <w:lang w:val="en-GB"/>
      </w:rPr>
      <w:instrText xml:space="preserve"> FILENAME </w:instrText>
    </w:r>
    <w:r w:rsidRPr="004F3F70">
      <w:rPr>
        <w:sz w:val="20"/>
        <w:szCs w:val="20"/>
        <w:lang w:val="en-GB"/>
      </w:rPr>
      <w:fldChar w:fldCharType="separate"/>
    </w:r>
    <w:r>
      <w:rPr>
        <w:noProof/>
        <w:sz w:val="20"/>
        <w:szCs w:val="20"/>
        <w:lang w:val="en-GB"/>
      </w:rPr>
      <w:t>VARAMIzz_120520_Groz_ParPiesarn.docx</w:t>
    </w:r>
    <w:r w:rsidRPr="004F3F70">
      <w:rPr>
        <w:sz w:val="20"/>
        <w:szCs w:val="20"/>
        <w:lang w:val="en-GB"/>
      </w:rPr>
      <w:fldChar w:fldCharType="end"/>
    </w:r>
    <w:bookmarkEnd w:id="1"/>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FF841" w14:textId="77777777" w:rsidR="004A6151" w:rsidRDefault="004A6151">
      <w:r>
        <w:separator/>
      </w:r>
    </w:p>
  </w:footnote>
  <w:footnote w:type="continuationSeparator" w:id="0">
    <w:p w14:paraId="425F0907" w14:textId="77777777" w:rsidR="004A6151" w:rsidRDefault="004A6151">
      <w:r>
        <w:continuationSeparator/>
      </w:r>
    </w:p>
  </w:footnote>
  <w:footnote w:type="continuationNotice" w:id="1">
    <w:p w14:paraId="7C7DE10C" w14:textId="77777777" w:rsidR="004A6151" w:rsidRDefault="004A61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4A6151" w:rsidRDefault="004A615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0AD66" w14:textId="77777777" w:rsidR="004A6151" w:rsidRDefault="004A6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1044" w14:textId="77777777" w:rsidR="004A6151" w:rsidRDefault="004A615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B24">
      <w:rPr>
        <w:rStyle w:val="PageNumber"/>
        <w:noProof/>
      </w:rPr>
      <w:t>2</w:t>
    </w:r>
    <w:r>
      <w:rPr>
        <w:rStyle w:val="PageNumber"/>
      </w:rPr>
      <w:fldChar w:fldCharType="end"/>
    </w:r>
  </w:p>
  <w:p w14:paraId="66204FF1" w14:textId="77777777" w:rsidR="004A6151" w:rsidRDefault="004A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29BB"/>
    <w:multiLevelType w:val="multilevel"/>
    <w:tmpl w:val="72A81D30"/>
    <w:lvl w:ilvl="0">
      <w:start w:val="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D0417D"/>
    <w:multiLevelType w:val="hybridMultilevel"/>
    <w:tmpl w:val="A9DE5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05D8"/>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5A97"/>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1C2"/>
    <w:rsid w:val="000B7966"/>
    <w:rsid w:val="000B7ABC"/>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6C3"/>
    <w:rsid w:val="00106F4F"/>
    <w:rsid w:val="001071D3"/>
    <w:rsid w:val="001075A8"/>
    <w:rsid w:val="00110259"/>
    <w:rsid w:val="00110AA9"/>
    <w:rsid w:val="0011254D"/>
    <w:rsid w:val="001139C2"/>
    <w:rsid w:val="00114559"/>
    <w:rsid w:val="00114824"/>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BFC"/>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0F56"/>
    <w:rsid w:val="001A192D"/>
    <w:rsid w:val="001A7C72"/>
    <w:rsid w:val="001B084B"/>
    <w:rsid w:val="001B0CEC"/>
    <w:rsid w:val="001B0FFC"/>
    <w:rsid w:val="001B1CF2"/>
    <w:rsid w:val="001B2AA0"/>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026"/>
    <w:rsid w:val="001C546B"/>
    <w:rsid w:val="001C5EA2"/>
    <w:rsid w:val="001C6608"/>
    <w:rsid w:val="001C6C7D"/>
    <w:rsid w:val="001D1CB1"/>
    <w:rsid w:val="001D2AC0"/>
    <w:rsid w:val="001D2DBA"/>
    <w:rsid w:val="001D2FD0"/>
    <w:rsid w:val="001D3830"/>
    <w:rsid w:val="001D3BA6"/>
    <w:rsid w:val="001D3F07"/>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3D4"/>
    <w:rsid w:val="0021040D"/>
    <w:rsid w:val="00211793"/>
    <w:rsid w:val="00211C11"/>
    <w:rsid w:val="00212345"/>
    <w:rsid w:val="002146CC"/>
    <w:rsid w:val="00214809"/>
    <w:rsid w:val="002149A1"/>
    <w:rsid w:val="00214E7A"/>
    <w:rsid w:val="00215BFE"/>
    <w:rsid w:val="00215C44"/>
    <w:rsid w:val="00216E73"/>
    <w:rsid w:val="002174C4"/>
    <w:rsid w:val="0021774C"/>
    <w:rsid w:val="00217FF6"/>
    <w:rsid w:val="00222386"/>
    <w:rsid w:val="00222F51"/>
    <w:rsid w:val="002230E1"/>
    <w:rsid w:val="0022320E"/>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2D35"/>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6B8E"/>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6D76"/>
    <w:rsid w:val="00377353"/>
    <w:rsid w:val="0037736B"/>
    <w:rsid w:val="00381F57"/>
    <w:rsid w:val="0038216E"/>
    <w:rsid w:val="003822E5"/>
    <w:rsid w:val="003830B8"/>
    <w:rsid w:val="00383262"/>
    <w:rsid w:val="0039202B"/>
    <w:rsid w:val="003A157A"/>
    <w:rsid w:val="003A16DD"/>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68D"/>
    <w:rsid w:val="003D3724"/>
    <w:rsid w:val="003D46A7"/>
    <w:rsid w:val="003D4DE0"/>
    <w:rsid w:val="003D6376"/>
    <w:rsid w:val="003E1235"/>
    <w:rsid w:val="003E2A35"/>
    <w:rsid w:val="003E2ADC"/>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358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0BDD"/>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2FEE"/>
    <w:rsid w:val="004732BB"/>
    <w:rsid w:val="00474C60"/>
    <w:rsid w:val="00475944"/>
    <w:rsid w:val="00475DF0"/>
    <w:rsid w:val="00476525"/>
    <w:rsid w:val="004772E2"/>
    <w:rsid w:val="0047739F"/>
    <w:rsid w:val="00477F97"/>
    <w:rsid w:val="00480A2D"/>
    <w:rsid w:val="00480AFB"/>
    <w:rsid w:val="00481247"/>
    <w:rsid w:val="00481C7C"/>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151"/>
    <w:rsid w:val="004A6897"/>
    <w:rsid w:val="004A692B"/>
    <w:rsid w:val="004A6EB6"/>
    <w:rsid w:val="004A794C"/>
    <w:rsid w:val="004B3EC7"/>
    <w:rsid w:val="004B5664"/>
    <w:rsid w:val="004C2107"/>
    <w:rsid w:val="004C46C7"/>
    <w:rsid w:val="004C5FC6"/>
    <w:rsid w:val="004C6435"/>
    <w:rsid w:val="004C649B"/>
    <w:rsid w:val="004C7B9C"/>
    <w:rsid w:val="004C7D55"/>
    <w:rsid w:val="004D089A"/>
    <w:rsid w:val="004D3184"/>
    <w:rsid w:val="004D5030"/>
    <w:rsid w:val="004D6045"/>
    <w:rsid w:val="004D7546"/>
    <w:rsid w:val="004D7C26"/>
    <w:rsid w:val="004D7EC5"/>
    <w:rsid w:val="004E02B0"/>
    <w:rsid w:val="004E0B29"/>
    <w:rsid w:val="004E0E11"/>
    <w:rsid w:val="004E0F08"/>
    <w:rsid w:val="004E1546"/>
    <w:rsid w:val="004E19DC"/>
    <w:rsid w:val="004E35E8"/>
    <w:rsid w:val="004E41ED"/>
    <w:rsid w:val="004E50F0"/>
    <w:rsid w:val="004E6A03"/>
    <w:rsid w:val="004F0070"/>
    <w:rsid w:val="004F0468"/>
    <w:rsid w:val="004F0C51"/>
    <w:rsid w:val="004F263C"/>
    <w:rsid w:val="004F2BB1"/>
    <w:rsid w:val="004F2EC7"/>
    <w:rsid w:val="004F3CE8"/>
    <w:rsid w:val="004F3F70"/>
    <w:rsid w:val="004F6BFB"/>
    <w:rsid w:val="004F7E4A"/>
    <w:rsid w:val="0050147C"/>
    <w:rsid w:val="0050182B"/>
    <w:rsid w:val="00502579"/>
    <w:rsid w:val="005029F7"/>
    <w:rsid w:val="00502A3D"/>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028"/>
    <w:rsid w:val="005702D6"/>
    <w:rsid w:val="00572588"/>
    <w:rsid w:val="00573A50"/>
    <w:rsid w:val="005746D2"/>
    <w:rsid w:val="00574E8A"/>
    <w:rsid w:val="00577775"/>
    <w:rsid w:val="0058121A"/>
    <w:rsid w:val="00581863"/>
    <w:rsid w:val="00581EA3"/>
    <w:rsid w:val="0058205A"/>
    <w:rsid w:val="0058260B"/>
    <w:rsid w:val="005846A5"/>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DDCB0"/>
    <w:rsid w:val="005E0B59"/>
    <w:rsid w:val="005E1105"/>
    <w:rsid w:val="005E162F"/>
    <w:rsid w:val="005E2C60"/>
    <w:rsid w:val="005E31F6"/>
    <w:rsid w:val="005E3622"/>
    <w:rsid w:val="005E60B3"/>
    <w:rsid w:val="005E676C"/>
    <w:rsid w:val="005E6CB9"/>
    <w:rsid w:val="005E7F14"/>
    <w:rsid w:val="005F0154"/>
    <w:rsid w:val="005F0176"/>
    <w:rsid w:val="005F021D"/>
    <w:rsid w:val="005F1D02"/>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0D7"/>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91A"/>
    <w:rsid w:val="00653F9C"/>
    <w:rsid w:val="00655470"/>
    <w:rsid w:val="00656911"/>
    <w:rsid w:val="00656FEE"/>
    <w:rsid w:val="0065758F"/>
    <w:rsid w:val="00660897"/>
    <w:rsid w:val="00661028"/>
    <w:rsid w:val="006617BD"/>
    <w:rsid w:val="0066194D"/>
    <w:rsid w:val="00661B3B"/>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A14"/>
    <w:rsid w:val="00682E11"/>
    <w:rsid w:val="00683081"/>
    <w:rsid w:val="00684C95"/>
    <w:rsid w:val="006850D3"/>
    <w:rsid w:val="00685249"/>
    <w:rsid w:val="006856B9"/>
    <w:rsid w:val="00685BDE"/>
    <w:rsid w:val="00686085"/>
    <w:rsid w:val="00687C0D"/>
    <w:rsid w:val="00691237"/>
    <w:rsid w:val="006920E6"/>
    <w:rsid w:val="00692555"/>
    <w:rsid w:val="00694E1A"/>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2DD2"/>
    <w:rsid w:val="006B48EB"/>
    <w:rsid w:val="006B4C00"/>
    <w:rsid w:val="006B56FC"/>
    <w:rsid w:val="006B6DDA"/>
    <w:rsid w:val="006B73D9"/>
    <w:rsid w:val="006B7DF0"/>
    <w:rsid w:val="006B7E74"/>
    <w:rsid w:val="006C0D75"/>
    <w:rsid w:val="006C1C48"/>
    <w:rsid w:val="006C3C1D"/>
    <w:rsid w:val="006C41FF"/>
    <w:rsid w:val="006C429E"/>
    <w:rsid w:val="006C5145"/>
    <w:rsid w:val="006C65A8"/>
    <w:rsid w:val="006D05AD"/>
    <w:rsid w:val="006D0EC1"/>
    <w:rsid w:val="006D16F8"/>
    <w:rsid w:val="006D1813"/>
    <w:rsid w:val="006D24A9"/>
    <w:rsid w:val="006D2AF3"/>
    <w:rsid w:val="006D467B"/>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B3D"/>
    <w:rsid w:val="00711C5A"/>
    <w:rsid w:val="00712B66"/>
    <w:rsid w:val="00713C31"/>
    <w:rsid w:val="0071428D"/>
    <w:rsid w:val="007144C9"/>
    <w:rsid w:val="00716B3C"/>
    <w:rsid w:val="007170C2"/>
    <w:rsid w:val="00717EE4"/>
    <w:rsid w:val="00717F2D"/>
    <w:rsid w:val="00720453"/>
    <w:rsid w:val="00720853"/>
    <w:rsid w:val="00721062"/>
    <w:rsid w:val="00722129"/>
    <w:rsid w:val="00722E2B"/>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478E6"/>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3B7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AE8"/>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347"/>
    <w:rsid w:val="007E3B9C"/>
    <w:rsid w:val="007E4A2F"/>
    <w:rsid w:val="007E5C4A"/>
    <w:rsid w:val="007E6659"/>
    <w:rsid w:val="007E6915"/>
    <w:rsid w:val="007E74CA"/>
    <w:rsid w:val="007E7AD3"/>
    <w:rsid w:val="007F0070"/>
    <w:rsid w:val="007F0441"/>
    <w:rsid w:val="007F0E99"/>
    <w:rsid w:val="007F20F1"/>
    <w:rsid w:val="007F4224"/>
    <w:rsid w:val="007F4DD2"/>
    <w:rsid w:val="007F4FB9"/>
    <w:rsid w:val="007F64C4"/>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385"/>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27CD"/>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4462"/>
    <w:rsid w:val="0093787E"/>
    <w:rsid w:val="009412CC"/>
    <w:rsid w:val="00942928"/>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F17"/>
    <w:rsid w:val="0099036C"/>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0D67"/>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369"/>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223"/>
    <w:rsid w:val="00BC1F79"/>
    <w:rsid w:val="00BC2201"/>
    <w:rsid w:val="00BC3C7A"/>
    <w:rsid w:val="00BC7DC6"/>
    <w:rsid w:val="00BD1039"/>
    <w:rsid w:val="00BD13B5"/>
    <w:rsid w:val="00BD277C"/>
    <w:rsid w:val="00BD2EFC"/>
    <w:rsid w:val="00BD340E"/>
    <w:rsid w:val="00BD60AD"/>
    <w:rsid w:val="00BD6C02"/>
    <w:rsid w:val="00BE0260"/>
    <w:rsid w:val="00BE1244"/>
    <w:rsid w:val="00BE165D"/>
    <w:rsid w:val="00BE2394"/>
    <w:rsid w:val="00BE2702"/>
    <w:rsid w:val="00BE2710"/>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1D7"/>
    <w:rsid w:val="00C16BE0"/>
    <w:rsid w:val="00C21C39"/>
    <w:rsid w:val="00C2325C"/>
    <w:rsid w:val="00C239ED"/>
    <w:rsid w:val="00C24D9D"/>
    <w:rsid w:val="00C25CF3"/>
    <w:rsid w:val="00C263E9"/>
    <w:rsid w:val="00C2775A"/>
    <w:rsid w:val="00C3063A"/>
    <w:rsid w:val="00C30727"/>
    <w:rsid w:val="00C30BAD"/>
    <w:rsid w:val="00C31E8F"/>
    <w:rsid w:val="00C335DA"/>
    <w:rsid w:val="00C33D3E"/>
    <w:rsid w:val="00C362E0"/>
    <w:rsid w:val="00C36ED4"/>
    <w:rsid w:val="00C376CC"/>
    <w:rsid w:val="00C400F7"/>
    <w:rsid w:val="00C4092C"/>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31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5E67"/>
    <w:rsid w:val="00D36887"/>
    <w:rsid w:val="00D37563"/>
    <w:rsid w:val="00D379EB"/>
    <w:rsid w:val="00D400B8"/>
    <w:rsid w:val="00D4022C"/>
    <w:rsid w:val="00D41023"/>
    <w:rsid w:val="00D41C6C"/>
    <w:rsid w:val="00D42465"/>
    <w:rsid w:val="00D42972"/>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2121"/>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65BD"/>
    <w:rsid w:val="00DA70DD"/>
    <w:rsid w:val="00DB088F"/>
    <w:rsid w:val="00DB0B4A"/>
    <w:rsid w:val="00DB1487"/>
    <w:rsid w:val="00DB19B4"/>
    <w:rsid w:val="00DB19F1"/>
    <w:rsid w:val="00DB26AE"/>
    <w:rsid w:val="00DB4411"/>
    <w:rsid w:val="00DB466D"/>
    <w:rsid w:val="00DB5FD0"/>
    <w:rsid w:val="00DB628C"/>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0C79"/>
    <w:rsid w:val="00DD1A10"/>
    <w:rsid w:val="00DD200D"/>
    <w:rsid w:val="00DD2990"/>
    <w:rsid w:val="00DD2FE9"/>
    <w:rsid w:val="00DD3A7E"/>
    <w:rsid w:val="00DD3C52"/>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BF5"/>
    <w:rsid w:val="00DF1F1D"/>
    <w:rsid w:val="00DF23A5"/>
    <w:rsid w:val="00DF4C6E"/>
    <w:rsid w:val="00DF6666"/>
    <w:rsid w:val="00DF745E"/>
    <w:rsid w:val="00DF762E"/>
    <w:rsid w:val="00E0044E"/>
    <w:rsid w:val="00E00816"/>
    <w:rsid w:val="00E0239F"/>
    <w:rsid w:val="00E0267B"/>
    <w:rsid w:val="00E02C48"/>
    <w:rsid w:val="00E04441"/>
    <w:rsid w:val="00E04E45"/>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3F4"/>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5B24"/>
    <w:rsid w:val="00E8602B"/>
    <w:rsid w:val="00E86B5F"/>
    <w:rsid w:val="00E87D05"/>
    <w:rsid w:val="00E91F96"/>
    <w:rsid w:val="00E92E99"/>
    <w:rsid w:val="00E968FD"/>
    <w:rsid w:val="00E96D55"/>
    <w:rsid w:val="00E97993"/>
    <w:rsid w:val="00EA08DB"/>
    <w:rsid w:val="00EA0D5D"/>
    <w:rsid w:val="00EA1192"/>
    <w:rsid w:val="00EA153F"/>
    <w:rsid w:val="00EA2788"/>
    <w:rsid w:val="00EA2C6E"/>
    <w:rsid w:val="00EA3217"/>
    <w:rsid w:val="00EA4964"/>
    <w:rsid w:val="00EA4F1A"/>
    <w:rsid w:val="00EB02DE"/>
    <w:rsid w:val="00EB0A07"/>
    <w:rsid w:val="00EB1B69"/>
    <w:rsid w:val="00EB1C78"/>
    <w:rsid w:val="00EB3B46"/>
    <w:rsid w:val="00EB4F08"/>
    <w:rsid w:val="00EC2E07"/>
    <w:rsid w:val="00EC43C7"/>
    <w:rsid w:val="00EC465D"/>
    <w:rsid w:val="00EC5C89"/>
    <w:rsid w:val="00EC615F"/>
    <w:rsid w:val="00EC66D2"/>
    <w:rsid w:val="00EC67E7"/>
    <w:rsid w:val="00ED0A1B"/>
    <w:rsid w:val="00ED21BC"/>
    <w:rsid w:val="00ED2FEC"/>
    <w:rsid w:val="00ED3F67"/>
    <w:rsid w:val="00ED440A"/>
    <w:rsid w:val="00ED7971"/>
    <w:rsid w:val="00EE0748"/>
    <w:rsid w:val="00EE29A0"/>
    <w:rsid w:val="00EE2CEA"/>
    <w:rsid w:val="00EE3365"/>
    <w:rsid w:val="00EE42B9"/>
    <w:rsid w:val="00EE48DF"/>
    <w:rsid w:val="00EE4AB3"/>
    <w:rsid w:val="00EE7405"/>
    <w:rsid w:val="00EF033E"/>
    <w:rsid w:val="00EF06EC"/>
    <w:rsid w:val="00EF14FF"/>
    <w:rsid w:val="00EF2BFE"/>
    <w:rsid w:val="00EF2D85"/>
    <w:rsid w:val="00EF402C"/>
    <w:rsid w:val="00EF45E0"/>
    <w:rsid w:val="00EF4E6F"/>
    <w:rsid w:val="00EF5C82"/>
    <w:rsid w:val="00EF7A15"/>
    <w:rsid w:val="00F01336"/>
    <w:rsid w:val="00F01F8C"/>
    <w:rsid w:val="00F035A6"/>
    <w:rsid w:val="00F04AD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407"/>
    <w:rsid w:val="00F67606"/>
    <w:rsid w:val="00F70327"/>
    <w:rsid w:val="00F709F6"/>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9C1"/>
    <w:rsid w:val="00F86CE4"/>
    <w:rsid w:val="00F86F42"/>
    <w:rsid w:val="00F91941"/>
    <w:rsid w:val="00F92E3F"/>
    <w:rsid w:val="00F938D2"/>
    <w:rsid w:val="00F94C8A"/>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4A90"/>
    <w:rsid w:val="00FD52A3"/>
    <w:rsid w:val="00FD5A71"/>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4D78234"/>
    <w:rsid w:val="06BED3E0"/>
    <w:rsid w:val="079107B8"/>
    <w:rsid w:val="07B191FF"/>
    <w:rsid w:val="0A14F6A3"/>
    <w:rsid w:val="0ABCB6F0"/>
    <w:rsid w:val="0C15E941"/>
    <w:rsid w:val="102B8B8E"/>
    <w:rsid w:val="1517E2E9"/>
    <w:rsid w:val="1666B6EB"/>
    <w:rsid w:val="19E49374"/>
    <w:rsid w:val="1A1F7655"/>
    <w:rsid w:val="1D37B95A"/>
    <w:rsid w:val="21AAFCE6"/>
    <w:rsid w:val="233AA9A2"/>
    <w:rsid w:val="24A1927E"/>
    <w:rsid w:val="27278667"/>
    <w:rsid w:val="29E83C4B"/>
    <w:rsid w:val="2C8F5C93"/>
    <w:rsid w:val="2D1F2433"/>
    <w:rsid w:val="2E6AF2F3"/>
    <w:rsid w:val="33DA2A90"/>
    <w:rsid w:val="34C02B04"/>
    <w:rsid w:val="376BA537"/>
    <w:rsid w:val="3A1F80A7"/>
    <w:rsid w:val="3B6C531F"/>
    <w:rsid w:val="3B96D3CC"/>
    <w:rsid w:val="3DEED797"/>
    <w:rsid w:val="3E893D05"/>
    <w:rsid w:val="3F9ED8D3"/>
    <w:rsid w:val="45E7EC7E"/>
    <w:rsid w:val="45F77E8E"/>
    <w:rsid w:val="46824729"/>
    <w:rsid w:val="47723EED"/>
    <w:rsid w:val="4B320D33"/>
    <w:rsid w:val="4B600882"/>
    <w:rsid w:val="4EDF4625"/>
    <w:rsid w:val="4F9D64DF"/>
    <w:rsid w:val="502B80C7"/>
    <w:rsid w:val="5369289E"/>
    <w:rsid w:val="53B4B283"/>
    <w:rsid w:val="5576B2D8"/>
    <w:rsid w:val="56329710"/>
    <w:rsid w:val="5C750C47"/>
    <w:rsid w:val="5E5818D2"/>
    <w:rsid w:val="5EFB34E3"/>
    <w:rsid w:val="5FE94B8A"/>
    <w:rsid w:val="611B344D"/>
    <w:rsid w:val="6528FD03"/>
    <w:rsid w:val="66AF3A2C"/>
    <w:rsid w:val="67CA524D"/>
    <w:rsid w:val="6FC2AD58"/>
    <w:rsid w:val="707740C4"/>
    <w:rsid w:val="70A715BD"/>
    <w:rsid w:val="7164F6A1"/>
    <w:rsid w:val="730AFEF2"/>
    <w:rsid w:val="74723EE0"/>
    <w:rsid w:val="751D4D20"/>
    <w:rsid w:val="78CB94CB"/>
    <w:rsid w:val="79C992E3"/>
    <w:rsid w:val="7AD8185F"/>
    <w:rsid w:val="7BE73F4B"/>
    <w:rsid w:val="7F87D38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710E2"/>
  <w15:chartTrackingRefBased/>
  <w15:docId w15:val="{9A37EEE5-88D0-E14B-AB72-787E65F8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DD3C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za.Leimane@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10023</Words>
  <Characters>5714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 “Grozījumi likumā “Par Piesārņojumu”” un tā sākotnējās ietekmes novērtējuma ziņojumam (anotācijai)</dc:title>
  <dc:subject>Izziņa</dc:subject>
  <dc:creator>Liza Leimane</dc:creator>
  <cp:keywords/>
  <dc:description>67026528, liza.leimane@varam.gov.lv</dc:description>
  <cp:lastModifiedBy>Agita Drozde</cp:lastModifiedBy>
  <cp:revision>13</cp:revision>
  <cp:lastPrinted>2009-04-08T18:39:00Z</cp:lastPrinted>
  <dcterms:created xsi:type="dcterms:W3CDTF">2020-05-08T11:46:00Z</dcterms:created>
  <dcterms:modified xsi:type="dcterms:W3CDTF">2020-05-14T06:12:00Z</dcterms:modified>
</cp:coreProperties>
</file>