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BEE9" w14:textId="77777777" w:rsidR="00BB44E5" w:rsidRDefault="0033470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Ministru kabineta noteikumu projekta </w:t>
      </w:r>
    </w:p>
    <w:p w14:paraId="31A1AD30" w14:textId="77777777" w:rsidR="00BB44E5" w:rsidRDefault="0033470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“Grozījumi Ministru kabineta 2016. gada 26. aprīļa noteikumos Nr. 265 “Valsts atbalsta piešķiršanas kārtība meža nozares attīstībai””</w:t>
      </w:r>
    </w:p>
    <w:p w14:paraId="227DDB4A" w14:textId="77777777" w:rsidR="00BB44E5" w:rsidRDefault="0033470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sākotnējās ietekmes novērtējuma ziņojums (anotācija)</w:t>
      </w:r>
    </w:p>
    <w:p w14:paraId="515258FC" w14:textId="77777777" w:rsidR="00BB44E5" w:rsidRDefault="00BB44E5">
      <w:pPr>
        <w:ind w:left="0" w:hanging="2"/>
        <w:jc w:val="center"/>
      </w:pPr>
    </w:p>
    <w:tbl>
      <w:tblPr>
        <w:tblStyle w:val="a0"/>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9"/>
        <w:gridCol w:w="5848"/>
      </w:tblGrid>
      <w:tr w:rsidR="00BB44E5" w14:paraId="4BB990A8" w14:textId="77777777">
        <w:tc>
          <w:tcPr>
            <w:tcW w:w="9127" w:type="dxa"/>
            <w:gridSpan w:val="2"/>
            <w:shd w:val="clear" w:color="auto" w:fill="FFFFFF"/>
            <w:vAlign w:val="center"/>
          </w:tcPr>
          <w:p w14:paraId="5F2C90BD" w14:textId="77777777" w:rsidR="00BB44E5" w:rsidRDefault="00334705">
            <w:pPr>
              <w:ind w:left="0" w:hanging="2"/>
              <w:jc w:val="center"/>
            </w:pPr>
            <w:r>
              <w:rPr>
                <w:b/>
              </w:rPr>
              <w:t>Tiesību akta projekta anotācijas kopsavilkums</w:t>
            </w:r>
          </w:p>
        </w:tc>
      </w:tr>
      <w:tr w:rsidR="00BB44E5" w14:paraId="4EC0F0A5" w14:textId="77777777">
        <w:tc>
          <w:tcPr>
            <w:tcW w:w="3279" w:type="dxa"/>
            <w:shd w:val="clear" w:color="auto" w:fill="FFFFFF"/>
          </w:tcPr>
          <w:p w14:paraId="28EF4963" w14:textId="77777777" w:rsidR="00BB44E5" w:rsidRDefault="00334705">
            <w:pPr>
              <w:ind w:left="0" w:hanging="2"/>
              <w:jc w:val="both"/>
            </w:pPr>
            <w:r>
              <w:t>Mērķis, risinājums un projekta spēkā stāšanās laiks (500 zīmes bez atstarpēm)</w:t>
            </w:r>
          </w:p>
        </w:tc>
        <w:tc>
          <w:tcPr>
            <w:tcW w:w="5848" w:type="dxa"/>
            <w:shd w:val="clear" w:color="auto" w:fill="FFFFFF"/>
          </w:tcPr>
          <w:p w14:paraId="7EDF11F5" w14:textId="77777777" w:rsidR="00BB44E5" w:rsidRDefault="00334705">
            <w:pPr>
              <w:ind w:left="0" w:hanging="2"/>
              <w:jc w:val="both"/>
            </w:pPr>
            <w:r>
              <w:t>Noteikumu projekts nepieciešams, lai noteiktu 2020. gadā prioritārās meža nozares atbalsta un attīstības programmas, kā arī aktuālos zinātniskās izpētes projektus.</w:t>
            </w:r>
          </w:p>
        </w:tc>
      </w:tr>
    </w:tbl>
    <w:p w14:paraId="5ADCC188" w14:textId="77777777" w:rsidR="00BB44E5" w:rsidRDefault="00BB44E5">
      <w:pPr>
        <w:ind w:left="0" w:hanging="2"/>
        <w:jc w:val="center"/>
      </w:pPr>
    </w:p>
    <w:tbl>
      <w:tblPr>
        <w:tblStyle w:val="a1"/>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126"/>
        <w:gridCol w:w="6662"/>
      </w:tblGrid>
      <w:tr w:rsidR="00BB44E5" w14:paraId="37AC8430" w14:textId="77777777">
        <w:trPr>
          <w:trHeight w:val="383"/>
        </w:trPr>
        <w:tc>
          <w:tcPr>
            <w:tcW w:w="9214" w:type="dxa"/>
            <w:gridSpan w:val="3"/>
          </w:tcPr>
          <w:p w14:paraId="61F96535" w14:textId="77777777" w:rsidR="00BB44E5" w:rsidRDefault="00334705">
            <w:pPr>
              <w:pBdr>
                <w:top w:val="nil"/>
                <w:left w:val="nil"/>
                <w:bottom w:val="nil"/>
                <w:right w:val="nil"/>
                <w:between w:val="nil"/>
              </w:pBdr>
              <w:spacing w:line="240" w:lineRule="auto"/>
              <w:ind w:left="0" w:hanging="2"/>
              <w:jc w:val="center"/>
              <w:rPr>
                <w:color w:val="0070C0"/>
              </w:rPr>
            </w:pPr>
            <w:r>
              <w:rPr>
                <w:b/>
                <w:color w:val="000000"/>
              </w:rPr>
              <w:t>I. Tiesību akta projekta izstrādes nepieciešamība</w:t>
            </w:r>
          </w:p>
        </w:tc>
      </w:tr>
      <w:tr w:rsidR="00BB44E5" w14:paraId="14F10217" w14:textId="77777777">
        <w:trPr>
          <w:trHeight w:val="261"/>
        </w:trPr>
        <w:tc>
          <w:tcPr>
            <w:tcW w:w="426" w:type="dxa"/>
          </w:tcPr>
          <w:p w14:paraId="7057E86C" w14:textId="77777777" w:rsidR="00BB44E5" w:rsidRDefault="00334705">
            <w:pPr>
              <w:pBdr>
                <w:top w:val="nil"/>
                <w:left w:val="nil"/>
                <w:bottom w:val="nil"/>
                <w:right w:val="nil"/>
                <w:between w:val="nil"/>
              </w:pBdr>
              <w:spacing w:line="240" w:lineRule="auto"/>
              <w:ind w:left="0" w:hanging="2"/>
              <w:rPr>
                <w:color w:val="000000"/>
              </w:rPr>
            </w:pPr>
            <w:r>
              <w:rPr>
                <w:color w:val="000000"/>
              </w:rPr>
              <w:t>1.</w:t>
            </w:r>
          </w:p>
        </w:tc>
        <w:tc>
          <w:tcPr>
            <w:tcW w:w="2126" w:type="dxa"/>
          </w:tcPr>
          <w:p w14:paraId="777C5FE8" w14:textId="77777777" w:rsidR="00BB44E5" w:rsidRDefault="00334705">
            <w:pPr>
              <w:pBdr>
                <w:top w:val="nil"/>
                <w:left w:val="nil"/>
                <w:bottom w:val="nil"/>
                <w:right w:val="nil"/>
                <w:between w:val="nil"/>
              </w:pBdr>
              <w:spacing w:line="276" w:lineRule="auto"/>
              <w:ind w:left="0" w:hanging="2"/>
              <w:rPr>
                <w:color w:val="000000"/>
              </w:rPr>
            </w:pPr>
            <w:r>
              <w:rPr>
                <w:color w:val="000000"/>
              </w:rPr>
              <w:t>Pamatojums</w:t>
            </w:r>
          </w:p>
        </w:tc>
        <w:tc>
          <w:tcPr>
            <w:tcW w:w="6662" w:type="dxa"/>
          </w:tcPr>
          <w:p w14:paraId="79783E0A" w14:textId="77777777" w:rsidR="00BB44E5" w:rsidRDefault="00334705">
            <w:pPr>
              <w:pBdr>
                <w:top w:val="nil"/>
                <w:left w:val="nil"/>
                <w:bottom w:val="nil"/>
                <w:right w:val="nil"/>
                <w:between w:val="nil"/>
              </w:pBdr>
              <w:spacing w:line="240" w:lineRule="auto"/>
              <w:ind w:left="0" w:hanging="2"/>
              <w:jc w:val="both"/>
              <w:rPr>
                <w:color w:val="000000"/>
                <w:sz w:val="28"/>
                <w:szCs w:val="28"/>
              </w:rPr>
            </w:pPr>
            <w:r>
              <w:rPr>
                <w:color w:val="000000"/>
              </w:rPr>
              <w:t>Noteikumu projekts nepieciešams, lai sasniegtu Meža attīstības fonda mērķi 2020. gadā – meža nozares atbalsta un attīstības programmu finansēšanu, meža zinātnisko izpēti, meža īpašnieku izglītošanu un apmācību (saskaņā ar Meža likuma 43.panta trešo daļu).</w:t>
            </w:r>
          </w:p>
        </w:tc>
      </w:tr>
      <w:tr w:rsidR="00BB44E5" w14:paraId="180FF110" w14:textId="77777777">
        <w:trPr>
          <w:trHeight w:val="274"/>
        </w:trPr>
        <w:tc>
          <w:tcPr>
            <w:tcW w:w="426" w:type="dxa"/>
          </w:tcPr>
          <w:p w14:paraId="7CE9FAF4" w14:textId="77777777" w:rsidR="00BB44E5" w:rsidRDefault="00334705">
            <w:pPr>
              <w:pBdr>
                <w:top w:val="nil"/>
                <w:left w:val="nil"/>
                <w:bottom w:val="nil"/>
                <w:right w:val="nil"/>
                <w:between w:val="nil"/>
              </w:pBdr>
              <w:spacing w:line="240" w:lineRule="auto"/>
              <w:ind w:left="0" w:hanging="2"/>
              <w:rPr>
                <w:color w:val="000000"/>
              </w:rPr>
            </w:pPr>
            <w:r>
              <w:rPr>
                <w:color w:val="000000"/>
              </w:rPr>
              <w:t>2.</w:t>
            </w:r>
          </w:p>
        </w:tc>
        <w:tc>
          <w:tcPr>
            <w:tcW w:w="2126" w:type="dxa"/>
          </w:tcPr>
          <w:p w14:paraId="374D513C" w14:textId="77777777" w:rsidR="00BB44E5" w:rsidRDefault="00334705">
            <w:pPr>
              <w:pBdr>
                <w:top w:val="nil"/>
                <w:left w:val="nil"/>
                <w:bottom w:val="nil"/>
                <w:right w:val="nil"/>
                <w:between w:val="nil"/>
              </w:pBdr>
              <w:spacing w:line="240" w:lineRule="auto"/>
              <w:ind w:left="0" w:hanging="2"/>
              <w:rPr>
                <w:color w:val="000000"/>
              </w:rPr>
            </w:pPr>
            <w:r>
              <w:rPr>
                <w:color w:val="000000"/>
              </w:rPr>
              <w:t>Pašreizējā situācija un problēmas, kuru risināšanai tiesību akta projekts izstrādāts, tiesiskā regulējuma mērķis un būtība</w:t>
            </w:r>
          </w:p>
          <w:p w14:paraId="2C324889" w14:textId="77777777" w:rsidR="00BB44E5" w:rsidRDefault="00BB44E5">
            <w:pPr>
              <w:ind w:left="0" w:hanging="2"/>
            </w:pPr>
          </w:p>
          <w:p w14:paraId="20156C2A" w14:textId="77777777" w:rsidR="00BB44E5" w:rsidRDefault="00BB44E5">
            <w:pPr>
              <w:ind w:left="0" w:hanging="2"/>
            </w:pPr>
          </w:p>
          <w:p w14:paraId="70E34A2B" w14:textId="77777777" w:rsidR="00BB44E5" w:rsidRDefault="00BB44E5">
            <w:pPr>
              <w:ind w:left="0" w:hanging="2"/>
            </w:pPr>
          </w:p>
          <w:p w14:paraId="5AA13554" w14:textId="77777777" w:rsidR="00BB44E5" w:rsidRDefault="00BB44E5">
            <w:pPr>
              <w:ind w:left="0" w:hanging="2"/>
            </w:pPr>
          </w:p>
          <w:p w14:paraId="7587ABF5" w14:textId="77777777" w:rsidR="00BB44E5" w:rsidRDefault="00BB44E5">
            <w:pPr>
              <w:ind w:left="0" w:hanging="2"/>
            </w:pPr>
          </w:p>
          <w:p w14:paraId="70DCCB0A" w14:textId="77777777" w:rsidR="00BB44E5" w:rsidRDefault="00BB44E5">
            <w:pPr>
              <w:ind w:left="0" w:hanging="2"/>
            </w:pPr>
          </w:p>
          <w:p w14:paraId="61663458" w14:textId="77777777" w:rsidR="00BB44E5" w:rsidRDefault="00BB44E5">
            <w:pPr>
              <w:ind w:left="0" w:hanging="2"/>
            </w:pPr>
          </w:p>
          <w:p w14:paraId="28F2FB99" w14:textId="77777777" w:rsidR="00BB44E5" w:rsidRDefault="00BB44E5">
            <w:pPr>
              <w:ind w:left="0" w:hanging="2"/>
            </w:pPr>
          </w:p>
          <w:p w14:paraId="0CAAD814" w14:textId="77777777" w:rsidR="00BB44E5" w:rsidRDefault="00BB44E5">
            <w:pPr>
              <w:ind w:left="0" w:hanging="2"/>
            </w:pPr>
          </w:p>
          <w:p w14:paraId="11303349" w14:textId="77777777" w:rsidR="00BB44E5" w:rsidRDefault="00BB44E5">
            <w:pPr>
              <w:ind w:left="0" w:hanging="2"/>
            </w:pPr>
          </w:p>
          <w:p w14:paraId="012C3DF5" w14:textId="77777777" w:rsidR="00BB44E5" w:rsidRDefault="00BB44E5">
            <w:pPr>
              <w:ind w:left="0" w:hanging="2"/>
            </w:pPr>
          </w:p>
          <w:p w14:paraId="1ABF5475" w14:textId="77777777" w:rsidR="00BB44E5" w:rsidRDefault="00BB44E5">
            <w:pPr>
              <w:ind w:left="0" w:hanging="2"/>
            </w:pPr>
          </w:p>
          <w:p w14:paraId="637120B6" w14:textId="77777777" w:rsidR="00E328AE" w:rsidRPr="00E328AE" w:rsidRDefault="00E328AE" w:rsidP="00E328AE">
            <w:pPr>
              <w:ind w:left="0" w:hanging="2"/>
            </w:pPr>
          </w:p>
          <w:p w14:paraId="66C8208D" w14:textId="77777777" w:rsidR="00E328AE" w:rsidRPr="00E328AE" w:rsidRDefault="00E328AE" w:rsidP="00E328AE">
            <w:pPr>
              <w:ind w:left="0" w:hanging="2"/>
            </w:pPr>
          </w:p>
          <w:p w14:paraId="58BA54D2" w14:textId="77777777" w:rsidR="00E328AE" w:rsidRPr="00E328AE" w:rsidRDefault="00E328AE" w:rsidP="00E328AE">
            <w:pPr>
              <w:ind w:left="0" w:hanging="2"/>
            </w:pPr>
          </w:p>
          <w:p w14:paraId="78E610C6" w14:textId="77777777" w:rsidR="00E328AE" w:rsidRPr="00E328AE" w:rsidRDefault="00E328AE" w:rsidP="00E328AE">
            <w:pPr>
              <w:ind w:left="0" w:hanging="2"/>
            </w:pPr>
          </w:p>
          <w:p w14:paraId="02009EF8" w14:textId="77777777" w:rsidR="00E328AE" w:rsidRPr="00E328AE" w:rsidRDefault="00E328AE" w:rsidP="00E328AE">
            <w:pPr>
              <w:ind w:left="0" w:hanging="2"/>
            </w:pPr>
          </w:p>
          <w:p w14:paraId="4CD9A215" w14:textId="77777777" w:rsidR="00E328AE" w:rsidRPr="00E328AE" w:rsidRDefault="00E328AE" w:rsidP="00E328AE">
            <w:pPr>
              <w:ind w:left="0" w:hanging="2"/>
            </w:pPr>
          </w:p>
          <w:p w14:paraId="32B291B7" w14:textId="77777777" w:rsidR="00E328AE" w:rsidRPr="00E328AE" w:rsidRDefault="00E328AE" w:rsidP="00E328AE">
            <w:pPr>
              <w:ind w:left="0" w:hanging="2"/>
            </w:pPr>
          </w:p>
          <w:p w14:paraId="40FE54E6" w14:textId="77777777" w:rsidR="00E328AE" w:rsidRPr="00E328AE" w:rsidRDefault="00E328AE" w:rsidP="00E328AE">
            <w:pPr>
              <w:ind w:left="0" w:hanging="2"/>
            </w:pPr>
          </w:p>
          <w:p w14:paraId="7859DD1F" w14:textId="77777777" w:rsidR="00E328AE" w:rsidRPr="00E328AE" w:rsidRDefault="00E328AE" w:rsidP="00E328AE">
            <w:pPr>
              <w:ind w:left="0" w:hanging="2"/>
            </w:pPr>
          </w:p>
          <w:p w14:paraId="45814239" w14:textId="77777777" w:rsidR="00E328AE" w:rsidRPr="00E328AE" w:rsidRDefault="00E328AE" w:rsidP="00E328AE">
            <w:pPr>
              <w:ind w:left="0" w:hanging="2"/>
            </w:pPr>
          </w:p>
          <w:p w14:paraId="5D940B6B" w14:textId="77777777" w:rsidR="00E328AE" w:rsidRPr="00E328AE" w:rsidRDefault="00E328AE" w:rsidP="00E328AE">
            <w:pPr>
              <w:ind w:left="0" w:hanging="2"/>
            </w:pPr>
          </w:p>
          <w:p w14:paraId="3903AF7D" w14:textId="77777777" w:rsidR="00E328AE" w:rsidRPr="00E328AE" w:rsidRDefault="00E328AE" w:rsidP="00E328AE">
            <w:pPr>
              <w:ind w:left="0" w:hanging="2"/>
            </w:pPr>
          </w:p>
          <w:p w14:paraId="3060AC78" w14:textId="77777777" w:rsidR="00E328AE" w:rsidRPr="00E328AE" w:rsidRDefault="00E328AE" w:rsidP="00E328AE">
            <w:pPr>
              <w:ind w:left="0" w:hanging="2"/>
            </w:pPr>
          </w:p>
          <w:p w14:paraId="371149A9" w14:textId="77777777" w:rsidR="00E328AE" w:rsidRDefault="00E328AE" w:rsidP="00E328AE">
            <w:pPr>
              <w:ind w:left="0" w:hanging="2"/>
            </w:pPr>
          </w:p>
          <w:p w14:paraId="19518998" w14:textId="07C54C6B" w:rsidR="00E328AE" w:rsidRPr="00E328AE" w:rsidRDefault="00E328AE" w:rsidP="00E328AE">
            <w:pPr>
              <w:ind w:left="0" w:hanging="2"/>
            </w:pPr>
          </w:p>
        </w:tc>
        <w:tc>
          <w:tcPr>
            <w:tcW w:w="6662" w:type="dxa"/>
          </w:tcPr>
          <w:p w14:paraId="6818386D" w14:textId="77777777" w:rsidR="00BB44E5" w:rsidRPr="006C1DDE" w:rsidRDefault="00334705">
            <w:pPr>
              <w:ind w:left="0" w:hanging="2"/>
              <w:jc w:val="both"/>
              <w:rPr>
                <w:color w:val="000000"/>
              </w:rPr>
            </w:pPr>
            <w:r w:rsidRPr="006C1DDE">
              <w:rPr>
                <w:color w:val="000000"/>
              </w:rPr>
              <w:t xml:space="preserve">Valsts atbalsta piešķiršanas vispārējā kārtība, atbalsta kopējais apmērs un prioritātes meža nozares attīstībai konkrētajā gadā ir noteiktas Ministru kabineta 2016. gada 26.aprīļa noteikumos Nr.265 „Valsts atbalsta piešķiršanas kārtība meža nozares attīstībai”. </w:t>
            </w:r>
          </w:p>
          <w:p w14:paraId="04399963" w14:textId="77777777" w:rsidR="00BB44E5" w:rsidRPr="006C1DDE" w:rsidRDefault="00334705">
            <w:pPr>
              <w:ind w:left="0" w:hanging="2"/>
              <w:jc w:val="both"/>
              <w:rPr>
                <w:color w:val="000000"/>
              </w:rPr>
            </w:pPr>
            <w:r w:rsidRPr="006C1DDE">
              <w:rPr>
                <w:color w:val="000000"/>
              </w:rPr>
              <w:t xml:space="preserve">Noteikumu projekts ir sagatavots, ievērojot līdzekļus, kas likumā „Par valsts budžetu 2020. gadam” noteikti Zemkopības ministrijas budžetam finansējuma izlietojuma programmas 24.00.00 „Meža resursu ilgtspējības saglabāšana” apakšprogrammā 24.02.00 „Valsts atbalsta pasākumi meža nozarē”, tos novirzot Meža attīstības fondam. </w:t>
            </w:r>
          </w:p>
          <w:p w14:paraId="30BE166D" w14:textId="2BBECED9" w:rsidR="00BB44E5" w:rsidRPr="006C1DDE" w:rsidRDefault="00334705">
            <w:pPr>
              <w:ind w:left="0" w:hanging="2"/>
              <w:jc w:val="both"/>
              <w:rPr>
                <w:color w:val="000000"/>
              </w:rPr>
            </w:pPr>
            <w:r w:rsidRPr="006C1DDE">
              <w:rPr>
                <w:color w:val="000000"/>
              </w:rPr>
              <w:t xml:space="preserve">Lai 2020. gadā sasniegtu Meža attīstības fonda mērķi, Zemkopības ministrija sadarbībā ar </w:t>
            </w:r>
            <w:r w:rsidR="00110A1C">
              <w:rPr>
                <w:color w:val="000000"/>
              </w:rPr>
              <w:t xml:space="preserve">saviem </w:t>
            </w:r>
            <w:r w:rsidRPr="006C1DDE">
              <w:rPr>
                <w:color w:val="000000"/>
              </w:rPr>
              <w:t xml:space="preserve">sadarbības partneriem biedrību “Latvijas Kokrūpniecības federācija” un Latvijas Meža īpašnieku biedrību, kā arī ar Valsts meža dienestu un akciju sabiedrību “Latvijas valsts meži” izvērtēja meža nozares attīstības tendences un aktualitātes 2020.gadā un noteica meža nozares attīstībai nepieciešamās prioritātes 2020. gadā. Ņemot vērā Latvijas attīstībai izvirzīto </w:t>
            </w:r>
            <w:proofErr w:type="spellStart"/>
            <w:r w:rsidRPr="006C1DDE">
              <w:rPr>
                <w:color w:val="000000"/>
              </w:rPr>
              <w:t>klimatneitralitātes</w:t>
            </w:r>
            <w:proofErr w:type="spellEnd"/>
            <w:r w:rsidRPr="006C1DDE">
              <w:rPr>
                <w:color w:val="000000"/>
              </w:rPr>
              <w:t xml:space="preserve"> mērķi 2050.gadam, joprojām nepieciešami pētījumi meža apsaimniekošanas potenciāla uzlabošanai un saimniecisko mežu CO</w:t>
            </w:r>
            <w:r w:rsidRPr="006C1DDE">
              <w:rPr>
                <w:color w:val="000000"/>
                <w:vertAlign w:val="subscript"/>
              </w:rPr>
              <w:t>2</w:t>
            </w:r>
            <w:r w:rsidRPr="006C1DDE">
              <w:rPr>
                <w:color w:val="000000"/>
              </w:rPr>
              <w:t xml:space="preserve"> ilgtermiņa piesaistes palielināšanai. Nākamā perioda Nacionālā attīstības plāna projektā rīcības virzienā “Daba un vide – “Zaļais kurss”” uzsvērta bioloģiskās daudzveidības saglabāšanas un uzturēšanas nozīme, un ir nepieciešamas jaunas zināšanas par mežu apsaimniekošanas pilnveidošanu bioloģiskās daudzveidības bioloģisko vērtību uzlabošanai, kā arī vērtību monitoringa jomā. Ir daudz darīts sabiedrības zināšanu un izpratnes par ilgtspējīgu meža apsaimniekošanu un koksnes produktu pielietošanu uzlabošanā – meža nozares organizētajos pasākumos piedalījušies liels skaits bērnu un jauniešu, tomēr joprojām vērojama </w:t>
            </w:r>
            <w:r w:rsidR="00110A1C">
              <w:rPr>
                <w:color w:val="000000"/>
              </w:rPr>
              <w:t xml:space="preserve">nepietiekama </w:t>
            </w:r>
            <w:r w:rsidRPr="006C1DDE">
              <w:rPr>
                <w:color w:val="000000"/>
              </w:rPr>
              <w:t>izpratne mežu apsaimniekotāju un īpašnieku, meža nozares pārstāvju un sabiedrības vidū. Tādēļ jāturpina uzlabot sabiedrības viedokli un izpratn</w:t>
            </w:r>
            <w:r w:rsidR="00110A1C">
              <w:rPr>
                <w:color w:val="000000"/>
              </w:rPr>
              <w:t>i</w:t>
            </w:r>
            <w:r w:rsidRPr="006C1DDE">
              <w:rPr>
                <w:color w:val="000000"/>
              </w:rPr>
              <w:t xml:space="preserve"> par ilgtspējīgu meža apsaimniekošanu un nozares </w:t>
            </w:r>
            <w:r w:rsidRPr="006C1DDE">
              <w:rPr>
                <w:color w:val="000000"/>
              </w:rPr>
              <w:lastRenderedPageBreak/>
              <w:t>perspektīvām. Noteikumu projektā paredzētais atbalsts veicinās nozares ilgtspējīgu attīstību un konkurētspēju.</w:t>
            </w:r>
          </w:p>
          <w:p w14:paraId="076F1490" w14:textId="77777777" w:rsidR="00BB44E5" w:rsidRPr="006C1DDE" w:rsidRDefault="00334705">
            <w:pPr>
              <w:ind w:left="0" w:hanging="2"/>
              <w:jc w:val="both"/>
              <w:rPr>
                <w:color w:val="000000"/>
              </w:rPr>
            </w:pPr>
            <w:r w:rsidRPr="006C1DDE">
              <w:rPr>
                <w:color w:val="000000"/>
              </w:rPr>
              <w:t>Tradicionāli valsts atbalsts meža nozares attīstībai paredz veicināt sabiedrības informēšanas un izglītošanas programmu un projektu īstenošanu:</w:t>
            </w:r>
          </w:p>
          <w:p w14:paraId="4B749E4C" w14:textId="77777777" w:rsidR="00BB44E5" w:rsidRPr="006C1DDE" w:rsidRDefault="00334705">
            <w:pPr>
              <w:numPr>
                <w:ilvl w:val="0"/>
                <w:numId w:val="1"/>
              </w:numPr>
              <w:ind w:left="0" w:hanging="2"/>
              <w:jc w:val="both"/>
              <w:rPr>
                <w:color w:val="000000"/>
              </w:rPr>
            </w:pPr>
            <w:r w:rsidRPr="006C1DDE">
              <w:rPr>
                <w:color w:val="000000"/>
              </w:rPr>
              <w:t>meža nozares gada balvas „Zelta čiekurs” balvu izgatavošanu, naudas balvas meža nozares gada balvas „Zelta čiekurs” laureātiem (lēmumu par laureātiem un naudas balvu sadalījumu Meža nozares gada balvas „Zelta čiekurs” laureātiem pieņem atbilstoši Zemkopības ministrijas 2019. gada 15. augusta rīkojumam Nr.101 „Par Meža nozares gada balvas „Zelta čiekurs” nolikumu”) un balvu pasniegšanas norises informatīvo un tehnisko nodrošinājumu, kam paredzēts lielāks finansējums, lai organizētu kvalitatīvu apbalvošanas ceremonijas norisi, pilnveidojot pasākuma demonstrēšanu televīzijā un pievēršot lielāku vērību sabiedrības informēšanai par nozarē aktuālo un tās sasniegumiem;</w:t>
            </w:r>
          </w:p>
          <w:p w14:paraId="53E9961C" w14:textId="77777777" w:rsidR="00BB44E5" w:rsidRPr="006C1DDE" w:rsidRDefault="00334705">
            <w:pPr>
              <w:numPr>
                <w:ilvl w:val="0"/>
                <w:numId w:val="1"/>
              </w:numPr>
              <w:ind w:left="0" w:hanging="2"/>
              <w:jc w:val="both"/>
              <w:rPr>
                <w:color w:val="000000"/>
              </w:rPr>
            </w:pPr>
            <w:r w:rsidRPr="006C1DDE">
              <w:rPr>
                <w:color w:val="000000"/>
              </w:rPr>
              <w:t>skolu jaunatnes izglītošanas pasākumu „Konkurss „Mūsu mazais pārgājiens””, kam finansējums nedaudz palielināts, ievērojot izmaksu palielinājumu Latvijā;</w:t>
            </w:r>
          </w:p>
          <w:p w14:paraId="43309B78" w14:textId="77777777" w:rsidR="00BB44E5" w:rsidRPr="006C1DDE" w:rsidRDefault="00334705">
            <w:pPr>
              <w:numPr>
                <w:ilvl w:val="0"/>
                <w:numId w:val="1"/>
              </w:numPr>
              <w:ind w:left="0" w:hanging="2"/>
              <w:jc w:val="both"/>
              <w:rPr>
                <w:color w:val="000000"/>
              </w:rPr>
            </w:pPr>
            <w:r w:rsidRPr="006C1DDE">
              <w:rPr>
                <w:color w:val="000000"/>
              </w:rPr>
              <w:t xml:space="preserve">„Meža dienas 2020” pasākumu, kas tiek sekmīgi īstenots un atzinīgi novērtēts, iesaistot pašvaldības un attiecīgo pašvaldību nozares uzņēmumus, meža nozares iestādes un organizācijas, turpinot veicināt vietējās kopienas aktīvu līdzdarbošanos, </w:t>
            </w:r>
            <w:r w:rsidRPr="006C1DDE">
              <w:t xml:space="preserve">pievēršot lielāku Latvijas sabiedrības uzmanību </w:t>
            </w:r>
            <w:r w:rsidRPr="006C1DDE">
              <w:rPr>
                <w:color w:val="000000"/>
              </w:rPr>
              <w:t xml:space="preserve">mežsaimniecībai un ainavai teritorijā, kā arī zaļās zonas nepieciešamībai, īpaši parku, </w:t>
            </w:r>
            <w:proofErr w:type="spellStart"/>
            <w:r w:rsidRPr="006C1DDE">
              <w:rPr>
                <w:color w:val="000000"/>
              </w:rPr>
              <w:t>mežaparku</w:t>
            </w:r>
            <w:proofErr w:type="spellEnd"/>
            <w:r w:rsidRPr="006C1DDE">
              <w:rPr>
                <w:color w:val="000000"/>
              </w:rPr>
              <w:t>, dendroloģisko stādījumu stāvoklim, palīdzot risināt to labiekārtošanu</w:t>
            </w:r>
            <w:r w:rsidRPr="006C1DDE">
              <w:t>, kā arī sekmējot jaunu zināšanu iegūšanu</w:t>
            </w:r>
            <w:r w:rsidRPr="006C1DDE">
              <w:rPr>
                <w:color w:val="000000"/>
              </w:rPr>
              <w:t>;</w:t>
            </w:r>
          </w:p>
          <w:p w14:paraId="3AC928A1" w14:textId="17DB6470" w:rsidR="00BB44E5" w:rsidRPr="006C1DDE" w:rsidRDefault="00334705">
            <w:pPr>
              <w:numPr>
                <w:ilvl w:val="0"/>
                <w:numId w:val="1"/>
              </w:numPr>
              <w:pBdr>
                <w:top w:val="nil"/>
                <w:left w:val="nil"/>
                <w:bottom w:val="nil"/>
                <w:right w:val="nil"/>
                <w:between w:val="nil"/>
              </w:pBdr>
              <w:spacing w:line="240" w:lineRule="auto"/>
              <w:ind w:left="0" w:hanging="2"/>
              <w:jc w:val="both"/>
              <w:rPr>
                <w:color w:val="000000"/>
              </w:rPr>
            </w:pPr>
            <w:r w:rsidRPr="006C1DDE">
              <w:rPr>
                <w:color w:val="000000"/>
              </w:rPr>
              <w:t>bukleta “Meža nozare skaitļos un faktos” sagatavošan</w:t>
            </w:r>
            <w:r w:rsidR="00110A1C">
              <w:rPr>
                <w:color w:val="000000"/>
              </w:rPr>
              <w:t>u</w:t>
            </w:r>
            <w:r w:rsidRPr="006C1DDE">
              <w:rPr>
                <w:color w:val="000000"/>
              </w:rPr>
              <w:t xml:space="preserve"> un izdošan</w:t>
            </w:r>
            <w:r w:rsidR="00110A1C">
              <w:rPr>
                <w:color w:val="000000"/>
              </w:rPr>
              <w:t>u</w:t>
            </w:r>
            <w:r w:rsidRPr="006C1DDE">
              <w:rPr>
                <w:color w:val="000000"/>
              </w:rPr>
              <w:t xml:space="preserve"> latviešu un angļu valodā, lai sniegtu mežā nozari raksturojošu ar statistiku pamatotu informāciju lēmuma pieņēmējiem, nozares pārstāvjiem un plašākai sabiedrībai, tā radot izpratni par nozares rādītājiem un to attīstības dinamiku.</w:t>
            </w:r>
            <w:r w:rsidRPr="006C1DDE">
              <w:rPr>
                <w:rFonts w:ascii="Calibri" w:eastAsia="Calibri" w:hAnsi="Calibri" w:cs="Calibri"/>
                <w:color w:val="000000"/>
                <w:sz w:val="22"/>
                <w:szCs w:val="22"/>
              </w:rPr>
              <w:t xml:space="preserve"> </w:t>
            </w:r>
            <w:r w:rsidRPr="006C1DDE">
              <w:rPr>
                <w:color w:val="000000"/>
              </w:rPr>
              <w:t>Būtiski šādu informatīvo materiālu sagatavot, lai plašākai sabiedrībai būtu iespējams</w:t>
            </w:r>
            <w:r w:rsidR="00110A1C">
              <w:rPr>
                <w:color w:val="000000"/>
              </w:rPr>
              <w:t xml:space="preserve"> iepazīt meža nozares attīstības dinamiku</w:t>
            </w:r>
            <w:r w:rsidRPr="006C1DDE">
              <w:rPr>
                <w:color w:val="000000"/>
              </w:rPr>
              <w:t xml:space="preserve"> </w:t>
            </w:r>
            <w:sdt>
              <w:sdtPr>
                <w:tag w:val="goog_rdk_1"/>
                <w:id w:val="-186830285"/>
              </w:sdtPr>
              <w:sdtEndPr/>
              <w:sdtContent>
                <w:r w:rsidRPr="006C1DDE">
                  <w:rPr>
                    <w:color w:val="000000"/>
                  </w:rPr>
                  <w:t xml:space="preserve">un </w:t>
                </w:r>
              </w:sdtContent>
            </w:sdt>
            <w:r w:rsidRPr="006C1DDE">
              <w:rPr>
                <w:color w:val="000000"/>
              </w:rPr>
              <w:t xml:space="preserve">sekot </w:t>
            </w:r>
            <w:r w:rsidR="00110A1C">
              <w:rPr>
                <w:color w:val="000000"/>
              </w:rPr>
              <w:t xml:space="preserve">tai </w:t>
            </w:r>
            <w:r w:rsidRPr="006C1DDE">
              <w:rPr>
                <w:color w:val="000000"/>
              </w:rPr>
              <w:t xml:space="preserve">līdzi, </w:t>
            </w:r>
            <w:r w:rsidR="00110A1C">
              <w:rPr>
                <w:color w:val="000000"/>
              </w:rPr>
              <w:t>jo</w:t>
            </w:r>
            <w:r w:rsidRPr="006C1DDE">
              <w:rPr>
                <w:color w:val="000000"/>
              </w:rPr>
              <w:t xml:space="preserve"> mež</w:t>
            </w:r>
            <w:r w:rsidR="001A799C" w:rsidRPr="006C1DDE">
              <w:rPr>
                <w:color w:val="000000"/>
              </w:rPr>
              <w:t>s</w:t>
            </w:r>
            <w:r w:rsidRPr="006C1DDE">
              <w:rPr>
                <w:color w:val="000000"/>
              </w:rPr>
              <w:t xml:space="preserve"> ir Latvijas lielākā bagātība, </w:t>
            </w:r>
            <w:sdt>
              <w:sdtPr>
                <w:tag w:val="goog_rdk_2"/>
                <w:id w:val="506415007"/>
              </w:sdtPr>
              <w:sdtEndPr/>
              <w:sdtContent>
                <w:r w:rsidRPr="006C1DDE">
                  <w:rPr>
                    <w:color w:val="000000"/>
                  </w:rPr>
                  <w:t>ar t</w:t>
                </w:r>
                <w:r w:rsidR="00827906" w:rsidRPr="006C1DDE">
                  <w:rPr>
                    <w:color w:val="000000"/>
                  </w:rPr>
                  <w:t>o</w:t>
                </w:r>
                <w:r w:rsidRPr="006C1DDE">
                  <w:rPr>
                    <w:color w:val="000000"/>
                  </w:rPr>
                  <w:t xml:space="preserve"> saistītā uzņēmējdarbība </w:t>
                </w:r>
              </w:sdtContent>
            </w:sdt>
            <w:r w:rsidRPr="006C1DDE">
              <w:rPr>
                <w:color w:val="000000"/>
              </w:rPr>
              <w:t xml:space="preserve">dod ļoti nozīmīgu ieguldījumu tautsaimniecības attīstībā un ar nozari tiešā vai </w:t>
            </w:r>
            <w:r w:rsidR="00110A1C">
              <w:rPr>
                <w:color w:val="000000"/>
              </w:rPr>
              <w:t>netiešā</w:t>
            </w:r>
            <w:r w:rsidRPr="006C1DDE">
              <w:rPr>
                <w:color w:val="000000"/>
              </w:rPr>
              <w:t xml:space="preserve"> veidā ir saistīts gandrīz ikviens Latvijas iedzīvotājs;</w:t>
            </w:r>
          </w:p>
          <w:p w14:paraId="522880C1" w14:textId="76E8E9B1" w:rsidR="00BB44E5" w:rsidRPr="006C1DDE" w:rsidRDefault="00334705">
            <w:pPr>
              <w:numPr>
                <w:ilvl w:val="0"/>
                <w:numId w:val="1"/>
              </w:numPr>
              <w:ind w:left="0" w:hanging="2"/>
              <w:jc w:val="both"/>
            </w:pPr>
            <w:r w:rsidRPr="006C1DDE">
              <w:t xml:space="preserve">grāmatas par bērzu izdošanu no skolēnu konkursā “Mūsu mazais pārgājiens” apkopotās informācijas “No folkloras, tautas dzīves ziņas līdz biznesam un nākotnes </w:t>
            </w:r>
            <w:proofErr w:type="spellStart"/>
            <w:r w:rsidRPr="006C1DDE">
              <w:t>bioekonomikai</w:t>
            </w:r>
            <w:proofErr w:type="spellEnd"/>
            <w:r w:rsidRPr="006C1DDE">
              <w:t xml:space="preserve">” ar atziņām bērza izpētē, lai mudinātu jauniešus turpināt izzināt meža jomu Latvijā un paplašinātu un pilnveidotu jauniešu un plašākas sabiedrības zināšanas, </w:t>
            </w:r>
            <w:r w:rsidR="00110A1C">
              <w:t>pamatojoties</w:t>
            </w:r>
            <w:r w:rsidRPr="006C1DDE">
              <w:t xml:space="preserve"> gan uz gadsimtos pārbaudītām un </w:t>
            </w:r>
            <w:r w:rsidR="00110A1C">
              <w:t>izman</w:t>
            </w:r>
            <w:r w:rsidRPr="006C1DDE">
              <w:t xml:space="preserve">totām zināšanām, </w:t>
            </w:r>
            <w:sdt>
              <w:sdtPr>
                <w:tag w:val="goog_rdk_3"/>
                <w:id w:val="-205951309"/>
              </w:sdtPr>
              <w:sdtEndPr/>
              <w:sdtContent>
                <w:r w:rsidRPr="006C1DDE">
                  <w:t xml:space="preserve">jauniem atklājumiem un sasniegumiem, </w:t>
                </w:r>
              </w:sdtContent>
            </w:sdt>
            <w:r w:rsidRPr="006C1DDE">
              <w:t>kā arī ņemot vērā</w:t>
            </w:r>
            <w:r w:rsidR="00110A1C">
              <w:t xml:space="preserve"> to</w:t>
            </w:r>
            <w:r w:rsidRPr="006C1DDE">
              <w:t xml:space="preserve">, ka Latvijā ir izstrādāta  “Latvijas </w:t>
            </w:r>
            <w:proofErr w:type="spellStart"/>
            <w:r w:rsidRPr="006C1DDE">
              <w:t>Bioekonomikas</w:t>
            </w:r>
            <w:proofErr w:type="spellEnd"/>
            <w:r w:rsidRPr="006C1DDE">
              <w:t xml:space="preserve"> stratēģija 2030”, lai veicinātu </w:t>
            </w:r>
            <w:r w:rsidR="00110A1C">
              <w:t>atjaunojamo dabas resursu</w:t>
            </w:r>
            <w:r w:rsidRPr="006C1DDE">
              <w:t xml:space="preserve"> ilgtspējīg</w:t>
            </w:r>
            <w:r w:rsidR="00110A1C">
              <w:t>u</w:t>
            </w:r>
            <w:r w:rsidRPr="006C1DDE">
              <w:t xml:space="preserve"> un pārdomāt</w:t>
            </w:r>
            <w:r w:rsidR="00110A1C">
              <w:t>u</w:t>
            </w:r>
            <w:r w:rsidRPr="006C1DDE">
              <w:t xml:space="preserve"> izmanto</w:t>
            </w:r>
            <w:r w:rsidR="00110A1C">
              <w:t>šanu</w:t>
            </w:r>
            <w:r w:rsidR="00110A1C" w:rsidRPr="006C1DDE">
              <w:t xml:space="preserve"> </w:t>
            </w:r>
            <w:r w:rsidR="00110A1C">
              <w:t>ra</w:t>
            </w:r>
            <w:r w:rsidR="00110A1C" w:rsidRPr="006C1DDE">
              <w:t>žošanas procesā</w:t>
            </w:r>
            <w:r w:rsidRPr="006C1DDE">
              <w:t>;</w:t>
            </w:r>
          </w:p>
          <w:p w14:paraId="76E044E6" w14:textId="3165FCD7" w:rsidR="00BB44E5" w:rsidRPr="006C1DDE" w:rsidRDefault="00334705">
            <w:pPr>
              <w:numPr>
                <w:ilvl w:val="0"/>
                <w:numId w:val="1"/>
              </w:numPr>
              <w:pBdr>
                <w:top w:val="nil"/>
                <w:left w:val="nil"/>
                <w:bottom w:val="nil"/>
                <w:right w:val="nil"/>
                <w:between w:val="nil"/>
              </w:pBdr>
              <w:spacing w:line="240" w:lineRule="auto"/>
              <w:ind w:left="0" w:hanging="2"/>
              <w:jc w:val="both"/>
              <w:rPr>
                <w:color w:val="000000"/>
              </w:rPr>
            </w:pPr>
            <w:bookmarkStart w:id="0" w:name="_heading=h.gjdgxs" w:colFirst="0" w:colLast="0"/>
            <w:bookmarkEnd w:id="0"/>
            <w:r w:rsidRPr="006C1DDE">
              <w:rPr>
                <w:color w:val="000000"/>
              </w:rPr>
              <w:t>informatīvo materiālu sagatavošanu privātā meža īpašnieku izglītošanai “Egļu audžu aizsardzība pret egļu astoņzobu mizgrauzi (</w:t>
            </w:r>
            <w:proofErr w:type="spellStart"/>
            <w:r w:rsidRPr="006C1DDE">
              <w:rPr>
                <w:i/>
                <w:color w:val="000000"/>
              </w:rPr>
              <w:t>Ips</w:t>
            </w:r>
            <w:proofErr w:type="spellEnd"/>
            <w:r w:rsidRPr="006C1DDE">
              <w:rPr>
                <w:i/>
                <w:color w:val="000000"/>
              </w:rPr>
              <w:t xml:space="preserve"> </w:t>
            </w:r>
            <w:proofErr w:type="spellStart"/>
            <w:r w:rsidRPr="006C1DDE">
              <w:rPr>
                <w:i/>
                <w:color w:val="000000"/>
              </w:rPr>
              <w:t>typographus</w:t>
            </w:r>
            <w:proofErr w:type="spellEnd"/>
            <w:r w:rsidRPr="006C1DDE">
              <w:rPr>
                <w:i/>
                <w:color w:val="000000"/>
              </w:rPr>
              <w:t xml:space="preserve"> L.</w:t>
            </w:r>
            <w:r w:rsidRPr="006C1DDE">
              <w:rPr>
                <w:color w:val="000000"/>
              </w:rPr>
              <w:t xml:space="preserve">)”, lai laikus reaģētu uz egļu astoņzobu </w:t>
            </w:r>
            <w:r w:rsidRPr="006C1DDE">
              <w:rPr>
                <w:color w:val="000000"/>
              </w:rPr>
              <w:lastRenderedPageBreak/>
              <w:t xml:space="preserve">mizgrauža savairošanās draudiem Latvijā, ņemot vērā </w:t>
            </w:r>
            <w:r w:rsidR="00110A1C">
              <w:rPr>
                <w:color w:val="000000"/>
              </w:rPr>
              <w:t xml:space="preserve">tā </w:t>
            </w:r>
            <w:r w:rsidRPr="006C1DDE">
              <w:rPr>
                <w:color w:val="000000"/>
              </w:rPr>
              <w:t>masveida savairošanos Eiropā.</w:t>
            </w:r>
            <w:r w:rsidRPr="006C1DDE">
              <w:rPr>
                <w:rFonts w:ascii="Calibri" w:eastAsia="Calibri" w:hAnsi="Calibri" w:cs="Calibri"/>
                <w:color w:val="000000"/>
                <w:sz w:val="22"/>
                <w:szCs w:val="22"/>
              </w:rPr>
              <w:t xml:space="preserve"> </w:t>
            </w:r>
            <w:r w:rsidRPr="006C1DDE">
              <w:rPr>
                <w:color w:val="000000"/>
              </w:rPr>
              <w:t xml:space="preserve">Pēdējos gados vairākās Eiropas valstīs (Vācija, Polija, Čehija, Zviedrija, Slovākija, Austrija, Slovēnija) jau bija novērojama masveida egļu audžu bojāeja, ko izraisījusi egļu astoņzobu mizgraužu </w:t>
            </w:r>
            <w:r w:rsidRPr="006C1DDE">
              <w:rPr>
                <w:i/>
                <w:color w:val="000000"/>
              </w:rPr>
              <w:t>(</w:t>
            </w:r>
            <w:proofErr w:type="spellStart"/>
            <w:r w:rsidRPr="006C1DDE">
              <w:rPr>
                <w:i/>
                <w:color w:val="000000"/>
              </w:rPr>
              <w:t>Ips</w:t>
            </w:r>
            <w:proofErr w:type="spellEnd"/>
            <w:r w:rsidRPr="006C1DDE">
              <w:rPr>
                <w:i/>
                <w:color w:val="000000"/>
              </w:rPr>
              <w:t xml:space="preserve"> </w:t>
            </w:r>
            <w:proofErr w:type="spellStart"/>
            <w:r w:rsidRPr="006C1DDE">
              <w:rPr>
                <w:i/>
                <w:color w:val="000000"/>
              </w:rPr>
              <w:t>typographus</w:t>
            </w:r>
            <w:proofErr w:type="spellEnd"/>
            <w:r w:rsidRPr="006C1DDE">
              <w:rPr>
                <w:i/>
                <w:color w:val="000000"/>
              </w:rPr>
              <w:t xml:space="preserve"> L.)</w:t>
            </w:r>
            <w:r w:rsidRPr="006C1DDE">
              <w:rPr>
                <w:color w:val="000000"/>
              </w:rPr>
              <w:t xml:space="preserve"> masveida savairošanās. Egļu astoņzobu mizgrauzis (turpmāk </w:t>
            </w:r>
            <w:r w:rsidR="00110A1C">
              <w:rPr>
                <w:color w:val="000000"/>
              </w:rPr>
              <w:t>–</w:t>
            </w:r>
            <w:r w:rsidRPr="006C1DDE">
              <w:rPr>
                <w:color w:val="000000"/>
              </w:rPr>
              <w:t xml:space="preserve"> mizgrauzis) uzskatāms par vienu no bīstamākajiem meža kaitēkļiem Latvijā. Izvērtējot 2019.</w:t>
            </w:r>
            <w:r w:rsidR="00110A1C">
              <w:rPr>
                <w:color w:val="000000"/>
              </w:rPr>
              <w:t> </w:t>
            </w:r>
            <w:r w:rsidRPr="006C1DDE">
              <w:rPr>
                <w:color w:val="000000"/>
              </w:rPr>
              <w:t xml:space="preserve">gada Meža kaitēkļu un slimību zinātniskajā monitoringā iegūtos datus par mizgrauža populācijas dinamiku un prognozēm, kā arī Valsts meža dienesta apkopotos datus par izsniegtajām apliecinājumiem koku ciršanai sanitārajās cirtēs ar cēloni “mizgrauzis” un meža īpašnieku iesniegto informāciju, apstiprinājās, ka vairākos Latvijas reģionos </w:t>
            </w:r>
            <w:r w:rsidR="00110A1C">
              <w:rPr>
                <w:color w:val="000000"/>
              </w:rPr>
              <w:t>mizgrauzis</w:t>
            </w:r>
            <w:r w:rsidR="00110A1C" w:rsidRPr="006C1DDE">
              <w:rPr>
                <w:color w:val="000000"/>
              </w:rPr>
              <w:t xml:space="preserve"> </w:t>
            </w:r>
            <w:r w:rsidRPr="006C1DDE">
              <w:rPr>
                <w:color w:val="000000"/>
              </w:rPr>
              <w:t xml:space="preserve">jau </w:t>
            </w:r>
            <w:r w:rsidR="00110A1C">
              <w:rPr>
                <w:color w:val="000000"/>
              </w:rPr>
              <w:t xml:space="preserve">savairojies </w:t>
            </w:r>
            <w:r w:rsidRPr="006C1DDE">
              <w:rPr>
                <w:color w:val="000000"/>
              </w:rPr>
              <w:t>mas</w:t>
            </w:r>
            <w:r w:rsidR="00110A1C">
              <w:rPr>
                <w:color w:val="000000"/>
              </w:rPr>
              <w:t>veidā</w:t>
            </w:r>
            <w:r w:rsidRPr="006C1DDE">
              <w:rPr>
                <w:color w:val="000000"/>
              </w:rPr>
              <w:t>. Mizgrauža mas</w:t>
            </w:r>
            <w:r w:rsidR="00110A1C">
              <w:rPr>
                <w:color w:val="000000"/>
              </w:rPr>
              <w:t>veida</w:t>
            </w:r>
            <w:r w:rsidRPr="006C1DDE">
              <w:rPr>
                <w:color w:val="000000"/>
              </w:rPr>
              <w:t xml:space="preserve"> savairošanās Latvijā, pamatojoties uz Meža kaitēkļu un slimību zinātniskajā monitoringā iegūto datu izvērtējumu par mizgrauža populācijas dinamiku un prognozēm, 2020.</w:t>
            </w:r>
            <w:r w:rsidR="00B87DB0" w:rsidRPr="006C1DDE">
              <w:rPr>
                <w:color w:val="000000"/>
              </w:rPr>
              <w:t xml:space="preserve"> </w:t>
            </w:r>
            <w:r w:rsidRPr="006C1DDE">
              <w:rPr>
                <w:color w:val="000000"/>
              </w:rPr>
              <w:t>gadā turpināsies gan valsts, gan privātajos mežos. Lai informētu meža īpašniekus</w:t>
            </w:r>
            <w:r w:rsidR="00110A1C">
              <w:rPr>
                <w:color w:val="000000"/>
              </w:rPr>
              <w:t xml:space="preserve"> un</w:t>
            </w:r>
            <w:r w:rsidRPr="006C1DDE">
              <w:rPr>
                <w:color w:val="000000"/>
              </w:rPr>
              <w:t xml:space="preserve"> meža nozares speciālistus un citus interesentus par nopietnāko meža kaitēkli </w:t>
            </w:r>
            <w:r w:rsidR="00110A1C">
              <w:rPr>
                <w:color w:val="000000"/>
              </w:rPr>
              <w:t>–</w:t>
            </w:r>
            <w:r w:rsidRPr="006C1DDE">
              <w:rPr>
                <w:color w:val="000000"/>
              </w:rPr>
              <w:t xml:space="preserve"> egļu astoņzobu mizgrau</w:t>
            </w:r>
            <w:r w:rsidR="00110A1C">
              <w:rPr>
                <w:color w:val="000000"/>
              </w:rPr>
              <w:t>z</w:t>
            </w:r>
            <w:r w:rsidRPr="006C1DDE">
              <w:rPr>
                <w:color w:val="000000"/>
              </w:rPr>
              <w:t>i</w:t>
            </w:r>
            <w:r w:rsidR="007155D9" w:rsidRPr="006C1DDE">
              <w:rPr>
                <w:color w:val="000000"/>
              </w:rPr>
              <w:t xml:space="preserve"> </w:t>
            </w:r>
            <w:r w:rsidRPr="006C1DDE">
              <w:rPr>
                <w:i/>
                <w:color w:val="000000"/>
              </w:rPr>
              <w:t>(</w:t>
            </w:r>
            <w:proofErr w:type="spellStart"/>
            <w:r w:rsidRPr="006C1DDE">
              <w:rPr>
                <w:i/>
                <w:color w:val="000000"/>
              </w:rPr>
              <w:t>Ips</w:t>
            </w:r>
            <w:proofErr w:type="spellEnd"/>
            <w:r w:rsidRPr="006C1DDE">
              <w:rPr>
                <w:i/>
                <w:color w:val="000000"/>
              </w:rPr>
              <w:t xml:space="preserve"> </w:t>
            </w:r>
            <w:proofErr w:type="spellStart"/>
            <w:r w:rsidRPr="006C1DDE">
              <w:rPr>
                <w:i/>
                <w:color w:val="000000"/>
              </w:rPr>
              <w:t>typographus</w:t>
            </w:r>
            <w:proofErr w:type="spellEnd"/>
            <w:r w:rsidRPr="006C1DDE">
              <w:rPr>
                <w:i/>
                <w:color w:val="000000"/>
              </w:rPr>
              <w:t xml:space="preserve"> L.)</w:t>
            </w:r>
            <w:r w:rsidRPr="00C20565">
              <w:rPr>
                <w:color w:val="000000"/>
              </w:rPr>
              <w:t>,</w:t>
            </w:r>
            <w:r w:rsidRPr="006C1DDE">
              <w:rPr>
                <w:i/>
                <w:color w:val="000000"/>
              </w:rPr>
              <w:t xml:space="preserve"> </w:t>
            </w:r>
            <w:r w:rsidRPr="006C1DDE">
              <w:rPr>
                <w:color w:val="000000"/>
              </w:rPr>
              <w:t>tā izraisītajiem bojājumiem egļu audzēs un</w:t>
            </w:r>
            <w:r w:rsidR="00110A1C">
              <w:rPr>
                <w:color w:val="000000"/>
              </w:rPr>
              <w:t xml:space="preserve"> īstenojamajiem</w:t>
            </w:r>
            <w:r w:rsidR="00110A1C" w:rsidRPr="006C1DDE" w:rsidDel="00110A1C">
              <w:rPr>
                <w:color w:val="000000"/>
              </w:rPr>
              <w:t xml:space="preserve"> </w:t>
            </w:r>
            <w:r w:rsidRPr="006C1DDE">
              <w:rPr>
                <w:color w:val="000000"/>
              </w:rPr>
              <w:t>audžu aizsardzības pasākumiem papildus vēl citiem rīcības plānā par egļu audžu aizsardzību ietvertajiem pasākumiem plānots:</w:t>
            </w:r>
          </w:p>
          <w:p w14:paraId="14C03520" w14:textId="0A4219F5" w:rsidR="00BB44E5" w:rsidRPr="006C1DDE" w:rsidRDefault="00334705">
            <w:pPr>
              <w:pBdr>
                <w:top w:val="nil"/>
                <w:left w:val="nil"/>
                <w:bottom w:val="nil"/>
                <w:right w:val="nil"/>
                <w:between w:val="nil"/>
              </w:pBdr>
              <w:spacing w:line="240" w:lineRule="auto"/>
              <w:ind w:left="0" w:hanging="2"/>
              <w:jc w:val="both"/>
              <w:rPr>
                <w:color w:val="000000"/>
              </w:rPr>
            </w:pPr>
            <w:r w:rsidRPr="006C1DDE">
              <w:rPr>
                <w:color w:val="000000"/>
              </w:rPr>
              <w:t>1</w:t>
            </w:r>
            <w:r w:rsidR="00110A1C">
              <w:rPr>
                <w:color w:val="000000"/>
              </w:rPr>
              <w:t>)</w:t>
            </w:r>
            <w:r w:rsidRPr="006C1DDE">
              <w:rPr>
                <w:color w:val="000000"/>
              </w:rPr>
              <w:t xml:space="preserve"> sagatavot un aktualizēt informatīvo materiālu par egļu astoņzobu mizgrauzi, tā izraisītiem bojājumiem un ierobežošanas metodēm</w:t>
            </w:r>
            <w:r w:rsidR="00110A1C">
              <w:rPr>
                <w:color w:val="000000"/>
              </w:rPr>
              <w:t xml:space="preserve"> atkarībā</w:t>
            </w:r>
            <w:r w:rsidRPr="006C1DDE">
              <w:rPr>
                <w:color w:val="000000"/>
              </w:rPr>
              <w:t xml:space="preserve"> no kaitēkļa izplatības ap</w:t>
            </w:r>
            <w:r w:rsidR="00110A1C">
              <w:rPr>
                <w:color w:val="000000"/>
              </w:rPr>
              <w:t>joma</w:t>
            </w:r>
            <w:r w:rsidRPr="006C1DDE">
              <w:rPr>
                <w:color w:val="000000"/>
              </w:rPr>
              <w:t xml:space="preserve"> (drukātā formā, video, </w:t>
            </w:r>
            <w:proofErr w:type="spellStart"/>
            <w:r w:rsidRPr="006C1DDE">
              <w:rPr>
                <w:color w:val="000000"/>
              </w:rPr>
              <w:t>infografikas</w:t>
            </w:r>
            <w:proofErr w:type="spellEnd"/>
            <w:r w:rsidRPr="006C1DDE">
              <w:rPr>
                <w:color w:val="000000"/>
              </w:rPr>
              <w:t>, informācija TV);</w:t>
            </w:r>
          </w:p>
          <w:p w14:paraId="2CC2D2FC" w14:textId="6621DE82" w:rsidR="00BB44E5" w:rsidRPr="006C1DDE" w:rsidRDefault="00334705">
            <w:pPr>
              <w:pBdr>
                <w:top w:val="nil"/>
                <w:left w:val="nil"/>
                <w:bottom w:val="nil"/>
                <w:right w:val="nil"/>
                <w:between w:val="nil"/>
              </w:pBdr>
              <w:spacing w:line="240" w:lineRule="auto"/>
              <w:ind w:left="0" w:hanging="2"/>
              <w:jc w:val="both"/>
              <w:rPr>
                <w:color w:val="000000"/>
              </w:rPr>
            </w:pPr>
            <w:r w:rsidRPr="006C1DDE">
              <w:rPr>
                <w:color w:val="000000"/>
              </w:rPr>
              <w:t>2</w:t>
            </w:r>
            <w:r w:rsidR="00110A1C">
              <w:rPr>
                <w:color w:val="000000"/>
              </w:rPr>
              <w:t>)</w:t>
            </w:r>
            <w:r w:rsidRPr="006C1DDE">
              <w:rPr>
                <w:color w:val="000000"/>
              </w:rPr>
              <w:t xml:space="preserve"> sagatavot un izplatīt</w:t>
            </w:r>
            <w:r w:rsidR="00110A1C">
              <w:rPr>
                <w:color w:val="000000"/>
              </w:rPr>
              <w:t xml:space="preserve"> a</w:t>
            </w:r>
            <w:r w:rsidRPr="006C1DDE">
              <w:rPr>
                <w:color w:val="000000"/>
              </w:rPr>
              <w:t>ptaujas anketas  meža īpašniekiem par egļu astoņzobu mizgrauža (</w:t>
            </w:r>
            <w:proofErr w:type="spellStart"/>
            <w:r w:rsidRPr="006C1DDE">
              <w:rPr>
                <w:i/>
                <w:color w:val="000000"/>
              </w:rPr>
              <w:t>Ips</w:t>
            </w:r>
            <w:proofErr w:type="spellEnd"/>
            <w:r w:rsidRPr="006C1DDE">
              <w:rPr>
                <w:i/>
                <w:color w:val="000000"/>
              </w:rPr>
              <w:t xml:space="preserve"> </w:t>
            </w:r>
            <w:proofErr w:type="spellStart"/>
            <w:r w:rsidRPr="006C1DDE">
              <w:rPr>
                <w:i/>
                <w:color w:val="000000"/>
              </w:rPr>
              <w:t>typographus</w:t>
            </w:r>
            <w:proofErr w:type="spellEnd"/>
            <w:r w:rsidRPr="006C1DDE">
              <w:rPr>
                <w:i/>
                <w:color w:val="000000"/>
              </w:rPr>
              <w:t xml:space="preserve"> L.</w:t>
            </w:r>
            <w:r w:rsidRPr="006C1DDE">
              <w:rPr>
                <w:color w:val="000000"/>
              </w:rPr>
              <w:t>) izplatības apzināšanu savā īpašumā;</w:t>
            </w:r>
          </w:p>
          <w:p w14:paraId="4924D687" w14:textId="185950C9" w:rsidR="00BB44E5" w:rsidRPr="006C1DDE" w:rsidRDefault="00334705">
            <w:pPr>
              <w:pBdr>
                <w:top w:val="nil"/>
                <w:left w:val="nil"/>
                <w:bottom w:val="nil"/>
                <w:right w:val="nil"/>
                <w:between w:val="nil"/>
              </w:pBdr>
              <w:spacing w:line="240" w:lineRule="auto"/>
              <w:ind w:left="0" w:hanging="2"/>
              <w:jc w:val="both"/>
              <w:rPr>
                <w:color w:val="000000"/>
              </w:rPr>
            </w:pPr>
            <w:r w:rsidRPr="006C1DDE">
              <w:rPr>
                <w:color w:val="000000"/>
              </w:rPr>
              <w:t>3</w:t>
            </w:r>
            <w:r w:rsidR="00110A1C">
              <w:rPr>
                <w:color w:val="000000"/>
              </w:rPr>
              <w:t>)</w:t>
            </w:r>
            <w:r w:rsidR="008F470B" w:rsidRPr="006C1DDE">
              <w:rPr>
                <w:color w:val="000000"/>
              </w:rPr>
              <w:t xml:space="preserve"> </w:t>
            </w:r>
            <w:r w:rsidRPr="006C1DDE">
              <w:rPr>
                <w:color w:val="000000"/>
              </w:rPr>
              <w:t>organizēt seminārus, apmācīb</w:t>
            </w:r>
            <w:r w:rsidR="00110A1C">
              <w:rPr>
                <w:color w:val="000000"/>
              </w:rPr>
              <w:t>u</w:t>
            </w:r>
            <w:r w:rsidRPr="006C1DDE">
              <w:rPr>
                <w:color w:val="000000"/>
              </w:rPr>
              <w:t xml:space="preserve"> par egļu astoņzobu mizgrauzi, tā izraisītiem bojājumiem un ierobežošanas metodēm;</w:t>
            </w:r>
          </w:p>
          <w:p w14:paraId="2546CFBD" w14:textId="006E364A" w:rsidR="00BB44E5" w:rsidRPr="006C1DDE" w:rsidRDefault="00334705">
            <w:pPr>
              <w:pBdr>
                <w:top w:val="nil"/>
                <w:left w:val="nil"/>
                <w:bottom w:val="nil"/>
                <w:right w:val="nil"/>
                <w:between w:val="nil"/>
              </w:pBdr>
              <w:spacing w:line="240" w:lineRule="auto"/>
              <w:ind w:left="0" w:hanging="2"/>
              <w:jc w:val="both"/>
              <w:rPr>
                <w:color w:val="000000"/>
              </w:rPr>
            </w:pPr>
            <w:r w:rsidRPr="006C1DDE">
              <w:rPr>
                <w:color w:val="000000"/>
              </w:rPr>
              <w:t>4</w:t>
            </w:r>
            <w:r w:rsidR="00110A1C">
              <w:rPr>
                <w:color w:val="000000"/>
              </w:rPr>
              <w:t>)</w:t>
            </w:r>
            <w:r w:rsidRPr="006C1DDE">
              <w:rPr>
                <w:color w:val="000000"/>
              </w:rPr>
              <w:t xml:space="preserve"> sagatavot un izplatīt aktuālo informāciju par egļu astoņzobu mizgrauža izplatību un tā izraisītajiem bojājumiem</w:t>
            </w:r>
            <w:r w:rsidR="00110A1C">
              <w:rPr>
                <w:color w:val="000000"/>
              </w:rPr>
              <w:t xml:space="preserve"> un</w:t>
            </w:r>
            <w:r w:rsidRPr="006C1DDE">
              <w:rPr>
                <w:color w:val="000000"/>
              </w:rPr>
              <w:t xml:space="preserve"> nepieciešamajiem aizsardzības pasākumiem</w:t>
            </w:r>
            <w:r w:rsidR="00110A1C">
              <w:rPr>
                <w:color w:val="000000"/>
              </w:rPr>
              <w:t xml:space="preserve"> </w:t>
            </w:r>
            <w:r w:rsidRPr="006C1DDE">
              <w:rPr>
                <w:color w:val="000000"/>
              </w:rPr>
              <w:t>laikā no 2020.</w:t>
            </w:r>
            <w:r w:rsidR="00110A1C">
              <w:rPr>
                <w:color w:val="000000"/>
              </w:rPr>
              <w:t> </w:t>
            </w:r>
            <w:r w:rsidRPr="006C1DDE">
              <w:rPr>
                <w:color w:val="000000"/>
              </w:rPr>
              <w:t>gada</w:t>
            </w:r>
            <w:r w:rsidR="00110A1C">
              <w:rPr>
                <w:color w:val="000000"/>
              </w:rPr>
              <w:t xml:space="preserve"> </w:t>
            </w:r>
            <w:r w:rsidRPr="006C1DDE">
              <w:rPr>
                <w:color w:val="000000"/>
              </w:rPr>
              <w:t>1.</w:t>
            </w:r>
            <w:r w:rsidR="00110A1C">
              <w:rPr>
                <w:color w:val="000000"/>
              </w:rPr>
              <w:t> </w:t>
            </w:r>
            <w:r w:rsidRPr="006C1DDE">
              <w:rPr>
                <w:color w:val="000000"/>
              </w:rPr>
              <w:t>aprīļa līdz 1.septembrim.</w:t>
            </w:r>
          </w:p>
          <w:p w14:paraId="188C0927" w14:textId="1F256729" w:rsidR="00404F6E" w:rsidRPr="006C1DDE" w:rsidRDefault="001F7F2A" w:rsidP="008D485A">
            <w:pPr>
              <w:ind w:leftChars="0" w:left="0" w:firstLineChars="0" w:firstLine="0"/>
              <w:jc w:val="both"/>
              <w:rPr>
                <w:color w:val="000000"/>
              </w:rPr>
            </w:pPr>
            <w:r w:rsidRPr="006C1DDE">
              <w:rPr>
                <w:bCs/>
              </w:rPr>
              <w:t>Izstrādājot darba uzdevumus</w:t>
            </w:r>
            <w:r w:rsidR="00085DAC" w:rsidRPr="006C1DDE">
              <w:rPr>
                <w:bCs/>
              </w:rPr>
              <w:t xml:space="preserve"> projektu</w:t>
            </w:r>
            <w:r w:rsidR="00110A1C">
              <w:rPr>
                <w:bCs/>
              </w:rPr>
              <w:t xml:space="preserve"> īstenošanai</w:t>
            </w:r>
            <w:r w:rsidRPr="006C1DDE">
              <w:rPr>
                <w:bCs/>
              </w:rPr>
              <w:t>, tiks ņemti vērā nosacījumi, kas saistīti ar valsts teritorijā izsludināto ārkārt</w:t>
            </w:r>
            <w:r w:rsidR="00CB4CA1" w:rsidRPr="006C1DDE">
              <w:rPr>
                <w:bCs/>
              </w:rPr>
              <w:t>ējo</w:t>
            </w:r>
            <w:r w:rsidRPr="006C1DDE">
              <w:rPr>
                <w:bCs/>
              </w:rPr>
              <w:t xml:space="preserve"> situāciju</w:t>
            </w:r>
            <w:r w:rsidRPr="006C1DDE">
              <w:rPr>
                <w:bCs/>
                <w:shd w:val="clear" w:color="auto" w:fill="FFFFFF"/>
              </w:rPr>
              <w:t xml:space="preserve"> (Ministru kabineta 2020. gada 12. marta rīkojums Nr. 103).</w:t>
            </w:r>
          </w:p>
          <w:p w14:paraId="22CFA5DE" w14:textId="4F70A9A2" w:rsidR="001A799C" w:rsidRPr="006C1DDE" w:rsidRDefault="00491531">
            <w:pPr>
              <w:ind w:left="0" w:hanging="2"/>
              <w:jc w:val="both"/>
              <w:rPr>
                <w:color w:val="000000"/>
              </w:rPr>
            </w:pPr>
            <w:r w:rsidRPr="006C1DDE">
              <w:rPr>
                <w:color w:val="000000"/>
              </w:rPr>
              <w:t>Atbalsts izstādei “Iepazīsties – koks!” tiek plānots no citiem finanšu avotiem, lai nodrošinātu izstādes nepārtrauktību visa kalendārā gada garumā. Tā vietā projektā paredzēts sagatavot nozarei svarīgākos un aktuāl</w:t>
            </w:r>
            <w:r w:rsidR="00B87DB0" w:rsidRPr="006C1DDE">
              <w:rPr>
                <w:color w:val="000000"/>
              </w:rPr>
              <w:t>āk</w:t>
            </w:r>
            <w:r w:rsidRPr="006C1DDE">
              <w:rPr>
                <w:color w:val="000000"/>
              </w:rPr>
              <w:t xml:space="preserve">os informatīvos materiālus, kā arī </w:t>
            </w:r>
            <w:r w:rsidR="00110A1C" w:rsidRPr="006C1DDE">
              <w:rPr>
                <w:color w:val="000000"/>
              </w:rPr>
              <w:t xml:space="preserve">grāmatu par bērzu </w:t>
            </w:r>
            <w:r w:rsidR="00110A1C">
              <w:rPr>
                <w:color w:val="000000"/>
              </w:rPr>
              <w:t>no</w:t>
            </w:r>
            <w:r w:rsidRPr="006C1DDE">
              <w:rPr>
                <w:color w:val="000000"/>
              </w:rPr>
              <w:t xml:space="preserve"> ikgadēji Meža attīstības fonda īstenotā pasākuma “Mūsu mazais pārgājiens” </w:t>
            </w:r>
            <w:r w:rsidR="00110A1C">
              <w:rPr>
                <w:color w:val="000000"/>
              </w:rPr>
              <w:t>materiāliem</w:t>
            </w:r>
            <w:r w:rsidRPr="006C1DDE">
              <w:rPr>
                <w:color w:val="000000"/>
              </w:rPr>
              <w:t>.</w:t>
            </w:r>
          </w:p>
          <w:p w14:paraId="0D319AEA" w14:textId="7A595B75" w:rsidR="00BB44E5" w:rsidRPr="006C1DDE" w:rsidRDefault="00334705">
            <w:pPr>
              <w:ind w:left="0" w:hanging="2"/>
              <w:jc w:val="both"/>
            </w:pPr>
            <w:r w:rsidRPr="006C1DDE">
              <w:t>Savukārt meža nozares attīstībai noteikumu projekts 2020. gadā paredz prioritārus zinātniskās izpētes projektus:</w:t>
            </w:r>
          </w:p>
          <w:p w14:paraId="4310C180" w14:textId="77777777" w:rsidR="00BB44E5" w:rsidRPr="006C1DDE" w:rsidRDefault="00334705">
            <w:pPr>
              <w:numPr>
                <w:ilvl w:val="0"/>
                <w:numId w:val="2"/>
              </w:numPr>
              <w:ind w:left="0" w:hanging="2"/>
              <w:jc w:val="both"/>
            </w:pPr>
            <w:r w:rsidRPr="006C1DDE">
              <w:t xml:space="preserve">“Privāto mežu apsaimniekošanas un meža īpašumu konsolidācijas un kooperācijas procesa monitorings, metodikas pilnveide, ņemot vērā personas datu aizsardzības prasības”. Projekts turpinās meža īpašnieku monitoringu un dos iespēju </w:t>
            </w:r>
            <w:r w:rsidRPr="006C1DDE">
              <w:lastRenderedPageBreak/>
              <w:t xml:space="preserve">noskaidrot meža īpašnieku viedokļus par aktualitātēm privāto mežu apsaimniekošanā, kā arī novērtēt </w:t>
            </w:r>
            <w:proofErr w:type="spellStart"/>
            <w:r w:rsidRPr="006C1DDE">
              <w:t>mežīpašumu</w:t>
            </w:r>
            <w:proofErr w:type="spellEnd"/>
            <w:r w:rsidRPr="006C1DDE">
              <w:t xml:space="preserve"> pārvaldības tendences;</w:t>
            </w:r>
          </w:p>
          <w:p w14:paraId="74DC11B4" w14:textId="1F7DB361" w:rsidR="00BB44E5" w:rsidRPr="006C1DDE" w:rsidRDefault="00334705">
            <w:pPr>
              <w:numPr>
                <w:ilvl w:val="0"/>
                <w:numId w:val="2"/>
              </w:numPr>
              <w:ind w:left="0" w:hanging="2"/>
              <w:jc w:val="both"/>
            </w:pPr>
            <w:r w:rsidRPr="006C1DDE">
              <w:t>“Meža bioloģiskās daudzveidības monitoringa komponentes pilnveide nacionālajā meža monitoringā”. Projekts turpinās pilnveidot zināšanas par bioloģisko daudzveidību Latvijā, īpaši saimnieciskajos mežos, ņemot vērā šā jautājuma aktualitāti nākamajā plānošanas periodā ne vien Latvijā, bet visā Eiropas Savienībā. Projekt</w:t>
            </w:r>
            <w:r w:rsidR="00110A1C">
              <w:t>ā</w:t>
            </w:r>
            <w:r w:rsidRPr="006C1DDE">
              <w:t xml:space="preserve"> paredzēta sadarbība arī ar Dabas aizsardzības pārvaldi, k</w:t>
            </w:r>
            <w:r w:rsidR="00110A1C">
              <w:t>as</w:t>
            </w:r>
            <w:r w:rsidRPr="006C1DDE">
              <w:t xml:space="preserve"> ievieš bioloģiskās daudzveidības monitoringu, tā uzlabojot datu apriti starp institūcijām;</w:t>
            </w:r>
          </w:p>
          <w:p w14:paraId="39A02E29" w14:textId="367718FB" w:rsidR="00BB44E5" w:rsidRPr="006C1DDE" w:rsidRDefault="00334705">
            <w:pPr>
              <w:numPr>
                <w:ilvl w:val="0"/>
                <w:numId w:val="2"/>
              </w:numPr>
              <w:ind w:left="0" w:hanging="2"/>
              <w:jc w:val="both"/>
              <w:rPr>
                <w:color w:val="000000"/>
              </w:rPr>
            </w:pPr>
            <w:r w:rsidRPr="006C1DDE">
              <w:rPr>
                <w:color w:val="000000"/>
              </w:rPr>
              <w:t>“</w:t>
            </w:r>
            <w:r w:rsidRPr="006C1DDE">
              <w:t>Latvijas situācijai atbilstošā meža apsaimniekošanas SEG emisiju un piesaistes references līmeņa noteikšanas 2021.–2025.</w:t>
            </w:r>
            <w:r w:rsidR="00110A1C">
              <w:t> </w:t>
            </w:r>
            <w:r w:rsidRPr="006C1DDE">
              <w:t xml:space="preserve">gadam un 2026.–2030.gadam papildinājums atbilstoši Eiropas Komisijas tehniskajam novērtējumam saskaņā ar Eiropas Parlamenta un Padomes 2018. gada 30. maija Regulu (ES) 2018/841 </w:t>
            </w:r>
            <w:r w:rsidRPr="006C1DDE">
              <w:rPr>
                <w:highlight w:val="white"/>
              </w:rPr>
              <w:t>par zemes izmantošanā, zemes izmantošanas maiņā un mežsaimniecībā radušos siltumnīcefekta gāzu emisiju un piesaistes iekļaušanu klimata un enerģētikas politikas satvarā laikposmam līdz 2030. gadam un ar ko groza Regulu (ES) Nr. 525/2013 un Lēmumu Nr.</w:t>
            </w:r>
            <w:r w:rsidRPr="006C1DDE">
              <w:rPr>
                <w:color w:val="444444"/>
                <w:highlight w:val="white"/>
              </w:rPr>
              <w:t xml:space="preserve"> </w:t>
            </w:r>
            <w:r w:rsidRPr="006C1DDE">
              <w:rPr>
                <w:highlight w:val="white"/>
              </w:rPr>
              <w:t>529/2013/ES</w:t>
            </w:r>
            <w:r w:rsidRPr="006C1DDE">
              <w:t xml:space="preserve">”. Latvijas Valsts mežzinātnes institūts </w:t>
            </w:r>
            <w:r w:rsidR="00C95066" w:rsidRPr="006C1DDE">
              <w:t xml:space="preserve">(LVMI) </w:t>
            </w:r>
            <w:r w:rsidRPr="006C1DDE">
              <w:t>“Silava”</w:t>
            </w:r>
            <w:r w:rsidRPr="006C1DDE">
              <w:rPr>
                <w:color w:val="000000"/>
              </w:rPr>
              <w:t xml:space="preserve"> </w:t>
            </w:r>
            <w:r w:rsidRPr="006C1DDE">
              <w:t>turpinās darbu pie meža references līmeņa noteikšanas</w:t>
            </w:r>
            <w:r w:rsidRPr="006C1DDE">
              <w:rPr>
                <w:color w:val="000000"/>
              </w:rPr>
              <w:t xml:space="preserve">, jo periodā no 2021. līdz 2030. gadam katras ES dalībvalsts uzdevums ir saskaņā ar Eiropas Komisijas iepriekš noteiktu metodiku nacionāli noteikt meža references līmeni. Saskaņā ar Eiropas Parlamenta un Padomes 2018. gada 30. maija Regulā (ES) 2018/841 noteikto procedūru Eiropas komisija, </w:t>
            </w:r>
            <w:r w:rsidRPr="006C1DDE">
              <w:t>apspriežoties ar dalībvalstu ieceltiem ekspertiem, tehniski novērtē valstu mežsaimniecības uzskaites plānus</w:t>
            </w:r>
            <w:r w:rsidRPr="006C1DDE">
              <w:rPr>
                <w:color w:val="000000"/>
              </w:rPr>
              <w:t xml:space="preserve">. </w:t>
            </w:r>
            <w:r w:rsidR="006031FD" w:rsidRPr="006C1DDE">
              <w:t>L</w:t>
            </w:r>
            <w:r w:rsidRPr="006C1DDE">
              <w:t xml:space="preserve">ai nodrošinātu </w:t>
            </w:r>
            <w:r w:rsidR="00D34309" w:rsidRPr="006C1DDE">
              <w:t xml:space="preserve">kontinuitāti </w:t>
            </w:r>
            <w:r w:rsidRPr="006C1DDE">
              <w:t xml:space="preserve">ekspertu </w:t>
            </w:r>
            <w:r w:rsidR="00D34309" w:rsidRPr="006C1DDE">
              <w:t xml:space="preserve">līdzdalībai </w:t>
            </w:r>
            <w:r w:rsidR="003E17EF" w:rsidRPr="006C1DDE">
              <w:t xml:space="preserve">šajā procesā </w:t>
            </w:r>
            <w:r w:rsidRPr="006C1DDE">
              <w:t xml:space="preserve">un </w:t>
            </w:r>
            <w:r w:rsidR="003E17EF" w:rsidRPr="006C1DDE">
              <w:t>noteiktu pamatotu</w:t>
            </w:r>
            <w:r w:rsidR="003076DF" w:rsidRPr="006C1DDE">
              <w:t>,</w:t>
            </w:r>
            <w:r w:rsidR="003E17EF" w:rsidRPr="006C1DDE">
              <w:t xml:space="preserve"> Latvijas situācijai atbilstošu meža references līmeni 2020.–2030. gadam</w:t>
            </w:r>
            <w:r w:rsidRPr="006C1DDE">
              <w:t xml:space="preserve">, būtiski turpināt </w:t>
            </w:r>
            <w:r w:rsidR="007238B1" w:rsidRPr="006C1DDE">
              <w:t>LVMI “Silava”</w:t>
            </w:r>
            <w:r w:rsidRPr="006C1DDE">
              <w:t>2018.</w:t>
            </w:r>
            <w:r w:rsidR="007238B1">
              <w:t> </w:t>
            </w:r>
            <w:r w:rsidRPr="006C1DDE">
              <w:t>un 2019.</w:t>
            </w:r>
            <w:r w:rsidR="008F470B" w:rsidRPr="006C1DDE">
              <w:t xml:space="preserve"> </w:t>
            </w:r>
            <w:r w:rsidRPr="006C1DDE">
              <w:t>gadā sākto darbu</w:t>
            </w:r>
            <w:r w:rsidR="003E17EF" w:rsidRPr="006C1DDE">
              <w:t xml:space="preserve"> Meža attīstības fonda projektu</w:t>
            </w:r>
            <w:r w:rsidR="007238B1">
              <w:t xml:space="preserve"> īstenošanā</w:t>
            </w:r>
            <w:r w:rsidR="003076DF" w:rsidRPr="006C1DDE">
              <w:t>;</w:t>
            </w:r>
          </w:p>
          <w:p w14:paraId="64E0ABD7" w14:textId="276C213B" w:rsidR="00320381" w:rsidRPr="006C1DDE" w:rsidRDefault="00334705" w:rsidP="00320381">
            <w:pPr>
              <w:numPr>
                <w:ilvl w:val="0"/>
                <w:numId w:val="2"/>
              </w:numPr>
              <w:ind w:left="0" w:hanging="2"/>
              <w:jc w:val="both"/>
            </w:pPr>
            <w:r w:rsidRPr="006C1DDE">
              <w:t>“Koksnes kā enerģijas avota informācijas apzināšana un datu sagatavošana par Latviju kopīgajai koksnes aptaujai (</w:t>
            </w:r>
            <w:proofErr w:type="spellStart"/>
            <w:r w:rsidRPr="006C1DDE">
              <w:rPr>
                <w:i/>
              </w:rPr>
              <w:t>Joint</w:t>
            </w:r>
            <w:proofErr w:type="spellEnd"/>
            <w:r w:rsidRPr="006C1DDE">
              <w:rPr>
                <w:i/>
              </w:rPr>
              <w:t xml:space="preserve"> </w:t>
            </w:r>
            <w:proofErr w:type="spellStart"/>
            <w:r w:rsidRPr="006C1DDE">
              <w:rPr>
                <w:i/>
              </w:rPr>
              <w:t>Wood</w:t>
            </w:r>
            <w:proofErr w:type="spellEnd"/>
            <w:r w:rsidRPr="006C1DDE">
              <w:rPr>
                <w:i/>
              </w:rPr>
              <w:t xml:space="preserve"> </w:t>
            </w:r>
            <w:proofErr w:type="spellStart"/>
            <w:r w:rsidRPr="006C1DDE">
              <w:rPr>
                <w:i/>
              </w:rPr>
              <w:t>Energy</w:t>
            </w:r>
            <w:proofErr w:type="spellEnd"/>
            <w:r w:rsidRPr="006C1DDE">
              <w:rPr>
                <w:i/>
              </w:rPr>
              <w:t xml:space="preserve"> </w:t>
            </w:r>
            <w:proofErr w:type="spellStart"/>
            <w:r w:rsidRPr="006C1DDE">
              <w:rPr>
                <w:i/>
              </w:rPr>
              <w:t>Enquiry</w:t>
            </w:r>
            <w:proofErr w:type="spellEnd"/>
            <w:r w:rsidRPr="006C1DDE">
              <w:rPr>
                <w:i/>
              </w:rPr>
              <w:t xml:space="preserve"> UNECE/FAO, ECE/FAO</w:t>
            </w:r>
            <w:r w:rsidRPr="006C1DDE">
              <w:t>)”. Projekts nepieciešams, lai apzinātu un izvērtētu Latvijā uzkrāto statistisko informāciju par koksnes biomasas izmantošanu enerģijas ieguvei, kā arī lai sagatavotu algoritmu aptaujai par koksni.</w:t>
            </w:r>
          </w:p>
          <w:p w14:paraId="7A439625" w14:textId="09F91775" w:rsidR="00D602C5" w:rsidRPr="006C1DDE" w:rsidRDefault="007238B1" w:rsidP="006031FD">
            <w:pPr>
              <w:ind w:left="0" w:hanging="2"/>
              <w:jc w:val="both"/>
            </w:pPr>
            <w:r>
              <w:rPr>
                <w:bCs/>
              </w:rPr>
              <w:t>Tā kā</w:t>
            </w:r>
            <w:r w:rsidR="006031FD" w:rsidRPr="006C1DDE">
              <w:rPr>
                <w:bCs/>
              </w:rPr>
              <w:t xml:space="preserve"> Meža </w:t>
            </w:r>
            <w:r w:rsidR="006031FD" w:rsidRPr="00C20565">
              <w:rPr>
                <w:bCs/>
              </w:rPr>
              <w:t xml:space="preserve">likuma </w:t>
            </w:r>
            <w:r w:rsidR="006031FD" w:rsidRPr="00C20565">
              <w:rPr>
                <w:bCs/>
                <w:shd w:val="clear" w:color="auto" w:fill="FFFFFF"/>
              </w:rPr>
              <w:t>29.</w:t>
            </w:r>
            <w:r w:rsidR="006031FD" w:rsidRPr="00C20565">
              <w:rPr>
                <w:bCs/>
                <w:vertAlign w:val="superscript"/>
              </w:rPr>
              <w:t>1</w:t>
            </w:r>
            <w:r w:rsidR="006031FD" w:rsidRPr="00C20565">
              <w:rPr>
                <w:bCs/>
              </w:rPr>
              <w:t xml:space="preserve"> </w:t>
            </w:r>
            <w:r w:rsidR="006031FD" w:rsidRPr="006C1DDE">
              <w:rPr>
                <w:bCs/>
              </w:rPr>
              <w:t xml:space="preserve">pants deleģē LVMI “Silava” īstenot Nacionālo meža monitoringu </w:t>
            </w:r>
            <w:r>
              <w:rPr>
                <w:bCs/>
              </w:rPr>
              <w:t>“</w:t>
            </w:r>
            <w:r w:rsidR="00C95066" w:rsidRPr="006C1DDE">
              <w:rPr>
                <w:bCs/>
              </w:rPr>
              <w:t>M</w:t>
            </w:r>
            <w:r w:rsidR="00D602C5" w:rsidRPr="006C1DDE">
              <w:rPr>
                <w:bCs/>
              </w:rPr>
              <w:t>eža bioloģiskās daudzveidības monitoring</w:t>
            </w:r>
            <w:r w:rsidR="003557BA" w:rsidRPr="006C1DDE">
              <w:rPr>
                <w:bCs/>
              </w:rPr>
              <w:t>s</w:t>
            </w:r>
            <w:r>
              <w:rPr>
                <w:bCs/>
              </w:rPr>
              <w:t>”</w:t>
            </w:r>
            <w:r w:rsidR="00D602C5" w:rsidRPr="006C1DDE">
              <w:rPr>
                <w:bCs/>
              </w:rPr>
              <w:t xml:space="preserve"> un </w:t>
            </w:r>
            <w:r w:rsidR="00C95066" w:rsidRPr="006C1DDE">
              <w:rPr>
                <w:bCs/>
              </w:rPr>
              <w:t>M</w:t>
            </w:r>
            <w:r w:rsidR="00D602C5" w:rsidRPr="006C1DDE">
              <w:rPr>
                <w:bCs/>
              </w:rPr>
              <w:t>eža apsaimniekošanas SEG emisiju un piesaistes references līmeņa noteikšana</w:t>
            </w:r>
            <w:r w:rsidR="00C95066" w:rsidRPr="006C1DDE">
              <w:rPr>
                <w:bCs/>
              </w:rPr>
              <w:t xml:space="preserve"> ir </w:t>
            </w:r>
            <w:r w:rsidR="00D602C5" w:rsidRPr="006C1DDE">
              <w:rPr>
                <w:bCs/>
              </w:rPr>
              <w:t xml:space="preserve">tieši saistīta ar </w:t>
            </w:r>
            <w:r w:rsidR="00C95066" w:rsidRPr="006C1DDE">
              <w:rPr>
                <w:bCs/>
              </w:rPr>
              <w:t>N</w:t>
            </w:r>
            <w:r w:rsidR="00D602C5" w:rsidRPr="006C1DDE">
              <w:rPr>
                <w:bCs/>
              </w:rPr>
              <w:t>acionālā meža monitoringu un iegūtajiem datiem, netiek plānota minēto zinātniskās izpētes projekta darba uzdevumu izsludināšan</w:t>
            </w:r>
            <w:r w:rsidR="00C95066" w:rsidRPr="006C1DDE">
              <w:rPr>
                <w:bCs/>
              </w:rPr>
              <w:t>a</w:t>
            </w:r>
            <w:r w:rsidR="00D602C5" w:rsidRPr="006C1DDE">
              <w:rPr>
                <w:bCs/>
              </w:rPr>
              <w:t xml:space="preserve"> oficiālajā izdevumā </w:t>
            </w:r>
            <w:r w:rsidR="00C95066" w:rsidRPr="006C1DDE">
              <w:rPr>
                <w:bCs/>
              </w:rPr>
              <w:t>“</w:t>
            </w:r>
            <w:r w:rsidR="00D602C5" w:rsidRPr="006C1DDE">
              <w:rPr>
                <w:bCs/>
              </w:rPr>
              <w:t>Latvijas Vēstnesis"</w:t>
            </w:r>
            <w:r w:rsidR="006031FD" w:rsidRPr="006C1DDE">
              <w:rPr>
                <w:bCs/>
              </w:rPr>
              <w:t>.</w:t>
            </w:r>
          </w:p>
          <w:p w14:paraId="5DCF3167" w14:textId="4217EF88" w:rsidR="001E0FD3" w:rsidRPr="006C1DDE" w:rsidRDefault="00334705" w:rsidP="008D485A">
            <w:pPr>
              <w:ind w:leftChars="0" w:left="0" w:firstLineChars="0" w:firstLine="0"/>
              <w:jc w:val="both"/>
            </w:pPr>
            <w:r w:rsidRPr="006C1DDE">
              <w:t>Noteikumu projekts finanšu līdzekļu ekonomijas nolūkos paredz tikai pēc nepieciešamības ar Mež</w:t>
            </w:r>
            <w:r w:rsidR="00C20565">
              <w:t>a</w:t>
            </w:r>
            <w:r w:rsidRPr="006C1DDE">
              <w:t xml:space="preserve"> attīstības fonda padomes norādījumu piesaistīt ekspertus</w:t>
            </w:r>
            <w:r w:rsidR="007238B1">
              <w:t xml:space="preserve"> un veidot</w:t>
            </w:r>
            <w:r w:rsidRPr="006C1DDE">
              <w:t xml:space="preserve"> meža nozares atbalsta un attīstības, sabiedrības informēšanas un izglītošanas projektu pieteikumus un pārskatus. Savukārt, lai harmonizētu ar meža jomu </w:t>
            </w:r>
            <w:r w:rsidRPr="006C1DDE">
              <w:lastRenderedPageBreak/>
              <w:t xml:space="preserve">saistītā finansējuma pārvaldības nosacījumus un projekta iesniedzējiem </w:t>
            </w:r>
            <w:r w:rsidR="007238B1" w:rsidRPr="006C1DDE">
              <w:t xml:space="preserve">atvieglotu </w:t>
            </w:r>
            <w:r w:rsidRPr="006C1DDE">
              <w:t>iesniegumu un pārskatu sagatavošanu, uzlabotas projekta iesnieguma un pārskata veidlapas, tās papildinātas jaunām sadaļām</w:t>
            </w:r>
            <w:r w:rsidR="000B3191" w:rsidRPr="006C1DDE">
              <w:t>, tāpat papildināti administratīvie vērtēšanas kritēriji</w:t>
            </w:r>
            <w:r w:rsidRPr="006C1DDE">
              <w:t xml:space="preserve">, lai </w:t>
            </w:r>
            <w:sdt>
              <w:sdtPr>
                <w:tag w:val="goog_rdk_14"/>
                <w:id w:val="-38589031"/>
              </w:sdtPr>
              <w:sdtEndPr/>
              <w:sdtContent>
                <w:r w:rsidRPr="006C1DDE">
                  <w:t>Z</w:t>
                </w:r>
                <w:r w:rsidR="000B3191" w:rsidRPr="006C1DDE">
                  <w:t>emkopības ministrijas</w:t>
                </w:r>
                <w:r w:rsidRPr="006C1DDE">
                  <w:t xml:space="preserve"> kompetencē esošo</w:t>
                </w:r>
                <w:r w:rsidR="006031FD" w:rsidRPr="006C1DDE">
                  <w:t>s</w:t>
                </w:r>
                <w:r w:rsidRPr="006C1DDE">
                  <w:t xml:space="preserve"> fondu</w:t>
                </w:r>
                <w:r w:rsidR="000B3191" w:rsidRPr="006C1DDE">
                  <w:t>s</w:t>
                </w:r>
                <w:r w:rsidRPr="006C1DDE">
                  <w:t xml:space="preserve"> administrē</w:t>
                </w:r>
                <w:r w:rsidR="000B3191" w:rsidRPr="006C1DDE">
                  <w:t>tu</w:t>
                </w:r>
                <w:r w:rsidRPr="006C1DDE">
                  <w:t xml:space="preserve"> </w:t>
                </w:r>
              </w:sdtContent>
            </w:sdt>
            <w:sdt>
              <w:sdtPr>
                <w:tag w:val="goog_rdk_16"/>
                <w:id w:val="-696157684"/>
              </w:sdtPr>
              <w:sdtEndPr/>
              <w:sdtContent>
                <w:r w:rsidRPr="006C1DDE">
                  <w:t>atbilstoši Valsts kontroles ziņojuma ieteikumiem.</w:t>
                </w:r>
              </w:sdtContent>
            </w:sdt>
            <w:r w:rsidR="003B7DA5" w:rsidRPr="006C1DDE">
              <w:t xml:space="preserve"> </w:t>
            </w:r>
            <w:r w:rsidR="007238B1">
              <w:t>Noteikumu projektā ietverti arī</w:t>
            </w:r>
            <w:r w:rsidR="007238B1" w:rsidRPr="006C1DDE">
              <w:t xml:space="preserve"> </w:t>
            </w:r>
            <w:r w:rsidR="003B7DA5" w:rsidRPr="006C1DDE">
              <w:t xml:space="preserve">administratīvās vērtēšanas kritēriji un atsauces uz attiecīgajiem Eiropas </w:t>
            </w:r>
            <w:r w:rsidR="00175124" w:rsidRPr="006C1DDE">
              <w:t>S</w:t>
            </w:r>
            <w:r w:rsidR="003B7DA5" w:rsidRPr="006C1DDE">
              <w:t>avienības</w:t>
            </w:r>
            <w:r w:rsidR="006031FD" w:rsidRPr="006C1DDE">
              <w:t xml:space="preserve"> (ES)</w:t>
            </w:r>
            <w:r w:rsidR="003B7DA5" w:rsidRPr="006C1DDE">
              <w:t xml:space="preserve"> normatīvajiem aktiem</w:t>
            </w:r>
            <w:r w:rsidR="00175124" w:rsidRPr="006C1DDE">
              <w:t>,</w:t>
            </w:r>
            <w:r w:rsidR="003B7DA5" w:rsidRPr="006C1DDE">
              <w:t xml:space="preserve"> izvērtējot aktuālos valsts atbalsta nosacījumus Eiropas </w:t>
            </w:r>
            <w:r w:rsidR="00175124" w:rsidRPr="006C1DDE">
              <w:t>S</w:t>
            </w:r>
            <w:r w:rsidR="003B7DA5" w:rsidRPr="006C1DDE">
              <w:t>avienības normatīvajos aktos</w:t>
            </w:r>
            <w:r w:rsidR="007238B1">
              <w:t xml:space="preserve"> un</w:t>
            </w:r>
            <w:r w:rsidR="003B7DA5" w:rsidRPr="006C1DDE">
              <w:t xml:space="preserve"> vienlai</w:t>
            </w:r>
            <w:r w:rsidR="007238B1">
              <w:t>kus</w:t>
            </w:r>
            <w:r w:rsidR="003B7DA5" w:rsidRPr="006C1DDE">
              <w:t xml:space="preserve"> sabalansējot līdzīgās prasības ar valsts atbalsta nosacījumiem lauksaimniecības jomā.</w:t>
            </w:r>
          </w:p>
          <w:p w14:paraId="2B37D6F6" w14:textId="70158081" w:rsidR="009B4F8F" w:rsidRPr="006C1DDE" w:rsidRDefault="009B4F8F" w:rsidP="008D485A">
            <w:pPr>
              <w:ind w:leftChars="0" w:left="0" w:firstLineChars="0" w:firstLine="0"/>
              <w:jc w:val="both"/>
              <w:rPr>
                <w:bCs/>
              </w:rPr>
            </w:pPr>
            <w:r w:rsidRPr="006C1DDE">
              <w:t xml:space="preserve">Lai </w:t>
            </w:r>
            <w:r w:rsidR="007238B1">
              <w:t>projektu īstenotājiem</w:t>
            </w:r>
            <w:r w:rsidR="007238B1" w:rsidRPr="006C1DDE">
              <w:t xml:space="preserve"> </w:t>
            </w:r>
            <w:r w:rsidRPr="006C1DDE">
              <w:t xml:space="preserve">atvieglotu </w:t>
            </w:r>
            <w:r w:rsidR="007238B1">
              <w:t>pārskatu sniegšanu</w:t>
            </w:r>
            <w:r w:rsidRPr="006C1DDE">
              <w:t xml:space="preserve"> par projekta rezultātiem, sagatavota veidlapa </w:t>
            </w:r>
            <w:r w:rsidR="007238B1">
              <w:t>“</w:t>
            </w:r>
            <w:r w:rsidRPr="006C1DDE">
              <w:rPr>
                <w:bCs/>
              </w:rPr>
              <w:t xml:space="preserve">Kopsavilkums par </w:t>
            </w:r>
            <w:r w:rsidRPr="006C1DDE">
              <w:rPr>
                <w:bCs/>
                <w:shd w:val="clear" w:color="auto" w:fill="FFFFFF"/>
              </w:rPr>
              <w:t xml:space="preserve">projektam paredzēto </w:t>
            </w:r>
            <w:r w:rsidRPr="006C1DDE">
              <w:rPr>
                <w:bCs/>
              </w:rPr>
              <w:t>finanšu līdzekļu izlietojumu</w:t>
            </w:r>
            <w:r w:rsidR="007238B1">
              <w:rPr>
                <w:bCs/>
              </w:rPr>
              <w:t>”</w:t>
            </w:r>
            <w:r w:rsidRPr="006C1DDE">
              <w:rPr>
                <w:bCs/>
              </w:rPr>
              <w:t xml:space="preserve"> </w:t>
            </w:r>
            <w:r w:rsidR="007238B1">
              <w:rPr>
                <w:bCs/>
              </w:rPr>
              <w:t>(</w:t>
            </w:r>
            <w:r w:rsidRPr="006C1DDE">
              <w:rPr>
                <w:bCs/>
              </w:rPr>
              <w:t>2.pielikums</w:t>
            </w:r>
            <w:r w:rsidR="007238B1">
              <w:rPr>
                <w:bCs/>
              </w:rPr>
              <w:t>)</w:t>
            </w:r>
            <w:r w:rsidRPr="006C1DDE">
              <w:rPr>
                <w:bCs/>
              </w:rPr>
              <w:t>.</w:t>
            </w:r>
          </w:p>
          <w:p w14:paraId="50D8610C" w14:textId="12EF8099" w:rsidR="00BB44E5" w:rsidRPr="006C1DDE" w:rsidRDefault="00334705">
            <w:pPr>
              <w:ind w:left="-2" w:firstLineChars="0" w:firstLine="0"/>
              <w:jc w:val="both"/>
            </w:pPr>
            <w:r w:rsidRPr="006C1DDE">
              <w:rPr>
                <w:color w:val="000000"/>
              </w:rPr>
              <w:t xml:space="preserve">Noteikumu projektā nav paredzēts valsts atbalsts meža nozares attīstībai Līguma par Eiropas Savienības darbību (turpmāk – LESD) 107. un 108. panta izpratnē, kā </w:t>
            </w:r>
            <w:r w:rsidR="007238B1">
              <w:rPr>
                <w:color w:val="000000"/>
              </w:rPr>
              <w:t xml:space="preserve">tas bijis </w:t>
            </w:r>
            <w:r w:rsidRPr="006C1DDE">
              <w:rPr>
                <w:color w:val="000000"/>
              </w:rPr>
              <w:t>līdz šim, jo noteikumu projekts ir sagatavots, lai sniegtu atbalstu valsts pētniecībai un attīstībai, kā arī veicinātu sabiedrības informēšanu un izglītošanu, un tas neiespaido tirdzniecību starp dalībvalstīm (viens no LESD 107. panta nosacījumiem). Valsts atbalsts tiek sniegts ar saimniecisko darbību nesaistītiem pētniecības un attīstības projektiem, ievērojot Eiropas Savienības nostādnes par valsts atbalstu pētniecībai, attīstībai un inovācijai. Atbilstoši LESD 31.</w:t>
            </w:r>
            <w:r w:rsidR="007238B1">
              <w:rPr>
                <w:color w:val="000000"/>
              </w:rPr>
              <w:t> </w:t>
            </w:r>
            <w:r w:rsidRPr="006C1DDE">
              <w:rPr>
                <w:color w:val="000000"/>
              </w:rPr>
              <w:t>panta 7. punktam atbalsts sedz līdz 100 procentiem no pētniecības pasākumiem saistītajām izmaksām.</w:t>
            </w:r>
          </w:p>
        </w:tc>
      </w:tr>
      <w:tr w:rsidR="00BB44E5" w14:paraId="3BD1F399" w14:textId="77777777">
        <w:trPr>
          <w:trHeight w:val="435"/>
        </w:trPr>
        <w:tc>
          <w:tcPr>
            <w:tcW w:w="426" w:type="dxa"/>
          </w:tcPr>
          <w:p w14:paraId="369FB546" w14:textId="77777777" w:rsidR="00BB44E5" w:rsidRDefault="00334705">
            <w:pPr>
              <w:pBdr>
                <w:top w:val="nil"/>
                <w:left w:val="nil"/>
                <w:bottom w:val="nil"/>
                <w:right w:val="nil"/>
                <w:between w:val="nil"/>
              </w:pBdr>
              <w:spacing w:line="240" w:lineRule="auto"/>
              <w:ind w:left="0" w:hanging="2"/>
              <w:rPr>
                <w:color w:val="000000"/>
              </w:rPr>
            </w:pPr>
            <w:r>
              <w:rPr>
                <w:color w:val="000000"/>
              </w:rPr>
              <w:lastRenderedPageBreak/>
              <w:t>3.</w:t>
            </w:r>
          </w:p>
        </w:tc>
        <w:tc>
          <w:tcPr>
            <w:tcW w:w="2126" w:type="dxa"/>
          </w:tcPr>
          <w:p w14:paraId="27FA1CB1"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Projekta izstrādē iesaistītās institūcijas un publiskas personas kapitālsabiedrības</w:t>
            </w:r>
          </w:p>
        </w:tc>
        <w:tc>
          <w:tcPr>
            <w:tcW w:w="6662" w:type="dxa"/>
          </w:tcPr>
          <w:p w14:paraId="412B791C"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Zemkopības ministrija, biedrība “Latvijas Kokrūpniecības federācija”, Latvijas Meža īpašnieku biedrība, Valsts meža dienests un AS „Latvijas valsts meži”</w:t>
            </w:r>
          </w:p>
        </w:tc>
      </w:tr>
      <w:tr w:rsidR="00BB44E5" w14:paraId="3C98CB99" w14:textId="77777777">
        <w:trPr>
          <w:trHeight w:val="349"/>
        </w:trPr>
        <w:tc>
          <w:tcPr>
            <w:tcW w:w="426" w:type="dxa"/>
          </w:tcPr>
          <w:p w14:paraId="007B18EA" w14:textId="77777777" w:rsidR="00BB44E5" w:rsidRDefault="00334705">
            <w:pPr>
              <w:pBdr>
                <w:top w:val="nil"/>
                <w:left w:val="nil"/>
                <w:bottom w:val="nil"/>
                <w:right w:val="nil"/>
                <w:between w:val="nil"/>
              </w:pBdr>
              <w:spacing w:line="240" w:lineRule="auto"/>
              <w:ind w:left="0" w:hanging="2"/>
              <w:rPr>
                <w:color w:val="000000"/>
              </w:rPr>
            </w:pPr>
            <w:r>
              <w:rPr>
                <w:color w:val="000000"/>
              </w:rPr>
              <w:t>4.</w:t>
            </w:r>
          </w:p>
        </w:tc>
        <w:tc>
          <w:tcPr>
            <w:tcW w:w="2126" w:type="dxa"/>
          </w:tcPr>
          <w:p w14:paraId="0D7784CE" w14:textId="77777777" w:rsidR="00BB44E5" w:rsidRDefault="00334705">
            <w:pPr>
              <w:pBdr>
                <w:top w:val="nil"/>
                <w:left w:val="nil"/>
                <w:bottom w:val="nil"/>
                <w:right w:val="nil"/>
                <w:between w:val="nil"/>
              </w:pBdr>
              <w:spacing w:line="240" w:lineRule="auto"/>
              <w:ind w:left="0" w:hanging="2"/>
              <w:rPr>
                <w:color w:val="000000"/>
              </w:rPr>
            </w:pPr>
            <w:r>
              <w:rPr>
                <w:color w:val="000000"/>
              </w:rPr>
              <w:t>Cita informācija</w:t>
            </w:r>
          </w:p>
        </w:tc>
        <w:tc>
          <w:tcPr>
            <w:tcW w:w="6662" w:type="dxa"/>
          </w:tcPr>
          <w:p w14:paraId="3D2E845D" w14:textId="77777777" w:rsidR="00BB44E5" w:rsidRDefault="00334705">
            <w:pPr>
              <w:pBdr>
                <w:top w:val="nil"/>
                <w:left w:val="nil"/>
                <w:bottom w:val="nil"/>
                <w:right w:val="nil"/>
                <w:between w:val="nil"/>
              </w:pBdr>
              <w:spacing w:line="240" w:lineRule="auto"/>
              <w:ind w:left="0" w:hanging="2"/>
              <w:rPr>
                <w:color w:val="000000"/>
              </w:rPr>
            </w:pPr>
            <w:r>
              <w:rPr>
                <w:color w:val="000000"/>
              </w:rPr>
              <w:t>Nav.</w:t>
            </w:r>
          </w:p>
        </w:tc>
      </w:tr>
    </w:tbl>
    <w:p w14:paraId="4CC78CA4" w14:textId="77777777" w:rsidR="00BB44E5" w:rsidRDefault="00BB44E5">
      <w:pPr>
        <w:pBdr>
          <w:top w:val="nil"/>
          <w:left w:val="nil"/>
          <w:bottom w:val="nil"/>
          <w:right w:val="nil"/>
          <w:between w:val="nil"/>
        </w:pBdr>
        <w:spacing w:line="240" w:lineRule="auto"/>
        <w:ind w:left="0" w:hanging="2"/>
        <w:rPr>
          <w:color w:val="000000"/>
        </w:rPr>
      </w:pPr>
    </w:p>
    <w:tbl>
      <w:tblPr>
        <w:tblStyle w:val="a2"/>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10"/>
        <w:gridCol w:w="6378"/>
      </w:tblGrid>
      <w:tr w:rsidR="00BB44E5" w14:paraId="14232899" w14:textId="77777777">
        <w:trPr>
          <w:trHeight w:val="570"/>
        </w:trPr>
        <w:tc>
          <w:tcPr>
            <w:tcW w:w="9214" w:type="dxa"/>
            <w:gridSpan w:val="3"/>
          </w:tcPr>
          <w:p w14:paraId="1E6B442D" w14:textId="77777777" w:rsidR="00BB44E5" w:rsidRDefault="00334705">
            <w:pPr>
              <w:pBdr>
                <w:top w:val="nil"/>
                <w:left w:val="nil"/>
                <w:bottom w:val="nil"/>
                <w:right w:val="nil"/>
                <w:between w:val="nil"/>
              </w:pBdr>
              <w:spacing w:line="240" w:lineRule="auto"/>
              <w:ind w:left="0" w:hanging="2"/>
              <w:jc w:val="center"/>
              <w:rPr>
                <w:color w:val="000000"/>
              </w:rPr>
            </w:pPr>
            <w:r>
              <w:rPr>
                <w:b/>
                <w:color w:val="000000"/>
              </w:rPr>
              <w:t>II. Tiesību akta projekta ietekme uz sabiedrību, tautsaimniecības attīstību un administratīvo slogu</w:t>
            </w:r>
          </w:p>
        </w:tc>
      </w:tr>
      <w:tr w:rsidR="00BB44E5" w14:paraId="10DE98E3" w14:textId="77777777">
        <w:trPr>
          <w:trHeight w:val="570"/>
        </w:trPr>
        <w:tc>
          <w:tcPr>
            <w:tcW w:w="426" w:type="dxa"/>
          </w:tcPr>
          <w:p w14:paraId="23D93C8B" w14:textId="77777777" w:rsidR="00BB44E5" w:rsidRDefault="00334705">
            <w:pPr>
              <w:pBdr>
                <w:top w:val="nil"/>
                <w:left w:val="nil"/>
                <w:bottom w:val="nil"/>
                <w:right w:val="nil"/>
                <w:between w:val="nil"/>
              </w:pBdr>
              <w:spacing w:line="240" w:lineRule="auto"/>
              <w:ind w:left="0" w:hanging="2"/>
              <w:rPr>
                <w:color w:val="000000"/>
              </w:rPr>
            </w:pPr>
            <w:r>
              <w:rPr>
                <w:color w:val="000000"/>
              </w:rPr>
              <w:t>1.</w:t>
            </w:r>
          </w:p>
        </w:tc>
        <w:tc>
          <w:tcPr>
            <w:tcW w:w="2410" w:type="dxa"/>
          </w:tcPr>
          <w:p w14:paraId="5FF4547F"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Sabiedrības mērķgrupas, kuras tiesiskais regulējums ietekmē vai varētu ietekmēt</w:t>
            </w:r>
          </w:p>
        </w:tc>
        <w:tc>
          <w:tcPr>
            <w:tcW w:w="6378" w:type="dxa"/>
          </w:tcPr>
          <w:p w14:paraId="3B5A6839" w14:textId="77777777" w:rsidR="00BB44E5" w:rsidRDefault="00334705">
            <w:pPr>
              <w:ind w:left="0" w:hanging="2"/>
              <w:jc w:val="both"/>
              <w:rPr>
                <w:color w:val="000000"/>
              </w:rPr>
            </w:pPr>
            <w:r>
              <w:rPr>
                <w:color w:val="000000"/>
              </w:rPr>
              <w:t xml:space="preserve">Uz atbalstu attīstības projektu īstenošanā var pieteikties fiziska vai juridiska persona. </w:t>
            </w:r>
          </w:p>
          <w:p w14:paraId="165D359E"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Uz atbalstu zinātniskās izpētes projektu īstenošanā var pieteikties institūcija, kas reģistrēta zinātnisko institūciju reģistrā.</w:t>
            </w:r>
          </w:p>
        </w:tc>
      </w:tr>
      <w:tr w:rsidR="00BB44E5" w14:paraId="09D2A24C" w14:textId="77777777">
        <w:trPr>
          <w:trHeight w:val="570"/>
        </w:trPr>
        <w:tc>
          <w:tcPr>
            <w:tcW w:w="426" w:type="dxa"/>
          </w:tcPr>
          <w:p w14:paraId="469BEF91" w14:textId="77777777" w:rsidR="00BB44E5" w:rsidRDefault="00334705">
            <w:pPr>
              <w:pBdr>
                <w:top w:val="nil"/>
                <w:left w:val="nil"/>
                <w:bottom w:val="nil"/>
                <w:right w:val="nil"/>
                <w:between w:val="nil"/>
              </w:pBdr>
              <w:spacing w:line="240" w:lineRule="auto"/>
              <w:ind w:left="0" w:hanging="2"/>
              <w:rPr>
                <w:color w:val="000000"/>
              </w:rPr>
            </w:pPr>
            <w:r>
              <w:rPr>
                <w:color w:val="000000"/>
              </w:rPr>
              <w:t>2.</w:t>
            </w:r>
          </w:p>
        </w:tc>
        <w:tc>
          <w:tcPr>
            <w:tcW w:w="2410" w:type="dxa"/>
          </w:tcPr>
          <w:p w14:paraId="674262DE"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Tiesiskā regulējuma ietekme uz tautsaimniecību un administratīvo slogu</w:t>
            </w:r>
          </w:p>
        </w:tc>
        <w:tc>
          <w:tcPr>
            <w:tcW w:w="6378" w:type="dxa"/>
          </w:tcPr>
          <w:p w14:paraId="78D7CCA4" w14:textId="77777777" w:rsidR="00BB44E5" w:rsidRDefault="00334705">
            <w:pPr>
              <w:ind w:left="0" w:hanging="2"/>
              <w:jc w:val="both"/>
            </w:pPr>
            <w:r>
              <w:rPr>
                <w:color w:val="000000"/>
              </w:rPr>
              <w:t xml:space="preserve">Noteikumu projekts dos iespēju īstenot meža nozarei nepieciešamos pētījumus prioritārās jomās, kā arī attīstības projektus, tā veicinot meža nozares atpazīstamību un pieejamo resursu un produktu kvalitatīvas un efektīvas izmantošanas iespējas. </w:t>
            </w:r>
          </w:p>
        </w:tc>
      </w:tr>
      <w:tr w:rsidR="00BB44E5" w14:paraId="6149EA81" w14:textId="77777777">
        <w:trPr>
          <w:trHeight w:val="570"/>
        </w:trPr>
        <w:tc>
          <w:tcPr>
            <w:tcW w:w="426" w:type="dxa"/>
          </w:tcPr>
          <w:p w14:paraId="70A8F4AE" w14:textId="77777777" w:rsidR="00BB44E5" w:rsidRDefault="00334705">
            <w:pPr>
              <w:pBdr>
                <w:top w:val="nil"/>
                <w:left w:val="nil"/>
                <w:bottom w:val="nil"/>
                <w:right w:val="nil"/>
                <w:between w:val="nil"/>
              </w:pBdr>
              <w:spacing w:line="240" w:lineRule="auto"/>
              <w:ind w:left="0" w:hanging="2"/>
              <w:rPr>
                <w:color w:val="000000"/>
              </w:rPr>
            </w:pPr>
            <w:r>
              <w:rPr>
                <w:color w:val="000000"/>
              </w:rPr>
              <w:t>3.</w:t>
            </w:r>
          </w:p>
        </w:tc>
        <w:tc>
          <w:tcPr>
            <w:tcW w:w="2410" w:type="dxa"/>
          </w:tcPr>
          <w:p w14:paraId="1CBFA475"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Administratīvo izmaksu monetārs novērtējums</w:t>
            </w:r>
          </w:p>
        </w:tc>
        <w:tc>
          <w:tcPr>
            <w:tcW w:w="6378" w:type="dxa"/>
          </w:tcPr>
          <w:p w14:paraId="7F14F00C" w14:textId="09251D51" w:rsidR="00BB44E5" w:rsidRPr="006C1DDE" w:rsidRDefault="00334705">
            <w:pPr>
              <w:pBdr>
                <w:top w:val="nil"/>
                <w:left w:val="nil"/>
                <w:bottom w:val="nil"/>
                <w:right w:val="nil"/>
                <w:between w:val="nil"/>
              </w:pBdr>
              <w:spacing w:line="240" w:lineRule="auto"/>
              <w:ind w:left="0" w:hanging="2"/>
              <w:jc w:val="both"/>
              <w:rPr>
                <w:color w:val="000000"/>
              </w:rPr>
            </w:pPr>
            <w:r w:rsidRPr="006C1DDE">
              <w:rPr>
                <w:color w:val="000000"/>
              </w:rPr>
              <w:t>Nav nepieciešams norādīt atbilstoši 2009. gada 15. decembra Ministru kabineta instrukcijas Nr. 19 “Tiesību akta projekta sākotnējās ietekmes izvērtēšanas kārtība” 25. punktam.</w:t>
            </w:r>
          </w:p>
        </w:tc>
      </w:tr>
      <w:tr w:rsidR="00BB44E5" w14:paraId="758D107A" w14:textId="77777777">
        <w:trPr>
          <w:trHeight w:val="570"/>
        </w:trPr>
        <w:tc>
          <w:tcPr>
            <w:tcW w:w="426" w:type="dxa"/>
          </w:tcPr>
          <w:p w14:paraId="6BB6314D" w14:textId="77777777" w:rsidR="00BB44E5" w:rsidRDefault="00334705">
            <w:pPr>
              <w:pBdr>
                <w:top w:val="nil"/>
                <w:left w:val="nil"/>
                <w:bottom w:val="nil"/>
                <w:right w:val="nil"/>
                <w:between w:val="nil"/>
              </w:pBdr>
              <w:spacing w:line="240" w:lineRule="auto"/>
              <w:ind w:left="0" w:hanging="2"/>
              <w:rPr>
                <w:color w:val="000000"/>
              </w:rPr>
            </w:pPr>
            <w:r>
              <w:rPr>
                <w:color w:val="000000"/>
              </w:rPr>
              <w:t>4.</w:t>
            </w:r>
          </w:p>
        </w:tc>
        <w:tc>
          <w:tcPr>
            <w:tcW w:w="2410" w:type="dxa"/>
          </w:tcPr>
          <w:p w14:paraId="478E3A07"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Atbilstības izmaksu monetārs novērtējums</w:t>
            </w:r>
          </w:p>
        </w:tc>
        <w:tc>
          <w:tcPr>
            <w:tcW w:w="6378" w:type="dxa"/>
          </w:tcPr>
          <w:p w14:paraId="3654FD7A"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Projekts šo jomu neskar.</w:t>
            </w:r>
          </w:p>
        </w:tc>
      </w:tr>
      <w:tr w:rsidR="00BB44E5" w14:paraId="6E7A0F42" w14:textId="77777777">
        <w:trPr>
          <w:trHeight w:val="132"/>
        </w:trPr>
        <w:tc>
          <w:tcPr>
            <w:tcW w:w="426" w:type="dxa"/>
          </w:tcPr>
          <w:p w14:paraId="3FBE0C62" w14:textId="77777777" w:rsidR="00BB44E5" w:rsidRDefault="00334705">
            <w:pPr>
              <w:pBdr>
                <w:top w:val="nil"/>
                <w:left w:val="nil"/>
                <w:bottom w:val="nil"/>
                <w:right w:val="nil"/>
                <w:between w:val="nil"/>
              </w:pBdr>
              <w:spacing w:line="240" w:lineRule="auto"/>
              <w:ind w:left="0" w:hanging="2"/>
              <w:rPr>
                <w:color w:val="000000"/>
              </w:rPr>
            </w:pPr>
            <w:r>
              <w:rPr>
                <w:color w:val="000000"/>
              </w:rPr>
              <w:lastRenderedPageBreak/>
              <w:t>5.</w:t>
            </w:r>
          </w:p>
        </w:tc>
        <w:tc>
          <w:tcPr>
            <w:tcW w:w="2410" w:type="dxa"/>
          </w:tcPr>
          <w:p w14:paraId="78EDF360" w14:textId="77777777" w:rsidR="00BB44E5" w:rsidRDefault="00334705">
            <w:pPr>
              <w:pBdr>
                <w:top w:val="nil"/>
                <w:left w:val="nil"/>
                <w:bottom w:val="nil"/>
                <w:right w:val="nil"/>
                <w:between w:val="nil"/>
              </w:pBdr>
              <w:spacing w:line="240" w:lineRule="auto"/>
              <w:ind w:left="0" w:hanging="2"/>
              <w:rPr>
                <w:color w:val="000000"/>
              </w:rPr>
            </w:pPr>
            <w:r>
              <w:rPr>
                <w:color w:val="000000"/>
              </w:rPr>
              <w:t>Cita informācija</w:t>
            </w:r>
          </w:p>
        </w:tc>
        <w:tc>
          <w:tcPr>
            <w:tcW w:w="6378" w:type="dxa"/>
          </w:tcPr>
          <w:p w14:paraId="5B9E99AB" w14:textId="77777777" w:rsidR="00BB44E5" w:rsidRDefault="00334705">
            <w:pPr>
              <w:pBdr>
                <w:top w:val="nil"/>
                <w:left w:val="nil"/>
                <w:bottom w:val="nil"/>
                <w:right w:val="nil"/>
                <w:between w:val="nil"/>
              </w:pBdr>
              <w:spacing w:line="240" w:lineRule="auto"/>
              <w:ind w:left="0" w:hanging="2"/>
              <w:rPr>
                <w:color w:val="000000"/>
              </w:rPr>
            </w:pPr>
            <w:r>
              <w:rPr>
                <w:color w:val="000000"/>
              </w:rPr>
              <w:t>Nav.</w:t>
            </w:r>
          </w:p>
        </w:tc>
      </w:tr>
    </w:tbl>
    <w:p w14:paraId="5BA84485" w14:textId="77777777" w:rsidR="00BB44E5" w:rsidRDefault="00BB44E5">
      <w:pPr>
        <w:tabs>
          <w:tab w:val="left" w:pos="3675"/>
        </w:tabs>
        <w:ind w:left="0" w:hanging="2"/>
      </w:pPr>
    </w:p>
    <w:tbl>
      <w:tblPr>
        <w:tblStyle w:val="a3"/>
        <w:tblW w:w="924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134"/>
        <w:gridCol w:w="1134"/>
        <w:gridCol w:w="992"/>
        <w:gridCol w:w="993"/>
        <w:gridCol w:w="850"/>
        <w:gridCol w:w="1154"/>
        <w:gridCol w:w="1002"/>
      </w:tblGrid>
      <w:tr w:rsidR="00BB44E5" w14:paraId="4438B6F5" w14:textId="77777777">
        <w:tc>
          <w:tcPr>
            <w:tcW w:w="9244" w:type="dxa"/>
            <w:gridSpan w:val="8"/>
            <w:vAlign w:val="center"/>
          </w:tcPr>
          <w:p w14:paraId="615991BC" w14:textId="77777777" w:rsidR="00BB44E5" w:rsidRDefault="00334705">
            <w:pPr>
              <w:ind w:left="0" w:hanging="2"/>
              <w:jc w:val="center"/>
            </w:pPr>
            <w:r>
              <w:rPr>
                <w:b/>
              </w:rPr>
              <w:t>III. Tiesību akta projekta ietekme uz valsts budžetu un pašvaldību budžetiem</w:t>
            </w:r>
          </w:p>
        </w:tc>
      </w:tr>
      <w:tr w:rsidR="00BB44E5" w14:paraId="329C8B18" w14:textId="77777777">
        <w:tc>
          <w:tcPr>
            <w:tcW w:w="1985" w:type="dxa"/>
            <w:vMerge w:val="restart"/>
            <w:shd w:val="clear" w:color="auto" w:fill="FFFFFF"/>
            <w:vAlign w:val="center"/>
          </w:tcPr>
          <w:p w14:paraId="4ECFB0CA" w14:textId="77777777" w:rsidR="00BB44E5" w:rsidRDefault="00334705">
            <w:pPr>
              <w:ind w:left="0" w:hanging="2"/>
              <w:jc w:val="center"/>
            </w:pPr>
            <w:r>
              <w:t>Rādītāji</w:t>
            </w:r>
          </w:p>
        </w:tc>
        <w:tc>
          <w:tcPr>
            <w:tcW w:w="2268" w:type="dxa"/>
            <w:gridSpan w:val="2"/>
            <w:vMerge w:val="restart"/>
            <w:shd w:val="clear" w:color="auto" w:fill="FFFFFF"/>
            <w:vAlign w:val="center"/>
          </w:tcPr>
          <w:p w14:paraId="10BE22C8" w14:textId="77777777" w:rsidR="00BB44E5" w:rsidRDefault="00334705">
            <w:pPr>
              <w:ind w:left="0" w:hanging="2"/>
              <w:jc w:val="center"/>
            </w:pPr>
            <w:r>
              <w:t>2020.</w:t>
            </w:r>
          </w:p>
        </w:tc>
        <w:tc>
          <w:tcPr>
            <w:tcW w:w="4991" w:type="dxa"/>
            <w:gridSpan w:val="5"/>
            <w:shd w:val="clear" w:color="auto" w:fill="FFFFFF"/>
            <w:vAlign w:val="center"/>
          </w:tcPr>
          <w:p w14:paraId="69490D9F" w14:textId="77777777" w:rsidR="00BB44E5" w:rsidRDefault="00334705">
            <w:pPr>
              <w:ind w:left="0" w:hanging="2"/>
              <w:jc w:val="center"/>
            </w:pPr>
            <w:r>
              <w:t>Turpmākie trīs gadi (</w:t>
            </w:r>
            <w:proofErr w:type="spellStart"/>
            <w:r>
              <w:rPr>
                <w:i/>
              </w:rPr>
              <w:t>euro</w:t>
            </w:r>
            <w:proofErr w:type="spellEnd"/>
            <w:r>
              <w:t>)</w:t>
            </w:r>
          </w:p>
        </w:tc>
      </w:tr>
      <w:tr w:rsidR="00BB44E5" w14:paraId="5AF1B881" w14:textId="77777777">
        <w:tc>
          <w:tcPr>
            <w:tcW w:w="1985" w:type="dxa"/>
            <w:vMerge/>
            <w:shd w:val="clear" w:color="auto" w:fill="FFFFFF"/>
            <w:vAlign w:val="center"/>
          </w:tcPr>
          <w:p w14:paraId="3A90D4A3" w14:textId="77777777" w:rsidR="00BB44E5" w:rsidRDefault="00BB44E5">
            <w:pPr>
              <w:widowControl w:val="0"/>
              <w:pBdr>
                <w:top w:val="nil"/>
                <w:left w:val="nil"/>
                <w:bottom w:val="nil"/>
                <w:right w:val="nil"/>
                <w:between w:val="nil"/>
              </w:pBdr>
              <w:spacing w:line="276" w:lineRule="auto"/>
              <w:ind w:left="0" w:hanging="2"/>
            </w:pPr>
          </w:p>
        </w:tc>
        <w:tc>
          <w:tcPr>
            <w:tcW w:w="2268" w:type="dxa"/>
            <w:gridSpan w:val="2"/>
            <w:vMerge/>
            <w:shd w:val="clear" w:color="auto" w:fill="FFFFFF"/>
            <w:vAlign w:val="center"/>
          </w:tcPr>
          <w:p w14:paraId="613A3E8A" w14:textId="77777777" w:rsidR="00BB44E5" w:rsidRDefault="00BB44E5">
            <w:pPr>
              <w:widowControl w:val="0"/>
              <w:pBdr>
                <w:top w:val="nil"/>
                <w:left w:val="nil"/>
                <w:bottom w:val="nil"/>
                <w:right w:val="nil"/>
                <w:between w:val="nil"/>
              </w:pBdr>
              <w:spacing w:line="276" w:lineRule="auto"/>
              <w:ind w:left="0" w:hanging="2"/>
            </w:pPr>
          </w:p>
        </w:tc>
        <w:tc>
          <w:tcPr>
            <w:tcW w:w="1985" w:type="dxa"/>
            <w:gridSpan w:val="2"/>
            <w:shd w:val="clear" w:color="auto" w:fill="FFFFFF"/>
            <w:vAlign w:val="center"/>
          </w:tcPr>
          <w:p w14:paraId="127E1F5C" w14:textId="77777777" w:rsidR="00BB44E5" w:rsidRDefault="00334705">
            <w:pPr>
              <w:ind w:left="0" w:hanging="2"/>
              <w:jc w:val="center"/>
            </w:pPr>
            <w:r>
              <w:t>2021.</w:t>
            </w:r>
          </w:p>
        </w:tc>
        <w:tc>
          <w:tcPr>
            <w:tcW w:w="2004" w:type="dxa"/>
            <w:gridSpan w:val="2"/>
            <w:shd w:val="clear" w:color="auto" w:fill="FFFFFF"/>
            <w:vAlign w:val="center"/>
          </w:tcPr>
          <w:p w14:paraId="0B85BD21" w14:textId="77777777" w:rsidR="00BB44E5" w:rsidRDefault="00334705">
            <w:pPr>
              <w:ind w:left="0" w:hanging="2"/>
              <w:jc w:val="center"/>
            </w:pPr>
            <w:r>
              <w:t>2022.</w:t>
            </w:r>
          </w:p>
        </w:tc>
        <w:tc>
          <w:tcPr>
            <w:tcW w:w="1002" w:type="dxa"/>
            <w:shd w:val="clear" w:color="auto" w:fill="FFFFFF"/>
            <w:vAlign w:val="center"/>
          </w:tcPr>
          <w:p w14:paraId="24B55103" w14:textId="77777777" w:rsidR="00BB44E5" w:rsidRDefault="00334705">
            <w:pPr>
              <w:ind w:left="0" w:hanging="2"/>
              <w:jc w:val="center"/>
            </w:pPr>
            <w:r>
              <w:rPr>
                <w:b/>
              </w:rPr>
              <w:t>2023.</w:t>
            </w:r>
          </w:p>
        </w:tc>
      </w:tr>
      <w:tr w:rsidR="00BB44E5" w14:paraId="6467B939" w14:textId="77777777">
        <w:tc>
          <w:tcPr>
            <w:tcW w:w="1985" w:type="dxa"/>
            <w:vMerge/>
            <w:shd w:val="clear" w:color="auto" w:fill="FFFFFF"/>
            <w:vAlign w:val="center"/>
          </w:tcPr>
          <w:p w14:paraId="06401398" w14:textId="77777777" w:rsidR="00BB44E5" w:rsidRDefault="00BB44E5">
            <w:pPr>
              <w:widowControl w:val="0"/>
              <w:pBdr>
                <w:top w:val="nil"/>
                <w:left w:val="nil"/>
                <w:bottom w:val="nil"/>
                <w:right w:val="nil"/>
                <w:between w:val="nil"/>
              </w:pBdr>
              <w:spacing w:line="276" w:lineRule="auto"/>
              <w:ind w:left="0" w:hanging="2"/>
            </w:pPr>
          </w:p>
        </w:tc>
        <w:tc>
          <w:tcPr>
            <w:tcW w:w="1134" w:type="dxa"/>
            <w:shd w:val="clear" w:color="auto" w:fill="FFFFFF"/>
            <w:vAlign w:val="center"/>
          </w:tcPr>
          <w:p w14:paraId="633C62D1" w14:textId="77777777" w:rsidR="00BB44E5" w:rsidRDefault="00334705">
            <w:pPr>
              <w:ind w:left="0" w:hanging="2"/>
              <w:jc w:val="center"/>
            </w:pPr>
            <w:r>
              <w:t>saskaņā ar valsts budžetu kārtējam gadam</w:t>
            </w:r>
          </w:p>
        </w:tc>
        <w:tc>
          <w:tcPr>
            <w:tcW w:w="1134" w:type="dxa"/>
            <w:shd w:val="clear" w:color="auto" w:fill="FFFFFF"/>
            <w:vAlign w:val="center"/>
          </w:tcPr>
          <w:p w14:paraId="1EA7D966" w14:textId="77777777" w:rsidR="00BB44E5" w:rsidRDefault="00334705">
            <w:pPr>
              <w:ind w:left="0" w:hanging="2"/>
              <w:jc w:val="center"/>
            </w:pPr>
            <w:r>
              <w:t>izmaiņas kārtējā gadā, salīdzinot ar valsts budžetu kārtējam gadam</w:t>
            </w:r>
          </w:p>
        </w:tc>
        <w:tc>
          <w:tcPr>
            <w:tcW w:w="992" w:type="dxa"/>
            <w:shd w:val="clear" w:color="auto" w:fill="FFFFFF"/>
            <w:vAlign w:val="center"/>
          </w:tcPr>
          <w:p w14:paraId="284BDFFE" w14:textId="77777777" w:rsidR="00BB44E5" w:rsidRDefault="00334705">
            <w:pPr>
              <w:ind w:left="0" w:hanging="2"/>
              <w:jc w:val="center"/>
            </w:pPr>
            <w:r>
              <w:t>saskaņā ar vidēja termiņa budžeta ietvaru</w:t>
            </w:r>
          </w:p>
        </w:tc>
        <w:tc>
          <w:tcPr>
            <w:tcW w:w="993" w:type="dxa"/>
            <w:shd w:val="clear" w:color="auto" w:fill="FFFFFF"/>
            <w:vAlign w:val="center"/>
          </w:tcPr>
          <w:p w14:paraId="01DCE71F" w14:textId="43065676" w:rsidR="00BB44E5" w:rsidRDefault="00334705">
            <w:pPr>
              <w:ind w:left="0" w:hanging="2"/>
              <w:jc w:val="center"/>
            </w:pPr>
            <w:r>
              <w:t>izmaiņas, salīdzinot ar vidēja termiņa budžeta ietvaru 202</w:t>
            </w:r>
            <w:r w:rsidR="00F11325">
              <w:t>1</w:t>
            </w:r>
            <w:r>
              <w:t>. gadam</w:t>
            </w:r>
          </w:p>
        </w:tc>
        <w:tc>
          <w:tcPr>
            <w:tcW w:w="850" w:type="dxa"/>
            <w:shd w:val="clear" w:color="auto" w:fill="FFFFFF"/>
            <w:vAlign w:val="center"/>
          </w:tcPr>
          <w:p w14:paraId="129B4D8E" w14:textId="77777777" w:rsidR="00BB44E5" w:rsidRDefault="00334705">
            <w:pPr>
              <w:ind w:left="0" w:hanging="2"/>
              <w:jc w:val="center"/>
            </w:pPr>
            <w:r>
              <w:t>saskaņā ar vidēja termiņa budžeta ietvaru</w:t>
            </w:r>
          </w:p>
        </w:tc>
        <w:tc>
          <w:tcPr>
            <w:tcW w:w="1154" w:type="dxa"/>
            <w:shd w:val="clear" w:color="auto" w:fill="FFFFFF"/>
            <w:vAlign w:val="center"/>
          </w:tcPr>
          <w:p w14:paraId="6AFB0A64" w14:textId="652FBD1D" w:rsidR="00BB44E5" w:rsidRDefault="00334705">
            <w:pPr>
              <w:ind w:left="0" w:hanging="2"/>
              <w:jc w:val="center"/>
            </w:pPr>
            <w:r>
              <w:t xml:space="preserve">izmaiņas, salīdzinot ar vidēja termiņa budžeta ietvaru </w:t>
            </w:r>
            <w:r w:rsidR="007155D9">
              <w:t>2022</w:t>
            </w:r>
            <w:r>
              <w:t>. gadam</w:t>
            </w:r>
          </w:p>
        </w:tc>
        <w:tc>
          <w:tcPr>
            <w:tcW w:w="1002" w:type="dxa"/>
            <w:shd w:val="clear" w:color="auto" w:fill="FFFFFF"/>
            <w:vAlign w:val="center"/>
          </w:tcPr>
          <w:p w14:paraId="3BCA8BF3" w14:textId="3320C9DA" w:rsidR="00BB44E5" w:rsidRDefault="00334705">
            <w:pPr>
              <w:ind w:left="0" w:hanging="2"/>
              <w:jc w:val="center"/>
            </w:pPr>
            <w:r>
              <w:t xml:space="preserve">izmaiņas, salīdzinot ar vidēja termiņa budžeta ietvaru </w:t>
            </w:r>
            <w:r>
              <w:br/>
            </w:r>
            <w:r w:rsidRPr="00175124">
              <w:rPr>
                <w:b/>
              </w:rPr>
              <w:t>202</w:t>
            </w:r>
            <w:sdt>
              <w:sdtPr>
                <w:rPr>
                  <w:b/>
                </w:rPr>
                <w:tag w:val="goog_rdk_17"/>
                <w:id w:val="1852142183"/>
              </w:sdtPr>
              <w:sdtEndPr/>
              <w:sdtContent>
                <w:r w:rsidR="007F4121">
                  <w:rPr>
                    <w:b/>
                  </w:rPr>
                  <w:t>2</w:t>
                </w:r>
              </w:sdtContent>
            </w:sdt>
            <w:r w:rsidRPr="00175124">
              <w:rPr>
                <w:b/>
              </w:rPr>
              <w:t>.</w:t>
            </w:r>
            <w:r>
              <w:t xml:space="preserve"> gadam</w:t>
            </w:r>
          </w:p>
        </w:tc>
      </w:tr>
      <w:tr w:rsidR="00BB44E5" w14:paraId="352BBBBA" w14:textId="77777777">
        <w:tc>
          <w:tcPr>
            <w:tcW w:w="1985" w:type="dxa"/>
            <w:shd w:val="clear" w:color="auto" w:fill="FFFFFF"/>
            <w:vAlign w:val="center"/>
          </w:tcPr>
          <w:p w14:paraId="7A39B8A3" w14:textId="77777777" w:rsidR="00BB44E5" w:rsidRDefault="00334705">
            <w:pPr>
              <w:ind w:left="0" w:hanging="2"/>
              <w:jc w:val="center"/>
            </w:pPr>
            <w:r>
              <w:t>1</w:t>
            </w:r>
          </w:p>
        </w:tc>
        <w:tc>
          <w:tcPr>
            <w:tcW w:w="1134" w:type="dxa"/>
            <w:shd w:val="clear" w:color="auto" w:fill="FFFFFF"/>
            <w:vAlign w:val="center"/>
          </w:tcPr>
          <w:p w14:paraId="136D4BDD" w14:textId="77777777" w:rsidR="00BB44E5" w:rsidRDefault="00334705">
            <w:pPr>
              <w:ind w:left="0" w:hanging="2"/>
              <w:jc w:val="center"/>
            </w:pPr>
            <w:r>
              <w:t>2</w:t>
            </w:r>
          </w:p>
        </w:tc>
        <w:tc>
          <w:tcPr>
            <w:tcW w:w="1134" w:type="dxa"/>
            <w:shd w:val="clear" w:color="auto" w:fill="FFFFFF"/>
            <w:vAlign w:val="center"/>
          </w:tcPr>
          <w:p w14:paraId="6304207E" w14:textId="77777777" w:rsidR="00BB44E5" w:rsidRDefault="00334705">
            <w:pPr>
              <w:ind w:left="0" w:hanging="2"/>
              <w:jc w:val="center"/>
            </w:pPr>
            <w:r>
              <w:t>3</w:t>
            </w:r>
          </w:p>
        </w:tc>
        <w:tc>
          <w:tcPr>
            <w:tcW w:w="992" w:type="dxa"/>
            <w:shd w:val="clear" w:color="auto" w:fill="FFFFFF"/>
            <w:vAlign w:val="center"/>
          </w:tcPr>
          <w:p w14:paraId="305F7F5B" w14:textId="77777777" w:rsidR="00BB44E5" w:rsidRDefault="00334705">
            <w:pPr>
              <w:ind w:left="0" w:hanging="2"/>
              <w:jc w:val="center"/>
            </w:pPr>
            <w:r>
              <w:t>4</w:t>
            </w:r>
          </w:p>
        </w:tc>
        <w:tc>
          <w:tcPr>
            <w:tcW w:w="993" w:type="dxa"/>
            <w:shd w:val="clear" w:color="auto" w:fill="FFFFFF"/>
            <w:vAlign w:val="center"/>
          </w:tcPr>
          <w:p w14:paraId="5AA58A04" w14:textId="77777777" w:rsidR="00BB44E5" w:rsidRDefault="00334705">
            <w:pPr>
              <w:ind w:left="0" w:hanging="2"/>
              <w:jc w:val="center"/>
            </w:pPr>
            <w:r>
              <w:t>5</w:t>
            </w:r>
          </w:p>
        </w:tc>
        <w:tc>
          <w:tcPr>
            <w:tcW w:w="850" w:type="dxa"/>
            <w:shd w:val="clear" w:color="auto" w:fill="FFFFFF"/>
            <w:vAlign w:val="center"/>
          </w:tcPr>
          <w:p w14:paraId="1BACB1FE" w14:textId="77777777" w:rsidR="00BB44E5" w:rsidRDefault="00334705">
            <w:pPr>
              <w:ind w:left="0" w:hanging="2"/>
              <w:jc w:val="center"/>
            </w:pPr>
            <w:r>
              <w:t>6</w:t>
            </w:r>
          </w:p>
        </w:tc>
        <w:tc>
          <w:tcPr>
            <w:tcW w:w="1154" w:type="dxa"/>
            <w:shd w:val="clear" w:color="auto" w:fill="FFFFFF"/>
            <w:vAlign w:val="center"/>
          </w:tcPr>
          <w:p w14:paraId="4B351E63" w14:textId="77777777" w:rsidR="00BB44E5" w:rsidRDefault="00334705">
            <w:pPr>
              <w:ind w:left="0" w:hanging="2"/>
              <w:jc w:val="center"/>
            </w:pPr>
            <w:r>
              <w:t>7</w:t>
            </w:r>
          </w:p>
        </w:tc>
        <w:tc>
          <w:tcPr>
            <w:tcW w:w="1002" w:type="dxa"/>
            <w:shd w:val="clear" w:color="auto" w:fill="FFFFFF"/>
            <w:vAlign w:val="center"/>
          </w:tcPr>
          <w:p w14:paraId="4FDB8FE2" w14:textId="77777777" w:rsidR="00BB44E5" w:rsidRDefault="00334705">
            <w:pPr>
              <w:ind w:left="0" w:hanging="2"/>
              <w:jc w:val="center"/>
            </w:pPr>
            <w:r>
              <w:t>8</w:t>
            </w:r>
          </w:p>
        </w:tc>
      </w:tr>
      <w:tr w:rsidR="00BB44E5" w14:paraId="285DCEEC" w14:textId="77777777">
        <w:tc>
          <w:tcPr>
            <w:tcW w:w="1985" w:type="dxa"/>
            <w:shd w:val="clear" w:color="auto" w:fill="FFFFFF"/>
          </w:tcPr>
          <w:p w14:paraId="69CD9440" w14:textId="77777777" w:rsidR="00BB44E5" w:rsidRDefault="00334705">
            <w:pPr>
              <w:ind w:left="0" w:hanging="2"/>
            </w:pPr>
            <w:r>
              <w:t>1. Budžeta ieņēmumi</w:t>
            </w:r>
          </w:p>
        </w:tc>
        <w:tc>
          <w:tcPr>
            <w:tcW w:w="1134" w:type="dxa"/>
            <w:shd w:val="clear" w:color="auto" w:fill="FFFFFF"/>
            <w:vAlign w:val="center"/>
          </w:tcPr>
          <w:p w14:paraId="0EBD589C" w14:textId="77777777" w:rsidR="00BB44E5" w:rsidRDefault="00334705">
            <w:pPr>
              <w:ind w:left="0" w:hanging="2"/>
              <w:jc w:val="center"/>
            </w:pPr>
            <w:r>
              <w:t>237 927</w:t>
            </w:r>
          </w:p>
        </w:tc>
        <w:tc>
          <w:tcPr>
            <w:tcW w:w="1134" w:type="dxa"/>
            <w:shd w:val="clear" w:color="auto" w:fill="FFFFFF"/>
            <w:vAlign w:val="center"/>
          </w:tcPr>
          <w:p w14:paraId="10FD07BB" w14:textId="77777777" w:rsidR="00BB44E5" w:rsidRDefault="00334705">
            <w:pPr>
              <w:ind w:left="0" w:hanging="2"/>
              <w:jc w:val="center"/>
            </w:pPr>
            <w:r>
              <w:t>0</w:t>
            </w:r>
          </w:p>
        </w:tc>
        <w:tc>
          <w:tcPr>
            <w:tcW w:w="992" w:type="dxa"/>
            <w:shd w:val="clear" w:color="auto" w:fill="FFFFFF"/>
            <w:vAlign w:val="center"/>
          </w:tcPr>
          <w:p w14:paraId="561E471B" w14:textId="77777777" w:rsidR="00BB44E5" w:rsidRDefault="00334705">
            <w:pPr>
              <w:ind w:left="0" w:hanging="2"/>
              <w:jc w:val="center"/>
            </w:pPr>
            <w:r>
              <w:t>0</w:t>
            </w:r>
          </w:p>
        </w:tc>
        <w:tc>
          <w:tcPr>
            <w:tcW w:w="993" w:type="dxa"/>
            <w:shd w:val="clear" w:color="auto" w:fill="FFFFFF"/>
            <w:vAlign w:val="center"/>
          </w:tcPr>
          <w:p w14:paraId="629ABD29" w14:textId="77777777" w:rsidR="00BB44E5" w:rsidRDefault="00334705">
            <w:pPr>
              <w:ind w:left="0" w:hanging="2"/>
              <w:jc w:val="center"/>
            </w:pPr>
            <w:r>
              <w:t>0</w:t>
            </w:r>
          </w:p>
        </w:tc>
        <w:tc>
          <w:tcPr>
            <w:tcW w:w="850" w:type="dxa"/>
            <w:shd w:val="clear" w:color="auto" w:fill="FFFFFF"/>
            <w:vAlign w:val="center"/>
          </w:tcPr>
          <w:p w14:paraId="6557AC61" w14:textId="77777777" w:rsidR="00BB44E5" w:rsidRDefault="00334705">
            <w:pPr>
              <w:ind w:left="0" w:hanging="2"/>
              <w:jc w:val="center"/>
            </w:pPr>
            <w:r>
              <w:t>0</w:t>
            </w:r>
          </w:p>
        </w:tc>
        <w:tc>
          <w:tcPr>
            <w:tcW w:w="1154" w:type="dxa"/>
            <w:shd w:val="clear" w:color="auto" w:fill="FFFFFF"/>
            <w:vAlign w:val="center"/>
          </w:tcPr>
          <w:p w14:paraId="6F7CE0F3" w14:textId="77777777" w:rsidR="00BB44E5" w:rsidRDefault="00334705">
            <w:pPr>
              <w:ind w:left="0" w:hanging="2"/>
              <w:jc w:val="center"/>
            </w:pPr>
            <w:r>
              <w:t>0</w:t>
            </w:r>
          </w:p>
        </w:tc>
        <w:tc>
          <w:tcPr>
            <w:tcW w:w="1002" w:type="dxa"/>
            <w:shd w:val="clear" w:color="auto" w:fill="FFFFFF"/>
            <w:vAlign w:val="center"/>
          </w:tcPr>
          <w:p w14:paraId="24CEB0B5" w14:textId="77777777" w:rsidR="00BB44E5" w:rsidRDefault="00334705">
            <w:pPr>
              <w:ind w:left="0" w:hanging="2"/>
              <w:jc w:val="center"/>
            </w:pPr>
            <w:r>
              <w:t>0</w:t>
            </w:r>
          </w:p>
        </w:tc>
      </w:tr>
      <w:tr w:rsidR="00BB44E5" w14:paraId="5C8B4AA6" w14:textId="77777777">
        <w:tc>
          <w:tcPr>
            <w:tcW w:w="1985" w:type="dxa"/>
          </w:tcPr>
          <w:p w14:paraId="31D7EBEF" w14:textId="77777777" w:rsidR="00BB44E5" w:rsidRDefault="00334705">
            <w:pPr>
              <w:ind w:left="0" w:hanging="2"/>
            </w:pPr>
            <w:r>
              <w:t>1.1. valsts pamatbudžets, tai skaitā ieņēmumi no maksas pakalpojumiem un citi pašu ieņēmumi</w:t>
            </w:r>
          </w:p>
        </w:tc>
        <w:tc>
          <w:tcPr>
            <w:tcW w:w="1134" w:type="dxa"/>
            <w:vAlign w:val="center"/>
          </w:tcPr>
          <w:p w14:paraId="4382EC24" w14:textId="77777777" w:rsidR="00BB44E5" w:rsidRDefault="00334705">
            <w:pPr>
              <w:ind w:left="0" w:hanging="2"/>
              <w:jc w:val="center"/>
            </w:pPr>
            <w:r>
              <w:t>237 927</w:t>
            </w:r>
          </w:p>
        </w:tc>
        <w:tc>
          <w:tcPr>
            <w:tcW w:w="1134" w:type="dxa"/>
            <w:vAlign w:val="center"/>
          </w:tcPr>
          <w:p w14:paraId="10AA0363" w14:textId="77777777" w:rsidR="00BB44E5" w:rsidRDefault="00334705">
            <w:pPr>
              <w:ind w:left="0" w:hanging="2"/>
              <w:jc w:val="center"/>
            </w:pPr>
            <w:r>
              <w:t>0</w:t>
            </w:r>
          </w:p>
        </w:tc>
        <w:tc>
          <w:tcPr>
            <w:tcW w:w="992" w:type="dxa"/>
            <w:vAlign w:val="center"/>
          </w:tcPr>
          <w:p w14:paraId="6550AC6D" w14:textId="77777777" w:rsidR="00BB44E5" w:rsidRDefault="00334705">
            <w:pPr>
              <w:ind w:left="0" w:hanging="2"/>
              <w:jc w:val="center"/>
            </w:pPr>
            <w:r>
              <w:t>0</w:t>
            </w:r>
          </w:p>
        </w:tc>
        <w:tc>
          <w:tcPr>
            <w:tcW w:w="993" w:type="dxa"/>
            <w:vAlign w:val="center"/>
          </w:tcPr>
          <w:p w14:paraId="62F3CC07" w14:textId="77777777" w:rsidR="00BB44E5" w:rsidRDefault="00334705">
            <w:pPr>
              <w:ind w:left="0" w:hanging="2"/>
              <w:jc w:val="center"/>
            </w:pPr>
            <w:r>
              <w:t>0</w:t>
            </w:r>
          </w:p>
        </w:tc>
        <w:tc>
          <w:tcPr>
            <w:tcW w:w="850" w:type="dxa"/>
            <w:vAlign w:val="center"/>
          </w:tcPr>
          <w:p w14:paraId="3DE7211A" w14:textId="77777777" w:rsidR="00BB44E5" w:rsidRDefault="00334705">
            <w:pPr>
              <w:ind w:left="0" w:hanging="2"/>
              <w:jc w:val="center"/>
            </w:pPr>
            <w:r>
              <w:t>0</w:t>
            </w:r>
          </w:p>
        </w:tc>
        <w:tc>
          <w:tcPr>
            <w:tcW w:w="1154" w:type="dxa"/>
            <w:vAlign w:val="center"/>
          </w:tcPr>
          <w:p w14:paraId="66EDC63F" w14:textId="77777777" w:rsidR="00BB44E5" w:rsidRDefault="00334705">
            <w:pPr>
              <w:ind w:left="0" w:hanging="2"/>
              <w:jc w:val="center"/>
            </w:pPr>
            <w:r>
              <w:t>0</w:t>
            </w:r>
          </w:p>
        </w:tc>
        <w:tc>
          <w:tcPr>
            <w:tcW w:w="1002" w:type="dxa"/>
            <w:vAlign w:val="center"/>
          </w:tcPr>
          <w:p w14:paraId="4ADB5CFE" w14:textId="77777777" w:rsidR="00BB44E5" w:rsidRDefault="00334705">
            <w:pPr>
              <w:ind w:left="0" w:hanging="2"/>
              <w:jc w:val="center"/>
            </w:pPr>
            <w:r>
              <w:t>0</w:t>
            </w:r>
          </w:p>
        </w:tc>
      </w:tr>
      <w:tr w:rsidR="00BB44E5" w14:paraId="68EA6419" w14:textId="77777777">
        <w:tc>
          <w:tcPr>
            <w:tcW w:w="1985" w:type="dxa"/>
          </w:tcPr>
          <w:p w14:paraId="66BB9BFE" w14:textId="77777777" w:rsidR="00BB44E5" w:rsidRDefault="00334705">
            <w:pPr>
              <w:ind w:left="0" w:hanging="2"/>
            </w:pPr>
            <w:r>
              <w:t>1.2. valsts speciālais budžets</w:t>
            </w:r>
          </w:p>
        </w:tc>
        <w:tc>
          <w:tcPr>
            <w:tcW w:w="1134" w:type="dxa"/>
            <w:vAlign w:val="center"/>
          </w:tcPr>
          <w:p w14:paraId="465C495F" w14:textId="77777777" w:rsidR="00BB44E5" w:rsidRDefault="00334705">
            <w:pPr>
              <w:ind w:left="0" w:hanging="2"/>
              <w:jc w:val="center"/>
            </w:pPr>
            <w:r>
              <w:t>0</w:t>
            </w:r>
          </w:p>
        </w:tc>
        <w:tc>
          <w:tcPr>
            <w:tcW w:w="1134" w:type="dxa"/>
            <w:vAlign w:val="center"/>
          </w:tcPr>
          <w:p w14:paraId="5D77A324" w14:textId="77777777" w:rsidR="00BB44E5" w:rsidRDefault="00334705">
            <w:pPr>
              <w:ind w:left="0" w:hanging="2"/>
              <w:jc w:val="center"/>
            </w:pPr>
            <w:r>
              <w:t>0</w:t>
            </w:r>
          </w:p>
        </w:tc>
        <w:tc>
          <w:tcPr>
            <w:tcW w:w="992" w:type="dxa"/>
            <w:vAlign w:val="center"/>
          </w:tcPr>
          <w:p w14:paraId="51BA8FEB" w14:textId="77777777" w:rsidR="00BB44E5" w:rsidRDefault="00334705">
            <w:pPr>
              <w:ind w:left="0" w:hanging="2"/>
              <w:jc w:val="center"/>
            </w:pPr>
            <w:r>
              <w:t>0</w:t>
            </w:r>
          </w:p>
        </w:tc>
        <w:tc>
          <w:tcPr>
            <w:tcW w:w="993" w:type="dxa"/>
            <w:vAlign w:val="center"/>
          </w:tcPr>
          <w:p w14:paraId="7D2FFD2A" w14:textId="77777777" w:rsidR="00BB44E5" w:rsidRDefault="00334705">
            <w:pPr>
              <w:ind w:left="0" w:hanging="2"/>
              <w:jc w:val="center"/>
            </w:pPr>
            <w:r>
              <w:t>0</w:t>
            </w:r>
          </w:p>
        </w:tc>
        <w:tc>
          <w:tcPr>
            <w:tcW w:w="850" w:type="dxa"/>
            <w:vAlign w:val="center"/>
          </w:tcPr>
          <w:p w14:paraId="35102972" w14:textId="77777777" w:rsidR="00BB44E5" w:rsidRDefault="00334705">
            <w:pPr>
              <w:ind w:left="0" w:hanging="2"/>
              <w:jc w:val="center"/>
            </w:pPr>
            <w:r>
              <w:t>0</w:t>
            </w:r>
          </w:p>
        </w:tc>
        <w:tc>
          <w:tcPr>
            <w:tcW w:w="1154" w:type="dxa"/>
            <w:vAlign w:val="center"/>
          </w:tcPr>
          <w:p w14:paraId="4812D78D" w14:textId="77777777" w:rsidR="00BB44E5" w:rsidRDefault="00334705">
            <w:pPr>
              <w:ind w:left="0" w:hanging="2"/>
              <w:jc w:val="center"/>
            </w:pPr>
            <w:r>
              <w:t>0</w:t>
            </w:r>
          </w:p>
        </w:tc>
        <w:tc>
          <w:tcPr>
            <w:tcW w:w="1002" w:type="dxa"/>
            <w:vAlign w:val="center"/>
          </w:tcPr>
          <w:p w14:paraId="15E40D99" w14:textId="77777777" w:rsidR="00BB44E5" w:rsidRDefault="00334705">
            <w:pPr>
              <w:ind w:left="0" w:hanging="2"/>
              <w:jc w:val="center"/>
            </w:pPr>
            <w:r>
              <w:t>0</w:t>
            </w:r>
          </w:p>
        </w:tc>
      </w:tr>
      <w:tr w:rsidR="00BB44E5" w14:paraId="2EFFBCF7" w14:textId="77777777">
        <w:tc>
          <w:tcPr>
            <w:tcW w:w="1985" w:type="dxa"/>
          </w:tcPr>
          <w:p w14:paraId="030EF1CC" w14:textId="77777777" w:rsidR="00BB44E5" w:rsidRDefault="00334705">
            <w:pPr>
              <w:ind w:left="0" w:hanging="2"/>
            </w:pPr>
            <w:r>
              <w:t>1.3. pašvaldību budžets</w:t>
            </w:r>
          </w:p>
        </w:tc>
        <w:tc>
          <w:tcPr>
            <w:tcW w:w="1134" w:type="dxa"/>
            <w:vAlign w:val="center"/>
          </w:tcPr>
          <w:p w14:paraId="6F5EC2FF" w14:textId="77777777" w:rsidR="00BB44E5" w:rsidRDefault="00334705">
            <w:pPr>
              <w:ind w:left="0" w:hanging="2"/>
              <w:jc w:val="center"/>
            </w:pPr>
            <w:r>
              <w:t>0</w:t>
            </w:r>
          </w:p>
        </w:tc>
        <w:tc>
          <w:tcPr>
            <w:tcW w:w="1134" w:type="dxa"/>
            <w:vAlign w:val="center"/>
          </w:tcPr>
          <w:p w14:paraId="216BB111" w14:textId="77777777" w:rsidR="00BB44E5" w:rsidRDefault="00334705">
            <w:pPr>
              <w:ind w:left="0" w:hanging="2"/>
              <w:jc w:val="center"/>
            </w:pPr>
            <w:r>
              <w:t>0</w:t>
            </w:r>
          </w:p>
        </w:tc>
        <w:tc>
          <w:tcPr>
            <w:tcW w:w="992" w:type="dxa"/>
            <w:vAlign w:val="center"/>
          </w:tcPr>
          <w:p w14:paraId="3B74B078" w14:textId="77777777" w:rsidR="00BB44E5" w:rsidRDefault="00334705">
            <w:pPr>
              <w:ind w:left="0" w:hanging="2"/>
              <w:jc w:val="center"/>
            </w:pPr>
            <w:r>
              <w:t>0</w:t>
            </w:r>
          </w:p>
        </w:tc>
        <w:tc>
          <w:tcPr>
            <w:tcW w:w="993" w:type="dxa"/>
            <w:vAlign w:val="center"/>
          </w:tcPr>
          <w:p w14:paraId="06A2B687" w14:textId="77777777" w:rsidR="00BB44E5" w:rsidRDefault="00334705">
            <w:pPr>
              <w:ind w:left="0" w:hanging="2"/>
              <w:jc w:val="center"/>
            </w:pPr>
            <w:r>
              <w:t>0</w:t>
            </w:r>
          </w:p>
        </w:tc>
        <w:tc>
          <w:tcPr>
            <w:tcW w:w="850" w:type="dxa"/>
            <w:vAlign w:val="center"/>
          </w:tcPr>
          <w:p w14:paraId="2B40FEBC" w14:textId="77777777" w:rsidR="00BB44E5" w:rsidRDefault="00334705">
            <w:pPr>
              <w:ind w:left="0" w:hanging="2"/>
              <w:jc w:val="center"/>
            </w:pPr>
            <w:r>
              <w:t>0</w:t>
            </w:r>
          </w:p>
        </w:tc>
        <w:tc>
          <w:tcPr>
            <w:tcW w:w="1154" w:type="dxa"/>
            <w:vAlign w:val="center"/>
          </w:tcPr>
          <w:p w14:paraId="777933C8" w14:textId="77777777" w:rsidR="00BB44E5" w:rsidRDefault="00334705">
            <w:pPr>
              <w:ind w:left="0" w:hanging="2"/>
              <w:jc w:val="center"/>
            </w:pPr>
            <w:r>
              <w:t>0</w:t>
            </w:r>
          </w:p>
        </w:tc>
        <w:tc>
          <w:tcPr>
            <w:tcW w:w="1002" w:type="dxa"/>
            <w:vAlign w:val="center"/>
          </w:tcPr>
          <w:p w14:paraId="7FC4766A" w14:textId="77777777" w:rsidR="00BB44E5" w:rsidRDefault="00334705">
            <w:pPr>
              <w:ind w:left="0" w:hanging="2"/>
              <w:jc w:val="center"/>
            </w:pPr>
            <w:r>
              <w:t>0</w:t>
            </w:r>
          </w:p>
        </w:tc>
      </w:tr>
      <w:tr w:rsidR="00BB44E5" w14:paraId="692F5384" w14:textId="77777777">
        <w:tc>
          <w:tcPr>
            <w:tcW w:w="1985" w:type="dxa"/>
          </w:tcPr>
          <w:p w14:paraId="24011E55" w14:textId="77777777" w:rsidR="00BB44E5" w:rsidRDefault="00334705">
            <w:pPr>
              <w:ind w:left="0" w:hanging="2"/>
            </w:pPr>
            <w:r>
              <w:t>2. Budžeta izdevumi</w:t>
            </w:r>
          </w:p>
        </w:tc>
        <w:tc>
          <w:tcPr>
            <w:tcW w:w="1134" w:type="dxa"/>
            <w:vAlign w:val="center"/>
          </w:tcPr>
          <w:p w14:paraId="59F56B1C" w14:textId="77777777" w:rsidR="00BB44E5" w:rsidRDefault="00334705">
            <w:pPr>
              <w:ind w:left="0" w:hanging="2"/>
              <w:jc w:val="center"/>
            </w:pPr>
            <w:r>
              <w:rPr>
                <w:color w:val="000000"/>
              </w:rPr>
              <w:t>237 927</w:t>
            </w:r>
          </w:p>
        </w:tc>
        <w:tc>
          <w:tcPr>
            <w:tcW w:w="1134" w:type="dxa"/>
            <w:vAlign w:val="center"/>
          </w:tcPr>
          <w:p w14:paraId="371AEEE8" w14:textId="77777777" w:rsidR="00BB44E5" w:rsidRDefault="00334705">
            <w:pPr>
              <w:ind w:left="0" w:hanging="2"/>
              <w:jc w:val="center"/>
            </w:pPr>
            <w:r>
              <w:t>0</w:t>
            </w:r>
          </w:p>
        </w:tc>
        <w:tc>
          <w:tcPr>
            <w:tcW w:w="992" w:type="dxa"/>
            <w:vAlign w:val="center"/>
          </w:tcPr>
          <w:p w14:paraId="1F4C1D0A" w14:textId="77777777" w:rsidR="00BB44E5" w:rsidRDefault="00334705">
            <w:pPr>
              <w:ind w:left="0" w:hanging="2"/>
              <w:jc w:val="center"/>
            </w:pPr>
            <w:r>
              <w:t>0</w:t>
            </w:r>
          </w:p>
        </w:tc>
        <w:tc>
          <w:tcPr>
            <w:tcW w:w="993" w:type="dxa"/>
            <w:vAlign w:val="center"/>
          </w:tcPr>
          <w:p w14:paraId="4602CB8B" w14:textId="77777777" w:rsidR="00BB44E5" w:rsidRDefault="00334705">
            <w:pPr>
              <w:ind w:left="0" w:hanging="2"/>
              <w:jc w:val="center"/>
            </w:pPr>
            <w:r>
              <w:t>0</w:t>
            </w:r>
          </w:p>
        </w:tc>
        <w:tc>
          <w:tcPr>
            <w:tcW w:w="850" w:type="dxa"/>
            <w:vAlign w:val="center"/>
          </w:tcPr>
          <w:p w14:paraId="74477533" w14:textId="77777777" w:rsidR="00BB44E5" w:rsidRDefault="00334705">
            <w:pPr>
              <w:ind w:left="0" w:hanging="2"/>
              <w:jc w:val="center"/>
            </w:pPr>
            <w:r>
              <w:t>0</w:t>
            </w:r>
          </w:p>
        </w:tc>
        <w:tc>
          <w:tcPr>
            <w:tcW w:w="1154" w:type="dxa"/>
            <w:vAlign w:val="center"/>
          </w:tcPr>
          <w:p w14:paraId="74682055" w14:textId="77777777" w:rsidR="00BB44E5" w:rsidRDefault="00334705">
            <w:pPr>
              <w:ind w:left="0" w:hanging="2"/>
              <w:jc w:val="center"/>
            </w:pPr>
            <w:r>
              <w:t>0</w:t>
            </w:r>
          </w:p>
        </w:tc>
        <w:tc>
          <w:tcPr>
            <w:tcW w:w="1002" w:type="dxa"/>
            <w:vAlign w:val="center"/>
          </w:tcPr>
          <w:p w14:paraId="59AD51FE" w14:textId="77777777" w:rsidR="00BB44E5" w:rsidRDefault="00334705">
            <w:pPr>
              <w:ind w:left="0" w:hanging="2"/>
              <w:jc w:val="center"/>
            </w:pPr>
            <w:r>
              <w:t>0</w:t>
            </w:r>
          </w:p>
        </w:tc>
      </w:tr>
      <w:tr w:rsidR="00BB44E5" w14:paraId="7FC8D7B7" w14:textId="77777777">
        <w:tc>
          <w:tcPr>
            <w:tcW w:w="1985" w:type="dxa"/>
          </w:tcPr>
          <w:p w14:paraId="57A3CB6A" w14:textId="77777777" w:rsidR="00BB44E5" w:rsidRDefault="00334705">
            <w:pPr>
              <w:ind w:left="0" w:hanging="2"/>
            </w:pPr>
            <w:r>
              <w:t>2.1. valsts pamatbudžets</w:t>
            </w:r>
          </w:p>
        </w:tc>
        <w:tc>
          <w:tcPr>
            <w:tcW w:w="1134" w:type="dxa"/>
            <w:vAlign w:val="center"/>
          </w:tcPr>
          <w:p w14:paraId="41BF80E4" w14:textId="77777777" w:rsidR="00BB44E5" w:rsidRDefault="00334705">
            <w:pPr>
              <w:ind w:left="0" w:hanging="2"/>
              <w:jc w:val="center"/>
            </w:pPr>
            <w:r>
              <w:rPr>
                <w:color w:val="000000"/>
              </w:rPr>
              <w:t>237 927</w:t>
            </w:r>
          </w:p>
        </w:tc>
        <w:tc>
          <w:tcPr>
            <w:tcW w:w="1134" w:type="dxa"/>
            <w:vAlign w:val="center"/>
          </w:tcPr>
          <w:p w14:paraId="6AC08D6E" w14:textId="77777777" w:rsidR="00BB44E5" w:rsidRDefault="00334705">
            <w:pPr>
              <w:ind w:left="0" w:hanging="2"/>
              <w:jc w:val="center"/>
            </w:pPr>
            <w:r>
              <w:t>0</w:t>
            </w:r>
          </w:p>
        </w:tc>
        <w:tc>
          <w:tcPr>
            <w:tcW w:w="992" w:type="dxa"/>
            <w:vAlign w:val="center"/>
          </w:tcPr>
          <w:p w14:paraId="77FEB6A9" w14:textId="77777777" w:rsidR="00BB44E5" w:rsidRDefault="00334705">
            <w:pPr>
              <w:ind w:left="0" w:hanging="2"/>
              <w:jc w:val="center"/>
            </w:pPr>
            <w:r>
              <w:t>0</w:t>
            </w:r>
          </w:p>
        </w:tc>
        <w:tc>
          <w:tcPr>
            <w:tcW w:w="993" w:type="dxa"/>
            <w:vAlign w:val="center"/>
          </w:tcPr>
          <w:p w14:paraId="01B25B59" w14:textId="77777777" w:rsidR="00BB44E5" w:rsidRDefault="00334705">
            <w:pPr>
              <w:ind w:left="0" w:hanging="2"/>
              <w:jc w:val="center"/>
            </w:pPr>
            <w:r>
              <w:t>0</w:t>
            </w:r>
          </w:p>
        </w:tc>
        <w:tc>
          <w:tcPr>
            <w:tcW w:w="850" w:type="dxa"/>
            <w:vAlign w:val="center"/>
          </w:tcPr>
          <w:p w14:paraId="326712D1" w14:textId="77777777" w:rsidR="00BB44E5" w:rsidRDefault="00334705">
            <w:pPr>
              <w:ind w:left="0" w:hanging="2"/>
              <w:jc w:val="center"/>
            </w:pPr>
            <w:r>
              <w:t>0</w:t>
            </w:r>
          </w:p>
        </w:tc>
        <w:tc>
          <w:tcPr>
            <w:tcW w:w="1154" w:type="dxa"/>
            <w:vAlign w:val="center"/>
          </w:tcPr>
          <w:p w14:paraId="37499938" w14:textId="77777777" w:rsidR="00BB44E5" w:rsidRDefault="00334705">
            <w:pPr>
              <w:ind w:left="0" w:hanging="2"/>
              <w:jc w:val="center"/>
            </w:pPr>
            <w:r>
              <w:t>0</w:t>
            </w:r>
          </w:p>
        </w:tc>
        <w:tc>
          <w:tcPr>
            <w:tcW w:w="1002" w:type="dxa"/>
            <w:vAlign w:val="center"/>
          </w:tcPr>
          <w:p w14:paraId="1D87DA27" w14:textId="77777777" w:rsidR="00BB44E5" w:rsidRDefault="00334705">
            <w:pPr>
              <w:ind w:left="0" w:hanging="2"/>
              <w:jc w:val="center"/>
            </w:pPr>
            <w:r>
              <w:t>0</w:t>
            </w:r>
          </w:p>
        </w:tc>
      </w:tr>
      <w:tr w:rsidR="00BB44E5" w14:paraId="4849BB58" w14:textId="77777777">
        <w:tc>
          <w:tcPr>
            <w:tcW w:w="1985" w:type="dxa"/>
          </w:tcPr>
          <w:p w14:paraId="5708879B" w14:textId="77777777" w:rsidR="00BB44E5" w:rsidRDefault="00334705">
            <w:pPr>
              <w:ind w:left="0" w:hanging="2"/>
            </w:pPr>
            <w:r>
              <w:t>2.2. valsts speciālais budžets</w:t>
            </w:r>
          </w:p>
        </w:tc>
        <w:tc>
          <w:tcPr>
            <w:tcW w:w="1134" w:type="dxa"/>
            <w:vAlign w:val="center"/>
          </w:tcPr>
          <w:p w14:paraId="7D473686" w14:textId="77777777" w:rsidR="00BB44E5" w:rsidRDefault="00334705">
            <w:pPr>
              <w:ind w:left="0" w:hanging="2"/>
              <w:jc w:val="center"/>
            </w:pPr>
            <w:r>
              <w:t>0</w:t>
            </w:r>
          </w:p>
        </w:tc>
        <w:tc>
          <w:tcPr>
            <w:tcW w:w="1134" w:type="dxa"/>
            <w:vAlign w:val="center"/>
          </w:tcPr>
          <w:p w14:paraId="30039E21" w14:textId="77777777" w:rsidR="00BB44E5" w:rsidRDefault="00334705">
            <w:pPr>
              <w:ind w:left="0" w:hanging="2"/>
              <w:jc w:val="center"/>
            </w:pPr>
            <w:r>
              <w:t>0</w:t>
            </w:r>
          </w:p>
        </w:tc>
        <w:tc>
          <w:tcPr>
            <w:tcW w:w="992" w:type="dxa"/>
            <w:vAlign w:val="center"/>
          </w:tcPr>
          <w:p w14:paraId="15D61DC0" w14:textId="77777777" w:rsidR="00BB44E5" w:rsidRDefault="00334705">
            <w:pPr>
              <w:ind w:left="0" w:hanging="2"/>
              <w:jc w:val="center"/>
            </w:pPr>
            <w:r>
              <w:t>0</w:t>
            </w:r>
          </w:p>
        </w:tc>
        <w:tc>
          <w:tcPr>
            <w:tcW w:w="993" w:type="dxa"/>
            <w:vAlign w:val="center"/>
          </w:tcPr>
          <w:p w14:paraId="52400659" w14:textId="77777777" w:rsidR="00BB44E5" w:rsidRDefault="00334705">
            <w:pPr>
              <w:ind w:left="0" w:hanging="2"/>
              <w:jc w:val="center"/>
            </w:pPr>
            <w:r>
              <w:t>0</w:t>
            </w:r>
          </w:p>
        </w:tc>
        <w:tc>
          <w:tcPr>
            <w:tcW w:w="850" w:type="dxa"/>
            <w:vAlign w:val="center"/>
          </w:tcPr>
          <w:p w14:paraId="7D4055A0" w14:textId="77777777" w:rsidR="00BB44E5" w:rsidRDefault="00334705">
            <w:pPr>
              <w:ind w:left="0" w:hanging="2"/>
              <w:jc w:val="center"/>
            </w:pPr>
            <w:r>
              <w:t>0</w:t>
            </w:r>
          </w:p>
        </w:tc>
        <w:tc>
          <w:tcPr>
            <w:tcW w:w="1154" w:type="dxa"/>
            <w:vAlign w:val="center"/>
          </w:tcPr>
          <w:p w14:paraId="2821DE67" w14:textId="77777777" w:rsidR="00BB44E5" w:rsidRDefault="00334705">
            <w:pPr>
              <w:ind w:left="0" w:hanging="2"/>
              <w:jc w:val="center"/>
            </w:pPr>
            <w:r>
              <w:t>0</w:t>
            </w:r>
          </w:p>
        </w:tc>
        <w:tc>
          <w:tcPr>
            <w:tcW w:w="1002" w:type="dxa"/>
            <w:vAlign w:val="center"/>
          </w:tcPr>
          <w:p w14:paraId="365DD1E3" w14:textId="77777777" w:rsidR="00BB44E5" w:rsidRDefault="00334705">
            <w:pPr>
              <w:ind w:left="0" w:hanging="2"/>
              <w:jc w:val="center"/>
            </w:pPr>
            <w:r>
              <w:t>0</w:t>
            </w:r>
          </w:p>
        </w:tc>
      </w:tr>
      <w:tr w:rsidR="00BB44E5" w14:paraId="09D5C881" w14:textId="77777777">
        <w:tc>
          <w:tcPr>
            <w:tcW w:w="1985" w:type="dxa"/>
          </w:tcPr>
          <w:p w14:paraId="4FA4FC8E" w14:textId="77777777" w:rsidR="00BB44E5" w:rsidRDefault="00334705">
            <w:pPr>
              <w:ind w:left="0" w:hanging="2"/>
            </w:pPr>
            <w:r>
              <w:t>2.3. pašvaldību budžets</w:t>
            </w:r>
          </w:p>
        </w:tc>
        <w:tc>
          <w:tcPr>
            <w:tcW w:w="1134" w:type="dxa"/>
            <w:vAlign w:val="center"/>
          </w:tcPr>
          <w:p w14:paraId="0779A869" w14:textId="77777777" w:rsidR="00BB44E5" w:rsidRDefault="00334705">
            <w:pPr>
              <w:ind w:left="0" w:hanging="2"/>
              <w:jc w:val="center"/>
            </w:pPr>
            <w:r>
              <w:t>0</w:t>
            </w:r>
          </w:p>
        </w:tc>
        <w:tc>
          <w:tcPr>
            <w:tcW w:w="1134" w:type="dxa"/>
            <w:vAlign w:val="center"/>
          </w:tcPr>
          <w:p w14:paraId="613E68EF" w14:textId="77777777" w:rsidR="00BB44E5" w:rsidRDefault="00334705">
            <w:pPr>
              <w:ind w:left="0" w:hanging="2"/>
              <w:jc w:val="center"/>
            </w:pPr>
            <w:r>
              <w:t>0</w:t>
            </w:r>
          </w:p>
        </w:tc>
        <w:tc>
          <w:tcPr>
            <w:tcW w:w="992" w:type="dxa"/>
            <w:vAlign w:val="center"/>
          </w:tcPr>
          <w:p w14:paraId="324C79C8" w14:textId="77777777" w:rsidR="00BB44E5" w:rsidRDefault="00334705">
            <w:pPr>
              <w:ind w:left="0" w:hanging="2"/>
              <w:jc w:val="center"/>
            </w:pPr>
            <w:r>
              <w:t>0</w:t>
            </w:r>
          </w:p>
        </w:tc>
        <w:tc>
          <w:tcPr>
            <w:tcW w:w="993" w:type="dxa"/>
            <w:vAlign w:val="center"/>
          </w:tcPr>
          <w:p w14:paraId="3AE8C925" w14:textId="77777777" w:rsidR="00BB44E5" w:rsidRDefault="00334705">
            <w:pPr>
              <w:ind w:left="0" w:hanging="2"/>
              <w:jc w:val="center"/>
            </w:pPr>
            <w:r>
              <w:t>0</w:t>
            </w:r>
          </w:p>
        </w:tc>
        <w:tc>
          <w:tcPr>
            <w:tcW w:w="850" w:type="dxa"/>
            <w:vAlign w:val="center"/>
          </w:tcPr>
          <w:p w14:paraId="0F7961F7" w14:textId="77777777" w:rsidR="00BB44E5" w:rsidRDefault="00334705">
            <w:pPr>
              <w:ind w:left="0" w:hanging="2"/>
              <w:jc w:val="center"/>
            </w:pPr>
            <w:r>
              <w:t>0</w:t>
            </w:r>
          </w:p>
        </w:tc>
        <w:tc>
          <w:tcPr>
            <w:tcW w:w="1154" w:type="dxa"/>
            <w:vAlign w:val="center"/>
          </w:tcPr>
          <w:p w14:paraId="3EB00C2F" w14:textId="77777777" w:rsidR="00BB44E5" w:rsidRDefault="00334705">
            <w:pPr>
              <w:ind w:left="0" w:hanging="2"/>
              <w:jc w:val="center"/>
            </w:pPr>
            <w:r>
              <w:t>0</w:t>
            </w:r>
          </w:p>
        </w:tc>
        <w:tc>
          <w:tcPr>
            <w:tcW w:w="1002" w:type="dxa"/>
            <w:vAlign w:val="center"/>
          </w:tcPr>
          <w:p w14:paraId="02D03D8C" w14:textId="77777777" w:rsidR="00BB44E5" w:rsidRDefault="00334705">
            <w:pPr>
              <w:ind w:left="0" w:hanging="2"/>
              <w:jc w:val="center"/>
            </w:pPr>
            <w:r>
              <w:t>0</w:t>
            </w:r>
          </w:p>
        </w:tc>
      </w:tr>
      <w:tr w:rsidR="00BB44E5" w14:paraId="033E482B" w14:textId="77777777">
        <w:tc>
          <w:tcPr>
            <w:tcW w:w="1985" w:type="dxa"/>
          </w:tcPr>
          <w:p w14:paraId="6979A985" w14:textId="77777777" w:rsidR="00BB44E5" w:rsidRDefault="00334705">
            <w:pPr>
              <w:ind w:left="0" w:hanging="2"/>
            </w:pPr>
            <w:r>
              <w:t>3. Finansiālā ietekme</w:t>
            </w:r>
          </w:p>
        </w:tc>
        <w:tc>
          <w:tcPr>
            <w:tcW w:w="1134" w:type="dxa"/>
            <w:vAlign w:val="center"/>
          </w:tcPr>
          <w:p w14:paraId="7B694E09" w14:textId="77777777" w:rsidR="00BB44E5" w:rsidRDefault="00334705">
            <w:pPr>
              <w:ind w:left="0" w:hanging="2"/>
              <w:jc w:val="center"/>
            </w:pPr>
            <w:r>
              <w:t>0</w:t>
            </w:r>
          </w:p>
        </w:tc>
        <w:tc>
          <w:tcPr>
            <w:tcW w:w="1134" w:type="dxa"/>
            <w:vAlign w:val="center"/>
          </w:tcPr>
          <w:p w14:paraId="11E3B46C" w14:textId="77777777" w:rsidR="00BB44E5" w:rsidRDefault="00334705">
            <w:pPr>
              <w:ind w:left="0" w:hanging="2"/>
              <w:jc w:val="center"/>
            </w:pPr>
            <w:r>
              <w:t>0</w:t>
            </w:r>
          </w:p>
        </w:tc>
        <w:tc>
          <w:tcPr>
            <w:tcW w:w="992" w:type="dxa"/>
            <w:vAlign w:val="center"/>
          </w:tcPr>
          <w:p w14:paraId="678D3E2B" w14:textId="77777777" w:rsidR="00BB44E5" w:rsidRDefault="00334705">
            <w:pPr>
              <w:ind w:left="0" w:hanging="2"/>
              <w:jc w:val="center"/>
            </w:pPr>
            <w:r>
              <w:t>0</w:t>
            </w:r>
          </w:p>
        </w:tc>
        <w:tc>
          <w:tcPr>
            <w:tcW w:w="993" w:type="dxa"/>
            <w:vAlign w:val="center"/>
          </w:tcPr>
          <w:p w14:paraId="3096D489" w14:textId="77777777" w:rsidR="00BB44E5" w:rsidRDefault="00334705">
            <w:pPr>
              <w:ind w:left="0" w:hanging="2"/>
              <w:jc w:val="center"/>
            </w:pPr>
            <w:r>
              <w:t>0</w:t>
            </w:r>
          </w:p>
        </w:tc>
        <w:tc>
          <w:tcPr>
            <w:tcW w:w="850" w:type="dxa"/>
            <w:vAlign w:val="center"/>
          </w:tcPr>
          <w:p w14:paraId="2564483D" w14:textId="77777777" w:rsidR="00BB44E5" w:rsidRDefault="00334705">
            <w:pPr>
              <w:ind w:left="0" w:hanging="2"/>
              <w:jc w:val="center"/>
            </w:pPr>
            <w:r>
              <w:t>0</w:t>
            </w:r>
          </w:p>
        </w:tc>
        <w:tc>
          <w:tcPr>
            <w:tcW w:w="1154" w:type="dxa"/>
            <w:vAlign w:val="center"/>
          </w:tcPr>
          <w:p w14:paraId="1334160B" w14:textId="77777777" w:rsidR="00BB44E5" w:rsidRDefault="00334705">
            <w:pPr>
              <w:ind w:left="0" w:hanging="2"/>
              <w:jc w:val="center"/>
            </w:pPr>
            <w:r>
              <w:t>0</w:t>
            </w:r>
          </w:p>
        </w:tc>
        <w:tc>
          <w:tcPr>
            <w:tcW w:w="1002" w:type="dxa"/>
            <w:vAlign w:val="center"/>
          </w:tcPr>
          <w:p w14:paraId="503E5B38" w14:textId="77777777" w:rsidR="00BB44E5" w:rsidRDefault="00334705">
            <w:pPr>
              <w:ind w:left="0" w:hanging="2"/>
              <w:jc w:val="center"/>
            </w:pPr>
            <w:r>
              <w:t>0</w:t>
            </w:r>
          </w:p>
        </w:tc>
      </w:tr>
      <w:tr w:rsidR="00BB44E5" w14:paraId="635FA218" w14:textId="77777777">
        <w:tc>
          <w:tcPr>
            <w:tcW w:w="1985" w:type="dxa"/>
          </w:tcPr>
          <w:p w14:paraId="07633E6A" w14:textId="77777777" w:rsidR="00BB44E5" w:rsidRDefault="00334705">
            <w:pPr>
              <w:ind w:left="0" w:hanging="2"/>
            </w:pPr>
            <w:r>
              <w:t>3.1. valsts pamatbudžets</w:t>
            </w:r>
          </w:p>
        </w:tc>
        <w:tc>
          <w:tcPr>
            <w:tcW w:w="1134" w:type="dxa"/>
            <w:vAlign w:val="center"/>
          </w:tcPr>
          <w:p w14:paraId="055E231C" w14:textId="77777777" w:rsidR="00BB44E5" w:rsidRDefault="00334705">
            <w:pPr>
              <w:ind w:left="0" w:hanging="2"/>
              <w:jc w:val="center"/>
            </w:pPr>
            <w:r>
              <w:t>0</w:t>
            </w:r>
          </w:p>
        </w:tc>
        <w:tc>
          <w:tcPr>
            <w:tcW w:w="1134" w:type="dxa"/>
            <w:vAlign w:val="center"/>
          </w:tcPr>
          <w:p w14:paraId="07758EEE" w14:textId="77777777" w:rsidR="00BB44E5" w:rsidRDefault="00334705">
            <w:pPr>
              <w:ind w:left="0" w:hanging="2"/>
              <w:jc w:val="center"/>
            </w:pPr>
            <w:r>
              <w:t>0</w:t>
            </w:r>
          </w:p>
        </w:tc>
        <w:tc>
          <w:tcPr>
            <w:tcW w:w="992" w:type="dxa"/>
            <w:vAlign w:val="center"/>
          </w:tcPr>
          <w:p w14:paraId="43F8F9A9" w14:textId="77777777" w:rsidR="00BB44E5" w:rsidRDefault="00334705">
            <w:pPr>
              <w:ind w:left="0" w:hanging="2"/>
              <w:jc w:val="center"/>
            </w:pPr>
            <w:r>
              <w:t>0</w:t>
            </w:r>
          </w:p>
        </w:tc>
        <w:tc>
          <w:tcPr>
            <w:tcW w:w="993" w:type="dxa"/>
            <w:vAlign w:val="center"/>
          </w:tcPr>
          <w:p w14:paraId="418E99FB" w14:textId="77777777" w:rsidR="00BB44E5" w:rsidRDefault="00334705">
            <w:pPr>
              <w:ind w:left="0" w:hanging="2"/>
              <w:jc w:val="center"/>
            </w:pPr>
            <w:r>
              <w:t>0</w:t>
            </w:r>
          </w:p>
        </w:tc>
        <w:tc>
          <w:tcPr>
            <w:tcW w:w="850" w:type="dxa"/>
            <w:vAlign w:val="center"/>
          </w:tcPr>
          <w:p w14:paraId="16B61BAF" w14:textId="77777777" w:rsidR="00BB44E5" w:rsidRDefault="00334705">
            <w:pPr>
              <w:ind w:left="0" w:hanging="2"/>
              <w:jc w:val="center"/>
            </w:pPr>
            <w:r>
              <w:t>0</w:t>
            </w:r>
          </w:p>
        </w:tc>
        <w:tc>
          <w:tcPr>
            <w:tcW w:w="1154" w:type="dxa"/>
            <w:vAlign w:val="center"/>
          </w:tcPr>
          <w:p w14:paraId="6350D8D2" w14:textId="77777777" w:rsidR="00BB44E5" w:rsidRDefault="00334705">
            <w:pPr>
              <w:ind w:left="0" w:hanging="2"/>
              <w:jc w:val="center"/>
            </w:pPr>
            <w:r>
              <w:t>0</w:t>
            </w:r>
          </w:p>
        </w:tc>
        <w:tc>
          <w:tcPr>
            <w:tcW w:w="1002" w:type="dxa"/>
            <w:vAlign w:val="center"/>
          </w:tcPr>
          <w:p w14:paraId="2F9ADEBC" w14:textId="77777777" w:rsidR="00BB44E5" w:rsidRDefault="00334705">
            <w:pPr>
              <w:ind w:left="0" w:hanging="2"/>
              <w:jc w:val="center"/>
            </w:pPr>
            <w:r>
              <w:t>0</w:t>
            </w:r>
          </w:p>
        </w:tc>
      </w:tr>
      <w:tr w:rsidR="00BB44E5" w14:paraId="07BE2D87" w14:textId="77777777">
        <w:tc>
          <w:tcPr>
            <w:tcW w:w="1985" w:type="dxa"/>
          </w:tcPr>
          <w:p w14:paraId="66DA5DB7" w14:textId="77777777" w:rsidR="00BB44E5" w:rsidRDefault="00334705">
            <w:pPr>
              <w:ind w:left="0" w:hanging="2"/>
            </w:pPr>
            <w:r>
              <w:t>3.2. speciālais budžets</w:t>
            </w:r>
          </w:p>
        </w:tc>
        <w:tc>
          <w:tcPr>
            <w:tcW w:w="1134" w:type="dxa"/>
            <w:vAlign w:val="center"/>
          </w:tcPr>
          <w:p w14:paraId="624A1E01" w14:textId="77777777" w:rsidR="00BB44E5" w:rsidRDefault="00334705">
            <w:pPr>
              <w:ind w:left="0" w:hanging="2"/>
              <w:jc w:val="center"/>
            </w:pPr>
            <w:r>
              <w:t>0</w:t>
            </w:r>
          </w:p>
        </w:tc>
        <w:tc>
          <w:tcPr>
            <w:tcW w:w="1134" w:type="dxa"/>
            <w:vAlign w:val="center"/>
          </w:tcPr>
          <w:p w14:paraId="506DF51D" w14:textId="77777777" w:rsidR="00BB44E5" w:rsidRDefault="00334705">
            <w:pPr>
              <w:ind w:left="0" w:hanging="2"/>
              <w:jc w:val="center"/>
            </w:pPr>
            <w:r>
              <w:t>0</w:t>
            </w:r>
          </w:p>
        </w:tc>
        <w:tc>
          <w:tcPr>
            <w:tcW w:w="992" w:type="dxa"/>
            <w:vAlign w:val="center"/>
          </w:tcPr>
          <w:p w14:paraId="256130D4" w14:textId="77777777" w:rsidR="00BB44E5" w:rsidRDefault="00334705">
            <w:pPr>
              <w:ind w:left="0" w:hanging="2"/>
              <w:jc w:val="center"/>
            </w:pPr>
            <w:r>
              <w:t>0</w:t>
            </w:r>
          </w:p>
        </w:tc>
        <w:tc>
          <w:tcPr>
            <w:tcW w:w="993" w:type="dxa"/>
            <w:vAlign w:val="center"/>
          </w:tcPr>
          <w:p w14:paraId="1C9AFFF2" w14:textId="77777777" w:rsidR="00BB44E5" w:rsidRDefault="00334705">
            <w:pPr>
              <w:ind w:left="0" w:hanging="2"/>
              <w:jc w:val="center"/>
            </w:pPr>
            <w:r>
              <w:t>0</w:t>
            </w:r>
          </w:p>
        </w:tc>
        <w:tc>
          <w:tcPr>
            <w:tcW w:w="850" w:type="dxa"/>
            <w:vAlign w:val="center"/>
          </w:tcPr>
          <w:p w14:paraId="0159B2F8" w14:textId="77777777" w:rsidR="00BB44E5" w:rsidRDefault="00334705">
            <w:pPr>
              <w:ind w:left="0" w:hanging="2"/>
              <w:jc w:val="center"/>
            </w:pPr>
            <w:r>
              <w:t>0</w:t>
            </w:r>
          </w:p>
        </w:tc>
        <w:tc>
          <w:tcPr>
            <w:tcW w:w="1154" w:type="dxa"/>
            <w:vAlign w:val="center"/>
          </w:tcPr>
          <w:p w14:paraId="69339594" w14:textId="77777777" w:rsidR="00BB44E5" w:rsidRDefault="00334705">
            <w:pPr>
              <w:ind w:left="0" w:hanging="2"/>
              <w:jc w:val="center"/>
            </w:pPr>
            <w:r>
              <w:t>0</w:t>
            </w:r>
          </w:p>
        </w:tc>
        <w:tc>
          <w:tcPr>
            <w:tcW w:w="1002" w:type="dxa"/>
            <w:vAlign w:val="center"/>
          </w:tcPr>
          <w:p w14:paraId="7AFE4586" w14:textId="77777777" w:rsidR="00BB44E5" w:rsidRDefault="00334705">
            <w:pPr>
              <w:ind w:left="0" w:hanging="2"/>
              <w:jc w:val="center"/>
            </w:pPr>
            <w:r>
              <w:t>0</w:t>
            </w:r>
          </w:p>
        </w:tc>
      </w:tr>
      <w:tr w:rsidR="00BB44E5" w14:paraId="1DE7B286" w14:textId="77777777">
        <w:tc>
          <w:tcPr>
            <w:tcW w:w="1985" w:type="dxa"/>
          </w:tcPr>
          <w:p w14:paraId="25E553A9" w14:textId="77777777" w:rsidR="00BB44E5" w:rsidRDefault="00334705">
            <w:pPr>
              <w:ind w:left="0" w:hanging="2"/>
            </w:pPr>
            <w:r>
              <w:t>3.3. pašvaldību budžets</w:t>
            </w:r>
          </w:p>
        </w:tc>
        <w:tc>
          <w:tcPr>
            <w:tcW w:w="1134" w:type="dxa"/>
            <w:vAlign w:val="center"/>
          </w:tcPr>
          <w:p w14:paraId="69C73609" w14:textId="77777777" w:rsidR="00BB44E5" w:rsidRDefault="00334705">
            <w:pPr>
              <w:ind w:left="0" w:hanging="2"/>
              <w:jc w:val="center"/>
            </w:pPr>
            <w:r>
              <w:t>0</w:t>
            </w:r>
          </w:p>
        </w:tc>
        <w:tc>
          <w:tcPr>
            <w:tcW w:w="1134" w:type="dxa"/>
            <w:vAlign w:val="center"/>
          </w:tcPr>
          <w:p w14:paraId="1A70E797" w14:textId="77777777" w:rsidR="00BB44E5" w:rsidRDefault="00334705">
            <w:pPr>
              <w:ind w:left="0" w:hanging="2"/>
              <w:jc w:val="center"/>
            </w:pPr>
            <w:r>
              <w:t>0</w:t>
            </w:r>
          </w:p>
        </w:tc>
        <w:tc>
          <w:tcPr>
            <w:tcW w:w="992" w:type="dxa"/>
            <w:vAlign w:val="center"/>
          </w:tcPr>
          <w:p w14:paraId="78714A0B" w14:textId="77777777" w:rsidR="00BB44E5" w:rsidRDefault="00334705">
            <w:pPr>
              <w:ind w:left="0" w:hanging="2"/>
              <w:jc w:val="center"/>
            </w:pPr>
            <w:r>
              <w:t>0</w:t>
            </w:r>
          </w:p>
        </w:tc>
        <w:tc>
          <w:tcPr>
            <w:tcW w:w="993" w:type="dxa"/>
            <w:vAlign w:val="center"/>
          </w:tcPr>
          <w:p w14:paraId="2D327F0F" w14:textId="77777777" w:rsidR="00BB44E5" w:rsidRDefault="00334705">
            <w:pPr>
              <w:ind w:left="0" w:hanging="2"/>
              <w:jc w:val="center"/>
            </w:pPr>
            <w:r>
              <w:t>0</w:t>
            </w:r>
          </w:p>
        </w:tc>
        <w:tc>
          <w:tcPr>
            <w:tcW w:w="850" w:type="dxa"/>
            <w:vAlign w:val="center"/>
          </w:tcPr>
          <w:p w14:paraId="05412E0E" w14:textId="77777777" w:rsidR="00BB44E5" w:rsidRDefault="00334705">
            <w:pPr>
              <w:ind w:left="0" w:hanging="2"/>
              <w:jc w:val="center"/>
            </w:pPr>
            <w:r>
              <w:t>0</w:t>
            </w:r>
          </w:p>
        </w:tc>
        <w:tc>
          <w:tcPr>
            <w:tcW w:w="1154" w:type="dxa"/>
            <w:vAlign w:val="center"/>
          </w:tcPr>
          <w:p w14:paraId="30908D21" w14:textId="77777777" w:rsidR="00BB44E5" w:rsidRDefault="00334705">
            <w:pPr>
              <w:ind w:left="0" w:hanging="2"/>
              <w:jc w:val="center"/>
            </w:pPr>
            <w:r>
              <w:t>0</w:t>
            </w:r>
          </w:p>
        </w:tc>
        <w:tc>
          <w:tcPr>
            <w:tcW w:w="1002" w:type="dxa"/>
            <w:vAlign w:val="center"/>
          </w:tcPr>
          <w:p w14:paraId="3482EDC0" w14:textId="77777777" w:rsidR="00BB44E5" w:rsidRDefault="00334705">
            <w:pPr>
              <w:ind w:left="0" w:hanging="2"/>
              <w:jc w:val="center"/>
            </w:pPr>
            <w:r>
              <w:t>0</w:t>
            </w:r>
          </w:p>
        </w:tc>
      </w:tr>
      <w:tr w:rsidR="00BB44E5" w14:paraId="040E6BE7" w14:textId="77777777">
        <w:tc>
          <w:tcPr>
            <w:tcW w:w="1985" w:type="dxa"/>
          </w:tcPr>
          <w:p w14:paraId="5CB87500" w14:textId="77777777" w:rsidR="00BB44E5" w:rsidRDefault="00334705">
            <w:pPr>
              <w:ind w:left="0" w:hanging="2"/>
            </w:pPr>
            <w:r>
              <w:t xml:space="preserve">4. Finanšu līdzekļi papildu izdevumu finansēšanai (kompensējošu izdevumu </w:t>
            </w:r>
            <w:r>
              <w:lastRenderedPageBreak/>
              <w:t>samazinājumu norāda ar "+" zīmi)</w:t>
            </w:r>
          </w:p>
        </w:tc>
        <w:tc>
          <w:tcPr>
            <w:tcW w:w="1134" w:type="dxa"/>
            <w:vAlign w:val="center"/>
          </w:tcPr>
          <w:p w14:paraId="2B6D754A" w14:textId="77777777" w:rsidR="00BB44E5" w:rsidRDefault="00334705">
            <w:pPr>
              <w:ind w:left="0" w:hanging="2"/>
              <w:jc w:val="center"/>
            </w:pPr>
            <w:r>
              <w:lastRenderedPageBreak/>
              <w:t>0</w:t>
            </w:r>
          </w:p>
        </w:tc>
        <w:tc>
          <w:tcPr>
            <w:tcW w:w="1134" w:type="dxa"/>
            <w:vAlign w:val="center"/>
          </w:tcPr>
          <w:p w14:paraId="21396E21" w14:textId="77777777" w:rsidR="00BB44E5" w:rsidRDefault="00334705">
            <w:pPr>
              <w:ind w:left="0" w:hanging="2"/>
              <w:jc w:val="center"/>
            </w:pPr>
            <w:r>
              <w:t>0</w:t>
            </w:r>
          </w:p>
        </w:tc>
        <w:tc>
          <w:tcPr>
            <w:tcW w:w="992" w:type="dxa"/>
            <w:vAlign w:val="center"/>
          </w:tcPr>
          <w:p w14:paraId="33429E16" w14:textId="77777777" w:rsidR="00BB44E5" w:rsidRDefault="00334705">
            <w:pPr>
              <w:ind w:left="0" w:hanging="2"/>
              <w:jc w:val="center"/>
            </w:pPr>
            <w:r>
              <w:t>0</w:t>
            </w:r>
          </w:p>
        </w:tc>
        <w:tc>
          <w:tcPr>
            <w:tcW w:w="993" w:type="dxa"/>
            <w:vAlign w:val="center"/>
          </w:tcPr>
          <w:p w14:paraId="1DB79161" w14:textId="77777777" w:rsidR="00BB44E5" w:rsidRDefault="00334705">
            <w:pPr>
              <w:ind w:left="0" w:hanging="2"/>
              <w:jc w:val="center"/>
            </w:pPr>
            <w:r>
              <w:t>0</w:t>
            </w:r>
          </w:p>
        </w:tc>
        <w:tc>
          <w:tcPr>
            <w:tcW w:w="850" w:type="dxa"/>
            <w:vAlign w:val="center"/>
          </w:tcPr>
          <w:p w14:paraId="2650F27C" w14:textId="77777777" w:rsidR="00BB44E5" w:rsidRDefault="00334705">
            <w:pPr>
              <w:ind w:left="0" w:hanging="2"/>
              <w:jc w:val="center"/>
            </w:pPr>
            <w:r>
              <w:t>0</w:t>
            </w:r>
          </w:p>
        </w:tc>
        <w:tc>
          <w:tcPr>
            <w:tcW w:w="1154" w:type="dxa"/>
            <w:vAlign w:val="center"/>
          </w:tcPr>
          <w:p w14:paraId="0A733406" w14:textId="77777777" w:rsidR="00BB44E5" w:rsidRDefault="00334705">
            <w:pPr>
              <w:ind w:left="0" w:hanging="2"/>
              <w:jc w:val="center"/>
            </w:pPr>
            <w:r>
              <w:t>0</w:t>
            </w:r>
          </w:p>
        </w:tc>
        <w:tc>
          <w:tcPr>
            <w:tcW w:w="1002" w:type="dxa"/>
            <w:vAlign w:val="center"/>
          </w:tcPr>
          <w:p w14:paraId="009F8DC5" w14:textId="77777777" w:rsidR="00BB44E5" w:rsidRDefault="00334705">
            <w:pPr>
              <w:ind w:left="0" w:hanging="2"/>
              <w:jc w:val="center"/>
            </w:pPr>
            <w:r>
              <w:t>0</w:t>
            </w:r>
          </w:p>
        </w:tc>
      </w:tr>
      <w:tr w:rsidR="00BB44E5" w14:paraId="6DDFBDFF" w14:textId="77777777">
        <w:tc>
          <w:tcPr>
            <w:tcW w:w="1985" w:type="dxa"/>
          </w:tcPr>
          <w:p w14:paraId="384E2C46" w14:textId="77777777" w:rsidR="00BB44E5" w:rsidRDefault="00334705">
            <w:pPr>
              <w:ind w:left="0" w:hanging="2"/>
            </w:pPr>
            <w:r>
              <w:t>5. Precizēta finansiālā ietekme</w:t>
            </w:r>
          </w:p>
        </w:tc>
        <w:tc>
          <w:tcPr>
            <w:tcW w:w="1134" w:type="dxa"/>
            <w:vMerge w:val="restart"/>
            <w:vAlign w:val="center"/>
          </w:tcPr>
          <w:p w14:paraId="2A0556FA" w14:textId="77777777" w:rsidR="00BB44E5" w:rsidRDefault="00BB44E5">
            <w:pPr>
              <w:ind w:left="0" w:hanging="2"/>
              <w:jc w:val="center"/>
            </w:pPr>
          </w:p>
        </w:tc>
        <w:tc>
          <w:tcPr>
            <w:tcW w:w="1134" w:type="dxa"/>
            <w:vAlign w:val="center"/>
          </w:tcPr>
          <w:p w14:paraId="29E66B5F" w14:textId="77777777" w:rsidR="00BB44E5" w:rsidRDefault="00334705">
            <w:pPr>
              <w:ind w:left="0" w:hanging="2"/>
              <w:jc w:val="center"/>
            </w:pPr>
            <w:r>
              <w:t>0</w:t>
            </w:r>
          </w:p>
        </w:tc>
        <w:tc>
          <w:tcPr>
            <w:tcW w:w="992" w:type="dxa"/>
            <w:vMerge w:val="restart"/>
            <w:vAlign w:val="center"/>
          </w:tcPr>
          <w:p w14:paraId="07B1D7FC" w14:textId="77777777" w:rsidR="00BB44E5" w:rsidRDefault="00BB44E5">
            <w:pPr>
              <w:ind w:left="0" w:hanging="2"/>
              <w:jc w:val="center"/>
            </w:pPr>
          </w:p>
        </w:tc>
        <w:tc>
          <w:tcPr>
            <w:tcW w:w="993" w:type="dxa"/>
            <w:vAlign w:val="center"/>
          </w:tcPr>
          <w:p w14:paraId="4CB78210" w14:textId="77777777" w:rsidR="00BB44E5" w:rsidRDefault="00334705">
            <w:pPr>
              <w:ind w:left="0" w:hanging="2"/>
              <w:jc w:val="center"/>
            </w:pPr>
            <w:r>
              <w:t>0</w:t>
            </w:r>
          </w:p>
        </w:tc>
        <w:tc>
          <w:tcPr>
            <w:tcW w:w="850" w:type="dxa"/>
            <w:vMerge w:val="restart"/>
            <w:vAlign w:val="center"/>
          </w:tcPr>
          <w:p w14:paraId="37057D66" w14:textId="77777777" w:rsidR="00BB44E5" w:rsidRDefault="00BB44E5">
            <w:pPr>
              <w:ind w:left="0" w:hanging="2"/>
              <w:jc w:val="center"/>
            </w:pPr>
          </w:p>
        </w:tc>
        <w:tc>
          <w:tcPr>
            <w:tcW w:w="1154" w:type="dxa"/>
            <w:vAlign w:val="center"/>
          </w:tcPr>
          <w:p w14:paraId="68A886DF" w14:textId="77777777" w:rsidR="00BB44E5" w:rsidRDefault="00334705">
            <w:pPr>
              <w:ind w:left="0" w:hanging="2"/>
              <w:jc w:val="center"/>
            </w:pPr>
            <w:r>
              <w:t>0</w:t>
            </w:r>
          </w:p>
        </w:tc>
        <w:tc>
          <w:tcPr>
            <w:tcW w:w="1002" w:type="dxa"/>
            <w:vAlign w:val="center"/>
          </w:tcPr>
          <w:p w14:paraId="244B0A88" w14:textId="77777777" w:rsidR="00BB44E5" w:rsidRDefault="00334705">
            <w:pPr>
              <w:ind w:left="0" w:hanging="2"/>
              <w:jc w:val="center"/>
            </w:pPr>
            <w:r>
              <w:t>0</w:t>
            </w:r>
          </w:p>
        </w:tc>
      </w:tr>
      <w:tr w:rsidR="00BB44E5" w14:paraId="0810A8E1" w14:textId="77777777">
        <w:tc>
          <w:tcPr>
            <w:tcW w:w="1985" w:type="dxa"/>
          </w:tcPr>
          <w:p w14:paraId="3B88E17D" w14:textId="77777777" w:rsidR="00BB44E5" w:rsidRDefault="00334705">
            <w:pPr>
              <w:ind w:left="0" w:hanging="2"/>
            </w:pPr>
            <w:r>
              <w:t>5.1. valsts pamatbudžets</w:t>
            </w:r>
          </w:p>
        </w:tc>
        <w:tc>
          <w:tcPr>
            <w:tcW w:w="1134" w:type="dxa"/>
            <w:vMerge/>
            <w:vAlign w:val="center"/>
          </w:tcPr>
          <w:p w14:paraId="0D3F4A03" w14:textId="77777777" w:rsidR="00BB44E5" w:rsidRDefault="00BB44E5">
            <w:pPr>
              <w:widowControl w:val="0"/>
              <w:pBdr>
                <w:top w:val="nil"/>
                <w:left w:val="nil"/>
                <w:bottom w:val="nil"/>
                <w:right w:val="nil"/>
                <w:between w:val="nil"/>
              </w:pBdr>
              <w:spacing w:line="276" w:lineRule="auto"/>
              <w:ind w:left="0" w:hanging="2"/>
            </w:pPr>
          </w:p>
        </w:tc>
        <w:tc>
          <w:tcPr>
            <w:tcW w:w="1134" w:type="dxa"/>
            <w:vAlign w:val="center"/>
          </w:tcPr>
          <w:p w14:paraId="50070126" w14:textId="77777777" w:rsidR="00BB44E5" w:rsidRDefault="00334705">
            <w:pPr>
              <w:ind w:left="0" w:hanging="2"/>
              <w:jc w:val="center"/>
            </w:pPr>
            <w:r>
              <w:t>0</w:t>
            </w:r>
          </w:p>
        </w:tc>
        <w:tc>
          <w:tcPr>
            <w:tcW w:w="992" w:type="dxa"/>
            <w:vMerge/>
            <w:vAlign w:val="center"/>
          </w:tcPr>
          <w:p w14:paraId="37C3E127" w14:textId="77777777" w:rsidR="00BB44E5" w:rsidRDefault="00BB44E5">
            <w:pPr>
              <w:widowControl w:val="0"/>
              <w:pBdr>
                <w:top w:val="nil"/>
                <w:left w:val="nil"/>
                <w:bottom w:val="nil"/>
                <w:right w:val="nil"/>
                <w:between w:val="nil"/>
              </w:pBdr>
              <w:spacing w:line="276" w:lineRule="auto"/>
              <w:ind w:left="0" w:hanging="2"/>
            </w:pPr>
          </w:p>
        </w:tc>
        <w:tc>
          <w:tcPr>
            <w:tcW w:w="993" w:type="dxa"/>
            <w:vAlign w:val="center"/>
          </w:tcPr>
          <w:p w14:paraId="70A1608B" w14:textId="77777777" w:rsidR="00BB44E5" w:rsidRDefault="00334705">
            <w:pPr>
              <w:ind w:left="0" w:hanging="2"/>
              <w:jc w:val="center"/>
            </w:pPr>
            <w:r>
              <w:t>0</w:t>
            </w:r>
          </w:p>
        </w:tc>
        <w:tc>
          <w:tcPr>
            <w:tcW w:w="850" w:type="dxa"/>
            <w:vMerge/>
            <w:vAlign w:val="center"/>
          </w:tcPr>
          <w:p w14:paraId="7A01AA5B" w14:textId="77777777" w:rsidR="00BB44E5" w:rsidRDefault="00BB44E5">
            <w:pPr>
              <w:widowControl w:val="0"/>
              <w:pBdr>
                <w:top w:val="nil"/>
                <w:left w:val="nil"/>
                <w:bottom w:val="nil"/>
                <w:right w:val="nil"/>
                <w:between w:val="nil"/>
              </w:pBdr>
              <w:spacing w:line="276" w:lineRule="auto"/>
              <w:ind w:left="0" w:hanging="2"/>
            </w:pPr>
          </w:p>
        </w:tc>
        <w:tc>
          <w:tcPr>
            <w:tcW w:w="1154" w:type="dxa"/>
            <w:vAlign w:val="center"/>
          </w:tcPr>
          <w:p w14:paraId="2CF15A9F" w14:textId="77777777" w:rsidR="00BB44E5" w:rsidRDefault="00334705">
            <w:pPr>
              <w:ind w:left="0" w:hanging="2"/>
              <w:jc w:val="center"/>
            </w:pPr>
            <w:r>
              <w:t>0</w:t>
            </w:r>
          </w:p>
        </w:tc>
        <w:tc>
          <w:tcPr>
            <w:tcW w:w="1002" w:type="dxa"/>
            <w:vAlign w:val="center"/>
          </w:tcPr>
          <w:p w14:paraId="422E5F73" w14:textId="77777777" w:rsidR="00BB44E5" w:rsidRDefault="00334705">
            <w:pPr>
              <w:ind w:left="0" w:hanging="2"/>
              <w:jc w:val="center"/>
            </w:pPr>
            <w:r>
              <w:t>0</w:t>
            </w:r>
          </w:p>
        </w:tc>
      </w:tr>
      <w:tr w:rsidR="00BB44E5" w14:paraId="6AB410A2" w14:textId="77777777">
        <w:tc>
          <w:tcPr>
            <w:tcW w:w="1985" w:type="dxa"/>
          </w:tcPr>
          <w:p w14:paraId="022B7B03" w14:textId="77777777" w:rsidR="00BB44E5" w:rsidRDefault="00334705">
            <w:pPr>
              <w:ind w:left="0" w:hanging="2"/>
            </w:pPr>
            <w:r>
              <w:t>5.2. speciālais budžets</w:t>
            </w:r>
          </w:p>
        </w:tc>
        <w:tc>
          <w:tcPr>
            <w:tcW w:w="1134" w:type="dxa"/>
            <w:vMerge/>
            <w:vAlign w:val="center"/>
          </w:tcPr>
          <w:p w14:paraId="591AC934" w14:textId="77777777" w:rsidR="00BB44E5" w:rsidRDefault="00BB44E5">
            <w:pPr>
              <w:widowControl w:val="0"/>
              <w:pBdr>
                <w:top w:val="nil"/>
                <w:left w:val="nil"/>
                <w:bottom w:val="nil"/>
                <w:right w:val="nil"/>
                <w:between w:val="nil"/>
              </w:pBdr>
              <w:spacing w:line="276" w:lineRule="auto"/>
              <w:ind w:left="0" w:hanging="2"/>
            </w:pPr>
          </w:p>
        </w:tc>
        <w:tc>
          <w:tcPr>
            <w:tcW w:w="1134" w:type="dxa"/>
            <w:vAlign w:val="center"/>
          </w:tcPr>
          <w:p w14:paraId="73A5A2B0" w14:textId="77777777" w:rsidR="00BB44E5" w:rsidRDefault="00334705">
            <w:pPr>
              <w:ind w:left="0" w:hanging="2"/>
              <w:jc w:val="center"/>
            </w:pPr>
            <w:r>
              <w:t>0</w:t>
            </w:r>
          </w:p>
        </w:tc>
        <w:tc>
          <w:tcPr>
            <w:tcW w:w="992" w:type="dxa"/>
            <w:vMerge/>
            <w:vAlign w:val="center"/>
          </w:tcPr>
          <w:p w14:paraId="345F1FC4" w14:textId="77777777" w:rsidR="00BB44E5" w:rsidRDefault="00BB44E5">
            <w:pPr>
              <w:widowControl w:val="0"/>
              <w:pBdr>
                <w:top w:val="nil"/>
                <w:left w:val="nil"/>
                <w:bottom w:val="nil"/>
                <w:right w:val="nil"/>
                <w:between w:val="nil"/>
              </w:pBdr>
              <w:spacing w:line="276" w:lineRule="auto"/>
              <w:ind w:left="0" w:hanging="2"/>
            </w:pPr>
          </w:p>
        </w:tc>
        <w:tc>
          <w:tcPr>
            <w:tcW w:w="993" w:type="dxa"/>
            <w:vAlign w:val="center"/>
          </w:tcPr>
          <w:p w14:paraId="40527659" w14:textId="77777777" w:rsidR="00BB44E5" w:rsidRDefault="00334705">
            <w:pPr>
              <w:ind w:left="0" w:hanging="2"/>
              <w:jc w:val="center"/>
            </w:pPr>
            <w:r>
              <w:t>0</w:t>
            </w:r>
          </w:p>
        </w:tc>
        <w:tc>
          <w:tcPr>
            <w:tcW w:w="850" w:type="dxa"/>
            <w:vMerge/>
            <w:vAlign w:val="center"/>
          </w:tcPr>
          <w:p w14:paraId="36930D7F" w14:textId="77777777" w:rsidR="00BB44E5" w:rsidRDefault="00BB44E5">
            <w:pPr>
              <w:widowControl w:val="0"/>
              <w:pBdr>
                <w:top w:val="nil"/>
                <w:left w:val="nil"/>
                <w:bottom w:val="nil"/>
                <w:right w:val="nil"/>
                <w:between w:val="nil"/>
              </w:pBdr>
              <w:spacing w:line="276" w:lineRule="auto"/>
              <w:ind w:left="0" w:hanging="2"/>
            </w:pPr>
          </w:p>
        </w:tc>
        <w:tc>
          <w:tcPr>
            <w:tcW w:w="1154" w:type="dxa"/>
            <w:vAlign w:val="center"/>
          </w:tcPr>
          <w:p w14:paraId="4279A0D2" w14:textId="77777777" w:rsidR="00BB44E5" w:rsidRDefault="00334705">
            <w:pPr>
              <w:ind w:left="0" w:hanging="2"/>
              <w:jc w:val="center"/>
            </w:pPr>
            <w:r>
              <w:t>0</w:t>
            </w:r>
          </w:p>
        </w:tc>
        <w:tc>
          <w:tcPr>
            <w:tcW w:w="1002" w:type="dxa"/>
            <w:vAlign w:val="center"/>
          </w:tcPr>
          <w:p w14:paraId="4F1B7067" w14:textId="77777777" w:rsidR="00BB44E5" w:rsidRDefault="00334705">
            <w:pPr>
              <w:ind w:left="0" w:hanging="2"/>
              <w:jc w:val="center"/>
            </w:pPr>
            <w:r>
              <w:t>0</w:t>
            </w:r>
          </w:p>
        </w:tc>
      </w:tr>
      <w:tr w:rsidR="00BB44E5" w14:paraId="31356E3B" w14:textId="77777777">
        <w:tc>
          <w:tcPr>
            <w:tcW w:w="1985" w:type="dxa"/>
          </w:tcPr>
          <w:p w14:paraId="18EF024D" w14:textId="77777777" w:rsidR="00BB44E5" w:rsidRDefault="00334705">
            <w:pPr>
              <w:ind w:left="0" w:hanging="2"/>
            </w:pPr>
            <w:r>
              <w:t>5.3. pašvaldību budžets</w:t>
            </w:r>
          </w:p>
        </w:tc>
        <w:tc>
          <w:tcPr>
            <w:tcW w:w="1134" w:type="dxa"/>
            <w:vMerge/>
            <w:vAlign w:val="center"/>
          </w:tcPr>
          <w:p w14:paraId="24380995" w14:textId="77777777" w:rsidR="00BB44E5" w:rsidRDefault="00BB44E5">
            <w:pPr>
              <w:widowControl w:val="0"/>
              <w:pBdr>
                <w:top w:val="nil"/>
                <w:left w:val="nil"/>
                <w:bottom w:val="nil"/>
                <w:right w:val="nil"/>
                <w:between w:val="nil"/>
              </w:pBdr>
              <w:spacing w:line="276" w:lineRule="auto"/>
              <w:ind w:left="0" w:hanging="2"/>
            </w:pPr>
          </w:p>
        </w:tc>
        <w:tc>
          <w:tcPr>
            <w:tcW w:w="1134" w:type="dxa"/>
            <w:vAlign w:val="center"/>
          </w:tcPr>
          <w:p w14:paraId="14D46928" w14:textId="77777777" w:rsidR="00BB44E5" w:rsidRDefault="00334705">
            <w:pPr>
              <w:ind w:left="0" w:hanging="2"/>
              <w:jc w:val="center"/>
            </w:pPr>
            <w:r>
              <w:t>0</w:t>
            </w:r>
          </w:p>
        </w:tc>
        <w:tc>
          <w:tcPr>
            <w:tcW w:w="992" w:type="dxa"/>
            <w:vMerge/>
            <w:vAlign w:val="center"/>
          </w:tcPr>
          <w:p w14:paraId="33D2D6B5" w14:textId="77777777" w:rsidR="00BB44E5" w:rsidRDefault="00BB44E5">
            <w:pPr>
              <w:widowControl w:val="0"/>
              <w:pBdr>
                <w:top w:val="nil"/>
                <w:left w:val="nil"/>
                <w:bottom w:val="nil"/>
                <w:right w:val="nil"/>
                <w:between w:val="nil"/>
              </w:pBdr>
              <w:spacing w:line="276" w:lineRule="auto"/>
              <w:ind w:left="0" w:hanging="2"/>
            </w:pPr>
          </w:p>
        </w:tc>
        <w:tc>
          <w:tcPr>
            <w:tcW w:w="993" w:type="dxa"/>
            <w:vAlign w:val="center"/>
          </w:tcPr>
          <w:p w14:paraId="3A83B9EB" w14:textId="77777777" w:rsidR="00BB44E5" w:rsidRDefault="00334705">
            <w:pPr>
              <w:ind w:left="0" w:hanging="2"/>
              <w:jc w:val="center"/>
            </w:pPr>
            <w:r>
              <w:t>0</w:t>
            </w:r>
          </w:p>
        </w:tc>
        <w:tc>
          <w:tcPr>
            <w:tcW w:w="850" w:type="dxa"/>
            <w:vMerge/>
            <w:vAlign w:val="center"/>
          </w:tcPr>
          <w:p w14:paraId="6A802FE1" w14:textId="77777777" w:rsidR="00BB44E5" w:rsidRDefault="00BB44E5">
            <w:pPr>
              <w:widowControl w:val="0"/>
              <w:pBdr>
                <w:top w:val="nil"/>
                <w:left w:val="nil"/>
                <w:bottom w:val="nil"/>
                <w:right w:val="nil"/>
                <w:between w:val="nil"/>
              </w:pBdr>
              <w:spacing w:line="276" w:lineRule="auto"/>
              <w:ind w:left="0" w:hanging="2"/>
            </w:pPr>
          </w:p>
        </w:tc>
        <w:tc>
          <w:tcPr>
            <w:tcW w:w="1154" w:type="dxa"/>
            <w:vAlign w:val="center"/>
          </w:tcPr>
          <w:p w14:paraId="52B9BDD4" w14:textId="77777777" w:rsidR="00BB44E5" w:rsidRDefault="00334705">
            <w:pPr>
              <w:ind w:left="0" w:hanging="2"/>
              <w:jc w:val="center"/>
            </w:pPr>
            <w:r>
              <w:t>0</w:t>
            </w:r>
          </w:p>
        </w:tc>
        <w:tc>
          <w:tcPr>
            <w:tcW w:w="1002" w:type="dxa"/>
            <w:vAlign w:val="center"/>
          </w:tcPr>
          <w:p w14:paraId="3AB447DB" w14:textId="77777777" w:rsidR="00BB44E5" w:rsidRDefault="00334705">
            <w:pPr>
              <w:ind w:left="0" w:hanging="2"/>
              <w:jc w:val="center"/>
            </w:pPr>
            <w:r>
              <w:t>0</w:t>
            </w:r>
          </w:p>
        </w:tc>
      </w:tr>
      <w:tr w:rsidR="00BB44E5" w14:paraId="074C157F" w14:textId="77777777">
        <w:tc>
          <w:tcPr>
            <w:tcW w:w="1985" w:type="dxa"/>
          </w:tcPr>
          <w:p w14:paraId="69D2A6D2" w14:textId="77777777" w:rsidR="00BB44E5" w:rsidRDefault="00334705">
            <w:pPr>
              <w:ind w:left="0" w:hanging="2"/>
            </w:pPr>
            <w:r>
              <w:t>6. Detalizēts ieņēmumu un izdevumu aprēķins (ja nepieciešams, detalizētu ieņēmumu un izdevumu aprēķinu var pievienot anotācijas pielikumā)</w:t>
            </w:r>
          </w:p>
        </w:tc>
        <w:tc>
          <w:tcPr>
            <w:tcW w:w="7259" w:type="dxa"/>
            <w:gridSpan w:val="7"/>
            <w:vMerge w:val="restart"/>
            <w:vAlign w:val="center"/>
          </w:tcPr>
          <w:p w14:paraId="5156BAE0" w14:textId="77777777" w:rsidR="00BB44E5" w:rsidRDefault="00334705">
            <w:pPr>
              <w:ind w:left="0" w:hanging="2"/>
              <w:jc w:val="both"/>
            </w:pPr>
            <w:r>
              <w:rPr>
                <w:color w:val="000000"/>
              </w:rPr>
              <w:t xml:space="preserve">Saskaņā ar Zemkopības ministrijas budžeta programmas 24.00.00 „Meža resursu ilgtspējības saglabāšana” apakšprogrammu 24.02.00 „Valsts atbalsta pasākumi meža nozarē” Meža attīstības fondam tiek piešķirti finanšu līdzekļi 237 927 </w:t>
            </w:r>
            <w:proofErr w:type="spellStart"/>
            <w:r>
              <w:rPr>
                <w:i/>
                <w:color w:val="000000"/>
              </w:rPr>
              <w:t>euro</w:t>
            </w:r>
            <w:proofErr w:type="spellEnd"/>
            <w:r>
              <w:rPr>
                <w:color w:val="000000"/>
              </w:rPr>
              <w:t xml:space="preserve"> apmērā.</w:t>
            </w:r>
          </w:p>
        </w:tc>
      </w:tr>
      <w:tr w:rsidR="00BB44E5" w14:paraId="4D66A75F" w14:textId="77777777">
        <w:tc>
          <w:tcPr>
            <w:tcW w:w="1985" w:type="dxa"/>
          </w:tcPr>
          <w:p w14:paraId="0CE14EC1" w14:textId="77777777" w:rsidR="00BB44E5" w:rsidRDefault="00334705">
            <w:pPr>
              <w:ind w:left="0" w:hanging="2"/>
            </w:pPr>
            <w:r>
              <w:t>6.1. detalizēts ieņēmumu aprēķins</w:t>
            </w:r>
          </w:p>
        </w:tc>
        <w:tc>
          <w:tcPr>
            <w:tcW w:w="7259" w:type="dxa"/>
            <w:gridSpan w:val="7"/>
            <w:vMerge/>
            <w:vAlign w:val="center"/>
          </w:tcPr>
          <w:p w14:paraId="3A96FCA2" w14:textId="77777777" w:rsidR="00BB44E5" w:rsidRDefault="00BB44E5">
            <w:pPr>
              <w:widowControl w:val="0"/>
              <w:pBdr>
                <w:top w:val="nil"/>
                <w:left w:val="nil"/>
                <w:bottom w:val="nil"/>
                <w:right w:val="nil"/>
                <w:between w:val="nil"/>
              </w:pBdr>
              <w:spacing w:line="276" w:lineRule="auto"/>
              <w:ind w:left="0" w:hanging="2"/>
            </w:pPr>
          </w:p>
        </w:tc>
      </w:tr>
      <w:tr w:rsidR="00BB44E5" w14:paraId="47D1A4CF" w14:textId="77777777">
        <w:tc>
          <w:tcPr>
            <w:tcW w:w="1985" w:type="dxa"/>
          </w:tcPr>
          <w:p w14:paraId="762FBD27" w14:textId="77777777" w:rsidR="00BB44E5" w:rsidRDefault="00334705">
            <w:pPr>
              <w:ind w:left="0" w:hanging="2"/>
            </w:pPr>
            <w:r>
              <w:t>6.2. detalizēts izdevumu aprēķins</w:t>
            </w:r>
          </w:p>
        </w:tc>
        <w:tc>
          <w:tcPr>
            <w:tcW w:w="7259" w:type="dxa"/>
            <w:gridSpan w:val="7"/>
            <w:vMerge/>
            <w:vAlign w:val="center"/>
          </w:tcPr>
          <w:p w14:paraId="2078729D" w14:textId="77777777" w:rsidR="00BB44E5" w:rsidRDefault="00BB44E5">
            <w:pPr>
              <w:widowControl w:val="0"/>
              <w:pBdr>
                <w:top w:val="nil"/>
                <w:left w:val="nil"/>
                <w:bottom w:val="nil"/>
                <w:right w:val="nil"/>
                <w:between w:val="nil"/>
              </w:pBdr>
              <w:spacing w:line="276" w:lineRule="auto"/>
              <w:ind w:left="0" w:hanging="2"/>
            </w:pPr>
          </w:p>
        </w:tc>
      </w:tr>
      <w:tr w:rsidR="00BB44E5" w14:paraId="4EF60AF8" w14:textId="77777777">
        <w:tc>
          <w:tcPr>
            <w:tcW w:w="1985" w:type="dxa"/>
          </w:tcPr>
          <w:p w14:paraId="50AC86BE" w14:textId="77777777" w:rsidR="00BB44E5" w:rsidRDefault="00334705">
            <w:pPr>
              <w:ind w:left="0" w:hanging="2"/>
            </w:pPr>
            <w:r>
              <w:t>7. Amata vietu skaita izmaiņas</w:t>
            </w:r>
          </w:p>
        </w:tc>
        <w:tc>
          <w:tcPr>
            <w:tcW w:w="7259" w:type="dxa"/>
            <w:gridSpan w:val="7"/>
          </w:tcPr>
          <w:p w14:paraId="05BA164C" w14:textId="77777777" w:rsidR="00BB44E5" w:rsidRDefault="00334705">
            <w:pPr>
              <w:ind w:left="0" w:hanging="2"/>
            </w:pPr>
            <w:r>
              <w:rPr>
                <w:color w:val="000000"/>
              </w:rPr>
              <w:t>Nav.</w:t>
            </w:r>
          </w:p>
        </w:tc>
      </w:tr>
      <w:tr w:rsidR="00BB44E5" w14:paraId="4D5889A8" w14:textId="77777777">
        <w:tc>
          <w:tcPr>
            <w:tcW w:w="1985" w:type="dxa"/>
          </w:tcPr>
          <w:p w14:paraId="500FB01F" w14:textId="77777777" w:rsidR="00BB44E5" w:rsidRDefault="00334705">
            <w:pPr>
              <w:ind w:left="0" w:hanging="2"/>
            </w:pPr>
            <w:r>
              <w:t>8. Cita informācija</w:t>
            </w:r>
          </w:p>
        </w:tc>
        <w:tc>
          <w:tcPr>
            <w:tcW w:w="7259" w:type="dxa"/>
            <w:gridSpan w:val="7"/>
          </w:tcPr>
          <w:p w14:paraId="04E481E9" w14:textId="77777777" w:rsidR="00BB44E5" w:rsidRDefault="00334705">
            <w:pPr>
              <w:ind w:left="0" w:hanging="2"/>
            </w:pPr>
            <w:r>
              <w:rPr>
                <w:color w:val="000000"/>
              </w:rPr>
              <w:t>Nav.</w:t>
            </w:r>
          </w:p>
        </w:tc>
      </w:tr>
    </w:tbl>
    <w:p w14:paraId="58A5CCD8" w14:textId="77777777" w:rsidR="00BB44E5" w:rsidRDefault="00BB44E5">
      <w:pPr>
        <w:tabs>
          <w:tab w:val="left" w:pos="3675"/>
        </w:tabs>
        <w:ind w:left="0" w:hanging="2"/>
      </w:pPr>
    </w:p>
    <w:tbl>
      <w:tblPr>
        <w:tblStyle w:val="a4"/>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BB44E5" w14:paraId="6779A28A" w14:textId="77777777">
        <w:trPr>
          <w:trHeight w:val="570"/>
        </w:trPr>
        <w:tc>
          <w:tcPr>
            <w:tcW w:w="9214" w:type="dxa"/>
          </w:tcPr>
          <w:p w14:paraId="6BB05A00" w14:textId="77777777" w:rsidR="00BB44E5" w:rsidRDefault="00334705">
            <w:pPr>
              <w:pBdr>
                <w:top w:val="nil"/>
                <w:left w:val="nil"/>
                <w:bottom w:val="nil"/>
                <w:right w:val="nil"/>
                <w:between w:val="nil"/>
              </w:pBdr>
              <w:spacing w:line="240" w:lineRule="auto"/>
              <w:ind w:left="0" w:hanging="2"/>
              <w:jc w:val="center"/>
              <w:rPr>
                <w:color w:val="000000"/>
              </w:rPr>
            </w:pPr>
            <w:r>
              <w:rPr>
                <w:b/>
                <w:color w:val="000000"/>
              </w:rPr>
              <w:t>IV. Tiesību akta projekta ietekme uz spēkā esošo tiesību normu sistēmu</w:t>
            </w:r>
          </w:p>
        </w:tc>
      </w:tr>
      <w:tr w:rsidR="00BB44E5" w14:paraId="5E47284B" w14:textId="77777777">
        <w:trPr>
          <w:trHeight w:val="570"/>
        </w:trPr>
        <w:tc>
          <w:tcPr>
            <w:tcW w:w="9214" w:type="dxa"/>
          </w:tcPr>
          <w:p w14:paraId="405D81BE" w14:textId="77777777" w:rsidR="00BB44E5" w:rsidRDefault="00334705">
            <w:pPr>
              <w:pBdr>
                <w:top w:val="nil"/>
                <w:left w:val="nil"/>
                <w:bottom w:val="nil"/>
                <w:right w:val="nil"/>
                <w:between w:val="nil"/>
              </w:pBdr>
              <w:spacing w:line="240" w:lineRule="auto"/>
              <w:ind w:left="0" w:hanging="2"/>
              <w:rPr>
                <w:color w:val="000000"/>
              </w:rPr>
            </w:pPr>
            <w:r>
              <w:rPr>
                <w:color w:val="000000"/>
              </w:rPr>
              <w:t>Projekts šo jomu neskar.</w:t>
            </w:r>
          </w:p>
        </w:tc>
      </w:tr>
    </w:tbl>
    <w:p w14:paraId="6AE1B004" w14:textId="77777777" w:rsidR="00BB44E5" w:rsidRDefault="00BB44E5">
      <w:pPr>
        <w:ind w:left="0" w:hanging="2"/>
      </w:pPr>
    </w:p>
    <w:tbl>
      <w:tblPr>
        <w:tblStyle w:val="a5"/>
        <w:tblW w:w="921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9"/>
        <w:gridCol w:w="6654"/>
      </w:tblGrid>
      <w:tr w:rsidR="00BB44E5" w14:paraId="4D012E70" w14:textId="77777777">
        <w:tc>
          <w:tcPr>
            <w:tcW w:w="9213" w:type="dxa"/>
            <w:gridSpan w:val="2"/>
            <w:vAlign w:val="center"/>
          </w:tcPr>
          <w:p w14:paraId="6F2A836F" w14:textId="77777777" w:rsidR="00BB44E5" w:rsidRDefault="00334705">
            <w:pPr>
              <w:ind w:left="0" w:hanging="2"/>
              <w:jc w:val="center"/>
            </w:pPr>
            <w:r>
              <w:rPr>
                <w:b/>
              </w:rPr>
              <w:t>V. Tiesību akta projekta atbilstība Latvijas Republikas starptautiskajām saistībām</w:t>
            </w:r>
          </w:p>
        </w:tc>
      </w:tr>
      <w:tr w:rsidR="00BB44E5" w14:paraId="1091DF1F" w14:textId="77777777">
        <w:tc>
          <w:tcPr>
            <w:tcW w:w="2559" w:type="dxa"/>
          </w:tcPr>
          <w:p w14:paraId="415F54EE" w14:textId="77777777" w:rsidR="00BB44E5" w:rsidRDefault="00334705">
            <w:pPr>
              <w:ind w:left="0" w:hanging="2"/>
            </w:pPr>
            <w:r>
              <w:t>Saistības pret Eiropas Savienību</w:t>
            </w:r>
          </w:p>
        </w:tc>
        <w:tc>
          <w:tcPr>
            <w:tcW w:w="6654" w:type="dxa"/>
          </w:tcPr>
          <w:p w14:paraId="014A0AED" w14:textId="77777777" w:rsidR="00BB44E5" w:rsidRDefault="00334705">
            <w:pPr>
              <w:tabs>
                <w:tab w:val="left" w:pos="4485"/>
              </w:tabs>
              <w:ind w:left="0" w:hanging="2"/>
              <w:jc w:val="both"/>
              <w:rPr>
                <w:color w:val="000000"/>
              </w:rPr>
            </w:pPr>
            <w:r>
              <w:rPr>
                <w:color w:val="000000"/>
              </w:rPr>
              <w:t>Nodrošināta Eiropas Parlamenta un Padomes 2018. gada 30. maija Regulas (ES) 2018/841 par zemes izmantošanā, zemes izmantošanas maiņā un mežsaimniecībā radušos siltumnīcefekta gāzu emisiju un piesaistes iekļaušanu klimata un enerģētikas politikas satvarā laikposmam līdz 2030. gadam un ar ko groza Regulu (ES) Nr. 525/2013 un Lēmumu Nr. 529/2013/ES 8.panta 3.punktā dalībvalstij noteikto pienākumu izpilde.</w:t>
            </w:r>
          </w:p>
        </w:tc>
      </w:tr>
      <w:tr w:rsidR="00BB44E5" w14:paraId="48F2BEA9" w14:textId="77777777">
        <w:tc>
          <w:tcPr>
            <w:tcW w:w="2559" w:type="dxa"/>
          </w:tcPr>
          <w:p w14:paraId="47296481" w14:textId="77777777" w:rsidR="00BB44E5" w:rsidRDefault="00334705">
            <w:pPr>
              <w:ind w:left="0" w:hanging="2"/>
            </w:pPr>
            <w:r>
              <w:t>Citas starptautiskās saistības</w:t>
            </w:r>
          </w:p>
        </w:tc>
        <w:tc>
          <w:tcPr>
            <w:tcW w:w="6654" w:type="dxa"/>
          </w:tcPr>
          <w:p w14:paraId="1A018FB4" w14:textId="55593B30" w:rsidR="00BB44E5" w:rsidRPr="006C1DDE" w:rsidRDefault="00334705">
            <w:pPr>
              <w:ind w:left="0" w:hanging="2"/>
              <w:jc w:val="both"/>
            </w:pPr>
            <w:r w:rsidRPr="006C1DDE">
              <w:t>Komisijas 2014. gada 25. jūnija Regula (EK) Nr. 702/2014, ar kuru konkrētas atbalsta kategorijas lauksaimniecības un mežsaimniecības nozarē un lauku apvidos atzīst par saderīgām ar iekšējo tirgu, piemērojot Līguma par Eiropas Savienības darbību 107. un 108. pantu</w:t>
            </w:r>
          </w:p>
        </w:tc>
      </w:tr>
      <w:tr w:rsidR="00BB44E5" w14:paraId="56726813" w14:textId="77777777">
        <w:tc>
          <w:tcPr>
            <w:tcW w:w="2559" w:type="dxa"/>
          </w:tcPr>
          <w:p w14:paraId="2389442B" w14:textId="77777777" w:rsidR="00BB44E5" w:rsidRDefault="00334705">
            <w:pPr>
              <w:ind w:left="0" w:hanging="2"/>
            </w:pPr>
            <w:r>
              <w:t>Cita informācija</w:t>
            </w:r>
          </w:p>
        </w:tc>
        <w:tc>
          <w:tcPr>
            <w:tcW w:w="6654" w:type="dxa"/>
          </w:tcPr>
          <w:p w14:paraId="6408F93D" w14:textId="77777777" w:rsidR="00BB44E5" w:rsidRDefault="00334705">
            <w:pPr>
              <w:ind w:left="0" w:hanging="2"/>
              <w:jc w:val="both"/>
              <w:rPr>
                <w:color w:val="000000"/>
              </w:rPr>
            </w:pPr>
            <w:r>
              <w:rPr>
                <w:color w:val="000000"/>
              </w:rPr>
              <w:t xml:space="preserve">Valsts atbalsts tiek sniegts ar saimniecisko darbību nesaistītiem pētniecības un attīstības projektiem saskaņā ar Kopienas nostādņu par </w:t>
            </w:r>
            <w:r>
              <w:rPr>
                <w:color w:val="000000"/>
              </w:rPr>
              <w:lastRenderedPageBreak/>
              <w:t>valsts atbalstu pētniecībai, attīstībai un inovācijai (Eiropas Savienības Oficiālais Vēstnesis, 2006.gada 30.decembris, C 323) 3.1.1. apakšpunkta nosacījumiem:</w:t>
            </w:r>
          </w:p>
          <w:p w14:paraId="474E8E46" w14:textId="77777777" w:rsidR="00BB44E5" w:rsidRDefault="00334705">
            <w:pPr>
              <w:ind w:left="0" w:hanging="2"/>
              <w:jc w:val="both"/>
              <w:rPr>
                <w:color w:val="000000"/>
              </w:rPr>
            </w:pPr>
            <w:r>
              <w:rPr>
                <w:color w:val="000000"/>
              </w:rPr>
              <w:t>a) attiecībā uz nesaimnieciska rakstura darbībām;</w:t>
            </w:r>
          </w:p>
          <w:p w14:paraId="2BB4E999" w14:textId="77777777" w:rsidR="00BB44E5" w:rsidRDefault="00334705">
            <w:pPr>
              <w:ind w:left="0" w:hanging="2"/>
              <w:jc w:val="both"/>
            </w:pPr>
            <w:r>
              <w:rPr>
                <w:color w:val="000000"/>
              </w:rPr>
              <w:t>b) par zinātnisko institūciju darbību un ar tām saistīto finanšu plūsmas nodalīšanu, ja zinātniskās institūcijas nodarbojas gan ar saimnieciska, gan nesaimnieciska rakstura pētniecību.</w:t>
            </w:r>
          </w:p>
        </w:tc>
      </w:tr>
    </w:tbl>
    <w:p w14:paraId="7E0F8467" w14:textId="444E0864" w:rsidR="00BB44E5" w:rsidRDefault="00BB44E5">
      <w:pPr>
        <w:ind w:left="0" w:hanging="2"/>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264"/>
      </w:tblGrid>
      <w:tr w:rsidR="00FE7A7B" w:rsidRPr="008D7691" w14:paraId="6D501D31" w14:textId="77777777" w:rsidTr="00110A1C">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F6BA26" w14:textId="77777777" w:rsidR="00FE7A7B" w:rsidRPr="008F470B" w:rsidRDefault="00FE7A7B" w:rsidP="00110A1C">
            <w:pPr>
              <w:spacing w:before="100" w:beforeAutospacing="1" w:after="100" w:afterAutospacing="1" w:line="315" w:lineRule="atLeast"/>
              <w:ind w:left="0" w:hanging="2"/>
              <w:jc w:val="center"/>
              <w:rPr>
                <w:b/>
                <w:bCs/>
              </w:rPr>
            </w:pPr>
            <w:r w:rsidRPr="008F470B">
              <w:rPr>
                <w:b/>
                <w:bCs/>
              </w:rPr>
              <w:t>1. tabula</w:t>
            </w:r>
            <w:r w:rsidRPr="008F470B">
              <w:rPr>
                <w:b/>
                <w:bCs/>
              </w:rPr>
              <w:br/>
              <w:t>Tiesību akta projekta atbilstība ES tiesību aktiem</w:t>
            </w:r>
          </w:p>
        </w:tc>
      </w:tr>
      <w:tr w:rsidR="00FE7A7B" w:rsidRPr="008D7691" w14:paraId="271BD69C" w14:textId="77777777" w:rsidTr="00110A1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7CD564" w14:textId="244C0C8E" w:rsidR="00FE7A7B" w:rsidRPr="00C20565" w:rsidRDefault="00EA1F4B" w:rsidP="00110A1C">
            <w:pPr>
              <w:spacing w:line="240" w:lineRule="auto"/>
              <w:ind w:left="0" w:hanging="2"/>
            </w:pPr>
            <w:r w:rsidRPr="00C20565">
              <w:t xml:space="preserve">Eiropas Komisijas 2014. gada 25. jūnija Regula (EK) Nr. 702/2014, ar kuru konkrētas atbalsta kategorijas lauksaimniecības un mežsaimniecības nozarē un lauku apvidos atzīst par saderīgām ar iekšējo tirgu, piemērojot Līguma par Eiropas Savienības darbību 107. un 108. pantu, (Eiropas Savienības Oficiālais Vēstnesis, 2014.gada 1.jūlijs, </w:t>
            </w:r>
            <w:proofErr w:type="spellStart"/>
            <w:r w:rsidRPr="00C20565">
              <w:t>Nr.L</w:t>
            </w:r>
            <w:proofErr w:type="spellEnd"/>
            <w:r w:rsidRPr="00C20565">
              <w:t xml:space="preserve"> 193)</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1132915" w14:textId="53DDD3A9" w:rsidR="00FE7A7B" w:rsidRPr="006C1DDE" w:rsidRDefault="00FE7A7B" w:rsidP="00110A1C">
            <w:pPr>
              <w:spacing w:line="240" w:lineRule="auto"/>
              <w:ind w:left="0" w:hanging="2"/>
              <w:jc w:val="both"/>
            </w:pPr>
            <w:r w:rsidRPr="006C1DDE">
              <w:t xml:space="preserve">Projekts skar </w:t>
            </w:r>
            <w:r w:rsidR="001C5068" w:rsidRPr="006C1DDE">
              <w:t>Eiropas Komisijas 2014. gada 25. jūnija Regulā (EK) Nr. 702/2014, ar kuru konkrētas atbalsta kategorijas lauksaimniecības un mežsaimniecības nozarē un lauku apvidos atzīst par saderīgām ar iekšējo tirgu, piemērojot Līguma par Eiropas Savienības darbību 107. un 108. pantu</w:t>
            </w:r>
            <w:r w:rsidRPr="006C1DDE">
              <w:t>, ietverto prasību izpildi</w:t>
            </w:r>
            <w:r w:rsidR="001C5068" w:rsidRPr="006C1DDE">
              <w:t xml:space="preserve"> attiecībā uz valsts atbalstu</w:t>
            </w:r>
            <w:r w:rsidRPr="006C1DDE">
              <w:t>.</w:t>
            </w:r>
          </w:p>
        </w:tc>
      </w:tr>
      <w:tr w:rsidR="00FE7A7B" w:rsidRPr="008D7691" w14:paraId="7DA03E8E" w14:textId="77777777" w:rsidTr="00110A1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4D930" w14:textId="77777777" w:rsidR="00FE7A7B" w:rsidRPr="008F470B" w:rsidRDefault="00FE7A7B" w:rsidP="00110A1C">
            <w:pPr>
              <w:spacing w:before="100" w:beforeAutospacing="1" w:after="100" w:afterAutospacing="1" w:line="315" w:lineRule="atLeast"/>
              <w:ind w:left="0" w:hanging="2"/>
              <w:jc w:val="center"/>
              <w:rPr>
                <w:b/>
              </w:rPr>
            </w:pPr>
            <w:r w:rsidRPr="008F470B">
              <w:rPr>
                <w:b/>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D0152" w14:textId="77777777" w:rsidR="00FE7A7B" w:rsidRPr="008F470B" w:rsidRDefault="00FE7A7B" w:rsidP="00110A1C">
            <w:pPr>
              <w:spacing w:before="100" w:beforeAutospacing="1" w:after="100" w:afterAutospacing="1" w:line="315" w:lineRule="atLeast"/>
              <w:ind w:left="0" w:hanging="2"/>
              <w:jc w:val="center"/>
              <w:rPr>
                <w:b/>
              </w:rPr>
            </w:pPr>
            <w:r w:rsidRPr="008F470B">
              <w:rPr>
                <w:b/>
              </w:rPr>
              <w:t>B</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87C6E" w14:textId="77777777" w:rsidR="00FE7A7B" w:rsidRPr="008F470B" w:rsidRDefault="00FE7A7B" w:rsidP="00110A1C">
            <w:pPr>
              <w:spacing w:before="100" w:beforeAutospacing="1" w:after="100" w:afterAutospacing="1" w:line="315" w:lineRule="atLeast"/>
              <w:ind w:left="0" w:hanging="2"/>
              <w:jc w:val="center"/>
              <w:rPr>
                <w:b/>
              </w:rPr>
            </w:pPr>
            <w:r w:rsidRPr="008F470B">
              <w:rPr>
                <w:b/>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A7968" w14:textId="77777777" w:rsidR="00FE7A7B" w:rsidRPr="008F470B" w:rsidRDefault="00FE7A7B" w:rsidP="00110A1C">
            <w:pPr>
              <w:spacing w:before="100" w:beforeAutospacing="1" w:after="100" w:afterAutospacing="1" w:line="315" w:lineRule="atLeast"/>
              <w:ind w:left="0" w:hanging="2"/>
              <w:jc w:val="center"/>
              <w:rPr>
                <w:b/>
              </w:rPr>
            </w:pPr>
            <w:r w:rsidRPr="008F470B">
              <w:rPr>
                <w:b/>
              </w:rPr>
              <w:t>D</w:t>
            </w:r>
          </w:p>
        </w:tc>
      </w:tr>
      <w:tr w:rsidR="00FE7A7B" w:rsidRPr="008D7691" w14:paraId="3998AC2D" w14:textId="77777777" w:rsidTr="00110A1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78CBB23" w14:textId="64FBB09C" w:rsidR="00FE7A7B" w:rsidRPr="00C20565" w:rsidRDefault="00FE7A7B" w:rsidP="00110A1C">
            <w:pPr>
              <w:spacing w:line="240" w:lineRule="auto"/>
              <w:ind w:left="0" w:hanging="2"/>
            </w:pPr>
            <w:r w:rsidRPr="00C20565">
              <w:t xml:space="preserve">Regulas </w:t>
            </w:r>
            <w:r w:rsidR="001C5068" w:rsidRPr="00C20565">
              <w:t>1. panta 5. punkts</w:t>
            </w:r>
            <w:r w:rsidR="007238B1">
              <w:t>:</w:t>
            </w:r>
          </w:p>
          <w:p w14:paraId="407AF9F0" w14:textId="1F4CD0E5" w:rsidR="004D7373" w:rsidRPr="00C20565" w:rsidRDefault="00DF6CE5" w:rsidP="004D7373">
            <w:pPr>
              <w:spacing w:line="240" w:lineRule="auto"/>
              <w:ind w:left="0" w:hanging="2"/>
            </w:pPr>
            <w:r>
              <w:t>“</w:t>
            </w:r>
            <w:r w:rsidR="004D7373" w:rsidRPr="00C20565">
              <w:t>5. Izņemot 30. pantu, šo regulu nepiemēro:</w:t>
            </w:r>
          </w:p>
          <w:p w14:paraId="6BD6505A" w14:textId="5B4095D9" w:rsidR="004D7373" w:rsidRPr="00C20565" w:rsidRDefault="004D7373">
            <w:pPr>
              <w:spacing w:line="240" w:lineRule="auto"/>
              <w:ind w:left="0" w:hanging="2"/>
            </w:pPr>
            <w:r w:rsidRPr="00C20565">
              <w:t>a) atbalsta shēmām, no kurām nav skaidri izslēgti individuāla atbalsta maksājumi uzņēmumam, uz kuru attiecas līdzekļu</w:t>
            </w:r>
            <w:r w:rsidR="007238B1">
              <w:t xml:space="preserve"> </w:t>
            </w:r>
            <w:r w:rsidRPr="00C20565">
              <w:t>atgūšanas rīkojums, kas izdots saskaņā ar iepriekšēju Komisijas lēmumu, ar kuru atbalsts ir atzīts par nelikumīgu un</w:t>
            </w:r>
          </w:p>
          <w:p w14:paraId="17D576DF" w14:textId="77777777" w:rsidR="004D7373" w:rsidRPr="00C20565" w:rsidRDefault="004D7373" w:rsidP="004D7373">
            <w:pPr>
              <w:spacing w:line="240" w:lineRule="auto"/>
              <w:ind w:left="0" w:hanging="2"/>
            </w:pPr>
            <w:r w:rsidRPr="00C20565">
              <w:t>nesaderīgu ar iekšējo tirgu;</w:t>
            </w:r>
          </w:p>
          <w:p w14:paraId="137BBC37" w14:textId="1556EAE4" w:rsidR="00FE7A7B" w:rsidRPr="00C20565" w:rsidRDefault="004D7373" w:rsidP="004D7373">
            <w:pPr>
              <w:spacing w:line="240" w:lineRule="auto"/>
              <w:ind w:left="0" w:hanging="2"/>
            </w:pPr>
            <w:r w:rsidRPr="00C20565">
              <w:lastRenderedPageBreak/>
              <w:t xml:space="preserve">b) </w:t>
            </w:r>
            <w:proofErr w:type="spellStart"/>
            <w:r w:rsidRPr="00C20565">
              <w:rPr>
                <w:i/>
              </w:rPr>
              <w:t>ad</w:t>
            </w:r>
            <w:proofErr w:type="spellEnd"/>
            <w:r w:rsidRPr="00C20565">
              <w:rPr>
                <w:i/>
              </w:rPr>
              <w:t xml:space="preserve"> </w:t>
            </w:r>
            <w:proofErr w:type="spellStart"/>
            <w:r w:rsidRPr="00C20565">
              <w:rPr>
                <w:i/>
              </w:rPr>
              <w:t>hoc</w:t>
            </w:r>
            <w:proofErr w:type="spellEnd"/>
            <w:r w:rsidRPr="00C20565">
              <w:t xml:space="preserve"> atbalstam, ko piešķir uzņēmumam, uz kuru attiecas līdzekļu atgūšanas rīkojums, kas izdots saskaņā ar iepriekšēju Komisijas lēmumu, ar kuru atbalsts ir atzīts par nelikumīgu un nesaderīgu ar iekšējo tirgu.</w:t>
            </w:r>
            <w:r w:rsidR="00DF6CE5">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CF04BEC" w14:textId="57C197DF" w:rsidR="00FE7A7B" w:rsidRPr="00C20565" w:rsidRDefault="001C5068" w:rsidP="00110A1C">
            <w:pPr>
              <w:spacing w:line="240" w:lineRule="auto"/>
              <w:ind w:left="0" w:hanging="2"/>
            </w:pPr>
            <w:r w:rsidRPr="00C20565">
              <w:lastRenderedPageBreak/>
              <w:t xml:space="preserve">Noteikumu </w:t>
            </w:r>
            <w:r w:rsidR="00FE7A7B" w:rsidRPr="00C20565">
              <w:t xml:space="preserve">projekta </w:t>
            </w:r>
            <w:r w:rsidRPr="00C20565">
              <w:t>6. 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99D4A36" w14:textId="77777777" w:rsidR="00FE7A7B" w:rsidRPr="00C20565" w:rsidRDefault="00FE7A7B" w:rsidP="00110A1C">
            <w:pPr>
              <w:spacing w:line="240" w:lineRule="auto"/>
              <w:ind w:left="0" w:hanging="2"/>
            </w:pPr>
            <w:r w:rsidRPr="00C20565">
              <w:t>A ailē minētās ES tiesību akta vienības tiek ieviestas pilnībā.</w:t>
            </w:r>
          </w:p>
          <w:p w14:paraId="223503A3" w14:textId="52D2340E" w:rsidR="00FE7A7B" w:rsidRPr="00C20565" w:rsidRDefault="00FE7A7B" w:rsidP="00110A1C">
            <w:pPr>
              <w:spacing w:line="240" w:lineRule="auto"/>
              <w:ind w:left="0" w:hanging="2"/>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6D94E2B" w14:textId="582F619B" w:rsidR="00FE7A7B" w:rsidRPr="00C20565" w:rsidRDefault="000F5802" w:rsidP="00110A1C">
            <w:pPr>
              <w:spacing w:line="240" w:lineRule="auto"/>
              <w:ind w:left="0" w:hanging="2"/>
            </w:pPr>
            <w:r w:rsidRPr="00C20565">
              <w:t xml:space="preserve">Projekta </w:t>
            </w:r>
            <w:r w:rsidR="00D40B27" w:rsidRPr="00C20565">
              <w:t xml:space="preserve">6. </w:t>
            </w:r>
            <w:r w:rsidRPr="00C20565">
              <w:t>punkt</w:t>
            </w:r>
            <w:r w:rsidR="0058403D" w:rsidRPr="00C20565">
              <w:t>s paredz līdzvērtīgas prasības</w:t>
            </w:r>
            <w:r w:rsidR="007238B1">
              <w:t>,</w:t>
            </w:r>
            <w:r w:rsidR="0058403D" w:rsidRPr="00C20565">
              <w:t xml:space="preserve"> k</w:t>
            </w:r>
            <w:r w:rsidR="007238B1">
              <w:t>as</w:t>
            </w:r>
            <w:r w:rsidR="0058403D" w:rsidRPr="00C20565">
              <w:t xml:space="preserve"> minētas ES tiesību aktā.</w:t>
            </w:r>
            <w:r w:rsidR="00A70A70" w:rsidRPr="00C20565">
              <w:t xml:space="preserve"> (</w:t>
            </w:r>
            <w:r w:rsidR="007238B1">
              <w:t>P</w:t>
            </w:r>
            <w:r w:rsidR="00A70A70" w:rsidRPr="00C20565">
              <w:t>aredz konkrētu atsauci uz attiecīgo ES tiesību akta punktu</w:t>
            </w:r>
            <w:r w:rsidR="007238B1">
              <w:t>.</w:t>
            </w:r>
            <w:r w:rsidR="00A70A70" w:rsidRPr="00C20565">
              <w:t>)</w:t>
            </w:r>
          </w:p>
        </w:tc>
      </w:tr>
      <w:tr w:rsidR="00FE7A7B" w:rsidRPr="008D7691" w14:paraId="059DC470" w14:textId="77777777" w:rsidTr="00110A1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7485E12" w14:textId="678A67D7" w:rsidR="004D7373" w:rsidRPr="00C20565" w:rsidRDefault="004D7373" w:rsidP="00110A1C">
            <w:pPr>
              <w:spacing w:line="240" w:lineRule="auto"/>
              <w:ind w:left="0" w:hanging="2"/>
            </w:pPr>
            <w:r w:rsidRPr="00C20565">
              <w:t>Regulas 1. panta 6. punkts</w:t>
            </w:r>
            <w:r w:rsidR="007238B1">
              <w:t>:</w:t>
            </w:r>
          </w:p>
          <w:p w14:paraId="29FEC9B5" w14:textId="17D9FC6E" w:rsidR="004D7373" w:rsidRPr="00C20565" w:rsidRDefault="00DF6CE5" w:rsidP="00110A1C">
            <w:pPr>
              <w:spacing w:line="240" w:lineRule="auto"/>
              <w:ind w:left="0" w:hanging="2"/>
            </w:pPr>
            <w:r>
              <w:t>“</w:t>
            </w:r>
            <w:r w:rsidR="004D7373" w:rsidRPr="00C20565">
              <w:t>6. Šo regulu nepiemēro atbalstam grūtībās nonākušiem uzņēmumiem, izņemot:</w:t>
            </w:r>
          </w:p>
          <w:p w14:paraId="31120B0C" w14:textId="248FA6A6" w:rsidR="00FE7A7B" w:rsidRPr="00C20565" w:rsidRDefault="00FE7A7B" w:rsidP="00110A1C">
            <w:pPr>
              <w:spacing w:line="240" w:lineRule="auto"/>
              <w:ind w:left="0" w:hanging="2"/>
            </w:pPr>
            <w:r w:rsidRPr="00C20565">
              <w:t xml:space="preserve">Regulas </w:t>
            </w:r>
            <w:r w:rsidR="001C5068" w:rsidRPr="00C20565">
              <w:t>2. panta 14. punkts</w:t>
            </w:r>
            <w:r w:rsidR="00DF6CE5">
              <w:t>:</w:t>
            </w:r>
          </w:p>
          <w:p w14:paraId="43DF5326" w14:textId="681B7A4E" w:rsidR="00FE7A7B" w:rsidRPr="00C20565" w:rsidRDefault="00DF6CE5">
            <w:pPr>
              <w:spacing w:line="240" w:lineRule="auto"/>
              <w:ind w:left="0" w:hanging="2"/>
            </w:pPr>
            <w:r>
              <w:t>“</w:t>
            </w:r>
            <w:r w:rsidR="004D7373" w:rsidRPr="00C20565">
              <w:t>14) grūtībās nonācis uzņēmums” ir uzņēmums, attiecībā uz kuru pastāv vismaz viena no šādām situācijām</w:t>
            </w:r>
            <w:r w:rsidR="00175124" w:rsidRPr="00C20565">
              <w:t>.</w:t>
            </w:r>
            <w: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985A827" w14:textId="24FEB1EF" w:rsidR="00FE7A7B" w:rsidRPr="006C1DDE" w:rsidRDefault="004D7373" w:rsidP="00110A1C">
            <w:pPr>
              <w:spacing w:line="240" w:lineRule="auto"/>
              <w:ind w:left="0" w:hanging="2"/>
            </w:pPr>
            <w:r w:rsidRPr="006C1DDE">
              <w:t>Noteikumu projekta 6.</w:t>
            </w:r>
            <w:r w:rsidR="007238B1">
              <w:t> </w:t>
            </w:r>
            <w:r w:rsidRPr="006C1DDE">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790C7B8" w14:textId="522DE1B4" w:rsidR="00FE7A7B" w:rsidRPr="006C1DDE" w:rsidRDefault="00FE7A7B" w:rsidP="00110A1C">
            <w:pPr>
              <w:spacing w:line="240" w:lineRule="auto"/>
              <w:ind w:left="0" w:hanging="2"/>
            </w:pPr>
            <w:r w:rsidRPr="006C1DDE">
              <w:t xml:space="preserve">A ailē minētās ES tiesību akta vienības tiek ieviestas pilnībā. </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84AB8BC" w14:textId="56772BCC" w:rsidR="00FE7A7B" w:rsidRPr="006C1DDE" w:rsidRDefault="00D40B27" w:rsidP="00110A1C">
            <w:pPr>
              <w:spacing w:line="240" w:lineRule="auto"/>
              <w:ind w:left="0" w:hanging="2"/>
            </w:pPr>
            <w:r w:rsidRPr="006C1DDE">
              <w:t>Projekta 6. punkts paredz līdzvērtīgas prasības</w:t>
            </w:r>
            <w:r w:rsidR="00DF6CE5">
              <w:t>,</w:t>
            </w:r>
            <w:r w:rsidRPr="006C1DDE">
              <w:t xml:space="preserve"> k</w:t>
            </w:r>
            <w:r w:rsidR="00DF6CE5">
              <w:t>as</w:t>
            </w:r>
            <w:r w:rsidRPr="006C1DDE">
              <w:t xml:space="preserve"> minētas ES tiesību aktā. (</w:t>
            </w:r>
            <w:r w:rsidR="00DF6CE5">
              <w:t>P</w:t>
            </w:r>
            <w:r w:rsidRPr="006C1DDE">
              <w:t>aredz konkrētu atsauci uz attiecīgo ES tiesību akta punktu</w:t>
            </w:r>
            <w:r w:rsidR="00DF6CE5">
              <w:t>.</w:t>
            </w:r>
            <w:r w:rsidRPr="006C1DDE">
              <w:t>)</w:t>
            </w:r>
          </w:p>
        </w:tc>
      </w:tr>
      <w:tr w:rsidR="001C5068" w:rsidRPr="008D7691" w14:paraId="5F40C5AB" w14:textId="77777777" w:rsidTr="00110A1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B809BF3" w14:textId="2678EC8E" w:rsidR="001C5068" w:rsidRPr="00C20565" w:rsidRDefault="001C5068" w:rsidP="00110A1C">
            <w:pPr>
              <w:spacing w:line="240" w:lineRule="auto"/>
              <w:ind w:left="0" w:hanging="2"/>
            </w:pPr>
            <w:r w:rsidRPr="00C20565">
              <w:t>Regulas 2. panta 50. punkts</w:t>
            </w:r>
            <w:r w:rsidR="00DF6CE5">
              <w:t>:</w:t>
            </w:r>
          </w:p>
          <w:p w14:paraId="0B9001E4" w14:textId="524B0F1D" w:rsidR="004D7373" w:rsidRPr="00C20565" w:rsidRDefault="00DF6CE5" w:rsidP="004D7373">
            <w:pPr>
              <w:spacing w:line="240" w:lineRule="auto"/>
              <w:ind w:left="0" w:hanging="2"/>
            </w:pPr>
            <w:r>
              <w:t>“</w:t>
            </w:r>
            <w:r w:rsidR="004D7373" w:rsidRPr="00C20565">
              <w:t>50) “pētniecības un zināšanu izplatīšanas organizācija” ir tāds subjekts (piemēram, universitāte vai zinātniskais institūts,</w:t>
            </w:r>
          </w:p>
          <w:p w14:paraId="2EA54592" w14:textId="77777777" w:rsidR="004D7373" w:rsidRPr="00C20565" w:rsidRDefault="004D7373" w:rsidP="004D7373">
            <w:pPr>
              <w:spacing w:line="240" w:lineRule="auto"/>
              <w:ind w:left="0" w:hanging="2"/>
            </w:pPr>
            <w:r w:rsidRPr="00C20565">
              <w:t>tehnoloģiju pārneses aģentūra, inovāciju starpniecības struktūra, uz pētniecību orientēta fiziskas vai virtuālas sadarbības subjekts) neatkarīgi no tā juridiskā statusa (organizēts saskaņā ar publiskajām vai privātajām tiesībām) vai</w:t>
            </w:r>
          </w:p>
          <w:p w14:paraId="156ABF4B" w14:textId="77777777" w:rsidR="004D7373" w:rsidRPr="00C20565" w:rsidRDefault="004D7373" w:rsidP="004D7373">
            <w:pPr>
              <w:spacing w:line="240" w:lineRule="auto"/>
              <w:ind w:left="0" w:hanging="2"/>
            </w:pPr>
            <w:r w:rsidRPr="00C20565">
              <w:t xml:space="preserve">finansēšanas veida, kura galvenais mērķis </w:t>
            </w:r>
            <w:r w:rsidRPr="00C20565">
              <w:lastRenderedPageBreak/>
              <w:t>ir neatkarīgi veikt fundamentālos pētījumus, rūpnieciskos pētījumus vai</w:t>
            </w:r>
          </w:p>
          <w:p w14:paraId="3B395E23" w14:textId="77777777" w:rsidR="004D7373" w:rsidRPr="00C20565" w:rsidRDefault="004D7373" w:rsidP="004D7373">
            <w:pPr>
              <w:spacing w:line="240" w:lineRule="auto"/>
              <w:ind w:left="0" w:hanging="2"/>
            </w:pPr>
            <w:r w:rsidRPr="00C20565">
              <w:t>eksperimentālo izstrādi vai plaši izplatīt šādu darbību rezultātus, izmantojot mācīšanu, publikācijas vai zināšanu</w:t>
            </w:r>
          </w:p>
          <w:p w14:paraId="22DD3FE8" w14:textId="77777777" w:rsidR="004D7373" w:rsidRPr="00C20565" w:rsidRDefault="004D7373" w:rsidP="004D7373">
            <w:pPr>
              <w:spacing w:line="240" w:lineRule="auto"/>
              <w:ind w:left="0" w:hanging="2"/>
            </w:pPr>
            <w:r w:rsidRPr="00C20565">
              <w:t>pārnesi. Ja šāds subjekts veic arī saimniecisko darbību, minētās saimnieciskās darbības finansējums, izmaksas un</w:t>
            </w:r>
          </w:p>
          <w:p w14:paraId="1E543A26" w14:textId="337BA22E" w:rsidR="004D7373" w:rsidRPr="00C20565" w:rsidRDefault="004D7373" w:rsidP="004D7373">
            <w:pPr>
              <w:spacing w:line="240" w:lineRule="auto"/>
              <w:ind w:left="0" w:hanging="2"/>
            </w:pPr>
            <w:r w:rsidRPr="00C20565">
              <w:t>ieņēmumi ir jāuzskaita atsevišķi. Uzņēmumi, kas var ietekmēt šādu subjektu kā, piemēram, tā akcionāri vai dalībnieki, nedrīkst iegūt prioritāru piekļuvi tā pētnieciskajām jaudām vai radītajiem rezultātiem;</w:t>
            </w:r>
            <w:r w:rsidR="00DF6CE5">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0478525" w14:textId="5E5147A6" w:rsidR="001C5068" w:rsidRPr="006C1DDE" w:rsidRDefault="004D7373" w:rsidP="00110A1C">
            <w:pPr>
              <w:spacing w:line="240" w:lineRule="auto"/>
              <w:ind w:left="0" w:hanging="2"/>
            </w:pPr>
            <w:r w:rsidRPr="006C1DDE">
              <w:lastRenderedPageBreak/>
              <w:t>Noteikumu projekta 3.</w:t>
            </w:r>
            <w:r w:rsidR="00DF6CE5">
              <w:t> </w:t>
            </w:r>
            <w:r w:rsidRPr="006C1DDE">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2CB9EE6" w14:textId="730961F2" w:rsidR="001C5068" w:rsidRPr="006C1DDE" w:rsidRDefault="00D40B27" w:rsidP="00110A1C">
            <w:pPr>
              <w:spacing w:line="240" w:lineRule="auto"/>
              <w:ind w:left="0" w:hanging="2"/>
            </w:pPr>
            <w:r w:rsidRPr="006C1DDE">
              <w:t>A ailē minētās ES tiesību akta vienības tiek ieviestas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89BE22E" w14:textId="19E0CB24" w:rsidR="001C5068" w:rsidRPr="006C1DDE" w:rsidRDefault="00D40B27" w:rsidP="00110A1C">
            <w:pPr>
              <w:spacing w:line="240" w:lineRule="auto"/>
              <w:ind w:left="0" w:hanging="2"/>
            </w:pPr>
            <w:r w:rsidRPr="006C1DDE">
              <w:t>Projekta 3. punkts paredz līdzvērtīgas prasības</w:t>
            </w:r>
            <w:r w:rsidR="00DF6CE5">
              <w:t>,</w:t>
            </w:r>
            <w:r w:rsidRPr="006C1DDE">
              <w:t xml:space="preserve"> k</w:t>
            </w:r>
            <w:r w:rsidR="00DF6CE5">
              <w:t>as</w:t>
            </w:r>
            <w:r w:rsidRPr="006C1DDE">
              <w:t xml:space="preserve"> minētas ES tiesību aktā. (</w:t>
            </w:r>
            <w:r w:rsidR="00DF6CE5">
              <w:t>P</w:t>
            </w:r>
            <w:r w:rsidRPr="006C1DDE">
              <w:t>aredz konkrētu atsauci uz attiecīgo ES tiesību akta punktu</w:t>
            </w:r>
            <w:r w:rsidR="00DF6CE5">
              <w:t>.</w:t>
            </w:r>
            <w:r w:rsidRPr="006C1DDE">
              <w:t>)</w:t>
            </w:r>
          </w:p>
        </w:tc>
      </w:tr>
      <w:tr w:rsidR="004D7373" w:rsidRPr="008D7691" w14:paraId="3750A21D" w14:textId="77777777" w:rsidTr="00110A1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3097E86" w14:textId="2909A0A5" w:rsidR="004D7373" w:rsidRPr="00C20565" w:rsidRDefault="004D7373" w:rsidP="004D7373">
            <w:pPr>
              <w:spacing w:line="240" w:lineRule="auto"/>
              <w:ind w:left="0" w:hanging="2"/>
            </w:pPr>
            <w:r w:rsidRPr="00C20565">
              <w:t>Regulas 31. pants</w:t>
            </w:r>
            <w:r w:rsidR="00DF6CE5">
              <w:t>:</w:t>
            </w:r>
            <w:r w:rsidRPr="00C20565">
              <w:t xml:space="preserve"> </w:t>
            </w:r>
          </w:p>
          <w:p w14:paraId="3E97123B" w14:textId="3A8AFF09" w:rsidR="004D7373" w:rsidRPr="00C20565" w:rsidRDefault="00DF6CE5" w:rsidP="004D7373">
            <w:pPr>
              <w:spacing w:line="240" w:lineRule="auto"/>
              <w:ind w:left="0" w:hanging="2"/>
            </w:pPr>
            <w:r>
              <w:t>“</w:t>
            </w:r>
            <w:r w:rsidR="004D7373" w:rsidRPr="00C20565">
              <w:t>Atbalsts pētniecībai un izstrādei lauksaimniecības un mežsaimniecības nozarē</w:t>
            </w:r>
          </w:p>
          <w:p w14:paraId="68A097D4" w14:textId="5F9FD1DB" w:rsidR="004D7373" w:rsidRPr="00C20565" w:rsidRDefault="004D7373">
            <w:pPr>
              <w:spacing w:line="240" w:lineRule="auto"/>
              <w:ind w:left="0" w:hanging="2"/>
            </w:pPr>
            <w:r w:rsidRPr="00C20565">
              <w:t>1. Atbalsts pētniecībai un izstrādei lauksaimniecības un mežsaimniecības nozarē ir saderīgs ar iekšējo tirgu Līguma</w:t>
            </w:r>
            <w:r w:rsidR="00DF6CE5">
              <w:t xml:space="preserve"> </w:t>
            </w:r>
            <w:r w:rsidRPr="00C20565">
              <w:t>107. panta 3. punkta nozīmē un ir atbrīvots no Līguma 108. panta 3. punktā noteiktās paziņošanas prasības, ja tas</w:t>
            </w:r>
            <w:r w:rsidR="00DF6CE5">
              <w:t xml:space="preserve"> </w:t>
            </w:r>
            <w:r w:rsidRPr="00C20565">
              <w:t>atbilst šā panta 2.–7. punkta un I nodaļas nosacījumiem.</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3ED8AA3" w14:textId="1142A849" w:rsidR="004D7373" w:rsidRPr="006C1DDE" w:rsidRDefault="004D7373" w:rsidP="00110A1C">
            <w:pPr>
              <w:spacing w:line="240" w:lineRule="auto"/>
              <w:ind w:left="0" w:hanging="2"/>
            </w:pPr>
            <w:r w:rsidRPr="006C1DDE">
              <w:t>Noteikumu projekta 3. un 9. 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AEC7B42" w14:textId="22ADC2B4" w:rsidR="004D7373" w:rsidRPr="006C1DDE" w:rsidRDefault="00D40B27" w:rsidP="00110A1C">
            <w:pPr>
              <w:spacing w:line="240" w:lineRule="auto"/>
              <w:ind w:left="0" w:hanging="2"/>
            </w:pPr>
            <w:r w:rsidRPr="006C1DDE">
              <w:t>A ailē minētās ES tiesību akta vienības tiek ieviestas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D41907B" w14:textId="120B33C9" w:rsidR="004D7373" w:rsidRPr="006C1DDE" w:rsidRDefault="00D40B27" w:rsidP="00110A1C">
            <w:pPr>
              <w:spacing w:line="240" w:lineRule="auto"/>
              <w:ind w:left="0" w:hanging="2"/>
            </w:pPr>
            <w:r w:rsidRPr="006C1DDE">
              <w:t>Projekta 3. un 9. punkts paredz līdzvērtīgas prasības</w:t>
            </w:r>
            <w:r w:rsidR="00DF6CE5">
              <w:t>,</w:t>
            </w:r>
            <w:r w:rsidRPr="006C1DDE">
              <w:t xml:space="preserve"> k</w:t>
            </w:r>
            <w:r w:rsidR="00DF6CE5">
              <w:t>as</w:t>
            </w:r>
            <w:r w:rsidRPr="006C1DDE">
              <w:t xml:space="preserve"> minētas ES tiesību aktā. (</w:t>
            </w:r>
            <w:r w:rsidR="00DF6CE5">
              <w:t>P</w:t>
            </w:r>
            <w:r w:rsidRPr="006C1DDE">
              <w:t>aredz konkrētu atsauci uz attiecīgo ES tiesību akta punktu</w:t>
            </w:r>
            <w:r w:rsidR="00DF6CE5">
              <w:t>.</w:t>
            </w:r>
            <w:r w:rsidRPr="006C1DDE">
              <w:t>)</w:t>
            </w:r>
          </w:p>
        </w:tc>
      </w:tr>
      <w:tr w:rsidR="00FE7A7B" w:rsidRPr="008D7691" w14:paraId="176774BD" w14:textId="77777777" w:rsidTr="00110A1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085C2C0" w14:textId="77777777" w:rsidR="00FE7A7B" w:rsidRPr="00C20565" w:rsidRDefault="00FE7A7B" w:rsidP="00110A1C">
            <w:pPr>
              <w:spacing w:line="240" w:lineRule="auto"/>
              <w:ind w:left="0" w:hanging="2"/>
            </w:pPr>
            <w:r w:rsidRPr="00C20565">
              <w:lastRenderedPageBreak/>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68CECDB" w14:textId="01791BF7" w:rsidR="00FE7A7B" w:rsidRPr="006C1DDE" w:rsidRDefault="00030F26" w:rsidP="00110A1C">
            <w:pPr>
              <w:spacing w:line="240" w:lineRule="auto"/>
              <w:ind w:left="0" w:hanging="2"/>
              <w:jc w:val="both"/>
            </w:pPr>
            <w:r w:rsidRPr="006C1DDE">
              <w:t>ES tiesību akta normas tiek pārņemtas tieši – nodrošinot sasaisti ar ES tiesību aktu</w:t>
            </w:r>
            <w:r w:rsidR="00FE7A7B" w:rsidRPr="006C1DDE">
              <w:t>.</w:t>
            </w:r>
          </w:p>
        </w:tc>
      </w:tr>
      <w:tr w:rsidR="00FE7A7B" w:rsidRPr="008D7691" w14:paraId="4E621E93" w14:textId="77777777" w:rsidTr="00110A1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6F62EC7" w14:textId="77777777" w:rsidR="00FE7A7B" w:rsidRPr="00C20565" w:rsidRDefault="00FE7A7B" w:rsidP="00110A1C">
            <w:pPr>
              <w:spacing w:line="240" w:lineRule="auto"/>
              <w:ind w:left="0" w:hanging="2"/>
            </w:pPr>
            <w:r w:rsidRPr="00C2056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D6D8A5E" w14:textId="6C86106F" w:rsidR="00FE7A7B" w:rsidRPr="006C1DDE" w:rsidRDefault="00030F26" w:rsidP="00110A1C">
            <w:pPr>
              <w:spacing w:line="240" w:lineRule="auto"/>
              <w:ind w:left="0" w:hanging="2"/>
              <w:jc w:val="both"/>
            </w:pPr>
            <w:r w:rsidRPr="006C1DDE">
              <w:t xml:space="preserve">Zemkopības ministrija </w:t>
            </w:r>
            <w:r w:rsidR="003B5543" w:rsidRPr="006C1DDE">
              <w:t>sagatavo nepieciešamo informāciju Eiropas Komisijai par zinātnes projektu īstenošanai plānoto finansējumu lauksaimniecības un mežsaimniecības jomā.</w:t>
            </w:r>
          </w:p>
        </w:tc>
      </w:tr>
      <w:tr w:rsidR="00FE7A7B" w:rsidRPr="008D7691" w14:paraId="55C0DF9B" w14:textId="77777777" w:rsidTr="00110A1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53BD2DB" w14:textId="77777777" w:rsidR="00FE7A7B" w:rsidRPr="00C20565" w:rsidRDefault="00FE7A7B" w:rsidP="00110A1C">
            <w:pPr>
              <w:spacing w:line="240" w:lineRule="auto"/>
              <w:ind w:left="0" w:hanging="2"/>
            </w:pPr>
            <w:r w:rsidRPr="00C20565">
              <w:t>Cita informācija</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314F327" w14:textId="4941010F" w:rsidR="00FE7A7B" w:rsidRPr="00C20565" w:rsidRDefault="00FE7A7B" w:rsidP="00110A1C">
            <w:pPr>
              <w:spacing w:line="240" w:lineRule="auto"/>
              <w:ind w:left="0" w:hanging="2"/>
            </w:pPr>
            <w:r w:rsidRPr="00C20565">
              <w:t>Nav</w:t>
            </w:r>
            <w:r w:rsidR="00DF6CE5">
              <w:t>.</w:t>
            </w:r>
          </w:p>
        </w:tc>
      </w:tr>
    </w:tbl>
    <w:p w14:paraId="292C287D" w14:textId="77777777" w:rsidR="00FE7A7B" w:rsidRDefault="00FE7A7B" w:rsidP="00C20565">
      <w:pPr>
        <w:ind w:leftChars="0" w:left="0" w:firstLineChars="0" w:firstLine="0"/>
      </w:pPr>
    </w:p>
    <w:tbl>
      <w:tblPr>
        <w:tblStyle w:val="a6"/>
        <w:tblW w:w="9171" w:type="dxa"/>
        <w:tblInd w:w="-112" w:type="dxa"/>
        <w:tblBorders>
          <w:top w:val="single" w:sz="6" w:space="0" w:color="414142"/>
          <w:left w:val="single" w:sz="6" w:space="0" w:color="414142"/>
          <w:bottom w:val="single" w:sz="6" w:space="0" w:color="414142"/>
          <w:right w:val="single" w:sz="6" w:space="0" w:color="414142"/>
          <w:insideH w:val="nil"/>
          <w:insideV w:val="nil"/>
        </w:tblBorders>
        <w:tblLayout w:type="fixed"/>
        <w:tblLook w:val="0000" w:firstRow="0" w:lastRow="0" w:firstColumn="0" w:lastColumn="0" w:noHBand="0" w:noVBand="0"/>
      </w:tblPr>
      <w:tblGrid>
        <w:gridCol w:w="579"/>
        <w:gridCol w:w="3135"/>
        <w:gridCol w:w="5457"/>
      </w:tblGrid>
      <w:tr w:rsidR="00BB44E5" w14:paraId="20705B57" w14:textId="77777777">
        <w:trPr>
          <w:trHeight w:val="420"/>
        </w:trPr>
        <w:tc>
          <w:tcPr>
            <w:tcW w:w="9171" w:type="dxa"/>
            <w:gridSpan w:val="3"/>
            <w:tcBorders>
              <w:top w:val="single" w:sz="6" w:space="0" w:color="414142"/>
              <w:bottom w:val="single" w:sz="6" w:space="0" w:color="414142"/>
            </w:tcBorders>
            <w:vAlign w:val="center"/>
          </w:tcPr>
          <w:p w14:paraId="34576C03" w14:textId="77777777" w:rsidR="00BB44E5" w:rsidRDefault="00334705">
            <w:pPr>
              <w:ind w:left="0" w:hanging="2"/>
              <w:jc w:val="center"/>
            </w:pPr>
            <w:r>
              <w:rPr>
                <w:b/>
              </w:rPr>
              <w:t xml:space="preserve">VI. Sabiedrības līdzdalība un komunikācijas </w:t>
            </w:r>
          </w:p>
          <w:p w14:paraId="18D78E07" w14:textId="77777777" w:rsidR="00BB44E5" w:rsidRDefault="00334705">
            <w:pPr>
              <w:ind w:left="0" w:hanging="2"/>
              <w:jc w:val="center"/>
            </w:pPr>
            <w:r>
              <w:rPr>
                <w:b/>
              </w:rPr>
              <w:t>aktivitātes</w:t>
            </w:r>
          </w:p>
        </w:tc>
      </w:tr>
      <w:tr w:rsidR="00BB44E5" w14:paraId="606246FA" w14:textId="77777777">
        <w:trPr>
          <w:trHeight w:val="540"/>
        </w:trPr>
        <w:tc>
          <w:tcPr>
            <w:tcW w:w="579" w:type="dxa"/>
            <w:tcBorders>
              <w:top w:val="single" w:sz="6" w:space="0" w:color="414142"/>
              <w:bottom w:val="single" w:sz="6" w:space="0" w:color="414142"/>
              <w:right w:val="single" w:sz="6" w:space="0" w:color="414142"/>
            </w:tcBorders>
          </w:tcPr>
          <w:p w14:paraId="116CE64F" w14:textId="77777777" w:rsidR="00BB44E5" w:rsidRDefault="00334705">
            <w:pPr>
              <w:ind w:left="0" w:hanging="2"/>
              <w:jc w:val="center"/>
            </w:pPr>
            <w:r>
              <w:t>1.</w:t>
            </w:r>
          </w:p>
        </w:tc>
        <w:tc>
          <w:tcPr>
            <w:tcW w:w="3135" w:type="dxa"/>
            <w:tcBorders>
              <w:top w:val="single" w:sz="6" w:space="0" w:color="414142"/>
              <w:left w:val="single" w:sz="6" w:space="0" w:color="414142"/>
              <w:bottom w:val="single" w:sz="6" w:space="0" w:color="414142"/>
              <w:right w:val="single" w:sz="6" w:space="0" w:color="414142"/>
            </w:tcBorders>
          </w:tcPr>
          <w:p w14:paraId="19CC260A" w14:textId="77777777" w:rsidR="00BB44E5" w:rsidRDefault="00334705">
            <w:pPr>
              <w:ind w:left="0" w:hanging="2"/>
            </w:pPr>
            <w:r>
              <w:t>Plānotās sabiedrības līdzdalības un komunikācijas aktivitātes saistībā ar projektu</w:t>
            </w:r>
          </w:p>
        </w:tc>
        <w:tc>
          <w:tcPr>
            <w:tcW w:w="5457" w:type="dxa"/>
            <w:tcBorders>
              <w:top w:val="single" w:sz="6" w:space="0" w:color="414142"/>
              <w:left w:val="single" w:sz="6" w:space="0" w:color="414142"/>
              <w:bottom w:val="single" w:sz="6" w:space="0" w:color="414142"/>
            </w:tcBorders>
          </w:tcPr>
          <w:p w14:paraId="47DC1018" w14:textId="77777777" w:rsidR="00BB44E5" w:rsidRDefault="00334705">
            <w:pPr>
              <w:ind w:left="0" w:hanging="2"/>
              <w:jc w:val="both"/>
            </w:pPr>
            <w:r>
              <w:t>Valsts atbalsta jomas ir apspriestas ar Latvijas Kokrūpniecības federācijas un Latvijas Meža īpašnieku biedrības, kā arī Valsts meža dienesta un AS „Latvijas valsts meži” pārstāvjiem.</w:t>
            </w:r>
          </w:p>
        </w:tc>
      </w:tr>
      <w:tr w:rsidR="00BB44E5" w14:paraId="61C5D14A" w14:textId="77777777">
        <w:trPr>
          <w:trHeight w:val="330"/>
        </w:trPr>
        <w:tc>
          <w:tcPr>
            <w:tcW w:w="579" w:type="dxa"/>
            <w:tcBorders>
              <w:top w:val="single" w:sz="6" w:space="0" w:color="414142"/>
              <w:bottom w:val="single" w:sz="6" w:space="0" w:color="414142"/>
              <w:right w:val="single" w:sz="6" w:space="0" w:color="414142"/>
            </w:tcBorders>
          </w:tcPr>
          <w:p w14:paraId="3549D1FE" w14:textId="77777777" w:rsidR="00BB44E5" w:rsidRDefault="00334705">
            <w:pPr>
              <w:ind w:left="0" w:hanging="2"/>
              <w:jc w:val="center"/>
            </w:pPr>
            <w:r>
              <w:t>2.</w:t>
            </w:r>
          </w:p>
        </w:tc>
        <w:tc>
          <w:tcPr>
            <w:tcW w:w="3135" w:type="dxa"/>
            <w:tcBorders>
              <w:top w:val="single" w:sz="6" w:space="0" w:color="414142"/>
              <w:left w:val="single" w:sz="6" w:space="0" w:color="414142"/>
              <w:bottom w:val="single" w:sz="6" w:space="0" w:color="414142"/>
              <w:right w:val="single" w:sz="6" w:space="0" w:color="414142"/>
            </w:tcBorders>
          </w:tcPr>
          <w:p w14:paraId="6C09C9B3" w14:textId="77777777" w:rsidR="00BB44E5" w:rsidRDefault="00334705">
            <w:pPr>
              <w:ind w:left="0" w:hanging="2"/>
            </w:pPr>
            <w:r>
              <w:t>Sabiedrības līdzdalība projekta izstrādē</w:t>
            </w:r>
          </w:p>
        </w:tc>
        <w:tc>
          <w:tcPr>
            <w:tcW w:w="5457" w:type="dxa"/>
            <w:tcBorders>
              <w:top w:val="single" w:sz="6" w:space="0" w:color="414142"/>
              <w:left w:val="single" w:sz="6" w:space="0" w:color="414142"/>
              <w:bottom w:val="single" w:sz="6" w:space="0" w:color="414142"/>
            </w:tcBorders>
          </w:tcPr>
          <w:p w14:paraId="4E8BBC5B"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Projekta sagatavošanas laikā notika konsultācijas ar Latvijas Kokrūpniecības federācijas un Latvijas Meža īpašnieku biedrības pārstāvjiem. Noteikumu projekts nemaina iepriekšējos gados iedibināto valsts atbalsta piešķiršanas kārtību meža nozares attīstībai. Tā kā noteikumi nosaka procedūru, kādā organizējami konkursi, tiešā veidā netiek skartas konkrētu grupu intereses, jo pieteikšanās projektu īstenošanai notiek atklāta konkursa veidā. Tieša līdzdalība projekta sagatavošanā nebija nepieciešama.</w:t>
            </w:r>
          </w:p>
        </w:tc>
      </w:tr>
      <w:tr w:rsidR="00BB44E5" w14:paraId="0CC2F5AC" w14:textId="77777777">
        <w:trPr>
          <w:trHeight w:val="465"/>
        </w:trPr>
        <w:tc>
          <w:tcPr>
            <w:tcW w:w="579" w:type="dxa"/>
            <w:tcBorders>
              <w:top w:val="single" w:sz="6" w:space="0" w:color="414142"/>
              <w:bottom w:val="single" w:sz="6" w:space="0" w:color="414142"/>
              <w:right w:val="single" w:sz="6" w:space="0" w:color="414142"/>
            </w:tcBorders>
          </w:tcPr>
          <w:p w14:paraId="7CFAE2BD" w14:textId="77777777" w:rsidR="00BB44E5" w:rsidRDefault="00334705">
            <w:pPr>
              <w:ind w:left="0" w:hanging="2"/>
              <w:jc w:val="center"/>
            </w:pPr>
            <w:r>
              <w:t>3.</w:t>
            </w:r>
          </w:p>
        </w:tc>
        <w:tc>
          <w:tcPr>
            <w:tcW w:w="3135" w:type="dxa"/>
            <w:tcBorders>
              <w:top w:val="single" w:sz="6" w:space="0" w:color="414142"/>
              <w:left w:val="single" w:sz="6" w:space="0" w:color="414142"/>
              <w:bottom w:val="single" w:sz="6" w:space="0" w:color="414142"/>
              <w:right w:val="single" w:sz="6" w:space="0" w:color="414142"/>
            </w:tcBorders>
          </w:tcPr>
          <w:p w14:paraId="3FD96B37" w14:textId="77777777" w:rsidR="00BB44E5" w:rsidRDefault="00334705">
            <w:pPr>
              <w:ind w:left="0" w:hanging="2"/>
            </w:pPr>
            <w:r>
              <w:t>Sabiedrības līdzdalības rezultāti</w:t>
            </w:r>
          </w:p>
        </w:tc>
        <w:tc>
          <w:tcPr>
            <w:tcW w:w="5457" w:type="dxa"/>
            <w:tcBorders>
              <w:top w:val="single" w:sz="6" w:space="0" w:color="414142"/>
              <w:left w:val="single" w:sz="6" w:space="0" w:color="414142"/>
              <w:bottom w:val="single" w:sz="6" w:space="0" w:color="414142"/>
            </w:tcBorders>
          </w:tcPr>
          <w:p w14:paraId="12F2EEE1"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2020. gadā finansējums tiek plānots būtiskiem meža nozares pasākumiem, kas ir sabiedriski nozīmīgi un tiek atbalstīti.</w:t>
            </w:r>
          </w:p>
        </w:tc>
      </w:tr>
      <w:tr w:rsidR="00BB44E5" w14:paraId="6FF0F969" w14:textId="77777777">
        <w:trPr>
          <w:trHeight w:val="152"/>
        </w:trPr>
        <w:tc>
          <w:tcPr>
            <w:tcW w:w="579" w:type="dxa"/>
            <w:tcBorders>
              <w:top w:val="single" w:sz="6" w:space="0" w:color="414142"/>
              <w:bottom w:val="single" w:sz="6" w:space="0" w:color="414142"/>
              <w:right w:val="single" w:sz="6" w:space="0" w:color="414142"/>
            </w:tcBorders>
          </w:tcPr>
          <w:p w14:paraId="2E578959" w14:textId="77777777" w:rsidR="00BB44E5" w:rsidRDefault="00334705">
            <w:pPr>
              <w:ind w:left="0" w:hanging="2"/>
              <w:jc w:val="center"/>
            </w:pPr>
            <w:r>
              <w:t>4.</w:t>
            </w:r>
          </w:p>
        </w:tc>
        <w:tc>
          <w:tcPr>
            <w:tcW w:w="3135" w:type="dxa"/>
            <w:tcBorders>
              <w:top w:val="single" w:sz="6" w:space="0" w:color="414142"/>
              <w:left w:val="single" w:sz="6" w:space="0" w:color="414142"/>
              <w:bottom w:val="single" w:sz="6" w:space="0" w:color="414142"/>
              <w:right w:val="single" w:sz="6" w:space="0" w:color="414142"/>
            </w:tcBorders>
          </w:tcPr>
          <w:p w14:paraId="6F3CE835" w14:textId="77777777" w:rsidR="00BB44E5" w:rsidRDefault="00334705">
            <w:pPr>
              <w:ind w:left="0" w:hanging="2"/>
            </w:pPr>
            <w:r>
              <w:t>Cita informācija</w:t>
            </w:r>
          </w:p>
        </w:tc>
        <w:tc>
          <w:tcPr>
            <w:tcW w:w="5457" w:type="dxa"/>
            <w:tcBorders>
              <w:top w:val="single" w:sz="6" w:space="0" w:color="414142"/>
              <w:left w:val="single" w:sz="6" w:space="0" w:color="414142"/>
              <w:bottom w:val="single" w:sz="6" w:space="0" w:color="414142"/>
            </w:tcBorders>
          </w:tcPr>
          <w:p w14:paraId="0EA52108" w14:textId="77777777" w:rsidR="00BB44E5" w:rsidRDefault="00334705">
            <w:pPr>
              <w:ind w:left="0" w:hanging="2"/>
            </w:pPr>
            <w:r>
              <w:t>Nav.</w:t>
            </w:r>
          </w:p>
        </w:tc>
      </w:tr>
    </w:tbl>
    <w:p w14:paraId="0A9D1241" w14:textId="77777777" w:rsidR="00BB44E5" w:rsidRDefault="00BB44E5">
      <w:pPr>
        <w:ind w:left="0" w:hanging="2"/>
      </w:pPr>
    </w:p>
    <w:tbl>
      <w:tblPr>
        <w:tblStyle w:val="a7"/>
        <w:tblW w:w="9171" w:type="dxa"/>
        <w:tblInd w:w="-112" w:type="dxa"/>
        <w:tblBorders>
          <w:top w:val="single" w:sz="6" w:space="0" w:color="414142"/>
          <w:left w:val="single" w:sz="6" w:space="0" w:color="414142"/>
          <w:bottom w:val="single" w:sz="6" w:space="0" w:color="414142"/>
          <w:right w:val="single" w:sz="6" w:space="0" w:color="414142"/>
          <w:insideH w:val="nil"/>
          <w:insideV w:val="nil"/>
        </w:tblBorders>
        <w:tblLayout w:type="fixed"/>
        <w:tblLook w:val="0000" w:firstRow="0" w:lastRow="0" w:firstColumn="0" w:lastColumn="0" w:noHBand="0" w:noVBand="0"/>
      </w:tblPr>
      <w:tblGrid>
        <w:gridCol w:w="579"/>
        <w:gridCol w:w="3135"/>
        <w:gridCol w:w="5457"/>
      </w:tblGrid>
      <w:tr w:rsidR="00BB44E5" w14:paraId="5971B630" w14:textId="77777777">
        <w:trPr>
          <w:trHeight w:val="375"/>
        </w:trPr>
        <w:tc>
          <w:tcPr>
            <w:tcW w:w="9171" w:type="dxa"/>
            <w:gridSpan w:val="3"/>
            <w:tcBorders>
              <w:top w:val="single" w:sz="6" w:space="0" w:color="414142"/>
              <w:bottom w:val="single" w:sz="6" w:space="0" w:color="414142"/>
            </w:tcBorders>
            <w:vAlign w:val="center"/>
          </w:tcPr>
          <w:p w14:paraId="46D20AAD" w14:textId="77777777" w:rsidR="00BB44E5" w:rsidRDefault="00334705">
            <w:pPr>
              <w:ind w:left="0" w:hanging="2"/>
              <w:jc w:val="center"/>
            </w:pPr>
            <w:r>
              <w:rPr>
                <w:b/>
              </w:rPr>
              <w:t xml:space="preserve">VII. Tiesību akta projekta izpildes nodrošināšana </w:t>
            </w:r>
          </w:p>
          <w:p w14:paraId="02F05822" w14:textId="77777777" w:rsidR="00BB44E5" w:rsidRDefault="00334705">
            <w:pPr>
              <w:ind w:left="0" w:hanging="2"/>
              <w:jc w:val="center"/>
            </w:pPr>
            <w:r>
              <w:rPr>
                <w:b/>
              </w:rPr>
              <w:t>un tās ietekme uz institūcijām</w:t>
            </w:r>
          </w:p>
        </w:tc>
      </w:tr>
      <w:tr w:rsidR="00BB44E5" w14:paraId="389D19CB" w14:textId="77777777">
        <w:trPr>
          <w:trHeight w:val="420"/>
        </w:trPr>
        <w:tc>
          <w:tcPr>
            <w:tcW w:w="579" w:type="dxa"/>
            <w:tcBorders>
              <w:top w:val="single" w:sz="6" w:space="0" w:color="414142"/>
              <w:bottom w:val="single" w:sz="6" w:space="0" w:color="414142"/>
              <w:right w:val="single" w:sz="6" w:space="0" w:color="414142"/>
            </w:tcBorders>
            <w:vAlign w:val="center"/>
          </w:tcPr>
          <w:p w14:paraId="7A674539" w14:textId="77777777" w:rsidR="00BB44E5" w:rsidRDefault="00334705">
            <w:pPr>
              <w:ind w:left="0" w:hanging="2"/>
              <w:jc w:val="center"/>
            </w:pPr>
            <w:r>
              <w:t>1.</w:t>
            </w:r>
          </w:p>
        </w:tc>
        <w:tc>
          <w:tcPr>
            <w:tcW w:w="3135" w:type="dxa"/>
            <w:tcBorders>
              <w:top w:val="single" w:sz="6" w:space="0" w:color="414142"/>
              <w:left w:val="single" w:sz="6" w:space="0" w:color="414142"/>
              <w:bottom w:val="single" w:sz="6" w:space="0" w:color="414142"/>
              <w:right w:val="single" w:sz="6" w:space="0" w:color="414142"/>
            </w:tcBorders>
          </w:tcPr>
          <w:p w14:paraId="66D7A13A" w14:textId="77777777" w:rsidR="00BB44E5" w:rsidRDefault="00334705">
            <w:pPr>
              <w:ind w:left="0" w:hanging="2"/>
            </w:pPr>
            <w:r>
              <w:t>Projekta izpildē iesaistītās institūcijas</w:t>
            </w:r>
          </w:p>
        </w:tc>
        <w:tc>
          <w:tcPr>
            <w:tcW w:w="5457" w:type="dxa"/>
            <w:tcBorders>
              <w:top w:val="single" w:sz="6" w:space="0" w:color="414142"/>
              <w:left w:val="single" w:sz="6" w:space="0" w:color="414142"/>
              <w:bottom w:val="single" w:sz="6" w:space="0" w:color="414142"/>
            </w:tcBorders>
          </w:tcPr>
          <w:p w14:paraId="79512248" w14:textId="77777777" w:rsidR="00BB44E5" w:rsidRDefault="00334705">
            <w:pPr>
              <w:ind w:left="0" w:hanging="2"/>
              <w:jc w:val="both"/>
            </w:pPr>
            <w:r>
              <w:rPr>
                <w:color w:val="000000"/>
              </w:rPr>
              <w:t xml:space="preserve">Noteikumu projektā paredzētos atbalsta pasākumus saskaņā ar normatīvajiem aktiem par fonda pārvaldīšanu pārvalda Zemkopības ministrijas izveidota Meža </w:t>
            </w:r>
            <w:r>
              <w:rPr>
                <w:color w:val="000000"/>
              </w:rPr>
              <w:lastRenderedPageBreak/>
              <w:t>attīstības fonda padome. Noteikumu projektā paredzētos atbalsta pasākumus administrē un uzrauga Lauku atbalsta dienests.</w:t>
            </w:r>
          </w:p>
        </w:tc>
      </w:tr>
      <w:tr w:rsidR="00BB44E5" w14:paraId="4990B6C2" w14:textId="77777777">
        <w:trPr>
          <w:trHeight w:val="450"/>
        </w:trPr>
        <w:tc>
          <w:tcPr>
            <w:tcW w:w="579" w:type="dxa"/>
            <w:tcBorders>
              <w:top w:val="single" w:sz="6" w:space="0" w:color="414142"/>
              <w:bottom w:val="single" w:sz="6" w:space="0" w:color="414142"/>
              <w:right w:val="single" w:sz="6" w:space="0" w:color="414142"/>
            </w:tcBorders>
            <w:vAlign w:val="center"/>
          </w:tcPr>
          <w:p w14:paraId="7DF3617A" w14:textId="77777777" w:rsidR="00BB44E5" w:rsidRDefault="00334705">
            <w:pPr>
              <w:ind w:left="0" w:hanging="2"/>
              <w:jc w:val="center"/>
            </w:pPr>
            <w:r>
              <w:lastRenderedPageBreak/>
              <w:t>2.</w:t>
            </w:r>
          </w:p>
        </w:tc>
        <w:tc>
          <w:tcPr>
            <w:tcW w:w="3135" w:type="dxa"/>
            <w:tcBorders>
              <w:top w:val="single" w:sz="6" w:space="0" w:color="414142"/>
              <w:left w:val="single" w:sz="6" w:space="0" w:color="414142"/>
              <w:bottom w:val="single" w:sz="6" w:space="0" w:color="414142"/>
              <w:right w:val="single" w:sz="6" w:space="0" w:color="414142"/>
            </w:tcBorders>
          </w:tcPr>
          <w:p w14:paraId="7CEF7243" w14:textId="77777777" w:rsidR="00BB44E5" w:rsidRDefault="00334705">
            <w:pPr>
              <w:ind w:left="0" w:hanging="2"/>
            </w:pPr>
            <w:r>
              <w:t xml:space="preserve">Projekta izpildes ietekme uz pārvaldes funkcijām un institucionālo struktūru. </w:t>
            </w:r>
          </w:p>
          <w:p w14:paraId="08FF78BE" w14:textId="77777777" w:rsidR="00BB44E5" w:rsidRDefault="00334705">
            <w:pPr>
              <w:pBdr>
                <w:top w:val="nil"/>
                <w:left w:val="nil"/>
                <w:bottom w:val="nil"/>
                <w:right w:val="nil"/>
                <w:between w:val="nil"/>
              </w:pBdr>
              <w:spacing w:line="240" w:lineRule="auto"/>
              <w:ind w:left="0" w:hanging="2"/>
              <w:rPr>
                <w:color w:val="000000"/>
              </w:rPr>
            </w:pPr>
            <w:r>
              <w:rPr>
                <w:color w:val="000000"/>
              </w:rPr>
              <w:t>Jaunu institūciju izveide, esošu institūciju likvidācija vai reorganizācija, to ietekme uz institūcijas cilvēkresursiem</w:t>
            </w:r>
          </w:p>
        </w:tc>
        <w:tc>
          <w:tcPr>
            <w:tcW w:w="5457" w:type="dxa"/>
            <w:tcBorders>
              <w:top w:val="single" w:sz="6" w:space="0" w:color="414142"/>
              <w:left w:val="single" w:sz="6" w:space="0" w:color="414142"/>
              <w:bottom w:val="single" w:sz="6" w:space="0" w:color="414142"/>
            </w:tcBorders>
          </w:tcPr>
          <w:p w14:paraId="4BC7C300"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Projekts šo jomu neskar.</w:t>
            </w:r>
          </w:p>
        </w:tc>
      </w:tr>
      <w:tr w:rsidR="00BB44E5" w14:paraId="209DA561" w14:textId="77777777">
        <w:trPr>
          <w:trHeight w:val="168"/>
        </w:trPr>
        <w:tc>
          <w:tcPr>
            <w:tcW w:w="579" w:type="dxa"/>
            <w:tcBorders>
              <w:top w:val="single" w:sz="6" w:space="0" w:color="414142"/>
              <w:bottom w:val="single" w:sz="6" w:space="0" w:color="414142"/>
              <w:right w:val="single" w:sz="6" w:space="0" w:color="414142"/>
            </w:tcBorders>
            <w:vAlign w:val="center"/>
          </w:tcPr>
          <w:p w14:paraId="4FC00F8F" w14:textId="77777777" w:rsidR="00BB44E5" w:rsidRDefault="00334705">
            <w:pPr>
              <w:ind w:left="0" w:hanging="2"/>
              <w:jc w:val="center"/>
            </w:pPr>
            <w:r>
              <w:t>3.</w:t>
            </w:r>
          </w:p>
        </w:tc>
        <w:tc>
          <w:tcPr>
            <w:tcW w:w="3135" w:type="dxa"/>
            <w:tcBorders>
              <w:top w:val="single" w:sz="6" w:space="0" w:color="414142"/>
              <w:left w:val="single" w:sz="6" w:space="0" w:color="414142"/>
              <w:bottom w:val="single" w:sz="6" w:space="0" w:color="414142"/>
              <w:right w:val="single" w:sz="6" w:space="0" w:color="414142"/>
            </w:tcBorders>
          </w:tcPr>
          <w:p w14:paraId="1621CE0C" w14:textId="77777777" w:rsidR="00BB44E5" w:rsidRDefault="00334705">
            <w:pPr>
              <w:ind w:left="0" w:hanging="2"/>
            </w:pPr>
            <w:r>
              <w:t>Cita informācija</w:t>
            </w:r>
          </w:p>
        </w:tc>
        <w:tc>
          <w:tcPr>
            <w:tcW w:w="5457" w:type="dxa"/>
            <w:tcBorders>
              <w:top w:val="single" w:sz="6" w:space="0" w:color="414142"/>
              <w:left w:val="single" w:sz="6" w:space="0" w:color="414142"/>
              <w:bottom w:val="single" w:sz="6" w:space="0" w:color="414142"/>
            </w:tcBorders>
          </w:tcPr>
          <w:p w14:paraId="29EA67D2" w14:textId="77777777" w:rsidR="00BB44E5" w:rsidRDefault="00334705">
            <w:pPr>
              <w:ind w:left="0" w:hanging="2"/>
            </w:pPr>
            <w:r>
              <w:t xml:space="preserve">Nav. </w:t>
            </w:r>
          </w:p>
        </w:tc>
      </w:tr>
    </w:tbl>
    <w:p w14:paraId="0DB764F9" w14:textId="4A457F21" w:rsidR="00BB44E5" w:rsidRDefault="00BB44E5" w:rsidP="00021EEC">
      <w:pPr>
        <w:ind w:leftChars="0" w:left="0" w:firstLineChars="0" w:firstLine="0"/>
      </w:pPr>
    </w:p>
    <w:p w14:paraId="672AE6CF" w14:textId="73E57A86" w:rsidR="008435F8" w:rsidRDefault="008435F8" w:rsidP="00021EEC">
      <w:pPr>
        <w:ind w:leftChars="0" w:left="0" w:firstLineChars="0" w:firstLine="0"/>
      </w:pPr>
    </w:p>
    <w:p w14:paraId="459A5307" w14:textId="77777777" w:rsidR="008435F8" w:rsidRDefault="008435F8" w:rsidP="00021EEC">
      <w:pPr>
        <w:ind w:leftChars="0" w:left="0" w:firstLineChars="0" w:firstLine="0"/>
      </w:pPr>
    </w:p>
    <w:p w14:paraId="4FA94DAB" w14:textId="1E962BD6" w:rsidR="00BB44E5" w:rsidRDefault="008435F8">
      <w:pPr>
        <w:ind w:left="1" w:hanging="3"/>
        <w:rPr>
          <w:sz w:val="28"/>
          <w:szCs w:val="28"/>
        </w:rPr>
      </w:pPr>
      <w:r>
        <w:rPr>
          <w:sz w:val="28"/>
          <w:szCs w:val="28"/>
        </w:rPr>
        <w:tab/>
      </w:r>
      <w:r w:rsidR="00334705">
        <w:rPr>
          <w:sz w:val="28"/>
          <w:szCs w:val="28"/>
        </w:rPr>
        <w:tab/>
        <w:t xml:space="preserve">Zemkopības ministrs </w:t>
      </w:r>
      <w:r w:rsidR="00334705">
        <w:rPr>
          <w:sz w:val="28"/>
          <w:szCs w:val="28"/>
        </w:rPr>
        <w:tab/>
      </w:r>
      <w:r w:rsidR="00334705">
        <w:rPr>
          <w:sz w:val="28"/>
          <w:szCs w:val="28"/>
        </w:rPr>
        <w:tab/>
      </w:r>
      <w:r w:rsidR="00334705">
        <w:rPr>
          <w:sz w:val="28"/>
          <w:szCs w:val="28"/>
        </w:rPr>
        <w:tab/>
      </w:r>
      <w:r w:rsidR="00334705">
        <w:rPr>
          <w:sz w:val="28"/>
          <w:szCs w:val="28"/>
        </w:rPr>
        <w:tab/>
      </w:r>
      <w:bookmarkStart w:id="1" w:name="_GoBack"/>
      <w:bookmarkEnd w:id="1"/>
      <w:r w:rsidR="00334705">
        <w:rPr>
          <w:sz w:val="28"/>
          <w:szCs w:val="28"/>
        </w:rPr>
        <w:tab/>
      </w:r>
      <w:r w:rsidR="00334705">
        <w:rPr>
          <w:sz w:val="28"/>
          <w:szCs w:val="28"/>
        </w:rPr>
        <w:tab/>
        <w:t>K. Gerhards</w:t>
      </w:r>
    </w:p>
    <w:p w14:paraId="2D156F37" w14:textId="77777777" w:rsidR="00BB44E5" w:rsidRDefault="00BB44E5">
      <w:pPr>
        <w:ind w:left="0" w:hanging="2"/>
        <w:rPr>
          <w:color w:val="000000"/>
        </w:rPr>
      </w:pPr>
    </w:p>
    <w:p w14:paraId="2A585F82" w14:textId="60BE5AFD" w:rsidR="00BB44E5" w:rsidRDefault="00BB44E5">
      <w:pPr>
        <w:ind w:left="0" w:hanging="2"/>
        <w:rPr>
          <w:color w:val="000000"/>
        </w:rPr>
      </w:pPr>
    </w:p>
    <w:p w14:paraId="01B580D8" w14:textId="2B1C8549" w:rsidR="008435F8" w:rsidRDefault="008435F8">
      <w:pPr>
        <w:ind w:left="0" w:hanging="2"/>
        <w:rPr>
          <w:color w:val="000000"/>
        </w:rPr>
      </w:pPr>
    </w:p>
    <w:p w14:paraId="0031F873" w14:textId="1814FD5E" w:rsidR="008435F8" w:rsidRDefault="008435F8">
      <w:pPr>
        <w:ind w:left="0" w:hanging="2"/>
        <w:rPr>
          <w:color w:val="000000"/>
        </w:rPr>
      </w:pPr>
    </w:p>
    <w:p w14:paraId="7848AB5B" w14:textId="16E2B0B6" w:rsidR="008435F8" w:rsidRDefault="008435F8">
      <w:pPr>
        <w:ind w:left="0" w:hanging="2"/>
        <w:rPr>
          <w:color w:val="000000"/>
        </w:rPr>
      </w:pPr>
    </w:p>
    <w:p w14:paraId="11A1FC54" w14:textId="0E59DD90" w:rsidR="008435F8" w:rsidRDefault="008435F8">
      <w:pPr>
        <w:ind w:left="0" w:hanging="2"/>
        <w:rPr>
          <w:color w:val="000000"/>
        </w:rPr>
      </w:pPr>
    </w:p>
    <w:p w14:paraId="289595E3" w14:textId="0DA3DE44" w:rsidR="008435F8" w:rsidRDefault="008435F8">
      <w:pPr>
        <w:ind w:left="0" w:hanging="2"/>
        <w:rPr>
          <w:color w:val="000000"/>
        </w:rPr>
      </w:pPr>
    </w:p>
    <w:p w14:paraId="62927E0A" w14:textId="28FA2D56" w:rsidR="008435F8" w:rsidRDefault="008435F8">
      <w:pPr>
        <w:ind w:left="0" w:hanging="2"/>
        <w:rPr>
          <w:color w:val="000000"/>
        </w:rPr>
      </w:pPr>
    </w:p>
    <w:p w14:paraId="20A9FEB5" w14:textId="349D1DA7" w:rsidR="008435F8" w:rsidRDefault="008435F8">
      <w:pPr>
        <w:ind w:left="0" w:hanging="2"/>
        <w:rPr>
          <w:color w:val="000000"/>
        </w:rPr>
      </w:pPr>
    </w:p>
    <w:p w14:paraId="0A87567B" w14:textId="050D52C0" w:rsidR="008435F8" w:rsidRDefault="008435F8">
      <w:pPr>
        <w:ind w:left="0" w:hanging="2"/>
        <w:rPr>
          <w:color w:val="000000"/>
        </w:rPr>
      </w:pPr>
    </w:p>
    <w:p w14:paraId="6B2C4DB7" w14:textId="1DAE47A4" w:rsidR="008435F8" w:rsidRDefault="008435F8">
      <w:pPr>
        <w:ind w:left="0" w:hanging="2"/>
        <w:rPr>
          <w:color w:val="000000"/>
        </w:rPr>
      </w:pPr>
    </w:p>
    <w:p w14:paraId="41FF1041" w14:textId="711F77DC" w:rsidR="008435F8" w:rsidRDefault="008435F8">
      <w:pPr>
        <w:ind w:left="0" w:hanging="2"/>
        <w:rPr>
          <w:color w:val="000000"/>
        </w:rPr>
      </w:pPr>
    </w:p>
    <w:p w14:paraId="5F46227D" w14:textId="20A60116" w:rsidR="008435F8" w:rsidRDefault="008435F8">
      <w:pPr>
        <w:ind w:left="0" w:hanging="2"/>
        <w:rPr>
          <w:color w:val="000000"/>
        </w:rPr>
      </w:pPr>
    </w:p>
    <w:p w14:paraId="1B845D25" w14:textId="3FF6181A" w:rsidR="008435F8" w:rsidRDefault="008435F8">
      <w:pPr>
        <w:ind w:left="0" w:hanging="2"/>
        <w:rPr>
          <w:color w:val="000000"/>
        </w:rPr>
      </w:pPr>
    </w:p>
    <w:p w14:paraId="5F07781B" w14:textId="3C979BC5" w:rsidR="008435F8" w:rsidRDefault="008435F8">
      <w:pPr>
        <w:ind w:left="0" w:hanging="2"/>
        <w:rPr>
          <w:color w:val="000000"/>
        </w:rPr>
      </w:pPr>
    </w:p>
    <w:p w14:paraId="1F3FA6FD" w14:textId="67F60A41" w:rsidR="008435F8" w:rsidRDefault="008435F8">
      <w:pPr>
        <w:ind w:left="0" w:hanging="2"/>
        <w:rPr>
          <w:color w:val="000000"/>
        </w:rPr>
      </w:pPr>
    </w:p>
    <w:p w14:paraId="64F4515A" w14:textId="0BE1DF90" w:rsidR="008435F8" w:rsidRDefault="008435F8">
      <w:pPr>
        <w:ind w:left="0" w:hanging="2"/>
        <w:rPr>
          <w:color w:val="000000"/>
        </w:rPr>
      </w:pPr>
    </w:p>
    <w:p w14:paraId="734A4012" w14:textId="0288EB8D" w:rsidR="008435F8" w:rsidRDefault="008435F8">
      <w:pPr>
        <w:ind w:left="0" w:hanging="2"/>
        <w:rPr>
          <w:color w:val="000000"/>
        </w:rPr>
      </w:pPr>
    </w:p>
    <w:p w14:paraId="59C1412F" w14:textId="65EE946C" w:rsidR="008435F8" w:rsidRDefault="008435F8">
      <w:pPr>
        <w:ind w:left="0" w:hanging="2"/>
        <w:rPr>
          <w:color w:val="000000"/>
        </w:rPr>
      </w:pPr>
    </w:p>
    <w:p w14:paraId="0CC0D6BE" w14:textId="5CFAF2E4" w:rsidR="008435F8" w:rsidRDefault="008435F8">
      <w:pPr>
        <w:ind w:left="0" w:hanging="2"/>
        <w:rPr>
          <w:color w:val="000000"/>
        </w:rPr>
      </w:pPr>
    </w:p>
    <w:p w14:paraId="2244F3B1" w14:textId="77777777" w:rsidR="008435F8" w:rsidRDefault="008435F8">
      <w:pPr>
        <w:ind w:left="0" w:hanging="2"/>
        <w:rPr>
          <w:color w:val="000000"/>
        </w:rPr>
      </w:pPr>
    </w:p>
    <w:p w14:paraId="1B54BF7E" w14:textId="77777777" w:rsidR="00BB44E5" w:rsidRDefault="00BB44E5">
      <w:pPr>
        <w:ind w:left="0" w:hanging="2"/>
        <w:rPr>
          <w:color w:val="000000"/>
        </w:rPr>
      </w:pPr>
    </w:p>
    <w:p w14:paraId="1D430045" w14:textId="77777777" w:rsidR="00BB44E5" w:rsidRDefault="00BB44E5">
      <w:pPr>
        <w:ind w:left="0" w:hanging="2"/>
        <w:rPr>
          <w:color w:val="000000"/>
        </w:rPr>
      </w:pPr>
    </w:p>
    <w:p w14:paraId="2E6E1316" w14:textId="77777777" w:rsidR="00BB44E5" w:rsidRDefault="00BB44E5">
      <w:pPr>
        <w:ind w:left="0" w:hanging="2"/>
        <w:rPr>
          <w:color w:val="000000"/>
        </w:rPr>
      </w:pPr>
    </w:p>
    <w:p w14:paraId="4FDEF96D" w14:textId="77777777" w:rsidR="00BB44E5" w:rsidRDefault="00334705">
      <w:pPr>
        <w:ind w:left="0" w:hanging="2"/>
        <w:rPr>
          <w:color w:val="000000"/>
        </w:rPr>
      </w:pPr>
      <w:r>
        <w:rPr>
          <w:color w:val="000000"/>
        </w:rPr>
        <w:t xml:space="preserve">Mīkule 67027553 </w:t>
      </w:r>
    </w:p>
    <w:bookmarkStart w:id="2" w:name="_heading=h.30j0zll" w:colFirst="0" w:colLast="0"/>
    <w:bookmarkEnd w:id="2"/>
    <w:p w14:paraId="38139A8C" w14:textId="77777777" w:rsidR="00BB44E5" w:rsidRDefault="00334705">
      <w:pPr>
        <w:ind w:left="0" w:hanging="2"/>
        <w:rPr>
          <w:color w:val="000000"/>
        </w:rPr>
      </w:pPr>
      <w:r>
        <w:fldChar w:fldCharType="begin"/>
      </w:r>
      <w:r>
        <w:instrText xml:space="preserve"> HYPERLINK "mailto:mara.mikule@zm.2015" \h </w:instrText>
      </w:r>
      <w:r>
        <w:fldChar w:fldCharType="separate"/>
      </w:r>
      <w:r>
        <w:rPr>
          <w:color w:val="000000"/>
        </w:rPr>
        <w:t>mara.mikule@zm.</w:t>
      </w:r>
      <w:r>
        <w:rPr>
          <w:color w:val="000000"/>
        </w:rPr>
        <w:fldChar w:fldCharType="end"/>
      </w:r>
      <w:r>
        <w:rPr>
          <w:color w:val="000000"/>
        </w:rPr>
        <w:t>gov.lv</w:t>
      </w:r>
    </w:p>
    <w:sectPr w:rsidR="00BB44E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A1B3" w14:textId="77777777" w:rsidR="00FC6A71" w:rsidRDefault="00FC6A71">
      <w:pPr>
        <w:spacing w:line="240" w:lineRule="auto"/>
        <w:ind w:left="0" w:hanging="2"/>
      </w:pPr>
      <w:r>
        <w:separator/>
      </w:r>
    </w:p>
  </w:endnote>
  <w:endnote w:type="continuationSeparator" w:id="0">
    <w:p w14:paraId="531A1A5C" w14:textId="77777777" w:rsidR="00FC6A71" w:rsidRDefault="00FC6A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F3AE" w14:textId="77777777" w:rsidR="00110A1C" w:rsidRDefault="00110A1C">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69D309B" w14:textId="77777777" w:rsidR="00110A1C" w:rsidRDefault="00110A1C">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FD1D" w14:textId="6DB55658" w:rsidR="00110A1C" w:rsidRPr="008435F8" w:rsidRDefault="008435F8" w:rsidP="008435F8">
    <w:pPr>
      <w:pStyle w:val="Kjene"/>
      <w:ind w:left="0" w:hanging="2"/>
    </w:pPr>
    <w:r w:rsidRPr="008435F8">
      <w:rPr>
        <w:color w:val="000000"/>
        <w:sz w:val="20"/>
        <w:szCs w:val="20"/>
      </w:rPr>
      <w:t>ZManot_120520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266A" w14:textId="284C0704" w:rsidR="00110A1C" w:rsidRDefault="008435F8">
    <w:pPr>
      <w:pBdr>
        <w:top w:val="nil"/>
        <w:left w:val="nil"/>
        <w:bottom w:val="nil"/>
        <w:right w:val="nil"/>
        <w:between w:val="nil"/>
      </w:pBdr>
      <w:tabs>
        <w:tab w:val="center" w:pos="4153"/>
        <w:tab w:val="right" w:pos="8306"/>
      </w:tabs>
      <w:spacing w:line="240" w:lineRule="auto"/>
      <w:ind w:left="0" w:hanging="2"/>
      <w:rPr>
        <w:color w:val="000000"/>
      </w:rPr>
    </w:pPr>
    <w:r w:rsidRPr="008435F8">
      <w:rPr>
        <w:color w:val="000000"/>
        <w:sz w:val="20"/>
        <w:szCs w:val="20"/>
      </w:rPr>
      <w:t>ZManot_120520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C07C7" w14:textId="77777777" w:rsidR="00FC6A71" w:rsidRDefault="00FC6A71">
      <w:pPr>
        <w:spacing w:line="240" w:lineRule="auto"/>
        <w:ind w:left="0" w:hanging="2"/>
      </w:pPr>
      <w:r>
        <w:separator/>
      </w:r>
    </w:p>
  </w:footnote>
  <w:footnote w:type="continuationSeparator" w:id="0">
    <w:p w14:paraId="3EE96379" w14:textId="77777777" w:rsidR="00FC6A71" w:rsidRDefault="00FC6A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470" w14:textId="77777777" w:rsidR="00110A1C" w:rsidRDefault="00110A1C">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1D42301" w14:textId="77777777" w:rsidR="00110A1C" w:rsidRDefault="00110A1C">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0702" w14:textId="77777777" w:rsidR="00110A1C" w:rsidRDefault="00110A1C">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66CD7">
      <w:rPr>
        <w:noProof/>
        <w:color w:val="000000"/>
      </w:rPr>
      <w:t>12</w:t>
    </w:r>
    <w:r>
      <w:rPr>
        <w:color w:val="000000"/>
      </w:rPr>
      <w:fldChar w:fldCharType="end"/>
    </w:r>
  </w:p>
  <w:p w14:paraId="57ADBAB5" w14:textId="77777777" w:rsidR="00110A1C" w:rsidRDefault="00110A1C">
    <w:pPr>
      <w:pBdr>
        <w:top w:val="nil"/>
        <w:left w:val="nil"/>
        <w:bottom w:val="nil"/>
        <w:right w:val="nil"/>
        <w:between w:val="nil"/>
      </w:pBdr>
      <w:tabs>
        <w:tab w:val="left" w:pos="3218"/>
      </w:tabs>
      <w:spacing w:line="240" w:lineRule="auto"/>
      <w:ind w:left="0" w:hanging="2"/>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5557" w14:textId="77777777" w:rsidR="00110A1C" w:rsidRDefault="00110A1C">
    <w:pPr>
      <w:pBdr>
        <w:top w:val="nil"/>
        <w:left w:val="nil"/>
        <w:bottom w:val="nil"/>
        <w:right w:val="nil"/>
        <w:between w:val="nil"/>
      </w:pBdr>
      <w:tabs>
        <w:tab w:val="center" w:pos="4153"/>
        <w:tab w:val="right" w:pos="8306"/>
      </w:tabs>
      <w:spacing w:line="240" w:lineRule="auto"/>
      <w:ind w:left="0" w:hanging="2"/>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1735"/>
    <w:multiLevelType w:val="multilevel"/>
    <w:tmpl w:val="0F14CBEC"/>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0B867B3"/>
    <w:multiLevelType w:val="multilevel"/>
    <w:tmpl w:val="1B1C69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E5"/>
    <w:rsid w:val="00021EEC"/>
    <w:rsid w:val="00030F26"/>
    <w:rsid w:val="0004111A"/>
    <w:rsid w:val="000715CD"/>
    <w:rsid w:val="00085DAC"/>
    <w:rsid w:val="000B3191"/>
    <w:rsid w:val="000F5802"/>
    <w:rsid w:val="00110A1C"/>
    <w:rsid w:val="00175124"/>
    <w:rsid w:val="0017638E"/>
    <w:rsid w:val="00187CAD"/>
    <w:rsid w:val="001A799C"/>
    <w:rsid w:val="001C5068"/>
    <w:rsid w:val="001D6213"/>
    <w:rsid w:val="001E0FD3"/>
    <w:rsid w:val="001F7F2A"/>
    <w:rsid w:val="002048FA"/>
    <w:rsid w:val="00205597"/>
    <w:rsid w:val="00227110"/>
    <w:rsid w:val="002B086C"/>
    <w:rsid w:val="003076DF"/>
    <w:rsid w:val="003076FA"/>
    <w:rsid w:val="00320381"/>
    <w:rsid w:val="00334705"/>
    <w:rsid w:val="003557BA"/>
    <w:rsid w:val="003B5543"/>
    <w:rsid w:val="003B7DA5"/>
    <w:rsid w:val="003E17EF"/>
    <w:rsid w:val="00404F6E"/>
    <w:rsid w:val="004171A5"/>
    <w:rsid w:val="00466CD7"/>
    <w:rsid w:val="00491531"/>
    <w:rsid w:val="004A62F2"/>
    <w:rsid w:val="004D7373"/>
    <w:rsid w:val="00506869"/>
    <w:rsid w:val="0058403D"/>
    <w:rsid w:val="006031FD"/>
    <w:rsid w:val="006A3583"/>
    <w:rsid w:val="006C1DDE"/>
    <w:rsid w:val="006E6685"/>
    <w:rsid w:val="007011EC"/>
    <w:rsid w:val="007155D9"/>
    <w:rsid w:val="007238B1"/>
    <w:rsid w:val="00731BC0"/>
    <w:rsid w:val="00792852"/>
    <w:rsid w:val="007F4121"/>
    <w:rsid w:val="00827906"/>
    <w:rsid w:val="008435F8"/>
    <w:rsid w:val="00860872"/>
    <w:rsid w:val="00873FA8"/>
    <w:rsid w:val="008B45AB"/>
    <w:rsid w:val="008D485A"/>
    <w:rsid w:val="008D5C69"/>
    <w:rsid w:val="008E7768"/>
    <w:rsid w:val="008F470B"/>
    <w:rsid w:val="008F5307"/>
    <w:rsid w:val="008F779F"/>
    <w:rsid w:val="00930A11"/>
    <w:rsid w:val="009B4F8F"/>
    <w:rsid w:val="00A70A70"/>
    <w:rsid w:val="00A77A1C"/>
    <w:rsid w:val="00B01B64"/>
    <w:rsid w:val="00B4068F"/>
    <w:rsid w:val="00B87DB0"/>
    <w:rsid w:val="00BB44E5"/>
    <w:rsid w:val="00C04396"/>
    <w:rsid w:val="00C17721"/>
    <w:rsid w:val="00C20565"/>
    <w:rsid w:val="00C362A8"/>
    <w:rsid w:val="00C37360"/>
    <w:rsid w:val="00C46059"/>
    <w:rsid w:val="00C8052C"/>
    <w:rsid w:val="00C95066"/>
    <w:rsid w:val="00CB4CA1"/>
    <w:rsid w:val="00D34309"/>
    <w:rsid w:val="00D40B27"/>
    <w:rsid w:val="00D602C5"/>
    <w:rsid w:val="00DC4494"/>
    <w:rsid w:val="00DD6339"/>
    <w:rsid w:val="00DF6CE5"/>
    <w:rsid w:val="00E328AE"/>
    <w:rsid w:val="00EA1F4B"/>
    <w:rsid w:val="00EC0FE1"/>
    <w:rsid w:val="00EC2FAB"/>
    <w:rsid w:val="00EF09DB"/>
    <w:rsid w:val="00F11325"/>
    <w:rsid w:val="00FA16D9"/>
    <w:rsid w:val="00FC6A71"/>
    <w:rsid w:val="00FE7A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DCC2"/>
  <w15:docId w15:val="{246E8C0A-5149-43A3-8B9F-F03302B8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pPr>
      <w:suppressAutoHyphens/>
      <w:spacing w:line="1" w:lineRule="atLeast"/>
      <w:ind w:leftChars="-1" w:left="-1" w:hangingChars="1" w:hanging="1"/>
      <w:textDirection w:val="btLr"/>
      <w:textAlignment w:val="top"/>
      <w:outlineLvl w:val="0"/>
    </w:pPr>
    <w:rPr>
      <w:position w:val="-1"/>
    </w:rPr>
  </w:style>
  <w:style w:type="paragraph" w:styleId="Virsraksts1">
    <w:name w:val="heading 1"/>
    <w:basedOn w:val="Parasts"/>
    <w:next w:val="Parasts"/>
    <w:pPr>
      <w:keepNext/>
      <w:spacing w:before="240" w:after="60"/>
    </w:pPr>
    <w:rPr>
      <w:rFonts w:ascii="Calibri Light" w:hAnsi="Calibri Light"/>
      <w:b/>
      <w:bCs/>
      <w:kern w:val="32"/>
      <w:sz w:val="32"/>
      <w:szCs w:val="32"/>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qFormat/>
    <w:pPr>
      <w:keepNext/>
      <w:spacing w:before="240" w:after="60"/>
      <w:outlineLvl w:val="2"/>
    </w:pPr>
    <w:rPr>
      <w:rFonts w:ascii="Calibri Light" w:hAnsi="Calibri Light"/>
      <w:b/>
      <w:bCs/>
      <w:sz w:val="26"/>
      <w:szCs w:val="26"/>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pPr>
      <w:ind w:left="720" w:firstLine="720"/>
      <w:jc w:val="center"/>
    </w:pPr>
    <w:rPr>
      <w:b/>
      <w:sz w:val="28"/>
      <w:szCs w:val="20"/>
      <w:lang w:eastAsia="en-U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naisf">
    <w:name w:val="naisf"/>
    <w:basedOn w:val="Parasts"/>
    <w:pPr>
      <w:spacing w:before="75" w:after="75"/>
      <w:ind w:firstLine="375"/>
      <w:jc w:val="both"/>
    </w:pPr>
  </w:style>
  <w:style w:type="paragraph" w:customStyle="1" w:styleId="naisnod">
    <w:name w:val="naisnod"/>
    <w:basedOn w:val="Parasts"/>
    <w:pPr>
      <w:spacing w:before="150" w:after="150"/>
      <w:jc w:val="center"/>
    </w:pPr>
    <w:rPr>
      <w:b/>
      <w:bCs/>
    </w:rPr>
  </w:style>
  <w:style w:type="paragraph" w:customStyle="1" w:styleId="naislab">
    <w:name w:val="naislab"/>
    <w:basedOn w:val="Parasts"/>
    <w:pPr>
      <w:spacing w:before="75" w:after="75"/>
      <w:jc w:val="right"/>
    </w:pPr>
  </w:style>
  <w:style w:type="paragraph" w:customStyle="1" w:styleId="naiskr">
    <w:name w:val="naiskr"/>
    <w:basedOn w:val="Parasts"/>
    <w:pPr>
      <w:spacing w:before="75" w:after="75"/>
    </w:pPr>
  </w:style>
  <w:style w:type="paragraph" w:customStyle="1" w:styleId="naisc">
    <w:name w:val="naisc"/>
    <w:basedOn w:val="Parasts"/>
    <w:pPr>
      <w:spacing w:before="75" w:after="75"/>
      <w:jc w:val="center"/>
    </w:pPr>
  </w:style>
  <w:style w:type="paragraph" w:styleId="Kjene">
    <w:name w:val="footer"/>
    <w:basedOn w:val="Parasts"/>
    <w:pPr>
      <w:tabs>
        <w:tab w:val="center" w:pos="4153"/>
        <w:tab w:val="right" w:pos="8306"/>
      </w:tabs>
    </w:pPr>
  </w:style>
  <w:style w:type="character" w:styleId="Lappusesnumurs">
    <w:name w:val="page number"/>
    <w:basedOn w:val="Noklusjumarindkopasfonts"/>
    <w:rPr>
      <w:w w:val="100"/>
      <w:position w:val="-1"/>
      <w:effect w:val="none"/>
      <w:vertAlign w:val="baseline"/>
      <w:cs w:val="0"/>
      <w:em w:val="none"/>
    </w:rPr>
  </w:style>
  <w:style w:type="character" w:styleId="Izteiksmgs">
    <w:name w:val="Strong"/>
    <w:rPr>
      <w:b/>
      <w:bCs/>
      <w:w w:val="100"/>
      <w:position w:val="-1"/>
      <w:effect w:val="none"/>
      <w:vertAlign w:val="baseline"/>
      <w:cs w:val="0"/>
      <w:em w:val="none"/>
    </w:rPr>
  </w:style>
  <w:style w:type="paragraph" w:styleId="Pamatteksts">
    <w:name w:val="Body Text"/>
    <w:basedOn w:val="Parasts"/>
    <w:pPr>
      <w:jc w:val="right"/>
    </w:pPr>
    <w:rPr>
      <w:b/>
      <w:sz w:val="28"/>
      <w:szCs w:val="20"/>
      <w:lang w:eastAsia="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Parasts"/>
    <w:rPr>
      <w:sz w:val="20"/>
      <w:szCs w:val="20"/>
      <w:lang w:val="en-GB" w:eastAsia="en-US"/>
    </w:rPr>
  </w:style>
  <w:style w:type="paragraph" w:styleId="Balonteksts">
    <w:name w:val="Balloon Text"/>
    <w:basedOn w:val="Parasts"/>
    <w:rPr>
      <w:rFonts w:ascii="Tahoma" w:hAnsi="Tahoma" w:cs="Tahoma"/>
      <w:sz w:val="16"/>
      <w:szCs w:val="16"/>
    </w:rPr>
  </w:style>
  <w:style w:type="paragraph" w:customStyle="1" w:styleId="RakstzRakstzRakstzRakstzRakstzRakstzRakstzRakstzRakstzRakstzRakstzRakstzRakstzRakstzRakstzRakstzRakstz1">
    <w:name w:val="Rakstz. Rakstz. Rakstz. Rakstz. Rakstz. Rakstz. Rakstz. Rakstz. Rakstz. Rakstz.;Rakstz. Rakstz. Rakstz. Rakstz. Rakstz. Rakstz. Rakstz.1"/>
    <w:basedOn w:val="Parasts"/>
    <w:pPr>
      <w:spacing w:before="40"/>
    </w:pPr>
    <w:rPr>
      <w:lang w:val="pl-PL" w:eastAsia="pl-PL"/>
    </w:rPr>
  </w:style>
  <w:style w:type="paragraph" w:customStyle="1" w:styleId="Stils2">
    <w:name w:val="Stils2"/>
    <w:basedOn w:val="Parasts"/>
    <w:pPr>
      <w:spacing w:after="120"/>
      <w:ind w:left="37"/>
      <w:jc w:val="both"/>
    </w:pPr>
    <w:rPr>
      <w:bCs/>
      <w:snapToGrid w:val="0"/>
      <w:lang w:eastAsia="en-US"/>
    </w:rPr>
  </w:style>
  <w:style w:type="character" w:customStyle="1" w:styleId="Stils2RakstzRakstz">
    <w:name w:val="Stils2 Rakstz. Rakstz."/>
    <w:rPr>
      <w:bCs/>
      <w:snapToGrid/>
      <w:w w:val="100"/>
      <w:position w:val="-1"/>
      <w:sz w:val="24"/>
      <w:szCs w:val="24"/>
      <w:effect w:val="none"/>
      <w:vertAlign w:val="baseline"/>
      <w:cs w:val="0"/>
      <w:em w:val="none"/>
      <w:lang w:eastAsia="en-US"/>
    </w:rPr>
  </w:style>
  <w:style w:type="character" w:styleId="Izclums">
    <w:name w:val="Emphasis"/>
    <w:rPr>
      <w:i/>
      <w:iCs/>
      <w:w w:val="100"/>
      <w:position w:val="-1"/>
      <w:effect w:val="none"/>
      <w:vertAlign w:val="baseline"/>
      <w:cs w:val="0"/>
      <w:em w:val="none"/>
    </w:rPr>
  </w:style>
  <w:style w:type="paragraph" w:styleId="Galvene">
    <w:name w:val="header"/>
    <w:basedOn w:val="Parasts"/>
    <w:pPr>
      <w:tabs>
        <w:tab w:val="center" w:pos="4153"/>
        <w:tab w:val="right" w:pos="8306"/>
      </w:tabs>
    </w:pPr>
  </w:style>
  <w:style w:type="paragraph" w:customStyle="1" w:styleId="Rakstz">
    <w:name w:val="Rakstz."/>
    <w:basedOn w:val="Parasts"/>
    <w:rPr>
      <w:lang w:val="pl-PL" w:eastAsia="pl-PL"/>
    </w:rPr>
  </w:style>
  <w:style w:type="paragraph" w:customStyle="1" w:styleId="Rakstz1">
    <w:name w:val="Rakstz.1"/>
    <w:basedOn w:val="Parasts"/>
    <w:rPr>
      <w:lang w:val="pl-PL" w:eastAsia="pl-PL"/>
    </w:rPr>
  </w:style>
  <w:style w:type="paragraph" w:customStyle="1" w:styleId="CommentSubject1">
    <w:name w:val="Comment Subject1"/>
    <w:basedOn w:val="CommentText1"/>
    <w:next w:val="CommentText1"/>
    <w:rPr>
      <w:b/>
      <w:bCs/>
      <w:lang w:val="lv-LV" w:eastAsia="lv-LV"/>
    </w:rPr>
  </w:style>
  <w:style w:type="paragraph" w:customStyle="1" w:styleId="Rakstz1RakstzRakstzCharChar">
    <w:name w:val="Rakstz.1 Rakstz. Rakstz. Char Char"/>
    <w:basedOn w:val="Parasts"/>
    <w:rPr>
      <w:lang w:val="pl-PL" w:eastAsia="pl-PL"/>
    </w:rPr>
  </w:style>
  <w:style w:type="paragraph" w:styleId="Pamatteksts3">
    <w:name w:val="Body Text 3"/>
    <w:basedOn w:val="Parasts"/>
    <w:pPr>
      <w:spacing w:after="120"/>
    </w:pPr>
    <w:rPr>
      <w:sz w:val="16"/>
      <w:szCs w:val="16"/>
    </w:rPr>
  </w:style>
  <w:style w:type="character" w:styleId="Hipersaite">
    <w:name w:val="Hyperlink"/>
    <w:rPr>
      <w:color w:val="0000FF"/>
      <w:w w:val="100"/>
      <w:position w:val="-1"/>
      <w:u w:val="single"/>
      <w:effect w:val="none"/>
      <w:vertAlign w:val="baseline"/>
      <w:cs w:val="0"/>
      <w:em w:val="none"/>
    </w:rPr>
  </w:style>
  <w:style w:type="paragraph" w:customStyle="1" w:styleId="CharChar">
    <w:name w:val="Char Char"/>
    <w:basedOn w:val="Parasts"/>
    <w:pPr>
      <w:spacing w:before="40"/>
    </w:pPr>
    <w:rPr>
      <w:lang w:val="pl-PL" w:eastAsia="pl-PL"/>
    </w:rPr>
  </w:style>
  <w:style w:type="paragraph" w:styleId="Paraststmeklis">
    <w:name w:val="Normal (Web)"/>
    <w:basedOn w:val="Parasts"/>
    <w:pPr>
      <w:spacing w:before="100" w:beforeAutospacing="1" w:after="100" w:afterAutospacing="1"/>
    </w:pPr>
  </w:style>
  <w:style w:type="character" w:customStyle="1" w:styleId="CommentTextChar">
    <w:name w:val="Comment Text Char"/>
    <w:rPr>
      <w:w w:val="100"/>
      <w:position w:val="-1"/>
      <w:effect w:val="none"/>
      <w:vertAlign w:val="baseline"/>
      <w:cs w:val="0"/>
      <w:em w:val="none"/>
      <w:lang w:val="en-GB"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EUAlbertina" w:hAnsi="EUAlbertina" w:cs="EUAlbertina"/>
      <w:color w:val="000000"/>
      <w:position w:val="-1"/>
    </w:rPr>
  </w:style>
  <w:style w:type="paragraph" w:customStyle="1" w:styleId="CM1">
    <w:name w:val="CM1"/>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rPr>
      <w:rFonts w:cs="Times New Roman"/>
      <w:color w:val="auto"/>
    </w:rPr>
  </w:style>
  <w:style w:type="paragraph" w:styleId="Bezatstarpm">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table" w:styleId="Reatabula">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pPr>
      <w:suppressAutoHyphens/>
      <w:spacing w:line="1" w:lineRule="atLeast"/>
      <w:ind w:leftChars="-1" w:left="-1" w:hangingChars="1" w:hanging="1"/>
      <w:textDirection w:val="btLr"/>
      <w:textAlignment w:val="top"/>
      <w:outlineLvl w:val="0"/>
    </w:pPr>
    <w:rPr>
      <w:position w:val="-1"/>
    </w:rPr>
  </w:style>
  <w:style w:type="paragraph" w:styleId="Sarakstarindkopa">
    <w:name w:val="List Paragraph"/>
    <w:basedOn w:val="Parasts"/>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rPr>
      <w:rFonts w:ascii="Calibri" w:eastAsia="Calibri" w:hAnsi="Calibri"/>
      <w:w w:val="100"/>
      <w:position w:val="-1"/>
      <w:sz w:val="22"/>
      <w:szCs w:val="22"/>
      <w:effect w:val="none"/>
      <w:vertAlign w:val="baseline"/>
      <w:cs w:val="0"/>
      <w:em w:val="none"/>
      <w:lang w:eastAsia="en-US"/>
    </w:rPr>
  </w:style>
  <w:style w:type="paragraph" w:styleId="Pamatteksts2">
    <w:name w:val="Body Text 2"/>
    <w:basedOn w:val="Parasts"/>
    <w:pPr>
      <w:spacing w:after="120" w:line="480" w:lineRule="auto"/>
    </w:pPr>
  </w:style>
  <w:style w:type="character" w:customStyle="1" w:styleId="BodyText2Char">
    <w:name w:val="Body Text 2 Char"/>
    <w:rPr>
      <w:w w:val="100"/>
      <w:position w:val="-1"/>
      <w:sz w:val="24"/>
      <w:szCs w:val="24"/>
      <w:effect w:val="none"/>
      <w:vertAlign w:val="baseline"/>
      <w:cs w:val="0"/>
      <w:em w:val="none"/>
    </w:rPr>
  </w:style>
  <w:style w:type="paragraph" w:customStyle="1" w:styleId="CharCharRakstzRakstzCharChar">
    <w:name w:val="Char Char Rakstz. Rakstz. Char Char"/>
    <w:basedOn w:val="Parasts"/>
    <w:rPr>
      <w:lang w:val="pl-PL" w:eastAsia="pl-PL"/>
    </w:rPr>
  </w:style>
  <w:style w:type="paragraph" w:customStyle="1" w:styleId="MKNormal">
    <w:name w:val="MKNormal"/>
    <w:basedOn w:val="Parasts"/>
    <w:pPr>
      <w:ind w:firstLine="668"/>
      <w:jc w:val="both"/>
    </w:pPr>
  </w:style>
  <w:style w:type="character" w:customStyle="1" w:styleId="MKNormalChar">
    <w:name w:val="MKNormal Char"/>
    <w:rPr>
      <w:w w:val="100"/>
      <w:position w:val="-1"/>
      <w:sz w:val="24"/>
      <w:szCs w:val="24"/>
      <w:effect w:val="none"/>
      <w:vertAlign w:val="baseline"/>
      <w:cs w:val="0"/>
      <w:em w:val="none"/>
    </w:rPr>
  </w:style>
  <w:style w:type="paragraph" w:customStyle="1" w:styleId="a">
    <w:basedOn w:val="Parasts"/>
    <w:next w:val="Paraststmeklis"/>
    <w:pPr>
      <w:spacing w:before="100" w:beforeAutospacing="1" w:after="100" w:afterAutospacing="1"/>
    </w:pPr>
  </w:style>
  <w:style w:type="paragraph" w:customStyle="1" w:styleId="CharCharRakstzRakstzCharCharRakstzRakstzCharCharRakstzRakstzCharChar">
    <w:name w:val="Char Char Rakstz. Rakstz. Char Char Rakstz. Rakstz. Char Char Rakstz. Rakstz. Char Char"/>
    <w:basedOn w:val="Parasts"/>
    <w:rPr>
      <w:lang w:val="pl-PL" w:eastAsia="pl-PL"/>
    </w:rPr>
  </w:style>
  <w:style w:type="paragraph" w:customStyle="1" w:styleId="Point1letter">
    <w:name w:val="Point 1 (letter)"/>
    <w:basedOn w:val="Parasts"/>
    <w:pPr>
      <w:spacing w:before="120" w:after="120"/>
      <w:ind w:left="1728" w:hanging="648"/>
      <w:jc w:val="both"/>
    </w:pPr>
    <w:rPr>
      <w:lang w:val="en-GB" w:eastAsia="fr-BE"/>
    </w:rPr>
  </w:style>
  <w:style w:type="character" w:customStyle="1" w:styleId="HeaderChar">
    <w:name w:val="Header Char"/>
    <w:rPr>
      <w:w w:val="100"/>
      <w:position w:val="-1"/>
      <w:sz w:val="24"/>
      <w:szCs w:val="24"/>
      <w:effect w:val="none"/>
      <w:vertAlign w:val="baseline"/>
      <w:cs w:val="0"/>
      <w:em w:val="none"/>
    </w:rPr>
  </w:style>
  <w:style w:type="paragraph" w:customStyle="1" w:styleId="tvhtml">
    <w:name w:val="tv_html"/>
    <w:basedOn w:val="Parasts"/>
    <w:pPr>
      <w:spacing w:before="100" w:beforeAutospacing="1" w:after="100" w:afterAutospacing="1"/>
    </w:pPr>
  </w:style>
  <w:style w:type="character" w:styleId="Izmantotahipersaite">
    <w:name w:val="FollowedHyperlink"/>
    <w:rPr>
      <w:color w:val="800080"/>
      <w:w w:val="100"/>
      <w:position w:val="-1"/>
      <w:u w:val="single"/>
      <w:effect w:val="none"/>
      <w:vertAlign w:val="baseline"/>
      <w:cs w:val="0"/>
      <w:em w:val="none"/>
    </w:rPr>
  </w:style>
  <w:style w:type="character" w:customStyle="1" w:styleId="FootnoteReferenceFootnoteReferenceNumber16PointSuperscript6PointFootnotesymbolFootnoteReferneceFootnoteReferenceSuperscriptSUPERSfr">
    <w:name w:val="Footnote Reference;Footnote Reference Number;16 Point;Superscript 6 Point;Footnote symbol;Footnote Refernece;Footnote Reference Superscript;SUPERS;fr"/>
    <w:rPr>
      <w:w w:val="100"/>
      <w:position w:val="-1"/>
      <w:effect w:val="none"/>
      <w:vertAlign w:val="superscript"/>
      <w:cs w:val="0"/>
      <w:em w:val="none"/>
    </w:rPr>
  </w:style>
  <w:style w:type="paragraph" w:styleId="Vresteksts">
    <w:name w:val="footnote text"/>
    <w:basedOn w:val="Parasts"/>
    <w:pPr>
      <w:spacing w:before="60" w:after="60"/>
    </w:pPr>
    <w:rPr>
      <w:sz w:val="20"/>
    </w:rPr>
  </w:style>
  <w:style w:type="character" w:customStyle="1" w:styleId="FootnoteTextChar">
    <w:name w:val="Footnote Text Char"/>
    <w:rPr>
      <w:w w:val="100"/>
      <w:position w:val="-1"/>
      <w:szCs w:val="24"/>
      <w:effect w:val="none"/>
      <w:vertAlign w:val="baseline"/>
      <w:cs w:val="0"/>
      <w:em w:val="none"/>
    </w:rPr>
  </w:style>
  <w:style w:type="character" w:customStyle="1" w:styleId="NoSpacingChar">
    <w:name w:val="No Spacing Char"/>
    <w:rPr>
      <w:rFonts w:ascii="Calibri" w:eastAsia="Calibri" w:hAnsi="Calibri"/>
      <w:w w:val="100"/>
      <w:position w:val="-1"/>
      <w:sz w:val="22"/>
      <w:szCs w:val="22"/>
      <w:effect w:val="none"/>
      <w:vertAlign w:val="baseline"/>
      <w:cs w:val="0"/>
      <w:em w:val="none"/>
      <w:lang w:eastAsia="en-US"/>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Beiguvresteksts">
    <w:name w:val="endnote text"/>
    <w:basedOn w:val="Parasts"/>
    <w:rPr>
      <w:sz w:val="20"/>
      <w:szCs w:val="20"/>
    </w:rPr>
  </w:style>
  <w:style w:type="character" w:customStyle="1" w:styleId="EndnoteTextChar">
    <w:name w:val="Endnote Text Char"/>
    <w:basedOn w:val="Noklusjumarindkopasfonts"/>
    <w:rPr>
      <w:w w:val="100"/>
      <w:position w:val="-1"/>
      <w:effect w:val="none"/>
      <w:vertAlign w:val="baseline"/>
      <w:cs w:val="0"/>
      <w:em w:val="none"/>
    </w:rPr>
  </w:style>
  <w:style w:type="character" w:styleId="Beiguvresatsauce">
    <w:name w:val="endnote reference"/>
    <w:rPr>
      <w:w w:val="100"/>
      <w:position w:val="-1"/>
      <w:effect w:val="none"/>
      <w:vertAlign w:val="superscript"/>
      <w:cs w:val="0"/>
      <w:em w:val="none"/>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0">
    <w:basedOn w:val="TableNormal2"/>
    <w:tblPr>
      <w:tblStyleRowBandSize w:val="1"/>
      <w:tblStyleColBandSize w:val="1"/>
      <w:tblCellMar>
        <w:top w:w="28" w:type="dxa"/>
        <w:left w:w="28" w:type="dxa"/>
        <w:bottom w:w="28" w:type="dxa"/>
        <w:right w:w="28" w:type="dxa"/>
      </w:tblCellMar>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CellMar>
        <w:top w:w="28" w:type="dxa"/>
        <w:left w:w="28" w:type="dxa"/>
        <w:bottom w:w="28" w:type="dxa"/>
        <w:right w:w="28" w:type="dxa"/>
      </w:tblCellMar>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CellMar>
        <w:top w:w="30" w:type="dxa"/>
        <w:left w:w="30" w:type="dxa"/>
        <w:bottom w:w="30" w:type="dxa"/>
        <w:right w:w="30" w:type="dxa"/>
      </w:tblCellMar>
    </w:tblPr>
  </w:style>
  <w:style w:type="table" w:customStyle="1" w:styleId="a6">
    <w:basedOn w:val="TableNormal2"/>
    <w:tblPr>
      <w:tblStyleRowBandSize w:val="1"/>
      <w:tblStyleColBandSize w:val="1"/>
      <w:tblCellMar>
        <w:top w:w="30" w:type="dxa"/>
        <w:left w:w="30" w:type="dxa"/>
        <w:bottom w:w="30" w:type="dxa"/>
        <w:right w:w="30" w:type="dxa"/>
      </w:tblCellMar>
    </w:tblPr>
  </w:style>
  <w:style w:type="table" w:customStyle="1" w:styleId="a7">
    <w:basedOn w:val="TableNormal2"/>
    <w:tblPr>
      <w:tblStyleRowBandSize w:val="1"/>
      <w:tblStyleColBandSize w:val="1"/>
      <w:tblCellMar>
        <w:top w:w="30" w:type="dxa"/>
        <w:left w:w="30" w:type="dxa"/>
        <w:bottom w:w="30" w:type="dxa"/>
        <w:right w:w="30" w:type="dxa"/>
      </w:tblCellMar>
    </w:tblPr>
  </w:style>
  <w:style w:type="character" w:styleId="Komentraatsauce">
    <w:name w:val="annotation reference"/>
    <w:basedOn w:val="Noklusjumarindkopasfonts"/>
    <w:uiPriority w:val="99"/>
    <w:semiHidden/>
    <w:unhideWhenUsed/>
    <w:rsid w:val="008F5307"/>
    <w:rPr>
      <w:sz w:val="16"/>
      <w:szCs w:val="16"/>
    </w:rPr>
  </w:style>
  <w:style w:type="paragraph" w:styleId="Komentrateksts">
    <w:name w:val="annotation text"/>
    <w:basedOn w:val="Parasts"/>
    <w:link w:val="KomentratekstsRakstz"/>
    <w:uiPriority w:val="99"/>
    <w:semiHidden/>
    <w:unhideWhenUsed/>
    <w:rsid w:val="008F530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5307"/>
    <w:rPr>
      <w:position w:val="-1"/>
      <w:sz w:val="20"/>
      <w:szCs w:val="20"/>
    </w:rPr>
  </w:style>
  <w:style w:type="paragraph" w:styleId="Komentratma">
    <w:name w:val="annotation subject"/>
    <w:basedOn w:val="Komentrateksts"/>
    <w:next w:val="Komentrateksts"/>
    <w:link w:val="KomentratmaRakstz"/>
    <w:uiPriority w:val="99"/>
    <w:semiHidden/>
    <w:unhideWhenUsed/>
    <w:rsid w:val="008F5307"/>
    <w:rPr>
      <w:b/>
      <w:bCs/>
    </w:rPr>
  </w:style>
  <w:style w:type="character" w:customStyle="1" w:styleId="KomentratmaRakstz">
    <w:name w:val="Komentāra tēma Rakstz."/>
    <w:basedOn w:val="KomentratekstsRakstz"/>
    <w:link w:val="Komentratma"/>
    <w:uiPriority w:val="99"/>
    <w:semiHidden/>
    <w:rsid w:val="008F5307"/>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0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aU38JV6W722f/0nlIxfcapf5A==">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80E5BB-C4A9-4BF2-97CF-201B8789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15763</Words>
  <Characters>8985</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Mīkule</dc:creator>
  <cp:lastModifiedBy>Kristiāna Sebre</cp:lastModifiedBy>
  <cp:revision>24</cp:revision>
  <dcterms:created xsi:type="dcterms:W3CDTF">2020-04-21T09:21:00Z</dcterms:created>
  <dcterms:modified xsi:type="dcterms:W3CDTF">2020-05-12T07:19:00Z</dcterms:modified>
</cp:coreProperties>
</file>