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918" w:rsidRPr="00FE63FF" w:rsidRDefault="00B75637" w:rsidP="00B75637">
      <w:pPr>
        <w:jc w:val="center"/>
        <w:rPr>
          <w:b/>
          <w:sz w:val="28"/>
          <w:szCs w:val="28"/>
        </w:rPr>
      </w:pPr>
      <w:smartTag w:uri="schemas-tilde-lv/tildestengine" w:element="veidnes">
        <w:smartTagPr>
          <w:attr w:name="id" w:val="-1"/>
          <w:attr w:name="baseform" w:val="Izziņa"/>
          <w:attr w:name="text" w:val="Izziņa"/>
        </w:smartTagPr>
        <w:r w:rsidRPr="00FE63FF">
          <w:rPr>
            <w:b/>
            <w:sz w:val="28"/>
            <w:szCs w:val="28"/>
          </w:rPr>
          <w:t>Izziņa</w:t>
        </w:r>
      </w:smartTag>
      <w:r w:rsidRPr="00FE63FF">
        <w:rPr>
          <w:b/>
          <w:sz w:val="28"/>
          <w:szCs w:val="28"/>
        </w:rPr>
        <w:t xml:space="preserve"> par atzinumos sniegtajiem iebildumiem</w:t>
      </w:r>
    </w:p>
    <w:p w:rsidR="00E2323A" w:rsidRPr="00C71ADA" w:rsidRDefault="00E2323A" w:rsidP="00E2323A">
      <w:pPr>
        <w:pStyle w:val="naislab"/>
        <w:spacing w:before="0" w:beforeAutospacing="0" w:after="0" w:afterAutospacing="0"/>
        <w:jc w:val="center"/>
        <w:rPr>
          <w:b/>
          <w:sz w:val="28"/>
          <w:szCs w:val="28"/>
          <w:lang w:val="lv-LV"/>
        </w:rPr>
      </w:pPr>
      <w:r w:rsidRPr="00C71ADA">
        <w:rPr>
          <w:b/>
          <w:sz w:val="28"/>
          <w:szCs w:val="28"/>
          <w:lang w:val="lv-LV"/>
        </w:rPr>
        <w:t xml:space="preserve">Ministru kabineta noteikumu projektam </w:t>
      </w:r>
      <w:r w:rsidRPr="00C71ADA">
        <w:rPr>
          <w:b/>
          <w:bCs/>
          <w:sz w:val="28"/>
          <w:szCs w:val="28"/>
          <w:lang w:val="lv-LV"/>
        </w:rPr>
        <w:t>„</w:t>
      </w:r>
      <w:r w:rsidR="004363BD" w:rsidRPr="00C71ADA">
        <w:rPr>
          <w:b/>
          <w:color w:val="000000"/>
          <w:sz w:val="28"/>
          <w:szCs w:val="28"/>
          <w:lang w:val="lv-LV"/>
        </w:rPr>
        <w:t>Pārtikas drošības, dzīvnieku veselības un vides zinātniskā institūta „BIOR” valsts pārvaldes uzdevumu ietvaros veikto darbību cenrādis</w:t>
      </w:r>
      <w:r w:rsidRPr="00C71ADA">
        <w:rPr>
          <w:b/>
          <w:bCs/>
          <w:sz w:val="28"/>
          <w:szCs w:val="28"/>
          <w:lang w:val="lv-LV"/>
        </w:rPr>
        <w:t>”</w:t>
      </w:r>
    </w:p>
    <w:p w:rsidR="00B75637" w:rsidRPr="00FE63FF" w:rsidRDefault="00B75637" w:rsidP="00B75637">
      <w:pPr>
        <w:jc w:val="center"/>
        <w:rPr>
          <w:rFonts w:eastAsia="Times New Roman"/>
          <w:b/>
          <w:sz w:val="28"/>
          <w:szCs w:val="28"/>
        </w:rPr>
      </w:pPr>
      <w:r w:rsidRPr="00FE63FF">
        <w:rPr>
          <w:rFonts w:eastAsia="Times New Roman"/>
          <w:b/>
          <w:sz w:val="28"/>
          <w:szCs w:val="28"/>
        </w:rPr>
        <w:t>VSS</w:t>
      </w:r>
      <w:r w:rsidR="00367F2A" w:rsidRPr="00FE63FF">
        <w:rPr>
          <w:rFonts w:eastAsia="Times New Roman"/>
          <w:b/>
          <w:sz w:val="28"/>
          <w:szCs w:val="28"/>
        </w:rPr>
        <w:t>–</w:t>
      </w:r>
      <w:r w:rsidR="007C174F" w:rsidRPr="00FE63FF">
        <w:rPr>
          <w:rFonts w:eastAsia="Times New Roman"/>
          <w:b/>
          <w:sz w:val="28"/>
          <w:szCs w:val="28"/>
        </w:rPr>
        <w:t>1</w:t>
      </w:r>
      <w:r w:rsidR="004363BD">
        <w:rPr>
          <w:rFonts w:eastAsia="Times New Roman"/>
          <w:b/>
          <w:sz w:val="28"/>
          <w:szCs w:val="28"/>
        </w:rPr>
        <w:t>5</w:t>
      </w:r>
      <w:r w:rsidR="007C174F" w:rsidRPr="00FE63FF">
        <w:rPr>
          <w:rFonts w:eastAsia="Times New Roman"/>
          <w:b/>
          <w:sz w:val="28"/>
          <w:szCs w:val="28"/>
        </w:rPr>
        <w:t>8</w:t>
      </w:r>
    </w:p>
    <w:p w:rsidR="00312046" w:rsidRDefault="00312046" w:rsidP="00B75637">
      <w:pPr>
        <w:jc w:val="center"/>
        <w:rPr>
          <w:rFonts w:eastAsia="Times New Roman"/>
          <w:b/>
          <w:szCs w:val="24"/>
        </w:rPr>
      </w:pPr>
    </w:p>
    <w:p w:rsidR="00312046" w:rsidRDefault="00312046" w:rsidP="00D40E7A">
      <w:pPr>
        <w:pStyle w:val="Sarakstarindkopa"/>
        <w:ind w:left="0"/>
        <w:jc w:val="center"/>
        <w:rPr>
          <w:rFonts w:eastAsia="Times New Roman"/>
          <w:b/>
          <w:szCs w:val="24"/>
        </w:rPr>
      </w:pPr>
      <w:r>
        <w:rPr>
          <w:rFonts w:eastAsia="Times New Roman"/>
          <w:b/>
          <w:szCs w:val="24"/>
        </w:rPr>
        <w:t xml:space="preserve">I. </w:t>
      </w:r>
      <w:r w:rsidRPr="00FE0028">
        <w:rPr>
          <w:rFonts w:eastAsia="Times New Roman"/>
          <w:b/>
          <w:szCs w:val="24"/>
        </w:rPr>
        <w:t>Jautājumi, par kuriem saskaņošanā vienošanās nav panākt</w:t>
      </w:r>
      <w:r>
        <w:rPr>
          <w:rFonts w:eastAsia="Times New Roman"/>
          <w:b/>
          <w:szCs w:val="24"/>
        </w:rPr>
        <w:t>a</w:t>
      </w:r>
    </w:p>
    <w:p w:rsidR="00312046" w:rsidRDefault="00312046" w:rsidP="00312046">
      <w:pPr>
        <w:pStyle w:val="Sarakstarindkopa"/>
        <w:ind w:left="1080"/>
        <w:rPr>
          <w:rFonts w:eastAsia="Times New Roman"/>
          <w:b/>
          <w:szCs w:val="24"/>
        </w:rPr>
      </w:pPr>
    </w:p>
    <w:tbl>
      <w:tblPr>
        <w:tblStyle w:val="Reatabula"/>
        <w:tblW w:w="0" w:type="auto"/>
        <w:tblInd w:w="-5" w:type="dxa"/>
        <w:tblLook w:val="04A0" w:firstRow="1" w:lastRow="0" w:firstColumn="1" w:lastColumn="0" w:noHBand="0" w:noVBand="1"/>
      </w:tblPr>
      <w:tblGrid>
        <w:gridCol w:w="709"/>
        <w:gridCol w:w="2977"/>
        <w:gridCol w:w="3996"/>
        <w:gridCol w:w="2199"/>
        <w:gridCol w:w="2200"/>
        <w:gridCol w:w="2200"/>
      </w:tblGrid>
      <w:tr w:rsidR="00EC537D" w:rsidTr="00D40E7A">
        <w:tc>
          <w:tcPr>
            <w:tcW w:w="709" w:type="dxa"/>
            <w:vAlign w:val="center"/>
          </w:tcPr>
          <w:p w:rsidR="00EC537D" w:rsidRPr="009E0B9E" w:rsidRDefault="00EC537D" w:rsidP="006D5A7A">
            <w:pPr>
              <w:pStyle w:val="Sarakstarindkopa"/>
              <w:ind w:left="0"/>
              <w:jc w:val="center"/>
              <w:rPr>
                <w:szCs w:val="24"/>
              </w:rPr>
            </w:pPr>
            <w:r w:rsidRPr="009E0B9E">
              <w:rPr>
                <w:szCs w:val="24"/>
              </w:rPr>
              <w:t>Nr. p.k.</w:t>
            </w:r>
          </w:p>
        </w:tc>
        <w:tc>
          <w:tcPr>
            <w:tcW w:w="2977" w:type="dxa"/>
            <w:vAlign w:val="center"/>
          </w:tcPr>
          <w:p w:rsidR="00EC537D" w:rsidRDefault="00EC537D" w:rsidP="006D5A7A">
            <w:pPr>
              <w:pStyle w:val="Sarakstarindkopa"/>
              <w:ind w:left="0"/>
              <w:jc w:val="center"/>
              <w:rPr>
                <w:b/>
                <w:szCs w:val="24"/>
              </w:rPr>
            </w:pPr>
            <w:r w:rsidRPr="00FE0028">
              <w:rPr>
                <w:rFonts w:eastAsia="Times New Roman"/>
                <w:szCs w:val="24"/>
              </w:rPr>
              <w:t>Saskaņošanai nosūtītā projekta redakcija (konkrēta punkta (panta) redakcija</w:t>
            </w:r>
            <w:r>
              <w:rPr>
                <w:rFonts w:eastAsia="Times New Roman"/>
                <w:szCs w:val="24"/>
              </w:rPr>
              <w:t>)</w:t>
            </w:r>
          </w:p>
        </w:tc>
        <w:tc>
          <w:tcPr>
            <w:tcW w:w="3996" w:type="dxa"/>
            <w:vAlign w:val="center"/>
          </w:tcPr>
          <w:p w:rsidR="00EC537D" w:rsidRDefault="00EC537D" w:rsidP="006D5A7A">
            <w:pPr>
              <w:pStyle w:val="Sarakstarindkopa"/>
              <w:ind w:left="0"/>
              <w:jc w:val="center"/>
              <w:rPr>
                <w:b/>
                <w:szCs w:val="24"/>
              </w:rPr>
            </w:pPr>
            <w:r w:rsidRPr="00FE0028">
              <w:rPr>
                <w:rFonts w:eastAsia="Times New Roman"/>
                <w:szCs w:val="24"/>
              </w:rPr>
              <w:t>Atzinumā norādītais ministrijas (citas institūcijas) iebildums, kā arī saskaņošanā papildus izteiktais iebildums par projekta konkrēto punktu (pantu</w:t>
            </w:r>
            <w:r>
              <w:rPr>
                <w:rFonts w:eastAsia="Times New Roman"/>
                <w:szCs w:val="24"/>
              </w:rPr>
              <w:t>)</w:t>
            </w:r>
          </w:p>
        </w:tc>
        <w:tc>
          <w:tcPr>
            <w:tcW w:w="2199" w:type="dxa"/>
            <w:vAlign w:val="center"/>
          </w:tcPr>
          <w:p w:rsidR="00EC537D" w:rsidRDefault="00EC537D" w:rsidP="006D5A7A">
            <w:pPr>
              <w:pStyle w:val="Sarakstarindkopa"/>
              <w:ind w:left="0"/>
              <w:jc w:val="center"/>
              <w:rPr>
                <w:b/>
                <w:szCs w:val="24"/>
              </w:rPr>
            </w:pPr>
            <w:r w:rsidRPr="00FE0028">
              <w:rPr>
                <w:rFonts w:eastAsia="Times New Roman"/>
                <w:szCs w:val="24"/>
              </w:rPr>
              <w:t>Atbildīgās ministrijas pamatojums iebilduma noraidījumam</w:t>
            </w:r>
          </w:p>
        </w:tc>
        <w:tc>
          <w:tcPr>
            <w:tcW w:w="2200" w:type="dxa"/>
            <w:vAlign w:val="center"/>
          </w:tcPr>
          <w:p w:rsidR="00EC537D" w:rsidRDefault="00EC537D" w:rsidP="006D5A7A">
            <w:pPr>
              <w:pStyle w:val="Sarakstarindkopa"/>
              <w:ind w:left="0"/>
              <w:jc w:val="center"/>
              <w:rPr>
                <w:b/>
                <w:szCs w:val="24"/>
              </w:rPr>
            </w:pPr>
            <w:r w:rsidRPr="00FE0028">
              <w:rPr>
                <w:rFonts w:eastAsia="Times New Roman"/>
                <w:szCs w:val="24"/>
              </w:rPr>
              <w:t>Atzinuma sniedzēja uzturētais iebildums, ja tas atšķiras no atzinumā norādītā iebilduma pamatojuma</w:t>
            </w:r>
          </w:p>
        </w:tc>
        <w:tc>
          <w:tcPr>
            <w:tcW w:w="2200" w:type="dxa"/>
            <w:vAlign w:val="center"/>
          </w:tcPr>
          <w:p w:rsidR="00EC537D" w:rsidRDefault="00EC537D" w:rsidP="006D5A7A">
            <w:pPr>
              <w:pStyle w:val="Sarakstarindkopa"/>
              <w:ind w:left="0"/>
              <w:jc w:val="center"/>
              <w:rPr>
                <w:b/>
                <w:szCs w:val="24"/>
              </w:rPr>
            </w:pPr>
            <w:r w:rsidRPr="00FE0028">
              <w:rPr>
                <w:rFonts w:eastAsia="Times New Roman"/>
                <w:szCs w:val="24"/>
              </w:rPr>
              <w:t>Projekta attiecīgā punkta (panta) galīgā redakcija</w:t>
            </w:r>
          </w:p>
        </w:tc>
      </w:tr>
      <w:tr w:rsidR="00EC537D" w:rsidRPr="009E0B9E" w:rsidTr="00D40E7A">
        <w:tc>
          <w:tcPr>
            <w:tcW w:w="709" w:type="dxa"/>
          </w:tcPr>
          <w:p w:rsidR="00EC537D" w:rsidRPr="009E0B9E" w:rsidRDefault="009E0B9E" w:rsidP="009E0B9E">
            <w:pPr>
              <w:pStyle w:val="Sarakstarindkopa"/>
              <w:ind w:left="0"/>
              <w:jc w:val="center"/>
              <w:rPr>
                <w:szCs w:val="24"/>
              </w:rPr>
            </w:pPr>
            <w:r w:rsidRPr="009E0B9E">
              <w:rPr>
                <w:szCs w:val="24"/>
              </w:rPr>
              <w:t>1</w:t>
            </w:r>
          </w:p>
        </w:tc>
        <w:tc>
          <w:tcPr>
            <w:tcW w:w="2977" w:type="dxa"/>
          </w:tcPr>
          <w:p w:rsidR="00EC537D" w:rsidRPr="009E0B9E" w:rsidRDefault="009E0B9E" w:rsidP="009E0B9E">
            <w:pPr>
              <w:pStyle w:val="Sarakstarindkopa"/>
              <w:ind w:left="0"/>
              <w:jc w:val="center"/>
              <w:rPr>
                <w:szCs w:val="24"/>
              </w:rPr>
            </w:pPr>
            <w:r w:rsidRPr="009E0B9E">
              <w:rPr>
                <w:szCs w:val="24"/>
              </w:rPr>
              <w:t>2</w:t>
            </w:r>
          </w:p>
        </w:tc>
        <w:tc>
          <w:tcPr>
            <w:tcW w:w="3996" w:type="dxa"/>
          </w:tcPr>
          <w:p w:rsidR="00EC537D" w:rsidRPr="009E0B9E" w:rsidRDefault="009E0B9E" w:rsidP="009E0B9E">
            <w:pPr>
              <w:pStyle w:val="Sarakstarindkopa"/>
              <w:ind w:left="0"/>
              <w:jc w:val="center"/>
              <w:rPr>
                <w:szCs w:val="24"/>
              </w:rPr>
            </w:pPr>
            <w:r w:rsidRPr="009E0B9E">
              <w:rPr>
                <w:szCs w:val="24"/>
              </w:rPr>
              <w:t>3</w:t>
            </w:r>
          </w:p>
        </w:tc>
        <w:tc>
          <w:tcPr>
            <w:tcW w:w="2199" w:type="dxa"/>
          </w:tcPr>
          <w:p w:rsidR="00EC537D" w:rsidRPr="009E0B9E" w:rsidRDefault="009E0B9E" w:rsidP="009E0B9E">
            <w:pPr>
              <w:pStyle w:val="Sarakstarindkopa"/>
              <w:ind w:left="0"/>
              <w:jc w:val="center"/>
              <w:rPr>
                <w:szCs w:val="24"/>
              </w:rPr>
            </w:pPr>
            <w:r w:rsidRPr="009E0B9E">
              <w:rPr>
                <w:szCs w:val="24"/>
              </w:rPr>
              <w:t>4</w:t>
            </w:r>
          </w:p>
        </w:tc>
        <w:tc>
          <w:tcPr>
            <w:tcW w:w="2200" w:type="dxa"/>
          </w:tcPr>
          <w:p w:rsidR="00EC537D" w:rsidRPr="009E0B9E" w:rsidRDefault="009E0B9E" w:rsidP="009E0B9E">
            <w:pPr>
              <w:pStyle w:val="Sarakstarindkopa"/>
              <w:ind w:left="0"/>
              <w:jc w:val="center"/>
              <w:rPr>
                <w:szCs w:val="24"/>
              </w:rPr>
            </w:pPr>
            <w:r w:rsidRPr="009E0B9E">
              <w:rPr>
                <w:szCs w:val="24"/>
              </w:rPr>
              <w:t>5</w:t>
            </w:r>
          </w:p>
        </w:tc>
        <w:tc>
          <w:tcPr>
            <w:tcW w:w="2200" w:type="dxa"/>
          </w:tcPr>
          <w:p w:rsidR="00EC537D" w:rsidRPr="009E0B9E" w:rsidRDefault="009E0B9E" w:rsidP="009E0B9E">
            <w:pPr>
              <w:pStyle w:val="Sarakstarindkopa"/>
              <w:ind w:left="0"/>
              <w:jc w:val="center"/>
              <w:rPr>
                <w:szCs w:val="24"/>
              </w:rPr>
            </w:pPr>
            <w:r w:rsidRPr="009E0B9E">
              <w:rPr>
                <w:szCs w:val="24"/>
              </w:rPr>
              <w:t>6</w:t>
            </w:r>
          </w:p>
        </w:tc>
      </w:tr>
      <w:tr w:rsidR="00EC537D" w:rsidTr="00D40E7A">
        <w:tc>
          <w:tcPr>
            <w:tcW w:w="709" w:type="dxa"/>
          </w:tcPr>
          <w:p w:rsidR="00EC537D" w:rsidRDefault="00EC537D" w:rsidP="00312046">
            <w:pPr>
              <w:pStyle w:val="Sarakstarindkopa"/>
              <w:ind w:left="0"/>
              <w:rPr>
                <w:b/>
                <w:szCs w:val="24"/>
              </w:rPr>
            </w:pPr>
          </w:p>
        </w:tc>
        <w:tc>
          <w:tcPr>
            <w:tcW w:w="2977" w:type="dxa"/>
          </w:tcPr>
          <w:p w:rsidR="00EC537D" w:rsidRDefault="00EC537D" w:rsidP="00312046">
            <w:pPr>
              <w:pStyle w:val="Sarakstarindkopa"/>
              <w:ind w:left="0"/>
              <w:rPr>
                <w:b/>
                <w:szCs w:val="24"/>
              </w:rPr>
            </w:pPr>
          </w:p>
        </w:tc>
        <w:tc>
          <w:tcPr>
            <w:tcW w:w="3996" w:type="dxa"/>
          </w:tcPr>
          <w:p w:rsidR="00EC537D" w:rsidRDefault="00EC537D" w:rsidP="00312046">
            <w:pPr>
              <w:pStyle w:val="Sarakstarindkopa"/>
              <w:ind w:left="0"/>
              <w:rPr>
                <w:b/>
                <w:szCs w:val="24"/>
              </w:rPr>
            </w:pPr>
          </w:p>
        </w:tc>
        <w:tc>
          <w:tcPr>
            <w:tcW w:w="2199"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r>
      <w:tr w:rsidR="00EC537D" w:rsidTr="00D40E7A">
        <w:tc>
          <w:tcPr>
            <w:tcW w:w="709" w:type="dxa"/>
          </w:tcPr>
          <w:p w:rsidR="00EC537D" w:rsidRDefault="00EC537D" w:rsidP="00312046">
            <w:pPr>
              <w:pStyle w:val="Sarakstarindkopa"/>
              <w:ind w:left="0"/>
              <w:rPr>
                <w:b/>
                <w:szCs w:val="24"/>
              </w:rPr>
            </w:pPr>
          </w:p>
        </w:tc>
        <w:tc>
          <w:tcPr>
            <w:tcW w:w="2977" w:type="dxa"/>
          </w:tcPr>
          <w:p w:rsidR="00EC537D" w:rsidRDefault="00EC537D" w:rsidP="00312046">
            <w:pPr>
              <w:pStyle w:val="Sarakstarindkopa"/>
              <w:ind w:left="0"/>
              <w:rPr>
                <w:b/>
                <w:szCs w:val="24"/>
              </w:rPr>
            </w:pPr>
          </w:p>
        </w:tc>
        <w:tc>
          <w:tcPr>
            <w:tcW w:w="3996" w:type="dxa"/>
          </w:tcPr>
          <w:p w:rsidR="00EC537D" w:rsidRDefault="00EC537D" w:rsidP="00312046">
            <w:pPr>
              <w:pStyle w:val="Sarakstarindkopa"/>
              <w:ind w:left="0"/>
              <w:rPr>
                <w:b/>
                <w:szCs w:val="24"/>
              </w:rPr>
            </w:pPr>
          </w:p>
        </w:tc>
        <w:tc>
          <w:tcPr>
            <w:tcW w:w="2199"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r>
      <w:tr w:rsidR="00DD3296" w:rsidTr="00D40E7A">
        <w:tc>
          <w:tcPr>
            <w:tcW w:w="709" w:type="dxa"/>
          </w:tcPr>
          <w:p w:rsidR="00DD3296" w:rsidRDefault="00DD3296" w:rsidP="00312046">
            <w:pPr>
              <w:pStyle w:val="Sarakstarindkopa"/>
              <w:ind w:left="0"/>
              <w:rPr>
                <w:b/>
                <w:szCs w:val="24"/>
              </w:rPr>
            </w:pPr>
          </w:p>
        </w:tc>
        <w:tc>
          <w:tcPr>
            <w:tcW w:w="2977" w:type="dxa"/>
          </w:tcPr>
          <w:p w:rsidR="00DD3296" w:rsidRDefault="00DD3296" w:rsidP="00312046">
            <w:pPr>
              <w:pStyle w:val="Sarakstarindkopa"/>
              <w:ind w:left="0"/>
              <w:rPr>
                <w:b/>
                <w:szCs w:val="24"/>
              </w:rPr>
            </w:pPr>
          </w:p>
        </w:tc>
        <w:tc>
          <w:tcPr>
            <w:tcW w:w="3996" w:type="dxa"/>
          </w:tcPr>
          <w:p w:rsidR="00DD3296" w:rsidRDefault="00DD3296" w:rsidP="00312046">
            <w:pPr>
              <w:pStyle w:val="Sarakstarindkopa"/>
              <w:ind w:left="0"/>
              <w:rPr>
                <w:b/>
                <w:szCs w:val="24"/>
              </w:rPr>
            </w:pPr>
          </w:p>
        </w:tc>
        <w:tc>
          <w:tcPr>
            <w:tcW w:w="2199" w:type="dxa"/>
          </w:tcPr>
          <w:p w:rsidR="00DD3296" w:rsidRDefault="00DD3296" w:rsidP="00312046">
            <w:pPr>
              <w:pStyle w:val="Sarakstarindkopa"/>
              <w:ind w:left="0"/>
              <w:rPr>
                <w:b/>
                <w:szCs w:val="24"/>
              </w:rPr>
            </w:pPr>
          </w:p>
        </w:tc>
        <w:tc>
          <w:tcPr>
            <w:tcW w:w="2200" w:type="dxa"/>
          </w:tcPr>
          <w:p w:rsidR="00DD3296" w:rsidRDefault="00DD3296" w:rsidP="00312046">
            <w:pPr>
              <w:pStyle w:val="Sarakstarindkopa"/>
              <w:ind w:left="0"/>
              <w:rPr>
                <w:b/>
                <w:szCs w:val="24"/>
              </w:rPr>
            </w:pPr>
          </w:p>
        </w:tc>
        <w:tc>
          <w:tcPr>
            <w:tcW w:w="2200" w:type="dxa"/>
          </w:tcPr>
          <w:p w:rsidR="00DD3296" w:rsidRDefault="00DD3296" w:rsidP="00312046">
            <w:pPr>
              <w:pStyle w:val="Sarakstarindkopa"/>
              <w:ind w:left="0"/>
              <w:rPr>
                <w:b/>
                <w:szCs w:val="24"/>
              </w:rPr>
            </w:pPr>
          </w:p>
        </w:tc>
      </w:tr>
    </w:tbl>
    <w:p w:rsidR="00312046" w:rsidRDefault="00312046" w:rsidP="00312046">
      <w:pPr>
        <w:pStyle w:val="Sarakstarindkopa"/>
        <w:ind w:left="1080"/>
        <w:rPr>
          <w:b/>
          <w:szCs w:val="24"/>
        </w:rPr>
      </w:pPr>
    </w:p>
    <w:p w:rsidR="00094CCD" w:rsidRPr="00D40E7A" w:rsidRDefault="00094CCD" w:rsidP="00D40E7A">
      <w:pPr>
        <w:rPr>
          <w:rFonts w:eastAsia="Times New Roman"/>
          <w:b/>
          <w:szCs w:val="24"/>
        </w:rPr>
      </w:pPr>
      <w:r w:rsidRPr="00D40E7A">
        <w:rPr>
          <w:rFonts w:eastAsia="Times New Roman"/>
          <w:b/>
          <w:szCs w:val="24"/>
        </w:rPr>
        <w:t>Informācija par starpministriju (starpinstitūciju) elektronisko saskaņošanu</w:t>
      </w:r>
    </w:p>
    <w:p w:rsidR="00094CCD" w:rsidRDefault="00094CCD" w:rsidP="00312046">
      <w:pPr>
        <w:pStyle w:val="Sarakstarindkopa"/>
        <w:ind w:left="1080"/>
        <w:rPr>
          <w:rFonts w:eastAsia="Times New Roman"/>
          <w:b/>
          <w:szCs w:val="24"/>
        </w:rPr>
      </w:pPr>
    </w:p>
    <w:tbl>
      <w:tblPr>
        <w:tblStyle w:val="Reatabula"/>
        <w:tblW w:w="141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9072"/>
      </w:tblGrid>
      <w:tr w:rsidR="00F30006" w:rsidRPr="00F30006" w:rsidTr="008414BC">
        <w:tc>
          <w:tcPr>
            <w:tcW w:w="5108" w:type="dxa"/>
          </w:tcPr>
          <w:p w:rsidR="00F30006" w:rsidRPr="00F30006" w:rsidRDefault="00F30006" w:rsidP="00312046">
            <w:pPr>
              <w:pStyle w:val="Sarakstarindkopa"/>
              <w:ind w:left="0"/>
              <w:rPr>
                <w:szCs w:val="24"/>
              </w:rPr>
            </w:pPr>
            <w:r w:rsidRPr="00F30006">
              <w:rPr>
                <w:szCs w:val="24"/>
              </w:rPr>
              <w:t>Datums</w:t>
            </w:r>
          </w:p>
        </w:tc>
        <w:tc>
          <w:tcPr>
            <w:tcW w:w="9072" w:type="dxa"/>
            <w:shd w:val="clear" w:color="auto" w:fill="auto"/>
          </w:tcPr>
          <w:p w:rsidR="00D7344B" w:rsidRPr="008414BC" w:rsidRDefault="008414BC" w:rsidP="00A679F3">
            <w:pPr>
              <w:pStyle w:val="Sarakstarindkopa"/>
              <w:ind w:left="0"/>
              <w:rPr>
                <w:bCs/>
                <w:szCs w:val="24"/>
              </w:rPr>
            </w:pPr>
            <w:r w:rsidRPr="008414BC">
              <w:rPr>
                <w:bCs/>
                <w:szCs w:val="24"/>
              </w:rPr>
              <w:t>2020. gada 2</w:t>
            </w:r>
            <w:r w:rsidR="00D20081">
              <w:rPr>
                <w:bCs/>
                <w:szCs w:val="24"/>
              </w:rPr>
              <w:t>5</w:t>
            </w:r>
            <w:r w:rsidRPr="008414BC">
              <w:rPr>
                <w:bCs/>
                <w:szCs w:val="24"/>
              </w:rPr>
              <w:t>. marts</w:t>
            </w:r>
          </w:p>
        </w:tc>
      </w:tr>
      <w:tr w:rsidR="00F30006" w:rsidRPr="00F30006" w:rsidTr="005B2890">
        <w:tc>
          <w:tcPr>
            <w:tcW w:w="5108" w:type="dxa"/>
          </w:tcPr>
          <w:p w:rsidR="00F30006" w:rsidRPr="00F30006" w:rsidRDefault="00F30006" w:rsidP="00312046">
            <w:pPr>
              <w:pStyle w:val="Sarakstarindkopa"/>
              <w:ind w:left="0"/>
              <w:rPr>
                <w:szCs w:val="24"/>
              </w:rPr>
            </w:pPr>
            <w:r>
              <w:rPr>
                <w:szCs w:val="24"/>
              </w:rPr>
              <w:t>Saskaņošanas dalībnieki</w:t>
            </w:r>
          </w:p>
        </w:tc>
        <w:tc>
          <w:tcPr>
            <w:tcW w:w="9072" w:type="dxa"/>
          </w:tcPr>
          <w:p w:rsidR="004C6C9C" w:rsidRPr="00F473F6" w:rsidRDefault="004C6C9C" w:rsidP="00F473F6">
            <w:pPr>
              <w:rPr>
                <w:szCs w:val="24"/>
              </w:rPr>
            </w:pPr>
            <w:r w:rsidRPr="009B13DC">
              <w:rPr>
                <w:rFonts w:eastAsia="Times New Roman"/>
                <w:szCs w:val="24"/>
              </w:rPr>
              <w:t xml:space="preserve">Finanšu </w:t>
            </w:r>
            <w:r w:rsidRPr="00F473F6">
              <w:rPr>
                <w:rFonts w:eastAsia="Times New Roman"/>
                <w:szCs w:val="24"/>
              </w:rPr>
              <w:t>ministrija</w:t>
            </w:r>
          </w:p>
          <w:p w:rsidR="00A679F3" w:rsidRDefault="007900CE" w:rsidP="00A679F3">
            <w:pPr>
              <w:rPr>
                <w:rFonts w:eastAsia="Times New Roman"/>
                <w:szCs w:val="24"/>
              </w:rPr>
            </w:pPr>
            <w:r w:rsidRPr="009B13DC">
              <w:rPr>
                <w:rFonts w:eastAsia="Times New Roman"/>
                <w:szCs w:val="24"/>
              </w:rPr>
              <w:t xml:space="preserve">Tieslietu </w:t>
            </w:r>
            <w:r w:rsidRPr="00596E09">
              <w:rPr>
                <w:rFonts w:eastAsia="Times New Roman"/>
                <w:szCs w:val="24"/>
              </w:rPr>
              <w:t>ministrija</w:t>
            </w:r>
          </w:p>
          <w:p w:rsidR="00DD3296" w:rsidRDefault="00DD3296" w:rsidP="00A679F3">
            <w:pPr>
              <w:rPr>
                <w:rFonts w:eastAsia="Times New Roman"/>
                <w:szCs w:val="24"/>
              </w:rPr>
            </w:pPr>
            <w:r>
              <w:rPr>
                <w:rFonts w:eastAsia="Times New Roman"/>
                <w:szCs w:val="24"/>
              </w:rPr>
              <w:t>Veselības ministrija</w:t>
            </w:r>
          </w:p>
          <w:p w:rsidR="00F548B7" w:rsidRPr="00F473F6" w:rsidRDefault="00A679F3" w:rsidP="00A679F3">
            <w:pPr>
              <w:rPr>
                <w:szCs w:val="24"/>
              </w:rPr>
            </w:pPr>
            <w:r>
              <w:t>Vides aizsardzības un reģionālās attīstības ministrija</w:t>
            </w:r>
          </w:p>
        </w:tc>
      </w:tr>
      <w:tr w:rsidR="00F30006" w:rsidRPr="00F30006" w:rsidTr="005B2890">
        <w:tc>
          <w:tcPr>
            <w:tcW w:w="5108" w:type="dxa"/>
          </w:tcPr>
          <w:p w:rsidR="00F30006" w:rsidRPr="00F30006" w:rsidRDefault="00604BB3" w:rsidP="00312046">
            <w:pPr>
              <w:pStyle w:val="Sarakstarindkopa"/>
              <w:ind w:left="0"/>
              <w:rPr>
                <w:szCs w:val="24"/>
              </w:rPr>
            </w:pPr>
            <w:r w:rsidRPr="00FE0028">
              <w:rPr>
                <w:rFonts w:eastAsia="Times New Roman"/>
                <w:szCs w:val="24"/>
              </w:rPr>
              <w:t>Saskaņošanas dalībnieki izskatīja šādu ministriju (citu institūciju) iebildumus</w:t>
            </w:r>
          </w:p>
        </w:tc>
        <w:tc>
          <w:tcPr>
            <w:tcW w:w="9072" w:type="dxa"/>
          </w:tcPr>
          <w:p w:rsidR="00765A1B" w:rsidRDefault="00765A1B" w:rsidP="00312046">
            <w:pPr>
              <w:pStyle w:val="Sarakstarindkopa"/>
              <w:ind w:left="0"/>
              <w:rPr>
                <w:rFonts w:eastAsia="Times New Roman"/>
                <w:szCs w:val="24"/>
              </w:rPr>
            </w:pPr>
            <w:r w:rsidRPr="006C26F9">
              <w:rPr>
                <w:rFonts w:eastAsia="Times New Roman"/>
                <w:szCs w:val="24"/>
              </w:rPr>
              <w:t>Finanšu ministrija</w:t>
            </w:r>
          </w:p>
          <w:p w:rsidR="00DD3296" w:rsidRDefault="00DD3296" w:rsidP="00DD3296">
            <w:pPr>
              <w:rPr>
                <w:rFonts w:eastAsia="Times New Roman"/>
                <w:szCs w:val="24"/>
              </w:rPr>
            </w:pPr>
            <w:r>
              <w:rPr>
                <w:rFonts w:eastAsia="Times New Roman"/>
                <w:szCs w:val="24"/>
              </w:rPr>
              <w:t>Veselības ministrija</w:t>
            </w:r>
          </w:p>
          <w:p w:rsidR="007900CE" w:rsidRPr="00F30006" w:rsidRDefault="00B536E8" w:rsidP="00312046">
            <w:pPr>
              <w:pStyle w:val="Sarakstarindkopa"/>
              <w:ind w:left="0"/>
              <w:rPr>
                <w:szCs w:val="24"/>
              </w:rPr>
            </w:pPr>
            <w:r>
              <w:t>Vides aizsardzības un reģionālās attīstības ministrija</w:t>
            </w:r>
          </w:p>
        </w:tc>
      </w:tr>
      <w:tr w:rsidR="00F30006" w:rsidRPr="00F30006" w:rsidTr="005B2890">
        <w:tc>
          <w:tcPr>
            <w:tcW w:w="5108" w:type="dxa"/>
          </w:tcPr>
          <w:p w:rsidR="00F30006" w:rsidRPr="00F30006" w:rsidRDefault="00604BB3" w:rsidP="00312046">
            <w:pPr>
              <w:pStyle w:val="Sarakstarindkopa"/>
              <w:ind w:left="0"/>
              <w:rPr>
                <w:szCs w:val="24"/>
              </w:rPr>
            </w:pPr>
            <w:r w:rsidRPr="00FE0028">
              <w:rPr>
                <w:rFonts w:eastAsia="Times New Roman"/>
                <w:szCs w:val="24"/>
              </w:rPr>
              <w:t xml:space="preserve">Ministrijas (citas institūcijas), kuras nav ieradušās uz sanāksmi vai kuras nav atbildējušas uz </w:t>
            </w:r>
            <w:r w:rsidRPr="00FE0028">
              <w:rPr>
                <w:rFonts w:eastAsia="Times New Roman"/>
                <w:szCs w:val="24"/>
              </w:rPr>
              <w:lastRenderedPageBreak/>
              <w:t>uzaicinājumu piedalīties elektroniskajā saskaņošanā</w:t>
            </w:r>
          </w:p>
        </w:tc>
        <w:tc>
          <w:tcPr>
            <w:tcW w:w="9072" w:type="dxa"/>
          </w:tcPr>
          <w:p w:rsidR="00F30006" w:rsidRPr="00F30006" w:rsidRDefault="00F30006" w:rsidP="00312046">
            <w:pPr>
              <w:pStyle w:val="Sarakstarindkopa"/>
              <w:ind w:left="0"/>
              <w:rPr>
                <w:szCs w:val="24"/>
              </w:rPr>
            </w:pPr>
          </w:p>
        </w:tc>
      </w:tr>
    </w:tbl>
    <w:p w:rsidR="00DD3296" w:rsidRDefault="00DD3296" w:rsidP="00D40E7A">
      <w:pPr>
        <w:pStyle w:val="Sarakstarindkopa"/>
        <w:ind w:left="0"/>
        <w:jc w:val="center"/>
        <w:rPr>
          <w:rFonts w:eastAsia="Times New Roman"/>
          <w:b/>
          <w:szCs w:val="24"/>
        </w:rPr>
      </w:pPr>
    </w:p>
    <w:p w:rsidR="00604BB3" w:rsidRDefault="00604BB3" w:rsidP="00D40E7A">
      <w:pPr>
        <w:pStyle w:val="Sarakstarindkopa"/>
        <w:ind w:left="0"/>
        <w:jc w:val="center"/>
        <w:rPr>
          <w:rFonts w:eastAsia="Times New Roman"/>
          <w:b/>
          <w:szCs w:val="24"/>
        </w:rPr>
      </w:pPr>
      <w:r w:rsidRPr="00FE0028">
        <w:rPr>
          <w:rFonts w:eastAsia="Times New Roman"/>
          <w:b/>
          <w:szCs w:val="24"/>
        </w:rPr>
        <w:t>II. Jautājumi, par kuriem saskaņošanā vienošanās ir panākta</w:t>
      </w:r>
    </w:p>
    <w:p w:rsidR="00604BB3" w:rsidRDefault="00604BB3" w:rsidP="00312046">
      <w:pPr>
        <w:pStyle w:val="Sarakstarindkopa"/>
        <w:ind w:left="1080"/>
        <w:rPr>
          <w:rFonts w:eastAsia="Times New Roman"/>
          <w:b/>
          <w:szCs w:val="24"/>
        </w:rPr>
      </w:pPr>
    </w:p>
    <w:tbl>
      <w:tblPr>
        <w:tblStyle w:val="Reatabula"/>
        <w:tblW w:w="14601" w:type="dxa"/>
        <w:tblInd w:w="-5" w:type="dxa"/>
        <w:tblLook w:val="04A0" w:firstRow="1" w:lastRow="0" w:firstColumn="1" w:lastColumn="0" w:noHBand="0" w:noVBand="1"/>
      </w:tblPr>
      <w:tblGrid>
        <w:gridCol w:w="666"/>
        <w:gridCol w:w="3729"/>
        <w:gridCol w:w="4394"/>
        <w:gridCol w:w="2841"/>
        <w:gridCol w:w="2971"/>
      </w:tblGrid>
      <w:tr w:rsidR="00610204" w:rsidTr="008938FE">
        <w:tc>
          <w:tcPr>
            <w:tcW w:w="666" w:type="dxa"/>
            <w:vAlign w:val="center"/>
          </w:tcPr>
          <w:p w:rsidR="00610204" w:rsidRPr="005F1616" w:rsidRDefault="00610204" w:rsidP="0020342B">
            <w:pPr>
              <w:pStyle w:val="Sarakstarindkopa"/>
              <w:ind w:left="0"/>
              <w:jc w:val="center"/>
              <w:rPr>
                <w:szCs w:val="24"/>
              </w:rPr>
            </w:pPr>
            <w:r w:rsidRPr="005F1616">
              <w:rPr>
                <w:szCs w:val="24"/>
              </w:rPr>
              <w:t>Nr. p.k.</w:t>
            </w:r>
          </w:p>
        </w:tc>
        <w:tc>
          <w:tcPr>
            <w:tcW w:w="3729" w:type="dxa"/>
            <w:vAlign w:val="center"/>
          </w:tcPr>
          <w:p w:rsidR="00610204" w:rsidRDefault="00610204" w:rsidP="002F2B16">
            <w:pPr>
              <w:pStyle w:val="Sarakstarindkopa"/>
              <w:ind w:left="0"/>
              <w:jc w:val="center"/>
              <w:rPr>
                <w:b/>
                <w:szCs w:val="24"/>
              </w:rPr>
            </w:pPr>
            <w:r w:rsidRPr="00FE0028">
              <w:rPr>
                <w:rFonts w:eastAsia="Times New Roman"/>
                <w:szCs w:val="24"/>
              </w:rPr>
              <w:t>Saskaņošanai nosūtītā projekta redakcija (konkrēta punkta (panta) redakcija</w:t>
            </w:r>
            <w:r>
              <w:rPr>
                <w:rFonts w:eastAsia="Times New Roman"/>
                <w:szCs w:val="24"/>
              </w:rPr>
              <w:t>)</w:t>
            </w:r>
          </w:p>
        </w:tc>
        <w:tc>
          <w:tcPr>
            <w:tcW w:w="4394" w:type="dxa"/>
            <w:vAlign w:val="center"/>
          </w:tcPr>
          <w:p w:rsidR="00610204" w:rsidRDefault="00610204" w:rsidP="002F2B16">
            <w:pPr>
              <w:pStyle w:val="Sarakstarindkopa"/>
              <w:ind w:left="0"/>
              <w:jc w:val="center"/>
              <w:rPr>
                <w:b/>
                <w:szCs w:val="24"/>
              </w:rPr>
            </w:pPr>
            <w:r w:rsidRPr="00FE0028">
              <w:rPr>
                <w:rFonts w:eastAsia="Times New Roman"/>
                <w:szCs w:val="24"/>
              </w:rPr>
              <w:t>Atzinumā norādītais ministrijas (citas institūcijas) iebildums, kā arī saskaņošanā papildus izteiktais iebildums par projekta konkrēto punktu (pantu</w:t>
            </w:r>
            <w:r>
              <w:rPr>
                <w:rFonts w:eastAsia="Times New Roman"/>
                <w:szCs w:val="24"/>
              </w:rPr>
              <w:t>)</w:t>
            </w:r>
          </w:p>
        </w:tc>
        <w:tc>
          <w:tcPr>
            <w:tcW w:w="2841" w:type="dxa"/>
            <w:vAlign w:val="center"/>
          </w:tcPr>
          <w:p w:rsidR="00610204" w:rsidRDefault="00610204" w:rsidP="002F2B16">
            <w:pPr>
              <w:pStyle w:val="Sarakstarindkopa"/>
              <w:ind w:left="0"/>
              <w:jc w:val="center"/>
              <w:rPr>
                <w:b/>
                <w:szCs w:val="24"/>
              </w:rPr>
            </w:pPr>
            <w:r w:rsidRPr="00FE0028">
              <w:rPr>
                <w:rFonts w:eastAsia="Times New Roman"/>
                <w:szCs w:val="24"/>
              </w:rPr>
              <w:t>Atbildīgās ministrijas norāde par to, ka iebildums ir ņemts vērā, vai informācija par saskaņošanā panākto alternatīvo risinājumu</w:t>
            </w:r>
          </w:p>
        </w:tc>
        <w:tc>
          <w:tcPr>
            <w:tcW w:w="2971" w:type="dxa"/>
            <w:vAlign w:val="center"/>
          </w:tcPr>
          <w:p w:rsidR="00610204" w:rsidRDefault="00610204" w:rsidP="002F2B16">
            <w:pPr>
              <w:pStyle w:val="Sarakstarindkopa"/>
              <w:ind w:left="0"/>
              <w:jc w:val="center"/>
              <w:rPr>
                <w:b/>
                <w:szCs w:val="24"/>
              </w:rPr>
            </w:pPr>
            <w:r w:rsidRPr="00FE0028">
              <w:rPr>
                <w:rFonts w:eastAsia="Times New Roman"/>
                <w:szCs w:val="24"/>
              </w:rPr>
              <w:t>Projekta attiecīgā punkta (panta) galīgā redakcija</w:t>
            </w:r>
          </w:p>
        </w:tc>
      </w:tr>
      <w:tr w:rsidR="00610204" w:rsidRPr="009E0B9E" w:rsidTr="008938FE">
        <w:tc>
          <w:tcPr>
            <w:tcW w:w="666" w:type="dxa"/>
          </w:tcPr>
          <w:p w:rsidR="00610204" w:rsidRPr="005F1616" w:rsidRDefault="00610204" w:rsidP="0020342B">
            <w:pPr>
              <w:pStyle w:val="Sarakstarindkopa"/>
              <w:ind w:left="0"/>
              <w:jc w:val="center"/>
              <w:rPr>
                <w:szCs w:val="24"/>
              </w:rPr>
            </w:pPr>
            <w:r w:rsidRPr="005F1616">
              <w:rPr>
                <w:szCs w:val="24"/>
              </w:rPr>
              <w:t>1</w:t>
            </w:r>
          </w:p>
        </w:tc>
        <w:tc>
          <w:tcPr>
            <w:tcW w:w="3729" w:type="dxa"/>
          </w:tcPr>
          <w:p w:rsidR="00610204" w:rsidRPr="009E0B9E" w:rsidRDefault="00610204" w:rsidP="002F2B16">
            <w:pPr>
              <w:pStyle w:val="Sarakstarindkopa"/>
              <w:ind w:left="0"/>
              <w:jc w:val="center"/>
              <w:rPr>
                <w:szCs w:val="24"/>
              </w:rPr>
            </w:pPr>
            <w:r w:rsidRPr="009E0B9E">
              <w:rPr>
                <w:szCs w:val="24"/>
              </w:rPr>
              <w:t>2</w:t>
            </w:r>
          </w:p>
        </w:tc>
        <w:tc>
          <w:tcPr>
            <w:tcW w:w="4394" w:type="dxa"/>
          </w:tcPr>
          <w:p w:rsidR="00610204" w:rsidRPr="009E0B9E" w:rsidRDefault="00610204" w:rsidP="002F2B16">
            <w:pPr>
              <w:pStyle w:val="Sarakstarindkopa"/>
              <w:ind w:left="0"/>
              <w:jc w:val="center"/>
              <w:rPr>
                <w:szCs w:val="24"/>
              </w:rPr>
            </w:pPr>
            <w:r w:rsidRPr="009E0B9E">
              <w:rPr>
                <w:szCs w:val="24"/>
              </w:rPr>
              <w:t>3</w:t>
            </w:r>
          </w:p>
        </w:tc>
        <w:tc>
          <w:tcPr>
            <w:tcW w:w="2841" w:type="dxa"/>
          </w:tcPr>
          <w:p w:rsidR="00610204" w:rsidRPr="009E0B9E" w:rsidRDefault="00610204" w:rsidP="002F2B16">
            <w:pPr>
              <w:pStyle w:val="Sarakstarindkopa"/>
              <w:ind w:left="0"/>
              <w:jc w:val="center"/>
              <w:rPr>
                <w:szCs w:val="24"/>
              </w:rPr>
            </w:pPr>
            <w:r w:rsidRPr="009E0B9E">
              <w:rPr>
                <w:szCs w:val="24"/>
              </w:rPr>
              <w:t>4</w:t>
            </w:r>
          </w:p>
        </w:tc>
        <w:tc>
          <w:tcPr>
            <w:tcW w:w="2971" w:type="dxa"/>
          </w:tcPr>
          <w:p w:rsidR="00610204" w:rsidRPr="009E0B9E" w:rsidRDefault="00610204" w:rsidP="002F2B16">
            <w:pPr>
              <w:pStyle w:val="Sarakstarindkopa"/>
              <w:ind w:left="0"/>
              <w:jc w:val="center"/>
              <w:rPr>
                <w:szCs w:val="24"/>
              </w:rPr>
            </w:pPr>
            <w:r>
              <w:rPr>
                <w:szCs w:val="24"/>
              </w:rPr>
              <w:t>5</w:t>
            </w:r>
          </w:p>
        </w:tc>
      </w:tr>
      <w:tr w:rsidR="0083785E" w:rsidTr="0079035B">
        <w:tc>
          <w:tcPr>
            <w:tcW w:w="14601" w:type="dxa"/>
            <w:gridSpan w:val="5"/>
            <w:shd w:val="clear" w:color="auto" w:fill="auto"/>
          </w:tcPr>
          <w:p w:rsidR="0083785E" w:rsidRPr="00E636F0" w:rsidRDefault="0083785E" w:rsidP="00D04031">
            <w:pPr>
              <w:rPr>
                <w:b/>
                <w:szCs w:val="24"/>
              </w:rPr>
            </w:pPr>
            <w:r w:rsidRPr="005D2F5E">
              <w:rPr>
                <w:b/>
              </w:rPr>
              <w:t xml:space="preserve">Finanšu </w:t>
            </w:r>
            <w:r w:rsidRPr="00E636F0">
              <w:rPr>
                <w:b/>
                <w:szCs w:val="24"/>
              </w:rPr>
              <w:t>ministrija</w:t>
            </w:r>
          </w:p>
        </w:tc>
      </w:tr>
      <w:tr w:rsidR="0083785E" w:rsidTr="00601248">
        <w:tc>
          <w:tcPr>
            <w:tcW w:w="666" w:type="dxa"/>
            <w:shd w:val="clear" w:color="auto" w:fill="auto"/>
          </w:tcPr>
          <w:p w:rsidR="0083785E" w:rsidRPr="0008136F" w:rsidRDefault="0083785E" w:rsidP="0083785E">
            <w:pPr>
              <w:pStyle w:val="Sarakstarindkopa"/>
              <w:ind w:left="0"/>
              <w:jc w:val="center"/>
              <w:rPr>
                <w:szCs w:val="24"/>
              </w:rPr>
            </w:pPr>
            <w:r w:rsidRPr="0008136F">
              <w:rPr>
                <w:szCs w:val="24"/>
              </w:rPr>
              <w:t>1.</w:t>
            </w:r>
          </w:p>
        </w:tc>
        <w:tc>
          <w:tcPr>
            <w:tcW w:w="3729" w:type="dxa"/>
            <w:shd w:val="clear" w:color="auto" w:fill="auto"/>
          </w:tcPr>
          <w:p w:rsidR="0083785E" w:rsidRPr="0008136F" w:rsidRDefault="00EF18CC" w:rsidP="0083785E">
            <w:pPr>
              <w:pStyle w:val="Sarakstarindkopa"/>
              <w:ind w:left="0"/>
              <w:rPr>
                <w:b/>
                <w:szCs w:val="24"/>
              </w:rPr>
            </w:pPr>
            <w:r w:rsidRPr="00EF18CC">
              <w:rPr>
                <w:szCs w:val="24"/>
              </w:rPr>
              <w:t xml:space="preserve">3. Ja nekavējoties nepieciešams </w:t>
            </w:r>
            <w:r w:rsidRPr="00E50CB3">
              <w:rPr>
                <w:szCs w:val="24"/>
              </w:rPr>
              <w:t>uzsākt darbību,</w:t>
            </w:r>
            <w:r w:rsidRPr="00EF18CC">
              <w:rPr>
                <w:szCs w:val="24"/>
              </w:rPr>
              <w:t xml:space="preserve"> kuras cena nav noteikta šo noteikumu pielikumā, Zemkopības ministrija un Pārtikas drošības, dzīvnieku veselības un vides zinātniskais institūts „BIOR”, pamatojoties uz iesniegtajiem aprēķiniem, vienojas par cenu, kāda piemērojama līdz attiecīga šo noteikumu grozījuma spēkā stāšanās dienai.</w:t>
            </w:r>
          </w:p>
        </w:tc>
        <w:tc>
          <w:tcPr>
            <w:tcW w:w="4394" w:type="dxa"/>
            <w:shd w:val="clear" w:color="auto" w:fill="auto"/>
          </w:tcPr>
          <w:p w:rsidR="0083785E" w:rsidRPr="002D6EA9" w:rsidRDefault="00EF18CC" w:rsidP="0083785E">
            <w:pPr>
              <w:ind w:right="12"/>
              <w:rPr>
                <w:szCs w:val="24"/>
              </w:rPr>
            </w:pPr>
            <w:r>
              <w:rPr>
                <w:szCs w:val="24"/>
              </w:rPr>
              <w:t xml:space="preserve">1. Attiecībā uz noteikumu projekta 3.punktu vēršam uzmanību, ka pirms pakalpojumu saraksta un pakalpojumu aprakstu veidošanas nepieciešams izvērtēt iestādes sniegtos pakalpojumus iestādes funkciju un uzdevumu griezumā, kā arī pakalpojumu saturu (ietverto procedūru daudzumu) atbilstoši normatīvajam regulējumam un iestādes pakalpojumu sniegšanas procesiem, attiecīgi iestādei, sagatavojot jaunu cenrādi, ir jāizvērtē visus iespējamos sniedzamos pakalpojumus un tā izmaksas, tādējādi nav skaidra noteikumu projekta 3.punktā iekļautā regulējuma nepieciešamība. Vienlaikus nav skaidrs minētā punkta atbilstība noteikumu projekta deleģējumiem, kuri paredz, ka Ministru kabinets nosaka cenrādi. Ņemot  vērā minēto, lūdzam sniegt detalizētāku </w:t>
            </w:r>
            <w:r>
              <w:rPr>
                <w:szCs w:val="24"/>
              </w:rPr>
              <w:lastRenderedPageBreak/>
              <w:t>skaidrojumu šāda regulējuma nepieciešamībai noteikumu projekta anotācijā un nepieciešamības gadījumā precizēt noteikumu projekta 3.punkta redakciju.</w:t>
            </w:r>
          </w:p>
        </w:tc>
        <w:tc>
          <w:tcPr>
            <w:tcW w:w="2841" w:type="dxa"/>
            <w:shd w:val="clear" w:color="auto" w:fill="auto"/>
          </w:tcPr>
          <w:p w:rsidR="0083785E" w:rsidRPr="008B08FF" w:rsidRDefault="0083785E" w:rsidP="0083785E">
            <w:pPr>
              <w:pStyle w:val="Sarakstarindkopa"/>
              <w:ind w:left="0"/>
              <w:jc w:val="center"/>
              <w:rPr>
                <w:szCs w:val="24"/>
              </w:rPr>
            </w:pPr>
            <w:r w:rsidRPr="008B08FF">
              <w:rPr>
                <w:szCs w:val="24"/>
              </w:rPr>
              <w:lastRenderedPageBreak/>
              <w:t>Ņemts vērā</w:t>
            </w:r>
            <w:r>
              <w:rPr>
                <w:szCs w:val="24"/>
              </w:rPr>
              <w:t>.</w:t>
            </w:r>
          </w:p>
        </w:tc>
        <w:tc>
          <w:tcPr>
            <w:tcW w:w="2971" w:type="dxa"/>
            <w:shd w:val="clear" w:color="auto" w:fill="auto"/>
          </w:tcPr>
          <w:p w:rsidR="0059276F" w:rsidRPr="0059276F" w:rsidRDefault="0059276F" w:rsidP="0059276F">
            <w:pPr>
              <w:pStyle w:val="tv213"/>
              <w:shd w:val="clear" w:color="auto" w:fill="FFFFFF"/>
              <w:spacing w:before="0" w:beforeAutospacing="0" w:after="0" w:afterAutospacing="0"/>
              <w:jc w:val="both"/>
            </w:pPr>
            <w:r w:rsidRPr="0059276F">
              <w:t xml:space="preserve">3. Ja nekavējoties </w:t>
            </w:r>
            <w:r w:rsidRPr="00E50CB3">
              <w:t>nepieciešams veikt laboratorisko izmeklējumu, kura</w:t>
            </w:r>
            <w:r w:rsidRPr="0059276F">
              <w:t xml:space="preserve"> cena nav noteikta šo noteikumu pielikumā, Zemkopības ministrija un Pārtikas drošības, dzīvnieku veselības un vides zinātniskais institūts „BIOR”, pamatojoties uz iesniegtajiem aprēķiniem, vienojas par cenu, kāda piemērojama līdz attiecīga šo noteikumu grozījuma spēkā stāšanās dienai.</w:t>
            </w:r>
          </w:p>
          <w:p w:rsidR="008B25F6" w:rsidRPr="0059276F" w:rsidRDefault="008B25F6" w:rsidP="0083785E">
            <w:pPr>
              <w:pStyle w:val="Sarakstarindkopa"/>
              <w:ind w:left="0"/>
              <w:rPr>
                <w:szCs w:val="24"/>
                <w:highlight w:val="yellow"/>
              </w:rPr>
            </w:pPr>
          </w:p>
          <w:p w:rsidR="0083785E" w:rsidRPr="0059276F" w:rsidRDefault="0083785E" w:rsidP="0083785E">
            <w:pPr>
              <w:pStyle w:val="Sarakstarindkopa"/>
              <w:ind w:left="0"/>
              <w:rPr>
                <w:szCs w:val="24"/>
              </w:rPr>
            </w:pPr>
            <w:r w:rsidRPr="00E02421">
              <w:rPr>
                <w:szCs w:val="24"/>
              </w:rPr>
              <w:t>Skatīt anotācijas I sadaļas 2. punktu.</w:t>
            </w:r>
          </w:p>
          <w:p w:rsidR="0083785E" w:rsidRPr="008B08FF" w:rsidRDefault="0083785E" w:rsidP="0083785E">
            <w:pPr>
              <w:pStyle w:val="Sarakstarindkopa"/>
              <w:ind w:left="0"/>
              <w:rPr>
                <w:szCs w:val="24"/>
              </w:rPr>
            </w:pPr>
          </w:p>
        </w:tc>
      </w:tr>
      <w:tr w:rsidR="00FD30D0" w:rsidTr="008938FE">
        <w:tc>
          <w:tcPr>
            <w:tcW w:w="666" w:type="dxa"/>
            <w:shd w:val="clear" w:color="auto" w:fill="auto"/>
          </w:tcPr>
          <w:p w:rsidR="00FD30D0" w:rsidRPr="0008136F" w:rsidRDefault="00FD30D0" w:rsidP="00FD30D0">
            <w:pPr>
              <w:pStyle w:val="Sarakstarindkopa"/>
              <w:ind w:left="0"/>
              <w:jc w:val="center"/>
              <w:rPr>
                <w:szCs w:val="24"/>
              </w:rPr>
            </w:pPr>
            <w:r>
              <w:rPr>
                <w:szCs w:val="24"/>
              </w:rPr>
              <w:t>2.</w:t>
            </w:r>
          </w:p>
        </w:tc>
        <w:tc>
          <w:tcPr>
            <w:tcW w:w="3729" w:type="dxa"/>
            <w:shd w:val="clear" w:color="auto" w:fill="auto"/>
          </w:tcPr>
          <w:p w:rsidR="00FD30D0" w:rsidRPr="00745675" w:rsidRDefault="00FD30D0" w:rsidP="00FD30D0">
            <w:pPr>
              <w:rPr>
                <w:rFonts w:eastAsia="Times New Roman"/>
                <w:sz w:val="28"/>
                <w:szCs w:val="28"/>
                <w:lang w:eastAsia="lv-LV"/>
              </w:rPr>
            </w:pPr>
            <w:r>
              <w:rPr>
                <w:szCs w:val="24"/>
              </w:rPr>
              <w:t>Anotācijas I un III sadaļa.</w:t>
            </w:r>
          </w:p>
        </w:tc>
        <w:tc>
          <w:tcPr>
            <w:tcW w:w="4394" w:type="dxa"/>
            <w:shd w:val="clear" w:color="auto" w:fill="auto"/>
          </w:tcPr>
          <w:p w:rsidR="00FD30D0" w:rsidRPr="002D6EA9" w:rsidRDefault="00FD30D0" w:rsidP="00FD30D0">
            <w:pPr>
              <w:ind w:right="12"/>
              <w:rPr>
                <w:szCs w:val="24"/>
              </w:rPr>
            </w:pPr>
            <w:r>
              <w:rPr>
                <w:szCs w:val="24"/>
              </w:rPr>
              <w:t>2. Ņemot vērā, ka noteikumu projekts paredz noteikt cenrādi par Pārtikas drošības, dzīvnieku veselības un vides zinātniskais institūts „BIOR” (turpmāk – BIOR) valsts pārvaldes uzdevuma ietvaros sniegtajiem maksas pakalpojumiem un anotācijā norādīto sabiedrības projekta mērķa grupu, lūdzam svītrot noteikumu projekta anotācijas III sadaļā sniegto informāciju, jo noteikumu projekts neregulē jautājumu par valsts uzraudzības un kontroles programmu ietvaros BIOR veicamajiem uzdevumiem un to apmēru. Attiecīgi lūdzam precizēt arī anotācijas I sadaļā sniegto informāciju.</w:t>
            </w:r>
          </w:p>
        </w:tc>
        <w:tc>
          <w:tcPr>
            <w:tcW w:w="2841" w:type="dxa"/>
            <w:shd w:val="clear" w:color="auto" w:fill="auto"/>
          </w:tcPr>
          <w:p w:rsidR="00FD30D0" w:rsidRPr="001A291E" w:rsidRDefault="00FD30D0" w:rsidP="00FD30D0">
            <w:pPr>
              <w:pStyle w:val="Sarakstarindkopa"/>
              <w:ind w:left="0"/>
              <w:jc w:val="center"/>
              <w:rPr>
                <w:szCs w:val="24"/>
              </w:rPr>
            </w:pPr>
            <w:r w:rsidRPr="001A291E">
              <w:rPr>
                <w:szCs w:val="24"/>
              </w:rPr>
              <w:t>Ņemts vērā.</w:t>
            </w:r>
          </w:p>
        </w:tc>
        <w:tc>
          <w:tcPr>
            <w:tcW w:w="2971" w:type="dxa"/>
            <w:shd w:val="clear" w:color="auto" w:fill="auto"/>
          </w:tcPr>
          <w:p w:rsidR="00FD30D0" w:rsidRPr="001A291E" w:rsidRDefault="00FD30D0" w:rsidP="00FD30D0">
            <w:pPr>
              <w:pStyle w:val="Sarakstarindkopa"/>
              <w:ind w:left="0"/>
              <w:rPr>
                <w:szCs w:val="24"/>
                <w:highlight w:val="yellow"/>
              </w:rPr>
            </w:pPr>
            <w:r w:rsidRPr="001A291E">
              <w:rPr>
                <w:szCs w:val="24"/>
              </w:rPr>
              <w:t>Skatīt anotāciju.</w:t>
            </w:r>
          </w:p>
        </w:tc>
      </w:tr>
      <w:tr w:rsidR="00C22C7B" w:rsidTr="00644ACD">
        <w:tc>
          <w:tcPr>
            <w:tcW w:w="14601" w:type="dxa"/>
            <w:gridSpan w:val="5"/>
            <w:shd w:val="clear" w:color="auto" w:fill="auto"/>
          </w:tcPr>
          <w:p w:rsidR="00C22C7B" w:rsidRPr="00C22C7B" w:rsidRDefault="00C22C7B" w:rsidP="0083785E">
            <w:pPr>
              <w:pStyle w:val="Sarakstarindkopa"/>
              <w:ind w:left="0"/>
              <w:rPr>
                <w:b/>
                <w:bCs/>
                <w:szCs w:val="24"/>
                <w:highlight w:val="yellow"/>
              </w:rPr>
            </w:pPr>
            <w:r w:rsidRPr="00C22C7B">
              <w:rPr>
                <w:b/>
                <w:bCs/>
                <w:szCs w:val="24"/>
              </w:rPr>
              <w:t>Veselības ministrija</w:t>
            </w:r>
          </w:p>
        </w:tc>
      </w:tr>
      <w:tr w:rsidR="0083785E" w:rsidTr="00EC323F">
        <w:tc>
          <w:tcPr>
            <w:tcW w:w="666" w:type="dxa"/>
            <w:shd w:val="clear" w:color="auto" w:fill="auto"/>
          </w:tcPr>
          <w:p w:rsidR="0083785E" w:rsidRDefault="00C22C7B" w:rsidP="0083785E">
            <w:pPr>
              <w:pStyle w:val="Sarakstarindkopa"/>
              <w:ind w:left="0"/>
              <w:jc w:val="center"/>
              <w:rPr>
                <w:szCs w:val="24"/>
              </w:rPr>
            </w:pPr>
            <w:r>
              <w:rPr>
                <w:szCs w:val="24"/>
              </w:rPr>
              <w:t>3</w:t>
            </w:r>
            <w:r w:rsidR="0083785E">
              <w:rPr>
                <w:szCs w:val="24"/>
              </w:rPr>
              <w:t>.</w:t>
            </w:r>
          </w:p>
        </w:tc>
        <w:tc>
          <w:tcPr>
            <w:tcW w:w="3729" w:type="dxa"/>
            <w:shd w:val="clear" w:color="auto" w:fill="auto"/>
          </w:tcPr>
          <w:p w:rsidR="0083785E" w:rsidRPr="00A158BD" w:rsidRDefault="0083785E" w:rsidP="0083785E">
            <w:pPr>
              <w:pStyle w:val="Sarakstarindkopa"/>
              <w:ind w:left="0"/>
              <w:rPr>
                <w:szCs w:val="24"/>
              </w:rPr>
            </w:pPr>
            <w:r>
              <w:rPr>
                <w:szCs w:val="24"/>
              </w:rPr>
              <w:t>Noteikumu projekta pielikums.</w:t>
            </w:r>
          </w:p>
        </w:tc>
        <w:tc>
          <w:tcPr>
            <w:tcW w:w="4394" w:type="dxa"/>
            <w:shd w:val="clear" w:color="auto" w:fill="auto"/>
          </w:tcPr>
          <w:p w:rsidR="0083785E" w:rsidRPr="00F60A61" w:rsidRDefault="001867B7" w:rsidP="001867B7">
            <w:pPr>
              <w:rPr>
                <w:szCs w:val="24"/>
              </w:rPr>
            </w:pPr>
            <w:r w:rsidRPr="001867B7">
              <w:rPr>
                <w:szCs w:val="24"/>
              </w:rPr>
              <w:t xml:space="preserve">1. Projekta pielikumā pievienotajā Pārtikas drošības, dzīvnieku veselības un vides zinātniskā institūta "BIOR" (turpmāk – BIOR) valsts pārvaldes uzdevumu ietvaros veikto darbību cenrādī sadaļā Nr. 2. "Pārtikas, ūdens un vides izmeklējumi" objektam </w:t>
            </w:r>
            <w:bookmarkStart w:id="0" w:name="_Hlk34312325"/>
            <w:r w:rsidRPr="001867B7">
              <w:rPr>
                <w:szCs w:val="24"/>
              </w:rPr>
              <w:t>"</w:t>
            </w:r>
            <w:bookmarkEnd w:id="0"/>
            <w:r w:rsidRPr="001867B7">
              <w:rPr>
                <w:szCs w:val="24"/>
              </w:rPr>
              <w:t>ūdens" (2.2.3.4.) rādītājam "</w:t>
            </w:r>
            <w:r w:rsidRPr="001867B7">
              <w:rPr>
                <w:i/>
                <w:iCs/>
                <w:szCs w:val="24"/>
              </w:rPr>
              <w:t>Escherichia coli</w:t>
            </w:r>
            <w:r w:rsidRPr="001867B7">
              <w:rPr>
                <w:szCs w:val="24"/>
              </w:rPr>
              <w:t> skaits" norādīta tikai metode</w:t>
            </w:r>
            <w:r w:rsidRPr="001867B7">
              <w:rPr>
                <w:b/>
                <w:bCs/>
                <w:szCs w:val="24"/>
              </w:rPr>
              <w:t> </w:t>
            </w:r>
            <w:r w:rsidRPr="001867B7">
              <w:rPr>
                <w:szCs w:val="24"/>
              </w:rPr>
              <w:t>ISO 9308-1. Norādām, ka</w:t>
            </w:r>
            <w:r w:rsidRPr="001867B7">
              <w:rPr>
                <w:b/>
                <w:bCs/>
                <w:szCs w:val="24"/>
              </w:rPr>
              <w:t> </w:t>
            </w:r>
            <w:r w:rsidRPr="001867B7">
              <w:rPr>
                <w:szCs w:val="24"/>
              </w:rPr>
              <w:t xml:space="preserve">oficiālajam peldvietu ūdens kvalitātes monitoringam un novērtējumam </w:t>
            </w:r>
            <w:r w:rsidRPr="001867B7">
              <w:rPr>
                <w:szCs w:val="24"/>
              </w:rPr>
              <w:lastRenderedPageBreak/>
              <w:t xml:space="preserve">Eiropas Komisija ir atļāvusi izmantot tikai metodi LVS EN ISO 9308-3:2006, kas ir atzīta par standartmetodi dabas ūdeņu analīzēm, bet ne cenrādī, ne izmeklējumu un citu darbību un pakalpojumu izcenojuma aprēķinā metode ISO 9308-3 nav iekļauta. Vēršam uzmanību, ka Veselības inspekcijas šobrīd spēkā esošajā līgumā par laboratorisko izmeklējumu veikšanu peldvietu ūdenim BIOR nodrošina </w:t>
            </w:r>
            <w:r w:rsidRPr="001867B7">
              <w:rPr>
                <w:i/>
                <w:iCs/>
                <w:szCs w:val="24"/>
              </w:rPr>
              <w:t>Escherichia coli</w:t>
            </w:r>
            <w:r w:rsidRPr="001867B7">
              <w:rPr>
                <w:szCs w:val="24"/>
              </w:rPr>
              <w:t xml:space="preserve"> analīzes saskaņā ar metodi LVS EN ISO 9308-3:2006. Šīs analīzes metodes izmantošana varētu būt aktuāla arī pašvaldībām. BIOR tīmekļvietnē (</w:t>
            </w:r>
            <w:hyperlink r:id="rId7" w:history="1">
              <w:r w:rsidRPr="001867B7">
                <w:rPr>
                  <w:rStyle w:val="Hipersaite"/>
                  <w:szCs w:val="24"/>
                </w:rPr>
                <w:t>https://bior.lv/lv/pakalpojumi/cenradis ?f%5B0%5D=kategorija%3A102</w:t>
              </w:r>
            </w:hyperlink>
            <w:r w:rsidRPr="001867B7">
              <w:rPr>
                <w:szCs w:val="24"/>
              </w:rPr>
              <w:t>) metodes LVS EN ISO 9308-3:2006 izmantošana ir minēta, norādot, ka metode ir akreditēta </w:t>
            </w:r>
            <w:r w:rsidRPr="001867B7">
              <w:rPr>
                <w:i/>
                <w:iCs/>
                <w:szCs w:val="24"/>
              </w:rPr>
              <w:t>Escherichia coli</w:t>
            </w:r>
            <w:r w:rsidRPr="001867B7">
              <w:rPr>
                <w:szCs w:val="24"/>
              </w:rPr>
              <w:t xml:space="preserve"> un koliformu izmeklējumiem. Uzskatām, ka šī konkrētā rādītāja izmeklējuma izmaksas būtu jāiekļauj pakalpojumu izcenojuma aprēķinā saskaņā ar Ministru kabineta 2005. gada 27. decembra noteikumiem Nr. 1031 </w:t>
            </w:r>
            <w:bookmarkStart w:id="1" w:name="_Hlk34312293"/>
            <w:r w:rsidRPr="001867B7">
              <w:rPr>
                <w:szCs w:val="24"/>
              </w:rPr>
              <w:t>"Noteikumi par budžetu izdevumu klasifikāciju atbilstoši ekonomiskajām kategorijām</w:t>
            </w:r>
            <w:bookmarkEnd w:id="1"/>
            <w:r w:rsidRPr="001867B7">
              <w:rPr>
                <w:szCs w:val="24"/>
              </w:rPr>
              <w:t>", lai maksa par laboratoriskajiem un diagnostikas izmeklējumiem būtu izsekojama un noteikta pēc vienotiem principiem, pamatojoties uz ekonomiski pamatotām izmaksām.</w:t>
            </w:r>
          </w:p>
        </w:tc>
        <w:tc>
          <w:tcPr>
            <w:tcW w:w="2841" w:type="dxa"/>
            <w:shd w:val="clear" w:color="auto" w:fill="auto"/>
          </w:tcPr>
          <w:p w:rsidR="0083785E" w:rsidRPr="00BC2E86" w:rsidRDefault="0083785E" w:rsidP="0083785E">
            <w:pPr>
              <w:pStyle w:val="Sarakstarindkopa"/>
              <w:ind w:left="0"/>
              <w:jc w:val="center"/>
              <w:rPr>
                <w:rFonts w:cs="Times New Roman"/>
                <w:szCs w:val="24"/>
              </w:rPr>
            </w:pPr>
            <w:r w:rsidRPr="00BC2E86">
              <w:rPr>
                <w:szCs w:val="24"/>
              </w:rPr>
              <w:lastRenderedPageBreak/>
              <w:t>Ņemts vērā.</w:t>
            </w:r>
          </w:p>
        </w:tc>
        <w:tc>
          <w:tcPr>
            <w:tcW w:w="2971" w:type="dxa"/>
            <w:shd w:val="clear" w:color="auto" w:fill="auto"/>
          </w:tcPr>
          <w:p w:rsidR="0083785E" w:rsidRPr="00BC2E86" w:rsidRDefault="0083785E" w:rsidP="0083785E">
            <w:pPr>
              <w:pStyle w:val="Sarakstarindkopa"/>
              <w:ind w:left="0"/>
              <w:rPr>
                <w:szCs w:val="24"/>
              </w:rPr>
            </w:pPr>
            <w:r w:rsidRPr="00BC2E86">
              <w:rPr>
                <w:szCs w:val="24"/>
              </w:rPr>
              <w:t>Noteikumu projekta pielikums</w:t>
            </w:r>
            <w:r w:rsidR="00845E52" w:rsidRPr="00BC2E86">
              <w:rPr>
                <w:szCs w:val="24"/>
              </w:rPr>
              <w:t xml:space="preserve"> </w:t>
            </w:r>
            <w:r w:rsidR="00BC2E86">
              <w:rPr>
                <w:szCs w:val="24"/>
              </w:rPr>
              <w:t>papildināts ar 2.2.3.8. apakšpunktu</w:t>
            </w:r>
            <w:r w:rsidRPr="00BC2E86">
              <w:rPr>
                <w:szCs w:val="24"/>
              </w:rPr>
              <w:t>.</w:t>
            </w:r>
          </w:p>
        </w:tc>
      </w:tr>
      <w:tr w:rsidR="002D28FE" w:rsidTr="00EC323F">
        <w:tc>
          <w:tcPr>
            <w:tcW w:w="666" w:type="dxa"/>
            <w:shd w:val="clear" w:color="auto" w:fill="auto"/>
          </w:tcPr>
          <w:p w:rsidR="002D28FE" w:rsidRDefault="002D28FE" w:rsidP="002D28FE">
            <w:pPr>
              <w:pStyle w:val="Sarakstarindkopa"/>
              <w:ind w:left="0"/>
              <w:jc w:val="center"/>
              <w:rPr>
                <w:szCs w:val="24"/>
              </w:rPr>
            </w:pPr>
            <w:r>
              <w:rPr>
                <w:szCs w:val="24"/>
              </w:rPr>
              <w:lastRenderedPageBreak/>
              <w:t>4.</w:t>
            </w:r>
          </w:p>
        </w:tc>
        <w:tc>
          <w:tcPr>
            <w:tcW w:w="3729" w:type="dxa"/>
            <w:shd w:val="clear" w:color="auto" w:fill="auto"/>
          </w:tcPr>
          <w:p w:rsidR="002D28FE" w:rsidRPr="0008136F" w:rsidRDefault="002D28FE" w:rsidP="002D28FE">
            <w:pPr>
              <w:pStyle w:val="Sarakstarindkopa"/>
              <w:ind w:left="0"/>
              <w:rPr>
                <w:b/>
                <w:szCs w:val="24"/>
              </w:rPr>
            </w:pPr>
            <w:r>
              <w:rPr>
                <w:szCs w:val="24"/>
              </w:rPr>
              <w:t>Noteikumu projekta pielikums.</w:t>
            </w:r>
          </w:p>
        </w:tc>
        <w:tc>
          <w:tcPr>
            <w:tcW w:w="4394" w:type="dxa"/>
            <w:shd w:val="clear" w:color="auto" w:fill="auto"/>
          </w:tcPr>
          <w:p w:rsidR="002D28FE" w:rsidRPr="005A32A3" w:rsidRDefault="002D28FE" w:rsidP="002D28FE">
            <w:pPr>
              <w:rPr>
                <w:szCs w:val="24"/>
              </w:rPr>
            </w:pPr>
            <w:r w:rsidRPr="001867B7">
              <w:rPr>
                <w:szCs w:val="24"/>
              </w:rPr>
              <w:t>2. Cenrādī  nav norādīti arī tādi dzeramā ūdens izmeklējumi kā arsēns, antimons, benzols, 1,2-dihloretāns, tetrahloretēns un trihloretēns, trihalogēnmetāni (kopā), bors, dzīvsudrabs, hroms, kadmijs, niķelis, pesticīdi, selēns, svins, varš, alumīnijs, dzelzs, mangāns, nātrijs, oksidējamība, kopējais organiskais ogleklis (TOC). Atsevišķi rādītāji no minētajiem iekļauti cenrādī kā pārtikas produktu</w:t>
            </w:r>
            <w:r w:rsidRPr="001867B7">
              <w:rPr>
                <w:b/>
                <w:bCs/>
                <w:szCs w:val="24"/>
              </w:rPr>
              <w:t> </w:t>
            </w:r>
            <w:r w:rsidRPr="001867B7">
              <w:rPr>
                <w:szCs w:val="24"/>
              </w:rPr>
              <w:t>izmeklējumi. Ņemot vērā, ka Ministru kabineta 2017. gada 14.novembra noteikumu Nr. 671 "Dzeramā ūdens obligātās nekaitīguma un kvalitātes prasības, monitoringa un kontroles kārtība" 51.punktā BIOR  ir nominēts kā dzeramā ūdens auditmonitoringa laboratorisko pārbaužu veicējs Latvijā (faktiski - nacionālā kompetentā laboratorija), lūdzam dzeramā ūdens izmeklējumus izdalīt cenrādī kā atsevišķu vienību.</w:t>
            </w:r>
          </w:p>
        </w:tc>
        <w:tc>
          <w:tcPr>
            <w:tcW w:w="2841" w:type="dxa"/>
            <w:shd w:val="clear" w:color="auto" w:fill="auto"/>
          </w:tcPr>
          <w:p w:rsidR="002D28FE" w:rsidRPr="00BC2E86" w:rsidRDefault="002D28FE" w:rsidP="002D28FE">
            <w:pPr>
              <w:pStyle w:val="Sarakstarindkopa"/>
              <w:ind w:left="0"/>
              <w:jc w:val="center"/>
              <w:rPr>
                <w:rFonts w:cs="Times New Roman"/>
                <w:szCs w:val="24"/>
              </w:rPr>
            </w:pPr>
            <w:r w:rsidRPr="00BC2E86">
              <w:rPr>
                <w:szCs w:val="24"/>
              </w:rPr>
              <w:t>Ņemts vērā.</w:t>
            </w:r>
          </w:p>
        </w:tc>
        <w:tc>
          <w:tcPr>
            <w:tcW w:w="2971" w:type="dxa"/>
            <w:shd w:val="clear" w:color="auto" w:fill="auto"/>
          </w:tcPr>
          <w:p w:rsidR="002D28FE" w:rsidRPr="00BC2E86" w:rsidRDefault="002D28FE" w:rsidP="002D28FE">
            <w:pPr>
              <w:pStyle w:val="Sarakstarindkopa"/>
              <w:ind w:left="0"/>
              <w:rPr>
                <w:szCs w:val="24"/>
              </w:rPr>
            </w:pPr>
            <w:r w:rsidRPr="00BC2E86">
              <w:rPr>
                <w:szCs w:val="24"/>
              </w:rPr>
              <w:t xml:space="preserve">Noteikumu projekta pielikums </w:t>
            </w:r>
            <w:r>
              <w:rPr>
                <w:szCs w:val="24"/>
              </w:rPr>
              <w:t>papildināts ar 2.1.21.10. -2.1.21.17. apakšpunktu</w:t>
            </w:r>
            <w:r w:rsidRPr="00BC2E86">
              <w:rPr>
                <w:szCs w:val="24"/>
              </w:rPr>
              <w:t>.</w:t>
            </w:r>
          </w:p>
        </w:tc>
      </w:tr>
      <w:tr w:rsidR="0083785E" w:rsidTr="007C7B87">
        <w:tc>
          <w:tcPr>
            <w:tcW w:w="14601" w:type="dxa"/>
            <w:gridSpan w:val="5"/>
            <w:shd w:val="clear" w:color="auto" w:fill="auto"/>
          </w:tcPr>
          <w:p w:rsidR="0083785E" w:rsidRPr="0083785E" w:rsidRDefault="0083785E" w:rsidP="0083785E">
            <w:pPr>
              <w:jc w:val="left"/>
              <w:rPr>
                <w:b/>
                <w:szCs w:val="23"/>
              </w:rPr>
            </w:pPr>
            <w:r w:rsidRPr="000F4B5E">
              <w:rPr>
                <w:b/>
                <w:szCs w:val="23"/>
              </w:rPr>
              <w:t>Vides aizsardzības un reģionālās attīstības ministrija</w:t>
            </w:r>
          </w:p>
        </w:tc>
      </w:tr>
      <w:tr w:rsidR="00F44453" w:rsidTr="00EC323F">
        <w:tc>
          <w:tcPr>
            <w:tcW w:w="666" w:type="dxa"/>
            <w:shd w:val="clear" w:color="auto" w:fill="auto"/>
          </w:tcPr>
          <w:p w:rsidR="00F44453" w:rsidRDefault="00F60D1B" w:rsidP="00F44453">
            <w:pPr>
              <w:pStyle w:val="Sarakstarindkopa"/>
              <w:ind w:left="0"/>
              <w:jc w:val="center"/>
              <w:rPr>
                <w:szCs w:val="24"/>
              </w:rPr>
            </w:pPr>
            <w:r>
              <w:rPr>
                <w:szCs w:val="24"/>
              </w:rPr>
              <w:t>5</w:t>
            </w:r>
            <w:r w:rsidR="00287951">
              <w:rPr>
                <w:szCs w:val="24"/>
              </w:rPr>
              <w:t>.</w:t>
            </w:r>
          </w:p>
        </w:tc>
        <w:tc>
          <w:tcPr>
            <w:tcW w:w="3729" w:type="dxa"/>
            <w:shd w:val="clear" w:color="auto" w:fill="auto"/>
          </w:tcPr>
          <w:p w:rsidR="00F44453" w:rsidRPr="003F50EF" w:rsidRDefault="00F60D1B" w:rsidP="00F44453">
            <w:pPr>
              <w:pStyle w:val="Sarakstarindkopa"/>
              <w:ind w:left="0"/>
              <w:rPr>
                <w:szCs w:val="24"/>
              </w:rPr>
            </w:pPr>
            <w:r>
              <w:rPr>
                <w:szCs w:val="24"/>
              </w:rPr>
              <w:t>A</w:t>
            </w:r>
            <w:r w:rsidR="0083785E">
              <w:rPr>
                <w:szCs w:val="24"/>
              </w:rPr>
              <w:t>notācijas I sadaļas 2. punkts</w:t>
            </w:r>
            <w:r>
              <w:rPr>
                <w:szCs w:val="24"/>
              </w:rPr>
              <w:t>.</w:t>
            </w:r>
          </w:p>
        </w:tc>
        <w:tc>
          <w:tcPr>
            <w:tcW w:w="4394" w:type="dxa"/>
            <w:shd w:val="clear" w:color="auto" w:fill="auto"/>
          </w:tcPr>
          <w:p w:rsidR="003228D3" w:rsidRPr="00C57092" w:rsidRDefault="0096628A" w:rsidP="0096628A">
            <w:pPr>
              <w:tabs>
                <w:tab w:val="left" w:pos="276"/>
              </w:tabs>
              <w:contextualSpacing/>
              <w:rPr>
                <w:szCs w:val="24"/>
              </w:rPr>
            </w:pPr>
            <w:r>
              <w:rPr>
                <w:szCs w:val="24"/>
              </w:rPr>
              <w:t xml:space="preserve">1. </w:t>
            </w:r>
            <w:r w:rsidR="003228D3" w:rsidRPr="00C57092">
              <w:rPr>
                <w:szCs w:val="24"/>
              </w:rPr>
              <w:t xml:space="preserve">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w:t>
            </w:r>
            <w:r w:rsidR="003228D3" w:rsidRPr="00C57092">
              <w:rPr>
                <w:szCs w:val="24"/>
                <w:u w:val="single"/>
              </w:rPr>
              <w:t>pilnveidot esošos</w:t>
            </w:r>
            <w:r w:rsidR="003228D3" w:rsidRPr="00C57092">
              <w:rPr>
                <w:szCs w:val="24"/>
              </w:rPr>
              <w:t xml:space="preserve">, kā arī to, vai pakalpojums tiks sniegts </w:t>
            </w:r>
            <w:r w:rsidR="003228D3" w:rsidRPr="00C57092">
              <w:rPr>
                <w:szCs w:val="24"/>
              </w:rPr>
              <w:lastRenderedPageBreak/>
              <w:t xml:space="preserve">elektroniski (ja pakalpojums nav pieejams elektroniski, vai ir plānots veidot elektronisku kanālu). </w:t>
            </w:r>
          </w:p>
          <w:p w:rsidR="00F44453" w:rsidRPr="0096628A" w:rsidRDefault="003228D3" w:rsidP="00F44453">
            <w:pPr>
              <w:rPr>
                <w:szCs w:val="24"/>
              </w:rPr>
            </w:pPr>
            <w:r w:rsidRPr="00C57092">
              <w:rPr>
                <w:szCs w:val="24"/>
              </w:rPr>
              <w:t>Ar noteikumu projektu tiek pilnveidoti “Pārtikas drošības, dzīvnieku veselības un vides zinātniskā institūts „BIOR”” valsts pārvaldes pakalpojumu pašizmaksas aprēķināšanas kārtību. Ņemot vērā minēto, lūdzam atbilstoši MK instrukcijas Nr.19 14.4. apakšpunktā noteiktajam, anotācijas I sadaļas 2. punktā norādīt valsts pārvaldes pakalpojumu nosaukumus un tā sniegšanas kanālus. Saskaņā ar Ministru kabineta 2017. gada 4. jūlija noteikumu Nr.399 “Valsts pārvaldes pakalpojumu uzskaites, kvalitātes kontroles un sniegšanas kārtība” 17. punktu pakalpojumu pieprasīšanas un saņemšanas kanāli iedalāmi klātienes un neklātienes kanālos.</w:t>
            </w:r>
          </w:p>
        </w:tc>
        <w:tc>
          <w:tcPr>
            <w:tcW w:w="2841" w:type="dxa"/>
            <w:shd w:val="clear" w:color="auto" w:fill="auto"/>
          </w:tcPr>
          <w:p w:rsidR="00503C8F" w:rsidRPr="008B08FF" w:rsidRDefault="007E0591" w:rsidP="006D483E">
            <w:pPr>
              <w:pStyle w:val="Sarakstarindkopa"/>
              <w:ind w:left="0"/>
              <w:jc w:val="center"/>
              <w:rPr>
                <w:szCs w:val="24"/>
              </w:rPr>
            </w:pPr>
            <w:r>
              <w:rPr>
                <w:szCs w:val="24"/>
              </w:rPr>
              <w:lastRenderedPageBreak/>
              <w:t>Ņemts vērā</w:t>
            </w:r>
            <w:r w:rsidR="00B4769E">
              <w:rPr>
                <w:szCs w:val="24"/>
              </w:rPr>
              <w:t>.</w:t>
            </w:r>
          </w:p>
        </w:tc>
        <w:tc>
          <w:tcPr>
            <w:tcW w:w="2971" w:type="dxa"/>
            <w:shd w:val="clear" w:color="auto" w:fill="auto"/>
          </w:tcPr>
          <w:p w:rsidR="003F4F59" w:rsidRPr="00BE31F7" w:rsidRDefault="00CC192D" w:rsidP="007E0591">
            <w:pPr>
              <w:pStyle w:val="Sarakstarindkopa"/>
              <w:ind w:left="0"/>
              <w:rPr>
                <w:szCs w:val="24"/>
                <w:highlight w:val="yellow"/>
              </w:rPr>
            </w:pPr>
            <w:r w:rsidRPr="00F12C9F">
              <w:rPr>
                <w:szCs w:val="24"/>
              </w:rPr>
              <w:t>Skatīt a</w:t>
            </w:r>
            <w:r w:rsidR="003F4F59" w:rsidRPr="00F12C9F">
              <w:rPr>
                <w:szCs w:val="24"/>
              </w:rPr>
              <w:t>notācijas I</w:t>
            </w:r>
            <w:r w:rsidR="00AE798F" w:rsidRPr="00F12C9F">
              <w:rPr>
                <w:szCs w:val="24"/>
              </w:rPr>
              <w:t> </w:t>
            </w:r>
            <w:r w:rsidR="003F4F59" w:rsidRPr="00F12C9F">
              <w:rPr>
                <w:szCs w:val="24"/>
              </w:rPr>
              <w:t>sadaļas 2.</w:t>
            </w:r>
            <w:r w:rsidR="00E01947" w:rsidRPr="00F12C9F">
              <w:rPr>
                <w:szCs w:val="24"/>
              </w:rPr>
              <w:t> </w:t>
            </w:r>
            <w:r w:rsidR="003F4F59" w:rsidRPr="00F12C9F">
              <w:rPr>
                <w:szCs w:val="24"/>
              </w:rPr>
              <w:t>punkt</w:t>
            </w:r>
            <w:r w:rsidR="00F12C9F" w:rsidRPr="00F12C9F">
              <w:rPr>
                <w:szCs w:val="24"/>
              </w:rPr>
              <w:t>u</w:t>
            </w:r>
            <w:r w:rsidR="003F4F59" w:rsidRPr="00F12C9F">
              <w:rPr>
                <w:szCs w:val="24"/>
              </w:rPr>
              <w:t>.</w:t>
            </w:r>
          </w:p>
        </w:tc>
      </w:tr>
      <w:tr w:rsidR="0096628A" w:rsidTr="00EC323F">
        <w:tc>
          <w:tcPr>
            <w:tcW w:w="666" w:type="dxa"/>
            <w:shd w:val="clear" w:color="auto" w:fill="auto"/>
          </w:tcPr>
          <w:p w:rsidR="0096628A" w:rsidRDefault="00F60D1B" w:rsidP="0096628A">
            <w:pPr>
              <w:pStyle w:val="Sarakstarindkopa"/>
              <w:ind w:left="0"/>
              <w:jc w:val="center"/>
              <w:rPr>
                <w:szCs w:val="24"/>
              </w:rPr>
            </w:pPr>
            <w:r>
              <w:rPr>
                <w:szCs w:val="24"/>
              </w:rPr>
              <w:t>6.</w:t>
            </w:r>
          </w:p>
        </w:tc>
        <w:tc>
          <w:tcPr>
            <w:tcW w:w="3729" w:type="dxa"/>
            <w:shd w:val="clear" w:color="auto" w:fill="auto"/>
          </w:tcPr>
          <w:p w:rsidR="0096628A" w:rsidRDefault="00F60D1B" w:rsidP="0096628A">
            <w:pPr>
              <w:pStyle w:val="Sarakstarindkopa"/>
              <w:ind w:left="0"/>
              <w:rPr>
                <w:szCs w:val="24"/>
              </w:rPr>
            </w:pPr>
            <w:r>
              <w:rPr>
                <w:szCs w:val="24"/>
              </w:rPr>
              <w:t>A</w:t>
            </w:r>
            <w:r w:rsidR="006478DE">
              <w:rPr>
                <w:szCs w:val="24"/>
              </w:rPr>
              <w:t>notācijas I sadaļas 2. punkts</w:t>
            </w:r>
            <w:r>
              <w:rPr>
                <w:szCs w:val="24"/>
              </w:rPr>
              <w:t>.</w:t>
            </w:r>
          </w:p>
        </w:tc>
        <w:tc>
          <w:tcPr>
            <w:tcW w:w="4394" w:type="dxa"/>
            <w:shd w:val="clear" w:color="auto" w:fill="auto"/>
          </w:tcPr>
          <w:p w:rsidR="0096628A" w:rsidRPr="000F4B5E" w:rsidRDefault="0096628A" w:rsidP="0096628A">
            <w:pPr>
              <w:rPr>
                <w:b/>
                <w:szCs w:val="23"/>
              </w:rPr>
            </w:pPr>
            <w:r>
              <w:rPr>
                <w:szCs w:val="24"/>
              </w:rPr>
              <w:t xml:space="preserve">2. </w:t>
            </w:r>
            <w:r w:rsidRPr="00C57092">
              <w:rPr>
                <w:szCs w:val="24"/>
              </w:rPr>
              <w:t>Pēc noteikumu projekta spēkā stāšanās saskaņā ar Ministru kabineta 2017. gada 4. jūlija noteikumu Nr.399 “Valsts pārvaldes pakalpojumu uzskaites, kvalitātes kontroles un sniegšanas kārtība” 9.  punktu lūdzam veikt pakalpojumu aprakstīšanu valsts pārvaldes pakalpojumu portālā Latvija.lv.</w:t>
            </w:r>
          </w:p>
        </w:tc>
        <w:tc>
          <w:tcPr>
            <w:tcW w:w="2841" w:type="dxa"/>
            <w:shd w:val="clear" w:color="auto" w:fill="auto"/>
          </w:tcPr>
          <w:p w:rsidR="0096628A" w:rsidRPr="008B08FF" w:rsidRDefault="0096628A" w:rsidP="0096628A">
            <w:pPr>
              <w:pStyle w:val="Sarakstarindkopa"/>
              <w:ind w:left="0"/>
              <w:jc w:val="center"/>
              <w:rPr>
                <w:szCs w:val="24"/>
              </w:rPr>
            </w:pPr>
            <w:r>
              <w:rPr>
                <w:szCs w:val="24"/>
              </w:rPr>
              <w:t>Ņemts vērā.</w:t>
            </w:r>
          </w:p>
        </w:tc>
        <w:tc>
          <w:tcPr>
            <w:tcW w:w="2971" w:type="dxa"/>
            <w:shd w:val="clear" w:color="auto" w:fill="auto"/>
          </w:tcPr>
          <w:p w:rsidR="0096628A" w:rsidRPr="00BE31F7" w:rsidRDefault="0096628A" w:rsidP="0096628A">
            <w:pPr>
              <w:pStyle w:val="Sarakstarindkopa"/>
              <w:ind w:left="0"/>
              <w:rPr>
                <w:szCs w:val="24"/>
                <w:highlight w:val="yellow"/>
              </w:rPr>
            </w:pPr>
            <w:r w:rsidRPr="00F12C9F">
              <w:rPr>
                <w:szCs w:val="24"/>
              </w:rPr>
              <w:t>Skatīt anotācijas I sadaļas 2. punkt</w:t>
            </w:r>
            <w:r w:rsidR="00F12C9F" w:rsidRPr="00F12C9F">
              <w:rPr>
                <w:szCs w:val="24"/>
              </w:rPr>
              <w:t>u.</w:t>
            </w:r>
          </w:p>
        </w:tc>
      </w:tr>
    </w:tbl>
    <w:tbl>
      <w:tblPr>
        <w:tblW w:w="9287" w:type="dxa"/>
        <w:tblInd w:w="8" w:type="dxa"/>
        <w:tblLayout w:type="fixed"/>
        <w:tblLook w:val="00A0" w:firstRow="1" w:lastRow="0" w:firstColumn="1" w:lastColumn="0" w:noHBand="0" w:noVBand="0"/>
      </w:tblPr>
      <w:tblGrid>
        <w:gridCol w:w="3108"/>
        <w:gridCol w:w="6179"/>
      </w:tblGrid>
      <w:tr w:rsidR="007F5A7F" w:rsidRPr="00862861" w:rsidTr="00834D34">
        <w:tc>
          <w:tcPr>
            <w:tcW w:w="3108" w:type="dxa"/>
          </w:tcPr>
          <w:p w:rsidR="005A7D57" w:rsidRDefault="005A7D57" w:rsidP="00834D34">
            <w:pPr>
              <w:pStyle w:val="naiskr"/>
              <w:spacing w:before="0" w:after="0"/>
            </w:pPr>
          </w:p>
          <w:p w:rsidR="007F5A7F" w:rsidRPr="00862861" w:rsidRDefault="007F5A7F" w:rsidP="00834D34">
            <w:pPr>
              <w:pStyle w:val="naiskr"/>
              <w:spacing w:before="0" w:after="0"/>
            </w:pPr>
            <w:bookmarkStart w:id="2" w:name="_GoBack"/>
            <w:bookmarkEnd w:id="2"/>
            <w:r w:rsidRPr="00862861">
              <w:t>Atbildīgā amatpersona</w:t>
            </w:r>
          </w:p>
        </w:tc>
        <w:tc>
          <w:tcPr>
            <w:tcW w:w="6179" w:type="dxa"/>
          </w:tcPr>
          <w:p w:rsidR="007F5A7F" w:rsidRPr="00862861" w:rsidRDefault="007F5A7F" w:rsidP="00834D34">
            <w:pPr>
              <w:pStyle w:val="naiskr"/>
              <w:spacing w:before="0" w:after="0"/>
              <w:ind w:firstLine="720"/>
            </w:pPr>
            <w:r w:rsidRPr="00862861">
              <w:t>  </w:t>
            </w:r>
          </w:p>
        </w:tc>
      </w:tr>
      <w:tr w:rsidR="007F5A7F" w:rsidRPr="00862861" w:rsidTr="00834D34">
        <w:tc>
          <w:tcPr>
            <w:tcW w:w="3108" w:type="dxa"/>
          </w:tcPr>
          <w:p w:rsidR="007F5A7F" w:rsidRPr="00862861" w:rsidRDefault="007F5A7F" w:rsidP="00834D34">
            <w:pPr>
              <w:pStyle w:val="naiskr"/>
              <w:spacing w:before="0" w:after="0"/>
              <w:ind w:firstLine="720"/>
            </w:pPr>
          </w:p>
        </w:tc>
        <w:tc>
          <w:tcPr>
            <w:tcW w:w="6179" w:type="dxa"/>
            <w:tcBorders>
              <w:top w:val="single" w:sz="6" w:space="0" w:color="000000"/>
            </w:tcBorders>
          </w:tcPr>
          <w:p w:rsidR="007F5A7F" w:rsidRPr="00862861" w:rsidRDefault="007F5A7F" w:rsidP="00834D34">
            <w:pPr>
              <w:pStyle w:val="naisc"/>
              <w:spacing w:before="0" w:after="0"/>
              <w:ind w:firstLine="720"/>
            </w:pPr>
            <w:r w:rsidRPr="00862861">
              <w:t>(paraksts)</w:t>
            </w:r>
          </w:p>
        </w:tc>
      </w:tr>
    </w:tbl>
    <w:p w:rsidR="007F5A7F" w:rsidRDefault="007F5A7F" w:rsidP="007F5A7F">
      <w:pPr>
        <w:pStyle w:val="naisf"/>
        <w:spacing w:before="0" w:after="0"/>
        <w:ind w:firstLine="0"/>
      </w:pPr>
    </w:p>
    <w:p w:rsidR="007F5A7F" w:rsidRDefault="007F5A7F" w:rsidP="007F5A7F">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7F5A7F" w:rsidRPr="00712B66" w:rsidRDefault="007F5A7F" w:rsidP="007F5A7F">
      <w:pPr>
        <w:pStyle w:val="naisf"/>
        <w:spacing w:before="0" w:after="0"/>
        <w:ind w:firstLine="720"/>
      </w:pPr>
    </w:p>
    <w:p w:rsidR="007F5A7F" w:rsidRPr="00862861" w:rsidRDefault="007F5A7F" w:rsidP="007F5A7F">
      <w:pPr>
        <w:pStyle w:val="naisf"/>
        <w:spacing w:before="0" w:after="0"/>
        <w:ind w:firstLine="3402"/>
        <w:jc w:val="left"/>
      </w:pPr>
      <w:r w:rsidRPr="00862861">
        <w:t>Linda Gurecka</w:t>
      </w:r>
    </w:p>
    <w:tbl>
      <w:tblPr>
        <w:tblW w:w="0" w:type="auto"/>
        <w:tblLook w:val="00A0" w:firstRow="1" w:lastRow="0" w:firstColumn="1" w:lastColumn="0" w:noHBand="0" w:noVBand="0"/>
      </w:tblPr>
      <w:tblGrid>
        <w:gridCol w:w="8268"/>
      </w:tblGrid>
      <w:tr w:rsidR="007F5A7F" w:rsidRPr="00862861" w:rsidTr="00834D34">
        <w:tc>
          <w:tcPr>
            <w:tcW w:w="8268" w:type="dxa"/>
            <w:tcBorders>
              <w:top w:val="single" w:sz="4" w:space="0" w:color="000000"/>
            </w:tcBorders>
          </w:tcPr>
          <w:p w:rsidR="007F5A7F" w:rsidRPr="00862861" w:rsidRDefault="007F5A7F" w:rsidP="00834D34">
            <w:pPr>
              <w:jc w:val="center"/>
            </w:pPr>
            <w:r w:rsidRPr="00862861">
              <w:t>(par projektu atbildīgās amatpersonas vārds un uzvārds)</w:t>
            </w:r>
          </w:p>
        </w:tc>
      </w:tr>
      <w:tr w:rsidR="007F5A7F" w:rsidRPr="00862861" w:rsidTr="00834D34">
        <w:tc>
          <w:tcPr>
            <w:tcW w:w="8268" w:type="dxa"/>
            <w:tcBorders>
              <w:bottom w:val="single" w:sz="4" w:space="0" w:color="000000"/>
            </w:tcBorders>
          </w:tcPr>
          <w:p w:rsidR="007F5A7F" w:rsidRPr="00862861" w:rsidRDefault="007F5A7F" w:rsidP="00834D34">
            <w:pPr>
              <w:jc w:val="center"/>
            </w:pPr>
            <w:r w:rsidRPr="00862861">
              <w:t>Veterinārā un pārtikas departamenta juriskonsulte</w:t>
            </w:r>
          </w:p>
        </w:tc>
      </w:tr>
      <w:tr w:rsidR="007F5A7F" w:rsidRPr="00862861" w:rsidTr="00834D34">
        <w:tc>
          <w:tcPr>
            <w:tcW w:w="8268" w:type="dxa"/>
            <w:tcBorders>
              <w:top w:val="single" w:sz="4" w:space="0" w:color="000000"/>
            </w:tcBorders>
          </w:tcPr>
          <w:p w:rsidR="007F5A7F" w:rsidRPr="00862861" w:rsidRDefault="007F5A7F" w:rsidP="00834D34">
            <w:pPr>
              <w:jc w:val="center"/>
            </w:pPr>
            <w:r w:rsidRPr="00862861">
              <w:t>(amats)</w:t>
            </w:r>
          </w:p>
        </w:tc>
      </w:tr>
      <w:tr w:rsidR="007F5A7F" w:rsidRPr="00862861" w:rsidTr="00834D34">
        <w:tc>
          <w:tcPr>
            <w:tcW w:w="8268" w:type="dxa"/>
            <w:tcBorders>
              <w:bottom w:val="single" w:sz="4" w:space="0" w:color="000000"/>
            </w:tcBorders>
          </w:tcPr>
          <w:p w:rsidR="007F5A7F" w:rsidRPr="00862861" w:rsidRDefault="007F5A7F" w:rsidP="00834D34">
            <w:pPr>
              <w:jc w:val="center"/>
            </w:pPr>
            <w:r w:rsidRPr="00862861">
              <w:t>Tālr.: 26614495</w:t>
            </w:r>
          </w:p>
        </w:tc>
      </w:tr>
      <w:tr w:rsidR="007F5A7F" w:rsidRPr="00862861" w:rsidTr="00834D34">
        <w:tc>
          <w:tcPr>
            <w:tcW w:w="8268" w:type="dxa"/>
            <w:tcBorders>
              <w:top w:val="single" w:sz="4" w:space="0" w:color="000000"/>
            </w:tcBorders>
          </w:tcPr>
          <w:p w:rsidR="007F5A7F" w:rsidRPr="00862861" w:rsidRDefault="007F5A7F" w:rsidP="00834D34">
            <w:pPr>
              <w:jc w:val="center"/>
            </w:pPr>
            <w:r w:rsidRPr="00862861">
              <w:t>(tālruņa numurs)</w:t>
            </w:r>
          </w:p>
        </w:tc>
      </w:tr>
      <w:tr w:rsidR="007F5A7F" w:rsidRPr="00862861" w:rsidTr="00834D34">
        <w:tc>
          <w:tcPr>
            <w:tcW w:w="8268" w:type="dxa"/>
            <w:tcBorders>
              <w:bottom w:val="single" w:sz="4" w:space="0" w:color="000000"/>
            </w:tcBorders>
          </w:tcPr>
          <w:p w:rsidR="007F5A7F" w:rsidRPr="00862861" w:rsidRDefault="007F5A7F" w:rsidP="00834D34">
            <w:pPr>
              <w:jc w:val="center"/>
            </w:pPr>
            <w:hyperlink r:id="rId8" w:history="1">
              <w:r w:rsidRPr="00DB5ACB">
                <w:rPr>
                  <w:rStyle w:val="Hipersaite"/>
                </w:rPr>
                <w:t>Linda.Gurecka@zm.gov.lv</w:t>
              </w:r>
            </w:hyperlink>
          </w:p>
        </w:tc>
      </w:tr>
      <w:tr w:rsidR="007F5A7F" w:rsidRPr="00862861" w:rsidTr="00834D34">
        <w:tc>
          <w:tcPr>
            <w:tcW w:w="8268" w:type="dxa"/>
            <w:tcBorders>
              <w:top w:val="single" w:sz="4" w:space="0" w:color="000000"/>
            </w:tcBorders>
          </w:tcPr>
          <w:p w:rsidR="007F5A7F" w:rsidRPr="00862861" w:rsidRDefault="007F5A7F" w:rsidP="00834D34">
            <w:pPr>
              <w:jc w:val="center"/>
            </w:pPr>
            <w:r w:rsidRPr="00862861">
              <w:t>(e-pasta adrese)</w:t>
            </w:r>
          </w:p>
        </w:tc>
      </w:tr>
    </w:tbl>
    <w:p w:rsidR="007F5A7F" w:rsidRPr="00A27EFC" w:rsidRDefault="007F5A7F" w:rsidP="007F5A7F">
      <w:pPr>
        <w:jc w:val="left"/>
        <w:rPr>
          <w:sz w:val="20"/>
        </w:rPr>
      </w:pPr>
    </w:p>
    <w:p w:rsidR="002B5CEA" w:rsidRDefault="002B5CEA"/>
    <w:sectPr w:rsidR="002B5CEA" w:rsidSect="007F5A7F">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6BC" w:rsidRDefault="00A076BC" w:rsidP="00B45525">
      <w:r>
        <w:separator/>
      </w:r>
    </w:p>
  </w:endnote>
  <w:endnote w:type="continuationSeparator" w:id="0">
    <w:p w:rsidR="00A076BC" w:rsidRDefault="00A076BC" w:rsidP="00B4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525" w:rsidRPr="007F5A7F" w:rsidRDefault="007F5A7F" w:rsidP="007F5A7F">
    <w:pPr>
      <w:pStyle w:val="Kjene"/>
    </w:pPr>
    <w:r w:rsidRPr="007F5A7F">
      <w:rPr>
        <w:rFonts w:eastAsia="Arial Unicode MS" w:cs="Times New Roman"/>
        <w:sz w:val="20"/>
        <w:szCs w:val="20"/>
        <w:lang w:val="en-GB"/>
      </w:rPr>
      <w:t>ZMizz_140420_BIORcen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525" w:rsidRPr="007F5A7F" w:rsidRDefault="007F5A7F" w:rsidP="007F5A7F">
    <w:pPr>
      <w:pStyle w:val="Kjene"/>
    </w:pPr>
    <w:r w:rsidRPr="007F5A7F">
      <w:rPr>
        <w:rFonts w:eastAsia="Arial Unicode MS" w:cs="Times New Roman"/>
        <w:sz w:val="20"/>
        <w:szCs w:val="20"/>
        <w:lang w:val="en-GB"/>
      </w:rPr>
      <w:t>ZMizz_140420_BIORcen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6BC" w:rsidRDefault="00A076BC" w:rsidP="00B45525">
      <w:r>
        <w:separator/>
      </w:r>
    </w:p>
  </w:footnote>
  <w:footnote w:type="continuationSeparator" w:id="0">
    <w:p w:rsidR="00A076BC" w:rsidRDefault="00A076BC" w:rsidP="00B4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232135"/>
      <w:docPartObj>
        <w:docPartGallery w:val="Page Numbers (Top of Page)"/>
        <w:docPartUnique/>
      </w:docPartObj>
    </w:sdtPr>
    <w:sdtEndPr>
      <w:rPr>
        <w:sz w:val="24"/>
        <w:szCs w:val="24"/>
      </w:rPr>
    </w:sdtEndPr>
    <w:sdtContent>
      <w:p w:rsidR="00B45525" w:rsidRPr="00FE63FF" w:rsidRDefault="00B45525">
        <w:pPr>
          <w:pStyle w:val="Galvene"/>
          <w:jc w:val="center"/>
          <w:rPr>
            <w:sz w:val="24"/>
            <w:szCs w:val="24"/>
          </w:rPr>
        </w:pPr>
        <w:r w:rsidRPr="00FE63FF">
          <w:rPr>
            <w:sz w:val="24"/>
            <w:szCs w:val="24"/>
          </w:rPr>
          <w:fldChar w:fldCharType="begin"/>
        </w:r>
        <w:r w:rsidRPr="00FE63FF">
          <w:rPr>
            <w:sz w:val="24"/>
            <w:szCs w:val="24"/>
          </w:rPr>
          <w:instrText>PAGE   \* MERGEFORMAT</w:instrText>
        </w:r>
        <w:r w:rsidRPr="00FE63FF">
          <w:rPr>
            <w:sz w:val="24"/>
            <w:szCs w:val="24"/>
          </w:rPr>
          <w:fldChar w:fldCharType="separate"/>
        </w:r>
        <w:r w:rsidR="00D455A0" w:rsidRPr="00FE63FF">
          <w:rPr>
            <w:noProof/>
            <w:sz w:val="24"/>
            <w:szCs w:val="24"/>
          </w:rPr>
          <w:t>2</w:t>
        </w:r>
        <w:r w:rsidRPr="00FE63FF">
          <w:rPr>
            <w:sz w:val="24"/>
            <w:szCs w:val="24"/>
          </w:rPr>
          <w:fldChar w:fldCharType="end"/>
        </w:r>
      </w:p>
    </w:sdtContent>
  </w:sdt>
  <w:p w:rsidR="00B45525" w:rsidRDefault="00B4552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19C6B0D"/>
    <w:multiLevelType w:val="hybridMultilevel"/>
    <w:tmpl w:val="77E0376C"/>
    <w:lvl w:ilvl="0" w:tplc="1C123290">
      <w:start w:val="1"/>
      <w:numFmt w:val="decimal"/>
      <w:lvlText w:val="%1."/>
      <w:lvlJc w:val="left"/>
      <w:pPr>
        <w:ind w:left="1920" w:hanging="360"/>
      </w:pPr>
      <w:rPr>
        <w:rFonts w:hint="default"/>
      </w:rPr>
    </w:lvl>
    <w:lvl w:ilvl="1" w:tplc="4CE66B0C" w:tentative="1">
      <w:start w:val="1"/>
      <w:numFmt w:val="lowerLetter"/>
      <w:lvlText w:val="%2."/>
      <w:lvlJc w:val="left"/>
      <w:pPr>
        <w:ind w:left="2640" w:hanging="360"/>
      </w:pPr>
    </w:lvl>
    <w:lvl w:ilvl="2" w:tplc="1A22EB54" w:tentative="1">
      <w:start w:val="1"/>
      <w:numFmt w:val="lowerRoman"/>
      <w:lvlText w:val="%3."/>
      <w:lvlJc w:val="right"/>
      <w:pPr>
        <w:ind w:left="3360" w:hanging="180"/>
      </w:pPr>
    </w:lvl>
    <w:lvl w:ilvl="3" w:tplc="A0DA7B24" w:tentative="1">
      <w:start w:val="1"/>
      <w:numFmt w:val="decimal"/>
      <w:lvlText w:val="%4."/>
      <w:lvlJc w:val="left"/>
      <w:pPr>
        <w:ind w:left="4080" w:hanging="360"/>
      </w:pPr>
    </w:lvl>
    <w:lvl w:ilvl="4" w:tplc="772C2DBC" w:tentative="1">
      <w:start w:val="1"/>
      <w:numFmt w:val="lowerLetter"/>
      <w:lvlText w:val="%5."/>
      <w:lvlJc w:val="left"/>
      <w:pPr>
        <w:ind w:left="4800" w:hanging="360"/>
      </w:pPr>
    </w:lvl>
    <w:lvl w:ilvl="5" w:tplc="00EE12C8" w:tentative="1">
      <w:start w:val="1"/>
      <w:numFmt w:val="lowerRoman"/>
      <w:lvlText w:val="%6."/>
      <w:lvlJc w:val="right"/>
      <w:pPr>
        <w:ind w:left="5520" w:hanging="180"/>
      </w:pPr>
    </w:lvl>
    <w:lvl w:ilvl="6" w:tplc="0576C480" w:tentative="1">
      <w:start w:val="1"/>
      <w:numFmt w:val="decimal"/>
      <w:lvlText w:val="%7."/>
      <w:lvlJc w:val="left"/>
      <w:pPr>
        <w:ind w:left="6240" w:hanging="360"/>
      </w:pPr>
    </w:lvl>
    <w:lvl w:ilvl="7" w:tplc="EF949FC4" w:tentative="1">
      <w:start w:val="1"/>
      <w:numFmt w:val="lowerLetter"/>
      <w:lvlText w:val="%8."/>
      <w:lvlJc w:val="left"/>
      <w:pPr>
        <w:ind w:left="6960" w:hanging="360"/>
      </w:pPr>
    </w:lvl>
    <w:lvl w:ilvl="8" w:tplc="BA12C56A" w:tentative="1">
      <w:start w:val="1"/>
      <w:numFmt w:val="lowerRoman"/>
      <w:lvlText w:val="%9."/>
      <w:lvlJc w:val="right"/>
      <w:pPr>
        <w:ind w:left="7680" w:hanging="180"/>
      </w:pPr>
    </w:lvl>
  </w:abstractNum>
  <w:abstractNum w:abstractNumId="1" w15:restartNumberingAfterBreak="0">
    <w:nsid w:val="42EB0136"/>
    <w:multiLevelType w:val="hybridMultilevel"/>
    <w:tmpl w:val="C6A06CE2"/>
    <w:lvl w:ilvl="0" w:tplc="C95C83D4">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3764D16"/>
    <w:multiLevelType w:val="hybridMultilevel"/>
    <w:tmpl w:val="D990E6D4"/>
    <w:lvl w:ilvl="0" w:tplc="1048DC08">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8D1DC5"/>
    <w:multiLevelType w:val="hybridMultilevel"/>
    <w:tmpl w:val="76D8B94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D0E4F56"/>
    <w:multiLevelType w:val="hybridMultilevel"/>
    <w:tmpl w:val="F93035BE"/>
    <w:lvl w:ilvl="0" w:tplc="40845BFC">
      <w:start w:val="1"/>
      <w:numFmt w:val="decimal"/>
      <w:lvlText w:val="%1."/>
      <w:lvlJc w:val="left"/>
      <w:pPr>
        <w:ind w:left="720" w:hanging="360"/>
      </w:pPr>
      <w:rPr>
        <w:rFonts w:ascii="Arial" w:eastAsia="Calibri" w:hAnsi="Arial" w:cs="Arial"/>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8820BB5"/>
    <w:multiLevelType w:val="hybridMultilevel"/>
    <w:tmpl w:val="F15E6190"/>
    <w:lvl w:ilvl="0" w:tplc="F4AC2F6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37"/>
    <w:rsid w:val="0000122C"/>
    <w:rsid w:val="00031FF2"/>
    <w:rsid w:val="00032853"/>
    <w:rsid w:val="000379B5"/>
    <w:rsid w:val="00062681"/>
    <w:rsid w:val="00064B02"/>
    <w:rsid w:val="000662BA"/>
    <w:rsid w:val="0008136F"/>
    <w:rsid w:val="00094CCD"/>
    <w:rsid w:val="000C3AFC"/>
    <w:rsid w:val="000C4D66"/>
    <w:rsid w:val="000D0DBB"/>
    <w:rsid w:val="000D2581"/>
    <w:rsid w:val="000E57C2"/>
    <w:rsid w:val="000F4B5E"/>
    <w:rsid w:val="00106DA8"/>
    <w:rsid w:val="001114C7"/>
    <w:rsid w:val="00112D07"/>
    <w:rsid w:val="001446D2"/>
    <w:rsid w:val="00153B11"/>
    <w:rsid w:val="00155491"/>
    <w:rsid w:val="00162909"/>
    <w:rsid w:val="0016459C"/>
    <w:rsid w:val="00176109"/>
    <w:rsid w:val="001867B7"/>
    <w:rsid w:val="00191CAF"/>
    <w:rsid w:val="00193C03"/>
    <w:rsid w:val="001949A6"/>
    <w:rsid w:val="001A163A"/>
    <w:rsid w:val="001A291E"/>
    <w:rsid w:val="001A4BC8"/>
    <w:rsid w:val="001B04E4"/>
    <w:rsid w:val="001B21C0"/>
    <w:rsid w:val="001E5A27"/>
    <w:rsid w:val="0020342B"/>
    <w:rsid w:val="00224870"/>
    <w:rsid w:val="00226795"/>
    <w:rsid w:val="00233FA2"/>
    <w:rsid w:val="00245346"/>
    <w:rsid w:val="0024754E"/>
    <w:rsid w:val="00251342"/>
    <w:rsid w:val="00277F32"/>
    <w:rsid w:val="00284875"/>
    <w:rsid w:val="00287951"/>
    <w:rsid w:val="002A21AB"/>
    <w:rsid w:val="002A31BF"/>
    <w:rsid w:val="002A5432"/>
    <w:rsid w:val="002B5CEA"/>
    <w:rsid w:val="002C34B3"/>
    <w:rsid w:val="002D28FE"/>
    <w:rsid w:val="002D34C2"/>
    <w:rsid w:val="002D6EA9"/>
    <w:rsid w:val="002F327E"/>
    <w:rsid w:val="002F63A5"/>
    <w:rsid w:val="002F63E3"/>
    <w:rsid w:val="00312046"/>
    <w:rsid w:val="0031375B"/>
    <w:rsid w:val="003178EB"/>
    <w:rsid w:val="00321889"/>
    <w:rsid w:val="003228D3"/>
    <w:rsid w:val="003357FF"/>
    <w:rsid w:val="00336899"/>
    <w:rsid w:val="00344B0D"/>
    <w:rsid w:val="00346EE2"/>
    <w:rsid w:val="00352AAF"/>
    <w:rsid w:val="00363E81"/>
    <w:rsid w:val="00367F2A"/>
    <w:rsid w:val="003727E7"/>
    <w:rsid w:val="0037480D"/>
    <w:rsid w:val="00381F78"/>
    <w:rsid w:val="003A149E"/>
    <w:rsid w:val="003B303A"/>
    <w:rsid w:val="003D461E"/>
    <w:rsid w:val="003D4D5D"/>
    <w:rsid w:val="003D673D"/>
    <w:rsid w:val="003E5E22"/>
    <w:rsid w:val="003F4F59"/>
    <w:rsid w:val="003F50EF"/>
    <w:rsid w:val="004005D6"/>
    <w:rsid w:val="00400B42"/>
    <w:rsid w:val="00411BE3"/>
    <w:rsid w:val="004363BD"/>
    <w:rsid w:val="00446E48"/>
    <w:rsid w:val="00461EB9"/>
    <w:rsid w:val="0047415C"/>
    <w:rsid w:val="004848FB"/>
    <w:rsid w:val="004C2125"/>
    <w:rsid w:val="004C5CA7"/>
    <w:rsid w:val="004C6C9C"/>
    <w:rsid w:val="004D3F2B"/>
    <w:rsid w:val="004E0F1D"/>
    <w:rsid w:val="004E5495"/>
    <w:rsid w:val="004F0629"/>
    <w:rsid w:val="004F2E3E"/>
    <w:rsid w:val="00503C8F"/>
    <w:rsid w:val="00517BE5"/>
    <w:rsid w:val="0053180A"/>
    <w:rsid w:val="00547803"/>
    <w:rsid w:val="00554EEB"/>
    <w:rsid w:val="00564872"/>
    <w:rsid w:val="00565952"/>
    <w:rsid w:val="0059276F"/>
    <w:rsid w:val="00596E09"/>
    <w:rsid w:val="00597982"/>
    <w:rsid w:val="005A32A3"/>
    <w:rsid w:val="005A724A"/>
    <w:rsid w:val="005A7D57"/>
    <w:rsid w:val="005B2890"/>
    <w:rsid w:val="005D2F5E"/>
    <w:rsid w:val="005D2F68"/>
    <w:rsid w:val="005E1F80"/>
    <w:rsid w:val="005E5351"/>
    <w:rsid w:val="005F1616"/>
    <w:rsid w:val="005F48ED"/>
    <w:rsid w:val="005F6CAF"/>
    <w:rsid w:val="00601248"/>
    <w:rsid w:val="00603BDB"/>
    <w:rsid w:val="00604BB3"/>
    <w:rsid w:val="00610204"/>
    <w:rsid w:val="00610604"/>
    <w:rsid w:val="00611C6C"/>
    <w:rsid w:val="006263A7"/>
    <w:rsid w:val="006403A4"/>
    <w:rsid w:val="00640521"/>
    <w:rsid w:val="006417AA"/>
    <w:rsid w:val="006478DE"/>
    <w:rsid w:val="00666D3F"/>
    <w:rsid w:val="006721FA"/>
    <w:rsid w:val="006730F3"/>
    <w:rsid w:val="006736E0"/>
    <w:rsid w:val="00676D6D"/>
    <w:rsid w:val="006826B9"/>
    <w:rsid w:val="006A0250"/>
    <w:rsid w:val="006A1688"/>
    <w:rsid w:val="006B1AD5"/>
    <w:rsid w:val="006C26F9"/>
    <w:rsid w:val="006D483E"/>
    <w:rsid w:val="006D4F20"/>
    <w:rsid w:val="006D5A7A"/>
    <w:rsid w:val="006F11D7"/>
    <w:rsid w:val="006F6DE4"/>
    <w:rsid w:val="00700687"/>
    <w:rsid w:val="00702776"/>
    <w:rsid w:val="007031FC"/>
    <w:rsid w:val="00704EA2"/>
    <w:rsid w:val="007055F6"/>
    <w:rsid w:val="0071037C"/>
    <w:rsid w:val="00711C90"/>
    <w:rsid w:val="00724817"/>
    <w:rsid w:val="00734AAD"/>
    <w:rsid w:val="00745675"/>
    <w:rsid w:val="00750B37"/>
    <w:rsid w:val="007542F0"/>
    <w:rsid w:val="00765A1B"/>
    <w:rsid w:val="00774FF7"/>
    <w:rsid w:val="0077500E"/>
    <w:rsid w:val="007900CE"/>
    <w:rsid w:val="007A7B52"/>
    <w:rsid w:val="007B7798"/>
    <w:rsid w:val="007C174F"/>
    <w:rsid w:val="007C6AE1"/>
    <w:rsid w:val="007C7AFA"/>
    <w:rsid w:val="007D5ECF"/>
    <w:rsid w:val="007E0591"/>
    <w:rsid w:val="007E30FB"/>
    <w:rsid w:val="007F5A64"/>
    <w:rsid w:val="007F5A7F"/>
    <w:rsid w:val="00807D88"/>
    <w:rsid w:val="00812009"/>
    <w:rsid w:val="00815345"/>
    <w:rsid w:val="008218CF"/>
    <w:rsid w:val="00825336"/>
    <w:rsid w:val="00833834"/>
    <w:rsid w:val="008361E5"/>
    <w:rsid w:val="0083785E"/>
    <w:rsid w:val="008414BC"/>
    <w:rsid w:val="00845E52"/>
    <w:rsid w:val="008503ED"/>
    <w:rsid w:val="00860648"/>
    <w:rsid w:val="00860B13"/>
    <w:rsid w:val="008730D7"/>
    <w:rsid w:val="008802F6"/>
    <w:rsid w:val="00890955"/>
    <w:rsid w:val="00891175"/>
    <w:rsid w:val="008938FE"/>
    <w:rsid w:val="00895002"/>
    <w:rsid w:val="008960C5"/>
    <w:rsid w:val="008A2960"/>
    <w:rsid w:val="008B0064"/>
    <w:rsid w:val="008B08FF"/>
    <w:rsid w:val="008B25F6"/>
    <w:rsid w:val="008D16EA"/>
    <w:rsid w:val="008D1EB8"/>
    <w:rsid w:val="008D6A94"/>
    <w:rsid w:val="008E477F"/>
    <w:rsid w:val="008E6A06"/>
    <w:rsid w:val="008F406A"/>
    <w:rsid w:val="00905A01"/>
    <w:rsid w:val="00924B70"/>
    <w:rsid w:val="00924FD3"/>
    <w:rsid w:val="00927787"/>
    <w:rsid w:val="00931787"/>
    <w:rsid w:val="00942420"/>
    <w:rsid w:val="00945822"/>
    <w:rsid w:val="009536B4"/>
    <w:rsid w:val="00956F22"/>
    <w:rsid w:val="00963657"/>
    <w:rsid w:val="0096628A"/>
    <w:rsid w:val="00971577"/>
    <w:rsid w:val="00977CD3"/>
    <w:rsid w:val="00980726"/>
    <w:rsid w:val="009821E7"/>
    <w:rsid w:val="009944B9"/>
    <w:rsid w:val="00994669"/>
    <w:rsid w:val="009A01BC"/>
    <w:rsid w:val="009C433D"/>
    <w:rsid w:val="009C5637"/>
    <w:rsid w:val="009E0B9E"/>
    <w:rsid w:val="009E528F"/>
    <w:rsid w:val="009F639B"/>
    <w:rsid w:val="00A06B85"/>
    <w:rsid w:val="00A076BC"/>
    <w:rsid w:val="00A158BD"/>
    <w:rsid w:val="00A1700A"/>
    <w:rsid w:val="00A208C8"/>
    <w:rsid w:val="00A20CD1"/>
    <w:rsid w:val="00A2498D"/>
    <w:rsid w:val="00A27EFC"/>
    <w:rsid w:val="00A4531E"/>
    <w:rsid w:val="00A63102"/>
    <w:rsid w:val="00A679F3"/>
    <w:rsid w:val="00A833F0"/>
    <w:rsid w:val="00AC1183"/>
    <w:rsid w:val="00AC5426"/>
    <w:rsid w:val="00AD1738"/>
    <w:rsid w:val="00AD2BC5"/>
    <w:rsid w:val="00AD331B"/>
    <w:rsid w:val="00AE1A96"/>
    <w:rsid w:val="00AE798F"/>
    <w:rsid w:val="00AF2036"/>
    <w:rsid w:val="00AF5F64"/>
    <w:rsid w:val="00B02860"/>
    <w:rsid w:val="00B1394D"/>
    <w:rsid w:val="00B147DE"/>
    <w:rsid w:val="00B20405"/>
    <w:rsid w:val="00B251F9"/>
    <w:rsid w:val="00B2537A"/>
    <w:rsid w:val="00B327C3"/>
    <w:rsid w:val="00B34A21"/>
    <w:rsid w:val="00B45525"/>
    <w:rsid w:val="00B4769E"/>
    <w:rsid w:val="00B47D24"/>
    <w:rsid w:val="00B536E8"/>
    <w:rsid w:val="00B605E8"/>
    <w:rsid w:val="00B6290C"/>
    <w:rsid w:val="00B64E99"/>
    <w:rsid w:val="00B67989"/>
    <w:rsid w:val="00B67F28"/>
    <w:rsid w:val="00B740BD"/>
    <w:rsid w:val="00B75637"/>
    <w:rsid w:val="00BA42B7"/>
    <w:rsid w:val="00BA6F14"/>
    <w:rsid w:val="00BA74EC"/>
    <w:rsid w:val="00BB0272"/>
    <w:rsid w:val="00BB0A56"/>
    <w:rsid w:val="00BB440C"/>
    <w:rsid w:val="00BC2E86"/>
    <w:rsid w:val="00BD2494"/>
    <w:rsid w:val="00BD5165"/>
    <w:rsid w:val="00BD6153"/>
    <w:rsid w:val="00BE1208"/>
    <w:rsid w:val="00BE31F7"/>
    <w:rsid w:val="00BE62DF"/>
    <w:rsid w:val="00C05745"/>
    <w:rsid w:val="00C1075C"/>
    <w:rsid w:val="00C162FB"/>
    <w:rsid w:val="00C22C7B"/>
    <w:rsid w:val="00C27D65"/>
    <w:rsid w:val="00C309F3"/>
    <w:rsid w:val="00C4213E"/>
    <w:rsid w:val="00C56209"/>
    <w:rsid w:val="00C71ADA"/>
    <w:rsid w:val="00C729DE"/>
    <w:rsid w:val="00C8414E"/>
    <w:rsid w:val="00C93EFE"/>
    <w:rsid w:val="00C94F7E"/>
    <w:rsid w:val="00C97A91"/>
    <w:rsid w:val="00CB6129"/>
    <w:rsid w:val="00CC192D"/>
    <w:rsid w:val="00CD2BBB"/>
    <w:rsid w:val="00CE1952"/>
    <w:rsid w:val="00CF3677"/>
    <w:rsid w:val="00D04031"/>
    <w:rsid w:val="00D05953"/>
    <w:rsid w:val="00D11300"/>
    <w:rsid w:val="00D20081"/>
    <w:rsid w:val="00D40E7A"/>
    <w:rsid w:val="00D44D45"/>
    <w:rsid w:val="00D455A0"/>
    <w:rsid w:val="00D549AA"/>
    <w:rsid w:val="00D71958"/>
    <w:rsid w:val="00D7344B"/>
    <w:rsid w:val="00D878F5"/>
    <w:rsid w:val="00D91E05"/>
    <w:rsid w:val="00D92864"/>
    <w:rsid w:val="00D94E43"/>
    <w:rsid w:val="00D97AB6"/>
    <w:rsid w:val="00DA36E6"/>
    <w:rsid w:val="00DA7B55"/>
    <w:rsid w:val="00DB16F8"/>
    <w:rsid w:val="00DB4D5B"/>
    <w:rsid w:val="00DC7D31"/>
    <w:rsid w:val="00DD3296"/>
    <w:rsid w:val="00DD3B48"/>
    <w:rsid w:val="00DD4F3C"/>
    <w:rsid w:val="00E01947"/>
    <w:rsid w:val="00E02421"/>
    <w:rsid w:val="00E2323A"/>
    <w:rsid w:val="00E352CB"/>
    <w:rsid w:val="00E4539C"/>
    <w:rsid w:val="00E50CB3"/>
    <w:rsid w:val="00E51E07"/>
    <w:rsid w:val="00E57BE1"/>
    <w:rsid w:val="00E636F0"/>
    <w:rsid w:val="00E65C92"/>
    <w:rsid w:val="00E662DA"/>
    <w:rsid w:val="00E707EA"/>
    <w:rsid w:val="00E8136D"/>
    <w:rsid w:val="00EA44E0"/>
    <w:rsid w:val="00EB104A"/>
    <w:rsid w:val="00EC07ED"/>
    <w:rsid w:val="00EC323F"/>
    <w:rsid w:val="00EC4A56"/>
    <w:rsid w:val="00EC537D"/>
    <w:rsid w:val="00EC5B25"/>
    <w:rsid w:val="00ED385E"/>
    <w:rsid w:val="00EE496E"/>
    <w:rsid w:val="00EF18CC"/>
    <w:rsid w:val="00EF424E"/>
    <w:rsid w:val="00F124B0"/>
    <w:rsid w:val="00F12C9F"/>
    <w:rsid w:val="00F2713C"/>
    <w:rsid w:val="00F30006"/>
    <w:rsid w:val="00F314BB"/>
    <w:rsid w:val="00F32D75"/>
    <w:rsid w:val="00F35792"/>
    <w:rsid w:val="00F40EEB"/>
    <w:rsid w:val="00F44453"/>
    <w:rsid w:val="00F473F6"/>
    <w:rsid w:val="00F548B7"/>
    <w:rsid w:val="00F60A61"/>
    <w:rsid w:val="00F60D1B"/>
    <w:rsid w:val="00F62C3B"/>
    <w:rsid w:val="00F77352"/>
    <w:rsid w:val="00F8135F"/>
    <w:rsid w:val="00F8214D"/>
    <w:rsid w:val="00F92918"/>
    <w:rsid w:val="00F96494"/>
    <w:rsid w:val="00FA5F8A"/>
    <w:rsid w:val="00FC22F1"/>
    <w:rsid w:val="00FD25B9"/>
    <w:rsid w:val="00FD30D0"/>
    <w:rsid w:val="00FD38E9"/>
    <w:rsid w:val="00FD5188"/>
    <w:rsid w:val="00FD52C8"/>
    <w:rsid w:val="00FE1BA1"/>
    <w:rsid w:val="00FE63FF"/>
    <w:rsid w:val="00FF1372"/>
    <w:rsid w:val="00FF5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C6A238C"/>
  <w15:chartTrackingRefBased/>
  <w15:docId w15:val="{AD4F25F3-52CC-49CD-85C0-A7CB3931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12046"/>
    <w:pPr>
      <w:ind w:left="720"/>
      <w:contextualSpacing/>
    </w:pPr>
  </w:style>
  <w:style w:type="table" w:styleId="Reatabula">
    <w:name w:val="Table Grid"/>
    <w:basedOn w:val="Parastatabula"/>
    <w:uiPriority w:val="39"/>
    <w:rsid w:val="00EC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4C6C9C"/>
    <w:rPr>
      <w:color w:val="0000FF"/>
      <w:u w:val="single"/>
    </w:rPr>
  </w:style>
  <w:style w:type="paragraph" w:styleId="Paraststmeklis">
    <w:name w:val="Normal (Web)"/>
    <w:basedOn w:val="Parasts"/>
    <w:uiPriority w:val="99"/>
    <w:rsid w:val="00CB6129"/>
    <w:pPr>
      <w:spacing w:before="75" w:after="75"/>
      <w:jc w:val="left"/>
    </w:pPr>
    <w:rPr>
      <w:rFonts w:eastAsia="Times New Roman" w:cs="Times New Roman"/>
      <w:szCs w:val="24"/>
      <w:lang w:eastAsia="lv-LV"/>
    </w:rPr>
  </w:style>
  <w:style w:type="paragraph" w:customStyle="1" w:styleId="tv2131">
    <w:name w:val="tv2131"/>
    <w:basedOn w:val="Parasts"/>
    <w:rsid w:val="00CB6129"/>
    <w:pPr>
      <w:spacing w:line="360" w:lineRule="auto"/>
      <w:ind w:firstLine="300"/>
      <w:jc w:val="left"/>
    </w:pPr>
    <w:rPr>
      <w:rFonts w:eastAsia="Times New Roman" w:cs="Times New Roman"/>
      <w:color w:val="414142"/>
      <w:sz w:val="20"/>
      <w:szCs w:val="20"/>
      <w:lang w:eastAsia="lv-LV"/>
    </w:rPr>
  </w:style>
  <w:style w:type="paragraph" w:styleId="Galvene">
    <w:name w:val="header"/>
    <w:basedOn w:val="Parasts"/>
    <w:link w:val="GalveneRakstz"/>
    <w:rsid w:val="007900CE"/>
    <w:pPr>
      <w:tabs>
        <w:tab w:val="center" w:pos="4153"/>
        <w:tab w:val="right" w:pos="8306"/>
      </w:tabs>
    </w:pPr>
    <w:rPr>
      <w:rFonts w:eastAsia="Times New Roman" w:cs="Times New Roman"/>
      <w:sz w:val="18"/>
      <w:szCs w:val="20"/>
    </w:rPr>
  </w:style>
  <w:style w:type="character" w:customStyle="1" w:styleId="GalveneRakstz">
    <w:name w:val="Galvene Rakstz."/>
    <w:basedOn w:val="Noklusjumarindkopasfonts"/>
    <w:link w:val="Galvene"/>
    <w:uiPriority w:val="99"/>
    <w:rsid w:val="007900CE"/>
    <w:rPr>
      <w:rFonts w:eastAsia="Times New Roman" w:cs="Times New Roman"/>
      <w:sz w:val="18"/>
      <w:szCs w:val="20"/>
    </w:rPr>
  </w:style>
  <w:style w:type="paragraph" w:styleId="Kjene">
    <w:name w:val="footer"/>
    <w:basedOn w:val="Parasts"/>
    <w:link w:val="KjeneRakstz"/>
    <w:uiPriority w:val="99"/>
    <w:unhideWhenUsed/>
    <w:rsid w:val="00B45525"/>
    <w:pPr>
      <w:tabs>
        <w:tab w:val="center" w:pos="4153"/>
        <w:tab w:val="right" w:pos="8306"/>
      </w:tabs>
    </w:pPr>
  </w:style>
  <w:style w:type="character" w:customStyle="1" w:styleId="KjeneRakstz">
    <w:name w:val="Kājene Rakstz."/>
    <w:basedOn w:val="Noklusjumarindkopasfonts"/>
    <w:link w:val="Kjene"/>
    <w:uiPriority w:val="99"/>
    <w:rsid w:val="00B45525"/>
  </w:style>
  <w:style w:type="paragraph" w:customStyle="1" w:styleId="naislab">
    <w:name w:val="naislab"/>
    <w:basedOn w:val="Parasts"/>
    <w:rsid w:val="00E2323A"/>
    <w:pPr>
      <w:spacing w:before="100" w:beforeAutospacing="1" w:after="100" w:afterAutospacing="1"/>
      <w:jc w:val="right"/>
    </w:pPr>
    <w:rPr>
      <w:rFonts w:eastAsia="Arial Unicode MS" w:cs="Times New Roman"/>
      <w:szCs w:val="24"/>
      <w:lang w:val="en-GB"/>
    </w:rPr>
  </w:style>
  <w:style w:type="paragraph" w:customStyle="1" w:styleId="msonormal0">
    <w:name w:val="msonormal"/>
    <w:basedOn w:val="Parasts"/>
    <w:rsid w:val="00745675"/>
    <w:pPr>
      <w:spacing w:before="100" w:beforeAutospacing="1" w:after="100" w:afterAutospacing="1"/>
      <w:jc w:val="left"/>
    </w:pPr>
    <w:rPr>
      <w:rFonts w:eastAsia="Times New Roman" w:cs="Times New Roman"/>
      <w:szCs w:val="24"/>
      <w:lang w:eastAsia="lv-LV"/>
    </w:rPr>
  </w:style>
  <w:style w:type="paragraph" w:styleId="Balonteksts">
    <w:name w:val="Balloon Text"/>
    <w:basedOn w:val="Parasts"/>
    <w:link w:val="BalontekstsRakstz"/>
    <w:uiPriority w:val="99"/>
    <w:semiHidden/>
    <w:unhideWhenUsed/>
    <w:rsid w:val="00A208C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C8"/>
    <w:rPr>
      <w:rFonts w:ascii="Segoe UI" w:hAnsi="Segoe UI" w:cs="Segoe UI"/>
      <w:sz w:val="18"/>
      <w:szCs w:val="18"/>
    </w:rPr>
  </w:style>
  <w:style w:type="paragraph" w:customStyle="1" w:styleId="naisf">
    <w:name w:val="naisf"/>
    <w:basedOn w:val="Parasts"/>
    <w:rsid w:val="00FE63FF"/>
    <w:pPr>
      <w:spacing w:before="75" w:after="75"/>
      <w:ind w:firstLine="375"/>
    </w:pPr>
    <w:rPr>
      <w:rFonts w:eastAsia="Times New Roman" w:cs="Times New Roman"/>
      <w:szCs w:val="24"/>
      <w:lang w:eastAsia="lv-LV"/>
    </w:rPr>
  </w:style>
  <w:style w:type="paragraph" w:customStyle="1" w:styleId="naiskr">
    <w:name w:val="naiskr"/>
    <w:basedOn w:val="Parasts"/>
    <w:rsid w:val="00FE63FF"/>
    <w:pPr>
      <w:spacing w:before="75" w:after="75"/>
      <w:jc w:val="left"/>
    </w:pPr>
    <w:rPr>
      <w:rFonts w:eastAsia="Times New Roman" w:cs="Times New Roman"/>
      <w:szCs w:val="24"/>
      <w:lang w:eastAsia="lv-LV"/>
    </w:rPr>
  </w:style>
  <w:style w:type="paragraph" w:customStyle="1" w:styleId="naisc">
    <w:name w:val="naisc"/>
    <w:basedOn w:val="Parasts"/>
    <w:rsid w:val="00FE63FF"/>
    <w:pPr>
      <w:spacing w:before="75" w:after="75"/>
      <w:jc w:val="center"/>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EF18CC"/>
    <w:rPr>
      <w:sz w:val="16"/>
      <w:szCs w:val="16"/>
    </w:rPr>
  </w:style>
  <w:style w:type="paragraph" w:styleId="Komentrateksts">
    <w:name w:val="annotation text"/>
    <w:basedOn w:val="Parasts"/>
    <w:link w:val="KomentratekstsRakstz"/>
    <w:uiPriority w:val="99"/>
    <w:semiHidden/>
    <w:unhideWhenUsed/>
    <w:rsid w:val="00EF18CC"/>
    <w:pPr>
      <w:spacing w:after="160"/>
      <w:jc w:val="left"/>
    </w:pPr>
    <w:rPr>
      <w:rFonts w:cs="Times New Roman"/>
      <w:sz w:val="20"/>
      <w:szCs w:val="20"/>
    </w:rPr>
  </w:style>
  <w:style w:type="character" w:customStyle="1" w:styleId="KomentratekstsRakstz">
    <w:name w:val="Komentāra teksts Rakstz."/>
    <w:basedOn w:val="Noklusjumarindkopasfonts"/>
    <w:link w:val="Komentrateksts"/>
    <w:uiPriority w:val="99"/>
    <w:semiHidden/>
    <w:rsid w:val="00EF18CC"/>
    <w:rPr>
      <w:rFonts w:cs="Times New Roman"/>
      <w:sz w:val="20"/>
      <w:szCs w:val="20"/>
    </w:rPr>
  </w:style>
  <w:style w:type="character" w:styleId="Izmantotahipersaite">
    <w:name w:val="FollowedHyperlink"/>
    <w:basedOn w:val="Noklusjumarindkopasfonts"/>
    <w:uiPriority w:val="99"/>
    <w:semiHidden/>
    <w:unhideWhenUsed/>
    <w:rsid w:val="001867B7"/>
    <w:rPr>
      <w:color w:val="954F72" w:themeColor="followedHyperlink"/>
      <w:u w:val="single"/>
    </w:rPr>
  </w:style>
  <w:style w:type="character" w:styleId="Neatrisintapieminana">
    <w:name w:val="Unresolved Mention"/>
    <w:basedOn w:val="Noklusjumarindkopasfonts"/>
    <w:uiPriority w:val="99"/>
    <w:semiHidden/>
    <w:unhideWhenUsed/>
    <w:rsid w:val="001867B7"/>
    <w:rPr>
      <w:color w:val="605E5C"/>
      <w:shd w:val="clear" w:color="auto" w:fill="E1DFDD"/>
    </w:rPr>
  </w:style>
  <w:style w:type="paragraph" w:customStyle="1" w:styleId="tv213">
    <w:name w:val="tv213"/>
    <w:basedOn w:val="Parasts"/>
    <w:rsid w:val="0059276F"/>
    <w:pPr>
      <w:spacing w:before="100" w:beforeAutospacing="1" w:after="100" w:afterAutospacing="1"/>
      <w:jc w:val="left"/>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81775">
      <w:bodyDiv w:val="1"/>
      <w:marLeft w:val="0"/>
      <w:marRight w:val="0"/>
      <w:marTop w:val="0"/>
      <w:marBottom w:val="0"/>
      <w:divBdr>
        <w:top w:val="none" w:sz="0" w:space="0" w:color="auto"/>
        <w:left w:val="none" w:sz="0" w:space="0" w:color="auto"/>
        <w:bottom w:val="none" w:sz="0" w:space="0" w:color="auto"/>
        <w:right w:val="none" w:sz="0" w:space="0" w:color="auto"/>
      </w:divBdr>
    </w:div>
    <w:div w:id="290521975">
      <w:bodyDiv w:val="1"/>
      <w:marLeft w:val="0"/>
      <w:marRight w:val="0"/>
      <w:marTop w:val="0"/>
      <w:marBottom w:val="0"/>
      <w:divBdr>
        <w:top w:val="none" w:sz="0" w:space="0" w:color="auto"/>
        <w:left w:val="none" w:sz="0" w:space="0" w:color="auto"/>
        <w:bottom w:val="none" w:sz="0" w:space="0" w:color="auto"/>
        <w:right w:val="none" w:sz="0" w:space="0" w:color="auto"/>
      </w:divBdr>
    </w:div>
    <w:div w:id="454913080">
      <w:bodyDiv w:val="1"/>
      <w:marLeft w:val="0"/>
      <w:marRight w:val="0"/>
      <w:marTop w:val="0"/>
      <w:marBottom w:val="0"/>
      <w:divBdr>
        <w:top w:val="none" w:sz="0" w:space="0" w:color="auto"/>
        <w:left w:val="none" w:sz="0" w:space="0" w:color="auto"/>
        <w:bottom w:val="none" w:sz="0" w:space="0" w:color="auto"/>
        <w:right w:val="none" w:sz="0" w:space="0" w:color="auto"/>
      </w:divBdr>
    </w:div>
    <w:div w:id="740370544">
      <w:bodyDiv w:val="1"/>
      <w:marLeft w:val="0"/>
      <w:marRight w:val="0"/>
      <w:marTop w:val="0"/>
      <w:marBottom w:val="0"/>
      <w:divBdr>
        <w:top w:val="none" w:sz="0" w:space="0" w:color="auto"/>
        <w:left w:val="none" w:sz="0" w:space="0" w:color="auto"/>
        <w:bottom w:val="none" w:sz="0" w:space="0" w:color="auto"/>
        <w:right w:val="none" w:sz="0" w:space="0" w:color="auto"/>
      </w:divBdr>
    </w:div>
    <w:div w:id="1237859155">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607157732">
      <w:bodyDiv w:val="1"/>
      <w:marLeft w:val="0"/>
      <w:marRight w:val="0"/>
      <w:marTop w:val="0"/>
      <w:marBottom w:val="0"/>
      <w:divBdr>
        <w:top w:val="none" w:sz="0" w:space="0" w:color="auto"/>
        <w:left w:val="none" w:sz="0" w:space="0" w:color="auto"/>
        <w:bottom w:val="none" w:sz="0" w:space="0" w:color="auto"/>
        <w:right w:val="none" w:sz="0" w:space="0" w:color="auto"/>
      </w:divBdr>
    </w:div>
    <w:div w:id="1720931970">
      <w:bodyDiv w:val="1"/>
      <w:marLeft w:val="0"/>
      <w:marRight w:val="0"/>
      <w:marTop w:val="0"/>
      <w:marBottom w:val="0"/>
      <w:divBdr>
        <w:top w:val="none" w:sz="0" w:space="0" w:color="auto"/>
        <w:left w:val="none" w:sz="0" w:space="0" w:color="auto"/>
        <w:bottom w:val="none" w:sz="0" w:space="0" w:color="auto"/>
        <w:right w:val="none" w:sz="0" w:space="0" w:color="auto"/>
      </w:divBdr>
    </w:div>
    <w:div w:id="18615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urecka@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or.lv/lv/pakalpojumi/cenradis%20?f%5B0%5D=kategorija%3A1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7</Pages>
  <Words>5698</Words>
  <Characters>3248</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Izziņa</dc:subject>
  <dc:creator>Linda Gurecka</dc:creator>
  <cp:keywords/>
  <dc:description>Gurecka 26614495_x000d_
Linda.Gurecka@zm.gov.lv</dc:description>
  <cp:lastModifiedBy>Kristiāna Sebre</cp:lastModifiedBy>
  <cp:revision>134</cp:revision>
  <cp:lastPrinted>2019-11-27T16:04:00Z</cp:lastPrinted>
  <dcterms:created xsi:type="dcterms:W3CDTF">2018-04-24T07:54:00Z</dcterms:created>
  <dcterms:modified xsi:type="dcterms:W3CDTF">2020-04-14T11:47:00Z</dcterms:modified>
</cp:coreProperties>
</file>