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73190" w14:textId="77777777" w:rsidR="0064766F" w:rsidRPr="00AB7E1B" w:rsidRDefault="0064766F" w:rsidP="0064766F">
      <w:pPr>
        <w:pStyle w:val="naislab"/>
        <w:spacing w:before="0" w:after="0" w:line="276" w:lineRule="auto"/>
        <w:jc w:val="center"/>
        <w:rPr>
          <w:rFonts w:eastAsia="Batang"/>
          <w:b/>
          <w:sz w:val="24"/>
          <w:lang w:eastAsia="ko-KR"/>
        </w:rPr>
      </w:pPr>
      <w:bookmarkStart w:id="0" w:name="OLE_LINK3"/>
      <w:bookmarkStart w:id="1" w:name="OLE_LINK1"/>
      <w:bookmarkStart w:id="2" w:name="OLE_LINK2"/>
      <w:r w:rsidRPr="00AB7E1B">
        <w:rPr>
          <w:b/>
          <w:sz w:val="24"/>
        </w:rPr>
        <w:t xml:space="preserve">Ministru kabineta noteikumu projekta </w:t>
      </w:r>
      <w:r w:rsidRPr="00AB7E1B">
        <w:rPr>
          <w:b/>
          <w:bCs/>
          <w:sz w:val="24"/>
        </w:rPr>
        <w:t>“</w:t>
      </w:r>
      <w:r w:rsidRPr="00AB7E1B">
        <w:rPr>
          <w:rFonts w:eastAsia="Batang"/>
          <w:b/>
          <w:sz w:val="24"/>
          <w:lang w:eastAsia="ko-KR"/>
        </w:rPr>
        <w:t>Noteikumi par kapitāla ieguldījumiem komersantos, kuru darbību ietekmējusi Covid-19 izplatība</w:t>
      </w:r>
      <w:r w:rsidRPr="00AB7E1B">
        <w:rPr>
          <w:b/>
          <w:sz w:val="24"/>
        </w:rPr>
        <w:t>” sākotnējās ietekmes novērtējuma ziņojums (anotācija)</w:t>
      </w:r>
    </w:p>
    <w:p w14:paraId="3D154604" w14:textId="77777777" w:rsidR="0064766F" w:rsidRPr="00AB7E1B" w:rsidRDefault="0064766F" w:rsidP="0064766F">
      <w:pPr>
        <w:contextualSpacing/>
        <w:rPr>
          <w:b/>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64766F" w:rsidRPr="00AB7E1B" w14:paraId="5326C3A4" w14:textId="77777777" w:rsidTr="00E032B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742BE616" w14:textId="77777777" w:rsidR="0064766F" w:rsidRPr="00AB7E1B" w:rsidRDefault="0064766F" w:rsidP="00E032B3">
            <w:pPr>
              <w:contextualSpacing/>
              <w:rPr>
                <w:rFonts w:eastAsia="Times New Roman"/>
                <w:b/>
                <w:bCs/>
                <w:iCs/>
                <w:sz w:val="24"/>
                <w:szCs w:val="24"/>
                <w:lang w:val="lv-LV" w:eastAsia="lv-LV"/>
              </w:rPr>
            </w:pPr>
            <w:r w:rsidRPr="00AB7E1B">
              <w:rPr>
                <w:rFonts w:eastAsia="Times New Roman"/>
                <w:b/>
                <w:bCs/>
                <w:iCs/>
                <w:sz w:val="24"/>
                <w:szCs w:val="24"/>
                <w:lang w:val="lv-LV" w:eastAsia="lv-LV"/>
              </w:rPr>
              <w:t>Tiesību akta projekta anotācijas kopsavilkums</w:t>
            </w:r>
          </w:p>
        </w:tc>
      </w:tr>
      <w:tr w:rsidR="0064766F" w:rsidRPr="00993107" w14:paraId="7B6F1552" w14:textId="77777777" w:rsidTr="00E032B3">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112C48EB" w14:textId="77777777" w:rsidR="0064766F" w:rsidRPr="00AB7E1B" w:rsidRDefault="0064766F" w:rsidP="00E032B3">
            <w:pPr>
              <w:contextualSpacing/>
              <w:rPr>
                <w:rFonts w:eastAsia="Times New Roman"/>
                <w:iCs/>
                <w:sz w:val="24"/>
                <w:szCs w:val="24"/>
                <w:lang w:val="lv-LV" w:eastAsia="lv-LV"/>
              </w:rPr>
            </w:pPr>
            <w:r w:rsidRPr="00AB7E1B">
              <w:rPr>
                <w:rFonts w:eastAsia="Times New Roman"/>
                <w:iCs/>
                <w:sz w:val="24"/>
                <w:szCs w:val="24"/>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074822FF" w14:textId="4D2CE764" w:rsidR="0064766F" w:rsidRPr="00AB7E1B" w:rsidRDefault="0064766F" w:rsidP="00E032B3">
            <w:pPr>
              <w:contextualSpacing/>
              <w:jc w:val="both"/>
              <w:rPr>
                <w:rFonts w:eastAsia="Times New Roman"/>
                <w:iCs/>
                <w:sz w:val="24"/>
                <w:szCs w:val="24"/>
                <w:lang w:val="lv-LV"/>
              </w:rPr>
            </w:pPr>
            <w:r w:rsidRPr="00AB7E1B">
              <w:rPr>
                <w:rFonts w:eastAsia="Times New Roman"/>
                <w:iCs/>
                <w:sz w:val="24"/>
                <w:szCs w:val="24"/>
                <w:lang w:val="lv-LV"/>
              </w:rPr>
              <w:t xml:space="preserve">Tiesību akta </w:t>
            </w:r>
            <w:r w:rsidR="00C7754E" w:rsidRPr="00AB7E1B">
              <w:rPr>
                <w:rFonts w:eastAsia="Times New Roman"/>
                <w:iCs/>
                <w:sz w:val="24"/>
                <w:szCs w:val="24"/>
                <w:lang w:val="lv-LV"/>
              </w:rPr>
              <w:t>mērķis ir atbalstītu komersantus, kuriem ir pagaidu grūtības, jo to darbību uz pārejošu laika posmu ir negatīvi ietekmējusi vīrusa Covid-19 izplatība, kā arī atbalstīt komersantus, kuri ir gatavi pielāgot vai būtiski pārveidot savu līdzšinējo biznesa modeli vīrusa Covid-19 ietekmes rezultātā</w:t>
            </w:r>
            <w:r w:rsidRPr="00AB7E1B">
              <w:rPr>
                <w:rFonts w:eastAsia="Times New Roman"/>
                <w:iCs/>
                <w:sz w:val="24"/>
                <w:szCs w:val="24"/>
                <w:lang w:val="lv-LV"/>
              </w:rPr>
              <w:t xml:space="preserve">. </w:t>
            </w:r>
          </w:p>
          <w:p w14:paraId="6AF606C8" w14:textId="1CC7BC37" w:rsidR="001C6628" w:rsidRPr="00AB7E1B" w:rsidRDefault="001C6628" w:rsidP="001C6628">
            <w:pPr>
              <w:contextualSpacing/>
              <w:jc w:val="both"/>
              <w:rPr>
                <w:rFonts w:eastAsia="Times New Roman"/>
                <w:iCs/>
                <w:sz w:val="24"/>
                <w:szCs w:val="24"/>
                <w:lang w:val="lv-LV" w:eastAsia="lv-LV"/>
              </w:rPr>
            </w:pPr>
            <w:r w:rsidRPr="00AB7E1B">
              <w:rPr>
                <w:rFonts w:eastAsia="Times New Roman"/>
                <w:iCs/>
                <w:sz w:val="24"/>
                <w:szCs w:val="24"/>
                <w:lang w:val="lv-LV"/>
              </w:rPr>
              <w:t>Noteikumu projekts stājas spēkā pēc tam, kad Eiropas Komisija ir pieņēmusi lēmumu par pasākuma atbilstību Eiropas Savienības iekšējam tirgum.</w:t>
            </w:r>
          </w:p>
        </w:tc>
      </w:tr>
    </w:tbl>
    <w:p w14:paraId="6F91F5EE" w14:textId="77777777" w:rsidR="0064766F" w:rsidRPr="00AB7E1B" w:rsidRDefault="0064766F" w:rsidP="0064766F">
      <w:pPr>
        <w:tabs>
          <w:tab w:val="right" w:pos="9072"/>
        </w:tabs>
        <w:contextualSpacing/>
        <w:rPr>
          <w:sz w:val="24"/>
          <w:szCs w:val="24"/>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64766F" w:rsidRPr="00AB7E1B" w14:paraId="5790D849" w14:textId="77777777" w:rsidTr="00E032B3">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4D949123" w14:textId="77777777" w:rsidR="0064766F" w:rsidRPr="00AB7E1B" w:rsidRDefault="0064766F" w:rsidP="00E032B3">
            <w:pPr>
              <w:tabs>
                <w:tab w:val="left" w:pos="5888"/>
              </w:tabs>
              <w:contextualSpacing/>
              <w:jc w:val="center"/>
              <w:rPr>
                <w:rFonts w:eastAsia="Times New Roman"/>
                <w:sz w:val="24"/>
                <w:szCs w:val="24"/>
                <w:lang w:val="lv-LV" w:eastAsia="lv-LV"/>
              </w:rPr>
            </w:pPr>
            <w:r w:rsidRPr="00AB7E1B">
              <w:rPr>
                <w:b/>
                <w:sz w:val="24"/>
                <w:szCs w:val="24"/>
                <w:lang w:val="lv-LV"/>
              </w:rPr>
              <w:t>I. Tiesību akta projekta izstrādes nepieciešamība</w:t>
            </w:r>
          </w:p>
        </w:tc>
      </w:tr>
      <w:tr w:rsidR="0064766F" w:rsidRPr="00993107" w14:paraId="0F38629F" w14:textId="77777777" w:rsidTr="001C6628">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6AC649ED" w14:textId="77777777" w:rsidR="0064766F" w:rsidRPr="00AB7E1B" w:rsidRDefault="0064766F" w:rsidP="00E032B3">
            <w:pPr>
              <w:contextualSpacing/>
              <w:rPr>
                <w:rFonts w:eastAsia="Times New Roman"/>
                <w:sz w:val="24"/>
                <w:szCs w:val="24"/>
                <w:lang w:val="lv-LV" w:eastAsia="lv-LV"/>
              </w:rPr>
            </w:pPr>
            <w:r w:rsidRPr="00AB7E1B">
              <w:rPr>
                <w:sz w:val="24"/>
                <w:szCs w:val="24"/>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540EE808" w14:textId="77777777" w:rsidR="0064766F" w:rsidRPr="00AB7E1B" w:rsidRDefault="0064766F" w:rsidP="00E032B3">
            <w:pPr>
              <w:contextualSpacing/>
              <w:rPr>
                <w:rFonts w:eastAsia="Times New Roman"/>
                <w:iCs/>
                <w:sz w:val="24"/>
                <w:szCs w:val="24"/>
                <w:lang w:val="lv-LV"/>
              </w:rPr>
            </w:pPr>
            <w:r w:rsidRPr="00AB7E1B">
              <w:rPr>
                <w:rFonts w:eastAsia="Times New Roman"/>
                <w:iCs/>
                <w:sz w:val="24"/>
                <w:szCs w:val="24"/>
                <w:lang w:val="lv-LV"/>
              </w:rPr>
              <w:t>Pamatojums</w:t>
            </w:r>
          </w:p>
        </w:tc>
        <w:tc>
          <w:tcPr>
            <w:tcW w:w="6160" w:type="dxa"/>
            <w:tcBorders>
              <w:top w:val="outset" w:sz="6" w:space="0" w:color="414142"/>
              <w:left w:val="outset" w:sz="6" w:space="0" w:color="414142"/>
              <w:bottom w:val="outset" w:sz="6" w:space="0" w:color="414142"/>
              <w:right w:val="outset" w:sz="6" w:space="0" w:color="414142"/>
            </w:tcBorders>
          </w:tcPr>
          <w:p w14:paraId="5427A02B" w14:textId="16873DB3" w:rsidR="0064766F" w:rsidRPr="00AB7E1B" w:rsidRDefault="0064766F" w:rsidP="00AB7E1B">
            <w:pPr>
              <w:pStyle w:val="NoSpacing"/>
              <w:jc w:val="both"/>
              <w:rPr>
                <w:rFonts w:ascii="Times New Roman" w:eastAsia="Times New Roman" w:hAnsi="Times New Roman" w:cs="Times New Roman"/>
                <w:iCs/>
                <w:sz w:val="24"/>
                <w:szCs w:val="24"/>
                <w:lang w:eastAsia="en-US"/>
              </w:rPr>
            </w:pPr>
            <w:r w:rsidRPr="00AB7E1B">
              <w:rPr>
                <w:rFonts w:ascii="Times New Roman" w:eastAsia="Times New Roman" w:hAnsi="Times New Roman" w:cs="Times New Roman"/>
                <w:iCs/>
                <w:sz w:val="24"/>
                <w:szCs w:val="24"/>
                <w:lang w:eastAsia="en-US"/>
              </w:rPr>
              <w:t xml:space="preserve">Noteikumu projekts izstrādāts saskaņā ar Attīstības finanšu institūcijas likuma 12.panta ceturto daļu un saskaņā ar </w:t>
            </w:r>
            <w:r w:rsidR="00AB7E1B" w:rsidRPr="00AB7E1B">
              <w:rPr>
                <w:rFonts w:ascii="Times New Roman" w:eastAsia="Times New Roman" w:hAnsi="Times New Roman" w:cs="Times New Roman"/>
                <w:iCs/>
                <w:sz w:val="24"/>
                <w:szCs w:val="24"/>
                <w:lang w:eastAsia="en-US"/>
              </w:rPr>
              <w:t>Covid-19 infekcijas izplatības seku pārvarēšanas likuma</w:t>
            </w:r>
            <w:r w:rsidR="00293647">
              <w:rPr>
                <w:rFonts w:ascii="Times New Roman" w:eastAsia="Times New Roman" w:hAnsi="Times New Roman" w:cs="Times New Roman"/>
                <w:iCs/>
                <w:sz w:val="24"/>
                <w:szCs w:val="24"/>
                <w:lang w:eastAsia="en-US"/>
              </w:rPr>
              <w:t xml:space="preserve"> </w:t>
            </w:r>
            <w:r w:rsidR="00AB7E1B" w:rsidRPr="00AB7E1B">
              <w:rPr>
                <w:rFonts w:ascii="Times New Roman" w:eastAsia="Times New Roman" w:hAnsi="Times New Roman" w:cs="Times New Roman"/>
                <w:iCs/>
                <w:sz w:val="24"/>
                <w:szCs w:val="24"/>
                <w:lang w:eastAsia="en-US"/>
              </w:rPr>
              <w:t>42.</w:t>
            </w:r>
            <w:r w:rsidRPr="00AB7E1B">
              <w:rPr>
                <w:rFonts w:ascii="Times New Roman" w:eastAsia="Times New Roman" w:hAnsi="Times New Roman" w:cs="Times New Roman"/>
                <w:iCs/>
                <w:sz w:val="24"/>
                <w:szCs w:val="24"/>
                <w:lang w:eastAsia="en-US"/>
              </w:rPr>
              <w:t>pantu</w:t>
            </w:r>
            <w:r w:rsidR="001C6628" w:rsidRPr="00AB7E1B">
              <w:rPr>
                <w:rFonts w:ascii="Times New Roman" w:eastAsia="Times New Roman" w:hAnsi="Times New Roman" w:cs="Times New Roman"/>
                <w:iCs/>
                <w:sz w:val="24"/>
                <w:szCs w:val="24"/>
                <w:lang w:eastAsia="en-US"/>
              </w:rPr>
              <w:t>, lai atbalstītu komersantus, kuriem ir pagaidu grūtības, jo to darbību uz pārejošu laika posmu ir negatīvi ietekmējusi vīrusa Covid-19 izplatība, kā arī atbalstīt komersantus, kuri ir gatavi pielāgot vai būtiski pārveidot savu līdzšinējo biznesa modeli vīrusa Covid-19 ietekmes rezultātā.</w:t>
            </w:r>
          </w:p>
        </w:tc>
      </w:tr>
      <w:tr w:rsidR="001C6628" w:rsidRPr="00993107" w14:paraId="41A2C12A" w14:textId="77777777" w:rsidTr="00E032B3">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012C2ECE" w14:textId="77777777" w:rsidR="001C6628" w:rsidRPr="00AB7E1B" w:rsidRDefault="001C6628" w:rsidP="001C6628">
            <w:pPr>
              <w:contextualSpacing/>
              <w:rPr>
                <w:rFonts w:eastAsia="Times New Roman"/>
                <w:sz w:val="24"/>
                <w:szCs w:val="24"/>
                <w:lang w:val="lv-LV" w:eastAsia="lv-LV"/>
              </w:rPr>
            </w:pPr>
            <w:r w:rsidRPr="00AB7E1B">
              <w:rPr>
                <w:sz w:val="24"/>
                <w:szCs w:val="24"/>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170C3B6D" w14:textId="77777777" w:rsidR="001C6628" w:rsidRPr="00AB7E1B" w:rsidRDefault="001C6628" w:rsidP="001C6628">
            <w:pPr>
              <w:contextualSpacing/>
              <w:rPr>
                <w:rFonts w:eastAsia="Times New Roman"/>
                <w:sz w:val="24"/>
                <w:szCs w:val="24"/>
                <w:lang w:val="lv-LV"/>
              </w:rPr>
            </w:pPr>
            <w:r w:rsidRPr="00AB7E1B">
              <w:rPr>
                <w:rFonts w:eastAsia="Times New Roman"/>
                <w:sz w:val="24"/>
                <w:szCs w:val="24"/>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72D26DED" w14:textId="0EAB0764" w:rsidR="00D1212F" w:rsidRDefault="00D1212F" w:rsidP="00D1212F">
            <w:pPr>
              <w:autoSpaceDE w:val="0"/>
              <w:autoSpaceDN w:val="0"/>
              <w:jc w:val="both"/>
              <w:rPr>
                <w:rFonts w:eastAsia="Times New Roman"/>
                <w:sz w:val="24"/>
                <w:szCs w:val="24"/>
                <w:lang w:val="lv-LV"/>
              </w:rPr>
            </w:pPr>
            <w:r w:rsidRPr="00AB7E1B">
              <w:rPr>
                <w:rFonts w:eastAsia="Times New Roman"/>
                <w:sz w:val="24"/>
                <w:szCs w:val="24"/>
                <w:lang w:val="lv-LV"/>
              </w:rPr>
              <w:t>Ņemot vērā Covid-19 izplatību pasaulē un izsludināto ārkārtas situāciju valstī no 2020.gada 12.marta ar mērķi ierobežot Covid-19 izplatību ārkārtējās situācijas spēkā esamības laikā (Ministru kabineta 2020. gada 12. marta rīkojums Nr. 103 "Par ārkārtējās situācijas izsludināšanu".), valstī ir vērojama negatīva ietekme uz ekonomikas attīstību, kuras ilgums un apmēri vēl ir grūti prognozējami.</w:t>
            </w:r>
          </w:p>
          <w:p w14:paraId="524733D6" w14:textId="77777777" w:rsidR="00D1212F" w:rsidRPr="00AB7E1B" w:rsidRDefault="00D1212F" w:rsidP="00D1212F">
            <w:pPr>
              <w:autoSpaceDE w:val="0"/>
              <w:autoSpaceDN w:val="0"/>
              <w:jc w:val="both"/>
              <w:rPr>
                <w:rFonts w:eastAsia="Times New Roman"/>
                <w:sz w:val="24"/>
                <w:szCs w:val="24"/>
                <w:lang w:val="lv-LV"/>
              </w:rPr>
            </w:pPr>
          </w:p>
          <w:p w14:paraId="0DD00D92" w14:textId="77777777" w:rsidR="00D1212F" w:rsidRPr="00AB7E1B" w:rsidRDefault="00D1212F" w:rsidP="00D1212F">
            <w:pPr>
              <w:autoSpaceDE w:val="0"/>
              <w:autoSpaceDN w:val="0"/>
              <w:jc w:val="both"/>
              <w:rPr>
                <w:rFonts w:eastAsia="Times New Roman"/>
                <w:sz w:val="24"/>
                <w:szCs w:val="24"/>
                <w:lang w:val="lv-LV"/>
              </w:rPr>
            </w:pPr>
            <w:r w:rsidRPr="00AB7E1B">
              <w:rPr>
                <w:rFonts w:eastAsia="Times New Roman"/>
                <w:sz w:val="24"/>
                <w:szCs w:val="24"/>
                <w:lang w:val="lv-LV"/>
              </w:rPr>
              <w:t>Covid-19 krīzes ietekmes uz Latvijas uzņēmumiem risināšanai ir apstiprinājis vairākus krīzes finanšu instrumentus:</w:t>
            </w:r>
          </w:p>
          <w:p w14:paraId="01A53FE2" w14:textId="77777777" w:rsidR="00D1212F" w:rsidRPr="00AB7E1B" w:rsidRDefault="00D1212F" w:rsidP="00DF4167">
            <w:pPr>
              <w:pStyle w:val="ListParagraph"/>
              <w:numPr>
                <w:ilvl w:val="0"/>
                <w:numId w:val="5"/>
              </w:numPr>
              <w:autoSpaceDE w:val="0"/>
              <w:autoSpaceDN w:val="0"/>
              <w:jc w:val="both"/>
              <w:rPr>
                <w:rFonts w:eastAsia="Times New Roman"/>
                <w:sz w:val="24"/>
                <w:szCs w:val="24"/>
                <w:lang w:val="lv-LV"/>
              </w:rPr>
            </w:pPr>
            <w:r w:rsidRPr="00AB7E1B">
              <w:rPr>
                <w:rFonts w:eastAsia="Times New Roman"/>
                <w:sz w:val="24"/>
                <w:szCs w:val="24"/>
                <w:lang w:val="lv-LV"/>
              </w:rPr>
              <w:t>apgrozāmo līdzekļu aizdevumi:</w:t>
            </w:r>
          </w:p>
          <w:p w14:paraId="3B906A2A" w14:textId="77777777" w:rsidR="00D1212F" w:rsidRPr="00AB7E1B" w:rsidRDefault="00D1212F" w:rsidP="00D1212F">
            <w:pPr>
              <w:jc w:val="both"/>
              <w:rPr>
                <w:rFonts w:eastAsia="Times New Roman"/>
                <w:sz w:val="24"/>
                <w:szCs w:val="24"/>
                <w:lang w:val="lv-LV"/>
              </w:rPr>
            </w:pPr>
            <w:r w:rsidRPr="00AB7E1B">
              <w:rPr>
                <w:rFonts w:eastAsia="Times New Roman"/>
                <w:sz w:val="24"/>
                <w:szCs w:val="24"/>
                <w:lang w:val="lv-LV"/>
              </w:rPr>
              <w:t xml:space="preserve">Ministru kabineta 2020.gada 19.marta noteikumi Nr.149 “Noteikumi par apgrozāmo līdzekļu aizdevumiem saimnieciskās darbības veicējiem, kuru darbību ietekmējusi Covid-19 izplatība”; </w:t>
            </w:r>
          </w:p>
          <w:p w14:paraId="2E45956B" w14:textId="77777777" w:rsidR="00D1212F" w:rsidRPr="00AB7E1B" w:rsidRDefault="00D1212F" w:rsidP="00DF4167">
            <w:pPr>
              <w:pStyle w:val="ListParagraph"/>
              <w:numPr>
                <w:ilvl w:val="0"/>
                <w:numId w:val="5"/>
              </w:numPr>
              <w:jc w:val="both"/>
              <w:rPr>
                <w:rFonts w:eastAsia="Times New Roman"/>
                <w:sz w:val="24"/>
                <w:szCs w:val="24"/>
                <w:lang w:val="lv-LV"/>
              </w:rPr>
            </w:pPr>
            <w:r w:rsidRPr="00AB7E1B">
              <w:rPr>
                <w:rFonts w:eastAsia="Times New Roman"/>
                <w:sz w:val="24"/>
                <w:szCs w:val="24"/>
                <w:lang w:val="lv-LV"/>
              </w:rPr>
              <w:t>individuālās garantijas:</w:t>
            </w:r>
          </w:p>
          <w:p w14:paraId="3E81E5BD" w14:textId="77777777" w:rsidR="00D1212F" w:rsidRPr="00AB7E1B" w:rsidRDefault="00D1212F" w:rsidP="00D1212F">
            <w:pPr>
              <w:jc w:val="both"/>
              <w:rPr>
                <w:rFonts w:eastAsia="Times New Roman"/>
                <w:sz w:val="24"/>
                <w:szCs w:val="24"/>
                <w:lang w:val="lv-LV"/>
              </w:rPr>
            </w:pPr>
            <w:r w:rsidRPr="00AB7E1B">
              <w:rPr>
                <w:rFonts w:eastAsia="Times New Roman"/>
                <w:sz w:val="24"/>
                <w:szCs w:val="24"/>
                <w:lang w:val="lv-LV"/>
              </w:rPr>
              <w:t xml:space="preserve">Ministru kabineta 2020.gada 19.marta noteikumi Nr.150 “Noteikumi par garantijām saimnieciskās darbības veicējiem, kuru darbību ietekmējusi Covid-19 izplatība”; </w:t>
            </w:r>
          </w:p>
          <w:p w14:paraId="18576286" w14:textId="77777777" w:rsidR="00D1212F" w:rsidRPr="00AB7E1B" w:rsidRDefault="00D1212F" w:rsidP="00DF4167">
            <w:pPr>
              <w:pStyle w:val="ListParagraph"/>
              <w:numPr>
                <w:ilvl w:val="0"/>
                <w:numId w:val="5"/>
              </w:numPr>
              <w:jc w:val="both"/>
              <w:rPr>
                <w:rFonts w:eastAsia="Times New Roman"/>
                <w:sz w:val="24"/>
                <w:szCs w:val="24"/>
                <w:lang w:val="lv-LV"/>
              </w:rPr>
            </w:pPr>
            <w:proofErr w:type="spellStart"/>
            <w:r w:rsidRPr="00AB7E1B">
              <w:rPr>
                <w:rFonts w:eastAsia="Times New Roman"/>
                <w:sz w:val="24"/>
                <w:szCs w:val="24"/>
                <w:lang w:val="lv-LV"/>
              </w:rPr>
              <w:t>portfeļgarantijas</w:t>
            </w:r>
            <w:proofErr w:type="spellEnd"/>
            <w:r w:rsidRPr="00AB7E1B">
              <w:rPr>
                <w:rFonts w:eastAsia="Times New Roman"/>
                <w:sz w:val="24"/>
                <w:szCs w:val="24"/>
                <w:lang w:val="lv-LV"/>
              </w:rPr>
              <w:t>:</w:t>
            </w:r>
          </w:p>
          <w:p w14:paraId="6B6B6081" w14:textId="77777777" w:rsidR="00D1212F" w:rsidRPr="00AB7E1B" w:rsidRDefault="00D1212F" w:rsidP="00D1212F">
            <w:pPr>
              <w:jc w:val="both"/>
              <w:rPr>
                <w:rFonts w:eastAsia="Times New Roman"/>
                <w:sz w:val="24"/>
                <w:szCs w:val="24"/>
                <w:lang w:val="lv-LV"/>
              </w:rPr>
            </w:pPr>
            <w:r w:rsidRPr="00AB7E1B">
              <w:rPr>
                <w:rFonts w:eastAsia="Times New Roman"/>
                <w:sz w:val="24"/>
                <w:szCs w:val="24"/>
                <w:lang w:val="lv-LV"/>
              </w:rPr>
              <w:t xml:space="preserve">Ministru kabineta 2020.gada 24.marta noteikumi Nr.155 “Grozījumi Ministru kabineta 2017.gada 5.septembra noteikumos Nr.537 “Noteikumi par </w:t>
            </w:r>
            <w:proofErr w:type="spellStart"/>
            <w:r w:rsidRPr="00AB7E1B">
              <w:rPr>
                <w:rFonts w:eastAsia="Times New Roman"/>
                <w:sz w:val="24"/>
                <w:szCs w:val="24"/>
                <w:lang w:val="lv-LV"/>
              </w:rPr>
              <w:t>potfeļgarantijām</w:t>
            </w:r>
            <w:proofErr w:type="spellEnd"/>
            <w:r w:rsidRPr="00AB7E1B">
              <w:rPr>
                <w:rFonts w:eastAsia="Times New Roman"/>
                <w:sz w:val="24"/>
                <w:szCs w:val="24"/>
                <w:lang w:val="lv-LV"/>
              </w:rPr>
              <w:t xml:space="preserve"> sīko (mikro), mazo un vidējo komersantu kreditēšanas veicināšanai””.</w:t>
            </w:r>
          </w:p>
          <w:p w14:paraId="11622D0D" w14:textId="66DA2620" w:rsidR="00D1212F" w:rsidRDefault="00D1212F" w:rsidP="00D1212F">
            <w:pPr>
              <w:jc w:val="both"/>
              <w:rPr>
                <w:rFonts w:eastAsia="Times New Roman"/>
                <w:sz w:val="24"/>
                <w:szCs w:val="24"/>
                <w:lang w:val="lv-LV"/>
              </w:rPr>
            </w:pPr>
            <w:r w:rsidRPr="00AB7E1B">
              <w:rPr>
                <w:rFonts w:eastAsia="Times New Roman"/>
                <w:sz w:val="24"/>
                <w:szCs w:val="24"/>
                <w:lang w:val="lv-LV"/>
              </w:rPr>
              <w:t xml:space="preserve">Tāpat īstermiņa eksporta kredītu garantiju jomā ir atļauts līdz 2020.gada 31.decembrim sniegt eksporta kredīta garantijas </w:t>
            </w:r>
            <w:r w:rsidRPr="00AB7E1B">
              <w:rPr>
                <w:rFonts w:eastAsia="Times New Roman"/>
                <w:sz w:val="24"/>
                <w:szCs w:val="24"/>
                <w:lang w:val="lv-LV"/>
              </w:rPr>
              <w:lastRenderedPageBreak/>
              <w:t>uzņēmumiem neatkarīgi no debitora valsts saskaņā ar Ministru kabineta 2020.gada 14.aprīļa noteikumiem Nr.206 “Grozījumi Ministru kabineta 2016.gada 20.decembra noteikumos Nr.866 „Īstermiņa eksporta kredīta garantiju izsniegšanas noteikumi komersantiem un atbilstošām lauksaimniecības pakalpojumu kooperatīvajām sabiedrībām””.</w:t>
            </w:r>
          </w:p>
          <w:p w14:paraId="59F5793B" w14:textId="3938C3F2" w:rsidR="00F5180B" w:rsidRDefault="00F5180B" w:rsidP="00D1212F">
            <w:pPr>
              <w:jc w:val="both"/>
              <w:rPr>
                <w:rFonts w:eastAsia="Times New Roman"/>
                <w:sz w:val="24"/>
                <w:szCs w:val="24"/>
                <w:lang w:val="lv-LV"/>
              </w:rPr>
            </w:pPr>
          </w:p>
          <w:p w14:paraId="1736948A" w14:textId="6AE3D550" w:rsidR="00F5180B" w:rsidRPr="00AB7E1B" w:rsidRDefault="00F5180B" w:rsidP="00F5180B">
            <w:pPr>
              <w:autoSpaceDE w:val="0"/>
              <w:autoSpaceDN w:val="0"/>
              <w:jc w:val="both"/>
              <w:rPr>
                <w:rFonts w:eastAsia="Times New Roman"/>
                <w:sz w:val="24"/>
                <w:szCs w:val="24"/>
                <w:lang w:val="lv-LV"/>
              </w:rPr>
            </w:pPr>
            <w:r w:rsidRPr="00AB7E1B">
              <w:rPr>
                <w:rFonts w:eastAsia="Times New Roman"/>
                <w:sz w:val="24"/>
                <w:szCs w:val="24"/>
                <w:lang w:val="lv-LV"/>
              </w:rPr>
              <w:t xml:space="preserve">Attiecībā uz pašu kapitāla instrumentiem pašreizējā situācija ir tāda, ka Fondu fonda (2014.-2023.gada Eiropas Savienības fondu plānošanas  periods) ietvaros ir noslēgti 10 komandītsabiedrību līgumi līdz 95 miljoniem </w:t>
            </w:r>
            <w:r w:rsidRPr="00246516">
              <w:rPr>
                <w:rFonts w:eastAsia="Times New Roman"/>
                <w:i/>
                <w:iCs/>
                <w:sz w:val="24"/>
                <w:szCs w:val="24"/>
                <w:lang w:val="lv-LV"/>
              </w:rPr>
              <w:t>euro</w:t>
            </w:r>
            <w:r w:rsidRPr="00AB7E1B">
              <w:rPr>
                <w:rFonts w:eastAsia="Times New Roman"/>
                <w:sz w:val="24"/>
                <w:szCs w:val="24"/>
                <w:lang w:val="lv-LV"/>
              </w:rPr>
              <w:t xml:space="preserve">, kuru ietvaros ir atbalstāmi riska kapitāla pasākumi sīkiem (mikro), maziem un vidējiem uzņēmumiem. Publiski līdzfinansēto fondu mērķis ir </w:t>
            </w:r>
            <w:proofErr w:type="spellStart"/>
            <w:r w:rsidRPr="00AB7E1B">
              <w:rPr>
                <w:rFonts w:eastAsia="Times New Roman"/>
                <w:sz w:val="24"/>
                <w:szCs w:val="24"/>
                <w:lang w:val="lv-LV"/>
              </w:rPr>
              <w:t>pirmssēklas</w:t>
            </w:r>
            <w:proofErr w:type="spellEnd"/>
            <w:r w:rsidRPr="00AB7E1B">
              <w:rPr>
                <w:rFonts w:eastAsia="Times New Roman"/>
                <w:sz w:val="24"/>
                <w:szCs w:val="24"/>
                <w:lang w:val="lv-LV"/>
              </w:rPr>
              <w:t xml:space="preserve">, sēklas kapitāla, sākuma kapitāla un izaugsmes kapitāla ieguldījumu veikšana komersantā, finansējot to izveidi un produktu vai pakalpojumu attīstību, ieviešanu tirgū, jaunu tirgu apgūšanu, tai skaitā arī veikt turpmākos ieguldījumus. Iepriekš minēto izveidoto fondu ietvaros attiecīgi var turpināt veikt investīcijas, finansējot tās no Eiropas Reģionālās attīstības fonda, kur turklāt Eiropas Komisijas ierosinātie plānotie grozījumi </w:t>
            </w:r>
            <w:r w:rsidRPr="00883B55">
              <w:rPr>
                <w:rFonts w:eastAsia="Times New Roman"/>
                <w:sz w:val="24"/>
                <w:szCs w:val="24"/>
                <w:lang w:val="lv-LV"/>
              </w:rPr>
              <w:t>Eiropas Parlamenta un Padomes 2013. gada 17. decembra Regulā (ES)</w:t>
            </w:r>
            <w:r w:rsidR="00246516" w:rsidRPr="00883B55">
              <w:rPr>
                <w:rFonts w:eastAsia="Times New Roman"/>
                <w:sz w:val="24"/>
                <w:szCs w:val="24"/>
                <w:lang w:val="lv-LV"/>
              </w:rPr>
              <w:t xml:space="preserve"> Nr. </w:t>
            </w:r>
            <w:hyperlink r:id="rId7" w:tgtFrame="_blank" w:history="1">
              <w:r w:rsidR="00246516" w:rsidRPr="00883B55">
                <w:rPr>
                  <w:rFonts w:eastAsia="Times New Roman"/>
                  <w:sz w:val="24"/>
                  <w:szCs w:val="24"/>
                  <w:lang w:val="lv-LV"/>
                </w:rPr>
                <w:t>1301/2013</w:t>
              </w:r>
            </w:hyperlink>
            <w:r w:rsidRPr="00883B55">
              <w:rPr>
                <w:rFonts w:eastAsia="Times New Roman"/>
                <w:sz w:val="24"/>
                <w:szCs w:val="24"/>
                <w:lang w:val="lv-LV"/>
              </w:rPr>
              <w:t> par Eiropas Reģionālās attīstības fondu un īpašiem noteikumiem attiecībā uz mērķi "Investīcijas izaugsmei un nodarbinātībai" un ar ko atceļ Regulu (EK) Nr.</w:t>
            </w:r>
            <w:r w:rsidR="00246516" w:rsidRPr="00883B55">
              <w:rPr>
                <w:rFonts w:eastAsia="Times New Roman"/>
                <w:sz w:val="24"/>
                <w:szCs w:val="24"/>
                <w:lang w:val="lv-LV"/>
              </w:rPr>
              <w:t xml:space="preserve"> Nr. </w:t>
            </w:r>
            <w:hyperlink r:id="rId8" w:tgtFrame="_blank" w:history="1">
              <w:r w:rsidR="00246516" w:rsidRPr="00883B55">
                <w:rPr>
                  <w:rFonts w:eastAsia="Times New Roman"/>
                  <w:sz w:val="24"/>
                  <w:szCs w:val="24"/>
                  <w:lang w:val="lv-LV"/>
                </w:rPr>
                <w:t>1080/2006</w:t>
              </w:r>
            </w:hyperlink>
            <w:r w:rsidRPr="00883B55">
              <w:rPr>
                <w:rFonts w:eastAsia="Times New Roman"/>
                <w:sz w:val="24"/>
                <w:szCs w:val="24"/>
                <w:lang w:val="lv-LV"/>
              </w:rPr>
              <w:t> </w:t>
            </w:r>
            <w:r w:rsidRPr="00AB7E1B">
              <w:rPr>
                <w:rFonts w:eastAsia="Times New Roman"/>
                <w:sz w:val="24"/>
                <w:szCs w:val="24"/>
                <w:lang w:val="lv-LV"/>
              </w:rPr>
              <w:t xml:space="preserve">, un </w:t>
            </w:r>
            <w:r w:rsidRPr="00883B55">
              <w:rPr>
                <w:rFonts w:eastAsia="Times New Roman"/>
                <w:sz w:val="24"/>
                <w:szCs w:val="24"/>
                <w:lang w:val="lv-LV"/>
              </w:rPr>
              <w:t>Eiropas Parlamenta un Padomes 2013. gada 17. decembra Regulas (ES) Nr. </w:t>
            </w:r>
            <w:hyperlink r:id="rId9" w:tgtFrame="_blank" w:history="1">
              <w:r w:rsidRPr="00883B55">
                <w:rPr>
                  <w:rFonts w:eastAsia="Times New Roman"/>
                  <w:sz w:val="24"/>
                  <w:szCs w:val="24"/>
                  <w:lang w:val="lv-LV"/>
                </w:rPr>
                <w:t>1303/2013</w:t>
              </w:r>
            </w:hyperlink>
            <w:r w:rsidRPr="00883B55">
              <w:rPr>
                <w:rFonts w:eastAsia="Times New Roman"/>
                <w:sz w:val="24"/>
                <w:szCs w:val="24"/>
                <w:lang w:val="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Pr="00AB7E1B">
              <w:rPr>
                <w:rFonts w:eastAsia="Times New Roman"/>
                <w:sz w:val="24"/>
                <w:szCs w:val="24"/>
                <w:lang w:val="lv-LV"/>
              </w:rPr>
              <w:t xml:space="preserve">, atļaus veikt ieguldījumus, kuru mērķis ir arī likviditātes problēmu risināšana, kā arī atļaus atbalstīt uzņēmumus, kuriem ir radušās finanšu grūtības dēļ vīrusa Covid-19 krīzes, bet šīs grūtības nebija konstatējamas uz 2019.gada 31.decembri. </w:t>
            </w:r>
          </w:p>
          <w:p w14:paraId="23ED3B44" w14:textId="77777777" w:rsidR="00F5180B" w:rsidRPr="00AB7E1B" w:rsidRDefault="00F5180B" w:rsidP="00F5180B">
            <w:pPr>
              <w:autoSpaceDE w:val="0"/>
              <w:autoSpaceDN w:val="0"/>
              <w:jc w:val="both"/>
              <w:rPr>
                <w:rFonts w:eastAsia="Times New Roman"/>
                <w:sz w:val="24"/>
                <w:szCs w:val="24"/>
                <w:lang w:val="lv-LV"/>
              </w:rPr>
            </w:pPr>
          </w:p>
          <w:p w14:paraId="5F075DF8" w14:textId="77777777" w:rsidR="00F5180B" w:rsidRPr="00AB7E1B" w:rsidRDefault="00F5180B" w:rsidP="00F5180B">
            <w:pPr>
              <w:autoSpaceDE w:val="0"/>
              <w:autoSpaceDN w:val="0"/>
              <w:jc w:val="both"/>
              <w:rPr>
                <w:rFonts w:eastAsia="Times New Roman"/>
                <w:sz w:val="24"/>
                <w:szCs w:val="24"/>
                <w:lang w:val="lv-LV"/>
              </w:rPr>
            </w:pPr>
            <w:r w:rsidRPr="00AB7E1B">
              <w:rPr>
                <w:rFonts w:eastAsia="Times New Roman"/>
                <w:sz w:val="24"/>
                <w:szCs w:val="24"/>
                <w:lang w:val="lv-LV"/>
              </w:rPr>
              <w:t xml:space="preserve">Šo fondu ietvaros nav atļautas investīcijas uzņēmumos, kas neatbilst sīkā (mikro), mazā un vidējā uzņēmuma statusam, tādejādi lielajiem uzņēmumiem, kurus arī ir ietekmējusi Covid-19 krīze, ir nepieciešams pasākums, lai risinātu to pagaidu grūtības, jo to darbību uz pārejošu laika periodu ir negatīvi ietekmējusi vīrusa Covid-19 izplatība, kā arī tos lielos uzņēmumus, kuri gatavi pielāgot vai būtiski pārveidot savu līdzšinējo biznesa modeli vīrusa Covid-19 ietekmes rezultātā. </w:t>
            </w:r>
          </w:p>
          <w:p w14:paraId="51C1E9E3" w14:textId="77777777" w:rsidR="00F5180B" w:rsidRPr="00AB7E1B" w:rsidRDefault="00F5180B" w:rsidP="00D1212F">
            <w:pPr>
              <w:jc w:val="both"/>
              <w:rPr>
                <w:rFonts w:eastAsia="Times New Roman"/>
                <w:sz w:val="24"/>
                <w:szCs w:val="24"/>
                <w:lang w:val="lv-LV"/>
              </w:rPr>
            </w:pPr>
          </w:p>
          <w:p w14:paraId="61816050" w14:textId="1B2BCACE" w:rsidR="00F5180B" w:rsidRPr="002E58F1" w:rsidRDefault="001C6628" w:rsidP="001C6628">
            <w:pPr>
              <w:contextualSpacing/>
              <w:jc w:val="both"/>
              <w:rPr>
                <w:rFonts w:eastAsia="Times New Roman"/>
                <w:sz w:val="24"/>
                <w:szCs w:val="24"/>
                <w:lang w:val="lv-LV"/>
              </w:rPr>
            </w:pPr>
            <w:r w:rsidRPr="002E58F1">
              <w:rPr>
                <w:rFonts w:eastAsia="Times New Roman"/>
                <w:sz w:val="24"/>
                <w:szCs w:val="24"/>
                <w:lang w:val="lv-LV"/>
              </w:rPr>
              <w:t xml:space="preserve">Noteikumu projekts izstrādāts, </w:t>
            </w:r>
            <w:r w:rsidR="00F5180B" w:rsidRPr="002E58F1">
              <w:rPr>
                <w:rFonts w:eastAsia="Times New Roman"/>
                <w:sz w:val="24"/>
                <w:szCs w:val="24"/>
                <w:lang w:val="lv-LV"/>
              </w:rPr>
              <w:t xml:space="preserve">ievērojot Eiropas </w:t>
            </w:r>
            <w:proofErr w:type="spellStart"/>
            <w:r w:rsidR="00DF4167" w:rsidRPr="00E52F75">
              <w:rPr>
                <w:bCs/>
                <w:sz w:val="24"/>
                <w:szCs w:val="24"/>
              </w:rPr>
              <w:t>Komisijas</w:t>
            </w:r>
            <w:proofErr w:type="spellEnd"/>
            <w:r w:rsidR="00DF4167" w:rsidRPr="00E52F75">
              <w:rPr>
                <w:bCs/>
                <w:sz w:val="24"/>
                <w:szCs w:val="24"/>
              </w:rPr>
              <w:t xml:space="preserve"> 2020.gada 19.marta </w:t>
            </w:r>
            <w:proofErr w:type="spellStart"/>
            <w:r w:rsidR="00DF4167" w:rsidRPr="00E52F75">
              <w:rPr>
                <w:bCs/>
                <w:sz w:val="24"/>
                <w:szCs w:val="24"/>
              </w:rPr>
              <w:t>Komisijas</w:t>
            </w:r>
            <w:proofErr w:type="spellEnd"/>
            <w:r w:rsidR="00DF4167" w:rsidRPr="00E52F75">
              <w:rPr>
                <w:bCs/>
                <w:sz w:val="24"/>
                <w:szCs w:val="24"/>
              </w:rPr>
              <w:t xml:space="preserve"> </w:t>
            </w:r>
            <w:proofErr w:type="spellStart"/>
            <w:r w:rsidR="00DF4167" w:rsidRPr="00E52F75">
              <w:rPr>
                <w:bCs/>
                <w:sz w:val="24"/>
                <w:szCs w:val="24"/>
              </w:rPr>
              <w:t>paziņojumu</w:t>
            </w:r>
            <w:proofErr w:type="spellEnd"/>
            <w:r w:rsidR="00DF4167" w:rsidRPr="00E52F75">
              <w:rPr>
                <w:bCs/>
                <w:sz w:val="24"/>
                <w:szCs w:val="24"/>
              </w:rPr>
              <w:t xml:space="preserve"> (C(2020)1863))  “</w:t>
            </w:r>
            <w:proofErr w:type="spellStart"/>
            <w:r w:rsidR="00DF4167" w:rsidRPr="00E52F75">
              <w:rPr>
                <w:bCs/>
                <w:sz w:val="24"/>
                <w:szCs w:val="24"/>
              </w:rPr>
              <w:t>Pagaidu</w:t>
            </w:r>
            <w:proofErr w:type="spellEnd"/>
            <w:r w:rsidR="00DF4167" w:rsidRPr="00E52F75">
              <w:rPr>
                <w:bCs/>
                <w:sz w:val="24"/>
                <w:szCs w:val="24"/>
              </w:rPr>
              <w:t xml:space="preserve"> </w:t>
            </w:r>
            <w:proofErr w:type="spellStart"/>
            <w:r w:rsidR="00DF4167" w:rsidRPr="00E52F75">
              <w:rPr>
                <w:bCs/>
                <w:sz w:val="24"/>
                <w:szCs w:val="24"/>
              </w:rPr>
              <w:t>regulējums</w:t>
            </w:r>
            <w:proofErr w:type="spellEnd"/>
            <w:r w:rsidR="00DF4167" w:rsidRPr="00E52F75">
              <w:rPr>
                <w:bCs/>
                <w:sz w:val="24"/>
                <w:szCs w:val="24"/>
              </w:rPr>
              <w:t xml:space="preserve"> </w:t>
            </w:r>
            <w:proofErr w:type="spellStart"/>
            <w:r w:rsidR="00DF4167" w:rsidRPr="00E52F75">
              <w:rPr>
                <w:bCs/>
                <w:sz w:val="24"/>
                <w:szCs w:val="24"/>
              </w:rPr>
              <w:t>valsts</w:t>
            </w:r>
            <w:proofErr w:type="spellEnd"/>
            <w:r w:rsidR="00DF4167" w:rsidRPr="00E52F75">
              <w:rPr>
                <w:bCs/>
                <w:sz w:val="24"/>
                <w:szCs w:val="24"/>
              </w:rPr>
              <w:t xml:space="preserve"> </w:t>
            </w:r>
            <w:proofErr w:type="spellStart"/>
            <w:r w:rsidR="00DF4167" w:rsidRPr="00E52F75">
              <w:rPr>
                <w:bCs/>
                <w:sz w:val="24"/>
                <w:szCs w:val="24"/>
              </w:rPr>
              <w:t>atbalsta</w:t>
            </w:r>
            <w:proofErr w:type="spellEnd"/>
            <w:r w:rsidR="00DF4167" w:rsidRPr="00E52F75">
              <w:rPr>
                <w:bCs/>
                <w:sz w:val="24"/>
                <w:szCs w:val="24"/>
              </w:rPr>
              <w:t xml:space="preserve"> </w:t>
            </w:r>
            <w:proofErr w:type="spellStart"/>
            <w:r w:rsidR="00DF4167" w:rsidRPr="00E52F75">
              <w:rPr>
                <w:bCs/>
                <w:sz w:val="24"/>
                <w:szCs w:val="24"/>
              </w:rPr>
              <w:t>pasākumiem</w:t>
            </w:r>
            <w:proofErr w:type="spellEnd"/>
            <w:r w:rsidR="00DF4167" w:rsidRPr="00E52F75">
              <w:rPr>
                <w:bCs/>
                <w:sz w:val="24"/>
                <w:szCs w:val="24"/>
              </w:rPr>
              <w:t xml:space="preserve">, </w:t>
            </w:r>
            <w:proofErr w:type="spellStart"/>
            <w:r w:rsidR="00DF4167" w:rsidRPr="00E52F75">
              <w:rPr>
                <w:bCs/>
                <w:sz w:val="24"/>
                <w:szCs w:val="24"/>
              </w:rPr>
              <w:t>ar</w:t>
            </w:r>
            <w:proofErr w:type="spellEnd"/>
            <w:r w:rsidR="00DF4167" w:rsidRPr="00E52F75">
              <w:rPr>
                <w:bCs/>
                <w:sz w:val="24"/>
                <w:szCs w:val="24"/>
              </w:rPr>
              <w:t xml:space="preserve"> ko </w:t>
            </w:r>
            <w:proofErr w:type="spellStart"/>
            <w:r w:rsidR="00DF4167" w:rsidRPr="00E52F75">
              <w:rPr>
                <w:bCs/>
                <w:sz w:val="24"/>
                <w:szCs w:val="24"/>
              </w:rPr>
              <w:t>atbalsta</w:t>
            </w:r>
            <w:proofErr w:type="spellEnd"/>
            <w:r w:rsidR="00DF4167" w:rsidRPr="00E52F75">
              <w:rPr>
                <w:bCs/>
                <w:sz w:val="24"/>
                <w:szCs w:val="24"/>
              </w:rPr>
              <w:t xml:space="preserve"> </w:t>
            </w:r>
            <w:proofErr w:type="spellStart"/>
            <w:r w:rsidR="00DF4167" w:rsidRPr="00E52F75">
              <w:rPr>
                <w:bCs/>
                <w:sz w:val="24"/>
                <w:szCs w:val="24"/>
              </w:rPr>
              <w:t>ekonomiku</w:t>
            </w:r>
            <w:proofErr w:type="spellEnd"/>
            <w:r w:rsidR="00DF4167" w:rsidRPr="00E52F75">
              <w:rPr>
                <w:bCs/>
                <w:sz w:val="24"/>
                <w:szCs w:val="24"/>
              </w:rPr>
              <w:t xml:space="preserve"> </w:t>
            </w:r>
            <w:proofErr w:type="spellStart"/>
            <w:r w:rsidR="00DF4167" w:rsidRPr="00E52F75">
              <w:rPr>
                <w:bCs/>
                <w:sz w:val="24"/>
                <w:szCs w:val="24"/>
              </w:rPr>
              <w:t>pašreizējā</w:t>
            </w:r>
            <w:proofErr w:type="spellEnd"/>
            <w:r w:rsidR="00DF4167" w:rsidRPr="00E52F75">
              <w:rPr>
                <w:bCs/>
                <w:sz w:val="24"/>
                <w:szCs w:val="24"/>
              </w:rPr>
              <w:t xml:space="preserve"> Covid-19 </w:t>
            </w:r>
            <w:proofErr w:type="spellStart"/>
            <w:r w:rsidR="00DF4167" w:rsidRPr="00E52F75">
              <w:rPr>
                <w:bCs/>
                <w:sz w:val="24"/>
                <w:szCs w:val="24"/>
              </w:rPr>
              <w:t>uzliesmojuma</w:t>
            </w:r>
            <w:proofErr w:type="spellEnd"/>
            <w:r w:rsidR="00DF4167" w:rsidRPr="00E52F75">
              <w:rPr>
                <w:bCs/>
                <w:sz w:val="24"/>
                <w:szCs w:val="24"/>
              </w:rPr>
              <w:t xml:space="preserve"> </w:t>
            </w:r>
            <w:proofErr w:type="spellStart"/>
            <w:r w:rsidR="00DF4167" w:rsidRPr="00E52F75">
              <w:rPr>
                <w:bCs/>
                <w:sz w:val="24"/>
                <w:szCs w:val="24"/>
              </w:rPr>
              <w:t>situācijā</w:t>
            </w:r>
            <w:proofErr w:type="spellEnd"/>
            <w:r w:rsidR="00DF4167" w:rsidRPr="00E52F75">
              <w:rPr>
                <w:bCs/>
                <w:sz w:val="24"/>
                <w:szCs w:val="24"/>
              </w:rPr>
              <w:t xml:space="preserve">” </w:t>
            </w:r>
            <w:r w:rsidR="00F5180B" w:rsidRPr="00E52F75">
              <w:rPr>
                <w:rFonts w:eastAsia="Times New Roman"/>
                <w:sz w:val="24"/>
                <w:szCs w:val="24"/>
                <w:lang w:val="lv-LV"/>
              </w:rPr>
              <w:t xml:space="preserve"> </w:t>
            </w:r>
            <w:r w:rsidR="00F5180B" w:rsidRPr="002E58F1">
              <w:rPr>
                <w:rFonts w:eastAsia="Times New Roman"/>
                <w:sz w:val="24"/>
                <w:szCs w:val="24"/>
                <w:lang w:val="lv-LV"/>
              </w:rPr>
              <w:t xml:space="preserve">(C (2020) 1863, ar grozījumiem 2020.gada 3.aprīlī (C(2020) 2215 </w:t>
            </w:r>
            <w:r w:rsidR="00F5180B" w:rsidRPr="002E58F1">
              <w:rPr>
                <w:rFonts w:eastAsia="Times New Roman"/>
                <w:sz w:val="24"/>
                <w:szCs w:val="24"/>
                <w:lang w:val="lv-LV"/>
              </w:rPr>
              <w:lastRenderedPageBreak/>
              <w:t>un 2020.gada 8.maijā C(2020) 3156   (</w:t>
            </w:r>
            <w:proofErr w:type="spellStart"/>
            <w:r w:rsidR="00F5180B" w:rsidRPr="002E58F1">
              <w:rPr>
                <w:rFonts w:eastAsia="Times New Roman"/>
                <w:i/>
                <w:iCs/>
                <w:sz w:val="24"/>
                <w:szCs w:val="24"/>
                <w:lang w:val="lv-LV"/>
              </w:rPr>
              <w:t>Communication</w:t>
            </w:r>
            <w:proofErr w:type="spellEnd"/>
            <w:r w:rsidR="00F5180B" w:rsidRPr="002E58F1">
              <w:rPr>
                <w:rFonts w:eastAsia="Times New Roman"/>
                <w:i/>
                <w:iCs/>
                <w:sz w:val="24"/>
                <w:szCs w:val="24"/>
                <w:lang w:val="lv-LV"/>
              </w:rPr>
              <w:t xml:space="preserve"> </w:t>
            </w:r>
            <w:proofErr w:type="spellStart"/>
            <w:r w:rsidR="00F5180B" w:rsidRPr="002E58F1">
              <w:rPr>
                <w:rFonts w:eastAsia="Times New Roman"/>
                <w:i/>
                <w:iCs/>
                <w:sz w:val="24"/>
                <w:szCs w:val="24"/>
                <w:lang w:val="lv-LV"/>
              </w:rPr>
              <w:t>from</w:t>
            </w:r>
            <w:proofErr w:type="spellEnd"/>
            <w:r w:rsidR="00F5180B" w:rsidRPr="002E58F1">
              <w:rPr>
                <w:rFonts w:eastAsia="Times New Roman"/>
                <w:i/>
                <w:iCs/>
                <w:sz w:val="24"/>
                <w:szCs w:val="24"/>
                <w:lang w:val="lv-LV"/>
              </w:rPr>
              <w:t xml:space="preserve"> </w:t>
            </w:r>
            <w:proofErr w:type="spellStart"/>
            <w:r w:rsidR="00F5180B" w:rsidRPr="002E58F1">
              <w:rPr>
                <w:rFonts w:eastAsia="Times New Roman"/>
                <w:i/>
                <w:iCs/>
                <w:sz w:val="24"/>
                <w:szCs w:val="24"/>
                <w:lang w:val="lv-LV"/>
              </w:rPr>
              <w:t>the</w:t>
            </w:r>
            <w:proofErr w:type="spellEnd"/>
            <w:r w:rsidR="00F5180B" w:rsidRPr="002E58F1">
              <w:rPr>
                <w:rFonts w:eastAsia="Times New Roman"/>
                <w:i/>
                <w:iCs/>
                <w:sz w:val="24"/>
                <w:szCs w:val="24"/>
                <w:lang w:val="lv-LV"/>
              </w:rPr>
              <w:t xml:space="preserve"> </w:t>
            </w:r>
            <w:proofErr w:type="spellStart"/>
            <w:r w:rsidR="00F5180B" w:rsidRPr="002E58F1">
              <w:rPr>
                <w:rFonts w:eastAsia="Times New Roman"/>
                <w:i/>
                <w:iCs/>
                <w:sz w:val="24"/>
                <w:szCs w:val="24"/>
                <w:lang w:val="lv-LV"/>
              </w:rPr>
              <w:t>Commission</w:t>
            </w:r>
            <w:proofErr w:type="spellEnd"/>
            <w:r w:rsidR="00F5180B" w:rsidRPr="002E58F1">
              <w:rPr>
                <w:rFonts w:eastAsia="Times New Roman"/>
                <w:i/>
                <w:iCs/>
                <w:sz w:val="24"/>
                <w:szCs w:val="24"/>
                <w:lang w:val="lv-LV"/>
              </w:rPr>
              <w:t xml:space="preserve"> </w:t>
            </w:r>
            <w:proofErr w:type="spellStart"/>
            <w:r w:rsidR="00F5180B" w:rsidRPr="002E58F1">
              <w:rPr>
                <w:rFonts w:eastAsia="Times New Roman"/>
                <w:i/>
                <w:iCs/>
                <w:sz w:val="24"/>
                <w:szCs w:val="24"/>
                <w:lang w:val="lv-LV"/>
              </w:rPr>
              <w:t>temporary</w:t>
            </w:r>
            <w:proofErr w:type="spellEnd"/>
            <w:r w:rsidR="00F5180B" w:rsidRPr="002E58F1">
              <w:rPr>
                <w:rFonts w:eastAsia="Times New Roman"/>
                <w:i/>
                <w:iCs/>
                <w:sz w:val="24"/>
                <w:szCs w:val="24"/>
                <w:lang w:val="lv-LV"/>
              </w:rPr>
              <w:t xml:space="preserve"> </w:t>
            </w:r>
            <w:proofErr w:type="spellStart"/>
            <w:r w:rsidR="00F5180B" w:rsidRPr="002E58F1">
              <w:rPr>
                <w:rFonts w:eastAsia="Times New Roman"/>
                <w:i/>
                <w:iCs/>
                <w:sz w:val="24"/>
                <w:szCs w:val="24"/>
                <w:lang w:val="lv-LV"/>
              </w:rPr>
              <w:t>framework</w:t>
            </w:r>
            <w:proofErr w:type="spellEnd"/>
            <w:r w:rsidR="00F5180B" w:rsidRPr="002E58F1">
              <w:rPr>
                <w:rFonts w:eastAsia="Times New Roman"/>
                <w:i/>
                <w:iCs/>
                <w:sz w:val="24"/>
                <w:szCs w:val="24"/>
                <w:lang w:val="lv-LV"/>
              </w:rPr>
              <w:t xml:space="preserve"> </w:t>
            </w:r>
            <w:proofErr w:type="spellStart"/>
            <w:r w:rsidR="00F5180B" w:rsidRPr="002E58F1">
              <w:rPr>
                <w:rFonts w:eastAsia="Times New Roman"/>
                <w:i/>
                <w:iCs/>
                <w:sz w:val="24"/>
                <w:szCs w:val="24"/>
                <w:lang w:val="lv-LV"/>
              </w:rPr>
              <w:t>for</w:t>
            </w:r>
            <w:proofErr w:type="spellEnd"/>
            <w:r w:rsidR="00F5180B" w:rsidRPr="002E58F1">
              <w:rPr>
                <w:rFonts w:eastAsia="Times New Roman"/>
                <w:i/>
                <w:iCs/>
                <w:sz w:val="24"/>
                <w:szCs w:val="24"/>
                <w:lang w:val="lv-LV"/>
              </w:rPr>
              <w:t xml:space="preserve"> </w:t>
            </w:r>
            <w:proofErr w:type="spellStart"/>
            <w:r w:rsidR="00F5180B" w:rsidRPr="002E58F1">
              <w:rPr>
                <w:rFonts w:eastAsia="Times New Roman"/>
                <w:i/>
                <w:iCs/>
                <w:sz w:val="24"/>
                <w:szCs w:val="24"/>
                <w:lang w:val="lv-LV"/>
              </w:rPr>
              <w:t>state</w:t>
            </w:r>
            <w:proofErr w:type="spellEnd"/>
            <w:r w:rsidR="00F5180B" w:rsidRPr="002E58F1">
              <w:rPr>
                <w:rFonts w:eastAsia="Times New Roman"/>
                <w:i/>
                <w:iCs/>
                <w:sz w:val="24"/>
                <w:szCs w:val="24"/>
                <w:lang w:val="lv-LV"/>
              </w:rPr>
              <w:t xml:space="preserve"> aid </w:t>
            </w:r>
            <w:proofErr w:type="spellStart"/>
            <w:r w:rsidR="00F5180B" w:rsidRPr="002E58F1">
              <w:rPr>
                <w:rFonts w:eastAsia="Times New Roman"/>
                <w:i/>
                <w:iCs/>
                <w:sz w:val="24"/>
                <w:szCs w:val="24"/>
                <w:lang w:val="lv-LV"/>
              </w:rPr>
              <w:t>measures</w:t>
            </w:r>
            <w:proofErr w:type="spellEnd"/>
            <w:r w:rsidR="00F5180B" w:rsidRPr="002E58F1">
              <w:rPr>
                <w:rFonts w:eastAsia="Times New Roman"/>
                <w:i/>
                <w:iCs/>
                <w:sz w:val="24"/>
                <w:szCs w:val="24"/>
                <w:lang w:val="lv-LV"/>
              </w:rPr>
              <w:t xml:space="preserve"> to </w:t>
            </w:r>
            <w:proofErr w:type="spellStart"/>
            <w:r w:rsidR="00F5180B" w:rsidRPr="002E58F1">
              <w:rPr>
                <w:rFonts w:eastAsia="Times New Roman"/>
                <w:i/>
                <w:iCs/>
                <w:sz w:val="24"/>
                <w:szCs w:val="24"/>
                <w:lang w:val="lv-LV"/>
              </w:rPr>
              <w:t>support</w:t>
            </w:r>
            <w:proofErr w:type="spellEnd"/>
            <w:r w:rsidR="00F5180B" w:rsidRPr="002E58F1">
              <w:rPr>
                <w:rFonts w:eastAsia="Times New Roman"/>
                <w:i/>
                <w:iCs/>
                <w:sz w:val="24"/>
                <w:szCs w:val="24"/>
                <w:lang w:val="lv-LV"/>
              </w:rPr>
              <w:t xml:space="preserve"> </w:t>
            </w:r>
            <w:proofErr w:type="spellStart"/>
            <w:r w:rsidR="00F5180B" w:rsidRPr="002E58F1">
              <w:rPr>
                <w:rFonts w:eastAsia="Times New Roman"/>
                <w:i/>
                <w:iCs/>
                <w:sz w:val="24"/>
                <w:szCs w:val="24"/>
                <w:lang w:val="lv-LV"/>
              </w:rPr>
              <w:t>the</w:t>
            </w:r>
            <w:proofErr w:type="spellEnd"/>
            <w:r w:rsidR="00F5180B" w:rsidRPr="002E58F1">
              <w:rPr>
                <w:rFonts w:eastAsia="Times New Roman"/>
                <w:i/>
                <w:iCs/>
                <w:sz w:val="24"/>
                <w:szCs w:val="24"/>
                <w:lang w:val="lv-LV"/>
              </w:rPr>
              <w:t xml:space="preserve"> </w:t>
            </w:r>
            <w:proofErr w:type="spellStart"/>
            <w:r w:rsidR="00F5180B" w:rsidRPr="002E58F1">
              <w:rPr>
                <w:rFonts w:eastAsia="Times New Roman"/>
                <w:i/>
                <w:iCs/>
                <w:sz w:val="24"/>
                <w:szCs w:val="24"/>
                <w:lang w:val="lv-LV"/>
              </w:rPr>
              <w:t>economy</w:t>
            </w:r>
            <w:proofErr w:type="spellEnd"/>
            <w:r w:rsidR="00F5180B" w:rsidRPr="002E58F1">
              <w:rPr>
                <w:rFonts w:eastAsia="Times New Roman"/>
                <w:i/>
                <w:iCs/>
                <w:sz w:val="24"/>
                <w:szCs w:val="24"/>
                <w:lang w:val="lv-LV"/>
              </w:rPr>
              <w:t xml:space="preserve"> </w:t>
            </w:r>
            <w:proofErr w:type="spellStart"/>
            <w:r w:rsidR="00F5180B" w:rsidRPr="002E58F1">
              <w:rPr>
                <w:rFonts w:eastAsia="Times New Roman"/>
                <w:i/>
                <w:iCs/>
                <w:sz w:val="24"/>
                <w:szCs w:val="24"/>
                <w:lang w:val="lv-LV"/>
              </w:rPr>
              <w:t>in</w:t>
            </w:r>
            <w:proofErr w:type="spellEnd"/>
            <w:r w:rsidR="00F5180B" w:rsidRPr="002E58F1">
              <w:rPr>
                <w:rFonts w:eastAsia="Times New Roman"/>
                <w:i/>
                <w:iCs/>
                <w:sz w:val="24"/>
                <w:szCs w:val="24"/>
                <w:lang w:val="lv-LV"/>
              </w:rPr>
              <w:t xml:space="preserve"> </w:t>
            </w:r>
            <w:proofErr w:type="spellStart"/>
            <w:r w:rsidR="00F5180B" w:rsidRPr="002E58F1">
              <w:rPr>
                <w:rFonts w:eastAsia="Times New Roman"/>
                <w:i/>
                <w:iCs/>
                <w:sz w:val="24"/>
                <w:szCs w:val="24"/>
                <w:lang w:val="lv-LV"/>
              </w:rPr>
              <w:t>the</w:t>
            </w:r>
            <w:proofErr w:type="spellEnd"/>
            <w:r w:rsidR="00F5180B" w:rsidRPr="002E58F1">
              <w:rPr>
                <w:rFonts w:eastAsia="Times New Roman"/>
                <w:i/>
                <w:iCs/>
                <w:sz w:val="24"/>
                <w:szCs w:val="24"/>
                <w:lang w:val="lv-LV"/>
              </w:rPr>
              <w:t xml:space="preserve"> </w:t>
            </w:r>
            <w:proofErr w:type="spellStart"/>
            <w:r w:rsidR="00F5180B" w:rsidRPr="002E58F1">
              <w:rPr>
                <w:rFonts w:eastAsia="Times New Roman"/>
                <w:i/>
                <w:iCs/>
                <w:sz w:val="24"/>
                <w:szCs w:val="24"/>
                <w:lang w:val="lv-LV"/>
              </w:rPr>
              <w:t>current</w:t>
            </w:r>
            <w:proofErr w:type="spellEnd"/>
            <w:r w:rsidR="00F5180B" w:rsidRPr="002E58F1">
              <w:rPr>
                <w:rFonts w:eastAsia="Times New Roman"/>
                <w:i/>
                <w:iCs/>
                <w:sz w:val="24"/>
                <w:szCs w:val="24"/>
                <w:lang w:val="lv-LV"/>
              </w:rPr>
              <w:t xml:space="preserve"> Covid-10 </w:t>
            </w:r>
            <w:proofErr w:type="spellStart"/>
            <w:r w:rsidR="00F5180B" w:rsidRPr="002E58F1">
              <w:rPr>
                <w:rFonts w:eastAsia="Times New Roman"/>
                <w:i/>
                <w:iCs/>
                <w:sz w:val="24"/>
                <w:szCs w:val="24"/>
                <w:lang w:val="lv-LV"/>
              </w:rPr>
              <w:t>outbreak</w:t>
            </w:r>
            <w:proofErr w:type="spellEnd"/>
            <w:r w:rsidR="00F5180B" w:rsidRPr="002E58F1">
              <w:rPr>
                <w:rFonts w:eastAsia="Times New Roman"/>
                <w:sz w:val="24"/>
                <w:szCs w:val="24"/>
                <w:lang w:val="lv-LV"/>
              </w:rPr>
              <w:t>)</w:t>
            </w:r>
            <w:r w:rsidR="00DF4167" w:rsidRPr="002E58F1">
              <w:rPr>
                <w:rFonts w:eastAsia="Times New Roman"/>
                <w:sz w:val="24"/>
                <w:szCs w:val="24"/>
                <w:lang w:val="lv-LV"/>
              </w:rPr>
              <w:t xml:space="preserve"> (turpmāk tekstā – Eiropas Komisijas paziņojums)</w:t>
            </w:r>
          </w:p>
          <w:p w14:paraId="5740A889" w14:textId="77777777" w:rsidR="00F5180B" w:rsidRPr="00883B55" w:rsidRDefault="00F5180B" w:rsidP="001C6628">
            <w:pPr>
              <w:contextualSpacing/>
              <w:jc w:val="both"/>
              <w:rPr>
                <w:rFonts w:eastAsia="Times New Roman"/>
                <w:sz w:val="24"/>
                <w:szCs w:val="24"/>
                <w:lang w:val="lv-LV"/>
              </w:rPr>
            </w:pPr>
          </w:p>
          <w:p w14:paraId="219A6555" w14:textId="46DCCCC8" w:rsidR="001C6628" w:rsidRPr="00883B55" w:rsidRDefault="009F143E" w:rsidP="009F143E">
            <w:pPr>
              <w:jc w:val="both"/>
              <w:rPr>
                <w:rFonts w:eastAsia="Times New Roman"/>
                <w:sz w:val="24"/>
                <w:szCs w:val="24"/>
                <w:lang w:val="lv-LV"/>
              </w:rPr>
            </w:pPr>
            <w:r w:rsidRPr="009F143E">
              <w:rPr>
                <w:rFonts w:eastAsia="Times New Roman"/>
                <w:sz w:val="24"/>
                <w:szCs w:val="24"/>
                <w:lang w:val="lv-LV"/>
              </w:rPr>
              <w:t>Ar šo Noteikumu projektu tiek izstrādāta jauna kapitāla investīciju programma, kuras ietvaros tiks izveidots alternatīvo ieguldījumu fonds, kas darbosies uz komerciāliem principiem</w:t>
            </w:r>
            <w:r w:rsidRPr="00883B55">
              <w:rPr>
                <w:rFonts w:eastAsia="Times New Roman"/>
                <w:sz w:val="24"/>
                <w:szCs w:val="24"/>
                <w:lang w:val="lv-LV"/>
              </w:rPr>
              <w:t xml:space="preserve">: 1) </w:t>
            </w:r>
            <w:r w:rsidR="001C6628" w:rsidRPr="00883B55">
              <w:rPr>
                <w:rFonts w:eastAsia="Times New Roman"/>
                <w:sz w:val="24"/>
                <w:szCs w:val="24"/>
                <w:lang w:val="lv-LV"/>
              </w:rPr>
              <w:t>ieguldījumi tiks veikt</w:t>
            </w:r>
            <w:r w:rsidR="000A4F2B" w:rsidRPr="00883B55">
              <w:rPr>
                <w:rFonts w:eastAsia="Times New Roman"/>
                <w:sz w:val="24"/>
                <w:szCs w:val="24"/>
                <w:lang w:val="lv-LV"/>
              </w:rPr>
              <w:t>i</w:t>
            </w:r>
            <w:r w:rsidR="001C6628" w:rsidRPr="00883B55">
              <w:rPr>
                <w:rFonts w:eastAsia="Times New Roman"/>
                <w:sz w:val="24"/>
                <w:szCs w:val="24"/>
                <w:lang w:val="lv-LV"/>
              </w:rPr>
              <w:t xml:space="preserve"> uz </w:t>
            </w:r>
            <w:proofErr w:type="spellStart"/>
            <w:r w:rsidR="001C6628" w:rsidRPr="000E57E8">
              <w:rPr>
                <w:rFonts w:eastAsia="Times New Roman"/>
                <w:i/>
                <w:iCs/>
                <w:sz w:val="24"/>
                <w:szCs w:val="24"/>
                <w:lang w:val="lv-LV"/>
              </w:rPr>
              <w:t>pari</w:t>
            </w:r>
            <w:proofErr w:type="spellEnd"/>
            <w:r w:rsidR="001C6628" w:rsidRPr="000E57E8">
              <w:rPr>
                <w:rFonts w:eastAsia="Times New Roman"/>
                <w:i/>
                <w:iCs/>
                <w:sz w:val="24"/>
                <w:szCs w:val="24"/>
                <w:lang w:val="lv-LV"/>
              </w:rPr>
              <w:t xml:space="preserve"> </w:t>
            </w:r>
            <w:proofErr w:type="spellStart"/>
            <w:r w:rsidR="001C6628" w:rsidRPr="000E57E8">
              <w:rPr>
                <w:rFonts w:eastAsia="Times New Roman"/>
                <w:i/>
                <w:iCs/>
                <w:sz w:val="24"/>
                <w:szCs w:val="24"/>
                <w:lang w:val="lv-LV"/>
              </w:rPr>
              <w:t>passu</w:t>
            </w:r>
            <w:proofErr w:type="spellEnd"/>
            <w:r w:rsidR="001C6628" w:rsidRPr="00883B55">
              <w:rPr>
                <w:rFonts w:eastAsia="Times New Roman"/>
                <w:sz w:val="24"/>
                <w:szCs w:val="24"/>
                <w:lang w:val="lv-LV"/>
              </w:rPr>
              <w:t xml:space="preserve"> nosacījumiem starp publisko ieguldītāju un privātajiem ieguldītājiem. T.i., ieguldījumi tiks veikti uz vienādiem noteikumiem un abu kategoriju dalībnieki iesaistās vienlaicīgi;</w:t>
            </w:r>
          </w:p>
          <w:p w14:paraId="3B2E25A0" w14:textId="35550AD6" w:rsidR="001C6628" w:rsidRPr="00883B55" w:rsidRDefault="009F143E" w:rsidP="009F143E">
            <w:pPr>
              <w:jc w:val="both"/>
              <w:rPr>
                <w:rFonts w:eastAsia="Times New Roman"/>
                <w:sz w:val="24"/>
                <w:szCs w:val="24"/>
                <w:lang w:val="lv-LV"/>
              </w:rPr>
            </w:pPr>
            <w:r w:rsidRPr="00883B55">
              <w:rPr>
                <w:rFonts w:eastAsia="Times New Roman"/>
                <w:sz w:val="24"/>
                <w:szCs w:val="24"/>
                <w:lang w:val="lv-LV"/>
              </w:rPr>
              <w:t xml:space="preserve">2) </w:t>
            </w:r>
            <w:r w:rsidR="001C6628" w:rsidRPr="00883B55">
              <w:rPr>
                <w:rFonts w:eastAsia="Times New Roman"/>
                <w:sz w:val="24"/>
                <w:szCs w:val="24"/>
                <w:lang w:val="lv-LV"/>
              </w:rPr>
              <w:t xml:space="preserve">publiskajiem un privātajiem ieguldītājiem ir tādi paši riski, kā arī vienāds subordinācijas līmenis attiecībā uz to pašu riska kategoriju. Zaudējumu gadījumā tie tiek segti proporcionāli starp ieguldītājiem. Realizēšanas ieņēmumu no ieguldījumiem sadales principi tiek noteikti, savstarpēji vienojoties publiskajam ieguldītājam ar privātajiem ieguldītājiem, tajā paredzot, ka fonda pārvaldnieks, kas ir sabiedrība </w:t>
            </w:r>
            <w:proofErr w:type="spellStart"/>
            <w:r w:rsidR="001C6628" w:rsidRPr="00883B55">
              <w:rPr>
                <w:rFonts w:eastAsia="Times New Roman"/>
                <w:sz w:val="24"/>
                <w:szCs w:val="24"/>
                <w:lang w:val="lv-LV"/>
              </w:rPr>
              <w:t>Altum</w:t>
            </w:r>
            <w:proofErr w:type="spellEnd"/>
            <w:r w:rsidR="001C6628" w:rsidRPr="00883B55">
              <w:rPr>
                <w:rFonts w:eastAsia="Times New Roman"/>
                <w:sz w:val="24"/>
                <w:szCs w:val="24"/>
                <w:lang w:val="lv-LV"/>
              </w:rPr>
              <w:t>, stimulam gūt peļņu, saņem noteiktu atlīdzību, tādejādi pasākums uzskatāms par tirgus apstākļiem atbilstoš</w:t>
            </w:r>
            <w:r w:rsidR="000A4F2B" w:rsidRPr="00883B55">
              <w:rPr>
                <w:rFonts w:eastAsia="Times New Roman"/>
                <w:sz w:val="24"/>
                <w:szCs w:val="24"/>
                <w:lang w:val="lv-LV"/>
              </w:rPr>
              <w:t>s</w:t>
            </w:r>
            <w:r w:rsidR="001C6628" w:rsidRPr="00883B55">
              <w:rPr>
                <w:rFonts w:eastAsia="Times New Roman"/>
                <w:sz w:val="24"/>
                <w:szCs w:val="24"/>
                <w:lang w:val="lv-LV"/>
              </w:rPr>
              <w:t>;</w:t>
            </w:r>
          </w:p>
          <w:p w14:paraId="74664A5B" w14:textId="40CC62E9" w:rsidR="001C6628" w:rsidRPr="00E52F75" w:rsidRDefault="009F143E" w:rsidP="00D55804">
            <w:pPr>
              <w:jc w:val="both"/>
              <w:rPr>
                <w:rFonts w:eastAsia="Times New Roman"/>
                <w:sz w:val="24"/>
                <w:szCs w:val="24"/>
                <w:lang w:val="lv-LV"/>
              </w:rPr>
            </w:pPr>
            <w:r w:rsidRPr="002E58F1">
              <w:rPr>
                <w:rFonts w:eastAsia="Times New Roman"/>
                <w:sz w:val="24"/>
                <w:szCs w:val="24"/>
                <w:lang w:val="lv-LV"/>
              </w:rPr>
              <w:t xml:space="preserve">3) </w:t>
            </w:r>
            <w:r w:rsidR="0059679A" w:rsidRPr="00E52F75">
              <w:rPr>
                <w:rFonts w:eastAsia="Times New Roman"/>
                <w:sz w:val="24"/>
                <w:szCs w:val="24"/>
                <w:lang w:val="lv-LV"/>
              </w:rPr>
              <w:t xml:space="preserve">fonda pārvaldes īstenošanai fonda pārvaldniekam, kas ir sabiedrība </w:t>
            </w:r>
            <w:proofErr w:type="spellStart"/>
            <w:r w:rsidR="0059679A" w:rsidRPr="00E52F75">
              <w:rPr>
                <w:rFonts w:eastAsia="Times New Roman"/>
                <w:sz w:val="24"/>
                <w:szCs w:val="24"/>
                <w:lang w:val="lv-LV"/>
              </w:rPr>
              <w:t>Altum</w:t>
            </w:r>
            <w:proofErr w:type="spellEnd"/>
            <w:r w:rsidR="0059679A" w:rsidRPr="00E52F75">
              <w:rPr>
                <w:rFonts w:eastAsia="Times New Roman"/>
                <w:sz w:val="24"/>
                <w:szCs w:val="24"/>
                <w:lang w:val="lv-LV"/>
              </w:rPr>
              <w:t>, tiek segtas pārvaldības izmaksas, nosakot procentuālu likmi gadā</w:t>
            </w:r>
            <w:r w:rsidR="001C6628" w:rsidRPr="00E52F75">
              <w:rPr>
                <w:rFonts w:eastAsia="Times New Roman"/>
                <w:sz w:val="24"/>
                <w:szCs w:val="24"/>
                <w:lang w:val="lv-LV"/>
              </w:rPr>
              <w:t>, kas tiek noteikta savstarpēji vienojoties publiskajam ieguldītājam un privātajiem ieguldītājiem</w:t>
            </w:r>
            <w:r w:rsidR="00040F55" w:rsidRPr="00E52F75">
              <w:rPr>
                <w:rFonts w:eastAsia="Times New Roman"/>
                <w:sz w:val="24"/>
                <w:szCs w:val="24"/>
                <w:lang w:val="lv-LV"/>
              </w:rPr>
              <w:t xml:space="preserve">, </w:t>
            </w:r>
            <w:r w:rsidR="0059679A" w:rsidRPr="00E52F75">
              <w:rPr>
                <w:rFonts w:eastAsia="Times New Roman"/>
                <w:sz w:val="24"/>
                <w:szCs w:val="24"/>
                <w:lang w:val="lv-LV"/>
              </w:rPr>
              <w:t xml:space="preserve">bet nepārsniedzot </w:t>
            </w:r>
            <w:r w:rsidR="00040F55" w:rsidRPr="00E52F75">
              <w:rPr>
                <w:rFonts w:eastAsia="Times New Roman"/>
                <w:sz w:val="24"/>
                <w:szCs w:val="24"/>
                <w:lang w:val="lv-LV"/>
              </w:rPr>
              <w:t>noteikto maksimālo robežvērtību</w:t>
            </w:r>
            <w:r w:rsidR="0059679A" w:rsidRPr="00E52F75">
              <w:rPr>
                <w:rFonts w:eastAsia="Times New Roman"/>
                <w:sz w:val="24"/>
                <w:szCs w:val="24"/>
                <w:lang w:val="lv-LV"/>
              </w:rPr>
              <w:t>, kas ir 3% gadā no fonda kopējā kapitāla</w:t>
            </w:r>
            <w:r w:rsidR="001C6628" w:rsidRPr="00E52F75">
              <w:rPr>
                <w:rFonts w:eastAsia="Times New Roman"/>
                <w:sz w:val="24"/>
                <w:szCs w:val="24"/>
                <w:lang w:val="lv-LV"/>
              </w:rPr>
              <w:t xml:space="preserve">. Salīdzināšanai </w:t>
            </w:r>
            <w:r w:rsidR="00931D75" w:rsidRPr="00E52F75">
              <w:rPr>
                <w:rFonts w:eastAsia="Times New Roman"/>
                <w:sz w:val="24"/>
                <w:szCs w:val="24"/>
                <w:lang w:val="lv-LV"/>
              </w:rPr>
              <w:t xml:space="preserve">pārvaldības maksai </w:t>
            </w:r>
            <w:r w:rsidR="001C6628" w:rsidRPr="00E52F75">
              <w:rPr>
                <w:rFonts w:eastAsia="Times New Roman"/>
                <w:sz w:val="24"/>
                <w:szCs w:val="24"/>
                <w:lang w:val="lv-LV"/>
              </w:rPr>
              <w:t>tiek izmantots slieksnis, kas noteikts Baltijas Inovāciju fonda darbības modeļa pamatā. Ja Eiropas Investīciju fondam pārvaldības maksa ir 0,85% gadā investīciju periodā un 0,80% gadā pēc</w:t>
            </w:r>
            <w:r w:rsidR="00D632D0" w:rsidRPr="00E52F75">
              <w:rPr>
                <w:rFonts w:eastAsia="Times New Roman"/>
                <w:sz w:val="24"/>
                <w:szCs w:val="24"/>
                <w:lang w:val="lv-LV"/>
              </w:rPr>
              <w:t>-</w:t>
            </w:r>
            <w:r w:rsidR="001C6628" w:rsidRPr="00E52F75">
              <w:rPr>
                <w:rFonts w:eastAsia="Times New Roman"/>
                <w:sz w:val="24"/>
                <w:szCs w:val="24"/>
                <w:lang w:val="lv-LV"/>
              </w:rPr>
              <w:t xml:space="preserve">investīciju periodā, sabiedrības </w:t>
            </w:r>
            <w:proofErr w:type="spellStart"/>
            <w:r w:rsidR="001C6628" w:rsidRPr="00E52F75">
              <w:rPr>
                <w:rFonts w:eastAsia="Times New Roman"/>
                <w:sz w:val="24"/>
                <w:szCs w:val="24"/>
                <w:lang w:val="lv-LV"/>
              </w:rPr>
              <w:t>Altum</w:t>
            </w:r>
            <w:proofErr w:type="spellEnd"/>
            <w:r w:rsidR="001C6628" w:rsidRPr="00E52F75">
              <w:rPr>
                <w:rFonts w:eastAsia="Times New Roman"/>
                <w:sz w:val="24"/>
                <w:szCs w:val="24"/>
                <w:lang w:val="lv-LV"/>
              </w:rPr>
              <w:t xml:space="preserve"> vadības maksa gadā būs zemāka, t.i., </w:t>
            </w:r>
            <w:r w:rsidRPr="00E52F75">
              <w:rPr>
                <w:rFonts w:eastAsia="Times New Roman"/>
                <w:sz w:val="24"/>
                <w:szCs w:val="24"/>
                <w:lang w:val="lv-LV"/>
              </w:rPr>
              <w:t xml:space="preserve">plānojot, ka </w:t>
            </w:r>
            <w:r w:rsidR="00D1212F" w:rsidRPr="00E52F75">
              <w:rPr>
                <w:rFonts w:eastAsia="Times New Roman"/>
                <w:sz w:val="24"/>
                <w:szCs w:val="24"/>
                <w:lang w:val="lv-LV"/>
              </w:rPr>
              <w:t>pārvaldības maksa</w:t>
            </w:r>
            <w:r w:rsidRPr="00E52F75">
              <w:rPr>
                <w:rFonts w:eastAsia="Times New Roman"/>
                <w:sz w:val="24"/>
                <w:szCs w:val="24"/>
                <w:lang w:val="lv-LV"/>
              </w:rPr>
              <w:t xml:space="preserve"> būs</w:t>
            </w:r>
            <w:r w:rsidR="00D1212F" w:rsidRPr="00E52F75">
              <w:rPr>
                <w:rFonts w:eastAsia="Times New Roman"/>
                <w:sz w:val="24"/>
                <w:szCs w:val="24"/>
                <w:lang w:val="lv-LV"/>
              </w:rPr>
              <w:t xml:space="preserve"> 0.65% gadā no parakstītā kapitāla investīciju periodā un 0.60% gadā pēc</w:t>
            </w:r>
            <w:r w:rsidR="00881718" w:rsidRPr="00E52F75">
              <w:rPr>
                <w:rFonts w:eastAsia="Times New Roman"/>
                <w:sz w:val="24"/>
                <w:szCs w:val="24"/>
                <w:lang w:val="lv-LV"/>
              </w:rPr>
              <w:t xml:space="preserve"> </w:t>
            </w:r>
            <w:r w:rsidR="00D1212F" w:rsidRPr="00E52F75">
              <w:rPr>
                <w:rFonts w:eastAsia="Times New Roman"/>
                <w:sz w:val="24"/>
                <w:szCs w:val="24"/>
                <w:lang w:val="lv-LV"/>
              </w:rPr>
              <w:t>investīciju periodā</w:t>
            </w:r>
            <w:r w:rsidRPr="00E52F75">
              <w:rPr>
                <w:rFonts w:eastAsia="Times New Roman"/>
                <w:sz w:val="24"/>
                <w:szCs w:val="24"/>
                <w:lang w:val="lv-LV"/>
              </w:rPr>
              <w:t xml:space="preserve">, kā arī </w:t>
            </w:r>
            <w:r w:rsidR="0059679A" w:rsidRPr="00E52F75">
              <w:rPr>
                <w:rFonts w:eastAsia="Times New Roman"/>
                <w:sz w:val="24"/>
                <w:szCs w:val="24"/>
                <w:lang w:val="lv-LV"/>
              </w:rPr>
              <w:t xml:space="preserve">plānojot, ka </w:t>
            </w:r>
            <w:r w:rsidRPr="00E52F75">
              <w:rPr>
                <w:rFonts w:eastAsia="Times New Roman"/>
                <w:sz w:val="24"/>
                <w:szCs w:val="24"/>
                <w:lang w:val="lv-LV"/>
              </w:rPr>
              <w:t xml:space="preserve">papildus </w:t>
            </w:r>
            <w:r w:rsidR="00984B40" w:rsidRPr="00E52F75">
              <w:rPr>
                <w:rFonts w:eastAsia="Times New Roman"/>
                <w:sz w:val="24"/>
                <w:szCs w:val="24"/>
                <w:lang w:val="lv-LV"/>
              </w:rPr>
              <w:t xml:space="preserve">maksai </w:t>
            </w:r>
            <w:r w:rsidRPr="00E52F75">
              <w:rPr>
                <w:rFonts w:eastAsia="Times New Roman"/>
                <w:sz w:val="24"/>
                <w:szCs w:val="24"/>
                <w:lang w:val="lv-LV"/>
              </w:rPr>
              <w:t>līdz noteiktam slieksnim</w:t>
            </w:r>
            <w:r w:rsidR="00984B40" w:rsidRPr="00E52F75">
              <w:rPr>
                <w:rFonts w:eastAsia="Times New Roman"/>
                <w:sz w:val="24"/>
                <w:szCs w:val="24"/>
                <w:lang w:val="lv-LV"/>
              </w:rPr>
              <w:t xml:space="preserve"> varēs tik</w:t>
            </w:r>
            <w:r w:rsidR="00D27CAC" w:rsidRPr="00E52F75">
              <w:rPr>
                <w:rFonts w:eastAsia="Times New Roman"/>
                <w:sz w:val="24"/>
                <w:szCs w:val="24"/>
                <w:lang w:val="lv-LV"/>
              </w:rPr>
              <w:t>t</w:t>
            </w:r>
            <w:r w:rsidR="00984B40" w:rsidRPr="00E52F75">
              <w:rPr>
                <w:rFonts w:eastAsia="Times New Roman"/>
                <w:sz w:val="24"/>
                <w:szCs w:val="24"/>
                <w:lang w:val="lv-LV"/>
              </w:rPr>
              <w:t xml:space="preserve"> segtas pārvaldības izmaksas (kopā slieksnis līdz 2%</w:t>
            </w:r>
            <w:r w:rsidR="0059679A" w:rsidRPr="00E52F75">
              <w:rPr>
                <w:rFonts w:eastAsia="Times New Roman"/>
                <w:sz w:val="24"/>
                <w:szCs w:val="24"/>
                <w:lang w:val="lv-LV"/>
              </w:rPr>
              <w:t xml:space="preserve"> gadā</w:t>
            </w:r>
            <w:r w:rsidR="00984B40" w:rsidRPr="00E52F75">
              <w:rPr>
                <w:rFonts w:eastAsia="Times New Roman"/>
                <w:sz w:val="24"/>
                <w:szCs w:val="24"/>
                <w:lang w:val="lv-LV"/>
              </w:rPr>
              <w:t xml:space="preserve">) (ekspertu pakalpojumi attiecībā uz </w:t>
            </w:r>
            <w:proofErr w:type="spellStart"/>
            <w:r w:rsidR="00984B40" w:rsidRPr="00E52F75">
              <w:rPr>
                <w:rFonts w:eastAsia="Times New Roman"/>
                <w:i/>
                <w:iCs/>
                <w:sz w:val="24"/>
                <w:szCs w:val="24"/>
                <w:lang w:val="lv-LV"/>
              </w:rPr>
              <w:t>due</w:t>
            </w:r>
            <w:proofErr w:type="spellEnd"/>
            <w:r w:rsidR="00984B40" w:rsidRPr="00E52F75">
              <w:rPr>
                <w:rFonts w:eastAsia="Times New Roman"/>
                <w:i/>
                <w:iCs/>
                <w:sz w:val="24"/>
                <w:szCs w:val="24"/>
                <w:lang w:val="lv-LV"/>
              </w:rPr>
              <w:t xml:space="preserve"> </w:t>
            </w:r>
            <w:proofErr w:type="spellStart"/>
            <w:r w:rsidR="00984B40" w:rsidRPr="00E52F75">
              <w:rPr>
                <w:rFonts w:eastAsia="Times New Roman"/>
                <w:i/>
                <w:iCs/>
                <w:sz w:val="24"/>
                <w:szCs w:val="24"/>
                <w:lang w:val="lv-LV"/>
              </w:rPr>
              <w:t>diligence</w:t>
            </w:r>
            <w:proofErr w:type="spellEnd"/>
            <w:r w:rsidR="00984B40" w:rsidRPr="00E52F75">
              <w:rPr>
                <w:rFonts w:eastAsia="Times New Roman"/>
                <w:sz w:val="24"/>
                <w:szCs w:val="24"/>
                <w:lang w:val="lv-LV"/>
              </w:rPr>
              <w:t>, darījumu strukturēšanu, investīciju novērtēšanu, juridiskie pakalpojumi, auditi u.c.)</w:t>
            </w:r>
            <w:r w:rsidRPr="00E52F75">
              <w:rPr>
                <w:rFonts w:eastAsia="Times New Roman"/>
                <w:sz w:val="24"/>
                <w:szCs w:val="24"/>
                <w:lang w:val="lv-LV"/>
              </w:rPr>
              <w:t xml:space="preserve">, </w:t>
            </w:r>
            <w:r w:rsidR="00D55804" w:rsidRPr="00E52F75">
              <w:rPr>
                <w:rFonts w:eastAsia="Times New Roman"/>
                <w:sz w:val="24"/>
                <w:szCs w:val="24"/>
                <w:lang w:val="lv-LV"/>
              </w:rPr>
              <w:t xml:space="preserve">kur šī noteiktā robežvērtība atbilst industrijas praksei, un ja </w:t>
            </w:r>
            <w:r w:rsidR="0059679A" w:rsidRPr="00E52F75">
              <w:rPr>
                <w:rFonts w:eastAsia="Times New Roman"/>
                <w:sz w:val="24"/>
                <w:szCs w:val="24"/>
                <w:lang w:val="lv-LV"/>
              </w:rPr>
              <w:t xml:space="preserve">veicamās izmaksas pārsniegtu </w:t>
            </w:r>
            <w:r w:rsidR="00D55804" w:rsidRPr="00E52F75">
              <w:rPr>
                <w:rFonts w:eastAsia="Times New Roman"/>
                <w:sz w:val="24"/>
                <w:szCs w:val="24"/>
                <w:lang w:val="lv-LV"/>
              </w:rPr>
              <w:t>šo robežvērtību 2% gadā no fonda parakstītā kapitāla investīciju periodā vai no kopējās investīciju summas pēc investīciju perioda, tad pirms šādu izdevumu veikšanas ir jāsaņem</w:t>
            </w:r>
            <w:r w:rsidR="00080462" w:rsidRPr="00E52F75">
              <w:rPr>
                <w:rFonts w:eastAsia="Times New Roman"/>
                <w:sz w:val="24"/>
                <w:szCs w:val="24"/>
                <w:lang w:val="lv-LV"/>
              </w:rPr>
              <w:t xml:space="preserve"> fonda</w:t>
            </w:r>
            <w:r w:rsidR="00D55804" w:rsidRPr="00E52F75">
              <w:rPr>
                <w:rFonts w:eastAsia="Times New Roman"/>
                <w:sz w:val="24"/>
                <w:szCs w:val="24"/>
                <w:lang w:val="lv-LV"/>
              </w:rPr>
              <w:t xml:space="preserve"> Konsultatīvās padomes</w:t>
            </w:r>
            <w:r w:rsidR="00080462" w:rsidRPr="00E52F75">
              <w:rPr>
                <w:rFonts w:eastAsia="Times New Roman"/>
                <w:sz w:val="24"/>
                <w:szCs w:val="24"/>
                <w:lang w:val="lv-LV"/>
              </w:rPr>
              <w:t>, kuru veido pārstāvji no fonda visiem dalībniekiem,</w:t>
            </w:r>
            <w:r w:rsidR="00D55804" w:rsidRPr="00E52F75">
              <w:rPr>
                <w:rFonts w:eastAsia="Times New Roman"/>
                <w:sz w:val="24"/>
                <w:szCs w:val="24"/>
                <w:lang w:val="lv-LV"/>
              </w:rPr>
              <w:t xml:space="preserve"> piekrišana;</w:t>
            </w:r>
          </w:p>
          <w:p w14:paraId="133F8018" w14:textId="4E59283F" w:rsidR="001C6628" w:rsidRPr="00883B55" w:rsidRDefault="009F143E" w:rsidP="009F143E">
            <w:pPr>
              <w:jc w:val="both"/>
              <w:rPr>
                <w:rFonts w:eastAsia="Times New Roman"/>
                <w:sz w:val="24"/>
                <w:szCs w:val="24"/>
                <w:lang w:val="lv-LV"/>
              </w:rPr>
            </w:pPr>
            <w:r w:rsidRPr="00883B55">
              <w:rPr>
                <w:rFonts w:eastAsia="Times New Roman"/>
                <w:sz w:val="24"/>
                <w:szCs w:val="24"/>
                <w:lang w:val="lv-LV"/>
              </w:rPr>
              <w:t xml:space="preserve">4) </w:t>
            </w:r>
            <w:r w:rsidR="001C6628" w:rsidRPr="00883B55">
              <w:rPr>
                <w:rFonts w:eastAsia="Times New Roman"/>
                <w:sz w:val="24"/>
                <w:szCs w:val="24"/>
                <w:lang w:val="lv-LV"/>
              </w:rPr>
              <w:t>fonds tiks pārvaldīts komerciāli, fonda pārvaldnieks pieņems lēmumus par ieguldījumiem uz peļņu orientētā veidā;</w:t>
            </w:r>
          </w:p>
          <w:p w14:paraId="0621D617" w14:textId="228C112B" w:rsidR="001C6628" w:rsidRPr="00883B55" w:rsidRDefault="009F143E" w:rsidP="009F143E">
            <w:pPr>
              <w:jc w:val="both"/>
              <w:rPr>
                <w:rFonts w:eastAsia="Times New Roman"/>
                <w:sz w:val="24"/>
                <w:szCs w:val="24"/>
                <w:lang w:val="lv-LV"/>
              </w:rPr>
            </w:pPr>
            <w:r w:rsidRPr="00883B55">
              <w:rPr>
                <w:rFonts w:eastAsia="Times New Roman"/>
                <w:sz w:val="24"/>
                <w:szCs w:val="24"/>
                <w:lang w:val="lv-LV"/>
              </w:rPr>
              <w:t xml:space="preserve">5) </w:t>
            </w:r>
            <w:r w:rsidR="001C6628" w:rsidRPr="00883B55">
              <w:rPr>
                <w:rFonts w:eastAsia="Times New Roman"/>
                <w:sz w:val="24"/>
                <w:szCs w:val="24"/>
                <w:lang w:val="lv-LV"/>
              </w:rPr>
              <w:t>par fonda neatkarīgo privāto ieguldītāju var kļūt jebkurš privāts ieguldītājs, kurš atbildīs fonda pārvaldnieka sagatavotajai informācijai;</w:t>
            </w:r>
          </w:p>
          <w:p w14:paraId="5B1EDAC3" w14:textId="74D07E5D" w:rsidR="001C6628" w:rsidRPr="00883B55" w:rsidRDefault="009F143E" w:rsidP="009F143E">
            <w:pPr>
              <w:jc w:val="both"/>
              <w:rPr>
                <w:rFonts w:eastAsia="Times New Roman"/>
                <w:sz w:val="24"/>
                <w:szCs w:val="24"/>
                <w:lang w:val="lv-LV"/>
              </w:rPr>
            </w:pPr>
            <w:r w:rsidRPr="00883B55">
              <w:rPr>
                <w:rFonts w:eastAsia="Times New Roman"/>
                <w:sz w:val="24"/>
                <w:szCs w:val="24"/>
                <w:lang w:val="lv-LV"/>
              </w:rPr>
              <w:t xml:space="preserve">6) </w:t>
            </w:r>
            <w:r w:rsidR="001C6628" w:rsidRPr="00883B55">
              <w:rPr>
                <w:rFonts w:eastAsia="Times New Roman"/>
                <w:sz w:val="24"/>
                <w:szCs w:val="24"/>
                <w:lang w:val="lv-LV"/>
              </w:rPr>
              <w:t xml:space="preserve">par jaunā fonda izveides pamatu tiek izmantoti darbības principi, kas tiek piemēroti Eiropas Investīciju fonda pārvaldītajam Baltijas Inovāciju fondam, kurš izveidots starp </w:t>
            </w:r>
            <w:r w:rsidR="001C6628" w:rsidRPr="00883B55">
              <w:rPr>
                <w:rFonts w:eastAsia="Times New Roman"/>
                <w:sz w:val="24"/>
                <w:szCs w:val="24"/>
                <w:lang w:val="lv-LV"/>
              </w:rPr>
              <w:lastRenderedPageBreak/>
              <w:t xml:space="preserve">Eiropas Investīciju fondu un Latvijas, Lietuvas un Igaunijas valstu nacionālajām attīstības finanšu iestādēm. </w:t>
            </w:r>
          </w:p>
          <w:p w14:paraId="77527349" w14:textId="77777777" w:rsidR="00C7754E" w:rsidRPr="00883B55" w:rsidRDefault="001C6628" w:rsidP="001C6628">
            <w:pPr>
              <w:autoSpaceDE w:val="0"/>
              <w:autoSpaceDN w:val="0"/>
              <w:jc w:val="both"/>
              <w:rPr>
                <w:rFonts w:eastAsia="Times New Roman"/>
                <w:sz w:val="24"/>
                <w:szCs w:val="24"/>
                <w:lang w:val="lv-LV"/>
              </w:rPr>
            </w:pPr>
            <w:r w:rsidRPr="00883B55">
              <w:rPr>
                <w:rFonts w:eastAsia="Times New Roman"/>
                <w:sz w:val="24"/>
                <w:szCs w:val="24"/>
                <w:lang w:val="lv-LV"/>
              </w:rPr>
              <w:t xml:space="preserve">Fonds darbosies paralēli Baltijas Inovāciju fondam, ar to nekonkurējot, jo Baltijas Inovāciju fonda ieguldījumu stratēģija paredz kapitāla ieguldījumus un </w:t>
            </w:r>
            <w:proofErr w:type="spellStart"/>
            <w:r w:rsidRPr="00883B55">
              <w:rPr>
                <w:rFonts w:eastAsia="Times New Roman"/>
                <w:sz w:val="24"/>
                <w:szCs w:val="24"/>
                <w:lang w:val="lv-LV"/>
              </w:rPr>
              <w:t>kvazi</w:t>
            </w:r>
            <w:proofErr w:type="spellEnd"/>
            <w:r w:rsidRPr="00883B55">
              <w:rPr>
                <w:rFonts w:eastAsia="Times New Roman"/>
                <w:sz w:val="24"/>
                <w:szCs w:val="24"/>
                <w:lang w:val="lv-LV"/>
              </w:rPr>
              <w:t>-kapitāla ieguldījumus pamatā mazos un vidējos uzņēmumos, kā arī tas ir vērsts uz visām trīs Baltijas valstīm, nevis tikai uz Latvijas uzņēmumiem, un būtiskākais faktors, ka jaunā fonda mērķis ir veikt augstāka riska ieguldījumus komersantos dēļ vīrusa Covid-19 krīzes, salīdzinot ar Baltijas Inovāciju fonda fokusu, kura ietvaros tiek veicinātas izaugsmes kapitāla investīcijas uzņēmumos.</w:t>
            </w:r>
          </w:p>
          <w:p w14:paraId="46D90739" w14:textId="2CE50044" w:rsidR="001C6628" w:rsidRPr="00AB7E1B" w:rsidRDefault="001C6628" w:rsidP="001C6628">
            <w:pPr>
              <w:jc w:val="both"/>
              <w:rPr>
                <w:rFonts w:eastAsia="Times New Roman"/>
                <w:sz w:val="24"/>
                <w:szCs w:val="24"/>
                <w:lang w:val="lv-LV"/>
              </w:rPr>
            </w:pPr>
          </w:p>
          <w:p w14:paraId="01FFEF72" w14:textId="02FADBD2" w:rsidR="001C6628" w:rsidRPr="00AB7E1B" w:rsidRDefault="001C6628" w:rsidP="001C6628">
            <w:pPr>
              <w:pStyle w:val="Default"/>
              <w:spacing w:before="120"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 xml:space="preserve">Saskaņā ar Noteikumu projektu lielo uzņēmumu finansēšanai tiek piešķirts publiskais finansējums </w:t>
            </w:r>
            <w:r w:rsidR="00040F55" w:rsidRPr="00AB7E1B">
              <w:rPr>
                <w:rFonts w:ascii="Times New Roman" w:eastAsia="Times New Roman" w:hAnsi="Times New Roman" w:cs="Times New Roman"/>
                <w:color w:val="auto"/>
              </w:rPr>
              <w:t xml:space="preserve">50 </w:t>
            </w:r>
            <w:r w:rsidRPr="00AB7E1B">
              <w:rPr>
                <w:rFonts w:ascii="Times New Roman" w:eastAsia="Times New Roman" w:hAnsi="Times New Roman" w:cs="Times New Roman"/>
                <w:color w:val="auto"/>
              </w:rPr>
              <w:t xml:space="preserve">miljoni </w:t>
            </w:r>
            <w:r w:rsidRPr="000E57E8">
              <w:rPr>
                <w:rFonts w:ascii="Times New Roman" w:eastAsia="Times New Roman" w:hAnsi="Times New Roman" w:cs="Times New Roman"/>
                <w:i/>
                <w:iCs/>
                <w:color w:val="auto"/>
              </w:rPr>
              <w:t>euro</w:t>
            </w:r>
            <w:r w:rsidRPr="00AB7E1B">
              <w:rPr>
                <w:rFonts w:ascii="Times New Roman" w:eastAsia="Times New Roman" w:hAnsi="Times New Roman" w:cs="Times New Roman"/>
                <w:color w:val="auto"/>
              </w:rPr>
              <w:t xml:space="preserve">, </w:t>
            </w:r>
            <w:r w:rsidR="00040F55" w:rsidRPr="00AB7E1B">
              <w:rPr>
                <w:rFonts w:ascii="Times New Roman" w:eastAsia="Times New Roman" w:hAnsi="Times New Roman" w:cs="Times New Roman"/>
                <w:color w:val="auto"/>
              </w:rPr>
              <w:t>kuri tiks ieguldīti</w:t>
            </w:r>
            <w:r w:rsidRPr="00AB7E1B">
              <w:rPr>
                <w:rFonts w:ascii="Times New Roman" w:eastAsia="Times New Roman" w:hAnsi="Times New Roman" w:cs="Times New Roman"/>
                <w:color w:val="auto"/>
              </w:rPr>
              <w:t xml:space="preserve"> jaunā fonda kapitālā</w:t>
            </w:r>
            <w:r w:rsidR="00040F55" w:rsidRPr="00AB7E1B">
              <w:rPr>
                <w:rFonts w:ascii="Times New Roman" w:eastAsia="Times New Roman" w:hAnsi="Times New Roman" w:cs="Times New Roman"/>
                <w:color w:val="auto"/>
              </w:rPr>
              <w:t>.</w:t>
            </w:r>
            <w:r w:rsidR="00C41FDE">
              <w:rPr>
                <w:rFonts w:ascii="Times New Roman" w:eastAsia="Times New Roman" w:hAnsi="Times New Roman" w:cs="Times New Roman"/>
                <w:color w:val="auto"/>
              </w:rPr>
              <w:t xml:space="preserve"> </w:t>
            </w:r>
            <w:r w:rsidR="00C41FDE" w:rsidRPr="00C41FDE">
              <w:rPr>
                <w:rFonts w:ascii="Times New Roman" w:eastAsia="Times New Roman" w:hAnsi="Times New Roman" w:cs="Times New Roman"/>
                <w:color w:val="auto"/>
              </w:rPr>
              <w:t>Fondā publiskais finansējums nepārsniedz 50 procentus no kopējā Fonda kapitāla</w:t>
            </w:r>
          </w:p>
          <w:p w14:paraId="52918F14" w14:textId="63D42116" w:rsidR="001C6628" w:rsidRPr="00AB7E1B" w:rsidRDefault="00040F55" w:rsidP="001C6628">
            <w:pPr>
              <w:pStyle w:val="Default"/>
              <w:spacing w:before="120"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 xml:space="preserve">Krīzes darba grupā 2020.gada 6.maijā </w:t>
            </w:r>
            <w:r w:rsidR="00E07E33" w:rsidRPr="00AB7E1B">
              <w:rPr>
                <w:rFonts w:ascii="Times New Roman" w:eastAsia="Times New Roman" w:hAnsi="Times New Roman" w:cs="Times New Roman"/>
                <w:color w:val="auto"/>
              </w:rPr>
              <w:t>vienojās</w:t>
            </w:r>
            <w:r w:rsidRPr="00AB7E1B">
              <w:rPr>
                <w:rFonts w:ascii="Times New Roman" w:eastAsia="Times New Roman" w:hAnsi="Times New Roman" w:cs="Times New Roman"/>
                <w:color w:val="auto"/>
              </w:rPr>
              <w:t xml:space="preserve">, ka valsts budžets līdz </w:t>
            </w:r>
            <w:r w:rsidR="001C6628" w:rsidRPr="00AB7E1B">
              <w:rPr>
                <w:rFonts w:ascii="Times New Roman" w:eastAsia="Times New Roman" w:hAnsi="Times New Roman" w:cs="Times New Roman"/>
                <w:color w:val="auto"/>
              </w:rPr>
              <w:t>25 miljoni</w:t>
            </w:r>
            <w:r w:rsidRPr="00AB7E1B">
              <w:rPr>
                <w:rFonts w:ascii="Times New Roman" w:eastAsia="Times New Roman" w:hAnsi="Times New Roman" w:cs="Times New Roman"/>
                <w:color w:val="auto"/>
              </w:rPr>
              <w:t>em</w:t>
            </w:r>
            <w:r w:rsidR="001C6628" w:rsidRPr="00AB7E1B">
              <w:rPr>
                <w:rFonts w:ascii="Times New Roman" w:eastAsia="Times New Roman" w:hAnsi="Times New Roman" w:cs="Times New Roman"/>
                <w:color w:val="auto"/>
              </w:rPr>
              <w:t xml:space="preserve"> </w:t>
            </w:r>
            <w:r w:rsidR="001C6628" w:rsidRPr="000E57E8">
              <w:rPr>
                <w:rFonts w:ascii="Times New Roman" w:eastAsia="Times New Roman" w:hAnsi="Times New Roman" w:cs="Times New Roman"/>
                <w:i/>
                <w:iCs/>
                <w:color w:val="auto"/>
              </w:rPr>
              <w:t>euro</w:t>
            </w:r>
            <w:r w:rsidR="001C6628" w:rsidRPr="00AB7E1B">
              <w:rPr>
                <w:rFonts w:ascii="Times New Roman" w:eastAsia="Times New Roman" w:hAnsi="Times New Roman" w:cs="Times New Roman"/>
                <w:color w:val="auto"/>
              </w:rPr>
              <w:t xml:space="preserve"> var tikt </w:t>
            </w:r>
            <w:r w:rsidRPr="00AB7E1B">
              <w:rPr>
                <w:rFonts w:ascii="Times New Roman" w:eastAsia="Times New Roman" w:hAnsi="Times New Roman" w:cs="Times New Roman"/>
                <w:color w:val="auto"/>
              </w:rPr>
              <w:t xml:space="preserve">novirzīti </w:t>
            </w:r>
            <w:r w:rsidR="001C6628" w:rsidRPr="00AB7E1B">
              <w:rPr>
                <w:rFonts w:ascii="Times New Roman" w:eastAsia="Times New Roman" w:hAnsi="Times New Roman" w:cs="Times New Roman"/>
                <w:color w:val="auto"/>
              </w:rPr>
              <w:t xml:space="preserve">lielajiem uzņēmumiem, kuru darbība ir ietekmējusi vīrusa Covid-19 izplatība un kuriem ir konstatējamas finanšu grūtību pazīmes. </w:t>
            </w:r>
            <w:r w:rsidR="00165BA7" w:rsidRPr="00AB7E1B">
              <w:rPr>
                <w:rFonts w:ascii="Times New Roman" w:eastAsia="Times New Roman" w:hAnsi="Times New Roman" w:cs="Times New Roman"/>
                <w:color w:val="auto"/>
              </w:rPr>
              <w:t>Saskaņā ar</w:t>
            </w:r>
            <w:r w:rsidR="001C6628" w:rsidRPr="00AB7E1B">
              <w:rPr>
                <w:rFonts w:ascii="Times New Roman" w:eastAsia="Times New Roman" w:hAnsi="Times New Roman" w:cs="Times New Roman"/>
                <w:color w:val="auto"/>
              </w:rPr>
              <w:t xml:space="preserve"> Komisijas paziņojumu par pamatnostādnēm par valsts atbalstu grūtībās nonākušu </w:t>
            </w:r>
            <w:proofErr w:type="spellStart"/>
            <w:r w:rsidR="001C6628" w:rsidRPr="00AB7E1B">
              <w:rPr>
                <w:rFonts w:ascii="Times New Roman" w:eastAsia="Times New Roman" w:hAnsi="Times New Roman" w:cs="Times New Roman"/>
                <w:color w:val="auto"/>
              </w:rPr>
              <w:t>nefinanšu</w:t>
            </w:r>
            <w:proofErr w:type="spellEnd"/>
            <w:r w:rsidR="001C6628" w:rsidRPr="00AB7E1B">
              <w:rPr>
                <w:rFonts w:ascii="Times New Roman" w:eastAsia="Times New Roman" w:hAnsi="Times New Roman" w:cs="Times New Roman"/>
                <w:color w:val="auto"/>
              </w:rPr>
              <w:t xml:space="preserve"> uzņēmumu glābšanai un pārstrukturēšanai (Eiropas Savienības Oficiālais Vēstnesis, 2014.gada 31.jūlijs, Nr. C 249/1), lielajiem uzņēmumiem, kuri ir nonākuši finanšu grūtībās, </w:t>
            </w:r>
            <w:proofErr w:type="spellStart"/>
            <w:r w:rsidR="001C6628" w:rsidRPr="00AB7E1B">
              <w:rPr>
                <w:rFonts w:ascii="Times New Roman" w:eastAsia="Times New Roman" w:hAnsi="Times New Roman" w:cs="Times New Roman"/>
                <w:color w:val="auto"/>
              </w:rPr>
              <w:t>pārstrukutrēšanās</w:t>
            </w:r>
            <w:proofErr w:type="spellEnd"/>
            <w:r w:rsidR="001C6628" w:rsidRPr="00AB7E1B">
              <w:rPr>
                <w:rFonts w:ascii="Times New Roman" w:eastAsia="Times New Roman" w:hAnsi="Times New Roman" w:cs="Times New Roman"/>
                <w:color w:val="auto"/>
              </w:rPr>
              <w:t xml:space="preserve"> atbalstu var piešķirt, individuāli to </w:t>
            </w:r>
            <w:proofErr w:type="spellStart"/>
            <w:r w:rsidR="001C6628" w:rsidRPr="00AB7E1B">
              <w:rPr>
                <w:rFonts w:ascii="Times New Roman" w:eastAsia="Times New Roman" w:hAnsi="Times New Roman" w:cs="Times New Roman"/>
                <w:color w:val="auto"/>
              </w:rPr>
              <w:t>notificējot</w:t>
            </w:r>
            <w:proofErr w:type="spellEnd"/>
            <w:r w:rsidR="001C6628" w:rsidRPr="00AB7E1B">
              <w:rPr>
                <w:rFonts w:ascii="Times New Roman" w:eastAsia="Times New Roman" w:hAnsi="Times New Roman" w:cs="Times New Roman"/>
                <w:color w:val="auto"/>
              </w:rPr>
              <w:t xml:space="preserve"> Eiropas Komisijai. </w:t>
            </w:r>
            <w:r w:rsidR="00C6475E" w:rsidRPr="00AB7E1B">
              <w:rPr>
                <w:rFonts w:ascii="Times New Roman" w:eastAsia="Times New Roman" w:hAnsi="Times New Roman" w:cs="Times New Roman"/>
                <w:color w:val="auto"/>
              </w:rPr>
              <w:t>Šādus uzņēmumus</w:t>
            </w:r>
            <w:r w:rsidR="001C6628" w:rsidRPr="00AB7E1B">
              <w:rPr>
                <w:rFonts w:ascii="Times New Roman" w:eastAsia="Times New Roman" w:hAnsi="Times New Roman" w:cs="Times New Roman"/>
                <w:color w:val="auto"/>
              </w:rPr>
              <w:t xml:space="preserve"> </w:t>
            </w:r>
            <w:r w:rsidR="00C6475E" w:rsidRPr="00AB7E1B">
              <w:rPr>
                <w:rFonts w:ascii="Times New Roman" w:eastAsia="Times New Roman" w:hAnsi="Times New Roman" w:cs="Times New Roman"/>
                <w:color w:val="auto"/>
              </w:rPr>
              <w:t>nefinansēs</w:t>
            </w:r>
            <w:r w:rsidR="001C6628" w:rsidRPr="00AB7E1B">
              <w:rPr>
                <w:rFonts w:ascii="Times New Roman" w:eastAsia="Times New Roman" w:hAnsi="Times New Roman" w:cs="Times New Roman"/>
                <w:color w:val="auto"/>
              </w:rPr>
              <w:t xml:space="preserve"> fonda ietvaros, jo tiem ir piemērojama cita </w:t>
            </w:r>
            <w:r w:rsidRPr="00AB7E1B">
              <w:rPr>
                <w:rFonts w:ascii="Times New Roman" w:eastAsia="Times New Roman" w:hAnsi="Times New Roman" w:cs="Times New Roman"/>
                <w:color w:val="auto"/>
              </w:rPr>
              <w:t xml:space="preserve">valsts </w:t>
            </w:r>
            <w:r w:rsidR="001C6628" w:rsidRPr="00AB7E1B">
              <w:rPr>
                <w:rFonts w:ascii="Times New Roman" w:eastAsia="Times New Roman" w:hAnsi="Times New Roman" w:cs="Times New Roman"/>
                <w:color w:val="auto"/>
              </w:rPr>
              <w:t>atbalsta saņemšanas kārtība.</w:t>
            </w:r>
            <w:r w:rsidR="00E07E33" w:rsidRPr="00AB7E1B" w:rsidDel="00E07E33">
              <w:rPr>
                <w:rFonts w:ascii="Times New Roman" w:eastAsia="Times New Roman" w:hAnsi="Times New Roman" w:cs="Times New Roman"/>
                <w:color w:val="auto"/>
              </w:rPr>
              <w:t xml:space="preserve"> </w:t>
            </w:r>
            <w:r w:rsidR="00C6475E" w:rsidRPr="00AB7E1B">
              <w:rPr>
                <w:rFonts w:ascii="Times New Roman" w:eastAsia="Times New Roman" w:hAnsi="Times New Roman" w:cs="Times New Roman"/>
                <w:color w:val="auto"/>
              </w:rPr>
              <w:t>Tādejādi š</w:t>
            </w:r>
            <w:r w:rsidRPr="00AB7E1B">
              <w:rPr>
                <w:rFonts w:ascii="Times New Roman" w:eastAsia="Times New Roman" w:hAnsi="Times New Roman" w:cs="Times New Roman"/>
                <w:color w:val="auto"/>
              </w:rPr>
              <w:t xml:space="preserve">is Noteikumu projekts nenosaka </w:t>
            </w:r>
            <w:r w:rsidR="00C6475E" w:rsidRPr="00AB7E1B">
              <w:rPr>
                <w:rFonts w:ascii="Times New Roman" w:eastAsia="Times New Roman" w:hAnsi="Times New Roman" w:cs="Times New Roman"/>
                <w:color w:val="auto"/>
              </w:rPr>
              <w:t>valsts atbalsta piešķiršanas kārtību uzņēmumiem, kuri ir nonākuši finanšu grūtībās, jo konkrētie nosacījumi tiek noteikti atbilstoši konkrētajam gadījumam, to skaņojot ar Eiropas Komisiju.</w:t>
            </w:r>
          </w:p>
          <w:p w14:paraId="352AC19E" w14:textId="5C062920" w:rsidR="001C6628" w:rsidRPr="00AB7E1B" w:rsidRDefault="001C6628" w:rsidP="001C6628">
            <w:pPr>
              <w:pStyle w:val="Default"/>
              <w:spacing w:before="120"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 xml:space="preserve">Ir plānots, ka fondā kapitālieguldījumus veic valsts </w:t>
            </w:r>
            <w:proofErr w:type="spellStart"/>
            <w:r w:rsidRPr="00AB7E1B">
              <w:rPr>
                <w:rFonts w:ascii="Times New Roman" w:eastAsia="Times New Roman" w:hAnsi="Times New Roman" w:cs="Times New Roman"/>
                <w:color w:val="auto"/>
              </w:rPr>
              <w:t>fondēto</w:t>
            </w:r>
            <w:proofErr w:type="spellEnd"/>
            <w:r w:rsidRPr="00AB7E1B">
              <w:rPr>
                <w:rFonts w:ascii="Times New Roman" w:eastAsia="Times New Roman" w:hAnsi="Times New Roman" w:cs="Times New Roman"/>
                <w:color w:val="auto"/>
              </w:rPr>
              <w:t xml:space="preserve"> pensiju shēmas līdzekļu pārvaldnieki (līdz 50 miljoniem </w:t>
            </w:r>
            <w:r w:rsidRPr="000E57E8">
              <w:rPr>
                <w:rFonts w:ascii="Times New Roman" w:eastAsia="Times New Roman" w:hAnsi="Times New Roman" w:cs="Times New Roman"/>
                <w:i/>
                <w:iCs/>
                <w:color w:val="auto"/>
              </w:rPr>
              <w:t>euro</w:t>
            </w:r>
            <w:r w:rsidRPr="00AB7E1B">
              <w:rPr>
                <w:rFonts w:ascii="Times New Roman" w:eastAsia="Times New Roman" w:hAnsi="Times New Roman" w:cs="Times New Roman"/>
                <w:color w:val="auto"/>
              </w:rPr>
              <w:t xml:space="preserve">), tādejādi veidojot fondu sākotnēji 100 miljonu </w:t>
            </w:r>
            <w:r w:rsidRPr="000E57E8">
              <w:rPr>
                <w:rFonts w:ascii="Times New Roman" w:eastAsia="Times New Roman" w:hAnsi="Times New Roman" w:cs="Times New Roman"/>
                <w:i/>
                <w:iCs/>
                <w:color w:val="auto"/>
              </w:rPr>
              <w:t>euro</w:t>
            </w:r>
            <w:r w:rsidRPr="00AB7E1B">
              <w:rPr>
                <w:rFonts w:ascii="Times New Roman" w:eastAsia="Times New Roman" w:hAnsi="Times New Roman" w:cs="Times New Roman"/>
                <w:color w:val="auto"/>
              </w:rPr>
              <w:t xml:space="preserve"> apjomā. Iespējami arī citi neatkarīgi privātie ieguldītāji, kuri atbildīs prasībām un </w:t>
            </w:r>
            <w:r w:rsidR="00E07E33" w:rsidRPr="00AB7E1B">
              <w:rPr>
                <w:rFonts w:ascii="Times New Roman" w:eastAsia="Times New Roman" w:hAnsi="Times New Roman" w:cs="Times New Roman"/>
                <w:color w:val="auto"/>
              </w:rPr>
              <w:t xml:space="preserve">atbalstīs definēto </w:t>
            </w:r>
            <w:r w:rsidRPr="00AB7E1B">
              <w:rPr>
                <w:rFonts w:ascii="Times New Roman" w:eastAsia="Times New Roman" w:hAnsi="Times New Roman" w:cs="Times New Roman"/>
                <w:color w:val="auto"/>
              </w:rPr>
              <w:t xml:space="preserve">ieguldījumu </w:t>
            </w:r>
            <w:r w:rsidR="00E07E33" w:rsidRPr="00AB7E1B">
              <w:rPr>
                <w:rFonts w:ascii="Times New Roman" w:eastAsia="Times New Roman" w:hAnsi="Times New Roman" w:cs="Times New Roman"/>
                <w:color w:val="auto"/>
              </w:rPr>
              <w:t>stratēģiju</w:t>
            </w:r>
            <w:r w:rsidRPr="00AB7E1B">
              <w:rPr>
                <w:rFonts w:ascii="Times New Roman" w:eastAsia="Times New Roman" w:hAnsi="Times New Roman" w:cs="Times New Roman"/>
                <w:color w:val="auto"/>
              </w:rPr>
              <w:t xml:space="preserve">, ko izstrādās fondu pārvaldnieks par </w:t>
            </w:r>
            <w:r w:rsidR="00E07E33" w:rsidRPr="00AB7E1B">
              <w:rPr>
                <w:rFonts w:ascii="Times New Roman" w:eastAsia="Times New Roman" w:hAnsi="Times New Roman" w:cs="Times New Roman"/>
                <w:color w:val="auto"/>
              </w:rPr>
              <w:t xml:space="preserve">prasībām </w:t>
            </w:r>
            <w:r w:rsidRPr="00AB7E1B">
              <w:rPr>
                <w:rFonts w:ascii="Times New Roman" w:eastAsia="Times New Roman" w:hAnsi="Times New Roman" w:cs="Times New Roman"/>
                <w:color w:val="auto"/>
              </w:rPr>
              <w:t xml:space="preserve">publiski informējot, piemēram, iesniedzot informāciju Finanšu nozares asociācijai. </w:t>
            </w:r>
          </w:p>
          <w:p w14:paraId="4452A297" w14:textId="4E251EFC" w:rsidR="001C6628" w:rsidRPr="00AB7E1B" w:rsidRDefault="001C6628" w:rsidP="001C6628">
            <w:pPr>
              <w:pStyle w:val="Default"/>
              <w:spacing w:before="120"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 xml:space="preserve">Par jaunā kapitāla fonda pārvaldnieku saskaņā ar </w:t>
            </w:r>
            <w:r w:rsidR="00C41FDE" w:rsidRPr="00883B55">
              <w:rPr>
                <w:rFonts w:ascii="Times New Roman" w:eastAsia="Times New Roman" w:hAnsi="Times New Roman" w:cs="Times New Roman"/>
                <w:color w:val="auto"/>
              </w:rPr>
              <w:t>Covid-19 infekcijas izplatības seku pārvarēšanas likuma</w:t>
            </w:r>
            <w:r w:rsidRPr="00AB7E1B">
              <w:rPr>
                <w:rFonts w:ascii="Times New Roman" w:eastAsia="Times New Roman" w:hAnsi="Times New Roman" w:cs="Times New Roman"/>
                <w:color w:val="auto"/>
              </w:rPr>
              <w:t xml:space="preserve"> tiek noteikta sabiedrība </w:t>
            </w:r>
            <w:proofErr w:type="spellStart"/>
            <w:r w:rsidRPr="00AB7E1B">
              <w:rPr>
                <w:rFonts w:ascii="Times New Roman" w:eastAsia="Times New Roman" w:hAnsi="Times New Roman" w:cs="Times New Roman"/>
                <w:color w:val="auto"/>
              </w:rPr>
              <w:t>Altum</w:t>
            </w:r>
            <w:proofErr w:type="spellEnd"/>
            <w:r w:rsidRPr="00AB7E1B">
              <w:rPr>
                <w:rFonts w:ascii="Times New Roman" w:eastAsia="Times New Roman" w:hAnsi="Times New Roman" w:cs="Times New Roman"/>
                <w:color w:val="auto"/>
              </w:rPr>
              <w:t xml:space="preserve">. </w:t>
            </w:r>
          </w:p>
          <w:p w14:paraId="31344CAE" w14:textId="19CE1FF7" w:rsidR="001C6628" w:rsidRPr="00AB7E1B" w:rsidRDefault="001C6628" w:rsidP="001C6628">
            <w:pPr>
              <w:pStyle w:val="Default"/>
              <w:spacing w:before="120"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 xml:space="preserve">Fonda pārvaldnieks un fonda investori jeb dalībnieki slēgs komandītsabiedrības līgumu, kurā cita starpā, ņemot vērā šīs nozares praksi un plānoto darījumu riskus, tiks noteikti samērīgas peļņas un zaudējumu sadales principi. Lai nodrošinātu stimulus fonda pārvaldniekam veikt kvalitatīvas investīcijas ar finansiālu atdevi, līgumā tiks paredzētas iespējas pārvaldniekam gūt papildu peļņu. </w:t>
            </w:r>
          </w:p>
          <w:p w14:paraId="3E6E702D" w14:textId="73648C2F" w:rsidR="001C6628" w:rsidRPr="00AB7E1B" w:rsidRDefault="001C6628" w:rsidP="001C6628">
            <w:pPr>
              <w:pStyle w:val="Default"/>
              <w:spacing w:before="120"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lastRenderedPageBreak/>
              <w:t>Fonda pārvaldē pārvaldnieks izmantos labāko praksi, tostarp savā darbībā piemēros Eiropas riska kapitāla asociācijas izstrādātās vadlīnijas.</w:t>
            </w:r>
          </w:p>
          <w:p w14:paraId="2DD23455" w14:textId="255A6D8F" w:rsidR="001C6628" w:rsidRPr="00883B55" w:rsidRDefault="001C6628" w:rsidP="001C6628">
            <w:pPr>
              <w:pStyle w:val="Default"/>
              <w:spacing w:before="120" w:after="120"/>
              <w:jc w:val="both"/>
              <w:rPr>
                <w:rFonts w:ascii="Times New Roman" w:eastAsia="Times New Roman" w:hAnsi="Times New Roman" w:cs="Times New Roman"/>
                <w:color w:val="auto"/>
              </w:rPr>
            </w:pPr>
            <w:r w:rsidRPr="00883B55">
              <w:rPr>
                <w:rFonts w:ascii="Times New Roman" w:eastAsia="Times New Roman" w:hAnsi="Times New Roman" w:cs="Times New Roman"/>
                <w:color w:val="auto"/>
              </w:rPr>
              <w:t>Minimālais privātais līdzfinansējuma apmērs tiek noteiks ieguldījuma līmenī, paredzot, ka privātais līdzfinansējums ieguldījuma līmenī ir vismaz 50%.</w:t>
            </w:r>
          </w:p>
          <w:p w14:paraId="742E6D61" w14:textId="744B91F4" w:rsidR="001C6628" w:rsidRPr="00AB7E1B" w:rsidRDefault="001C6628" w:rsidP="001C6628">
            <w:pPr>
              <w:pStyle w:val="Default"/>
              <w:spacing w:before="120"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Finanšu instrumenti:</w:t>
            </w:r>
          </w:p>
          <w:p w14:paraId="6DDEF114" w14:textId="5A158D47" w:rsidR="00DF4167" w:rsidRPr="00DF4167" w:rsidRDefault="00DF4167" w:rsidP="00DF4167">
            <w:pPr>
              <w:pStyle w:val="ListParagraph"/>
              <w:numPr>
                <w:ilvl w:val="0"/>
                <w:numId w:val="9"/>
              </w:numPr>
              <w:spacing w:after="120"/>
              <w:jc w:val="both"/>
              <w:rPr>
                <w:rFonts w:eastAsia="Times New Roman"/>
                <w:sz w:val="24"/>
                <w:szCs w:val="24"/>
                <w:lang w:val="lv-LV"/>
              </w:rPr>
            </w:pPr>
            <w:r w:rsidRPr="00DF4167">
              <w:rPr>
                <w:rFonts w:eastAsia="Times New Roman"/>
                <w:sz w:val="24"/>
                <w:szCs w:val="24"/>
                <w:lang w:val="lv-LV"/>
              </w:rPr>
              <w:t>ieguldījumi uzņēmuma pamatkapitālā. Ieguldījumus plānots veikt, fondam vienojoties ar esošo kapitāldaļu turētājiem par uzņēmuma tirgus vērtību vai, ja fonds ieguldījumu veic, iegādājoties uzņēmuma kapitāldaļas biržā (</w:t>
            </w:r>
            <w:proofErr w:type="spellStart"/>
            <w:r w:rsidRPr="00DF4167">
              <w:rPr>
                <w:rFonts w:eastAsia="Times New Roman"/>
                <w:sz w:val="24"/>
                <w:szCs w:val="24"/>
                <w:lang w:val="lv-LV"/>
              </w:rPr>
              <w:t>Nasdaq</w:t>
            </w:r>
            <w:proofErr w:type="spellEnd"/>
            <w:r w:rsidRPr="00DF4167">
              <w:rPr>
                <w:rFonts w:eastAsia="Times New Roman"/>
                <w:sz w:val="24"/>
                <w:szCs w:val="24"/>
                <w:lang w:val="lv-LV"/>
              </w:rPr>
              <w:t xml:space="preserve"> </w:t>
            </w:r>
            <w:proofErr w:type="spellStart"/>
            <w:r w:rsidRPr="00DF4167">
              <w:rPr>
                <w:rFonts w:eastAsia="Times New Roman"/>
                <w:sz w:val="24"/>
                <w:szCs w:val="24"/>
                <w:lang w:val="lv-LV"/>
              </w:rPr>
              <w:t>Baltic</w:t>
            </w:r>
            <w:proofErr w:type="spellEnd"/>
            <w:r w:rsidRPr="00DF4167">
              <w:rPr>
                <w:rFonts w:eastAsia="Times New Roman"/>
                <w:sz w:val="24"/>
                <w:szCs w:val="24"/>
                <w:lang w:val="lv-LV"/>
              </w:rPr>
              <w:t xml:space="preserve"> Baltijas oficiālajā saraksts, Baltijas otrais saraksts vai First North akciju saraksts), uzņēmuma tirgus vērtība tiks noteikta atbilstoši tā akciju cenai biržā.  Investīcijas realizēšana ir paredzama 4-5 gadus pēc tās veikšanas. </w:t>
            </w:r>
          </w:p>
          <w:p w14:paraId="658D9D19" w14:textId="02D8D1E6" w:rsidR="001C6628" w:rsidRPr="00DF4167" w:rsidRDefault="00DF4167" w:rsidP="00DF4167">
            <w:pPr>
              <w:pStyle w:val="ListParagraph"/>
              <w:numPr>
                <w:ilvl w:val="0"/>
                <w:numId w:val="9"/>
              </w:numPr>
              <w:spacing w:after="160" w:line="259" w:lineRule="auto"/>
              <w:jc w:val="both"/>
              <w:rPr>
                <w:rFonts w:eastAsia="Times New Roman"/>
                <w:sz w:val="24"/>
                <w:szCs w:val="24"/>
                <w:lang w:val="lv-LV"/>
              </w:rPr>
            </w:pPr>
            <w:r w:rsidRPr="00DF4167">
              <w:rPr>
                <w:rFonts w:eastAsia="Times New Roman"/>
                <w:sz w:val="24"/>
                <w:szCs w:val="24"/>
                <w:lang w:val="lv-LV"/>
              </w:rPr>
              <w:t>ieguldījumi  uzņēmuma pamatkapitālā kopā ar citu privāto investoru, kredītiestādi vai citu privāto kapitāla fondu, veicot paralēlo ieguldījumu, tādējādi kopā kā investoru grupai gūstot būtisku ietekmi pār uzņēmumu, tā iekšējiem procesiem, ilgtermiņa darbības stratēģiju un vīrusa COVID-19 krīzes radīto seku likvidēšanu. Ieguldījumu plānots veikt, fondam vienojoties ar esošo kapitāldaļu turētājiem par uzņēmuma tirgus vērtību vai, ja fonds ieguldījumu veic iegādājoties uzņēmuma kapitāldaļas biržā (</w:t>
            </w:r>
            <w:proofErr w:type="spellStart"/>
            <w:r w:rsidRPr="00DF4167">
              <w:rPr>
                <w:rFonts w:eastAsia="Times New Roman"/>
                <w:sz w:val="24"/>
                <w:szCs w:val="24"/>
                <w:lang w:val="lv-LV"/>
              </w:rPr>
              <w:t>Nasdaq</w:t>
            </w:r>
            <w:proofErr w:type="spellEnd"/>
            <w:r w:rsidRPr="00DF4167">
              <w:rPr>
                <w:rFonts w:eastAsia="Times New Roman"/>
                <w:sz w:val="24"/>
                <w:szCs w:val="24"/>
                <w:lang w:val="lv-LV"/>
              </w:rPr>
              <w:t xml:space="preserve"> </w:t>
            </w:r>
            <w:proofErr w:type="spellStart"/>
            <w:r w:rsidRPr="00DF4167">
              <w:rPr>
                <w:rFonts w:eastAsia="Times New Roman"/>
                <w:sz w:val="24"/>
                <w:szCs w:val="24"/>
                <w:lang w:val="lv-LV"/>
              </w:rPr>
              <w:t>Baltic</w:t>
            </w:r>
            <w:proofErr w:type="spellEnd"/>
            <w:r w:rsidRPr="00DF4167">
              <w:rPr>
                <w:rFonts w:eastAsia="Times New Roman"/>
                <w:sz w:val="24"/>
                <w:szCs w:val="24"/>
                <w:lang w:val="lv-LV"/>
              </w:rPr>
              <w:t xml:space="preserve"> Baltijas oficiālajā saraksts, Baltijas otrais saraksts vai First North akciju saraksts), uzņēmuma tirgus vērtība tiek noteikta atbilstoši tā akciju cenai biržā.   Piesaistot vienu vai vairākus </w:t>
            </w:r>
            <w:proofErr w:type="spellStart"/>
            <w:r w:rsidRPr="00DF4167">
              <w:rPr>
                <w:rFonts w:eastAsia="Times New Roman"/>
                <w:sz w:val="24"/>
                <w:szCs w:val="24"/>
                <w:lang w:val="lv-LV"/>
              </w:rPr>
              <w:t>līdzinvestorus</w:t>
            </w:r>
            <w:proofErr w:type="spellEnd"/>
            <w:r w:rsidRPr="00DF4167">
              <w:rPr>
                <w:rFonts w:eastAsia="Times New Roman"/>
                <w:sz w:val="24"/>
                <w:szCs w:val="24"/>
                <w:lang w:val="lv-LV"/>
              </w:rPr>
              <w:t>, kopējais investīcijas apjoms vienā uzņēmumā kā investoru grupai var pārsniegt fonda maksimālās investīcijas izmēru 10 miljonus euro. Investīcijas realizēšana tirgū ir paredzama 4-5 gadus pēc tās veikšanas.</w:t>
            </w:r>
            <w:r w:rsidRPr="00F8724B">
              <w:rPr>
                <w:rFonts w:ascii="Century Gothic" w:hAnsi="Century Gothic"/>
              </w:rPr>
              <w:t xml:space="preserve"> </w:t>
            </w:r>
          </w:p>
          <w:p w14:paraId="343C4532" w14:textId="77777777" w:rsidR="00DF4167" w:rsidRDefault="00DF4167" w:rsidP="00DF4167">
            <w:pPr>
              <w:pStyle w:val="ListParagraph"/>
              <w:numPr>
                <w:ilvl w:val="0"/>
                <w:numId w:val="9"/>
              </w:numPr>
              <w:spacing w:after="160" w:line="259" w:lineRule="auto"/>
              <w:jc w:val="both"/>
              <w:rPr>
                <w:rFonts w:eastAsia="Times New Roman"/>
                <w:sz w:val="24"/>
                <w:szCs w:val="24"/>
                <w:lang w:val="lv-LV"/>
              </w:rPr>
            </w:pPr>
            <w:r w:rsidRPr="00DF4167">
              <w:rPr>
                <w:rFonts w:eastAsia="Times New Roman"/>
                <w:sz w:val="24"/>
                <w:szCs w:val="24"/>
                <w:lang w:val="lv-LV"/>
              </w:rPr>
              <w:t xml:space="preserve">ieguldījumi uzņēmumu </w:t>
            </w:r>
            <w:proofErr w:type="spellStart"/>
            <w:r w:rsidRPr="00DF4167">
              <w:rPr>
                <w:rFonts w:eastAsia="Times New Roman"/>
                <w:sz w:val="24"/>
                <w:szCs w:val="24"/>
                <w:lang w:val="lv-LV"/>
              </w:rPr>
              <w:t>kvazi</w:t>
            </w:r>
            <w:proofErr w:type="spellEnd"/>
            <w:r w:rsidRPr="00DF4167">
              <w:rPr>
                <w:rFonts w:eastAsia="Times New Roman"/>
                <w:sz w:val="24"/>
                <w:szCs w:val="24"/>
                <w:lang w:val="lv-LV"/>
              </w:rPr>
              <w:t>-kapitālā. Fonds plāno piešķirt uzņēmumam subordinēto aizdevumu, nodrošinājumā reģistrējot ķīlu uz vairākuma daļu (vismaz 50% + 1 balss) no uzņēmuma kapitāldaļām. Ja uzņēmums nepilda finanšu saistības, fondam ir tiesības pārņemt tam par labu ieķīlātās kapitāldaļas, konvertējot kapitālā aizdevuma summu. Konvertācija ir iespēja arī pie citiem nosacījumiem, par to Fondam vienojoties ar esošajiem kapitāldaļu turētājiem. Aizdevuma atmaksas termiņš līdz pieciem gadiem</w:t>
            </w:r>
            <w:r>
              <w:rPr>
                <w:rFonts w:eastAsia="Times New Roman"/>
                <w:sz w:val="24"/>
                <w:szCs w:val="24"/>
                <w:lang w:val="lv-LV"/>
              </w:rPr>
              <w:t>.</w:t>
            </w:r>
          </w:p>
          <w:p w14:paraId="212F9B88" w14:textId="3BBBF1E9" w:rsidR="00DF4167" w:rsidRPr="00DF4167" w:rsidRDefault="00DF4167" w:rsidP="00DF4167">
            <w:pPr>
              <w:pStyle w:val="ListParagraph"/>
              <w:numPr>
                <w:ilvl w:val="0"/>
                <w:numId w:val="9"/>
              </w:numPr>
              <w:spacing w:after="160" w:line="259" w:lineRule="auto"/>
              <w:jc w:val="both"/>
              <w:rPr>
                <w:rFonts w:eastAsia="Times New Roman"/>
                <w:sz w:val="24"/>
                <w:szCs w:val="24"/>
                <w:lang w:val="lv-LV"/>
              </w:rPr>
            </w:pPr>
            <w:r w:rsidRPr="00DF4167">
              <w:rPr>
                <w:rFonts w:eastAsia="Times New Roman"/>
                <w:sz w:val="24"/>
                <w:szCs w:val="24"/>
                <w:lang w:val="lv-LV"/>
              </w:rPr>
              <w:t xml:space="preserve">ieguldījumus korporatīvajās obligācijās, tajā skaitā konvertējamās. Fonds pirmreizējā tirgū plāno iegādāties obligācijas ar nosacījumu, ka tās tiek kotētas </w:t>
            </w:r>
            <w:proofErr w:type="spellStart"/>
            <w:r w:rsidRPr="00DF4167">
              <w:rPr>
                <w:rFonts w:eastAsia="Times New Roman"/>
                <w:sz w:val="24"/>
                <w:szCs w:val="24"/>
                <w:lang w:val="lv-LV"/>
              </w:rPr>
              <w:t>Nasdaq</w:t>
            </w:r>
            <w:proofErr w:type="spellEnd"/>
            <w:r w:rsidRPr="00DF4167">
              <w:rPr>
                <w:rFonts w:eastAsia="Times New Roman"/>
                <w:sz w:val="24"/>
                <w:szCs w:val="24"/>
                <w:lang w:val="lv-LV"/>
              </w:rPr>
              <w:t xml:space="preserve"> </w:t>
            </w:r>
            <w:proofErr w:type="spellStart"/>
            <w:r w:rsidRPr="00DF4167">
              <w:rPr>
                <w:rFonts w:eastAsia="Times New Roman"/>
                <w:sz w:val="24"/>
                <w:szCs w:val="24"/>
                <w:lang w:val="lv-LV"/>
              </w:rPr>
              <w:t>Riga</w:t>
            </w:r>
            <w:proofErr w:type="spellEnd"/>
            <w:r w:rsidRPr="00DF4167">
              <w:rPr>
                <w:rFonts w:eastAsia="Times New Roman"/>
                <w:sz w:val="24"/>
                <w:szCs w:val="24"/>
                <w:lang w:val="lv-LV"/>
              </w:rPr>
              <w:t xml:space="preserve"> biržā. Fonds vienosies ar uzņēmumu par obligāciju </w:t>
            </w:r>
            <w:r w:rsidRPr="00DF4167">
              <w:rPr>
                <w:rFonts w:eastAsia="Times New Roman"/>
                <w:sz w:val="24"/>
                <w:szCs w:val="24"/>
                <w:lang w:val="lv-LV"/>
              </w:rPr>
              <w:lastRenderedPageBreak/>
              <w:t xml:space="preserve">privāto izvietojumu vai iegādāsies tās obligāciju publiskajā piedāvājumā ar nosacījumu, ka uzņēmums veiks visas nepieciešamās darbības, lai obligācijas tiktu iekļautas </w:t>
            </w:r>
            <w:proofErr w:type="spellStart"/>
            <w:r w:rsidRPr="00DF4167">
              <w:rPr>
                <w:rFonts w:eastAsia="Times New Roman"/>
                <w:sz w:val="24"/>
                <w:szCs w:val="24"/>
                <w:lang w:val="lv-LV"/>
              </w:rPr>
              <w:t>Nasdaq</w:t>
            </w:r>
            <w:proofErr w:type="spellEnd"/>
            <w:r w:rsidRPr="00DF4167">
              <w:rPr>
                <w:rFonts w:eastAsia="Times New Roman"/>
                <w:sz w:val="24"/>
                <w:szCs w:val="24"/>
                <w:lang w:val="lv-LV"/>
              </w:rPr>
              <w:t xml:space="preserve"> </w:t>
            </w:r>
            <w:proofErr w:type="spellStart"/>
            <w:r w:rsidRPr="00DF4167">
              <w:rPr>
                <w:rFonts w:eastAsia="Times New Roman"/>
                <w:sz w:val="24"/>
                <w:szCs w:val="24"/>
                <w:lang w:val="lv-LV"/>
              </w:rPr>
              <w:t>Baltic</w:t>
            </w:r>
            <w:proofErr w:type="spellEnd"/>
            <w:r w:rsidRPr="00DF4167">
              <w:rPr>
                <w:rFonts w:eastAsia="Times New Roman"/>
                <w:sz w:val="24"/>
                <w:szCs w:val="24"/>
                <w:lang w:val="lv-LV"/>
              </w:rPr>
              <w:t xml:space="preserve"> Baltijas regulētajā tirgū vai First North obligāciju sarakstā. Fondam ir tiesības iegādātās komersanta obligācijas realizēt sekundārajā tirgū, tai skaitā ārpus biržām (OTC tirgū).</w:t>
            </w:r>
            <w:r w:rsidRPr="00B12A12">
              <w:rPr>
                <w:rFonts w:ascii="Century Gothic" w:hAnsi="Century Gothic"/>
                <w:lang w:val="lv-LV"/>
              </w:rPr>
              <w:t xml:space="preserve"> </w:t>
            </w:r>
          </w:p>
          <w:p w14:paraId="7F6098A6" w14:textId="5924B706" w:rsidR="007E3641" w:rsidRPr="00883B55" w:rsidRDefault="007E3641" w:rsidP="00374D78">
            <w:pPr>
              <w:jc w:val="both"/>
              <w:rPr>
                <w:rFonts w:eastAsia="Times New Roman"/>
                <w:sz w:val="24"/>
                <w:szCs w:val="24"/>
                <w:lang w:val="lv-LV"/>
              </w:rPr>
            </w:pPr>
            <w:r w:rsidRPr="00883B55">
              <w:rPr>
                <w:rFonts w:eastAsia="Times New Roman"/>
                <w:sz w:val="24"/>
                <w:szCs w:val="24"/>
                <w:lang w:val="lv-LV"/>
              </w:rPr>
              <w:t xml:space="preserve">Ieguldījumu </w:t>
            </w:r>
            <w:r w:rsidR="005F22DA" w:rsidRPr="00883B55">
              <w:rPr>
                <w:rFonts w:eastAsia="Times New Roman"/>
                <w:sz w:val="24"/>
                <w:szCs w:val="24"/>
                <w:lang w:val="lv-LV"/>
              </w:rPr>
              <w:t>atmaksas</w:t>
            </w:r>
            <w:r w:rsidRPr="00883B55">
              <w:rPr>
                <w:rFonts w:eastAsia="Times New Roman"/>
                <w:sz w:val="24"/>
                <w:szCs w:val="24"/>
                <w:lang w:val="lv-LV"/>
              </w:rPr>
              <w:t xml:space="preserve"> katram no iepriekš minētajiem finanšu instrumentiem var atšķirties (atkarībā no ieguldījumu veida šī</w:t>
            </w:r>
            <w:r w:rsidR="00374D78" w:rsidRPr="00883B55">
              <w:rPr>
                <w:rFonts w:eastAsia="Times New Roman"/>
                <w:sz w:val="24"/>
                <w:szCs w:val="24"/>
                <w:lang w:val="lv-LV"/>
              </w:rPr>
              <w:t xml:space="preserve"> </w:t>
            </w:r>
            <w:proofErr w:type="spellStart"/>
            <w:r w:rsidR="00374D78" w:rsidRPr="00883B55">
              <w:rPr>
                <w:rFonts w:eastAsia="Times New Roman"/>
                <w:sz w:val="24"/>
                <w:szCs w:val="24"/>
                <w:lang w:val="lv-LV"/>
              </w:rPr>
              <w:t>atdeve</w:t>
            </w:r>
            <w:proofErr w:type="spellEnd"/>
            <w:r w:rsidR="00374D78" w:rsidRPr="00883B55">
              <w:rPr>
                <w:rFonts w:eastAsia="Times New Roman"/>
                <w:sz w:val="24"/>
                <w:szCs w:val="24"/>
                <w:lang w:val="lv-LV"/>
              </w:rPr>
              <w:t xml:space="preserve"> (</w:t>
            </w:r>
            <w:r w:rsidR="005F22DA" w:rsidRPr="00883B55">
              <w:rPr>
                <w:rFonts w:eastAsia="Times New Roman"/>
                <w:sz w:val="24"/>
                <w:szCs w:val="24"/>
                <w:lang w:val="lv-LV"/>
              </w:rPr>
              <w:t>atmaksas</w:t>
            </w:r>
            <w:r w:rsidR="00374D78" w:rsidRPr="00883B55">
              <w:rPr>
                <w:rFonts w:eastAsia="Times New Roman"/>
                <w:sz w:val="24"/>
                <w:szCs w:val="24"/>
                <w:lang w:val="lv-LV"/>
              </w:rPr>
              <w:t>)</w:t>
            </w:r>
            <w:r w:rsidRPr="00883B55">
              <w:rPr>
                <w:rFonts w:eastAsia="Times New Roman"/>
                <w:sz w:val="24"/>
                <w:szCs w:val="24"/>
                <w:lang w:val="lv-LV"/>
              </w:rPr>
              <w:t xml:space="preserve"> var būt augstāka</w:t>
            </w:r>
            <w:r w:rsidR="005F22DA" w:rsidRPr="00883B55">
              <w:rPr>
                <w:rFonts w:eastAsia="Times New Roman"/>
                <w:sz w:val="24"/>
                <w:szCs w:val="24"/>
                <w:lang w:val="lv-LV"/>
              </w:rPr>
              <w:t xml:space="preserve"> vai</w:t>
            </w:r>
            <w:r w:rsidRPr="00883B55">
              <w:rPr>
                <w:rFonts w:eastAsia="Times New Roman"/>
                <w:sz w:val="24"/>
                <w:szCs w:val="24"/>
                <w:lang w:val="lv-LV"/>
              </w:rPr>
              <w:t xml:space="preserve"> zemāka). Fonda pārvaldnieks piemēro katram uzņēmuma atbilstošāko finanšu instrumentu vai to kombināciju. </w:t>
            </w:r>
            <w:r w:rsidR="00374D78" w:rsidRPr="00883B55">
              <w:rPr>
                <w:rFonts w:eastAsia="Times New Roman"/>
                <w:sz w:val="24"/>
                <w:szCs w:val="24"/>
                <w:lang w:val="lv-LV"/>
              </w:rPr>
              <w:t>Fonds, veicot ieguldījumu komersantā, iegūst būtisku ietekmi pār komersantu un tā darbības procesiem, izmantojot iepriekš minētos finanšu instrumentus vai to kombinēšanu.</w:t>
            </w:r>
          </w:p>
          <w:p w14:paraId="07F7630F" w14:textId="77777777" w:rsidR="00374D78" w:rsidRPr="00883B55" w:rsidRDefault="00374D78" w:rsidP="00374D78">
            <w:pPr>
              <w:jc w:val="both"/>
              <w:rPr>
                <w:rFonts w:eastAsia="Times New Roman"/>
                <w:sz w:val="24"/>
                <w:szCs w:val="24"/>
                <w:lang w:val="lv-LV"/>
              </w:rPr>
            </w:pPr>
          </w:p>
          <w:p w14:paraId="58782C00" w14:textId="639CFBF0" w:rsidR="001C6628" w:rsidRPr="00AB7E1B" w:rsidRDefault="001C6628" w:rsidP="001C6628">
            <w:pPr>
              <w:jc w:val="both"/>
              <w:rPr>
                <w:rFonts w:eastAsia="Times New Roman"/>
                <w:sz w:val="24"/>
                <w:szCs w:val="24"/>
                <w:lang w:val="lv-LV"/>
              </w:rPr>
            </w:pPr>
            <w:r w:rsidRPr="00AB7E1B">
              <w:rPr>
                <w:rFonts w:eastAsia="Times New Roman"/>
                <w:sz w:val="24"/>
                <w:szCs w:val="24"/>
                <w:lang w:val="lv-LV"/>
              </w:rPr>
              <w:t>Fonda kapitāla instrumenti lielajiem uzņēmumiem būs pieejami situācijās, kad ir pamatota ar COVID-19 izplatību saistītās krīzes negatīvā ietekm</w:t>
            </w:r>
            <w:r w:rsidR="00624B78" w:rsidRPr="00AB7E1B">
              <w:rPr>
                <w:rFonts w:eastAsia="Times New Roman"/>
                <w:sz w:val="24"/>
                <w:szCs w:val="24"/>
                <w:lang w:val="lv-LV"/>
              </w:rPr>
              <w:t>e</w:t>
            </w:r>
            <w:r w:rsidRPr="00AB7E1B">
              <w:rPr>
                <w:rFonts w:eastAsia="Times New Roman"/>
                <w:sz w:val="24"/>
                <w:szCs w:val="24"/>
                <w:lang w:val="lv-LV"/>
              </w:rPr>
              <w:t xml:space="preserve"> uz uzņēmuma darbību, kā rezultātā uzņēmums izpilda</w:t>
            </w:r>
            <w:r w:rsidR="00374D78">
              <w:rPr>
                <w:rFonts w:eastAsia="Times New Roman"/>
                <w:sz w:val="24"/>
                <w:szCs w:val="24"/>
                <w:lang w:val="lv-LV"/>
              </w:rPr>
              <w:t xml:space="preserve"> vismaz vienu</w:t>
            </w:r>
            <w:r w:rsidRPr="00AB7E1B">
              <w:rPr>
                <w:rFonts w:eastAsia="Times New Roman"/>
                <w:sz w:val="24"/>
                <w:szCs w:val="24"/>
                <w:lang w:val="lv-LV"/>
              </w:rPr>
              <w:t xml:space="preserve"> no šādiem kritērijiem: uzņēmuma kopējais apgrozījums 2020.gada jebkuros trīs secīgos mēnešos salīdzinājumā ar 2019.gada attiecīgo periodu ir krities par vismaz 30%; uzņēmuma pircēju un pasūtītāju parādi 2020.gada jebkuros trīs secīgos mēnešos salīdzinājumā ar 2019.gada attiecīgo periodu ir pieauguši par vismaz 30%, uzņēmums 2020.gadā ir pieredzējis būtisku izejvielu piegādes kavēšanos vai atcelšanu;  uzņēmums 2020.gadā ir pieredzējis būtisku izejvielu apmaksas nosacījumu maiņu, kā rezultātā negatīvi ietekmēta tā naudas plūsma; uzņēmums 2020.gadā ir pieredzējis būtiski atceltu klientu pasūtījumu skaitu; uzņēmums 2020.gadā ir pieredzējis būtisku pircēju un/vai pakalpojumu ņēmēju skaita samazinājumu, uzņēmums 2020.gadā ir pieredzējis darbaspēka nepietiekamību darbinieku </w:t>
            </w:r>
            <w:proofErr w:type="spellStart"/>
            <w:r w:rsidRPr="00AB7E1B">
              <w:rPr>
                <w:rFonts w:eastAsia="Times New Roman"/>
                <w:sz w:val="24"/>
                <w:szCs w:val="24"/>
                <w:lang w:val="lv-LV"/>
              </w:rPr>
              <w:t>pašizolācijas</w:t>
            </w:r>
            <w:proofErr w:type="spellEnd"/>
            <w:r w:rsidRPr="00AB7E1B">
              <w:rPr>
                <w:rFonts w:eastAsia="Times New Roman"/>
                <w:sz w:val="24"/>
                <w:szCs w:val="24"/>
                <w:lang w:val="lv-LV"/>
              </w:rPr>
              <w:t xml:space="preserve"> dēļ, kā rezultātā ir spiests daļēji vai pilnībā pārtraukt saimniecisko darbību u.c. Minētie kritēriji noteikti, ņemot vērā citās krīzes atbalsta programmās noteikto, kā arī ievērojot Eiropas Komisijas sniegto informāciju sarunās, </w:t>
            </w:r>
            <w:proofErr w:type="spellStart"/>
            <w:r w:rsidRPr="00AB7E1B">
              <w:rPr>
                <w:rFonts w:eastAsia="Times New Roman"/>
                <w:sz w:val="24"/>
                <w:szCs w:val="24"/>
                <w:lang w:val="lv-LV"/>
              </w:rPr>
              <w:t>notificējot</w:t>
            </w:r>
            <w:proofErr w:type="spellEnd"/>
            <w:r w:rsidRPr="00AB7E1B">
              <w:rPr>
                <w:rFonts w:eastAsia="Times New Roman"/>
                <w:sz w:val="24"/>
                <w:szCs w:val="24"/>
                <w:lang w:val="lv-LV"/>
              </w:rPr>
              <w:t xml:space="preserve"> krīzes garantiju un krīzes aizdevumu programmu. </w:t>
            </w:r>
          </w:p>
          <w:p w14:paraId="153CE8B9" w14:textId="4DACE08E" w:rsidR="001C6628" w:rsidRPr="00AB7E1B" w:rsidRDefault="001C6628" w:rsidP="001C6628">
            <w:pPr>
              <w:pStyle w:val="Default"/>
              <w:spacing w:before="120"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Finansējumu fonda ietvaros nepiešķir uzņēmumam, ja tas bija nonācis finanšu grūtībās uz 2019.gada 31.decembri saskaņā ar Regulā Nr.651/2014 2.panta 18.punktā noteikto, pārbaudot tos uzņēmumam un tā saistītajiem uzņēmumiem (grupai).</w:t>
            </w:r>
          </w:p>
          <w:p w14:paraId="5CB8CA30" w14:textId="716BDECD" w:rsidR="001C6628" w:rsidRDefault="001C6628" w:rsidP="001C6628">
            <w:pPr>
              <w:pStyle w:val="Default"/>
              <w:spacing w:before="120"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 xml:space="preserve">Noteikumi attieksies arī </w:t>
            </w:r>
            <w:r w:rsidR="00624B78" w:rsidRPr="00AB7E1B">
              <w:rPr>
                <w:rFonts w:ascii="Times New Roman" w:eastAsia="Times New Roman" w:hAnsi="Times New Roman" w:cs="Times New Roman"/>
                <w:color w:val="auto"/>
              </w:rPr>
              <w:t xml:space="preserve">uz </w:t>
            </w:r>
            <w:r w:rsidRPr="00AB7E1B">
              <w:rPr>
                <w:rFonts w:ascii="Times New Roman" w:eastAsia="Times New Roman" w:hAnsi="Times New Roman" w:cs="Times New Roman"/>
                <w:color w:val="auto"/>
              </w:rPr>
              <w:t>lauksaimniecības, kā arī uz zvejniecības un akvakultūras nozaru uzņēmumiem.</w:t>
            </w:r>
            <w:r w:rsidR="0002457F">
              <w:rPr>
                <w:rFonts w:ascii="Times New Roman" w:eastAsia="Times New Roman" w:hAnsi="Times New Roman" w:cs="Times New Roman"/>
                <w:color w:val="auto"/>
              </w:rPr>
              <w:t xml:space="preserve"> </w:t>
            </w:r>
          </w:p>
          <w:p w14:paraId="38316A21" w14:textId="17B83A1C" w:rsidR="001C6628" w:rsidRDefault="001C6628" w:rsidP="001C6628">
            <w:pPr>
              <w:pStyle w:val="Default"/>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 xml:space="preserve">Neraugoties uz Covid-19 ietekmi, ieguldījumi tiks sniegti  dzīvotspējīgu investīciju projektu realizēšanai. Veicot ieguldījumus komersantos, sabiedrība </w:t>
            </w:r>
            <w:proofErr w:type="spellStart"/>
            <w:r w:rsidRPr="00AB7E1B">
              <w:rPr>
                <w:rFonts w:ascii="Times New Roman" w:eastAsia="Times New Roman" w:hAnsi="Times New Roman" w:cs="Times New Roman"/>
                <w:color w:val="auto"/>
              </w:rPr>
              <w:t>Altum</w:t>
            </w:r>
            <w:proofErr w:type="spellEnd"/>
            <w:r w:rsidRPr="00AB7E1B">
              <w:rPr>
                <w:rFonts w:ascii="Times New Roman" w:eastAsia="Times New Roman" w:hAnsi="Times New Roman" w:cs="Times New Roman"/>
                <w:color w:val="auto"/>
              </w:rPr>
              <w:t xml:space="preserve"> vērtēs to ekonomisko dzīvotspēju, pamatojoties uz sagatavoto biznesa plānu (uzņēmuma produkta / pakalpojuma raksturojumu, noieta un rentabilitātes, un finansiālās </w:t>
            </w:r>
            <w:proofErr w:type="spellStart"/>
            <w:r w:rsidRPr="00AB7E1B">
              <w:rPr>
                <w:rFonts w:ascii="Times New Roman" w:eastAsia="Times New Roman" w:hAnsi="Times New Roman" w:cs="Times New Roman"/>
                <w:color w:val="auto"/>
              </w:rPr>
              <w:t>atdeves</w:t>
            </w:r>
            <w:proofErr w:type="spellEnd"/>
            <w:r w:rsidRPr="00AB7E1B">
              <w:rPr>
                <w:rFonts w:ascii="Times New Roman" w:eastAsia="Times New Roman" w:hAnsi="Times New Roman" w:cs="Times New Roman"/>
                <w:color w:val="auto"/>
              </w:rPr>
              <w:t xml:space="preserve"> potenciālu), kā arī </w:t>
            </w:r>
            <w:r w:rsidRPr="00AB7E1B">
              <w:rPr>
                <w:rFonts w:ascii="Times New Roman" w:eastAsia="Times New Roman" w:hAnsi="Times New Roman" w:cs="Times New Roman"/>
                <w:color w:val="auto"/>
              </w:rPr>
              <w:lastRenderedPageBreak/>
              <w:t>ņemot vērā izstrādāto plānu, kā risināt vīrusa Covid-19 radīto iespaidu uz uzņēmuma saimniecisko darbību. Tāpat fonda pārvaldnieks veiks novērtējumu par katra ieguldījuma skaidru un reālu izejas stratēģiju (tos pārdodot stratēģiskajiem investoriem, finanšu investoriem, akciju pircējiem publiskās emisijas ietvaros, MBO).</w:t>
            </w:r>
          </w:p>
          <w:p w14:paraId="1199F5A1" w14:textId="5A70D078" w:rsidR="00883B55" w:rsidRDefault="00883B55" w:rsidP="001C6628">
            <w:pPr>
              <w:pStyle w:val="Default"/>
              <w:jc w:val="both"/>
              <w:rPr>
                <w:rFonts w:ascii="Times New Roman" w:eastAsia="Times New Roman" w:hAnsi="Times New Roman" w:cs="Times New Roman"/>
                <w:color w:val="auto"/>
              </w:rPr>
            </w:pPr>
          </w:p>
          <w:p w14:paraId="34FA612A" w14:textId="2EA6F4F2" w:rsidR="00883B55" w:rsidRPr="00883B55" w:rsidRDefault="00883B55" w:rsidP="00883B55">
            <w:pPr>
              <w:jc w:val="both"/>
              <w:rPr>
                <w:rFonts w:eastAsia="Times New Roman"/>
                <w:sz w:val="24"/>
                <w:szCs w:val="24"/>
                <w:lang w:val="lv-LV"/>
              </w:rPr>
            </w:pPr>
            <w:r w:rsidRPr="00883B55">
              <w:rPr>
                <w:rFonts w:eastAsia="Times New Roman"/>
                <w:sz w:val="24"/>
                <w:szCs w:val="24"/>
                <w:lang w:val="lv-LV"/>
              </w:rPr>
              <w:t>Programma ir vērsta uz ekonomiski dzīvotspējīgiem un labi pārvaldītiem uzņēmumiem, kā arī, piesakoties finansējumam, tiem jādemonstrē, ka ieguldījums ir kopējās valsts interesēs, t.i., uzņēmums darbojas industrijās ar augstu pievienoto vērtību, nodarbina lielu skaitu cilvēku un veic augstas VSAOI un IIN iemaksas valsts budžetā, nodarbojas ar inovācijām un/vai ražo inovatīvus produktus, sistēmiski nozīmīgs uzņēmums noteiktā nozarē/sektorā u.c.</w:t>
            </w:r>
          </w:p>
          <w:p w14:paraId="66A088BA" w14:textId="37AA27A1" w:rsidR="00883B55" w:rsidRDefault="00883B55" w:rsidP="001C6628">
            <w:pPr>
              <w:pStyle w:val="Default"/>
              <w:jc w:val="both"/>
              <w:rPr>
                <w:rFonts w:ascii="Times New Roman" w:eastAsia="Times New Roman" w:hAnsi="Times New Roman" w:cs="Times New Roman"/>
                <w:color w:val="auto"/>
              </w:rPr>
            </w:pPr>
          </w:p>
          <w:p w14:paraId="15BF2E79" w14:textId="438A7BFA" w:rsidR="00883B55" w:rsidRDefault="00883B55" w:rsidP="001C6628">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Uzņēmumiem atbilstoši Noteikumu projektam ir noteikti dažādi ierobežojumi līdz fonda ieguldītā finansējuma pilnībā atmaksai, piemēram, attiecībā uz valdes locekļu atalgojumu, dividenžu izmaksu, citu nesaistīto uzņēmumu līdzdalības iegūšanu un citi ierobežojumi. Tāpat uzņēmumam, gan piesakoties finansējumam, gan tā atmaksas laikā būs jāinformē par to, kā </w:t>
            </w:r>
            <w:r w:rsidRPr="00883B55">
              <w:rPr>
                <w:rFonts w:ascii="Times New Roman" w:eastAsia="Times New Roman" w:hAnsi="Times New Roman" w:cs="Times New Roman"/>
                <w:color w:val="auto"/>
              </w:rPr>
              <w:t xml:space="preserve">saņemtais ieguldījums atbalsta komersanta saimniecisko darbību saskaņā ar Eiropas Savienības mērķiem un valsts saistībām, kas attiecas uz zaļo un digitālo transformāciju, tostarp saskaņā ar Eiropas Savienības mērķi līdz 2050.gadam panākt </w:t>
            </w:r>
            <w:proofErr w:type="spellStart"/>
            <w:r w:rsidRPr="00883B55">
              <w:rPr>
                <w:rFonts w:ascii="Times New Roman" w:eastAsia="Times New Roman" w:hAnsi="Times New Roman" w:cs="Times New Roman"/>
                <w:color w:val="auto"/>
              </w:rPr>
              <w:t>klimatneitralitāti</w:t>
            </w:r>
            <w:proofErr w:type="spellEnd"/>
            <w:r>
              <w:rPr>
                <w:rFonts w:ascii="Times New Roman" w:eastAsia="Times New Roman" w:hAnsi="Times New Roman" w:cs="Times New Roman"/>
                <w:color w:val="auto"/>
              </w:rPr>
              <w:t>.</w:t>
            </w:r>
          </w:p>
          <w:p w14:paraId="32C30654" w14:textId="7ED69C8E" w:rsidR="00DF4167" w:rsidRDefault="00DF4167" w:rsidP="001C6628">
            <w:pPr>
              <w:pStyle w:val="Default"/>
              <w:jc w:val="both"/>
              <w:rPr>
                <w:rFonts w:ascii="Times New Roman" w:eastAsia="Times New Roman" w:hAnsi="Times New Roman" w:cs="Times New Roman"/>
                <w:color w:val="auto"/>
              </w:rPr>
            </w:pPr>
          </w:p>
          <w:p w14:paraId="0A40DDD6" w14:textId="173A7E3A" w:rsidR="00DF4167" w:rsidRPr="00E52F75" w:rsidRDefault="00C572AE" w:rsidP="001C6628">
            <w:pPr>
              <w:pStyle w:val="Default"/>
              <w:jc w:val="both"/>
              <w:rPr>
                <w:rFonts w:ascii="Times New Roman" w:eastAsia="Times New Roman" w:hAnsi="Times New Roman" w:cs="Times New Roman"/>
                <w:color w:val="auto"/>
              </w:rPr>
            </w:pPr>
            <w:r w:rsidRPr="00E52F75">
              <w:rPr>
                <w:rFonts w:ascii="Times New Roman" w:eastAsia="Times New Roman" w:hAnsi="Times New Roman" w:cs="Times New Roman"/>
                <w:color w:val="auto"/>
              </w:rPr>
              <w:t xml:space="preserve">Atbilstoši Eiropas Komisijas paziņojumam ir noteiktas minimālās likmes, kas ir jāpiemēro ieguldījumiem obligācijās un </w:t>
            </w:r>
            <w:proofErr w:type="spellStart"/>
            <w:r w:rsidRPr="00E52F75">
              <w:rPr>
                <w:rFonts w:ascii="Times New Roman" w:eastAsia="Times New Roman" w:hAnsi="Times New Roman" w:cs="Times New Roman"/>
                <w:color w:val="auto"/>
              </w:rPr>
              <w:t>kvazi</w:t>
            </w:r>
            <w:proofErr w:type="spellEnd"/>
            <w:r w:rsidRPr="00E52F75">
              <w:rPr>
                <w:rFonts w:ascii="Times New Roman" w:eastAsia="Times New Roman" w:hAnsi="Times New Roman" w:cs="Times New Roman"/>
                <w:color w:val="auto"/>
              </w:rPr>
              <w:t xml:space="preserve">-kapitāla ieguldījumiem. Ņemot vērā, ka ir iestrādāts mehānisms, ar ko rada pakāpeniskus stimulus veikto ieguldījumu atmaksāšanai, tad piemērojamās kredītrisku robežas atkarībā no tā, kurš ir </w:t>
            </w:r>
            <w:r w:rsidR="009A10DF" w:rsidRPr="00E52F75">
              <w:rPr>
                <w:rFonts w:ascii="Times New Roman" w:eastAsia="Times New Roman" w:hAnsi="Times New Roman" w:cs="Times New Roman"/>
                <w:color w:val="auto"/>
              </w:rPr>
              <w:t xml:space="preserve">ieguldījuma </w:t>
            </w:r>
            <w:r w:rsidRPr="00E52F75">
              <w:rPr>
                <w:rFonts w:ascii="Times New Roman" w:eastAsia="Times New Roman" w:hAnsi="Times New Roman" w:cs="Times New Roman"/>
                <w:color w:val="auto"/>
              </w:rPr>
              <w:t xml:space="preserve">atmaksas gads, pakāpeniski palielinās. Tādejādi aizdevumu (t.sk. obligāciju), kurus plānots konvertēt, kredītrisku robeža ir no 250 bāzes punktiem (pirmajā gadā) līdz 700 bāzes punktiem (sestajā/septītajā gadā), kurai pieskaita bāzes likmi, ko publicē Eiropas Komisija. Ja </w:t>
            </w:r>
            <w:proofErr w:type="spellStart"/>
            <w:r w:rsidRPr="00E52F75">
              <w:rPr>
                <w:rFonts w:ascii="Times New Roman" w:eastAsia="Times New Roman" w:hAnsi="Times New Roman" w:cs="Times New Roman"/>
                <w:color w:val="auto"/>
              </w:rPr>
              <w:t>kvazi</w:t>
            </w:r>
            <w:proofErr w:type="spellEnd"/>
            <w:r w:rsidRPr="00E52F75">
              <w:rPr>
                <w:rFonts w:ascii="Times New Roman" w:eastAsia="Times New Roman" w:hAnsi="Times New Roman" w:cs="Times New Roman"/>
                <w:color w:val="auto"/>
              </w:rPr>
              <w:t xml:space="preserve">-kapitāla ieguldījums (aizdevums) un obligācijas </w:t>
            </w:r>
            <w:r w:rsidR="004C5318" w:rsidRPr="00E52F75">
              <w:rPr>
                <w:rFonts w:ascii="Times New Roman" w:eastAsia="Times New Roman" w:hAnsi="Times New Roman" w:cs="Times New Roman"/>
                <w:color w:val="auto"/>
              </w:rPr>
              <w:t xml:space="preserve">nav plānots konvertēt un šī nepieciešamā aizdevuma vai obligāciju summa nepārsniedz 8.4% no uzņēmuma apgrozījuma 2019.gadā vai tā nepārsniedz 2/3 no uzņēmuma izdevumiem par atalgojumu, tad attiecīgi minimālās likmes </w:t>
            </w:r>
            <w:r w:rsidR="00A63DC8" w:rsidRPr="00E52F75">
              <w:rPr>
                <w:rFonts w:ascii="Times New Roman" w:eastAsia="Times New Roman" w:hAnsi="Times New Roman" w:cs="Times New Roman"/>
                <w:color w:val="auto"/>
              </w:rPr>
              <w:t>tiek noteiktas</w:t>
            </w:r>
            <w:r w:rsidR="004C5318" w:rsidRPr="00E52F75">
              <w:rPr>
                <w:rFonts w:ascii="Times New Roman" w:eastAsia="Times New Roman" w:hAnsi="Times New Roman" w:cs="Times New Roman"/>
                <w:color w:val="auto"/>
              </w:rPr>
              <w:t xml:space="preserve">, ka bāzes likmei, kuru publicē Eiropas Komisija pieskaita bāzes punktus atkarībā no tā kurš ir </w:t>
            </w:r>
            <w:r w:rsidR="00A63DC8" w:rsidRPr="00E52F75">
              <w:rPr>
                <w:rFonts w:ascii="Times New Roman" w:eastAsia="Times New Roman" w:hAnsi="Times New Roman" w:cs="Times New Roman"/>
                <w:color w:val="auto"/>
              </w:rPr>
              <w:t xml:space="preserve">ieguldījuma </w:t>
            </w:r>
            <w:r w:rsidR="004C5318" w:rsidRPr="00E52F75">
              <w:rPr>
                <w:rFonts w:ascii="Times New Roman" w:eastAsia="Times New Roman" w:hAnsi="Times New Roman" w:cs="Times New Roman"/>
                <w:color w:val="auto"/>
              </w:rPr>
              <w:t>atmaksas gads, t.i., no 250 bāzes punkt</w:t>
            </w:r>
            <w:r w:rsidR="00A63DC8" w:rsidRPr="00E52F75">
              <w:rPr>
                <w:rFonts w:ascii="Times New Roman" w:eastAsia="Times New Roman" w:hAnsi="Times New Roman" w:cs="Times New Roman"/>
                <w:color w:val="auto"/>
              </w:rPr>
              <w:t>iem</w:t>
            </w:r>
            <w:r w:rsidR="004C5318" w:rsidRPr="00E52F75">
              <w:rPr>
                <w:rFonts w:ascii="Times New Roman" w:eastAsia="Times New Roman" w:hAnsi="Times New Roman" w:cs="Times New Roman"/>
                <w:color w:val="auto"/>
              </w:rPr>
              <w:t xml:space="preserve"> (pirmajā gadā) līdz 400 bāzes punktiem (sākot no ceturtā gada</w:t>
            </w:r>
            <w:r w:rsidR="00A63DC8" w:rsidRPr="00E52F75">
              <w:rPr>
                <w:rFonts w:ascii="Times New Roman" w:eastAsia="Times New Roman" w:hAnsi="Times New Roman" w:cs="Times New Roman"/>
                <w:color w:val="auto"/>
              </w:rPr>
              <w:t xml:space="preserve"> līdz sestajam gadam</w:t>
            </w:r>
            <w:r w:rsidR="004C5318" w:rsidRPr="00E52F75">
              <w:rPr>
                <w:rFonts w:ascii="Times New Roman" w:eastAsia="Times New Roman" w:hAnsi="Times New Roman" w:cs="Times New Roman"/>
                <w:color w:val="auto"/>
              </w:rPr>
              <w:t>).</w:t>
            </w:r>
          </w:p>
          <w:p w14:paraId="2D5101A1" w14:textId="77777777" w:rsidR="00883B55" w:rsidRPr="00AB7E1B" w:rsidRDefault="00883B55" w:rsidP="001C6628">
            <w:pPr>
              <w:pStyle w:val="Default"/>
              <w:jc w:val="both"/>
              <w:rPr>
                <w:rFonts w:ascii="Times New Roman" w:eastAsia="Times New Roman" w:hAnsi="Times New Roman" w:cs="Times New Roman"/>
                <w:color w:val="auto"/>
              </w:rPr>
            </w:pPr>
          </w:p>
          <w:p w14:paraId="5AC153E5" w14:textId="6B972AC9" w:rsidR="001C6628" w:rsidRPr="00AB7E1B" w:rsidRDefault="001C6628" w:rsidP="001C6628">
            <w:pPr>
              <w:pStyle w:val="Default"/>
              <w:spacing w:before="120"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 xml:space="preserve">Fonda plānotais investīciju periods ir noteikts līdz diviem gadiem, jo atbilstoši nozares praksei pārvaldnieka padziļināta uzņēmuma un tā projekta dzīvotspējas vērtēšanu var veikt pat </w:t>
            </w:r>
            <w:r w:rsidRPr="00AB7E1B">
              <w:rPr>
                <w:rFonts w:ascii="Times New Roman" w:eastAsia="Times New Roman" w:hAnsi="Times New Roman" w:cs="Times New Roman"/>
                <w:color w:val="auto"/>
              </w:rPr>
              <w:lastRenderedPageBreak/>
              <w:t>vairāku mēnešu garumā (piemēram, ieguldījuma kapitālā investīciju gadījumā).</w:t>
            </w:r>
          </w:p>
          <w:p w14:paraId="45BC6536" w14:textId="0158E7CA" w:rsidR="001C6628" w:rsidRPr="00AB7E1B" w:rsidRDefault="001C6628" w:rsidP="001C6628">
            <w:pPr>
              <w:pStyle w:val="Default"/>
              <w:spacing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 xml:space="preserve">Paredzēts fonda ietvaros atbalstīt ne vairāk </w:t>
            </w:r>
            <w:r w:rsidR="00374D78">
              <w:rPr>
                <w:rFonts w:ascii="Times New Roman" w:eastAsia="Times New Roman" w:hAnsi="Times New Roman" w:cs="Times New Roman"/>
                <w:color w:val="auto"/>
              </w:rPr>
              <w:t xml:space="preserve">20 līdz </w:t>
            </w:r>
            <w:r w:rsidRPr="00AB7E1B">
              <w:rPr>
                <w:rFonts w:ascii="Times New Roman" w:eastAsia="Times New Roman" w:hAnsi="Times New Roman" w:cs="Times New Roman"/>
                <w:color w:val="auto"/>
              </w:rPr>
              <w:t xml:space="preserve">30 investīcijas. </w:t>
            </w:r>
          </w:p>
          <w:p w14:paraId="288FD9F9" w14:textId="77777777" w:rsidR="001C6628" w:rsidRPr="00AB7E1B" w:rsidRDefault="001C6628" w:rsidP="001C6628">
            <w:pPr>
              <w:pStyle w:val="Default"/>
              <w:spacing w:before="120"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Noteikumu projekts nosaka fondu darbības termiņu līdz 7 gadiem (ar iespēju pagarināt par vienu gadu) kopš komandītsabiedrības līguma noslēgšanas brīža.</w:t>
            </w:r>
          </w:p>
          <w:p w14:paraId="2F52432A" w14:textId="5E0BE539" w:rsidR="00957042" w:rsidRDefault="00AB7E1B" w:rsidP="001C6628">
            <w:pPr>
              <w:pStyle w:val="Default"/>
              <w:spacing w:before="120"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 xml:space="preserve">Programmas īstenošanai paredzēts valsts budžeta finansējums </w:t>
            </w:r>
            <w:r w:rsidR="00957042">
              <w:rPr>
                <w:rFonts w:ascii="Times New Roman" w:eastAsia="Times New Roman" w:hAnsi="Times New Roman" w:cs="Times New Roman"/>
                <w:color w:val="auto"/>
              </w:rPr>
              <w:t>50</w:t>
            </w:r>
            <w:r w:rsidRPr="00AB7E1B">
              <w:rPr>
                <w:rFonts w:ascii="Times New Roman" w:eastAsia="Times New Roman" w:hAnsi="Times New Roman" w:cs="Times New Roman"/>
                <w:color w:val="auto"/>
              </w:rPr>
              <w:t xml:space="preserve"> 000 000 </w:t>
            </w:r>
            <w:r w:rsidRPr="000E57E8">
              <w:rPr>
                <w:rFonts w:ascii="Times New Roman" w:eastAsia="Times New Roman" w:hAnsi="Times New Roman" w:cs="Times New Roman"/>
                <w:i/>
                <w:iCs/>
                <w:color w:val="auto"/>
              </w:rPr>
              <w:t>euro</w:t>
            </w:r>
            <w:r w:rsidRPr="00AB7E1B">
              <w:rPr>
                <w:rFonts w:ascii="Times New Roman" w:eastAsia="Times New Roman" w:hAnsi="Times New Roman" w:cs="Times New Roman"/>
                <w:color w:val="auto"/>
              </w:rPr>
              <w:t xml:space="preserve">. Valsts budžeta finansējumam  būs piemērojams Covid-19 infekcijas izplatības seku pārvarēšanas likuma 25. un </w:t>
            </w:r>
            <w:r w:rsidR="00957042">
              <w:rPr>
                <w:rFonts w:ascii="Times New Roman" w:eastAsia="Times New Roman" w:hAnsi="Times New Roman" w:cs="Times New Roman"/>
                <w:color w:val="auto"/>
              </w:rPr>
              <w:t>42</w:t>
            </w:r>
            <w:r w:rsidRPr="009D14BB">
              <w:rPr>
                <w:rFonts w:ascii="Times New Roman" w:eastAsia="Times New Roman" w:hAnsi="Times New Roman" w:cs="Times New Roman"/>
                <w:color w:val="auto"/>
              </w:rPr>
              <w:t>. pants</w:t>
            </w:r>
            <w:r w:rsidR="00957042" w:rsidRPr="009D14BB">
              <w:rPr>
                <w:rFonts w:ascii="Times New Roman" w:eastAsia="Times New Roman" w:hAnsi="Times New Roman" w:cs="Times New Roman"/>
                <w:color w:val="auto"/>
              </w:rPr>
              <w:t>.</w:t>
            </w:r>
            <w:r w:rsidRPr="009D14BB">
              <w:rPr>
                <w:rFonts w:ascii="Times New Roman" w:eastAsia="Times New Roman" w:hAnsi="Times New Roman" w:cs="Times New Roman"/>
                <w:color w:val="auto"/>
              </w:rPr>
              <w:t xml:space="preserve"> Minētais tiks noteikts </w:t>
            </w:r>
            <w:r w:rsidR="005E7B85" w:rsidRPr="009D14BB">
              <w:rPr>
                <w:rFonts w:ascii="Times New Roman" w:eastAsia="Times New Roman" w:hAnsi="Times New Roman" w:cs="Times New Roman"/>
                <w:color w:val="auto"/>
              </w:rPr>
              <w:t>sagatavotajā Ministru kabineta rīkojuma projektā “Par rezerves kapitāla palielināšanu”</w:t>
            </w:r>
            <w:r w:rsidRPr="009D14BB">
              <w:rPr>
                <w:rFonts w:ascii="Times New Roman" w:eastAsia="Times New Roman" w:hAnsi="Times New Roman" w:cs="Times New Roman"/>
                <w:color w:val="auto"/>
              </w:rPr>
              <w:t>.</w:t>
            </w:r>
            <w:r w:rsidRPr="00AB7E1B">
              <w:rPr>
                <w:rFonts w:ascii="Times New Roman" w:eastAsia="Times New Roman" w:hAnsi="Times New Roman" w:cs="Times New Roman"/>
                <w:color w:val="auto"/>
              </w:rPr>
              <w:t xml:space="preserve"> </w:t>
            </w:r>
          </w:p>
          <w:p w14:paraId="6783AD78" w14:textId="69F7E3EE" w:rsidR="009B6324" w:rsidRPr="00374D78" w:rsidRDefault="00AB7E1B" w:rsidP="001C6628">
            <w:pPr>
              <w:pStyle w:val="Default"/>
              <w:spacing w:before="120" w:after="120"/>
              <w:jc w:val="both"/>
              <w:rPr>
                <w:rFonts w:ascii="Times New Roman" w:eastAsia="Times New Roman" w:hAnsi="Times New Roman" w:cs="Times New Roman"/>
                <w:color w:val="auto"/>
              </w:rPr>
            </w:pPr>
            <w:r w:rsidRPr="00AB7E1B">
              <w:rPr>
                <w:rFonts w:ascii="Times New Roman" w:eastAsia="Times New Roman" w:hAnsi="Times New Roman" w:cs="Times New Roman"/>
                <w:color w:val="auto"/>
              </w:rPr>
              <w:t xml:space="preserve">Programmas ietvaros veiktais valsts budžeta ieguldījums sabiedrībā </w:t>
            </w:r>
            <w:proofErr w:type="spellStart"/>
            <w:r w:rsidRPr="00AB7E1B">
              <w:rPr>
                <w:rFonts w:ascii="Times New Roman" w:eastAsia="Times New Roman" w:hAnsi="Times New Roman" w:cs="Times New Roman"/>
                <w:color w:val="auto"/>
              </w:rPr>
              <w:t>Altum</w:t>
            </w:r>
            <w:proofErr w:type="spellEnd"/>
            <w:r w:rsidRPr="00AB7E1B">
              <w:rPr>
                <w:rFonts w:ascii="Times New Roman" w:eastAsia="Times New Roman" w:hAnsi="Times New Roman" w:cs="Times New Roman"/>
                <w:color w:val="auto"/>
              </w:rPr>
              <w:t xml:space="preserve"> nepārsniegs Eiropas Komisijas 09.06.2015 lēmumā “Par valsts atbalstu SA.36904 (2014/N) noteikto ieguldījuma apjomu, kas norādīts lēmuma 121.punktā.</w:t>
            </w:r>
          </w:p>
        </w:tc>
      </w:tr>
      <w:tr w:rsidR="001C6628" w:rsidRPr="00AB7E1B" w14:paraId="10C5B2B9" w14:textId="77777777" w:rsidTr="00E032B3">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1BD949AB" w14:textId="77777777" w:rsidR="001C6628" w:rsidRPr="00AB7E1B" w:rsidRDefault="001C6628" w:rsidP="001C6628">
            <w:pPr>
              <w:contextualSpacing/>
              <w:rPr>
                <w:rFonts w:eastAsia="Times New Roman"/>
                <w:sz w:val="24"/>
                <w:szCs w:val="24"/>
                <w:lang w:val="lv-LV" w:eastAsia="lv-LV"/>
              </w:rPr>
            </w:pPr>
            <w:r w:rsidRPr="00AB7E1B">
              <w:rPr>
                <w:sz w:val="24"/>
                <w:szCs w:val="24"/>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79EBDDB0" w14:textId="77777777" w:rsidR="001C6628" w:rsidRPr="00AB7E1B" w:rsidRDefault="001C6628" w:rsidP="001C6628">
            <w:pPr>
              <w:contextualSpacing/>
              <w:rPr>
                <w:rFonts w:eastAsia="Times New Roman"/>
                <w:sz w:val="24"/>
                <w:szCs w:val="24"/>
                <w:lang w:val="lv-LV" w:eastAsia="lv-LV"/>
              </w:rPr>
            </w:pPr>
            <w:r w:rsidRPr="00AB7E1B">
              <w:rPr>
                <w:sz w:val="24"/>
                <w:szCs w:val="24"/>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68A4AE75" w14:textId="77777777" w:rsidR="001C6628" w:rsidRPr="00AB7E1B" w:rsidRDefault="001C6628" w:rsidP="001C6628">
            <w:pPr>
              <w:ind w:left="-31"/>
              <w:contextualSpacing/>
              <w:rPr>
                <w:rFonts w:eastAsia="Times New Roman"/>
                <w:sz w:val="24"/>
                <w:szCs w:val="24"/>
                <w:lang w:val="lv-LV" w:eastAsia="lv-LV"/>
              </w:rPr>
            </w:pPr>
            <w:r w:rsidRPr="00AB7E1B">
              <w:rPr>
                <w:sz w:val="24"/>
                <w:szCs w:val="24"/>
                <w:lang w:val="lv-LV"/>
              </w:rPr>
              <w:t>Ekonomikas ministrija, sabiedrība “</w:t>
            </w:r>
            <w:proofErr w:type="spellStart"/>
            <w:r w:rsidRPr="00AB7E1B">
              <w:rPr>
                <w:sz w:val="24"/>
                <w:szCs w:val="24"/>
                <w:lang w:val="lv-LV"/>
              </w:rPr>
              <w:t>Altum</w:t>
            </w:r>
            <w:proofErr w:type="spellEnd"/>
            <w:r w:rsidRPr="00AB7E1B">
              <w:rPr>
                <w:sz w:val="24"/>
                <w:szCs w:val="24"/>
                <w:lang w:val="lv-LV"/>
              </w:rPr>
              <w:t>”</w:t>
            </w:r>
          </w:p>
        </w:tc>
      </w:tr>
      <w:tr w:rsidR="001C6628" w:rsidRPr="00AB7E1B" w14:paraId="6619386D" w14:textId="77777777" w:rsidTr="00E032B3">
        <w:tc>
          <w:tcPr>
            <w:tcW w:w="411" w:type="dxa"/>
            <w:tcBorders>
              <w:top w:val="outset" w:sz="6" w:space="0" w:color="414142"/>
              <w:left w:val="outset" w:sz="6" w:space="0" w:color="414142"/>
              <w:bottom w:val="outset" w:sz="6" w:space="0" w:color="414142"/>
              <w:right w:val="outset" w:sz="6" w:space="0" w:color="414142"/>
            </w:tcBorders>
            <w:hideMark/>
          </w:tcPr>
          <w:p w14:paraId="0B660C1F" w14:textId="77777777" w:rsidR="001C6628" w:rsidRPr="00AB7E1B" w:rsidRDefault="001C6628" w:rsidP="001C6628">
            <w:pPr>
              <w:contextualSpacing/>
              <w:rPr>
                <w:rFonts w:eastAsia="Times New Roman"/>
                <w:sz w:val="24"/>
                <w:szCs w:val="24"/>
                <w:lang w:val="lv-LV" w:eastAsia="lv-LV"/>
              </w:rPr>
            </w:pPr>
            <w:r w:rsidRPr="00AB7E1B">
              <w:rPr>
                <w:sz w:val="24"/>
                <w:szCs w:val="24"/>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64EBBB7B" w14:textId="77777777" w:rsidR="001C6628" w:rsidRPr="00AB7E1B" w:rsidRDefault="001C6628" w:rsidP="001C6628">
            <w:pPr>
              <w:contextualSpacing/>
              <w:rPr>
                <w:rFonts w:eastAsia="Times New Roman"/>
                <w:sz w:val="24"/>
                <w:szCs w:val="24"/>
                <w:lang w:val="lv-LV" w:eastAsia="lv-LV"/>
              </w:rPr>
            </w:pPr>
            <w:r w:rsidRPr="00AB7E1B">
              <w:rPr>
                <w:sz w:val="24"/>
                <w:szCs w:val="24"/>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42843CB1" w14:textId="77777777" w:rsidR="001C6628" w:rsidRPr="00AB7E1B" w:rsidRDefault="001C6628" w:rsidP="001C6628">
            <w:pPr>
              <w:contextualSpacing/>
              <w:rPr>
                <w:rFonts w:eastAsia="Times New Roman"/>
                <w:sz w:val="24"/>
                <w:szCs w:val="24"/>
                <w:lang w:val="lv-LV" w:eastAsia="lv-LV"/>
              </w:rPr>
            </w:pPr>
            <w:r w:rsidRPr="00AB7E1B">
              <w:rPr>
                <w:sz w:val="24"/>
                <w:szCs w:val="24"/>
                <w:lang w:val="lv-LV"/>
              </w:rPr>
              <w:t xml:space="preserve">Nav </w:t>
            </w:r>
          </w:p>
        </w:tc>
      </w:tr>
    </w:tbl>
    <w:p w14:paraId="70969D8A" w14:textId="77777777" w:rsidR="0064766F" w:rsidRPr="00AB7E1B" w:rsidRDefault="0064766F" w:rsidP="0064766F">
      <w:pPr>
        <w:contextualSpacing/>
        <w:rPr>
          <w:rFonts w:eastAsia="Times New Roman"/>
          <w:sz w:val="24"/>
          <w:szCs w:val="24"/>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64766F" w:rsidRPr="00993107" w14:paraId="2DB699A2" w14:textId="77777777" w:rsidTr="00E032B3">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5D269F35" w14:textId="77777777" w:rsidR="0064766F" w:rsidRPr="00AB7E1B" w:rsidRDefault="0064766F" w:rsidP="00E032B3">
            <w:pPr>
              <w:contextualSpacing/>
              <w:jc w:val="center"/>
              <w:rPr>
                <w:rFonts w:eastAsia="Times New Roman"/>
                <w:sz w:val="24"/>
                <w:szCs w:val="24"/>
                <w:lang w:val="lv-LV" w:eastAsia="lv-LV"/>
              </w:rPr>
            </w:pPr>
            <w:r w:rsidRPr="00AB7E1B">
              <w:rPr>
                <w:rFonts w:eastAsia="Times New Roman"/>
                <w:b/>
                <w:bCs/>
                <w:sz w:val="24"/>
                <w:szCs w:val="24"/>
                <w:lang w:val="lv-LV" w:eastAsia="lv-LV"/>
              </w:rPr>
              <w:t>II. Tiesību akta projekta ietekme uz sabiedrību, tautsaimniecības attīstību un administratīvo slogu</w:t>
            </w:r>
          </w:p>
        </w:tc>
      </w:tr>
      <w:tr w:rsidR="0064766F" w:rsidRPr="00AB7E1B" w14:paraId="714B871D" w14:textId="77777777" w:rsidTr="00E032B3">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130AC79" w14:textId="77777777" w:rsidR="0064766F" w:rsidRPr="00AB7E1B" w:rsidRDefault="0064766F" w:rsidP="00E032B3">
            <w:pPr>
              <w:contextualSpacing/>
              <w:rPr>
                <w:rFonts w:eastAsia="Times New Roman"/>
                <w:sz w:val="24"/>
                <w:szCs w:val="24"/>
                <w:lang w:val="lv-LV" w:eastAsia="lv-LV"/>
              </w:rPr>
            </w:pPr>
            <w:r w:rsidRPr="00AB7E1B">
              <w:rPr>
                <w:rFonts w:eastAsia="Times New Roman"/>
                <w:sz w:val="24"/>
                <w:szCs w:val="24"/>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535588E1" w14:textId="77777777" w:rsidR="0064766F" w:rsidRPr="00AB7E1B" w:rsidRDefault="0064766F" w:rsidP="00E032B3">
            <w:pPr>
              <w:contextualSpacing/>
              <w:rPr>
                <w:rFonts w:eastAsia="Times New Roman"/>
                <w:sz w:val="24"/>
                <w:szCs w:val="24"/>
                <w:lang w:val="lv-LV" w:eastAsia="lv-LV"/>
              </w:rPr>
            </w:pPr>
            <w:r w:rsidRPr="00AB7E1B">
              <w:rPr>
                <w:rFonts w:eastAsia="Times New Roman"/>
                <w:sz w:val="24"/>
                <w:szCs w:val="24"/>
                <w:lang w:val="lv-LV" w:eastAsia="lv-LV"/>
              </w:rPr>
              <w:t xml:space="preserve">Sabiedrības </w:t>
            </w:r>
            <w:proofErr w:type="spellStart"/>
            <w:r w:rsidRPr="00AB7E1B">
              <w:rPr>
                <w:rFonts w:eastAsia="Times New Roman"/>
                <w:sz w:val="24"/>
                <w:szCs w:val="24"/>
                <w:lang w:val="lv-LV" w:eastAsia="lv-LV"/>
              </w:rPr>
              <w:t>mērķgrupas</w:t>
            </w:r>
            <w:proofErr w:type="spellEnd"/>
            <w:r w:rsidRPr="00AB7E1B">
              <w:rPr>
                <w:rFonts w:eastAsia="Times New Roman"/>
                <w:sz w:val="24"/>
                <w:szCs w:val="24"/>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1371014C" w14:textId="77777777" w:rsidR="0064766F" w:rsidRPr="00AB7E1B" w:rsidRDefault="0064766F" w:rsidP="00E032B3">
            <w:pPr>
              <w:ind w:right="201"/>
              <w:contextualSpacing/>
              <w:jc w:val="both"/>
              <w:rPr>
                <w:sz w:val="24"/>
                <w:szCs w:val="24"/>
                <w:lang w:val="lv-LV"/>
              </w:rPr>
            </w:pPr>
            <w:r w:rsidRPr="00AB7E1B">
              <w:rPr>
                <w:sz w:val="24"/>
                <w:szCs w:val="24"/>
                <w:lang w:val="lv-LV"/>
              </w:rPr>
              <w:t>Latvijā reģistrēti komersanti, sabiedrība “</w:t>
            </w:r>
            <w:proofErr w:type="spellStart"/>
            <w:r w:rsidRPr="00AB7E1B">
              <w:rPr>
                <w:sz w:val="24"/>
                <w:szCs w:val="24"/>
                <w:lang w:val="lv-LV"/>
              </w:rPr>
              <w:t>Altum</w:t>
            </w:r>
            <w:proofErr w:type="spellEnd"/>
            <w:r w:rsidRPr="00AB7E1B">
              <w:rPr>
                <w:sz w:val="24"/>
                <w:szCs w:val="24"/>
                <w:lang w:val="lv-LV"/>
              </w:rPr>
              <w:t>”.</w:t>
            </w:r>
          </w:p>
        </w:tc>
      </w:tr>
      <w:tr w:rsidR="0064766F" w:rsidRPr="00993107" w14:paraId="6A2A4171" w14:textId="77777777" w:rsidTr="00E032B3">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98B60D0" w14:textId="77777777" w:rsidR="0064766F" w:rsidRPr="00AB7E1B" w:rsidRDefault="0064766F" w:rsidP="00E032B3">
            <w:pPr>
              <w:contextualSpacing/>
              <w:rPr>
                <w:rFonts w:eastAsia="Times New Roman"/>
                <w:sz w:val="24"/>
                <w:szCs w:val="24"/>
                <w:lang w:val="lv-LV" w:eastAsia="lv-LV"/>
              </w:rPr>
            </w:pPr>
            <w:r w:rsidRPr="00AB7E1B">
              <w:rPr>
                <w:rFonts w:eastAsia="Times New Roman"/>
                <w:sz w:val="24"/>
                <w:szCs w:val="24"/>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730E005F" w14:textId="77777777" w:rsidR="0064766F" w:rsidRPr="00AB7E1B" w:rsidRDefault="0064766F" w:rsidP="00E032B3">
            <w:pPr>
              <w:contextualSpacing/>
              <w:rPr>
                <w:rFonts w:eastAsia="Times New Roman"/>
                <w:sz w:val="24"/>
                <w:szCs w:val="24"/>
                <w:lang w:val="lv-LV" w:eastAsia="lv-LV"/>
              </w:rPr>
            </w:pPr>
            <w:r w:rsidRPr="00AB7E1B">
              <w:rPr>
                <w:rFonts w:eastAsia="Times New Roman"/>
                <w:sz w:val="24"/>
                <w:szCs w:val="24"/>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7B31439B" w14:textId="77777777" w:rsidR="0064766F" w:rsidRPr="00AB7E1B" w:rsidRDefault="0064766F" w:rsidP="00E032B3">
            <w:pPr>
              <w:pStyle w:val="BodyText"/>
              <w:ind w:left="60" w:right="201"/>
              <w:rPr>
                <w:rFonts w:eastAsia="Calibri"/>
                <w:sz w:val="24"/>
                <w:szCs w:val="24"/>
                <w:lang w:eastAsia="en-US"/>
              </w:rPr>
            </w:pPr>
            <w:r w:rsidRPr="00AB7E1B">
              <w:rPr>
                <w:rFonts w:eastAsia="Calibri"/>
                <w:sz w:val="24"/>
                <w:szCs w:val="24"/>
                <w:lang w:eastAsia="en-US"/>
              </w:rPr>
              <w:t xml:space="preserve">Noteikumu projektam ir labvēlīga ietekme uz ekonomiku kopumā, jo tas paredz mazināt Covid-19 izraisītas krīzes sekas un veicina ekonomisko aktivitāti. </w:t>
            </w:r>
          </w:p>
          <w:p w14:paraId="2BFB7E55" w14:textId="77777777" w:rsidR="0064766F" w:rsidRPr="00AB7E1B" w:rsidRDefault="0064766F" w:rsidP="00E032B3">
            <w:pPr>
              <w:pStyle w:val="BodyText"/>
              <w:ind w:right="201"/>
              <w:contextualSpacing/>
              <w:rPr>
                <w:rFonts w:eastAsia="Calibri"/>
                <w:sz w:val="24"/>
                <w:szCs w:val="24"/>
                <w:lang w:eastAsia="en-US"/>
              </w:rPr>
            </w:pPr>
            <w:r w:rsidRPr="00AB7E1B">
              <w:rPr>
                <w:rFonts w:eastAsia="Calibri"/>
                <w:sz w:val="24"/>
                <w:szCs w:val="24"/>
                <w:lang w:eastAsia="en-US"/>
              </w:rPr>
              <w:t xml:space="preserve">Sabiedrības </w:t>
            </w:r>
            <w:proofErr w:type="spellStart"/>
            <w:r w:rsidRPr="00AB7E1B">
              <w:rPr>
                <w:rFonts w:eastAsia="Calibri"/>
                <w:sz w:val="24"/>
                <w:szCs w:val="24"/>
                <w:lang w:eastAsia="en-US"/>
              </w:rPr>
              <w:t>mērķgrupām</w:t>
            </w:r>
            <w:proofErr w:type="spellEnd"/>
            <w:r w:rsidRPr="00AB7E1B">
              <w:rPr>
                <w:rFonts w:eastAsia="Calibri"/>
                <w:sz w:val="24"/>
                <w:szCs w:val="24"/>
                <w:lang w:eastAsia="en-US"/>
              </w:rPr>
              <w:t xml:space="preserve"> un institūcijām projekta tiesiskais regulējums nemaina tiesības un pienākumus, kā arī veicamās darbības.</w:t>
            </w:r>
          </w:p>
        </w:tc>
      </w:tr>
      <w:tr w:rsidR="0064766F" w:rsidRPr="00AB7E1B" w14:paraId="1E88AE8D" w14:textId="77777777" w:rsidTr="00E032B3">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21D7F96" w14:textId="77777777" w:rsidR="0064766F" w:rsidRPr="00AB7E1B" w:rsidRDefault="0064766F" w:rsidP="00E032B3">
            <w:pPr>
              <w:contextualSpacing/>
              <w:rPr>
                <w:rFonts w:eastAsia="Times New Roman"/>
                <w:sz w:val="24"/>
                <w:szCs w:val="24"/>
                <w:lang w:val="lv-LV" w:eastAsia="lv-LV"/>
              </w:rPr>
            </w:pPr>
            <w:r w:rsidRPr="00AB7E1B">
              <w:rPr>
                <w:rFonts w:eastAsia="Times New Roman"/>
                <w:sz w:val="24"/>
                <w:szCs w:val="24"/>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70B4A123" w14:textId="77777777" w:rsidR="0064766F" w:rsidRPr="00AB7E1B" w:rsidRDefault="0064766F" w:rsidP="00E032B3">
            <w:pPr>
              <w:contextualSpacing/>
              <w:rPr>
                <w:rFonts w:eastAsia="Times New Roman"/>
                <w:sz w:val="24"/>
                <w:szCs w:val="24"/>
                <w:lang w:val="lv-LV" w:eastAsia="lv-LV"/>
              </w:rPr>
            </w:pPr>
            <w:r w:rsidRPr="00AB7E1B">
              <w:rPr>
                <w:rFonts w:eastAsia="Times New Roman"/>
                <w:sz w:val="24"/>
                <w:szCs w:val="24"/>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5C96C176" w14:textId="77777777" w:rsidR="0064766F" w:rsidRPr="00AB7E1B" w:rsidRDefault="0064766F" w:rsidP="00E032B3">
            <w:pPr>
              <w:pStyle w:val="BodyText"/>
              <w:ind w:right="201"/>
              <w:contextualSpacing/>
              <w:rPr>
                <w:rFonts w:eastAsia="Calibri"/>
                <w:sz w:val="24"/>
                <w:szCs w:val="24"/>
                <w:lang w:eastAsia="en-US"/>
              </w:rPr>
            </w:pPr>
            <w:r w:rsidRPr="00AB7E1B">
              <w:rPr>
                <w:rFonts w:eastAsia="Calibri"/>
                <w:sz w:val="24"/>
                <w:szCs w:val="24"/>
                <w:lang w:eastAsia="en-US"/>
              </w:rPr>
              <w:t>Projekts šo jomu neskar</w:t>
            </w:r>
          </w:p>
        </w:tc>
      </w:tr>
      <w:tr w:rsidR="0064766F" w:rsidRPr="00AB7E1B" w14:paraId="1FD58FE2" w14:textId="77777777" w:rsidTr="00E032B3">
        <w:trPr>
          <w:trHeight w:val="510"/>
        </w:trPr>
        <w:tc>
          <w:tcPr>
            <w:tcW w:w="270" w:type="dxa"/>
            <w:tcBorders>
              <w:top w:val="outset" w:sz="6" w:space="0" w:color="auto"/>
              <w:left w:val="outset" w:sz="6" w:space="0" w:color="auto"/>
              <w:bottom w:val="outset" w:sz="6" w:space="0" w:color="auto"/>
              <w:right w:val="outset" w:sz="6" w:space="0" w:color="auto"/>
            </w:tcBorders>
          </w:tcPr>
          <w:p w14:paraId="7C9D1329" w14:textId="77777777" w:rsidR="0064766F" w:rsidRPr="00AB7E1B" w:rsidRDefault="0064766F" w:rsidP="00E032B3">
            <w:pPr>
              <w:contextualSpacing/>
              <w:rPr>
                <w:rFonts w:eastAsia="Times New Roman"/>
                <w:sz w:val="24"/>
                <w:szCs w:val="24"/>
                <w:lang w:val="lv-LV" w:eastAsia="lv-LV"/>
              </w:rPr>
            </w:pPr>
            <w:r w:rsidRPr="00AB7E1B">
              <w:rPr>
                <w:rFonts w:eastAsia="Times New Roman"/>
                <w:sz w:val="24"/>
                <w:szCs w:val="24"/>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30F51816" w14:textId="77777777" w:rsidR="0064766F" w:rsidRPr="00AB7E1B" w:rsidRDefault="0064766F" w:rsidP="00E032B3">
            <w:pPr>
              <w:contextualSpacing/>
              <w:rPr>
                <w:rFonts w:eastAsia="Times New Roman"/>
                <w:sz w:val="24"/>
                <w:szCs w:val="24"/>
                <w:lang w:val="lv-LV" w:eastAsia="lv-LV"/>
              </w:rPr>
            </w:pPr>
            <w:r w:rsidRPr="00AB7E1B">
              <w:rPr>
                <w:rFonts w:eastAsia="Times New Roman"/>
                <w:sz w:val="24"/>
                <w:szCs w:val="24"/>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45A9D823" w14:textId="77777777" w:rsidR="0064766F" w:rsidRPr="00AB7E1B" w:rsidRDefault="0064766F" w:rsidP="00E032B3">
            <w:pPr>
              <w:pStyle w:val="BodyText"/>
              <w:ind w:right="201"/>
              <w:contextualSpacing/>
              <w:rPr>
                <w:rFonts w:eastAsia="Calibri"/>
                <w:sz w:val="24"/>
                <w:szCs w:val="24"/>
                <w:lang w:eastAsia="en-US"/>
              </w:rPr>
            </w:pPr>
            <w:r w:rsidRPr="00AB7E1B">
              <w:rPr>
                <w:rFonts w:eastAsia="Calibri"/>
                <w:sz w:val="24"/>
                <w:szCs w:val="24"/>
                <w:lang w:eastAsia="en-US"/>
              </w:rPr>
              <w:t>Projekts šo jomu neskar</w:t>
            </w:r>
          </w:p>
        </w:tc>
      </w:tr>
      <w:tr w:rsidR="0064766F" w:rsidRPr="00AB7E1B" w14:paraId="77F0E24E" w14:textId="77777777" w:rsidTr="00E032B3">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5EFD8A6C" w14:textId="77777777" w:rsidR="0064766F" w:rsidRPr="00AB7E1B" w:rsidRDefault="0064766F" w:rsidP="00E032B3">
            <w:pPr>
              <w:contextualSpacing/>
              <w:rPr>
                <w:rFonts w:eastAsia="Times New Roman"/>
                <w:sz w:val="24"/>
                <w:szCs w:val="24"/>
                <w:lang w:val="lv-LV" w:eastAsia="lv-LV"/>
              </w:rPr>
            </w:pPr>
            <w:r w:rsidRPr="00AB7E1B">
              <w:rPr>
                <w:rFonts w:eastAsia="Times New Roman"/>
                <w:sz w:val="24"/>
                <w:szCs w:val="24"/>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3FB4295A" w14:textId="77777777" w:rsidR="0064766F" w:rsidRPr="00AB7E1B" w:rsidRDefault="0064766F" w:rsidP="00E032B3">
            <w:pPr>
              <w:contextualSpacing/>
              <w:rPr>
                <w:rFonts w:eastAsia="Times New Roman"/>
                <w:sz w:val="24"/>
                <w:szCs w:val="24"/>
                <w:lang w:val="lv-LV" w:eastAsia="lv-LV"/>
              </w:rPr>
            </w:pPr>
            <w:r w:rsidRPr="00AB7E1B">
              <w:rPr>
                <w:rFonts w:eastAsia="Times New Roman"/>
                <w:sz w:val="24"/>
                <w:szCs w:val="24"/>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DA32C8C" w14:textId="77777777" w:rsidR="0064766F" w:rsidRPr="00AB7E1B" w:rsidRDefault="0064766F" w:rsidP="00E032B3">
            <w:pPr>
              <w:ind w:right="201"/>
              <w:contextualSpacing/>
              <w:jc w:val="both"/>
              <w:rPr>
                <w:sz w:val="24"/>
                <w:szCs w:val="24"/>
                <w:lang w:val="lv-LV"/>
              </w:rPr>
            </w:pPr>
            <w:r w:rsidRPr="00AB7E1B">
              <w:rPr>
                <w:sz w:val="24"/>
                <w:szCs w:val="24"/>
                <w:lang w:val="lv-LV"/>
              </w:rPr>
              <w:t>Nav</w:t>
            </w:r>
          </w:p>
        </w:tc>
      </w:tr>
    </w:tbl>
    <w:p w14:paraId="6F26B674" w14:textId="77777777" w:rsidR="0064766F" w:rsidRPr="00AB7E1B" w:rsidRDefault="0064766F" w:rsidP="0064766F">
      <w:pPr>
        <w:contextualSpacing/>
        <w:rPr>
          <w:rFonts w:eastAsia="Times New Roman"/>
          <w:sz w:val="24"/>
          <w:szCs w:val="24"/>
          <w:lang w:val="lv-LV" w:eastAsia="lv-LV"/>
        </w:rPr>
      </w:pPr>
    </w:p>
    <w:tbl>
      <w:tblPr>
        <w:tblW w:w="9262"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
        <w:gridCol w:w="1791"/>
        <w:gridCol w:w="1254"/>
        <w:gridCol w:w="1100"/>
        <w:gridCol w:w="892"/>
        <w:gridCol w:w="1100"/>
        <w:gridCol w:w="892"/>
        <w:gridCol w:w="1100"/>
        <w:gridCol w:w="1051"/>
        <w:gridCol w:w="52"/>
      </w:tblGrid>
      <w:tr w:rsidR="0064766F" w:rsidRPr="00993107" w14:paraId="1C137A7A" w14:textId="77777777" w:rsidTr="000002A9">
        <w:trPr>
          <w:gridBefore w:val="1"/>
          <w:gridAfter w:val="1"/>
          <w:wBefore w:w="30" w:type="dxa"/>
          <w:wAfter w:w="52" w:type="dxa"/>
        </w:trPr>
        <w:tc>
          <w:tcPr>
            <w:tcW w:w="918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B32848A" w14:textId="77777777" w:rsidR="0064766F" w:rsidRPr="00AB7E1B" w:rsidRDefault="0064766F" w:rsidP="00E032B3">
            <w:pPr>
              <w:contextualSpacing/>
              <w:rPr>
                <w:rFonts w:eastAsia="Times New Roman"/>
                <w:b/>
                <w:sz w:val="24"/>
                <w:szCs w:val="24"/>
                <w:lang w:val="lv-LV" w:eastAsia="lv-LV"/>
              </w:rPr>
            </w:pPr>
            <w:r w:rsidRPr="00AB7E1B">
              <w:rPr>
                <w:rFonts w:eastAsia="Times New Roman"/>
                <w:b/>
                <w:bCs/>
                <w:sz w:val="24"/>
                <w:szCs w:val="24"/>
                <w:lang w:val="lv-LV" w:eastAsia="lv-LV"/>
              </w:rPr>
              <w:t>III. Tiesību akta projekta ietekme uz valsts budžetu un pašvaldību budžetiem</w:t>
            </w:r>
          </w:p>
        </w:tc>
      </w:tr>
      <w:tr w:rsidR="000002A9" w:rsidRPr="00AB7E1B" w14:paraId="1E794BCF"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82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58857" w14:textId="77777777" w:rsidR="000002A9" w:rsidRPr="00AB7E1B" w:rsidRDefault="000002A9" w:rsidP="00E032B3">
            <w:pPr>
              <w:jc w:val="center"/>
              <w:rPr>
                <w:bCs/>
                <w:sz w:val="24"/>
                <w:szCs w:val="24"/>
                <w:lang w:val="lv-LV"/>
              </w:rPr>
            </w:pPr>
            <w:r w:rsidRPr="00AB7E1B">
              <w:rPr>
                <w:bCs/>
                <w:sz w:val="24"/>
                <w:szCs w:val="24"/>
                <w:lang w:val="lv-LV"/>
              </w:rPr>
              <w:t>Rādītāji</w:t>
            </w:r>
          </w:p>
        </w:tc>
        <w:tc>
          <w:tcPr>
            <w:tcW w:w="235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EC13B2" w14:textId="161CAD24" w:rsidR="000002A9" w:rsidRPr="00AB7E1B" w:rsidRDefault="001B5A64" w:rsidP="00E032B3">
            <w:pPr>
              <w:jc w:val="center"/>
              <w:rPr>
                <w:bCs/>
                <w:sz w:val="24"/>
                <w:szCs w:val="24"/>
                <w:lang w:val="lv-LV"/>
              </w:rPr>
            </w:pPr>
            <w:r>
              <w:rPr>
                <w:bCs/>
                <w:sz w:val="24"/>
                <w:szCs w:val="24"/>
                <w:lang w:val="lv-LV"/>
              </w:rPr>
              <w:t>2020.</w:t>
            </w:r>
            <w:r w:rsidR="000002A9" w:rsidRPr="00AB7E1B">
              <w:rPr>
                <w:bCs/>
                <w:sz w:val="24"/>
                <w:szCs w:val="24"/>
                <w:lang w:val="lv-LV"/>
              </w:rPr>
              <w:t>gads</w:t>
            </w:r>
          </w:p>
        </w:tc>
        <w:tc>
          <w:tcPr>
            <w:tcW w:w="50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BC864F" w14:textId="77777777" w:rsidR="000002A9" w:rsidRPr="00AB7E1B" w:rsidRDefault="000002A9" w:rsidP="00E032B3">
            <w:pPr>
              <w:jc w:val="center"/>
              <w:rPr>
                <w:sz w:val="24"/>
                <w:szCs w:val="24"/>
                <w:lang w:val="lv-LV"/>
              </w:rPr>
            </w:pPr>
            <w:r w:rsidRPr="00AB7E1B">
              <w:rPr>
                <w:sz w:val="24"/>
                <w:szCs w:val="24"/>
                <w:lang w:val="lv-LV"/>
              </w:rPr>
              <w:t>Turpmākie trīs gadi (</w:t>
            </w:r>
            <w:r w:rsidRPr="00AB7E1B">
              <w:rPr>
                <w:i/>
                <w:iCs/>
                <w:sz w:val="24"/>
                <w:szCs w:val="24"/>
                <w:lang w:val="lv-LV"/>
              </w:rPr>
              <w:t>euro</w:t>
            </w:r>
            <w:r w:rsidRPr="00AB7E1B">
              <w:rPr>
                <w:sz w:val="24"/>
                <w:szCs w:val="24"/>
                <w:lang w:val="lv-LV"/>
              </w:rPr>
              <w:t>)</w:t>
            </w:r>
          </w:p>
        </w:tc>
      </w:tr>
      <w:tr w:rsidR="000002A9" w:rsidRPr="00AB7E1B" w14:paraId="25EE9CFB"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821" w:type="dxa"/>
            <w:gridSpan w:val="2"/>
            <w:vMerge/>
            <w:vAlign w:val="center"/>
            <w:hideMark/>
          </w:tcPr>
          <w:p w14:paraId="2E5E0623" w14:textId="77777777" w:rsidR="000002A9" w:rsidRPr="0040533F" w:rsidRDefault="000002A9" w:rsidP="00E032B3">
            <w:pPr>
              <w:jc w:val="center"/>
              <w:rPr>
                <w:bCs/>
                <w:sz w:val="24"/>
                <w:szCs w:val="24"/>
                <w:lang w:val="lv-LV"/>
              </w:rPr>
            </w:pPr>
          </w:p>
        </w:tc>
        <w:tc>
          <w:tcPr>
            <w:tcW w:w="2354" w:type="dxa"/>
            <w:gridSpan w:val="2"/>
            <w:vMerge/>
            <w:vAlign w:val="center"/>
            <w:hideMark/>
          </w:tcPr>
          <w:p w14:paraId="681E408F" w14:textId="77777777" w:rsidR="000002A9" w:rsidRPr="0040533F" w:rsidRDefault="000002A9" w:rsidP="00E032B3">
            <w:pPr>
              <w:jc w:val="center"/>
              <w:rPr>
                <w:bCs/>
                <w:sz w:val="24"/>
                <w:szCs w:val="24"/>
                <w:lang w:val="lv-LV"/>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9F919A" w14:textId="652AF60D" w:rsidR="000002A9" w:rsidRPr="0040533F" w:rsidRDefault="001B5A64" w:rsidP="00E032B3">
            <w:pPr>
              <w:jc w:val="center"/>
              <w:rPr>
                <w:bCs/>
                <w:sz w:val="24"/>
                <w:szCs w:val="24"/>
                <w:lang w:val="lv-LV"/>
              </w:rPr>
            </w:pPr>
            <w:r>
              <w:rPr>
                <w:bCs/>
                <w:sz w:val="24"/>
                <w:szCs w:val="24"/>
                <w:lang w:val="lv-LV"/>
              </w:rPr>
              <w:t>2021.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1B11C" w14:textId="3C2E2C28" w:rsidR="000002A9" w:rsidRPr="0040533F" w:rsidRDefault="001B5A64" w:rsidP="00E032B3">
            <w:pPr>
              <w:jc w:val="center"/>
              <w:rPr>
                <w:bCs/>
                <w:sz w:val="24"/>
                <w:szCs w:val="24"/>
                <w:lang w:val="lv-LV"/>
              </w:rPr>
            </w:pPr>
            <w:r>
              <w:rPr>
                <w:bCs/>
                <w:sz w:val="24"/>
                <w:szCs w:val="24"/>
                <w:lang w:val="lv-LV"/>
              </w:rPr>
              <w:t>2022.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147C3A" w14:textId="5260BD37" w:rsidR="000002A9" w:rsidRPr="0040533F" w:rsidRDefault="001B5A64" w:rsidP="00E032B3">
            <w:pPr>
              <w:jc w:val="center"/>
              <w:rPr>
                <w:bCs/>
                <w:sz w:val="24"/>
                <w:szCs w:val="24"/>
                <w:lang w:val="lv-LV"/>
              </w:rPr>
            </w:pPr>
            <w:r>
              <w:rPr>
                <w:bCs/>
                <w:sz w:val="24"/>
                <w:szCs w:val="24"/>
                <w:lang w:val="lv-LV"/>
              </w:rPr>
              <w:t>2023.</w:t>
            </w:r>
          </w:p>
        </w:tc>
      </w:tr>
      <w:tr w:rsidR="000002A9" w:rsidRPr="00AB7E1B" w14:paraId="41870EF4"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821" w:type="dxa"/>
            <w:gridSpan w:val="2"/>
            <w:vMerge/>
            <w:vAlign w:val="center"/>
            <w:hideMark/>
          </w:tcPr>
          <w:p w14:paraId="4E090FD7" w14:textId="77777777" w:rsidR="000002A9" w:rsidRPr="0040533F" w:rsidRDefault="000002A9" w:rsidP="00E032B3">
            <w:pPr>
              <w:jc w:val="center"/>
              <w:rPr>
                <w:b/>
                <w:bCs/>
                <w:sz w:val="24"/>
                <w:szCs w:val="24"/>
                <w:lang w:val="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18FF5" w14:textId="77777777" w:rsidR="000002A9" w:rsidRPr="0040533F" w:rsidRDefault="000002A9" w:rsidP="00E032B3">
            <w:pPr>
              <w:jc w:val="center"/>
              <w:rPr>
                <w:sz w:val="24"/>
                <w:szCs w:val="24"/>
                <w:lang w:val="lv-LV"/>
              </w:rPr>
            </w:pPr>
            <w:r w:rsidRPr="0040533F">
              <w:rPr>
                <w:sz w:val="24"/>
                <w:szCs w:val="24"/>
                <w:lang w:val="lv-LV"/>
              </w:rPr>
              <w:t>saskaņā ar valsts budžetu kārtējam gadam</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C9693" w14:textId="77777777" w:rsidR="000002A9" w:rsidRPr="0040533F" w:rsidRDefault="000002A9" w:rsidP="00E032B3">
            <w:pPr>
              <w:jc w:val="center"/>
              <w:rPr>
                <w:sz w:val="24"/>
                <w:szCs w:val="24"/>
                <w:lang w:val="lv-LV"/>
              </w:rPr>
            </w:pPr>
            <w:r w:rsidRPr="0040533F">
              <w:rPr>
                <w:sz w:val="24"/>
                <w:szCs w:val="24"/>
                <w:lang w:val="lv-LV"/>
              </w:rPr>
              <w:t>izmaiņas kārtējā gadā, salīdzinot ar valsts budžetu kārtējam gadam</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966CF" w14:textId="77777777" w:rsidR="000002A9" w:rsidRPr="0040533F" w:rsidRDefault="000002A9" w:rsidP="00E032B3">
            <w:pPr>
              <w:jc w:val="center"/>
              <w:rPr>
                <w:sz w:val="24"/>
                <w:szCs w:val="24"/>
                <w:lang w:val="lv-LV"/>
              </w:rPr>
            </w:pPr>
            <w:r w:rsidRPr="0040533F">
              <w:rPr>
                <w:sz w:val="24"/>
                <w:szCs w:val="24"/>
                <w:lang w:val="lv-LV"/>
              </w:rPr>
              <w:t>saskaņā ar vidēja termiņa budžeta ietvaru</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C9F222" w14:textId="104E4B2F" w:rsidR="000002A9" w:rsidRPr="0040533F" w:rsidRDefault="000002A9" w:rsidP="00D10665">
            <w:pPr>
              <w:jc w:val="center"/>
              <w:rPr>
                <w:sz w:val="24"/>
                <w:szCs w:val="24"/>
                <w:lang w:val="lv-LV"/>
              </w:rPr>
            </w:pPr>
            <w:r w:rsidRPr="0040533F">
              <w:rPr>
                <w:sz w:val="24"/>
                <w:szCs w:val="24"/>
                <w:lang w:val="lv-LV"/>
              </w:rPr>
              <w:t xml:space="preserve">izmaiņas, salīdzinot ar vidēja termiņa budžeta ietvaru </w:t>
            </w:r>
            <w:r w:rsidR="00D10665">
              <w:rPr>
                <w:sz w:val="24"/>
                <w:szCs w:val="24"/>
                <w:lang w:val="lv-LV"/>
              </w:rPr>
              <w:t>2021.</w:t>
            </w:r>
            <w:r w:rsidRPr="0040533F">
              <w:rPr>
                <w:sz w:val="24"/>
                <w:szCs w:val="24"/>
                <w:lang w:val="lv-LV"/>
              </w:rPr>
              <w:t xml:space="preserve"> gadam</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5AE183" w14:textId="77777777" w:rsidR="000002A9" w:rsidRPr="0040533F" w:rsidRDefault="000002A9" w:rsidP="00E032B3">
            <w:pPr>
              <w:jc w:val="center"/>
              <w:rPr>
                <w:sz w:val="24"/>
                <w:szCs w:val="24"/>
                <w:lang w:val="lv-LV"/>
              </w:rPr>
            </w:pPr>
            <w:r w:rsidRPr="0040533F">
              <w:rPr>
                <w:sz w:val="24"/>
                <w:szCs w:val="24"/>
                <w:lang w:val="lv-LV"/>
              </w:rPr>
              <w:t>saskaņā ar vidēja termiņa budžeta ietvaru</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A2C4B" w14:textId="26A6F54F" w:rsidR="000002A9" w:rsidRPr="0040533F" w:rsidRDefault="000002A9" w:rsidP="00D10665">
            <w:pPr>
              <w:jc w:val="center"/>
              <w:rPr>
                <w:sz w:val="24"/>
                <w:szCs w:val="24"/>
                <w:lang w:val="lv-LV"/>
              </w:rPr>
            </w:pPr>
            <w:r w:rsidRPr="0040533F">
              <w:rPr>
                <w:sz w:val="24"/>
                <w:szCs w:val="24"/>
                <w:lang w:val="lv-LV"/>
              </w:rPr>
              <w:t xml:space="preserve">izmaiņas, salīdzinot ar vidēja termiņa budžeta ietvaru </w:t>
            </w:r>
            <w:r w:rsidR="00D10665">
              <w:rPr>
                <w:sz w:val="24"/>
                <w:szCs w:val="24"/>
                <w:lang w:val="lv-LV"/>
              </w:rPr>
              <w:t>2022.</w:t>
            </w:r>
            <w:r w:rsidRPr="0040533F">
              <w:rPr>
                <w:sz w:val="24"/>
                <w:szCs w:val="24"/>
                <w:lang w:val="lv-LV"/>
              </w:rPr>
              <w:t xml:space="preserve"> gadam</w:t>
            </w:r>
          </w:p>
        </w:tc>
        <w:tc>
          <w:tcPr>
            <w:tcW w:w="1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D1FA95" w14:textId="6E1DAA1E" w:rsidR="000002A9" w:rsidRPr="0040533F" w:rsidRDefault="000002A9" w:rsidP="00D10665">
            <w:pPr>
              <w:jc w:val="center"/>
              <w:rPr>
                <w:sz w:val="24"/>
                <w:szCs w:val="24"/>
                <w:lang w:val="lv-LV"/>
              </w:rPr>
            </w:pPr>
            <w:r w:rsidRPr="0040533F">
              <w:rPr>
                <w:sz w:val="24"/>
                <w:szCs w:val="24"/>
                <w:lang w:val="lv-LV"/>
              </w:rPr>
              <w:t xml:space="preserve">izmaiņas, salīdzinot ar vidēja termiņa budžeta ietvaru </w:t>
            </w:r>
            <w:r w:rsidRPr="0040533F">
              <w:rPr>
                <w:sz w:val="24"/>
                <w:szCs w:val="24"/>
                <w:lang w:val="lv-LV"/>
              </w:rPr>
              <w:br/>
            </w:r>
            <w:r w:rsidR="00D10665">
              <w:rPr>
                <w:sz w:val="24"/>
                <w:szCs w:val="24"/>
                <w:lang w:val="lv-LV"/>
              </w:rPr>
              <w:t>2022.</w:t>
            </w:r>
            <w:r w:rsidRPr="0040533F">
              <w:rPr>
                <w:sz w:val="24"/>
                <w:szCs w:val="24"/>
                <w:lang w:val="lv-LV"/>
              </w:rPr>
              <w:t xml:space="preserve"> gadam</w:t>
            </w:r>
          </w:p>
        </w:tc>
      </w:tr>
      <w:tr w:rsidR="000002A9" w:rsidRPr="00AB7E1B" w14:paraId="6150F8DD"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8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584F9" w14:textId="77777777" w:rsidR="000002A9" w:rsidRPr="00AB7E1B" w:rsidRDefault="000002A9" w:rsidP="00E032B3">
            <w:pPr>
              <w:jc w:val="center"/>
              <w:rPr>
                <w:sz w:val="24"/>
                <w:szCs w:val="24"/>
                <w:lang w:val="lv-LV"/>
              </w:rPr>
            </w:pPr>
            <w:r w:rsidRPr="00AB7E1B">
              <w:rPr>
                <w:sz w:val="24"/>
                <w:szCs w:val="24"/>
                <w:lang w:val="lv-LV"/>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DB3898" w14:textId="77777777" w:rsidR="000002A9" w:rsidRPr="00AB7E1B" w:rsidRDefault="000002A9" w:rsidP="00E032B3">
            <w:pPr>
              <w:jc w:val="center"/>
              <w:rPr>
                <w:sz w:val="24"/>
                <w:szCs w:val="24"/>
                <w:lang w:val="lv-LV"/>
              </w:rPr>
            </w:pPr>
            <w:r w:rsidRPr="00AB7E1B">
              <w:rPr>
                <w:sz w:val="24"/>
                <w:szCs w:val="24"/>
                <w:lang w:val="lv-LV"/>
              </w:rPr>
              <w:t>2</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170E0A" w14:textId="77777777" w:rsidR="000002A9" w:rsidRPr="00AB7E1B" w:rsidRDefault="000002A9" w:rsidP="00E032B3">
            <w:pPr>
              <w:jc w:val="center"/>
              <w:rPr>
                <w:sz w:val="24"/>
                <w:szCs w:val="24"/>
                <w:lang w:val="lv-LV"/>
              </w:rPr>
            </w:pPr>
            <w:r w:rsidRPr="00AB7E1B">
              <w:rPr>
                <w:sz w:val="24"/>
                <w:szCs w:val="24"/>
                <w:lang w:val="lv-LV"/>
              </w:rPr>
              <w:t>3</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8261FC" w14:textId="77777777" w:rsidR="000002A9" w:rsidRPr="00AB7E1B" w:rsidRDefault="000002A9" w:rsidP="00E032B3">
            <w:pPr>
              <w:jc w:val="center"/>
              <w:rPr>
                <w:sz w:val="24"/>
                <w:szCs w:val="24"/>
                <w:lang w:val="lv-LV"/>
              </w:rPr>
            </w:pPr>
            <w:r w:rsidRPr="00AB7E1B">
              <w:rPr>
                <w:sz w:val="24"/>
                <w:szCs w:val="24"/>
                <w:lang w:val="lv-LV"/>
              </w:rPr>
              <w:t>4</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F5DDE9" w14:textId="77777777" w:rsidR="000002A9" w:rsidRPr="00AB7E1B" w:rsidRDefault="000002A9" w:rsidP="00E032B3">
            <w:pPr>
              <w:jc w:val="center"/>
              <w:rPr>
                <w:sz w:val="24"/>
                <w:szCs w:val="24"/>
                <w:lang w:val="lv-LV"/>
              </w:rPr>
            </w:pPr>
            <w:r w:rsidRPr="00AB7E1B">
              <w:rPr>
                <w:sz w:val="24"/>
                <w:szCs w:val="24"/>
                <w:lang w:val="lv-LV"/>
              </w:rPr>
              <w:t>5</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EF38F" w14:textId="77777777" w:rsidR="000002A9" w:rsidRPr="00AB7E1B" w:rsidRDefault="000002A9" w:rsidP="00E032B3">
            <w:pPr>
              <w:jc w:val="center"/>
              <w:rPr>
                <w:sz w:val="24"/>
                <w:szCs w:val="24"/>
                <w:lang w:val="lv-LV"/>
              </w:rPr>
            </w:pPr>
            <w:r w:rsidRPr="00AB7E1B">
              <w:rPr>
                <w:sz w:val="24"/>
                <w:szCs w:val="24"/>
                <w:lang w:val="lv-LV"/>
              </w:rPr>
              <w:t>6</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E28C77" w14:textId="77777777" w:rsidR="000002A9" w:rsidRPr="00AB7E1B" w:rsidRDefault="000002A9" w:rsidP="00E032B3">
            <w:pPr>
              <w:jc w:val="center"/>
              <w:rPr>
                <w:sz w:val="24"/>
                <w:szCs w:val="24"/>
                <w:lang w:val="lv-LV"/>
              </w:rPr>
            </w:pPr>
            <w:r w:rsidRPr="00AB7E1B">
              <w:rPr>
                <w:sz w:val="24"/>
                <w:szCs w:val="24"/>
                <w:lang w:val="lv-LV"/>
              </w:rPr>
              <w:t>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33910F" w14:textId="77777777" w:rsidR="000002A9" w:rsidRPr="00AB7E1B" w:rsidRDefault="000002A9" w:rsidP="00E032B3">
            <w:pPr>
              <w:jc w:val="center"/>
              <w:rPr>
                <w:sz w:val="24"/>
                <w:szCs w:val="24"/>
                <w:lang w:val="lv-LV"/>
              </w:rPr>
            </w:pPr>
            <w:r w:rsidRPr="00AB7E1B">
              <w:rPr>
                <w:sz w:val="24"/>
                <w:szCs w:val="24"/>
                <w:lang w:val="lv-LV"/>
              </w:rPr>
              <w:t>8</w:t>
            </w:r>
          </w:p>
        </w:tc>
      </w:tr>
      <w:tr w:rsidR="000002A9" w:rsidRPr="00AB7E1B" w14:paraId="15B4D7D2"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81F68" w14:textId="77777777" w:rsidR="000002A9" w:rsidRPr="00AB7E1B" w:rsidRDefault="000002A9" w:rsidP="00E032B3">
            <w:pPr>
              <w:rPr>
                <w:sz w:val="24"/>
                <w:szCs w:val="24"/>
                <w:lang w:val="lv-LV"/>
              </w:rPr>
            </w:pPr>
            <w:r w:rsidRPr="00AB7E1B">
              <w:rPr>
                <w:sz w:val="24"/>
                <w:szCs w:val="24"/>
                <w:lang w:val="lv-LV"/>
              </w:rPr>
              <w:t>1. Budžeta ieņēmumi</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9D2EB"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6D37D8"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43554"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ECBE2"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05406"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84497D" w14:textId="77777777" w:rsidR="000002A9" w:rsidRPr="00AB7E1B" w:rsidRDefault="000002A9" w:rsidP="00E032B3">
            <w:pPr>
              <w:jc w:val="center"/>
              <w:rPr>
                <w:sz w:val="24"/>
                <w:szCs w:val="24"/>
                <w:lang w:val="lv-LV"/>
              </w:rPr>
            </w:pPr>
            <w:r w:rsidRPr="00AB7E1B">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041C0D" w14:textId="77777777" w:rsidR="000002A9" w:rsidRPr="00AB7E1B" w:rsidRDefault="000002A9" w:rsidP="00E032B3">
            <w:pPr>
              <w:jc w:val="center"/>
              <w:rPr>
                <w:sz w:val="24"/>
                <w:szCs w:val="24"/>
                <w:lang w:val="lv-LV"/>
              </w:rPr>
            </w:pPr>
            <w:r w:rsidRPr="00AB7E1B">
              <w:rPr>
                <w:sz w:val="24"/>
                <w:szCs w:val="24"/>
                <w:lang w:val="lv-LV"/>
              </w:rPr>
              <w:t>0</w:t>
            </w:r>
          </w:p>
        </w:tc>
      </w:tr>
      <w:tr w:rsidR="000002A9" w:rsidRPr="00AB7E1B" w14:paraId="264B3D23"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C85680" w14:textId="77777777" w:rsidR="000002A9" w:rsidRPr="00AB7E1B" w:rsidRDefault="000002A9" w:rsidP="00E032B3">
            <w:pPr>
              <w:rPr>
                <w:sz w:val="24"/>
                <w:szCs w:val="24"/>
                <w:lang w:val="lv-LV"/>
              </w:rPr>
            </w:pPr>
            <w:r w:rsidRPr="00AB7E1B">
              <w:rPr>
                <w:sz w:val="24"/>
                <w:szCs w:val="24"/>
                <w:lang w:val="lv-LV"/>
              </w:rPr>
              <w:t>2. Budžeta izdevumi</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B4F39"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AE9EB" w14:textId="7BBB8E09" w:rsidR="000002A9" w:rsidRPr="00AB7E1B" w:rsidRDefault="00AB7E1B" w:rsidP="00E032B3">
            <w:pPr>
              <w:jc w:val="center"/>
              <w:rPr>
                <w:sz w:val="24"/>
                <w:szCs w:val="24"/>
                <w:lang w:val="lv-LV"/>
              </w:rPr>
            </w:pPr>
            <w:r w:rsidRPr="00AB7E1B">
              <w:rPr>
                <w:sz w:val="24"/>
                <w:szCs w:val="24"/>
                <w:lang w:val="lv-LV"/>
              </w:rPr>
              <w:t>50 </w:t>
            </w:r>
            <w:r w:rsidR="000002A9" w:rsidRPr="00AB7E1B">
              <w:rPr>
                <w:sz w:val="24"/>
                <w:szCs w:val="24"/>
                <w:lang w:val="lv-LV"/>
              </w:rPr>
              <w:t xml:space="preserve">000 000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C964B"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E9562"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5BE25"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C80B5" w14:textId="77777777" w:rsidR="000002A9" w:rsidRPr="00AB7E1B" w:rsidRDefault="000002A9" w:rsidP="00E032B3">
            <w:pPr>
              <w:jc w:val="center"/>
              <w:rPr>
                <w:sz w:val="24"/>
                <w:szCs w:val="24"/>
                <w:lang w:val="lv-LV"/>
              </w:rPr>
            </w:pPr>
            <w:r w:rsidRPr="00AB7E1B">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295D8" w14:textId="77777777" w:rsidR="000002A9" w:rsidRPr="00AB7E1B" w:rsidRDefault="000002A9" w:rsidP="00E032B3">
            <w:pPr>
              <w:jc w:val="center"/>
              <w:rPr>
                <w:sz w:val="24"/>
                <w:szCs w:val="24"/>
                <w:lang w:val="lv-LV"/>
              </w:rPr>
            </w:pPr>
            <w:r w:rsidRPr="00AB7E1B">
              <w:rPr>
                <w:sz w:val="24"/>
                <w:szCs w:val="24"/>
                <w:lang w:val="lv-LV"/>
              </w:rPr>
              <w:t>0</w:t>
            </w:r>
          </w:p>
        </w:tc>
      </w:tr>
      <w:tr w:rsidR="000002A9" w:rsidRPr="00AB7E1B" w14:paraId="4C3471E9"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752E00" w14:textId="77777777" w:rsidR="000002A9" w:rsidRPr="00AB7E1B" w:rsidRDefault="000002A9" w:rsidP="00E032B3">
            <w:pPr>
              <w:rPr>
                <w:sz w:val="24"/>
                <w:szCs w:val="24"/>
                <w:lang w:val="lv-LV"/>
              </w:rPr>
            </w:pPr>
            <w:r w:rsidRPr="00AB7E1B">
              <w:rPr>
                <w:sz w:val="24"/>
                <w:szCs w:val="24"/>
                <w:lang w:val="lv-LV"/>
              </w:rPr>
              <w:t>2.1. valsts pamatbudžets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27803"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2E5E7" w14:textId="6544F431" w:rsidR="000002A9" w:rsidRPr="00AB7E1B" w:rsidRDefault="00AB7E1B" w:rsidP="00E032B3">
            <w:pPr>
              <w:jc w:val="center"/>
              <w:rPr>
                <w:sz w:val="24"/>
                <w:szCs w:val="24"/>
                <w:lang w:val="lv-LV"/>
              </w:rPr>
            </w:pPr>
            <w:r w:rsidRPr="00AB7E1B">
              <w:rPr>
                <w:sz w:val="24"/>
                <w:szCs w:val="24"/>
                <w:lang w:val="lv-LV"/>
              </w:rPr>
              <w:t>50 </w:t>
            </w:r>
            <w:r w:rsidR="000002A9" w:rsidRPr="00AB7E1B">
              <w:rPr>
                <w:sz w:val="24"/>
                <w:szCs w:val="24"/>
                <w:lang w:val="lv-LV"/>
              </w:rPr>
              <w:t xml:space="preserve">000 000 </w:t>
            </w:r>
          </w:p>
          <w:p w14:paraId="31EAAE74" w14:textId="77777777" w:rsidR="000002A9" w:rsidRPr="00AB7E1B" w:rsidRDefault="000002A9" w:rsidP="00E032B3">
            <w:pPr>
              <w:jc w:val="center"/>
              <w:rPr>
                <w:sz w:val="24"/>
                <w:szCs w:val="24"/>
                <w:lang w:val="lv-LV"/>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36266"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296C2"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E50B1"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A6353" w14:textId="77777777" w:rsidR="000002A9" w:rsidRPr="00AB7E1B" w:rsidRDefault="000002A9" w:rsidP="00E032B3">
            <w:pPr>
              <w:jc w:val="center"/>
              <w:rPr>
                <w:sz w:val="24"/>
                <w:szCs w:val="24"/>
                <w:lang w:val="lv-LV"/>
              </w:rPr>
            </w:pPr>
            <w:r w:rsidRPr="00AB7E1B">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15CDD" w14:textId="77777777" w:rsidR="000002A9" w:rsidRPr="00AB7E1B" w:rsidRDefault="000002A9" w:rsidP="00E032B3">
            <w:pPr>
              <w:jc w:val="center"/>
              <w:rPr>
                <w:sz w:val="24"/>
                <w:szCs w:val="24"/>
                <w:lang w:val="lv-LV"/>
              </w:rPr>
            </w:pPr>
            <w:r w:rsidRPr="00AB7E1B">
              <w:rPr>
                <w:sz w:val="24"/>
                <w:szCs w:val="24"/>
                <w:lang w:val="lv-LV"/>
              </w:rPr>
              <w:t>0</w:t>
            </w:r>
          </w:p>
        </w:tc>
      </w:tr>
      <w:tr w:rsidR="000002A9" w:rsidRPr="00AB7E1B" w14:paraId="4A812FC7"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02D981" w14:textId="77777777" w:rsidR="000002A9" w:rsidRPr="00AB7E1B" w:rsidRDefault="000002A9" w:rsidP="00E032B3">
            <w:pPr>
              <w:rPr>
                <w:sz w:val="24"/>
                <w:szCs w:val="24"/>
                <w:lang w:val="lv-LV"/>
              </w:rPr>
            </w:pPr>
            <w:r w:rsidRPr="00AB7E1B">
              <w:rPr>
                <w:sz w:val="24"/>
                <w:szCs w:val="24"/>
                <w:lang w:val="lv-LV"/>
              </w:rPr>
              <w:t>2.2. valsts speciālais budžets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EE5E1"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5D589"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DB8B8"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3D6B"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4EBCB"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68DE1" w14:textId="77777777" w:rsidR="000002A9" w:rsidRPr="00AB7E1B" w:rsidRDefault="000002A9" w:rsidP="00E032B3">
            <w:pPr>
              <w:jc w:val="center"/>
              <w:rPr>
                <w:sz w:val="24"/>
                <w:szCs w:val="24"/>
                <w:lang w:val="lv-LV"/>
              </w:rPr>
            </w:pPr>
            <w:r w:rsidRPr="00AB7E1B">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DE75A" w14:textId="77777777" w:rsidR="000002A9" w:rsidRPr="00AB7E1B" w:rsidRDefault="000002A9" w:rsidP="00E032B3">
            <w:pPr>
              <w:jc w:val="center"/>
              <w:rPr>
                <w:sz w:val="24"/>
                <w:szCs w:val="24"/>
                <w:lang w:val="lv-LV"/>
              </w:rPr>
            </w:pPr>
            <w:r w:rsidRPr="00AB7E1B">
              <w:rPr>
                <w:sz w:val="24"/>
                <w:szCs w:val="24"/>
                <w:lang w:val="lv-LV"/>
              </w:rPr>
              <w:t>0</w:t>
            </w:r>
          </w:p>
        </w:tc>
      </w:tr>
      <w:tr w:rsidR="000002A9" w:rsidRPr="00AB7E1B" w14:paraId="144B5FE7"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12B517" w14:textId="77777777" w:rsidR="000002A9" w:rsidRPr="00AB7E1B" w:rsidRDefault="000002A9" w:rsidP="00E032B3">
            <w:pPr>
              <w:rPr>
                <w:sz w:val="24"/>
                <w:szCs w:val="24"/>
                <w:lang w:val="lv-LV"/>
              </w:rPr>
            </w:pPr>
            <w:r w:rsidRPr="00AB7E1B">
              <w:rPr>
                <w:sz w:val="24"/>
                <w:szCs w:val="24"/>
                <w:lang w:val="lv-LV"/>
              </w:rPr>
              <w:t>2.3. pašvaldību budžets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1E5B"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B4B39"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18C19"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84C03"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8DA05"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0BDDF" w14:textId="77777777" w:rsidR="000002A9" w:rsidRPr="00AB7E1B" w:rsidRDefault="000002A9" w:rsidP="00E032B3">
            <w:pPr>
              <w:jc w:val="center"/>
              <w:rPr>
                <w:sz w:val="24"/>
                <w:szCs w:val="24"/>
                <w:lang w:val="lv-LV"/>
              </w:rPr>
            </w:pPr>
            <w:r w:rsidRPr="00AB7E1B">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40D580" w14:textId="77777777" w:rsidR="000002A9" w:rsidRPr="00AB7E1B" w:rsidRDefault="000002A9" w:rsidP="00E032B3">
            <w:pPr>
              <w:jc w:val="center"/>
              <w:rPr>
                <w:sz w:val="24"/>
                <w:szCs w:val="24"/>
                <w:lang w:val="lv-LV"/>
              </w:rPr>
            </w:pPr>
            <w:r w:rsidRPr="00AB7E1B">
              <w:rPr>
                <w:sz w:val="24"/>
                <w:szCs w:val="24"/>
                <w:lang w:val="lv-LV"/>
              </w:rPr>
              <w:t>0</w:t>
            </w:r>
          </w:p>
        </w:tc>
      </w:tr>
      <w:tr w:rsidR="000002A9" w:rsidRPr="00AB7E1B" w14:paraId="35B82570"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AAD093" w14:textId="77777777" w:rsidR="000002A9" w:rsidRPr="00AB7E1B" w:rsidRDefault="000002A9" w:rsidP="00E032B3">
            <w:pPr>
              <w:rPr>
                <w:sz w:val="24"/>
                <w:szCs w:val="24"/>
                <w:lang w:val="lv-LV"/>
              </w:rPr>
            </w:pPr>
            <w:r w:rsidRPr="00AB7E1B">
              <w:rPr>
                <w:sz w:val="24"/>
                <w:szCs w:val="24"/>
                <w:lang w:val="lv-LV"/>
              </w:rPr>
              <w:t>3. Finansiālā ietekme</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05EF5"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7C8C0" w14:textId="2158DEA2" w:rsidR="000002A9" w:rsidRPr="00AB7E1B" w:rsidRDefault="000002A9" w:rsidP="00E032B3">
            <w:pPr>
              <w:jc w:val="center"/>
              <w:rPr>
                <w:sz w:val="24"/>
                <w:szCs w:val="24"/>
                <w:lang w:val="lv-LV"/>
              </w:rPr>
            </w:pPr>
            <w:r w:rsidRPr="00AB7E1B">
              <w:rPr>
                <w:sz w:val="24"/>
                <w:szCs w:val="24"/>
                <w:lang w:val="lv-LV"/>
              </w:rPr>
              <w:t>-</w:t>
            </w:r>
            <w:r w:rsidR="00AB7E1B" w:rsidRPr="00AB7E1B">
              <w:rPr>
                <w:sz w:val="24"/>
                <w:szCs w:val="24"/>
                <w:lang w:val="lv-LV"/>
              </w:rPr>
              <w:t>50 </w:t>
            </w:r>
            <w:r w:rsidRPr="00AB7E1B">
              <w:rPr>
                <w:sz w:val="24"/>
                <w:szCs w:val="24"/>
                <w:lang w:val="lv-LV"/>
              </w:rPr>
              <w:t xml:space="preserve">000 000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D4F62"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B3028"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321EF"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99887" w14:textId="77777777" w:rsidR="000002A9" w:rsidRPr="00AB7E1B" w:rsidRDefault="000002A9" w:rsidP="00E032B3">
            <w:pPr>
              <w:jc w:val="center"/>
              <w:rPr>
                <w:sz w:val="24"/>
                <w:szCs w:val="24"/>
                <w:lang w:val="lv-LV"/>
              </w:rPr>
            </w:pPr>
            <w:r w:rsidRPr="00AB7E1B">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D508F" w14:textId="77777777" w:rsidR="000002A9" w:rsidRPr="00AB7E1B" w:rsidRDefault="000002A9" w:rsidP="00E032B3">
            <w:pPr>
              <w:jc w:val="center"/>
              <w:rPr>
                <w:sz w:val="24"/>
                <w:szCs w:val="24"/>
                <w:lang w:val="lv-LV"/>
              </w:rPr>
            </w:pPr>
            <w:r w:rsidRPr="00AB7E1B">
              <w:rPr>
                <w:sz w:val="24"/>
                <w:szCs w:val="24"/>
                <w:lang w:val="lv-LV"/>
              </w:rPr>
              <w:t>0</w:t>
            </w:r>
          </w:p>
        </w:tc>
      </w:tr>
      <w:tr w:rsidR="000002A9" w:rsidRPr="00AB7E1B" w14:paraId="4E8B22FD"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8108F5" w14:textId="77777777" w:rsidR="000002A9" w:rsidRPr="00AB7E1B" w:rsidRDefault="000002A9" w:rsidP="00E032B3">
            <w:pPr>
              <w:rPr>
                <w:sz w:val="24"/>
                <w:szCs w:val="24"/>
                <w:lang w:val="lv-LV"/>
              </w:rPr>
            </w:pPr>
            <w:r w:rsidRPr="00AB7E1B">
              <w:rPr>
                <w:sz w:val="24"/>
                <w:szCs w:val="24"/>
                <w:lang w:val="lv-LV"/>
              </w:rPr>
              <w:t>3.1. valsts pamatbudžets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1A5F4"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83A5D" w14:textId="6961B6BB" w:rsidR="000002A9" w:rsidRPr="00AB7E1B" w:rsidRDefault="000002A9" w:rsidP="00E032B3">
            <w:pPr>
              <w:jc w:val="center"/>
              <w:rPr>
                <w:sz w:val="24"/>
                <w:szCs w:val="24"/>
                <w:lang w:val="lv-LV"/>
              </w:rPr>
            </w:pPr>
            <w:r w:rsidRPr="00AB7E1B">
              <w:rPr>
                <w:sz w:val="24"/>
                <w:szCs w:val="24"/>
                <w:lang w:val="lv-LV"/>
              </w:rPr>
              <w:t>-</w:t>
            </w:r>
            <w:r w:rsidR="00AB7E1B" w:rsidRPr="00AB7E1B">
              <w:rPr>
                <w:sz w:val="24"/>
                <w:szCs w:val="24"/>
                <w:lang w:val="lv-LV"/>
              </w:rPr>
              <w:t>50 </w:t>
            </w:r>
            <w:r w:rsidRPr="00AB7E1B">
              <w:rPr>
                <w:sz w:val="24"/>
                <w:szCs w:val="24"/>
                <w:lang w:val="lv-LV"/>
              </w:rPr>
              <w:t xml:space="preserve">000 000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3C885"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05BC6"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DA361"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1A205" w14:textId="77777777" w:rsidR="000002A9" w:rsidRPr="00AB7E1B" w:rsidRDefault="000002A9" w:rsidP="00E032B3">
            <w:pPr>
              <w:jc w:val="center"/>
              <w:rPr>
                <w:sz w:val="24"/>
                <w:szCs w:val="24"/>
                <w:lang w:val="lv-LV"/>
              </w:rPr>
            </w:pPr>
            <w:r w:rsidRPr="00AB7E1B">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1753B" w14:textId="77777777" w:rsidR="000002A9" w:rsidRPr="00AB7E1B" w:rsidRDefault="000002A9" w:rsidP="00E032B3">
            <w:pPr>
              <w:jc w:val="center"/>
              <w:rPr>
                <w:sz w:val="24"/>
                <w:szCs w:val="24"/>
                <w:lang w:val="lv-LV"/>
              </w:rPr>
            </w:pPr>
            <w:r w:rsidRPr="00AB7E1B">
              <w:rPr>
                <w:sz w:val="24"/>
                <w:szCs w:val="24"/>
                <w:lang w:val="lv-LV"/>
              </w:rPr>
              <w:t>0</w:t>
            </w:r>
          </w:p>
        </w:tc>
      </w:tr>
      <w:tr w:rsidR="000002A9" w:rsidRPr="00AB7E1B" w14:paraId="14E32048"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A137C" w14:textId="77777777" w:rsidR="000002A9" w:rsidRPr="00AB7E1B" w:rsidRDefault="000002A9" w:rsidP="00E032B3">
            <w:pPr>
              <w:rPr>
                <w:sz w:val="24"/>
                <w:szCs w:val="24"/>
                <w:lang w:val="lv-LV"/>
              </w:rPr>
            </w:pPr>
            <w:r w:rsidRPr="00AB7E1B">
              <w:rPr>
                <w:sz w:val="24"/>
                <w:szCs w:val="24"/>
                <w:lang w:val="lv-LV"/>
              </w:rPr>
              <w:t>3.2. speciālais budžets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A5224"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DFD9B"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6E491"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B96E6"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8B1B9"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6DA93" w14:textId="77777777" w:rsidR="000002A9" w:rsidRPr="00AB7E1B" w:rsidRDefault="000002A9" w:rsidP="00E032B3">
            <w:pPr>
              <w:jc w:val="center"/>
              <w:rPr>
                <w:sz w:val="24"/>
                <w:szCs w:val="24"/>
                <w:lang w:val="lv-LV"/>
              </w:rPr>
            </w:pPr>
            <w:r w:rsidRPr="00AB7E1B">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DC2779" w14:textId="77777777" w:rsidR="000002A9" w:rsidRPr="00AB7E1B" w:rsidRDefault="000002A9" w:rsidP="00E032B3">
            <w:pPr>
              <w:jc w:val="center"/>
              <w:rPr>
                <w:sz w:val="24"/>
                <w:szCs w:val="24"/>
                <w:lang w:val="lv-LV"/>
              </w:rPr>
            </w:pPr>
            <w:r w:rsidRPr="00AB7E1B">
              <w:rPr>
                <w:sz w:val="24"/>
                <w:szCs w:val="24"/>
                <w:lang w:val="lv-LV"/>
              </w:rPr>
              <w:t>0</w:t>
            </w:r>
          </w:p>
        </w:tc>
      </w:tr>
      <w:tr w:rsidR="000002A9" w:rsidRPr="00AB7E1B" w14:paraId="4022E8ED"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5A1D08" w14:textId="77777777" w:rsidR="000002A9" w:rsidRPr="00AB7E1B" w:rsidRDefault="000002A9" w:rsidP="00E032B3">
            <w:pPr>
              <w:rPr>
                <w:sz w:val="24"/>
                <w:szCs w:val="24"/>
                <w:lang w:val="lv-LV"/>
              </w:rPr>
            </w:pPr>
            <w:r w:rsidRPr="00AB7E1B">
              <w:rPr>
                <w:sz w:val="24"/>
                <w:szCs w:val="24"/>
                <w:lang w:val="lv-LV"/>
              </w:rPr>
              <w:t>3.3. pašvaldību budžets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8A28E"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11BF2"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9DE25"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BF302" w14:textId="77777777" w:rsidR="000002A9" w:rsidRPr="00AB7E1B" w:rsidRDefault="000002A9" w:rsidP="00E032B3">
            <w:pPr>
              <w:jc w:val="center"/>
              <w:rPr>
                <w:sz w:val="24"/>
                <w:szCs w:val="24"/>
                <w:lang w:val="lv-LV"/>
              </w:rPr>
            </w:pPr>
            <w:r w:rsidRPr="00AB7E1B">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644BB" w14:textId="77777777" w:rsidR="000002A9" w:rsidRPr="00AB7E1B" w:rsidRDefault="000002A9" w:rsidP="00E032B3">
            <w:pPr>
              <w:jc w:val="center"/>
              <w:rPr>
                <w:sz w:val="24"/>
                <w:szCs w:val="24"/>
                <w:lang w:val="lv-LV"/>
              </w:rPr>
            </w:pPr>
            <w:r w:rsidRPr="00AB7E1B">
              <w:rPr>
                <w:sz w:val="24"/>
                <w:szCs w:val="24"/>
                <w:lang w:val="lv-LV"/>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78BD5" w14:textId="77777777" w:rsidR="000002A9" w:rsidRPr="00AB7E1B" w:rsidRDefault="000002A9" w:rsidP="00E032B3">
            <w:pPr>
              <w:jc w:val="center"/>
              <w:rPr>
                <w:sz w:val="24"/>
                <w:szCs w:val="24"/>
                <w:lang w:val="lv-LV"/>
              </w:rPr>
            </w:pPr>
            <w:r w:rsidRPr="00AB7E1B">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FC3250" w14:textId="77777777" w:rsidR="000002A9" w:rsidRPr="00AB7E1B" w:rsidRDefault="000002A9" w:rsidP="00E032B3">
            <w:pPr>
              <w:jc w:val="center"/>
              <w:rPr>
                <w:sz w:val="24"/>
                <w:szCs w:val="24"/>
                <w:lang w:val="lv-LV"/>
              </w:rPr>
            </w:pPr>
            <w:r w:rsidRPr="00AB7E1B">
              <w:rPr>
                <w:sz w:val="24"/>
                <w:szCs w:val="24"/>
                <w:lang w:val="lv-LV"/>
              </w:rPr>
              <w:t>0</w:t>
            </w:r>
          </w:p>
        </w:tc>
      </w:tr>
      <w:tr w:rsidR="000002A9" w:rsidRPr="00AB7E1B" w14:paraId="03419E9D"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4E98FA" w14:textId="77777777" w:rsidR="000002A9" w:rsidRPr="00AB7E1B" w:rsidRDefault="000002A9" w:rsidP="00E032B3">
            <w:pPr>
              <w:rPr>
                <w:sz w:val="24"/>
                <w:szCs w:val="24"/>
                <w:lang w:val="lv-LV"/>
              </w:rPr>
            </w:pPr>
            <w:r w:rsidRPr="00AB7E1B">
              <w:rPr>
                <w:sz w:val="24"/>
                <w:szCs w:val="24"/>
                <w:lang w:val="lv-LV"/>
              </w:rPr>
              <w:t>4. Finanšu līdzekļi papildu izdevumu finansēšanai (kompensējošu izdevumu samazinājumu norāda ar "+" zīmi)</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F703B" w14:textId="0976CC25" w:rsidR="000002A9" w:rsidRPr="00E52F75" w:rsidRDefault="00FA185E" w:rsidP="00E032B3">
            <w:pPr>
              <w:jc w:val="center"/>
              <w:rPr>
                <w:sz w:val="24"/>
                <w:szCs w:val="24"/>
                <w:lang w:val="lv-LV"/>
              </w:rPr>
            </w:pPr>
            <w:r w:rsidRPr="00E52F75">
              <w:rPr>
                <w:sz w:val="24"/>
                <w:szCs w:val="24"/>
                <w:lang w:val="lv-LV"/>
              </w:rPr>
              <w:t>X</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1773A" w14:textId="2D824DBB" w:rsidR="000002A9" w:rsidRPr="00E52F75" w:rsidRDefault="00FA185E" w:rsidP="00E032B3">
            <w:pPr>
              <w:jc w:val="center"/>
              <w:rPr>
                <w:sz w:val="24"/>
                <w:szCs w:val="24"/>
                <w:lang w:val="lv-LV"/>
              </w:rPr>
            </w:pPr>
            <w:r w:rsidRPr="00E52F75">
              <w:rPr>
                <w:sz w:val="24"/>
                <w:szCs w:val="24"/>
                <w:lang w:val="lv-LV"/>
              </w:rPr>
              <w:t>+50 000 000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7C637" w14:textId="7AECD1CD" w:rsidR="000002A9" w:rsidRPr="00E52F75" w:rsidRDefault="00FA185E" w:rsidP="00E032B3">
            <w:pPr>
              <w:jc w:val="center"/>
              <w:rPr>
                <w:sz w:val="24"/>
                <w:szCs w:val="24"/>
                <w:lang w:val="lv-LV"/>
              </w:rPr>
            </w:pPr>
            <w:r w:rsidRPr="00E52F75">
              <w:rPr>
                <w:sz w:val="24"/>
                <w:szCs w:val="24"/>
                <w:lang w:val="lv-LV"/>
              </w:rPr>
              <w:t>X</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BCCCD" w14:textId="77777777" w:rsidR="000002A9" w:rsidRPr="00E52F75" w:rsidRDefault="000002A9" w:rsidP="00E032B3">
            <w:pPr>
              <w:jc w:val="center"/>
              <w:rPr>
                <w:sz w:val="24"/>
                <w:szCs w:val="24"/>
                <w:lang w:val="lv-LV"/>
              </w:rPr>
            </w:pPr>
            <w:r w:rsidRPr="00E52F75">
              <w:rPr>
                <w:sz w:val="24"/>
                <w:szCs w:val="24"/>
                <w:lang w:val="lv-LV"/>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C9D62" w14:textId="6A39A1A0" w:rsidR="000002A9" w:rsidRPr="00E52F75" w:rsidRDefault="00FA185E" w:rsidP="00E032B3">
            <w:pPr>
              <w:jc w:val="center"/>
              <w:rPr>
                <w:sz w:val="24"/>
                <w:szCs w:val="24"/>
                <w:lang w:val="lv-LV"/>
              </w:rPr>
            </w:pPr>
            <w:r w:rsidRPr="00E52F75">
              <w:rPr>
                <w:sz w:val="24"/>
                <w:szCs w:val="24"/>
                <w:lang w:val="lv-LV"/>
              </w:rPr>
              <w:t>X</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6D6E" w14:textId="77777777" w:rsidR="000002A9" w:rsidRPr="00E52F75" w:rsidRDefault="000002A9" w:rsidP="00E032B3">
            <w:pPr>
              <w:jc w:val="center"/>
              <w:rPr>
                <w:sz w:val="24"/>
                <w:szCs w:val="24"/>
                <w:lang w:val="lv-LV"/>
              </w:rPr>
            </w:pPr>
            <w:r w:rsidRPr="00E52F75">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B8CA9D" w14:textId="77777777" w:rsidR="000002A9" w:rsidRPr="00E52F75" w:rsidRDefault="000002A9" w:rsidP="00E032B3">
            <w:pPr>
              <w:jc w:val="center"/>
              <w:rPr>
                <w:sz w:val="24"/>
                <w:szCs w:val="24"/>
                <w:lang w:val="lv-LV"/>
              </w:rPr>
            </w:pPr>
            <w:r w:rsidRPr="00E52F75">
              <w:rPr>
                <w:sz w:val="24"/>
                <w:szCs w:val="24"/>
                <w:lang w:val="lv-LV"/>
              </w:rPr>
              <w:t>0</w:t>
            </w:r>
          </w:p>
        </w:tc>
      </w:tr>
      <w:tr w:rsidR="000002A9" w:rsidRPr="00AB7E1B" w14:paraId="3C5D4435"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6E9BA5" w14:textId="77777777" w:rsidR="000002A9" w:rsidRPr="00AB7E1B" w:rsidRDefault="000002A9" w:rsidP="00E032B3">
            <w:pPr>
              <w:rPr>
                <w:sz w:val="24"/>
                <w:szCs w:val="24"/>
                <w:lang w:val="lv-LV"/>
              </w:rPr>
            </w:pPr>
            <w:r w:rsidRPr="00AB7E1B">
              <w:rPr>
                <w:sz w:val="24"/>
                <w:szCs w:val="24"/>
                <w:lang w:val="lv-LV"/>
              </w:rPr>
              <w:t>5. Precizēta finansiālā ietekme</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5BBAC" w14:textId="3FFA7694" w:rsidR="000002A9" w:rsidRPr="00E52F75" w:rsidRDefault="00FA185E" w:rsidP="00E032B3">
            <w:pPr>
              <w:jc w:val="center"/>
              <w:rPr>
                <w:sz w:val="24"/>
                <w:szCs w:val="24"/>
                <w:lang w:val="lv-LV"/>
              </w:rPr>
            </w:pPr>
            <w:r w:rsidRPr="00E52F75">
              <w:rPr>
                <w:sz w:val="24"/>
                <w:szCs w:val="24"/>
                <w:lang w:val="lv-LV"/>
              </w:rPr>
              <w:t>X</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D7ED5" w14:textId="6C8C0E36" w:rsidR="000002A9" w:rsidRPr="00E52F75" w:rsidRDefault="00FA185E" w:rsidP="00E032B3">
            <w:pPr>
              <w:jc w:val="center"/>
              <w:rPr>
                <w:sz w:val="24"/>
                <w:szCs w:val="24"/>
                <w:lang w:val="lv-LV"/>
              </w:rPr>
            </w:pPr>
            <w:r w:rsidRPr="00E52F75">
              <w:rPr>
                <w:sz w:val="24"/>
                <w:szCs w:val="24"/>
                <w:lang w:val="lv-LV"/>
              </w:rPr>
              <w:t>0</w:t>
            </w:r>
            <w:r w:rsidR="000002A9" w:rsidRPr="00E52F75">
              <w:rPr>
                <w:sz w:val="24"/>
                <w:szCs w:val="24"/>
                <w:lang w:val="lv-LV"/>
              </w:rPr>
              <w:t xml:space="preserve"> </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C77545" w14:textId="540A1C96" w:rsidR="000002A9" w:rsidRPr="00E52F75" w:rsidRDefault="00FA185E" w:rsidP="00E032B3">
            <w:pPr>
              <w:jc w:val="center"/>
              <w:rPr>
                <w:sz w:val="24"/>
                <w:szCs w:val="24"/>
                <w:lang w:val="lv-LV"/>
              </w:rPr>
            </w:pPr>
            <w:r w:rsidRPr="00E52F75">
              <w:rPr>
                <w:sz w:val="24"/>
                <w:szCs w:val="24"/>
                <w:lang w:val="lv-LV"/>
              </w:rPr>
              <w:t>X</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A7AE8" w14:textId="77777777" w:rsidR="000002A9" w:rsidRPr="00E52F75" w:rsidRDefault="000002A9" w:rsidP="00E032B3">
            <w:pPr>
              <w:jc w:val="center"/>
              <w:rPr>
                <w:sz w:val="24"/>
                <w:szCs w:val="24"/>
                <w:lang w:val="lv-LV"/>
              </w:rPr>
            </w:pPr>
            <w:r w:rsidRPr="00E52F75">
              <w:rPr>
                <w:sz w:val="24"/>
                <w:szCs w:val="24"/>
                <w:lang w:val="lv-LV"/>
              </w:rPr>
              <w:t>0</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A01E0" w14:textId="22F780C8" w:rsidR="000002A9" w:rsidRPr="00E52F75" w:rsidRDefault="00FA185E" w:rsidP="00E032B3">
            <w:pPr>
              <w:jc w:val="center"/>
              <w:rPr>
                <w:sz w:val="24"/>
                <w:szCs w:val="24"/>
                <w:lang w:val="lv-LV"/>
              </w:rPr>
            </w:pPr>
            <w:r w:rsidRPr="00E52F75">
              <w:rPr>
                <w:sz w:val="24"/>
                <w:szCs w:val="24"/>
                <w:lang w:val="lv-LV"/>
              </w:rPr>
              <w:t>X</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6E848" w14:textId="77777777" w:rsidR="000002A9" w:rsidRPr="00E52F75" w:rsidRDefault="000002A9" w:rsidP="00E032B3">
            <w:pPr>
              <w:jc w:val="center"/>
              <w:rPr>
                <w:sz w:val="24"/>
                <w:szCs w:val="24"/>
                <w:lang w:val="lv-LV"/>
              </w:rPr>
            </w:pPr>
            <w:r w:rsidRPr="00E52F75">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A0060" w14:textId="77777777" w:rsidR="000002A9" w:rsidRPr="00E52F75" w:rsidRDefault="000002A9" w:rsidP="00E032B3">
            <w:pPr>
              <w:jc w:val="center"/>
              <w:rPr>
                <w:sz w:val="24"/>
                <w:szCs w:val="24"/>
                <w:lang w:val="lv-LV"/>
              </w:rPr>
            </w:pPr>
            <w:r w:rsidRPr="00E52F75">
              <w:rPr>
                <w:sz w:val="24"/>
                <w:szCs w:val="24"/>
                <w:lang w:val="lv-LV"/>
              </w:rPr>
              <w:t>0</w:t>
            </w:r>
          </w:p>
        </w:tc>
      </w:tr>
      <w:tr w:rsidR="000002A9" w:rsidRPr="00AB7E1B" w14:paraId="69AA8192"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0E7D38" w14:textId="77777777" w:rsidR="000002A9" w:rsidRPr="00AB7E1B" w:rsidRDefault="000002A9" w:rsidP="00E032B3">
            <w:pPr>
              <w:rPr>
                <w:sz w:val="24"/>
                <w:szCs w:val="24"/>
                <w:lang w:val="lv-LV"/>
              </w:rPr>
            </w:pPr>
            <w:r w:rsidRPr="00AB7E1B">
              <w:rPr>
                <w:sz w:val="24"/>
                <w:szCs w:val="24"/>
                <w:lang w:val="lv-LV"/>
              </w:rPr>
              <w:t>5.1. valsts pamatbudžets</w:t>
            </w:r>
          </w:p>
        </w:tc>
        <w:tc>
          <w:tcPr>
            <w:tcW w:w="1254" w:type="dxa"/>
            <w:vMerge/>
            <w:vAlign w:val="center"/>
            <w:hideMark/>
          </w:tcPr>
          <w:p w14:paraId="03E6B0A1" w14:textId="77777777" w:rsidR="000002A9" w:rsidRPr="008A0283" w:rsidRDefault="000002A9" w:rsidP="00E032B3">
            <w:pPr>
              <w:jc w:val="center"/>
              <w:rPr>
                <w:sz w:val="24"/>
                <w:szCs w:val="24"/>
                <w:lang w:val="lv-LV"/>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2B773" w14:textId="371E067A" w:rsidR="000002A9" w:rsidRPr="008A0283" w:rsidRDefault="00FA185E" w:rsidP="00E032B3">
            <w:pPr>
              <w:jc w:val="center"/>
              <w:rPr>
                <w:sz w:val="24"/>
                <w:szCs w:val="24"/>
                <w:lang w:val="lv-LV"/>
              </w:rPr>
            </w:pPr>
            <w:r w:rsidRPr="008A0283">
              <w:rPr>
                <w:sz w:val="24"/>
                <w:szCs w:val="24"/>
                <w:lang w:val="lv-LV"/>
              </w:rPr>
              <w:t>0</w:t>
            </w:r>
            <w:r w:rsidR="000002A9" w:rsidRPr="008A0283">
              <w:rPr>
                <w:sz w:val="24"/>
                <w:szCs w:val="24"/>
                <w:lang w:val="lv-LV"/>
              </w:rPr>
              <w:t xml:space="preserve"> </w:t>
            </w:r>
          </w:p>
        </w:tc>
        <w:tc>
          <w:tcPr>
            <w:tcW w:w="892" w:type="dxa"/>
            <w:vMerge/>
            <w:vAlign w:val="center"/>
            <w:hideMark/>
          </w:tcPr>
          <w:p w14:paraId="1D14A201" w14:textId="77777777" w:rsidR="000002A9" w:rsidRPr="008A0283" w:rsidRDefault="000002A9" w:rsidP="00E032B3">
            <w:pPr>
              <w:jc w:val="center"/>
              <w:rPr>
                <w:sz w:val="24"/>
                <w:szCs w:val="24"/>
                <w:lang w:val="lv-LV"/>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7B111" w14:textId="77777777" w:rsidR="000002A9" w:rsidRPr="008A0283" w:rsidRDefault="000002A9" w:rsidP="00E032B3">
            <w:pPr>
              <w:jc w:val="center"/>
              <w:rPr>
                <w:sz w:val="24"/>
                <w:szCs w:val="24"/>
                <w:lang w:val="lv-LV"/>
              </w:rPr>
            </w:pPr>
            <w:r w:rsidRPr="008A0283">
              <w:rPr>
                <w:sz w:val="24"/>
                <w:szCs w:val="24"/>
                <w:lang w:val="lv-LV"/>
              </w:rPr>
              <w:t>0</w:t>
            </w:r>
          </w:p>
        </w:tc>
        <w:tc>
          <w:tcPr>
            <w:tcW w:w="892" w:type="dxa"/>
            <w:vMerge/>
            <w:vAlign w:val="center"/>
            <w:hideMark/>
          </w:tcPr>
          <w:p w14:paraId="4570B590" w14:textId="77777777" w:rsidR="000002A9" w:rsidRPr="008A0283" w:rsidRDefault="000002A9" w:rsidP="00E032B3">
            <w:pPr>
              <w:jc w:val="center"/>
              <w:rPr>
                <w:sz w:val="24"/>
                <w:szCs w:val="24"/>
                <w:lang w:val="lv-LV"/>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22DBB" w14:textId="77777777" w:rsidR="000002A9" w:rsidRPr="008A0283" w:rsidRDefault="000002A9" w:rsidP="00E032B3">
            <w:pPr>
              <w:jc w:val="center"/>
              <w:rPr>
                <w:sz w:val="24"/>
                <w:szCs w:val="24"/>
                <w:lang w:val="lv-LV"/>
              </w:rPr>
            </w:pPr>
            <w:r w:rsidRPr="008A0283">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D11F4C" w14:textId="77777777" w:rsidR="000002A9" w:rsidRPr="00E52F75" w:rsidRDefault="000002A9" w:rsidP="00E032B3">
            <w:pPr>
              <w:jc w:val="center"/>
              <w:rPr>
                <w:sz w:val="24"/>
                <w:szCs w:val="24"/>
                <w:lang w:val="lv-LV"/>
              </w:rPr>
            </w:pPr>
            <w:r w:rsidRPr="00E52F75">
              <w:rPr>
                <w:sz w:val="24"/>
                <w:szCs w:val="24"/>
                <w:lang w:val="lv-LV"/>
              </w:rPr>
              <w:t>0</w:t>
            </w:r>
          </w:p>
        </w:tc>
      </w:tr>
      <w:tr w:rsidR="000002A9" w:rsidRPr="00AB7E1B" w14:paraId="1601A02A"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39AB82" w14:textId="77777777" w:rsidR="000002A9" w:rsidRPr="00AB7E1B" w:rsidRDefault="000002A9" w:rsidP="00E032B3">
            <w:pPr>
              <w:rPr>
                <w:sz w:val="24"/>
                <w:szCs w:val="24"/>
                <w:lang w:val="lv-LV"/>
              </w:rPr>
            </w:pPr>
            <w:r w:rsidRPr="00AB7E1B">
              <w:rPr>
                <w:sz w:val="24"/>
                <w:szCs w:val="24"/>
                <w:lang w:val="lv-LV"/>
              </w:rPr>
              <w:t>5.2. speciālais budžets</w:t>
            </w:r>
          </w:p>
        </w:tc>
        <w:tc>
          <w:tcPr>
            <w:tcW w:w="1254" w:type="dxa"/>
            <w:vMerge/>
            <w:vAlign w:val="center"/>
            <w:hideMark/>
          </w:tcPr>
          <w:p w14:paraId="38758287" w14:textId="77777777" w:rsidR="000002A9" w:rsidRPr="00AB7E1B" w:rsidRDefault="000002A9" w:rsidP="00E032B3">
            <w:pPr>
              <w:jc w:val="center"/>
              <w:rPr>
                <w:sz w:val="24"/>
                <w:szCs w:val="24"/>
                <w:lang w:val="lv-LV"/>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D48E4" w14:textId="77777777" w:rsidR="000002A9" w:rsidRPr="00AB7E1B" w:rsidRDefault="000002A9" w:rsidP="00E032B3">
            <w:pPr>
              <w:jc w:val="center"/>
              <w:rPr>
                <w:sz w:val="24"/>
                <w:szCs w:val="24"/>
                <w:lang w:val="lv-LV"/>
              </w:rPr>
            </w:pPr>
            <w:r w:rsidRPr="00AB7E1B">
              <w:rPr>
                <w:sz w:val="24"/>
                <w:szCs w:val="24"/>
                <w:lang w:val="lv-LV"/>
              </w:rPr>
              <w:t>0</w:t>
            </w:r>
          </w:p>
        </w:tc>
        <w:tc>
          <w:tcPr>
            <w:tcW w:w="892" w:type="dxa"/>
            <w:vMerge/>
            <w:vAlign w:val="center"/>
            <w:hideMark/>
          </w:tcPr>
          <w:p w14:paraId="7182101E" w14:textId="77777777" w:rsidR="000002A9" w:rsidRPr="00AB7E1B" w:rsidRDefault="000002A9" w:rsidP="00E032B3">
            <w:pPr>
              <w:jc w:val="center"/>
              <w:rPr>
                <w:sz w:val="24"/>
                <w:szCs w:val="24"/>
                <w:lang w:val="lv-LV"/>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13F11" w14:textId="77777777" w:rsidR="000002A9" w:rsidRPr="00AB7E1B" w:rsidRDefault="000002A9" w:rsidP="00E032B3">
            <w:pPr>
              <w:jc w:val="center"/>
              <w:rPr>
                <w:sz w:val="24"/>
                <w:szCs w:val="24"/>
                <w:lang w:val="lv-LV"/>
              </w:rPr>
            </w:pPr>
            <w:r w:rsidRPr="00AB7E1B">
              <w:rPr>
                <w:sz w:val="24"/>
                <w:szCs w:val="24"/>
                <w:lang w:val="lv-LV"/>
              </w:rPr>
              <w:t>0</w:t>
            </w:r>
          </w:p>
        </w:tc>
        <w:tc>
          <w:tcPr>
            <w:tcW w:w="892" w:type="dxa"/>
            <w:vMerge/>
            <w:vAlign w:val="center"/>
            <w:hideMark/>
          </w:tcPr>
          <w:p w14:paraId="1BCD45DF" w14:textId="77777777" w:rsidR="000002A9" w:rsidRPr="00AB7E1B" w:rsidRDefault="000002A9" w:rsidP="00E032B3">
            <w:pPr>
              <w:jc w:val="center"/>
              <w:rPr>
                <w:sz w:val="24"/>
                <w:szCs w:val="24"/>
                <w:lang w:val="lv-LV"/>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E358F" w14:textId="77777777" w:rsidR="000002A9" w:rsidRPr="00AB7E1B" w:rsidRDefault="000002A9" w:rsidP="00E032B3">
            <w:pPr>
              <w:jc w:val="center"/>
              <w:rPr>
                <w:sz w:val="24"/>
                <w:szCs w:val="24"/>
                <w:lang w:val="lv-LV"/>
              </w:rPr>
            </w:pPr>
            <w:r w:rsidRPr="00AB7E1B">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59759C" w14:textId="77777777" w:rsidR="000002A9" w:rsidRPr="00AB7E1B" w:rsidRDefault="000002A9" w:rsidP="00E032B3">
            <w:pPr>
              <w:jc w:val="center"/>
              <w:rPr>
                <w:sz w:val="24"/>
                <w:szCs w:val="24"/>
                <w:lang w:val="lv-LV"/>
              </w:rPr>
            </w:pPr>
            <w:r w:rsidRPr="00AB7E1B">
              <w:rPr>
                <w:sz w:val="24"/>
                <w:szCs w:val="24"/>
                <w:lang w:val="lv-LV"/>
              </w:rPr>
              <w:t>0</w:t>
            </w:r>
          </w:p>
        </w:tc>
      </w:tr>
      <w:tr w:rsidR="000002A9" w:rsidRPr="00AB7E1B" w14:paraId="2FCB221E"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6A3177" w14:textId="77777777" w:rsidR="000002A9" w:rsidRPr="00AB7E1B" w:rsidRDefault="000002A9" w:rsidP="00E032B3">
            <w:pPr>
              <w:rPr>
                <w:sz w:val="24"/>
                <w:szCs w:val="24"/>
                <w:lang w:val="lv-LV"/>
              </w:rPr>
            </w:pPr>
            <w:r w:rsidRPr="00AB7E1B">
              <w:rPr>
                <w:sz w:val="24"/>
                <w:szCs w:val="24"/>
                <w:lang w:val="lv-LV"/>
              </w:rPr>
              <w:t>5.3. pašvaldību budžets</w:t>
            </w:r>
          </w:p>
        </w:tc>
        <w:tc>
          <w:tcPr>
            <w:tcW w:w="1254" w:type="dxa"/>
            <w:vMerge/>
            <w:vAlign w:val="center"/>
            <w:hideMark/>
          </w:tcPr>
          <w:p w14:paraId="1FF883A4" w14:textId="77777777" w:rsidR="000002A9" w:rsidRPr="00AB7E1B" w:rsidRDefault="000002A9" w:rsidP="00E032B3">
            <w:pPr>
              <w:jc w:val="center"/>
              <w:rPr>
                <w:sz w:val="24"/>
                <w:szCs w:val="24"/>
                <w:lang w:val="lv-LV"/>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EE327" w14:textId="77777777" w:rsidR="000002A9" w:rsidRPr="00AB7E1B" w:rsidRDefault="000002A9" w:rsidP="00E032B3">
            <w:pPr>
              <w:jc w:val="center"/>
              <w:rPr>
                <w:sz w:val="24"/>
                <w:szCs w:val="24"/>
                <w:lang w:val="lv-LV"/>
              </w:rPr>
            </w:pPr>
            <w:r w:rsidRPr="00AB7E1B">
              <w:rPr>
                <w:sz w:val="24"/>
                <w:szCs w:val="24"/>
                <w:lang w:val="lv-LV"/>
              </w:rPr>
              <w:t>0</w:t>
            </w:r>
          </w:p>
        </w:tc>
        <w:tc>
          <w:tcPr>
            <w:tcW w:w="892" w:type="dxa"/>
            <w:vMerge/>
            <w:vAlign w:val="center"/>
            <w:hideMark/>
          </w:tcPr>
          <w:p w14:paraId="50BD07F7" w14:textId="77777777" w:rsidR="000002A9" w:rsidRPr="00AB7E1B" w:rsidRDefault="000002A9" w:rsidP="00E032B3">
            <w:pPr>
              <w:jc w:val="center"/>
              <w:rPr>
                <w:sz w:val="24"/>
                <w:szCs w:val="24"/>
                <w:lang w:val="lv-LV"/>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75C6D" w14:textId="77777777" w:rsidR="000002A9" w:rsidRPr="00AB7E1B" w:rsidRDefault="000002A9" w:rsidP="00E032B3">
            <w:pPr>
              <w:jc w:val="center"/>
              <w:rPr>
                <w:sz w:val="24"/>
                <w:szCs w:val="24"/>
                <w:lang w:val="lv-LV"/>
              </w:rPr>
            </w:pPr>
            <w:r w:rsidRPr="00AB7E1B">
              <w:rPr>
                <w:sz w:val="24"/>
                <w:szCs w:val="24"/>
                <w:lang w:val="lv-LV"/>
              </w:rPr>
              <w:t>0</w:t>
            </w:r>
          </w:p>
        </w:tc>
        <w:tc>
          <w:tcPr>
            <w:tcW w:w="892" w:type="dxa"/>
            <w:vMerge/>
            <w:vAlign w:val="center"/>
            <w:hideMark/>
          </w:tcPr>
          <w:p w14:paraId="0CD1CFAA" w14:textId="77777777" w:rsidR="000002A9" w:rsidRPr="00AB7E1B" w:rsidRDefault="000002A9" w:rsidP="00E032B3">
            <w:pPr>
              <w:jc w:val="center"/>
              <w:rPr>
                <w:sz w:val="24"/>
                <w:szCs w:val="24"/>
                <w:lang w:val="lv-LV"/>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86F38" w14:textId="77777777" w:rsidR="000002A9" w:rsidRPr="00AB7E1B" w:rsidRDefault="000002A9" w:rsidP="00E032B3">
            <w:pPr>
              <w:jc w:val="center"/>
              <w:rPr>
                <w:sz w:val="24"/>
                <w:szCs w:val="24"/>
                <w:lang w:val="lv-LV"/>
              </w:rPr>
            </w:pPr>
            <w:r w:rsidRPr="00AB7E1B">
              <w:rPr>
                <w:sz w:val="24"/>
                <w:szCs w:val="24"/>
                <w:lang w:val="lv-LV"/>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F959B" w14:textId="77777777" w:rsidR="000002A9" w:rsidRPr="00AB7E1B" w:rsidRDefault="000002A9" w:rsidP="00E032B3">
            <w:pPr>
              <w:jc w:val="center"/>
              <w:rPr>
                <w:sz w:val="24"/>
                <w:szCs w:val="24"/>
                <w:lang w:val="lv-LV"/>
              </w:rPr>
            </w:pPr>
            <w:r w:rsidRPr="00AB7E1B">
              <w:rPr>
                <w:sz w:val="24"/>
                <w:szCs w:val="24"/>
                <w:lang w:val="lv-LV"/>
              </w:rPr>
              <w:t>0</w:t>
            </w:r>
          </w:p>
        </w:tc>
      </w:tr>
      <w:tr w:rsidR="000002A9" w:rsidRPr="00993107" w14:paraId="1BC74D00"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977"/>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E8A554" w14:textId="77777777" w:rsidR="000002A9" w:rsidRPr="00EC65E2" w:rsidRDefault="000002A9" w:rsidP="00E032B3">
            <w:pPr>
              <w:rPr>
                <w:sz w:val="24"/>
                <w:szCs w:val="24"/>
                <w:lang w:val="lv-LV"/>
              </w:rPr>
            </w:pPr>
            <w:r w:rsidRPr="00EC65E2">
              <w:rPr>
                <w:sz w:val="24"/>
                <w:szCs w:val="24"/>
                <w:lang w:val="lv-LV"/>
              </w:rPr>
              <w:lastRenderedPageBreak/>
              <w:t>6. Detalizēts ieņēmumu un izdevumu aprēķins (ja nepieciešams, detalizētu ieņēmumu un izdevumu aprēķinu var pievienot anotācijas pielikumā)</w:t>
            </w:r>
          </w:p>
        </w:tc>
        <w:tc>
          <w:tcPr>
            <w:tcW w:w="744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3C84A1" w14:textId="77777777" w:rsidR="00AB7E1B" w:rsidRPr="00AB7E1B" w:rsidRDefault="00AB7E1B" w:rsidP="00E032B3">
            <w:pPr>
              <w:jc w:val="both"/>
              <w:rPr>
                <w:rFonts w:eastAsia="Times New Roman"/>
                <w:sz w:val="24"/>
                <w:szCs w:val="24"/>
                <w:lang w:val="lv-LV" w:eastAsia="lv-LV"/>
              </w:rPr>
            </w:pPr>
          </w:p>
          <w:p w14:paraId="5E1B457B" w14:textId="4DF0E772" w:rsidR="000002A9" w:rsidRPr="00AB7E1B" w:rsidRDefault="00AB7E1B" w:rsidP="00E032B3">
            <w:pPr>
              <w:jc w:val="both"/>
              <w:rPr>
                <w:rFonts w:eastAsia="Times New Roman"/>
                <w:sz w:val="24"/>
                <w:szCs w:val="24"/>
                <w:lang w:val="lv-LV" w:eastAsia="lv-LV"/>
              </w:rPr>
            </w:pPr>
            <w:r>
              <w:rPr>
                <w:rFonts w:eastAsia="Times New Roman"/>
                <w:sz w:val="24"/>
                <w:szCs w:val="24"/>
                <w:lang w:val="lv-LV" w:eastAsia="lv-LV"/>
              </w:rPr>
              <w:t>Programmas finansējums tiks ieguldīts kapitāla fonda kapitālā, lai finansētu pārvaldnieka pārvaldības izmaksas, veiktu ieguldījumus komersantos un finansētu kredītrisku izdevumus (</w:t>
            </w:r>
            <w:r w:rsidR="00CD1C24" w:rsidRPr="00AB7E1B">
              <w:rPr>
                <w:rFonts w:eastAsia="Times New Roman"/>
                <w:sz w:val="24"/>
                <w:szCs w:val="24"/>
                <w:lang w:val="lv-LV" w:eastAsia="lv-LV"/>
              </w:rPr>
              <w:t>ieguldījumu vērtības samazinājum</w:t>
            </w:r>
            <w:r w:rsidR="00EC65E2">
              <w:rPr>
                <w:rFonts w:eastAsia="Times New Roman"/>
                <w:sz w:val="24"/>
                <w:szCs w:val="24"/>
                <w:lang w:val="lv-LV" w:eastAsia="lv-LV"/>
              </w:rPr>
              <w:t>u</w:t>
            </w:r>
            <w:r w:rsidR="00CD1C24" w:rsidRPr="00AB7E1B">
              <w:rPr>
                <w:rFonts w:eastAsia="Times New Roman"/>
                <w:sz w:val="24"/>
                <w:szCs w:val="24"/>
                <w:lang w:val="lv-LV" w:eastAsia="lv-LV"/>
              </w:rPr>
              <w:t xml:space="preserve"> vērtēšanas vai pārvērtēšanas rezultātā</w:t>
            </w:r>
            <w:r>
              <w:rPr>
                <w:rFonts w:eastAsia="Times New Roman"/>
                <w:sz w:val="24"/>
                <w:szCs w:val="24"/>
                <w:lang w:val="lv-LV" w:eastAsia="lv-LV"/>
              </w:rPr>
              <w:t>)</w:t>
            </w:r>
            <w:r w:rsidR="00F4004A" w:rsidRPr="00AB7E1B">
              <w:rPr>
                <w:rFonts w:eastAsia="Times New Roman"/>
                <w:sz w:val="24"/>
                <w:szCs w:val="24"/>
                <w:lang w:val="lv-LV" w:eastAsia="lv-LV"/>
              </w:rPr>
              <w:t>.</w:t>
            </w:r>
          </w:p>
          <w:p w14:paraId="574561D7" w14:textId="77777777" w:rsidR="000002A9" w:rsidRPr="00AB7E1B" w:rsidRDefault="000002A9" w:rsidP="00E032B3">
            <w:pPr>
              <w:jc w:val="center"/>
              <w:rPr>
                <w:sz w:val="24"/>
                <w:szCs w:val="24"/>
                <w:lang w:val="lv-LV"/>
              </w:rPr>
            </w:pPr>
          </w:p>
        </w:tc>
      </w:tr>
      <w:tr w:rsidR="000002A9" w:rsidRPr="00AB7E1B" w14:paraId="2A74B10E"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E1AEF3" w14:textId="77777777" w:rsidR="000002A9" w:rsidRPr="00EC65E2" w:rsidRDefault="000002A9" w:rsidP="00E032B3">
            <w:pPr>
              <w:rPr>
                <w:sz w:val="24"/>
                <w:szCs w:val="24"/>
                <w:lang w:val="lv-LV"/>
              </w:rPr>
            </w:pPr>
            <w:r w:rsidRPr="00EC65E2">
              <w:rPr>
                <w:sz w:val="24"/>
                <w:szCs w:val="24"/>
                <w:lang w:val="lv-LV"/>
              </w:rPr>
              <w:t>6.1. detalizēts ieņēmumu aprēķins</w:t>
            </w:r>
          </w:p>
        </w:tc>
        <w:tc>
          <w:tcPr>
            <w:tcW w:w="7441" w:type="dxa"/>
            <w:gridSpan w:val="8"/>
            <w:vMerge/>
            <w:vAlign w:val="center"/>
            <w:hideMark/>
          </w:tcPr>
          <w:p w14:paraId="380171BA" w14:textId="77777777" w:rsidR="000002A9" w:rsidRPr="00AB7E1B" w:rsidRDefault="000002A9" w:rsidP="00E032B3">
            <w:pPr>
              <w:jc w:val="center"/>
              <w:rPr>
                <w:sz w:val="24"/>
                <w:szCs w:val="24"/>
              </w:rPr>
            </w:pPr>
          </w:p>
        </w:tc>
      </w:tr>
      <w:tr w:rsidR="000002A9" w:rsidRPr="00AB7E1B" w14:paraId="2E0CD9DD"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B940AC" w14:textId="77777777" w:rsidR="000002A9" w:rsidRPr="00EC65E2" w:rsidRDefault="000002A9" w:rsidP="00E032B3">
            <w:pPr>
              <w:rPr>
                <w:sz w:val="24"/>
                <w:szCs w:val="24"/>
                <w:lang w:val="lv-LV"/>
              </w:rPr>
            </w:pPr>
            <w:r w:rsidRPr="00EC65E2">
              <w:rPr>
                <w:sz w:val="24"/>
                <w:szCs w:val="24"/>
                <w:lang w:val="lv-LV"/>
              </w:rPr>
              <w:t>6.2. detalizēts izdevumu aprēķins</w:t>
            </w:r>
          </w:p>
        </w:tc>
        <w:tc>
          <w:tcPr>
            <w:tcW w:w="7441" w:type="dxa"/>
            <w:gridSpan w:val="8"/>
            <w:vMerge/>
            <w:vAlign w:val="center"/>
            <w:hideMark/>
          </w:tcPr>
          <w:p w14:paraId="32F2F77A" w14:textId="77777777" w:rsidR="000002A9" w:rsidRPr="00AB7E1B" w:rsidRDefault="000002A9" w:rsidP="00E032B3">
            <w:pPr>
              <w:jc w:val="center"/>
              <w:rPr>
                <w:sz w:val="24"/>
                <w:szCs w:val="24"/>
              </w:rPr>
            </w:pPr>
          </w:p>
        </w:tc>
      </w:tr>
      <w:tr w:rsidR="000002A9" w:rsidRPr="00AB7E1B" w14:paraId="53CB57EF"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0EC542" w14:textId="77777777" w:rsidR="000002A9" w:rsidRPr="00EC65E2" w:rsidRDefault="000002A9" w:rsidP="00E032B3">
            <w:pPr>
              <w:rPr>
                <w:sz w:val="24"/>
                <w:szCs w:val="24"/>
                <w:lang w:val="lv-LV"/>
              </w:rPr>
            </w:pPr>
            <w:r w:rsidRPr="00EC65E2">
              <w:rPr>
                <w:sz w:val="24"/>
                <w:szCs w:val="24"/>
                <w:lang w:val="lv-LV"/>
              </w:rPr>
              <w:t>7. Amata vietu skaita izmaiņas</w:t>
            </w:r>
          </w:p>
        </w:tc>
        <w:tc>
          <w:tcPr>
            <w:tcW w:w="74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57B243E0" w14:textId="77777777" w:rsidR="000002A9" w:rsidRPr="00AB7E1B" w:rsidRDefault="000002A9" w:rsidP="00E032B3">
            <w:pPr>
              <w:jc w:val="both"/>
              <w:rPr>
                <w:rFonts w:eastAsia="Times New Roman"/>
                <w:sz w:val="24"/>
                <w:szCs w:val="24"/>
                <w:lang w:val="lv-LV" w:eastAsia="lv-LV"/>
              </w:rPr>
            </w:pPr>
            <w:r w:rsidRPr="00AB7E1B">
              <w:rPr>
                <w:rFonts w:eastAsia="Times New Roman"/>
                <w:sz w:val="24"/>
                <w:szCs w:val="24"/>
                <w:lang w:val="lv-LV" w:eastAsia="lv-LV"/>
              </w:rPr>
              <w:t>Projekts šo jomu neskar.</w:t>
            </w:r>
          </w:p>
          <w:p w14:paraId="6CE2CC7A" w14:textId="77777777" w:rsidR="000002A9" w:rsidRPr="00AB7E1B" w:rsidRDefault="000002A9" w:rsidP="00E032B3">
            <w:pPr>
              <w:rPr>
                <w:sz w:val="24"/>
                <w:szCs w:val="24"/>
              </w:rPr>
            </w:pPr>
          </w:p>
        </w:tc>
      </w:tr>
      <w:tr w:rsidR="000002A9" w:rsidRPr="00993107" w14:paraId="6C52444E" w14:textId="77777777" w:rsidTr="000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F95027" w14:textId="77777777" w:rsidR="000002A9" w:rsidRPr="00EC65E2" w:rsidRDefault="000002A9" w:rsidP="00E032B3">
            <w:pPr>
              <w:rPr>
                <w:sz w:val="24"/>
                <w:szCs w:val="24"/>
                <w:lang w:val="lv-LV"/>
              </w:rPr>
            </w:pPr>
            <w:r w:rsidRPr="00EC65E2">
              <w:rPr>
                <w:sz w:val="24"/>
                <w:szCs w:val="24"/>
                <w:lang w:val="lv-LV"/>
              </w:rPr>
              <w:t>8. Cita informācija</w:t>
            </w:r>
          </w:p>
        </w:tc>
        <w:tc>
          <w:tcPr>
            <w:tcW w:w="7441" w:type="dxa"/>
            <w:gridSpan w:val="8"/>
            <w:tcBorders>
              <w:top w:val="single" w:sz="4" w:space="0" w:color="auto"/>
              <w:left w:val="single" w:sz="4" w:space="0" w:color="auto"/>
              <w:bottom w:val="single" w:sz="4" w:space="0" w:color="auto"/>
              <w:right w:val="single" w:sz="4" w:space="0" w:color="auto"/>
            </w:tcBorders>
            <w:shd w:val="clear" w:color="auto" w:fill="auto"/>
            <w:hideMark/>
          </w:tcPr>
          <w:p w14:paraId="6FD0BD8D" w14:textId="77777777" w:rsidR="00FA185E" w:rsidRPr="00E52F75" w:rsidRDefault="00FA185E" w:rsidP="00E52F75">
            <w:pPr>
              <w:jc w:val="both"/>
              <w:rPr>
                <w:rFonts w:eastAsia="Times New Roman"/>
                <w:sz w:val="24"/>
                <w:szCs w:val="24"/>
                <w:lang w:val="lv-LV" w:eastAsia="lv-LV"/>
              </w:rPr>
            </w:pPr>
            <w:r w:rsidRPr="00E52F75">
              <w:rPr>
                <w:sz w:val="24"/>
                <w:szCs w:val="24"/>
                <w:lang w:val="lv-LV"/>
              </w:rPr>
              <w:t xml:space="preserve">Alternatīvā ieguldījumu fonda finansēšanai nepieciešamais finansējums, kas nepārsniedz 50 000 000 </w:t>
            </w:r>
            <w:r w:rsidRPr="00E52F75">
              <w:rPr>
                <w:i/>
                <w:iCs/>
                <w:sz w:val="24"/>
                <w:szCs w:val="24"/>
                <w:lang w:val="lv-LV"/>
              </w:rPr>
              <w:t>euro</w:t>
            </w:r>
            <w:r w:rsidRPr="00E52F75">
              <w:rPr>
                <w:sz w:val="24"/>
                <w:szCs w:val="24"/>
                <w:lang w:val="lv-LV"/>
              </w:rPr>
              <w:t xml:space="preserve">, </w:t>
            </w:r>
            <w:r w:rsidRPr="00E52F75">
              <w:rPr>
                <w:rFonts w:eastAsia="Times New Roman"/>
                <w:sz w:val="24"/>
                <w:szCs w:val="24"/>
                <w:lang w:val="lv-LV" w:eastAsia="lv-LV"/>
              </w:rPr>
              <w:t xml:space="preserve">tiks nodrošināts no 74.resora „Gadskārtējā valsts budžeta izpildes procesā pārdalāmais finansējums” programmas 02.00.00 „Līdzekļi neparedzētiem gadījumiem”. </w:t>
            </w:r>
          </w:p>
          <w:p w14:paraId="4652AA0B" w14:textId="647D34E6" w:rsidR="000002A9" w:rsidRPr="002E58F1" w:rsidRDefault="00FA185E" w:rsidP="00E52F75">
            <w:pPr>
              <w:jc w:val="both"/>
              <w:rPr>
                <w:sz w:val="24"/>
                <w:szCs w:val="24"/>
                <w:lang w:val="lv-LV"/>
              </w:rPr>
            </w:pPr>
            <w:r w:rsidRPr="00E52F75">
              <w:rPr>
                <w:bCs/>
                <w:sz w:val="24"/>
                <w:szCs w:val="24"/>
                <w:lang w:val="lv-LV"/>
              </w:rPr>
              <w:t xml:space="preserve">Tiks sagatavots Ministru kabineta rīkojuma projektu “Par rezerves kapitāla palielināšanu”, kas paredzēs finanšu līdzekļu piešķiršanu no programmas 02.00.00 „Līdzekļi neparedzētiem gadījumiem” un  ieskaitīšanu akciju sabiedrības "Attīstības finanšu institūcija </w:t>
            </w:r>
            <w:proofErr w:type="spellStart"/>
            <w:r w:rsidRPr="00E52F75">
              <w:rPr>
                <w:bCs/>
                <w:sz w:val="24"/>
                <w:szCs w:val="24"/>
                <w:lang w:val="lv-LV"/>
              </w:rPr>
              <w:t>Altum</w:t>
            </w:r>
            <w:proofErr w:type="spellEnd"/>
            <w:r w:rsidRPr="00E52F75">
              <w:rPr>
                <w:bCs/>
                <w:sz w:val="24"/>
                <w:szCs w:val="24"/>
                <w:lang w:val="lv-LV"/>
              </w:rPr>
              <w:t>" rezerves kapitālā.</w:t>
            </w:r>
          </w:p>
        </w:tc>
      </w:tr>
    </w:tbl>
    <w:p w14:paraId="33ADEB69" w14:textId="12341B1E" w:rsidR="0064766F" w:rsidRDefault="0064766F" w:rsidP="0064766F">
      <w:pPr>
        <w:contextualSpacing/>
        <w:rPr>
          <w:rFonts w:eastAsia="Times New Roman"/>
          <w:sz w:val="24"/>
          <w:szCs w:val="24"/>
          <w:lang w:val="lv-LV"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8A0283" w:rsidRPr="00993107" w14:paraId="78FB2770" w14:textId="77777777" w:rsidTr="008A028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B57F912" w14:textId="77777777" w:rsidR="008A0283" w:rsidRPr="008A0283" w:rsidRDefault="008A0283" w:rsidP="004C3ED7">
            <w:pPr>
              <w:rPr>
                <w:rFonts w:eastAsia="Times New Roman"/>
                <w:b/>
                <w:bCs/>
                <w:iCs/>
                <w:sz w:val="24"/>
                <w:szCs w:val="24"/>
                <w:lang w:val="lv-LV" w:eastAsia="lv-LV"/>
              </w:rPr>
            </w:pPr>
            <w:r w:rsidRPr="00372B8E">
              <w:rPr>
                <w:rFonts w:eastAsia="Times New Roman"/>
                <w:b/>
                <w:bCs/>
                <w:iCs/>
                <w:sz w:val="24"/>
                <w:szCs w:val="24"/>
                <w:lang w:val="lv-LV" w:eastAsia="lv-LV"/>
              </w:rPr>
              <w:t>IV. Tiesību akta projekta ietekme uz spēkā esošo tiesību normu sistēmu</w:t>
            </w:r>
          </w:p>
        </w:tc>
      </w:tr>
      <w:tr w:rsidR="008A0283" w:rsidRPr="006A0D78" w14:paraId="702C8F6E" w14:textId="77777777" w:rsidTr="008A028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624F649" w14:textId="77777777" w:rsidR="008A0283" w:rsidRPr="00372B8E" w:rsidRDefault="008A0283" w:rsidP="004C3ED7">
            <w:pPr>
              <w:rPr>
                <w:rFonts w:eastAsia="Times New Roman"/>
                <w:iCs/>
                <w:sz w:val="24"/>
                <w:szCs w:val="24"/>
                <w:lang w:eastAsia="lv-LV"/>
              </w:rPr>
            </w:pPr>
            <w:r w:rsidRPr="00372B8E">
              <w:rPr>
                <w:sz w:val="24"/>
                <w:szCs w:val="24"/>
              </w:rPr>
              <w:t>1.</w:t>
            </w:r>
          </w:p>
        </w:tc>
        <w:tc>
          <w:tcPr>
            <w:tcW w:w="1639" w:type="pct"/>
            <w:tcBorders>
              <w:top w:val="outset" w:sz="6" w:space="0" w:color="auto"/>
              <w:left w:val="outset" w:sz="6" w:space="0" w:color="auto"/>
              <w:bottom w:val="outset" w:sz="6" w:space="0" w:color="auto"/>
              <w:right w:val="outset" w:sz="6" w:space="0" w:color="auto"/>
            </w:tcBorders>
            <w:hideMark/>
          </w:tcPr>
          <w:p w14:paraId="63093F6F" w14:textId="77777777" w:rsidR="008A0283" w:rsidRPr="00372B8E" w:rsidRDefault="008A0283" w:rsidP="004C3ED7">
            <w:pPr>
              <w:rPr>
                <w:rFonts w:eastAsia="Times New Roman"/>
                <w:iCs/>
                <w:sz w:val="24"/>
                <w:szCs w:val="24"/>
                <w:lang w:eastAsia="lv-LV"/>
              </w:rPr>
            </w:pPr>
            <w:proofErr w:type="spellStart"/>
            <w:r w:rsidRPr="00372B8E">
              <w:rPr>
                <w:sz w:val="24"/>
                <w:szCs w:val="24"/>
              </w:rPr>
              <w:t>Saistītie</w:t>
            </w:r>
            <w:proofErr w:type="spellEnd"/>
            <w:r w:rsidRPr="00372B8E">
              <w:rPr>
                <w:sz w:val="24"/>
                <w:szCs w:val="24"/>
              </w:rPr>
              <w:t xml:space="preserve"> </w:t>
            </w:r>
            <w:proofErr w:type="spellStart"/>
            <w:r w:rsidRPr="00372B8E">
              <w:rPr>
                <w:sz w:val="24"/>
                <w:szCs w:val="24"/>
              </w:rPr>
              <w:t>tiesību</w:t>
            </w:r>
            <w:proofErr w:type="spellEnd"/>
            <w:r w:rsidRPr="00372B8E">
              <w:rPr>
                <w:sz w:val="24"/>
                <w:szCs w:val="24"/>
              </w:rPr>
              <w:t xml:space="preserve"> </w:t>
            </w:r>
            <w:proofErr w:type="spellStart"/>
            <w:r w:rsidRPr="00372B8E">
              <w:rPr>
                <w:sz w:val="24"/>
                <w:szCs w:val="24"/>
              </w:rPr>
              <w:t>aktu</w:t>
            </w:r>
            <w:proofErr w:type="spellEnd"/>
            <w:r w:rsidRPr="00372B8E">
              <w:rPr>
                <w:sz w:val="24"/>
                <w:szCs w:val="24"/>
              </w:rPr>
              <w:t xml:space="preserve"> projekti</w:t>
            </w:r>
          </w:p>
        </w:tc>
        <w:tc>
          <w:tcPr>
            <w:tcW w:w="3006" w:type="pct"/>
            <w:tcBorders>
              <w:top w:val="outset" w:sz="6" w:space="0" w:color="auto"/>
              <w:left w:val="outset" w:sz="6" w:space="0" w:color="auto"/>
              <w:bottom w:val="outset" w:sz="6" w:space="0" w:color="auto"/>
              <w:right w:val="outset" w:sz="6" w:space="0" w:color="auto"/>
            </w:tcBorders>
            <w:hideMark/>
          </w:tcPr>
          <w:p w14:paraId="74D37B42" w14:textId="7296F001" w:rsidR="008A0283" w:rsidRPr="00372B8E" w:rsidRDefault="008A0283" w:rsidP="008A0283">
            <w:pPr>
              <w:ind w:left="57" w:right="60"/>
              <w:jc w:val="both"/>
              <w:rPr>
                <w:rFonts w:eastAsia="Times New Roman"/>
                <w:sz w:val="24"/>
                <w:szCs w:val="24"/>
                <w:lang w:eastAsia="lv-LV"/>
              </w:rPr>
            </w:pPr>
            <w:proofErr w:type="spellStart"/>
            <w:r w:rsidRPr="008A0283">
              <w:rPr>
                <w:sz w:val="24"/>
                <w:szCs w:val="24"/>
              </w:rPr>
              <w:t>Līdz</w:t>
            </w:r>
            <w:proofErr w:type="spellEnd"/>
            <w:r w:rsidRPr="008A0283">
              <w:rPr>
                <w:sz w:val="24"/>
                <w:szCs w:val="24"/>
              </w:rPr>
              <w:t xml:space="preserve"> </w:t>
            </w:r>
            <w:proofErr w:type="spellStart"/>
            <w:r w:rsidRPr="008A0283">
              <w:rPr>
                <w:sz w:val="24"/>
                <w:szCs w:val="24"/>
              </w:rPr>
              <w:t>ar</w:t>
            </w:r>
            <w:proofErr w:type="spellEnd"/>
            <w:r w:rsidRPr="008A0283">
              <w:rPr>
                <w:sz w:val="24"/>
                <w:szCs w:val="24"/>
              </w:rPr>
              <w:t xml:space="preserve"> </w:t>
            </w:r>
            <w:proofErr w:type="spellStart"/>
            <w:r w:rsidRPr="008A0283">
              <w:rPr>
                <w:sz w:val="24"/>
                <w:szCs w:val="24"/>
              </w:rPr>
              <w:t>Noteikumu</w:t>
            </w:r>
            <w:proofErr w:type="spellEnd"/>
            <w:r w:rsidRPr="008A0283">
              <w:rPr>
                <w:sz w:val="24"/>
                <w:szCs w:val="24"/>
              </w:rPr>
              <w:t xml:space="preserve"> </w:t>
            </w:r>
            <w:proofErr w:type="spellStart"/>
            <w:r w:rsidRPr="008A0283">
              <w:rPr>
                <w:sz w:val="24"/>
                <w:szCs w:val="24"/>
              </w:rPr>
              <w:t>projektu</w:t>
            </w:r>
            <w:proofErr w:type="spellEnd"/>
            <w:r w:rsidRPr="008A0283">
              <w:rPr>
                <w:sz w:val="24"/>
                <w:szCs w:val="24"/>
              </w:rPr>
              <w:t xml:space="preserve"> </w:t>
            </w:r>
            <w:proofErr w:type="spellStart"/>
            <w:r w:rsidRPr="008A0283">
              <w:rPr>
                <w:sz w:val="24"/>
                <w:szCs w:val="24"/>
              </w:rPr>
              <w:t>Ministru</w:t>
            </w:r>
            <w:proofErr w:type="spellEnd"/>
            <w:r w:rsidRPr="008A0283">
              <w:rPr>
                <w:sz w:val="24"/>
                <w:szCs w:val="24"/>
              </w:rPr>
              <w:t xml:space="preserve"> </w:t>
            </w:r>
            <w:proofErr w:type="spellStart"/>
            <w:r w:rsidRPr="008A0283">
              <w:rPr>
                <w:sz w:val="24"/>
                <w:szCs w:val="24"/>
              </w:rPr>
              <w:t>kabinetā</w:t>
            </w:r>
            <w:proofErr w:type="spellEnd"/>
            <w:r w:rsidRPr="008A0283">
              <w:rPr>
                <w:sz w:val="24"/>
                <w:szCs w:val="24"/>
              </w:rPr>
              <w:t xml:space="preserve"> </w:t>
            </w:r>
            <w:proofErr w:type="spellStart"/>
            <w:r w:rsidRPr="008A0283">
              <w:rPr>
                <w:sz w:val="24"/>
                <w:szCs w:val="24"/>
              </w:rPr>
              <w:t>tiek</w:t>
            </w:r>
            <w:proofErr w:type="spellEnd"/>
            <w:r w:rsidRPr="008A0283">
              <w:rPr>
                <w:sz w:val="24"/>
                <w:szCs w:val="24"/>
              </w:rPr>
              <w:t xml:space="preserve"> </w:t>
            </w:r>
            <w:proofErr w:type="spellStart"/>
            <w:r w:rsidRPr="008A0283">
              <w:rPr>
                <w:sz w:val="24"/>
                <w:szCs w:val="24"/>
              </w:rPr>
              <w:t>iesniegts</w:t>
            </w:r>
            <w:proofErr w:type="spellEnd"/>
            <w:r w:rsidRPr="008A0283">
              <w:rPr>
                <w:sz w:val="24"/>
                <w:szCs w:val="24"/>
              </w:rPr>
              <w:t xml:space="preserve"> </w:t>
            </w:r>
            <w:proofErr w:type="spellStart"/>
            <w:r w:rsidRPr="008A0283">
              <w:rPr>
                <w:sz w:val="24"/>
                <w:szCs w:val="24"/>
              </w:rPr>
              <w:t>Ministru</w:t>
            </w:r>
            <w:proofErr w:type="spellEnd"/>
            <w:r w:rsidRPr="008A0283">
              <w:rPr>
                <w:sz w:val="24"/>
                <w:szCs w:val="24"/>
              </w:rPr>
              <w:t xml:space="preserve"> </w:t>
            </w:r>
            <w:proofErr w:type="spellStart"/>
            <w:r w:rsidRPr="008A0283">
              <w:rPr>
                <w:sz w:val="24"/>
                <w:szCs w:val="24"/>
              </w:rPr>
              <w:t>kabineta</w:t>
            </w:r>
            <w:proofErr w:type="spellEnd"/>
            <w:r w:rsidRPr="008A0283">
              <w:rPr>
                <w:sz w:val="24"/>
                <w:szCs w:val="24"/>
              </w:rPr>
              <w:t xml:space="preserve"> </w:t>
            </w:r>
            <w:proofErr w:type="spellStart"/>
            <w:r w:rsidRPr="008A0283">
              <w:rPr>
                <w:sz w:val="24"/>
                <w:szCs w:val="24"/>
              </w:rPr>
              <w:t>rīkojuma</w:t>
            </w:r>
            <w:proofErr w:type="spellEnd"/>
            <w:r w:rsidRPr="008A0283">
              <w:rPr>
                <w:sz w:val="24"/>
                <w:szCs w:val="24"/>
              </w:rPr>
              <w:t xml:space="preserve"> </w:t>
            </w:r>
            <w:proofErr w:type="spellStart"/>
            <w:r w:rsidRPr="008A0283">
              <w:rPr>
                <w:sz w:val="24"/>
                <w:szCs w:val="24"/>
              </w:rPr>
              <w:t>projekts</w:t>
            </w:r>
            <w:proofErr w:type="spellEnd"/>
            <w:r w:rsidRPr="008A0283">
              <w:rPr>
                <w:sz w:val="24"/>
                <w:szCs w:val="24"/>
              </w:rPr>
              <w:t xml:space="preserve"> “Par </w:t>
            </w:r>
            <w:proofErr w:type="spellStart"/>
            <w:r w:rsidRPr="008A0283">
              <w:rPr>
                <w:sz w:val="24"/>
                <w:szCs w:val="24"/>
              </w:rPr>
              <w:t>rezerves</w:t>
            </w:r>
            <w:proofErr w:type="spellEnd"/>
            <w:r w:rsidRPr="008A0283">
              <w:rPr>
                <w:sz w:val="24"/>
                <w:szCs w:val="24"/>
              </w:rPr>
              <w:t xml:space="preserve"> </w:t>
            </w:r>
            <w:proofErr w:type="spellStart"/>
            <w:r w:rsidRPr="008A0283">
              <w:rPr>
                <w:sz w:val="24"/>
                <w:szCs w:val="24"/>
              </w:rPr>
              <w:t>kapitāla</w:t>
            </w:r>
            <w:proofErr w:type="spellEnd"/>
            <w:r w:rsidRPr="008A0283">
              <w:rPr>
                <w:sz w:val="24"/>
                <w:szCs w:val="24"/>
              </w:rPr>
              <w:t xml:space="preserve"> </w:t>
            </w:r>
            <w:proofErr w:type="spellStart"/>
            <w:r w:rsidRPr="008A0283">
              <w:rPr>
                <w:sz w:val="24"/>
                <w:szCs w:val="24"/>
              </w:rPr>
              <w:t>palielināšanu</w:t>
            </w:r>
            <w:proofErr w:type="spellEnd"/>
            <w:r w:rsidRPr="008A0283">
              <w:rPr>
                <w:sz w:val="24"/>
                <w:szCs w:val="24"/>
              </w:rPr>
              <w:t>”</w:t>
            </w:r>
          </w:p>
        </w:tc>
      </w:tr>
      <w:tr w:rsidR="008A0283" w:rsidRPr="006A0D78" w14:paraId="16DB82D8" w14:textId="77777777" w:rsidTr="008A028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88763EC" w14:textId="77777777" w:rsidR="008A0283" w:rsidRPr="00372B8E" w:rsidRDefault="008A0283" w:rsidP="004C3ED7">
            <w:pPr>
              <w:rPr>
                <w:rFonts w:eastAsia="Times New Roman"/>
                <w:iCs/>
                <w:sz w:val="24"/>
                <w:szCs w:val="24"/>
                <w:lang w:eastAsia="lv-LV"/>
              </w:rPr>
            </w:pPr>
            <w:r w:rsidRPr="00372B8E">
              <w:rPr>
                <w:sz w:val="24"/>
                <w:szCs w:val="24"/>
              </w:rPr>
              <w:t>2.</w:t>
            </w:r>
          </w:p>
        </w:tc>
        <w:tc>
          <w:tcPr>
            <w:tcW w:w="1639" w:type="pct"/>
            <w:tcBorders>
              <w:top w:val="outset" w:sz="6" w:space="0" w:color="auto"/>
              <w:left w:val="outset" w:sz="6" w:space="0" w:color="auto"/>
              <w:bottom w:val="outset" w:sz="6" w:space="0" w:color="auto"/>
              <w:right w:val="outset" w:sz="6" w:space="0" w:color="auto"/>
            </w:tcBorders>
            <w:hideMark/>
          </w:tcPr>
          <w:p w14:paraId="7D114366" w14:textId="77777777" w:rsidR="008A0283" w:rsidRPr="00372B8E" w:rsidRDefault="008A0283" w:rsidP="004C3ED7">
            <w:pPr>
              <w:rPr>
                <w:rFonts w:eastAsia="Times New Roman"/>
                <w:iCs/>
                <w:sz w:val="24"/>
                <w:szCs w:val="24"/>
                <w:lang w:eastAsia="lv-LV"/>
              </w:rPr>
            </w:pPr>
            <w:proofErr w:type="spellStart"/>
            <w:r w:rsidRPr="00372B8E">
              <w:rPr>
                <w:sz w:val="24"/>
                <w:szCs w:val="24"/>
              </w:rPr>
              <w:t>Atbildīgā</w:t>
            </w:r>
            <w:proofErr w:type="spellEnd"/>
            <w:r w:rsidRPr="00372B8E">
              <w:rPr>
                <w:sz w:val="24"/>
                <w:szCs w:val="24"/>
              </w:rPr>
              <w:t xml:space="preserve"> </w:t>
            </w:r>
            <w:proofErr w:type="spellStart"/>
            <w:r w:rsidRPr="00372B8E">
              <w:rPr>
                <w:sz w:val="24"/>
                <w:szCs w:val="24"/>
              </w:rPr>
              <w:t>institūcija</w:t>
            </w:r>
            <w:proofErr w:type="spellEnd"/>
          </w:p>
        </w:tc>
        <w:tc>
          <w:tcPr>
            <w:tcW w:w="3006" w:type="pct"/>
            <w:tcBorders>
              <w:top w:val="outset" w:sz="6" w:space="0" w:color="auto"/>
              <w:left w:val="outset" w:sz="6" w:space="0" w:color="auto"/>
              <w:bottom w:val="outset" w:sz="6" w:space="0" w:color="auto"/>
              <w:right w:val="outset" w:sz="6" w:space="0" w:color="auto"/>
            </w:tcBorders>
            <w:hideMark/>
          </w:tcPr>
          <w:p w14:paraId="1A53AB33" w14:textId="77777777" w:rsidR="008A0283" w:rsidRPr="00372B8E" w:rsidRDefault="008A0283" w:rsidP="004C3ED7">
            <w:pPr>
              <w:ind w:left="57" w:right="60"/>
              <w:jc w:val="both"/>
              <w:rPr>
                <w:rFonts w:eastAsia="Times New Roman"/>
                <w:sz w:val="24"/>
                <w:szCs w:val="24"/>
                <w:lang w:eastAsia="lv-LV"/>
              </w:rPr>
            </w:pPr>
            <w:proofErr w:type="spellStart"/>
            <w:r w:rsidRPr="00372B8E">
              <w:rPr>
                <w:sz w:val="24"/>
                <w:szCs w:val="24"/>
              </w:rPr>
              <w:t>Ekonomikas</w:t>
            </w:r>
            <w:proofErr w:type="spellEnd"/>
            <w:r w:rsidRPr="00372B8E">
              <w:rPr>
                <w:sz w:val="24"/>
                <w:szCs w:val="24"/>
              </w:rPr>
              <w:t xml:space="preserve"> </w:t>
            </w:r>
            <w:proofErr w:type="spellStart"/>
            <w:r w:rsidRPr="00372B8E">
              <w:rPr>
                <w:sz w:val="24"/>
                <w:szCs w:val="24"/>
              </w:rPr>
              <w:t>ministrija</w:t>
            </w:r>
            <w:proofErr w:type="spellEnd"/>
          </w:p>
        </w:tc>
      </w:tr>
      <w:tr w:rsidR="008A0283" w:rsidRPr="006A0D78" w14:paraId="2649A9B0" w14:textId="77777777" w:rsidTr="008A028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E375E99" w14:textId="77777777" w:rsidR="008A0283" w:rsidRPr="00372B8E" w:rsidRDefault="008A0283" w:rsidP="004C3ED7">
            <w:pPr>
              <w:rPr>
                <w:rFonts w:eastAsia="Times New Roman"/>
                <w:iCs/>
                <w:sz w:val="24"/>
                <w:szCs w:val="24"/>
                <w:lang w:eastAsia="lv-LV"/>
              </w:rPr>
            </w:pPr>
            <w:r w:rsidRPr="00372B8E">
              <w:rPr>
                <w:sz w:val="24"/>
                <w:szCs w:val="24"/>
              </w:rPr>
              <w:t>3.</w:t>
            </w:r>
          </w:p>
        </w:tc>
        <w:tc>
          <w:tcPr>
            <w:tcW w:w="1639" w:type="pct"/>
            <w:tcBorders>
              <w:top w:val="outset" w:sz="6" w:space="0" w:color="auto"/>
              <w:left w:val="outset" w:sz="6" w:space="0" w:color="auto"/>
              <w:bottom w:val="outset" w:sz="6" w:space="0" w:color="auto"/>
              <w:right w:val="outset" w:sz="6" w:space="0" w:color="auto"/>
            </w:tcBorders>
            <w:hideMark/>
          </w:tcPr>
          <w:p w14:paraId="2D351463" w14:textId="77777777" w:rsidR="008A0283" w:rsidRPr="00372B8E" w:rsidRDefault="008A0283" w:rsidP="004C3ED7">
            <w:pPr>
              <w:rPr>
                <w:rFonts w:eastAsia="Times New Roman"/>
                <w:iCs/>
                <w:sz w:val="24"/>
                <w:szCs w:val="24"/>
                <w:lang w:eastAsia="lv-LV"/>
              </w:rPr>
            </w:pPr>
            <w:proofErr w:type="spellStart"/>
            <w:r w:rsidRPr="00372B8E">
              <w:rPr>
                <w:sz w:val="24"/>
                <w:szCs w:val="24"/>
              </w:rPr>
              <w:t>Cita</w:t>
            </w:r>
            <w:proofErr w:type="spellEnd"/>
            <w:r w:rsidRPr="00372B8E">
              <w:rPr>
                <w:sz w:val="24"/>
                <w:szCs w:val="24"/>
              </w:rPr>
              <w:t xml:space="preserve"> </w:t>
            </w:r>
            <w:proofErr w:type="spellStart"/>
            <w:r w:rsidRPr="00372B8E">
              <w:rPr>
                <w:sz w:val="24"/>
                <w:szCs w:val="24"/>
              </w:rPr>
              <w:t>informācija</w:t>
            </w:r>
            <w:proofErr w:type="spellEnd"/>
          </w:p>
        </w:tc>
        <w:tc>
          <w:tcPr>
            <w:tcW w:w="3006" w:type="pct"/>
            <w:tcBorders>
              <w:top w:val="outset" w:sz="6" w:space="0" w:color="auto"/>
              <w:left w:val="outset" w:sz="6" w:space="0" w:color="auto"/>
              <w:bottom w:val="outset" w:sz="6" w:space="0" w:color="auto"/>
              <w:right w:val="outset" w:sz="6" w:space="0" w:color="auto"/>
            </w:tcBorders>
            <w:hideMark/>
          </w:tcPr>
          <w:p w14:paraId="685BD6BB" w14:textId="77777777" w:rsidR="008A0283" w:rsidRPr="00372B8E" w:rsidRDefault="008A0283" w:rsidP="004C3ED7">
            <w:pPr>
              <w:jc w:val="both"/>
              <w:rPr>
                <w:rFonts w:eastAsia="Times New Roman"/>
                <w:iCs/>
                <w:sz w:val="24"/>
                <w:szCs w:val="24"/>
                <w:lang w:eastAsia="lv-LV"/>
              </w:rPr>
            </w:pPr>
            <w:r w:rsidRPr="00372B8E">
              <w:rPr>
                <w:sz w:val="24"/>
                <w:szCs w:val="24"/>
              </w:rPr>
              <w:t>Nav.</w:t>
            </w:r>
          </w:p>
        </w:tc>
      </w:tr>
    </w:tbl>
    <w:p w14:paraId="74010FAF" w14:textId="67C398D8" w:rsidR="008A0283" w:rsidRDefault="008A0283" w:rsidP="0064766F">
      <w:pPr>
        <w:contextualSpacing/>
        <w:rPr>
          <w:rFonts w:eastAsia="Times New Roman"/>
          <w:sz w:val="24"/>
          <w:szCs w:val="24"/>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64766F" w:rsidRPr="00AB7E1B" w14:paraId="22C0C16B" w14:textId="77777777" w:rsidTr="00E032B3">
        <w:tc>
          <w:tcPr>
            <w:tcW w:w="0" w:type="auto"/>
            <w:gridSpan w:val="3"/>
            <w:tcBorders>
              <w:top w:val="outset" w:sz="6" w:space="0" w:color="414142"/>
              <w:left w:val="outset" w:sz="6" w:space="0" w:color="414142"/>
              <w:bottom w:val="outset" w:sz="6" w:space="0" w:color="414142"/>
              <w:right w:val="outset" w:sz="6" w:space="0" w:color="414142"/>
            </w:tcBorders>
            <w:hideMark/>
          </w:tcPr>
          <w:p w14:paraId="73E491F8" w14:textId="77777777" w:rsidR="0064766F" w:rsidRPr="00AB7E1B" w:rsidRDefault="0064766F" w:rsidP="00E032B3">
            <w:pPr>
              <w:contextualSpacing/>
              <w:jc w:val="center"/>
              <w:rPr>
                <w:rFonts w:eastAsia="Times New Roman"/>
                <w:sz w:val="24"/>
                <w:szCs w:val="24"/>
                <w:lang w:val="lv-LV" w:eastAsia="lv-LV"/>
              </w:rPr>
            </w:pPr>
            <w:r w:rsidRPr="00AB7E1B">
              <w:rPr>
                <w:b/>
                <w:sz w:val="24"/>
                <w:szCs w:val="24"/>
                <w:lang w:val="lv-LV"/>
              </w:rPr>
              <w:t>V. Tiesību akta projekta atbilstība Latvijas Republikas starptautiskajām saistībām</w:t>
            </w:r>
          </w:p>
        </w:tc>
      </w:tr>
      <w:tr w:rsidR="0064766F" w:rsidRPr="00AB7E1B" w14:paraId="0ECCE47A" w14:textId="77777777" w:rsidTr="00E032B3">
        <w:tc>
          <w:tcPr>
            <w:tcW w:w="227" w:type="pct"/>
            <w:tcBorders>
              <w:top w:val="outset" w:sz="6" w:space="0" w:color="414142"/>
              <w:left w:val="outset" w:sz="6" w:space="0" w:color="414142"/>
              <w:bottom w:val="outset" w:sz="6" w:space="0" w:color="414142"/>
              <w:right w:val="outset" w:sz="6" w:space="0" w:color="414142"/>
            </w:tcBorders>
            <w:hideMark/>
          </w:tcPr>
          <w:p w14:paraId="57C8F61E" w14:textId="77777777" w:rsidR="0064766F" w:rsidRPr="00AB7E1B" w:rsidRDefault="0064766F" w:rsidP="00E032B3">
            <w:pPr>
              <w:contextualSpacing/>
              <w:rPr>
                <w:rFonts w:eastAsia="Times New Roman"/>
                <w:sz w:val="24"/>
                <w:szCs w:val="24"/>
                <w:lang w:val="lv-LV" w:eastAsia="lv-LV"/>
              </w:rPr>
            </w:pPr>
            <w:r w:rsidRPr="00AB7E1B">
              <w:rPr>
                <w:rFonts w:eastAsia="Times New Roman"/>
                <w:sz w:val="24"/>
                <w:szCs w:val="24"/>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5396CB58" w14:textId="77777777" w:rsidR="0064766F" w:rsidRPr="00AB7E1B" w:rsidRDefault="0064766F" w:rsidP="00E032B3">
            <w:pPr>
              <w:contextualSpacing/>
              <w:jc w:val="both"/>
              <w:rPr>
                <w:rFonts w:eastAsia="Times New Roman"/>
                <w:sz w:val="24"/>
                <w:szCs w:val="24"/>
                <w:lang w:val="lv-LV" w:eastAsia="lv-LV"/>
              </w:rPr>
            </w:pPr>
            <w:r w:rsidRPr="00AB7E1B">
              <w:rPr>
                <w:rFonts w:eastAsia="Times New Roman"/>
                <w:sz w:val="24"/>
                <w:szCs w:val="24"/>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BA39D0E" w14:textId="68C1BC81" w:rsidR="0064766F" w:rsidRPr="00AC72A7" w:rsidRDefault="00AC72A7" w:rsidP="00AC72A7">
            <w:pPr>
              <w:jc w:val="both"/>
              <w:rPr>
                <w:rFonts w:eastAsia="Times New Roman"/>
                <w:sz w:val="24"/>
                <w:szCs w:val="24"/>
                <w:lang w:val="lv-LV" w:eastAsia="lv-LV"/>
              </w:rPr>
            </w:pPr>
            <w:proofErr w:type="spellStart"/>
            <w:r w:rsidRPr="00E52F75">
              <w:rPr>
                <w:bCs/>
                <w:sz w:val="24"/>
                <w:szCs w:val="24"/>
              </w:rPr>
              <w:t>Atbalsta</w:t>
            </w:r>
            <w:proofErr w:type="spellEnd"/>
            <w:r w:rsidRPr="00E52F75">
              <w:rPr>
                <w:bCs/>
                <w:sz w:val="24"/>
                <w:szCs w:val="24"/>
              </w:rPr>
              <w:t xml:space="preserve"> </w:t>
            </w:r>
            <w:proofErr w:type="spellStart"/>
            <w:r w:rsidRPr="00E52F75">
              <w:rPr>
                <w:bCs/>
                <w:sz w:val="24"/>
                <w:szCs w:val="24"/>
              </w:rPr>
              <w:t>programma</w:t>
            </w:r>
            <w:proofErr w:type="spellEnd"/>
            <w:r w:rsidRPr="00E52F75">
              <w:rPr>
                <w:bCs/>
                <w:sz w:val="24"/>
                <w:szCs w:val="24"/>
              </w:rPr>
              <w:t xml:space="preserve"> </w:t>
            </w:r>
            <w:proofErr w:type="spellStart"/>
            <w:r w:rsidRPr="00E52F75">
              <w:rPr>
                <w:bCs/>
                <w:sz w:val="24"/>
                <w:szCs w:val="24"/>
              </w:rPr>
              <w:t>tiks</w:t>
            </w:r>
            <w:proofErr w:type="spellEnd"/>
            <w:r w:rsidRPr="00E52F75">
              <w:rPr>
                <w:bCs/>
                <w:sz w:val="24"/>
                <w:szCs w:val="24"/>
              </w:rPr>
              <w:t xml:space="preserve"> </w:t>
            </w:r>
            <w:proofErr w:type="spellStart"/>
            <w:r w:rsidRPr="00E52F75">
              <w:rPr>
                <w:bCs/>
                <w:sz w:val="24"/>
                <w:szCs w:val="24"/>
              </w:rPr>
              <w:t>saskaņota</w:t>
            </w:r>
            <w:proofErr w:type="spellEnd"/>
            <w:r w:rsidRPr="00E52F75">
              <w:rPr>
                <w:bCs/>
                <w:sz w:val="24"/>
                <w:szCs w:val="24"/>
              </w:rPr>
              <w:t xml:space="preserve"> </w:t>
            </w:r>
            <w:proofErr w:type="spellStart"/>
            <w:r w:rsidRPr="00E52F75">
              <w:rPr>
                <w:bCs/>
                <w:sz w:val="24"/>
                <w:szCs w:val="24"/>
              </w:rPr>
              <w:t>ar</w:t>
            </w:r>
            <w:proofErr w:type="spellEnd"/>
            <w:r w:rsidRPr="00E52F75">
              <w:rPr>
                <w:bCs/>
                <w:sz w:val="24"/>
                <w:szCs w:val="24"/>
              </w:rPr>
              <w:t xml:space="preserve"> </w:t>
            </w:r>
            <w:proofErr w:type="spellStart"/>
            <w:r w:rsidRPr="00E52F75">
              <w:rPr>
                <w:bCs/>
                <w:sz w:val="24"/>
                <w:szCs w:val="24"/>
              </w:rPr>
              <w:t>Eiropas</w:t>
            </w:r>
            <w:proofErr w:type="spellEnd"/>
            <w:r w:rsidRPr="00E52F75">
              <w:rPr>
                <w:bCs/>
                <w:sz w:val="24"/>
                <w:szCs w:val="24"/>
              </w:rPr>
              <w:t xml:space="preserve"> </w:t>
            </w:r>
            <w:proofErr w:type="spellStart"/>
            <w:r w:rsidRPr="00E52F75">
              <w:rPr>
                <w:bCs/>
                <w:sz w:val="24"/>
                <w:szCs w:val="24"/>
              </w:rPr>
              <w:t>Komisiju</w:t>
            </w:r>
            <w:proofErr w:type="spellEnd"/>
            <w:r w:rsidRPr="00E52F75">
              <w:rPr>
                <w:bCs/>
                <w:sz w:val="24"/>
                <w:szCs w:val="24"/>
              </w:rPr>
              <w:t>.</w:t>
            </w:r>
          </w:p>
        </w:tc>
      </w:tr>
      <w:tr w:rsidR="0064766F" w:rsidRPr="00AB7E1B" w14:paraId="408303B1" w14:textId="77777777" w:rsidTr="00E032B3">
        <w:tc>
          <w:tcPr>
            <w:tcW w:w="227" w:type="pct"/>
            <w:tcBorders>
              <w:top w:val="outset" w:sz="6" w:space="0" w:color="414142"/>
              <w:left w:val="outset" w:sz="6" w:space="0" w:color="414142"/>
              <w:bottom w:val="outset" w:sz="6" w:space="0" w:color="414142"/>
              <w:right w:val="outset" w:sz="6" w:space="0" w:color="414142"/>
            </w:tcBorders>
            <w:hideMark/>
          </w:tcPr>
          <w:p w14:paraId="6565CD3F" w14:textId="77777777" w:rsidR="0064766F" w:rsidRPr="00AB7E1B" w:rsidRDefault="0064766F" w:rsidP="00E032B3">
            <w:pPr>
              <w:contextualSpacing/>
              <w:rPr>
                <w:rFonts w:eastAsia="Times New Roman"/>
                <w:sz w:val="24"/>
                <w:szCs w:val="24"/>
                <w:lang w:val="lv-LV" w:eastAsia="lv-LV"/>
              </w:rPr>
            </w:pPr>
            <w:r w:rsidRPr="00AB7E1B">
              <w:rPr>
                <w:rFonts w:eastAsia="Times New Roman"/>
                <w:sz w:val="24"/>
                <w:szCs w:val="24"/>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D7FDB2F" w14:textId="77777777" w:rsidR="0064766F" w:rsidRPr="00AB7E1B" w:rsidRDefault="0064766F" w:rsidP="00E032B3">
            <w:pPr>
              <w:contextualSpacing/>
              <w:jc w:val="both"/>
              <w:rPr>
                <w:rFonts w:eastAsia="Times New Roman"/>
                <w:sz w:val="24"/>
                <w:szCs w:val="24"/>
                <w:lang w:val="lv-LV" w:eastAsia="lv-LV"/>
              </w:rPr>
            </w:pPr>
            <w:r w:rsidRPr="00AB7E1B">
              <w:rPr>
                <w:rFonts w:eastAsia="Times New Roman"/>
                <w:sz w:val="24"/>
                <w:szCs w:val="24"/>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7D083FC2" w14:textId="77777777" w:rsidR="0064766F" w:rsidRPr="00AB7E1B" w:rsidRDefault="0064766F" w:rsidP="00E032B3">
            <w:pPr>
              <w:contextualSpacing/>
              <w:jc w:val="both"/>
              <w:rPr>
                <w:rFonts w:eastAsia="Times New Roman"/>
                <w:sz w:val="24"/>
                <w:szCs w:val="24"/>
                <w:lang w:val="lv-LV" w:eastAsia="lv-LV"/>
              </w:rPr>
            </w:pPr>
            <w:r w:rsidRPr="00AB7E1B">
              <w:rPr>
                <w:rFonts w:eastAsia="Times New Roman"/>
                <w:sz w:val="24"/>
                <w:szCs w:val="24"/>
                <w:lang w:val="lv-LV" w:eastAsia="lv-LV"/>
              </w:rPr>
              <w:t>Projekts šo jomu neskar.</w:t>
            </w:r>
          </w:p>
        </w:tc>
      </w:tr>
      <w:tr w:rsidR="0064766F" w:rsidRPr="00993107" w14:paraId="36F395FA" w14:textId="77777777" w:rsidTr="00551A59">
        <w:tc>
          <w:tcPr>
            <w:tcW w:w="227" w:type="pct"/>
            <w:tcBorders>
              <w:top w:val="outset" w:sz="6" w:space="0" w:color="414142"/>
              <w:left w:val="outset" w:sz="6" w:space="0" w:color="414142"/>
              <w:bottom w:val="outset" w:sz="6" w:space="0" w:color="414142"/>
              <w:right w:val="outset" w:sz="6" w:space="0" w:color="414142"/>
            </w:tcBorders>
            <w:hideMark/>
          </w:tcPr>
          <w:p w14:paraId="7D316DD8" w14:textId="77777777" w:rsidR="0064766F" w:rsidRPr="00AB7E1B" w:rsidRDefault="0064766F" w:rsidP="00E032B3">
            <w:pPr>
              <w:contextualSpacing/>
              <w:rPr>
                <w:rFonts w:eastAsia="Times New Roman"/>
                <w:sz w:val="24"/>
                <w:szCs w:val="24"/>
                <w:lang w:val="lv-LV" w:eastAsia="lv-LV"/>
              </w:rPr>
            </w:pPr>
            <w:r w:rsidRPr="00AB7E1B">
              <w:rPr>
                <w:rFonts w:eastAsia="Times New Roman"/>
                <w:sz w:val="24"/>
                <w:szCs w:val="24"/>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6C5001C9" w14:textId="77777777" w:rsidR="0064766F" w:rsidRPr="00AB7E1B" w:rsidRDefault="0064766F" w:rsidP="00E032B3">
            <w:pPr>
              <w:contextualSpacing/>
              <w:jc w:val="both"/>
              <w:rPr>
                <w:rFonts w:eastAsia="Times New Roman"/>
                <w:sz w:val="24"/>
                <w:szCs w:val="24"/>
                <w:lang w:val="lv-LV" w:eastAsia="lv-LV"/>
              </w:rPr>
            </w:pPr>
            <w:r w:rsidRPr="00AB7E1B">
              <w:rPr>
                <w:rFonts w:eastAsia="Times New Roman"/>
                <w:sz w:val="24"/>
                <w:szCs w:val="24"/>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tcPr>
          <w:p w14:paraId="7D83C57F" w14:textId="77777777" w:rsidR="00551A59" w:rsidRPr="00AB7E1B" w:rsidRDefault="00551A59" w:rsidP="00E032B3">
            <w:pPr>
              <w:contextualSpacing/>
              <w:jc w:val="both"/>
              <w:rPr>
                <w:rFonts w:eastAsia="Times New Roman"/>
                <w:sz w:val="24"/>
                <w:szCs w:val="24"/>
                <w:lang w:val="lv-LV" w:eastAsia="lv-LV"/>
              </w:rPr>
            </w:pPr>
            <w:r w:rsidRPr="00AB7E1B">
              <w:rPr>
                <w:rFonts w:eastAsia="Times New Roman"/>
                <w:sz w:val="24"/>
                <w:szCs w:val="24"/>
                <w:lang w:val="lv-LV" w:eastAsia="lv-LV"/>
              </w:rPr>
              <w:t>Ministru kabineta noteikumi atbilst:</w:t>
            </w:r>
          </w:p>
          <w:p w14:paraId="433C887B" w14:textId="77777777" w:rsidR="00551A59" w:rsidRPr="00AB7E1B" w:rsidRDefault="00551A59" w:rsidP="00551A59">
            <w:pPr>
              <w:pStyle w:val="ListParagraph"/>
              <w:numPr>
                <w:ilvl w:val="0"/>
                <w:numId w:val="1"/>
              </w:numPr>
              <w:ind w:left="105" w:firstLine="252"/>
              <w:jc w:val="both"/>
              <w:rPr>
                <w:rFonts w:eastAsia="Times New Roman"/>
                <w:sz w:val="24"/>
                <w:szCs w:val="24"/>
                <w:lang w:val="lv-LV" w:eastAsia="lv-LV"/>
              </w:rPr>
            </w:pPr>
            <w:proofErr w:type="spellStart"/>
            <w:r w:rsidRPr="00AB7E1B">
              <w:rPr>
                <w:sz w:val="24"/>
                <w:szCs w:val="24"/>
              </w:rPr>
              <w:t>Komisijas</w:t>
            </w:r>
            <w:proofErr w:type="spellEnd"/>
            <w:r w:rsidRPr="00AB7E1B">
              <w:rPr>
                <w:sz w:val="24"/>
                <w:szCs w:val="24"/>
              </w:rPr>
              <w:t xml:space="preserve"> 2014. </w:t>
            </w:r>
            <w:proofErr w:type="spellStart"/>
            <w:r w:rsidRPr="00AB7E1B">
              <w:rPr>
                <w:sz w:val="24"/>
                <w:szCs w:val="24"/>
              </w:rPr>
              <w:t>gada</w:t>
            </w:r>
            <w:proofErr w:type="spellEnd"/>
            <w:r w:rsidRPr="00AB7E1B">
              <w:rPr>
                <w:sz w:val="24"/>
                <w:szCs w:val="24"/>
              </w:rPr>
              <w:t xml:space="preserve"> 17. </w:t>
            </w:r>
            <w:proofErr w:type="spellStart"/>
            <w:r w:rsidRPr="00AB7E1B">
              <w:rPr>
                <w:sz w:val="24"/>
                <w:szCs w:val="24"/>
              </w:rPr>
              <w:t>jūnija</w:t>
            </w:r>
            <w:proofErr w:type="spellEnd"/>
            <w:r w:rsidRPr="00AB7E1B">
              <w:rPr>
                <w:sz w:val="24"/>
                <w:szCs w:val="24"/>
              </w:rPr>
              <w:t xml:space="preserve"> Regula (ES) Nr. </w:t>
            </w:r>
            <w:hyperlink r:id="rId10" w:tgtFrame="_blank" w:history="1">
              <w:r w:rsidRPr="00AB7E1B">
                <w:rPr>
                  <w:sz w:val="24"/>
                  <w:szCs w:val="24"/>
                </w:rPr>
                <w:t>651/2014</w:t>
              </w:r>
            </w:hyperlink>
            <w:r w:rsidRPr="00AB7E1B">
              <w:rPr>
                <w:sz w:val="24"/>
                <w:szCs w:val="24"/>
              </w:rPr>
              <w:t xml:space="preserve">, </w:t>
            </w:r>
            <w:proofErr w:type="spellStart"/>
            <w:r w:rsidRPr="00AB7E1B">
              <w:rPr>
                <w:sz w:val="24"/>
                <w:szCs w:val="24"/>
              </w:rPr>
              <w:t>ar</w:t>
            </w:r>
            <w:proofErr w:type="spellEnd"/>
            <w:r w:rsidRPr="00AB7E1B">
              <w:rPr>
                <w:sz w:val="24"/>
                <w:szCs w:val="24"/>
              </w:rPr>
              <w:t xml:space="preserve"> ko </w:t>
            </w:r>
            <w:proofErr w:type="spellStart"/>
            <w:r w:rsidRPr="00AB7E1B">
              <w:rPr>
                <w:sz w:val="24"/>
                <w:szCs w:val="24"/>
              </w:rPr>
              <w:t>noteiktas</w:t>
            </w:r>
            <w:proofErr w:type="spellEnd"/>
            <w:r w:rsidRPr="00AB7E1B">
              <w:rPr>
                <w:sz w:val="24"/>
                <w:szCs w:val="24"/>
              </w:rPr>
              <w:t xml:space="preserve"> </w:t>
            </w:r>
            <w:proofErr w:type="spellStart"/>
            <w:r w:rsidRPr="00AB7E1B">
              <w:rPr>
                <w:sz w:val="24"/>
                <w:szCs w:val="24"/>
              </w:rPr>
              <w:t>atbalsta</w:t>
            </w:r>
            <w:proofErr w:type="spellEnd"/>
            <w:r w:rsidRPr="00AB7E1B">
              <w:rPr>
                <w:sz w:val="24"/>
                <w:szCs w:val="24"/>
              </w:rPr>
              <w:t xml:space="preserve"> </w:t>
            </w:r>
            <w:proofErr w:type="spellStart"/>
            <w:r w:rsidRPr="00AB7E1B">
              <w:rPr>
                <w:sz w:val="24"/>
                <w:szCs w:val="24"/>
              </w:rPr>
              <w:t>kategorijas</w:t>
            </w:r>
            <w:proofErr w:type="spellEnd"/>
            <w:r w:rsidRPr="00AB7E1B">
              <w:rPr>
                <w:sz w:val="24"/>
                <w:szCs w:val="24"/>
              </w:rPr>
              <w:t xml:space="preserve"> </w:t>
            </w:r>
            <w:proofErr w:type="spellStart"/>
            <w:r w:rsidRPr="00AB7E1B">
              <w:rPr>
                <w:sz w:val="24"/>
                <w:szCs w:val="24"/>
              </w:rPr>
              <w:t>atzīst</w:t>
            </w:r>
            <w:proofErr w:type="spellEnd"/>
            <w:r w:rsidRPr="00AB7E1B">
              <w:rPr>
                <w:sz w:val="24"/>
                <w:szCs w:val="24"/>
              </w:rPr>
              <w:t xml:space="preserve"> par </w:t>
            </w:r>
            <w:proofErr w:type="spellStart"/>
            <w:r w:rsidRPr="00AB7E1B">
              <w:rPr>
                <w:sz w:val="24"/>
                <w:szCs w:val="24"/>
              </w:rPr>
              <w:t>saderīgām</w:t>
            </w:r>
            <w:proofErr w:type="spellEnd"/>
            <w:r w:rsidRPr="00AB7E1B">
              <w:rPr>
                <w:sz w:val="24"/>
                <w:szCs w:val="24"/>
              </w:rPr>
              <w:t xml:space="preserve"> </w:t>
            </w:r>
            <w:proofErr w:type="spellStart"/>
            <w:r w:rsidRPr="00AB7E1B">
              <w:rPr>
                <w:sz w:val="24"/>
                <w:szCs w:val="24"/>
              </w:rPr>
              <w:t>ar</w:t>
            </w:r>
            <w:proofErr w:type="spellEnd"/>
            <w:r w:rsidRPr="00AB7E1B">
              <w:rPr>
                <w:sz w:val="24"/>
                <w:szCs w:val="24"/>
              </w:rPr>
              <w:t xml:space="preserve"> </w:t>
            </w:r>
            <w:proofErr w:type="spellStart"/>
            <w:r w:rsidRPr="00AB7E1B">
              <w:rPr>
                <w:sz w:val="24"/>
                <w:szCs w:val="24"/>
              </w:rPr>
              <w:t>iekšējo</w:t>
            </w:r>
            <w:proofErr w:type="spellEnd"/>
            <w:r w:rsidRPr="00AB7E1B">
              <w:rPr>
                <w:sz w:val="24"/>
                <w:szCs w:val="24"/>
              </w:rPr>
              <w:t xml:space="preserve"> </w:t>
            </w:r>
            <w:proofErr w:type="spellStart"/>
            <w:r w:rsidRPr="00AB7E1B">
              <w:rPr>
                <w:sz w:val="24"/>
                <w:szCs w:val="24"/>
              </w:rPr>
              <w:t>tirgu</w:t>
            </w:r>
            <w:proofErr w:type="spellEnd"/>
            <w:r w:rsidRPr="00AB7E1B">
              <w:rPr>
                <w:sz w:val="24"/>
                <w:szCs w:val="24"/>
              </w:rPr>
              <w:t xml:space="preserve">, </w:t>
            </w:r>
            <w:proofErr w:type="spellStart"/>
            <w:r w:rsidRPr="00AB7E1B">
              <w:rPr>
                <w:sz w:val="24"/>
                <w:szCs w:val="24"/>
              </w:rPr>
              <w:t>piemērojot</w:t>
            </w:r>
            <w:proofErr w:type="spellEnd"/>
            <w:r w:rsidRPr="00AB7E1B">
              <w:rPr>
                <w:sz w:val="24"/>
                <w:szCs w:val="24"/>
              </w:rPr>
              <w:t xml:space="preserve"> </w:t>
            </w:r>
            <w:proofErr w:type="spellStart"/>
            <w:r w:rsidRPr="00AB7E1B">
              <w:rPr>
                <w:sz w:val="24"/>
                <w:szCs w:val="24"/>
              </w:rPr>
              <w:t>Līguma</w:t>
            </w:r>
            <w:proofErr w:type="spellEnd"/>
            <w:r w:rsidRPr="00AB7E1B">
              <w:rPr>
                <w:sz w:val="24"/>
                <w:szCs w:val="24"/>
              </w:rPr>
              <w:t xml:space="preserve"> 107. un 108. </w:t>
            </w:r>
            <w:proofErr w:type="spellStart"/>
            <w:r w:rsidRPr="00AB7E1B">
              <w:rPr>
                <w:sz w:val="24"/>
                <w:szCs w:val="24"/>
              </w:rPr>
              <w:t>panta</w:t>
            </w:r>
            <w:proofErr w:type="spellEnd"/>
            <w:r w:rsidRPr="00AB7E1B">
              <w:rPr>
                <w:sz w:val="24"/>
                <w:szCs w:val="24"/>
              </w:rPr>
              <w:t xml:space="preserve"> (</w:t>
            </w:r>
            <w:proofErr w:type="spellStart"/>
            <w:r w:rsidRPr="00AB7E1B">
              <w:rPr>
                <w:sz w:val="24"/>
                <w:szCs w:val="24"/>
              </w:rPr>
              <w:t>turpmāk</w:t>
            </w:r>
            <w:proofErr w:type="spellEnd"/>
            <w:r w:rsidRPr="00AB7E1B">
              <w:rPr>
                <w:sz w:val="24"/>
                <w:szCs w:val="24"/>
              </w:rPr>
              <w:t xml:space="preserve"> – </w:t>
            </w:r>
            <w:proofErr w:type="spellStart"/>
            <w:r w:rsidRPr="00AB7E1B">
              <w:rPr>
                <w:sz w:val="24"/>
                <w:szCs w:val="24"/>
              </w:rPr>
              <w:t>Komisijas</w:t>
            </w:r>
            <w:proofErr w:type="spellEnd"/>
            <w:r w:rsidRPr="00AB7E1B">
              <w:rPr>
                <w:sz w:val="24"/>
                <w:szCs w:val="24"/>
              </w:rPr>
              <w:t xml:space="preserve"> </w:t>
            </w:r>
            <w:proofErr w:type="spellStart"/>
            <w:r w:rsidRPr="00AB7E1B">
              <w:rPr>
                <w:sz w:val="24"/>
                <w:szCs w:val="24"/>
              </w:rPr>
              <w:t>regula</w:t>
            </w:r>
            <w:proofErr w:type="spellEnd"/>
            <w:r w:rsidRPr="00AB7E1B">
              <w:rPr>
                <w:sz w:val="24"/>
                <w:szCs w:val="24"/>
              </w:rPr>
              <w:t xml:space="preserve"> Nr. </w:t>
            </w:r>
            <w:hyperlink r:id="rId11" w:tgtFrame="_blank" w:history="1">
              <w:r w:rsidRPr="00AB7E1B">
                <w:rPr>
                  <w:sz w:val="24"/>
                  <w:szCs w:val="24"/>
                </w:rPr>
                <w:t>651/2014</w:t>
              </w:r>
            </w:hyperlink>
            <w:r w:rsidRPr="00AB7E1B">
              <w:rPr>
                <w:sz w:val="24"/>
                <w:szCs w:val="24"/>
              </w:rPr>
              <w:t>);</w:t>
            </w:r>
          </w:p>
          <w:p w14:paraId="7BD7B6A8" w14:textId="6F05DFC8" w:rsidR="00EC65E2" w:rsidRDefault="00551A59" w:rsidP="00EC65E2">
            <w:pPr>
              <w:pStyle w:val="ListParagraph"/>
              <w:numPr>
                <w:ilvl w:val="0"/>
                <w:numId w:val="1"/>
              </w:numPr>
              <w:ind w:left="105" w:firstLine="252"/>
              <w:jc w:val="both"/>
              <w:rPr>
                <w:rFonts w:eastAsia="Times New Roman"/>
                <w:sz w:val="24"/>
                <w:szCs w:val="24"/>
                <w:lang w:val="lv-LV" w:eastAsia="lv-LV"/>
              </w:rPr>
            </w:pPr>
            <w:r w:rsidRPr="00AB7E1B">
              <w:rPr>
                <w:rFonts w:eastAsia="Times New Roman"/>
                <w:sz w:val="24"/>
                <w:szCs w:val="24"/>
                <w:lang w:val="lv-LV" w:eastAsia="lv-LV"/>
              </w:rPr>
              <w:t xml:space="preserve">Komisijas 2014. gada 25. jūnija Regula (ES) Nr. 702/2014, ar kuru konkrētas atbalsta kategorijas </w:t>
            </w:r>
            <w:r w:rsidRPr="00AB7E1B">
              <w:rPr>
                <w:rFonts w:eastAsia="Times New Roman"/>
                <w:sz w:val="24"/>
                <w:szCs w:val="24"/>
                <w:lang w:val="lv-LV" w:eastAsia="lv-LV"/>
              </w:rPr>
              <w:lastRenderedPageBreak/>
              <w:t>lauksaimniecības un mežsaimniecības nozarē un lauku apvidos atzīst par saderīgām ar iekšējo tirgu, piemērojot Līguma par Eiropas Savienības darbību 107. un 108. pantu  (turpmāk –  Komisijas regula Nr. 702/2014);</w:t>
            </w:r>
          </w:p>
          <w:p w14:paraId="546161D9" w14:textId="315750F7" w:rsidR="0064766F" w:rsidRPr="00EC65E2" w:rsidRDefault="00AC72A7" w:rsidP="00EC65E2">
            <w:pPr>
              <w:pStyle w:val="ListParagraph"/>
              <w:numPr>
                <w:ilvl w:val="0"/>
                <w:numId w:val="1"/>
              </w:numPr>
              <w:ind w:left="105" w:firstLine="252"/>
              <w:jc w:val="both"/>
              <w:rPr>
                <w:rFonts w:eastAsia="Times New Roman"/>
                <w:sz w:val="24"/>
                <w:szCs w:val="24"/>
                <w:lang w:val="lv-LV" w:eastAsia="lv-LV"/>
              </w:rPr>
            </w:pPr>
            <w:r w:rsidRPr="00E52F75">
              <w:rPr>
                <w:sz w:val="24"/>
                <w:szCs w:val="24"/>
                <w:lang w:val="lv-LV"/>
              </w:rPr>
              <w:t>Eiropas Komisijas 2020.gada 19.marta Komisijas paziņojum</w:t>
            </w:r>
            <w:r w:rsidR="001B5A64" w:rsidRPr="00E52F75">
              <w:rPr>
                <w:sz w:val="24"/>
                <w:szCs w:val="24"/>
                <w:lang w:val="lv-LV"/>
              </w:rPr>
              <w:t>s</w:t>
            </w:r>
            <w:r w:rsidRPr="00E52F75">
              <w:rPr>
                <w:sz w:val="24"/>
                <w:szCs w:val="24"/>
                <w:lang w:val="lv-LV"/>
              </w:rPr>
              <w:t xml:space="preserve"> (C(2020)1863)) “Pagaidu regulējums valsts atbalsta pasākumiem, ar ko atbalsta ekonomiku pašreizējā Covid-19 uzliesmojuma situācijā”</w:t>
            </w:r>
          </w:p>
        </w:tc>
      </w:tr>
    </w:tbl>
    <w:p w14:paraId="39CD70FC" w14:textId="77777777" w:rsidR="0064766F" w:rsidRPr="00AB7E1B" w:rsidRDefault="0064766F" w:rsidP="0064766F">
      <w:pPr>
        <w:contextualSpacing/>
        <w:rPr>
          <w:sz w:val="24"/>
          <w:szCs w:val="24"/>
          <w:lang w:val="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3"/>
        <w:gridCol w:w="2264"/>
        <w:gridCol w:w="2264"/>
        <w:gridCol w:w="2414"/>
      </w:tblGrid>
      <w:tr w:rsidR="00EC65E2" w:rsidRPr="00993107" w14:paraId="1C47BD59" w14:textId="77777777" w:rsidTr="00F81D48">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AA6093" w14:textId="77777777" w:rsidR="00EC65E2" w:rsidRPr="00EC65E2" w:rsidRDefault="00EC65E2" w:rsidP="00E032B3">
            <w:pPr>
              <w:spacing w:before="100" w:beforeAutospacing="1" w:after="100" w:afterAutospacing="1" w:line="293" w:lineRule="atLeast"/>
              <w:jc w:val="center"/>
              <w:rPr>
                <w:rFonts w:eastAsia="Times New Roman"/>
                <w:b/>
                <w:bCs/>
                <w:color w:val="414142"/>
                <w:sz w:val="24"/>
                <w:szCs w:val="24"/>
                <w:lang w:val="lv-LV" w:eastAsia="lv-LV"/>
              </w:rPr>
            </w:pPr>
            <w:r w:rsidRPr="00EC65E2">
              <w:rPr>
                <w:rFonts w:eastAsia="Times New Roman"/>
                <w:b/>
                <w:bCs/>
                <w:color w:val="414142"/>
                <w:sz w:val="24"/>
                <w:szCs w:val="24"/>
                <w:lang w:val="lv-LV" w:eastAsia="lv-LV"/>
              </w:rPr>
              <w:t>1. tabula</w:t>
            </w:r>
            <w:r w:rsidRPr="00EC65E2">
              <w:rPr>
                <w:rFonts w:eastAsia="Times New Roman"/>
                <w:b/>
                <w:bCs/>
                <w:color w:val="414142"/>
                <w:sz w:val="24"/>
                <w:szCs w:val="24"/>
                <w:lang w:val="lv-LV" w:eastAsia="lv-LV"/>
              </w:rPr>
              <w:br/>
              <w:t>Tiesību akta projekta atbilstība ES tiesību aktiem</w:t>
            </w:r>
          </w:p>
        </w:tc>
      </w:tr>
      <w:tr w:rsidR="00EC65E2" w:rsidRPr="00EC65E2" w14:paraId="0A93CB3A" w14:textId="77777777" w:rsidTr="00F81D48">
        <w:tc>
          <w:tcPr>
            <w:tcW w:w="1229" w:type="pct"/>
            <w:tcBorders>
              <w:top w:val="outset" w:sz="6" w:space="0" w:color="414142"/>
              <w:left w:val="outset" w:sz="6" w:space="0" w:color="414142"/>
              <w:bottom w:val="outset" w:sz="6" w:space="0" w:color="414142"/>
              <w:right w:val="outset" w:sz="6" w:space="0" w:color="414142"/>
            </w:tcBorders>
            <w:shd w:val="clear" w:color="auto" w:fill="FFFFFF"/>
            <w:hideMark/>
          </w:tcPr>
          <w:p w14:paraId="0737BFED" w14:textId="77777777" w:rsidR="00EC65E2" w:rsidRPr="00EC65E2" w:rsidRDefault="00EC65E2" w:rsidP="00E032B3">
            <w:pPr>
              <w:rPr>
                <w:rFonts w:eastAsia="Times New Roman"/>
                <w:color w:val="414142"/>
                <w:sz w:val="24"/>
                <w:szCs w:val="24"/>
                <w:lang w:val="lv-LV" w:eastAsia="lv-LV"/>
              </w:rPr>
            </w:pPr>
            <w:r w:rsidRPr="00EC65E2">
              <w:rPr>
                <w:rFonts w:eastAsia="Times New Roman"/>
                <w:color w:val="414142"/>
                <w:sz w:val="24"/>
                <w:szCs w:val="24"/>
                <w:lang w:val="lv-LV" w:eastAsia="lv-LV"/>
              </w:rPr>
              <w:t>Attiecīgā ES tiesību akta datums, numurs un nosaukums</w:t>
            </w:r>
          </w:p>
        </w:tc>
        <w:tc>
          <w:tcPr>
            <w:tcW w:w="377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0CA8A3E" w14:textId="77777777" w:rsidR="00EC65E2" w:rsidRPr="00EC65E2" w:rsidRDefault="00EC65E2" w:rsidP="00E032B3">
            <w:pPr>
              <w:pStyle w:val="naiskr"/>
              <w:spacing w:before="0" w:after="0"/>
              <w:jc w:val="both"/>
              <w:rPr>
                <w:color w:val="414142"/>
              </w:rPr>
            </w:pPr>
            <w:r w:rsidRPr="00EC65E2">
              <w:rPr>
                <w:color w:val="414142"/>
              </w:rPr>
              <w:t>Ar Noteikumu projektu tiek ieviestas šādas Eiropas Savienības tiesību aktu prasības:</w:t>
            </w:r>
          </w:p>
          <w:p w14:paraId="75262744" w14:textId="77777777" w:rsidR="00EC65E2" w:rsidRPr="00EC65E2" w:rsidRDefault="00EC65E2" w:rsidP="00EC65E2">
            <w:pPr>
              <w:pStyle w:val="naiskr"/>
              <w:numPr>
                <w:ilvl w:val="0"/>
                <w:numId w:val="2"/>
              </w:numPr>
              <w:spacing w:before="0" w:after="0"/>
              <w:jc w:val="both"/>
              <w:rPr>
                <w:color w:val="414142"/>
              </w:rPr>
            </w:pPr>
            <w:r w:rsidRPr="00EC65E2">
              <w:rPr>
                <w:color w:val="414142"/>
              </w:rPr>
              <w:t>Komisijas regula Nr. </w:t>
            </w:r>
            <w:hyperlink r:id="rId12" w:tgtFrame="_blank" w:history="1">
              <w:r w:rsidRPr="00EC65E2">
                <w:rPr>
                  <w:color w:val="414142"/>
                </w:rPr>
                <w:t>651/2014</w:t>
              </w:r>
            </w:hyperlink>
            <w:r w:rsidRPr="00EC65E2">
              <w:rPr>
                <w:color w:val="414142"/>
              </w:rPr>
              <w:t>;</w:t>
            </w:r>
          </w:p>
          <w:p w14:paraId="53BD4521" w14:textId="77777777" w:rsidR="00EC65E2" w:rsidRPr="00EC65E2" w:rsidRDefault="00EC65E2" w:rsidP="00EC65E2">
            <w:pPr>
              <w:pStyle w:val="naiskr"/>
              <w:numPr>
                <w:ilvl w:val="0"/>
                <w:numId w:val="2"/>
              </w:numPr>
              <w:spacing w:before="0" w:after="0"/>
              <w:jc w:val="both"/>
              <w:rPr>
                <w:color w:val="414142"/>
              </w:rPr>
            </w:pPr>
            <w:r w:rsidRPr="00EC65E2">
              <w:rPr>
                <w:color w:val="414142"/>
              </w:rPr>
              <w:t>Komisijas regula Nr. 702/2014;</w:t>
            </w:r>
          </w:p>
          <w:p w14:paraId="1F11D7E2" w14:textId="016A32B5" w:rsidR="00EC65E2" w:rsidRPr="00EC65E2" w:rsidRDefault="00F81D48" w:rsidP="00EC65E2">
            <w:pPr>
              <w:pStyle w:val="naiskr"/>
              <w:numPr>
                <w:ilvl w:val="0"/>
                <w:numId w:val="2"/>
              </w:numPr>
              <w:spacing w:before="0" w:after="0"/>
              <w:jc w:val="both"/>
              <w:rPr>
                <w:color w:val="414142"/>
              </w:rPr>
            </w:pPr>
            <w:r>
              <w:rPr>
                <w:color w:val="414142"/>
              </w:rPr>
              <w:t>Komisijas paziņojums.</w:t>
            </w:r>
          </w:p>
        </w:tc>
      </w:tr>
      <w:tr w:rsidR="00EC65E2" w:rsidRPr="00EC65E2" w14:paraId="26CB2EA1" w14:textId="77777777" w:rsidTr="00F81D48">
        <w:tc>
          <w:tcPr>
            <w:tcW w:w="122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2E8268B" w14:textId="77777777" w:rsidR="00EC65E2" w:rsidRPr="00EC65E2" w:rsidRDefault="00EC65E2" w:rsidP="00E032B3">
            <w:pPr>
              <w:spacing w:before="100" w:beforeAutospacing="1" w:after="100" w:afterAutospacing="1" w:line="293" w:lineRule="atLeast"/>
              <w:jc w:val="center"/>
              <w:rPr>
                <w:rFonts w:eastAsia="Times New Roman"/>
                <w:color w:val="414142"/>
                <w:sz w:val="24"/>
                <w:szCs w:val="24"/>
                <w:lang w:val="lv-LV" w:eastAsia="lv-LV"/>
              </w:rPr>
            </w:pPr>
            <w:r w:rsidRPr="00EC65E2">
              <w:rPr>
                <w:rFonts w:eastAsia="Times New Roman"/>
                <w:color w:val="414142"/>
                <w:sz w:val="24"/>
                <w:szCs w:val="24"/>
                <w:lang w:val="lv-LV" w:eastAsia="lv-LV"/>
              </w:rPr>
              <w:t>A</w:t>
            </w:r>
          </w:p>
        </w:t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7F1B7E5B" w14:textId="77777777" w:rsidR="00EC65E2" w:rsidRPr="00EC65E2" w:rsidRDefault="00EC65E2" w:rsidP="00E032B3">
            <w:pPr>
              <w:spacing w:before="100" w:beforeAutospacing="1" w:after="100" w:afterAutospacing="1" w:line="293" w:lineRule="atLeast"/>
              <w:jc w:val="center"/>
              <w:rPr>
                <w:rFonts w:eastAsia="Times New Roman"/>
                <w:color w:val="414142"/>
                <w:sz w:val="24"/>
                <w:szCs w:val="24"/>
                <w:lang w:val="lv-LV" w:eastAsia="lv-LV"/>
              </w:rPr>
            </w:pPr>
            <w:r w:rsidRPr="00EC65E2">
              <w:rPr>
                <w:rFonts w:eastAsia="Times New Roman"/>
                <w:color w:val="414142"/>
                <w:sz w:val="24"/>
                <w:szCs w:val="24"/>
                <w:lang w:val="lv-LV" w:eastAsia="lv-LV"/>
              </w:rPr>
              <w:t>B</w:t>
            </w:r>
          </w:p>
        </w:t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CCB5D6C" w14:textId="77777777" w:rsidR="00EC65E2" w:rsidRPr="00EC65E2" w:rsidRDefault="00EC65E2" w:rsidP="00E032B3">
            <w:pPr>
              <w:spacing w:before="100" w:beforeAutospacing="1" w:after="100" w:afterAutospacing="1" w:line="293" w:lineRule="atLeast"/>
              <w:jc w:val="center"/>
              <w:rPr>
                <w:rFonts w:eastAsia="Times New Roman"/>
                <w:color w:val="414142"/>
                <w:sz w:val="24"/>
                <w:szCs w:val="24"/>
                <w:lang w:val="lv-LV" w:eastAsia="lv-LV"/>
              </w:rPr>
            </w:pPr>
            <w:r w:rsidRPr="00EC65E2">
              <w:rPr>
                <w:rFonts w:eastAsia="Times New Roman"/>
                <w:color w:val="414142"/>
                <w:sz w:val="24"/>
                <w:szCs w:val="24"/>
                <w:lang w:val="lv-LV" w:eastAsia="lv-LV"/>
              </w:rPr>
              <w:t>C</w:t>
            </w:r>
          </w:p>
        </w:tc>
        <w:tc>
          <w:tcPr>
            <w:tcW w:w="131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0CBD586" w14:textId="77777777" w:rsidR="00EC65E2" w:rsidRPr="00EC65E2" w:rsidRDefault="00EC65E2" w:rsidP="00E032B3">
            <w:pPr>
              <w:spacing w:before="100" w:beforeAutospacing="1" w:after="100" w:afterAutospacing="1" w:line="293" w:lineRule="atLeast"/>
              <w:jc w:val="center"/>
              <w:rPr>
                <w:rFonts w:eastAsia="Times New Roman"/>
                <w:color w:val="414142"/>
                <w:sz w:val="24"/>
                <w:szCs w:val="24"/>
                <w:lang w:val="lv-LV" w:eastAsia="lv-LV"/>
              </w:rPr>
            </w:pPr>
            <w:r w:rsidRPr="00EC65E2">
              <w:rPr>
                <w:rFonts w:eastAsia="Times New Roman"/>
                <w:color w:val="414142"/>
                <w:sz w:val="24"/>
                <w:szCs w:val="24"/>
                <w:lang w:val="lv-LV" w:eastAsia="lv-LV"/>
              </w:rPr>
              <w:t>D</w:t>
            </w:r>
          </w:p>
        </w:tc>
      </w:tr>
      <w:tr w:rsidR="00EC65E2" w:rsidRPr="00EC65E2" w14:paraId="43226563"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5BC88BC3" w14:textId="77777777" w:rsidR="00EC65E2" w:rsidRPr="00EC65E2" w:rsidRDefault="00EC65E2" w:rsidP="00E032B3">
            <w:pPr>
              <w:rPr>
                <w:i/>
                <w:iCs/>
                <w:sz w:val="24"/>
                <w:szCs w:val="24"/>
              </w:rPr>
            </w:pPr>
            <w:proofErr w:type="spellStart"/>
            <w:r w:rsidRPr="00EC65E2">
              <w:rPr>
                <w:i/>
                <w:iCs/>
                <w:sz w:val="24"/>
                <w:szCs w:val="24"/>
              </w:rPr>
              <w:t>Komisijas</w:t>
            </w:r>
            <w:proofErr w:type="spellEnd"/>
            <w:r w:rsidRPr="00EC65E2">
              <w:rPr>
                <w:i/>
                <w:iCs/>
                <w:sz w:val="24"/>
                <w:szCs w:val="24"/>
              </w:rPr>
              <w:t xml:space="preserve"> </w:t>
            </w:r>
            <w:proofErr w:type="spellStart"/>
            <w:r w:rsidRPr="00EC65E2">
              <w:rPr>
                <w:i/>
                <w:iCs/>
                <w:sz w:val="24"/>
                <w:szCs w:val="24"/>
              </w:rPr>
              <w:t>regulas</w:t>
            </w:r>
            <w:proofErr w:type="spellEnd"/>
            <w:r w:rsidRPr="00EC65E2">
              <w:rPr>
                <w:i/>
                <w:iCs/>
                <w:sz w:val="24"/>
                <w:szCs w:val="24"/>
              </w:rPr>
              <w:t xml:space="preserve"> Nr 702/2014 2. </w:t>
            </w:r>
            <w:proofErr w:type="spellStart"/>
            <w:r w:rsidRPr="00EC65E2">
              <w:rPr>
                <w:i/>
                <w:iCs/>
                <w:sz w:val="24"/>
                <w:szCs w:val="24"/>
              </w:rPr>
              <w:t>panta</w:t>
            </w:r>
            <w:proofErr w:type="spellEnd"/>
            <w:r w:rsidRPr="00EC65E2">
              <w:rPr>
                <w:i/>
                <w:iCs/>
                <w:sz w:val="24"/>
                <w:szCs w:val="24"/>
              </w:rPr>
              <w:t xml:space="preserve"> 26. </w:t>
            </w:r>
            <w:proofErr w:type="spellStart"/>
            <w:r w:rsidRPr="00EC65E2">
              <w:rPr>
                <w:i/>
                <w:iCs/>
                <w:sz w:val="24"/>
                <w:szCs w:val="24"/>
              </w:rPr>
              <w:t>punkts</w:t>
            </w:r>
            <w:proofErr w:type="spellEnd"/>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7A6A2CD" w14:textId="77777777" w:rsidR="00EC65E2" w:rsidRPr="00EC65E2" w:rsidRDefault="00EC65E2" w:rsidP="00E032B3">
            <w:pPr>
              <w:rPr>
                <w:i/>
                <w:iCs/>
                <w:color w:val="000000"/>
                <w:sz w:val="24"/>
                <w:szCs w:val="24"/>
                <w:lang w:val="lv-LV"/>
              </w:rPr>
            </w:pPr>
            <w:r w:rsidRPr="00EC65E2">
              <w:rPr>
                <w:i/>
                <w:iCs/>
                <w:color w:val="000000"/>
                <w:sz w:val="24"/>
                <w:szCs w:val="24"/>
                <w:lang w:val="lv-LV"/>
              </w:rPr>
              <w:t>Noteikumu projekta 5.punkts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EC0644C" w14:textId="77777777" w:rsidR="00EC65E2" w:rsidRPr="00EC65E2" w:rsidRDefault="00EC65E2" w:rsidP="00E032B3">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05D47893" w14:textId="77777777" w:rsidR="00EC65E2" w:rsidRPr="00EC65E2" w:rsidRDefault="00EC65E2" w:rsidP="00E032B3">
            <w:pPr>
              <w:rPr>
                <w:i/>
                <w:iCs/>
                <w:color w:val="000000"/>
                <w:sz w:val="24"/>
                <w:szCs w:val="24"/>
                <w:lang w:val="lv-LV"/>
              </w:rPr>
            </w:pPr>
            <w:r w:rsidRPr="00EC65E2">
              <w:rPr>
                <w:i/>
                <w:iCs/>
                <w:color w:val="000000"/>
                <w:sz w:val="24"/>
                <w:szCs w:val="24"/>
                <w:lang w:val="lv-LV"/>
              </w:rPr>
              <w:t>Neparedz stingrākas prasības.</w:t>
            </w:r>
          </w:p>
        </w:tc>
      </w:tr>
      <w:tr w:rsidR="00EC65E2" w:rsidRPr="00EC65E2" w14:paraId="09987933"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19985378" w14:textId="77777777" w:rsidR="00EC65E2" w:rsidRPr="00EC65E2" w:rsidRDefault="00EC65E2" w:rsidP="00E032B3">
            <w:pPr>
              <w:rPr>
                <w:i/>
                <w:iCs/>
                <w:color w:val="000000"/>
                <w:sz w:val="24"/>
                <w:szCs w:val="24"/>
                <w:lang w:val="lv-LV"/>
              </w:rPr>
            </w:pPr>
            <w:proofErr w:type="spellStart"/>
            <w:r w:rsidRPr="00EC65E2">
              <w:rPr>
                <w:i/>
                <w:iCs/>
                <w:sz w:val="24"/>
                <w:szCs w:val="24"/>
              </w:rPr>
              <w:t>Komisijas</w:t>
            </w:r>
            <w:proofErr w:type="spellEnd"/>
            <w:r w:rsidRPr="00EC65E2">
              <w:rPr>
                <w:i/>
                <w:iCs/>
                <w:sz w:val="24"/>
                <w:szCs w:val="24"/>
              </w:rPr>
              <w:t xml:space="preserve"> </w:t>
            </w:r>
            <w:proofErr w:type="spellStart"/>
            <w:r w:rsidRPr="00EC65E2">
              <w:rPr>
                <w:i/>
                <w:iCs/>
                <w:sz w:val="24"/>
                <w:szCs w:val="24"/>
              </w:rPr>
              <w:t>regulas</w:t>
            </w:r>
            <w:proofErr w:type="spellEnd"/>
            <w:r w:rsidRPr="00EC65E2">
              <w:rPr>
                <w:i/>
                <w:iCs/>
                <w:sz w:val="24"/>
                <w:szCs w:val="24"/>
              </w:rPr>
              <w:t xml:space="preserve"> Nr. </w:t>
            </w:r>
            <w:hyperlink r:id="rId13" w:tgtFrame="_blank" w:history="1">
              <w:r w:rsidRPr="00EC65E2">
                <w:rPr>
                  <w:i/>
                  <w:iCs/>
                  <w:sz w:val="24"/>
                  <w:szCs w:val="24"/>
                </w:rPr>
                <w:t>651/2014</w:t>
              </w:r>
            </w:hyperlink>
            <w:r w:rsidRPr="00EC65E2">
              <w:rPr>
                <w:i/>
                <w:iCs/>
                <w:sz w:val="24"/>
                <w:szCs w:val="24"/>
              </w:rPr>
              <w:t xml:space="preserve"> 2.panta 24.punkts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3C6E788" w14:textId="77777777" w:rsidR="00EC65E2" w:rsidRPr="00EC65E2" w:rsidRDefault="00EC65E2" w:rsidP="00E032B3">
            <w:pPr>
              <w:rPr>
                <w:i/>
                <w:iCs/>
                <w:color w:val="000000"/>
                <w:sz w:val="24"/>
                <w:szCs w:val="24"/>
                <w:lang w:val="lv-LV"/>
              </w:rPr>
            </w:pPr>
            <w:r w:rsidRPr="00EC65E2">
              <w:rPr>
                <w:i/>
                <w:iCs/>
                <w:color w:val="000000"/>
                <w:sz w:val="24"/>
                <w:szCs w:val="24"/>
                <w:lang w:val="lv-LV"/>
              </w:rPr>
              <w:t>Noteikumu projekta 5.punkts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0AD0415" w14:textId="77777777" w:rsidR="00EC65E2" w:rsidRPr="00EC65E2" w:rsidRDefault="00EC65E2" w:rsidP="00E032B3">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08824B89" w14:textId="77777777" w:rsidR="00EC65E2" w:rsidRPr="00EC65E2" w:rsidRDefault="00EC65E2" w:rsidP="00E032B3">
            <w:pPr>
              <w:rPr>
                <w:i/>
                <w:iCs/>
                <w:color w:val="000000"/>
                <w:sz w:val="24"/>
                <w:szCs w:val="24"/>
                <w:lang w:val="lv-LV"/>
              </w:rPr>
            </w:pPr>
            <w:r w:rsidRPr="00EC65E2">
              <w:rPr>
                <w:i/>
                <w:iCs/>
                <w:color w:val="000000"/>
                <w:sz w:val="24"/>
                <w:szCs w:val="24"/>
                <w:lang w:val="lv-LV"/>
              </w:rPr>
              <w:t>Neparedz stingrākas prasības.</w:t>
            </w:r>
          </w:p>
        </w:tc>
      </w:tr>
      <w:tr w:rsidR="00EC65E2" w:rsidRPr="00EC65E2" w14:paraId="0A1A14BA"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396E61DF" w14:textId="77777777" w:rsidR="00EC65E2" w:rsidRPr="00EC65E2" w:rsidRDefault="00EC65E2" w:rsidP="00E032B3">
            <w:pPr>
              <w:rPr>
                <w:i/>
                <w:iCs/>
                <w:sz w:val="24"/>
                <w:szCs w:val="24"/>
                <w:shd w:val="clear" w:color="auto" w:fill="FFFFFF"/>
              </w:rPr>
            </w:pPr>
            <w:proofErr w:type="spellStart"/>
            <w:r w:rsidRPr="00EC65E2">
              <w:rPr>
                <w:i/>
                <w:iCs/>
                <w:sz w:val="24"/>
                <w:szCs w:val="24"/>
              </w:rPr>
              <w:t>Komisijas</w:t>
            </w:r>
            <w:proofErr w:type="spellEnd"/>
            <w:r w:rsidRPr="00EC65E2">
              <w:rPr>
                <w:i/>
                <w:iCs/>
                <w:sz w:val="24"/>
                <w:szCs w:val="24"/>
              </w:rPr>
              <w:t xml:space="preserve"> </w:t>
            </w:r>
            <w:proofErr w:type="spellStart"/>
            <w:r w:rsidRPr="00EC65E2">
              <w:rPr>
                <w:i/>
                <w:iCs/>
                <w:sz w:val="24"/>
                <w:szCs w:val="24"/>
              </w:rPr>
              <w:t>regulas</w:t>
            </w:r>
            <w:proofErr w:type="spellEnd"/>
            <w:r w:rsidRPr="00EC65E2">
              <w:rPr>
                <w:i/>
                <w:iCs/>
                <w:sz w:val="24"/>
                <w:szCs w:val="24"/>
              </w:rPr>
              <w:t xml:space="preserve"> Nr. </w:t>
            </w:r>
            <w:hyperlink r:id="rId14" w:tgtFrame="_blank" w:history="1">
              <w:r w:rsidRPr="00EC65E2">
                <w:rPr>
                  <w:i/>
                  <w:iCs/>
                  <w:sz w:val="24"/>
                  <w:szCs w:val="24"/>
                </w:rPr>
                <w:t>651/2014</w:t>
              </w:r>
            </w:hyperlink>
            <w:r w:rsidRPr="00EC65E2">
              <w:rPr>
                <w:i/>
                <w:iCs/>
                <w:sz w:val="24"/>
                <w:szCs w:val="24"/>
              </w:rPr>
              <w:t xml:space="preserve"> 2.panta 72.punkts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AAD7D04" w14:textId="77777777" w:rsidR="00EC65E2" w:rsidRPr="00EC65E2" w:rsidRDefault="00EC65E2" w:rsidP="00E032B3">
            <w:pPr>
              <w:rPr>
                <w:i/>
                <w:iCs/>
                <w:color w:val="000000"/>
                <w:sz w:val="24"/>
                <w:szCs w:val="24"/>
                <w:lang w:val="lv-LV"/>
              </w:rPr>
            </w:pPr>
            <w:r w:rsidRPr="00EC65E2">
              <w:rPr>
                <w:i/>
                <w:iCs/>
                <w:color w:val="000000"/>
                <w:sz w:val="24"/>
                <w:szCs w:val="24"/>
                <w:lang w:val="lv-LV"/>
              </w:rPr>
              <w:t>Noteikumu projekta 6.punkts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CA1F23F" w14:textId="77777777" w:rsidR="00EC65E2" w:rsidRPr="00EC65E2" w:rsidRDefault="00EC65E2" w:rsidP="00E032B3">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7BD73506" w14:textId="77777777" w:rsidR="00EC65E2" w:rsidRPr="00EC65E2" w:rsidRDefault="00EC65E2" w:rsidP="00E032B3">
            <w:pPr>
              <w:rPr>
                <w:i/>
                <w:iCs/>
                <w:color w:val="000000"/>
                <w:sz w:val="24"/>
                <w:szCs w:val="24"/>
                <w:lang w:val="lv-LV"/>
              </w:rPr>
            </w:pPr>
            <w:r w:rsidRPr="00EC65E2">
              <w:rPr>
                <w:i/>
                <w:iCs/>
                <w:color w:val="000000"/>
                <w:sz w:val="24"/>
                <w:szCs w:val="24"/>
                <w:lang w:val="lv-LV"/>
              </w:rPr>
              <w:t>Neparedz stingrākas prasības.</w:t>
            </w:r>
          </w:p>
        </w:tc>
      </w:tr>
      <w:tr w:rsidR="00EC65E2" w:rsidRPr="00EC65E2" w14:paraId="34E4FDC4"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2599ECA1" w14:textId="77777777" w:rsidR="00EC65E2" w:rsidRPr="00EC65E2" w:rsidRDefault="00EC65E2" w:rsidP="00E032B3">
            <w:pPr>
              <w:rPr>
                <w:i/>
                <w:iCs/>
                <w:sz w:val="24"/>
                <w:szCs w:val="24"/>
              </w:rPr>
            </w:pPr>
            <w:proofErr w:type="spellStart"/>
            <w:r w:rsidRPr="00EC65E2">
              <w:rPr>
                <w:i/>
                <w:iCs/>
                <w:sz w:val="24"/>
                <w:szCs w:val="24"/>
                <w:shd w:val="clear" w:color="auto" w:fill="FFFFFF"/>
              </w:rPr>
              <w:t>Komisijas</w:t>
            </w:r>
            <w:proofErr w:type="spellEnd"/>
            <w:r w:rsidRPr="00EC65E2">
              <w:rPr>
                <w:i/>
                <w:iCs/>
                <w:sz w:val="24"/>
                <w:szCs w:val="24"/>
                <w:shd w:val="clear" w:color="auto" w:fill="FFFFFF"/>
              </w:rPr>
              <w:t xml:space="preserve"> </w:t>
            </w:r>
            <w:proofErr w:type="spellStart"/>
            <w:r w:rsidRPr="00EC65E2">
              <w:rPr>
                <w:i/>
                <w:iCs/>
                <w:sz w:val="24"/>
                <w:szCs w:val="24"/>
                <w:shd w:val="clear" w:color="auto" w:fill="FFFFFF"/>
              </w:rPr>
              <w:t>regulas</w:t>
            </w:r>
            <w:proofErr w:type="spellEnd"/>
            <w:r w:rsidRPr="00EC65E2">
              <w:rPr>
                <w:i/>
                <w:iCs/>
                <w:sz w:val="24"/>
                <w:szCs w:val="24"/>
                <w:shd w:val="clear" w:color="auto" w:fill="FFFFFF"/>
              </w:rPr>
              <w:t xml:space="preserve"> </w:t>
            </w:r>
            <w:r w:rsidRPr="00EC65E2">
              <w:rPr>
                <w:i/>
                <w:iCs/>
                <w:sz w:val="24"/>
                <w:szCs w:val="24"/>
              </w:rPr>
              <w:t xml:space="preserve">Nr. 702/2014 1. </w:t>
            </w:r>
            <w:proofErr w:type="spellStart"/>
            <w:r w:rsidRPr="00EC65E2">
              <w:rPr>
                <w:i/>
                <w:iCs/>
                <w:sz w:val="24"/>
                <w:szCs w:val="24"/>
              </w:rPr>
              <w:t>pielikuma</w:t>
            </w:r>
            <w:proofErr w:type="spellEnd"/>
            <w:r w:rsidRPr="00EC65E2">
              <w:rPr>
                <w:i/>
                <w:iCs/>
                <w:sz w:val="24"/>
                <w:szCs w:val="24"/>
              </w:rPr>
              <w:t xml:space="preserve"> 3. </w:t>
            </w:r>
            <w:proofErr w:type="spellStart"/>
            <w:r w:rsidRPr="00EC65E2">
              <w:rPr>
                <w:i/>
                <w:iCs/>
                <w:sz w:val="24"/>
                <w:szCs w:val="24"/>
              </w:rPr>
              <w:t>panta</w:t>
            </w:r>
            <w:proofErr w:type="spellEnd"/>
            <w:r w:rsidRPr="00EC65E2">
              <w:rPr>
                <w:i/>
                <w:iCs/>
                <w:sz w:val="24"/>
                <w:szCs w:val="24"/>
              </w:rPr>
              <w:t xml:space="preserve"> 3. </w:t>
            </w:r>
            <w:proofErr w:type="spellStart"/>
            <w:r w:rsidRPr="00EC65E2">
              <w:rPr>
                <w:i/>
                <w:iCs/>
                <w:sz w:val="24"/>
                <w:szCs w:val="24"/>
              </w:rPr>
              <w:t>punktā</w:t>
            </w:r>
            <w:proofErr w:type="spellEnd"/>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D1793CA" w14:textId="77777777" w:rsidR="00EC65E2" w:rsidRPr="00EC65E2" w:rsidRDefault="00EC65E2" w:rsidP="00E032B3">
            <w:pPr>
              <w:rPr>
                <w:i/>
                <w:iCs/>
                <w:color w:val="000000"/>
                <w:sz w:val="24"/>
                <w:szCs w:val="24"/>
                <w:lang w:val="lv-LV"/>
              </w:rPr>
            </w:pPr>
            <w:r w:rsidRPr="00EC65E2">
              <w:rPr>
                <w:i/>
                <w:iCs/>
                <w:color w:val="000000"/>
                <w:sz w:val="24"/>
                <w:szCs w:val="24"/>
                <w:lang w:val="lv-LV"/>
              </w:rPr>
              <w:t>Noteikumu projekta 7.punkts</w:t>
            </w:r>
            <w:r w:rsidRPr="00EC65E2" w:rsidDel="00EE2CF1">
              <w:rPr>
                <w:i/>
                <w:iCs/>
                <w:color w:val="000000"/>
                <w:sz w:val="24"/>
                <w:szCs w:val="24"/>
                <w:lang w:val="lv-LV"/>
              </w:rPr>
              <w:t xml:space="preserve"> </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C8D61CF" w14:textId="77777777" w:rsidR="00EC65E2" w:rsidRPr="00EC65E2" w:rsidRDefault="00EC65E2" w:rsidP="00E032B3">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46EE093B" w14:textId="77777777" w:rsidR="00EC65E2" w:rsidRPr="00EC65E2" w:rsidRDefault="00EC65E2" w:rsidP="00E032B3">
            <w:pPr>
              <w:rPr>
                <w:i/>
                <w:iCs/>
                <w:color w:val="000000"/>
                <w:sz w:val="24"/>
                <w:szCs w:val="24"/>
                <w:lang w:val="lv-LV"/>
              </w:rPr>
            </w:pPr>
            <w:r w:rsidRPr="00EC65E2">
              <w:rPr>
                <w:i/>
                <w:iCs/>
                <w:color w:val="000000"/>
                <w:sz w:val="24"/>
                <w:szCs w:val="24"/>
                <w:lang w:val="lv-LV"/>
              </w:rPr>
              <w:t>Neparedz stingrākas prasības.</w:t>
            </w:r>
          </w:p>
        </w:tc>
      </w:tr>
      <w:tr w:rsidR="00EC65E2" w:rsidRPr="00EC65E2" w14:paraId="6BB57E73"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4FE8202B" w14:textId="77777777" w:rsidR="00EC65E2" w:rsidRPr="00EC65E2" w:rsidRDefault="00EC65E2" w:rsidP="00E032B3">
            <w:pPr>
              <w:rPr>
                <w:i/>
                <w:iCs/>
                <w:color w:val="000000"/>
                <w:sz w:val="24"/>
                <w:szCs w:val="24"/>
                <w:lang w:val="lv-LV"/>
              </w:rPr>
            </w:pPr>
            <w:proofErr w:type="spellStart"/>
            <w:r w:rsidRPr="00EC65E2">
              <w:rPr>
                <w:i/>
                <w:iCs/>
                <w:sz w:val="24"/>
                <w:szCs w:val="24"/>
              </w:rPr>
              <w:t>Komisijas</w:t>
            </w:r>
            <w:proofErr w:type="spellEnd"/>
            <w:r w:rsidRPr="00EC65E2">
              <w:rPr>
                <w:i/>
                <w:iCs/>
                <w:sz w:val="24"/>
                <w:szCs w:val="24"/>
              </w:rPr>
              <w:t xml:space="preserve"> </w:t>
            </w:r>
            <w:proofErr w:type="spellStart"/>
            <w:r w:rsidRPr="00EC65E2">
              <w:rPr>
                <w:i/>
                <w:iCs/>
                <w:sz w:val="24"/>
                <w:szCs w:val="24"/>
              </w:rPr>
              <w:t>regulas</w:t>
            </w:r>
            <w:proofErr w:type="spellEnd"/>
            <w:r w:rsidRPr="00EC65E2">
              <w:rPr>
                <w:i/>
                <w:iCs/>
                <w:sz w:val="24"/>
                <w:szCs w:val="24"/>
              </w:rPr>
              <w:t xml:space="preserve"> Nr. </w:t>
            </w:r>
            <w:hyperlink r:id="rId15" w:tgtFrame="_blank" w:history="1">
              <w:r w:rsidRPr="00EC65E2">
                <w:rPr>
                  <w:i/>
                  <w:iCs/>
                  <w:sz w:val="24"/>
                  <w:szCs w:val="24"/>
                </w:rPr>
                <w:t>651/2014</w:t>
              </w:r>
            </w:hyperlink>
            <w:r w:rsidRPr="00EC65E2">
              <w:rPr>
                <w:i/>
                <w:iCs/>
                <w:sz w:val="24"/>
                <w:szCs w:val="24"/>
              </w:rPr>
              <w:t xml:space="preserve"> 1. </w:t>
            </w:r>
            <w:proofErr w:type="spellStart"/>
            <w:r w:rsidRPr="00EC65E2">
              <w:rPr>
                <w:i/>
                <w:iCs/>
                <w:sz w:val="24"/>
                <w:szCs w:val="24"/>
              </w:rPr>
              <w:t>Pielikuma</w:t>
            </w:r>
            <w:proofErr w:type="spellEnd"/>
            <w:r w:rsidRPr="00EC65E2">
              <w:rPr>
                <w:i/>
                <w:iCs/>
                <w:sz w:val="24"/>
                <w:szCs w:val="24"/>
              </w:rPr>
              <w:t xml:space="preserve"> 3. </w:t>
            </w:r>
            <w:proofErr w:type="spellStart"/>
            <w:r w:rsidRPr="00EC65E2">
              <w:rPr>
                <w:i/>
                <w:iCs/>
                <w:sz w:val="24"/>
                <w:szCs w:val="24"/>
              </w:rPr>
              <w:t>panta</w:t>
            </w:r>
            <w:proofErr w:type="spellEnd"/>
            <w:r w:rsidRPr="00EC65E2">
              <w:rPr>
                <w:i/>
                <w:iCs/>
                <w:sz w:val="24"/>
                <w:szCs w:val="24"/>
              </w:rPr>
              <w:t xml:space="preserve"> 3. </w:t>
            </w:r>
            <w:proofErr w:type="spellStart"/>
            <w:r w:rsidRPr="00EC65E2">
              <w:rPr>
                <w:i/>
                <w:iCs/>
                <w:sz w:val="24"/>
                <w:szCs w:val="24"/>
              </w:rPr>
              <w:t>punkts</w:t>
            </w:r>
            <w:proofErr w:type="spellEnd"/>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726F4E7" w14:textId="77777777" w:rsidR="00EC65E2" w:rsidRPr="00EC65E2" w:rsidRDefault="00EC65E2" w:rsidP="00E032B3">
            <w:pPr>
              <w:rPr>
                <w:i/>
                <w:iCs/>
                <w:color w:val="000000"/>
                <w:sz w:val="24"/>
                <w:szCs w:val="24"/>
                <w:lang w:val="lv-LV"/>
              </w:rPr>
            </w:pPr>
            <w:r w:rsidRPr="00EC65E2">
              <w:rPr>
                <w:i/>
                <w:iCs/>
                <w:color w:val="000000"/>
                <w:sz w:val="24"/>
                <w:szCs w:val="24"/>
                <w:lang w:val="lv-LV"/>
              </w:rPr>
              <w:t>Noteikumu projekta 7.punkts</w:t>
            </w:r>
            <w:r w:rsidRPr="00EC65E2" w:rsidDel="00EE2CF1">
              <w:rPr>
                <w:i/>
                <w:iCs/>
                <w:color w:val="000000"/>
                <w:sz w:val="24"/>
                <w:szCs w:val="24"/>
                <w:lang w:val="lv-LV"/>
              </w:rPr>
              <w:t xml:space="preserve"> </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C8E0F3E" w14:textId="77777777" w:rsidR="00EC65E2" w:rsidRPr="00EC65E2" w:rsidRDefault="00EC65E2" w:rsidP="00E032B3">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00EBA8C0" w14:textId="77777777" w:rsidR="00EC65E2" w:rsidRPr="00EC65E2" w:rsidRDefault="00EC65E2" w:rsidP="00E032B3">
            <w:pPr>
              <w:rPr>
                <w:i/>
                <w:iCs/>
                <w:color w:val="000000"/>
                <w:sz w:val="24"/>
                <w:szCs w:val="24"/>
                <w:lang w:val="lv-LV"/>
              </w:rPr>
            </w:pPr>
            <w:r w:rsidRPr="00EC65E2">
              <w:rPr>
                <w:i/>
                <w:iCs/>
                <w:color w:val="000000"/>
                <w:sz w:val="24"/>
                <w:szCs w:val="24"/>
                <w:lang w:val="lv-LV"/>
              </w:rPr>
              <w:t>Neparedz stingrākas prasības.</w:t>
            </w:r>
          </w:p>
        </w:tc>
      </w:tr>
      <w:tr w:rsidR="00EC65E2" w:rsidRPr="00EC65E2" w14:paraId="77241397"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2CC10488" w14:textId="77777777" w:rsidR="00EC65E2" w:rsidRPr="00EC65E2" w:rsidRDefault="00EC65E2" w:rsidP="00E032B3">
            <w:pPr>
              <w:rPr>
                <w:i/>
                <w:iCs/>
                <w:sz w:val="24"/>
                <w:szCs w:val="24"/>
              </w:rPr>
            </w:pPr>
            <w:proofErr w:type="spellStart"/>
            <w:r w:rsidRPr="00EC65E2">
              <w:rPr>
                <w:i/>
                <w:iCs/>
                <w:sz w:val="24"/>
                <w:szCs w:val="24"/>
              </w:rPr>
              <w:t>Komisijas</w:t>
            </w:r>
            <w:proofErr w:type="spellEnd"/>
            <w:r w:rsidRPr="00EC65E2">
              <w:rPr>
                <w:i/>
                <w:iCs/>
                <w:sz w:val="24"/>
                <w:szCs w:val="24"/>
              </w:rPr>
              <w:t xml:space="preserve"> </w:t>
            </w:r>
            <w:proofErr w:type="spellStart"/>
            <w:r w:rsidRPr="00EC65E2">
              <w:rPr>
                <w:i/>
                <w:iCs/>
                <w:sz w:val="24"/>
                <w:szCs w:val="24"/>
              </w:rPr>
              <w:t>regulas</w:t>
            </w:r>
            <w:proofErr w:type="spellEnd"/>
            <w:r w:rsidRPr="00EC65E2">
              <w:rPr>
                <w:i/>
                <w:iCs/>
                <w:sz w:val="24"/>
                <w:szCs w:val="24"/>
              </w:rPr>
              <w:t xml:space="preserve"> Nr. </w:t>
            </w:r>
            <w:hyperlink r:id="rId16" w:tgtFrame="_blank" w:history="1">
              <w:r w:rsidRPr="00EC65E2">
                <w:rPr>
                  <w:i/>
                  <w:iCs/>
                  <w:sz w:val="24"/>
                  <w:szCs w:val="24"/>
                </w:rPr>
                <w:t>651/2014</w:t>
              </w:r>
            </w:hyperlink>
            <w:r w:rsidRPr="00EC65E2">
              <w:rPr>
                <w:i/>
                <w:iCs/>
                <w:sz w:val="24"/>
                <w:szCs w:val="24"/>
              </w:rPr>
              <w:t xml:space="preserve"> 2.panta 18.punkts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3D79314" w14:textId="69283BA1" w:rsidR="00EC65E2" w:rsidRPr="00EC65E2" w:rsidRDefault="00EC65E2" w:rsidP="00E032B3">
            <w:pPr>
              <w:rPr>
                <w:i/>
                <w:iCs/>
                <w:color w:val="000000"/>
                <w:sz w:val="24"/>
                <w:szCs w:val="24"/>
                <w:lang w:val="lv-LV"/>
              </w:rPr>
            </w:pPr>
            <w:r w:rsidRPr="00EC65E2">
              <w:rPr>
                <w:i/>
                <w:iCs/>
                <w:color w:val="000000"/>
                <w:sz w:val="24"/>
                <w:szCs w:val="24"/>
                <w:lang w:val="lv-LV"/>
              </w:rPr>
              <w:t xml:space="preserve">Noteikumu projekta </w:t>
            </w:r>
            <w:r w:rsidR="00F81D48">
              <w:rPr>
                <w:i/>
                <w:iCs/>
                <w:color w:val="000000"/>
                <w:sz w:val="24"/>
                <w:szCs w:val="24"/>
                <w:lang w:val="lv-LV"/>
              </w:rPr>
              <w:t>2</w:t>
            </w:r>
            <w:r w:rsidR="00131360">
              <w:rPr>
                <w:i/>
                <w:iCs/>
                <w:color w:val="000000"/>
                <w:sz w:val="24"/>
                <w:szCs w:val="24"/>
                <w:lang w:val="lv-LV"/>
              </w:rPr>
              <w:t>3.4</w:t>
            </w:r>
            <w:r w:rsidRPr="00EC65E2">
              <w:rPr>
                <w:i/>
                <w:iCs/>
                <w:color w:val="000000"/>
                <w:sz w:val="24"/>
                <w:szCs w:val="24"/>
                <w:lang w:val="lv-LV"/>
              </w:rPr>
              <w:t>.punkts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0320630" w14:textId="77777777" w:rsidR="00EC65E2" w:rsidRPr="00EC65E2" w:rsidRDefault="00EC65E2" w:rsidP="00E032B3">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1A242174" w14:textId="77777777" w:rsidR="00EC65E2" w:rsidRPr="00EC65E2" w:rsidRDefault="00EC65E2" w:rsidP="00E032B3">
            <w:pPr>
              <w:rPr>
                <w:i/>
                <w:iCs/>
                <w:color w:val="000000"/>
                <w:sz w:val="24"/>
                <w:szCs w:val="24"/>
                <w:lang w:val="lv-LV"/>
              </w:rPr>
            </w:pPr>
            <w:r w:rsidRPr="00EC65E2">
              <w:rPr>
                <w:i/>
                <w:iCs/>
                <w:color w:val="000000"/>
                <w:sz w:val="24"/>
                <w:szCs w:val="24"/>
                <w:lang w:val="lv-LV"/>
              </w:rPr>
              <w:t>Neparedz stingrākas prasības.</w:t>
            </w:r>
          </w:p>
        </w:tc>
      </w:tr>
      <w:tr w:rsidR="00EC65E2" w:rsidRPr="00EC65E2" w14:paraId="71CF041D"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07020200" w14:textId="77777777" w:rsidR="00EC65E2" w:rsidRDefault="00F81D48" w:rsidP="00E032B3">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3E1075C2" w14:textId="7657238C" w:rsidR="00F81D48" w:rsidRPr="00EC65E2" w:rsidRDefault="00F81D48" w:rsidP="00E032B3">
            <w:pPr>
              <w:rPr>
                <w:i/>
                <w:iCs/>
                <w:sz w:val="24"/>
                <w:szCs w:val="24"/>
              </w:rPr>
            </w:pPr>
            <w:r>
              <w:rPr>
                <w:i/>
                <w:iCs/>
                <w:sz w:val="24"/>
                <w:szCs w:val="24"/>
              </w:rPr>
              <w:t xml:space="preserve">3.3.sadaļas 27bis </w:t>
            </w:r>
            <w:proofErr w:type="spellStart"/>
            <w:r>
              <w:rPr>
                <w:i/>
                <w:iCs/>
                <w:sz w:val="24"/>
                <w:szCs w:val="24"/>
              </w:rPr>
              <w:t>punkts</w:t>
            </w:r>
            <w:proofErr w:type="spellEnd"/>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88260BB" w14:textId="73BCE72E" w:rsidR="00EC65E2" w:rsidRPr="00EC65E2" w:rsidRDefault="00EC65E2" w:rsidP="00E032B3">
            <w:pPr>
              <w:rPr>
                <w:i/>
                <w:iCs/>
                <w:color w:val="000000"/>
                <w:sz w:val="24"/>
                <w:szCs w:val="24"/>
                <w:lang w:val="lv-LV"/>
              </w:rPr>
            </w:pPr>
            <w:r w:rsidRPr="00EC65E2">
              <w:rPr>
                <w:i/>
                <w:iCs/>
                <w:color w:val="000000"/>
                <w:sz w:val="24"/>
                <w:szCs w:val="24"/>
                <w:lang w:val="lv-LV"/>
              </w:rPr>
              <w:t xml:space="preserve">Noteikumu projekts </w:t>
            </w:r>
            <w:r w:rsidR="00F81D48">
              <w:rPr>
                <w:i/>
                <w:iCs/>
                <w:color w:val="000000"/>
                <w:sz w:val="24"/>
                <w:szCs w:val="24"/>
                <w:lang w:val="lv-LV"/>
              </w:rPr>
              <w:t>27</w:t>
            </w:r>
            <w:r w:rsidRPr="00EC65E2">
              <w:rPr>
                <w:i/>
                <w:iCs/>
                <w:color w:val="000000"/>
                <w:sz w:val="24"/>
                <w:szCs w:val="24"/>
                <w:lang w:val="lv-LV"/>
              </w:rPr>
              <w:t>.</w:t>
            </w:r>
            <w:r w:rsidR="00F81D48">
              <w:rPr>
                <w:i/>
                <w:iCs/>
                <w:color w:val="000000"/>
                <w:sz w:val="24"/>
                <w:szCs w:val="24"/>
                <w:lang w:val="lv-LV"/>
              </w:rPr>
              <w:t>, 28.</w:t>
            </w:r>
            <w:r w:rsidRPr="00EC65E2">
              <w:rPr>
                <w:i/>
                <w:iCs/>
                <w:color w:val="000000"/>
                <w:sz w:val="24"/>
                <w:szCs w:val="24"/>
                <w:lang w:val="lv-LV"/>
              </w:rPr>
              <w:t>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CC5A3D3" w14:textId="77777777" w:rsidR="00EC65E2" w:rsidRPr="00EC65E2" w:rsidRDefault="00EC65E2" w:rsidP="00E032B3">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252AB0D8" w14:textId="77777777" w:rsidR="00EC65E2" w:rsidRPr="00EC65E2" w:rsidRDefault="00EC65E2" w:rsidP="00E032B3">
            <w:pPr>
              <w:rPr>
                <w:i/>
                <w:iCs/>
                <w:color w:val="000000"/>
                <w:sz w:val="24"/>
                <w:szCs w:val="24"/>
                <w:lang w:val="lv-LV"/>
              </w:rPr>
            </w:pPr>
            <w:r w:rsidRPr="00EC65E2">
              <w:rPr>
                <w:i/>
                <w:iCs/>
                <w:color w:val="000000"/>
                <w:sz w:val="24"/>
                <w:szCs w:val="24"/>
                <w:lang w:val="lv-LV"/>
              </w:rPr>
              <w:t>Neparedz stingrākas prasības.</w:t>
            </w:r>
          </w:p>
        </w:tc>
      </w:tr>
      <w:tr w:rsidR="00E032B3" w:rsidRPr="00EC65E2" w14:paraId="16F85275"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6493D46C" w14:textId="77777777" w:rsidR="00E032B3" w:rsidRDefault="00E032B3" w:rsidP="00E032B3">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r>
              <w:rPr>
                <w:i/>
                <w:iCs/>
                <w:sz w:val="24"/>
                <w:szCs w:val="24"/>
              </w:rPr>
              <w:t xml:space="preserve"> </w:t>
            </w:r>
          </w:p>
          <w:p w14:paraId="16491BFD" w14:textId="77777777" w:rsidR="00E032B3" w:rsidRDefault="00E032B3" w:rsidP="00E032B3">
            <w:pPr>
              <w:rPr>
                <w:i/>
                <w:iCs/>
                <w:sz w:val="24"/>
                <w:szCs w:val="24"/>
              </w:rPr>
            </w:pPr>
            <w:r>
              <w:rPr>
                <w:i/>
                <w:iCs/>
                <w:sz w:val="24"/>
                <w:szCs w:val="24"/>
              </w:rPr>
              <w:t>44.punkts</w:t>
            </w:r>
          </w:p>
          <w:p w14:paraId="7BD7FA65" w14:textId="77777777" w:rsidR="00E032B3" w:rsidRDefault="00E032B3" w:rsidP="00E032B3">
            <w:pPr>
              <w:rPr>
                <w:i/>
                <w:iCs/>
                <w:sz w:val="24"/>
                <w:szCs w:val="24"/>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F807FC4" w14:textId="77777777" w:rsidR="00E032B3" w:rsidRDefault="00E032B3" w:rsidP="00E032B3">
            <w:pPr>
              <w:rPr>
                <w:i/>
                <w:iCs/>
                <w:color w:val="000000"/>
                <w:sz w:val="24"/>
                <w:szCs w:val="24"/>
                <w:lang w:val="lv-LV"/>
              </w:rPr>
            </w:pPr>
            <w:r w:rsidRPr="00EC65E2">
              <w:rPr>
                <w:i/>
                <w:iCs/>
                <w:color w:val="000000"/>
                <w:sz w:val="24"/>
                <w:szCs w:val="24"/>
                <w:lang w:val="lv-LV"/>
              </w:rPr>
              <w:t>Noteikumu projekta</w:t>
            </w:r>
          </w:p>
          <w:p w14:paraId="27ADEA08" w14:textId="1FB233BC" w:rsidR="00E032B3" w:rsidRPr="00EC65E2" w:rsidRDefault="00E032B3" w:rsidP="00E032B3">
            <w:pPr>
              <w:rPr>
                <w:i/>
                <w:iCs/>
                <w:color w:val="000000"/>
                <w:sz w:val="24"/>
                <w:szCs w:val="24"/>
                <w:lang w:val="lv-LV"/>
              </w:rPr>
            </w:pPr>
            <w:r>
              <w:rPr>
                <w:i/>
                <w:iCs/>
                <w:color w:val="000000"/>
                <w:sz w:val="24"/>
                <w:szCs w:val="24"/>
                <w:lang w:val="lv-LV"/>
              </w:rPr>
              <w:t>2., 16., 17., 22., 23.-25.punkts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5F7F9C4" w14:textId="77530CC0" w:rsidR="00E032B3" w:rsidRPr="00EC65E2" w:rsidRDefault="00E032B3" w:rsidP="00E032B3">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2535AB46" w14:textId="481D29F8" w:rsidR="00E032B3" w:rsidRPr="00EC65E2" w:rsidRDefault="00E032B3" w:rsidP="00E032B3">
            <w:pPr>
              <w:rPr>
                <w:i/>
                <w:iCs/>
                <w:color w:val="000000"/>
                <w:sz w:val="24"/>
                <w:szCs w:val="24"/>
                <w:lang w:val="lv-LV"/>
              </w:rPr>
            </w:pPr>
            <w:r w:rsidRPr="00EC65E2">
              <w:rPr>
                <w:i/>
                <w:iCs/>
                <w:color w:val="000000"/>
                <w:sz w:val="24"/>
                <w:szCs w:val="24"/>
                <w:lang w:val="lv-LV"/>
              </w:rPr>
              <w:t>Neparedz stingrākas prasības.</w:t>
            </w:r>
          </w:p>
        </w:tc>
      </w:tr>
      <w:tr w:rsidR="00E032B3" w:rsidRPr="00EC65E2" w14:paraId="1E97EB27"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1FF62EC7" w14:textId="77777777" w:rsidR="00E032B3" w:rsidRDefault="00E032B3" w:rsidP="00E032B3">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r>
              <w:rPr>
                <w:i/>
                <w:iCs/>
                <w:sz w:val="24"/>
                <w:szCs w:val="24"/>
              </w:rPr>
              <w:t xml:space="preserve"> </w:t>
            </w:r>
          </w:p>
          <w:p w14:paraId="426D46A2" w14:textId="62CE19C6" w:rsidR="00E032B3" w:rsidRDefault="00E032B3" w:rsidP="00E032B3">
            <w:pPr>
              <w:rPr>
                <w:i/>
                <w:iCs/>
                <w:sz w:val="24"/>
                <w:szCs w:val="24"/>
              </w:rPr>
            </w:pPr>
            <w:r>
              <w:rPr>
                <w:i/>
                <w:iCs/>
                <w:sz w:val="24"/>
                <w:szCs w:val="24"/>
              </w:rPr>
              <w:t>45.punkts</w:t>
            </w:r>
          </w:p>
          <w:p w14:paraId="5D1B399F" w14:textId="77777777" w:rsidR="00E032B3" w:rsidRDefault="00E032B3" w:rsidP="00E032B3">
            <w:pPr>
              <w:rPr>
                <w:i/>
                <w:iCs/>
                <w:sz w:val="24"/>
                <w:szCs w:val="24"/>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87E6F69" w14:textId="6CEE609C" w:rsidR="00E032B3" w:rsidRPr="00EC65E2" w:rsidRDefault="00E032B3" w:rsidP="00E032B3">
            <w:pPr>
              <w:rPr>
                <w:i/>
                <w:iCs/>
                <w:color w:val="000000"/>
                <w:sz w:val="24"/>
                <w:szCs w:val="24"/>
                <w:lang w:val="lv-LV"/>
              </w:rPr>
            </w:pPr>
            <w:r w:rsidRPr="00EC65E2">
              <w:rPr>
                <w:i/>
                <w:iCs/>
                <w:color w:val="000000"/>
                <w:sz w:val="24"/>
                <w:szCs w:val="24"/>
                <w:lang w:val="lv-LV"/>
              </w:rPr>
              <w:t xml:space="preserve">Noteikumu projekta </w:t>
            </w:r>
            <w:r>
              <w:rPr>
                <w:i/>
                <w:iCs/>
                <w:color w:val="000000"/>
                <w:sz w:val="24"/>
                <w:szCs w:val="24"/>
                <w:lang w:val="lv-LV"/>
              </w:rPr>
              <w:t>16.-22., 24.-25., 29.-33.punkts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5850981" w14:textId="3A788C12" w:rsidR="00E032B3" w:rsidRPr="00EC65E2" w:rsidRDefault="00E032B3" w:rsidP="00E032B3">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7BCA652A" w14:textId="3DA25499" w:rsidR="00E032B3" w:rsidRPr="00EC65E2" w:rsidRDefault="00E032B3" w:rsidP="00E032B3">
            <w:pPr>
              <w:rPr>
                <w:i/>
                <w:iCs/>
                <w:color w:val="000000"/>
                <w:sz w:val="24"/>
                <w:szCs w:val="24"/>
                <w:lang w:val="lv-LV"/>
              </w:rPr>
            </w:pPr>
            <w:r w:rsidRPr="00EC65E2">
              <w:rPr>
                <w:i/>
                <w:iCs/>
                <w:color w:val="000000"/>
                <w:sz w:val="24"/>
                <w:szCs w:val="24"/>
                <w:lang w:val="lv-LV"/>
              </w:rPr>
              <w:t>Neparedz stingrākas prasības.</w:t>
            </w:r>
          </w:p>
        </w:tc>
      </w:tr>
      <w:tr w:rsidR="00E032B3" w:rsidRPr="00EC65E2" w14:paraId="78772878"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0764F6DD" w14:textId="511EFA36" w:rsidR="00E032B3" w:rsidRDefault="00E032B3" w:rsidP="00E032B3">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r>
              <w:rPr>
                <w:i/>
                <w:iCs/>
                <w:sz w:val="24"/>
                <w:szCs w:val="24"/>
              </w:rPr>
              <w:t xml:space="preserve"> 46.punkts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D893748" w14:textId="77777777" w:rsidR="00E032B3" w:rsidRDefault="00E032B3" w:rsidP="00E032B3">
            <w:pPr>
              <w:rPr>
                <w:i/>
                <w:iCs/>
                <w:color w:val="000000"/>
                <w:sz w:val="24"/>
                <w:szCs w:val="24"/>
                <w:lang w:val="lv-LV"/>
              </w:rPr>
            </w:pPr>
            <w:r w:rsidRPr="00EC65E2">
              <w:rPr>
                <w:i/>
                <w:iCs/>
                <w:color w:val="000000"/>
                <w:sz w:val="24"/>
                <w:szCs w:val="24"/>
                <w:lang w:val="lv-LV"/>
              </w:rPr>
              <w:t xml:space="preserve">Noteikumu projekta </w:t>
            </w:r>
          </w:p>
          <w:p w14:paraId="475F2C17" w14:textId="005E5255" w:rsidR="00E032B3" w:rsidRPr="00EC65E2" w:rsidRDefault="00E032B3" w:rsidP="00E032B3">
            <w:pPr>
              <w:rPr>
                <w:i/>
                <w:iCs/>
                <w:color w:val="000000"/>
                <w:sz w:val="24"/>
                <w:szCs w:val="24"/>
                <w:lang w:val="lv-LV"/>
              </w:rPr>
            </w:pPr>
            <w:r>
              <w:rPr>
                <w:i/>
                <w:iCs/>
                <w:color w:val="000000"/>
                <w:sz w:val="24"/>
                <w:szCs w:val="24"/>
                <w:lang w:val="lv-LV"/>
              </w:rPr>
              <w:t>2., 5., 16. 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92B43DA" w14:textId="1AD6D382" w:rsidR="00E032B3" w:rsidRPr="00EC65E2" w:rsidRDefault="00E032B3" w:rsidP="00E032B3">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7BD6BF55" w14:textId="3E7CE0F1" w:rsidR="00E032B3" w:rsidRPr="00EC65E2" w:rsidRDefault="00E032B3" w:rsidP="00E032B3">
            <w:pPr>
              <w:rPr>
                <w:i/>
                <w:iCs/>
                <w:color w:val="000000"/>
                <w:sz w:val="24"/>
                <w:szCs w:val="24"/>
                <w:lang w:val="lv-LV"/>
              </w:rPr>
            </w:pPr>
            <w:r w:rsidRPr="00EC65E2">
              <w:rPr>
                <w:i/>
                <w:iCs/>
                <w:color w:val="000000"/>
                <w:sz w:val="24"/>
                <w:szCs w:val="24"/>
                <w:lang w:val="lv-LV"/>
              </w:rPr>
              <w:t>Neparedz stingrākas prasības.</w:t>
            </w:r>
          </w:p>
        </w:tc>
      </w:tr>
      <w:tr w:rsidR="00E032B3" w:rsidRPr="00EC65E2" w14:paraId="7D5F04B5"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392A4148" w14:textId="59AE2814" w:rsidR="00E032B3" w:rsidRDefault="00E032B3" w:rsidP="00E032B3">
            <w:pPr>
              <w:rPr>
                <w:i/>
                <w:iCs/>
                <w:sz w:val="24"/>
                <w:szCs w:val="24"/>
              </w:rPr>
            </w:pPr>
            <w:proofErr w:type="spellStart"/>
            <w:r>
              <w:rPr>
                <w:i/>
                <w:iCs/>
                <w:sz w:val="24"/>
                <w:szCs w:val="24"/>
              </w:rPr>
              <w:lastRenderedPageBreak/>
              <w:t>Komisijas</w:t>
            </w:r>
            <w:proofErr w:type="spellEnd"/>
            <w:r>
              <w:rPr>
                <w:i/>
                <w:iCs/>
                <w:sz w:val="24"/>
                <w:szCs w:val="24"/>
              </w:rPr>
              <w:t xml:space="preserve"> </w:t>
            </w:r>
            <w:proofErr w:type="spellStart"/>
            <w:r>
              <w:rPr>
                <w:i/>
                <w:iCs/>
                <w:sz w:val="24"/>
                <w:szCs w:val="24"/>
              </w:rPr>
              <w:t>paziņojums</w:t>
            </w:r>
            <w:proofErr w:type="spellEnd"/>
            <w:r>
              <w:rPr>
                <w:i/>
                <w:iCs/>
                <w:sz w:val="24"/>
                <w:szCs w:val="24"/>
              </w:rPr>
              <w:t xml:space="preserve"> 47.punkts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51739A7" w14:textId="541AAC09" w:rsidR="00E032B3" w:rsidRPr="00EC65E2" w:rsidRDefault="00E032B3" w:rsidP="00E032B3">
            <w:pPr>
              <w:rPr>
                <w:i/>
                <w:iCs/>
                <w:color w:val="000000"/>
                <w:sz w:val="24"/>
                <w:szCs w:val="24"/>
                <w:lang w:val="lv-LV"/>
              </w:rPr>
            </w:pPr>
            <w:r w:rsidRPr="00EC65E2">
              <w:rPr>
                <w:i/>
                <w:iCs/>
                <w:color w:val="000000"/>
                <w:sz w:val="24"/>
                <w:szCs w:val="24"/>
                <w:lang w:val="lv-LV"/>
              </w:rPr>
              <w:t xml:space="preserve">Noteikumu projekta </w:t>
            </w:r>
            <w:r>
              <w:rPr>
                <w:i/>
                <w:iCs/>
                <w:color w:val="000000"/>
                <w:sz w:val="24"/>
                <w:szCs w:val="24"/>
                <w:lang w:val="lv-LV"/>
              </w:rPr>
              <w:t>26.-27.punkts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70B94FC" w14:textId="4421309D" w:rsidR="00E032B3" w:rsidRPr="00EC65E2" w:rsidRDefault="00E032B3" w:rsidP="00E032B3">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625F4ECD" w14:textId="4852BDFE" w:rsidR="00E032B3" w:rsidRPr="00EC65E2" w:rsidRDefault="00E032B3" w:rsidP="00E032B3">
            <w:pPr>
              <w:rPr>
                <w:i/>
                <w:iCs/>
                <w:color w:val="000000"/>
                <w:sz w:val="24"/>
                <w:szCs w:val="24"/>
                <w:lang w:val="lv-LV"/>
              </w:rPr>
            </w:pPr>
            <w:r w:rsidRPr="00EC65E2">
              <w:rPr>
                <w:i/>
                <w:iCs/>
                <w:color w:val="000000"/>
                <w:sz w:val="24"/>
                <w:szCs w:val="24"/>
                <w:lang w:val="lv-LV"/>
              </w:rPr>
              <w:t>Neparedz stingrākas prasības.</w:t>
            </w:r>
          </w:p>
        </w:tc>
      </w:tr>
      <w:tr w:rsidR="00E032B3" w:rsidRPr="00EC65E2" w14:paraId="0DB96BCA"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7274277C" w14:textId="77777777" w:rsidR="00E032B3" w:rsidRDefault="00E032B3" w:rsidP="00E032B3">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7AEB0EE9" w14:textId="43C23729" w:rsidR="00E032B3" w:rsidRDefault="00E032B3" w:rsidP="00E032B3">
            <w:pPr>
              <w:rPr>
                <w:i/>
                <w:iCs/>
                <w:sz w:val="24"/>
                <w:szCs w:val="24"/>
              </w:rPr>
            </w:pPr>
            <w:r>
              <w:rPr>
                <w:i/>
                <w:iCs/>
                <w:sz w:val="24"/>
                <w:szCs w:val="24"/>
              </w:rPr>
              <w:t>48.punkts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6A7F516" w14:textId="1E46A632" w:rsidR="00E032B3" w:rsidRDefault="00E032B3" w:rsidP="00E032B3">
            <w:pPr>
              <w:rPr>
                <w:i/>
                <w:iCs/>
                <w:color w:val="000000"/>
                <w:sz w:val="24"/>
                <w:szCs w:val="24"/>
                <w:lang w:val="lv-LV"/>
              </w:rPr>
            </w:pPr>
            <w:r w:rsidRPr="00EC65E2">
              <w:rPr>
                <w:i/>
                <w:iCs/>
                <w:color w:val="000000"/>
                <w:sz w:val="24"/>
                <w:szCs w:val="24"/>
                <w:lang w:val="lv-LV"/>
              </w:rPr>
              <w:t xml:space="preserve">Noteikumu projekta </w:t>
            </w:r>
            <w:r>
              <w:rPr>
                <w:i/>
                <w:iCs/>
                <w:color w:val="000000"/>
                <w:sz w:val="24"/>
                <w:szCs w:val="24"/>
                <w:lang w:val="lv-LV"/>
              </w:rPr>
              <w:t>28.punkts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4720AF6" w14:textId="3701F7F5" w:rsidR="00E032B3" w:rsidRPr="00EC65E2" w:rsidRDefault="00E032B3" w:rsidP="00E032B3">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761B3B28" w14:textId="61924732" w:rsidR="00E032B3" w:rsidRPr="00EC65E2" w:rsidRDefault="00E032B3" w:rsidP="00E032B3">
            <w:pPr>
              <w:rPr>
                <w:i/>
                <w:iCs/>
                <w:color w:val="000000"/>
                <w:sz w:val="24"/>
                <w:szCs w:val="24"/>
                <w:lang w:val="lv-LV"/>
              </w:rPr>
            </w:pPr>
            <w:r w:rsidRPr="00EC65E2">
              <w:rPr>
                <w:i/>
                <w:iCs/>
                <w:color w:val="000000"/>
                <w:sz w:val="24"/>
                <w:szCs w:val="24"/>
                <w:lang w:val="lv-LV"/>
              </w:rPr>
              <w:t>Neparedz stingrākas prasības.</w:t>
            </w:r>
          </w:p>
        </w:tc>
      </w:tr>
      <w:tr w:rsidR="00EF3D28" w:rsidRPr="00EC65E2" w14:paraId="09E524D1"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3153F92A"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414485B8" w14:textId="41C057DB" w:rsidR="00EF3D28" w:rsidRDefault="00EF3D28" w:rsidP="00EF3D28">
            <w:pPr>
              <w:rPr>
                <w:i/>
                <w:iCs/>
                <w:sz w:val="24"/>
                <w:szCs w:val="24"/>
              </w:rPr>
            </w:pPr>
            <w:r>
              <w:rPr>
                <w:i/>
                <w:iCs/>
                <w:sz w:val="24"/>
                <w:szCs w:val="24"/>
              </w:rPr>
              <w:t>49.punkts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1F73F05" w14:textId="77777777" w:rsidR="00EF3D28" w:rsidRDefault="00EF3D28" w:rsidP="00EF3D28">
            <w:pPr>
              <w:rPr>
                <w:i/>
                <w:iCs/>
                <w:color w:val="000000"/>
                <w:sz w:val="24"/>
                <w:szCs w:val="24"/>
                <w:lang w:val="lv-LV"/>
              </w:rPr>
            </w:pPr>
            <w:r w:rsidRPr="00EC65E2">
              <w:rPr>
                <w:i/>
                <w:iCs/>
                <w:color w:val="000000"/>
                <w:sz w:val="24"/>
                <w:szCs w:val="24"/>
                <w:lang w:val="lv-LV"/>
              </w:rPr>
              <w:t xml:space="preserve">Noteikumu projekta </w:t>
            </w:r>
          </w:p>
          <w:p w14:paraId="7CCAC852" w14:textId="39C47CDF" w:rsidR="00EF3D28" w:rsidRPr="00EC65E2" w:rsidRDefault="00EF3D28" w:rsidP="00EF3D28">
            <w:pPr>
              <w:rPr>
                <w:i/>
                <w:iCs/>
                <w:color w:val="000000"/>
                <w:sz w:val="24"/>
                <w:szCs w:val="24"/>
                <w:lang w:val="lv-LV"/>
              </w:rPr>
            </w:pPr>
            <w:r>
              <w:rPr>
                <w:i/>
                <w:iCs/>
                <w:color w:val="000000"/>
                <w:sz w:val="24"/>
                <w:szCs w:val="24"/>
                <w:lang w:val="lv-LV"/>
              </w:rPr>
              <w:t>2., 22.-24.punkts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A73E1E3" w14:textId="6DF7D26D"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1AAD6AC1" w14:textId="575088B9"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04DD88EF"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1A65A3F2"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1212117B" w14:textId="1EBFFC03" w:rsidR="00EF3D28" w:rsidRDefault="00EF3D28" w:rsidP="00EF3D28">
            <w:pPr>
              <w:rPr>
                <w:i/>
                <w:iCs/>
                <w:sz w:val="24"/>
                <w:szCs w:val="24"/>
              </w:rPr>
            </w:pPr>
            <w:r>
              <w:rPr>
                <w:i/>
                <w:iCs/>
                <w:sz w:val="24"/>
                <w:szCs w:val="24"/>
              </w:rPr>
              <w:t>50.punkts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A3552AE" w14:textId="45396BA6" w:rsidR="00EF3D28" w:rsidRPr="00EC65E2" w:rsidRDefault="00EF3D28" w:rsidP="00EF3D28">
            <w:pPr>
              <w:rPr>
                <w:i/>
                <w:iCs/>
                <w:color w:val="000000"/>
                <w:sz w:val="24"/>
                <w:szCs w:val="24"/>
                <w:lang w:val="lv-LV"/>
              </w:rPr>
            </w:pPr>
            <w:r w:rsidRPr="00EC65E2">
              <w:rPr>
                <w:i/>
                <w:iCs/>
                <w:color w:val="000000"/>
                <w:sz w:val="24"/>
                <w:szCs w:val="24"/>
                <w:lang w:val="lv-LV"/>
              </w:rPr>
              <w:t xml:space="preserve">Noteikumu projekta </w:t>
            </w:r>
            <w:r>
              <w:rPr>
                <w:i/>
                <w:iCs/>
                <w:color w:val="000000"/>
                <w:sz w:val="24"/>
                <w:szCs w:val="24"/>
                <w:lang w:val="lv-LV"/>
              </w:rPr>
              <w:t>22.punkts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AB1C37D" w14:textId="7E4BA9D8"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20A569EE" w14:textId="37BFB07E"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0D05A9F9"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22CD0BD1"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19AB55B6" w14:textId="0DCBB318" w:rsidR="00EF3D28" w:rsidRDefault="00EF3D28" w:rsidP="00EF3D28">
            <w:pPr>
              <w:rPr>
                <w:i/>
                <w:iCs/>
                <w:sz w:val="24"/>
                <w:szCs w:val="24"/>
              </w:rPr>
            </w:pPr>
            <w:r>
              <w:rPr>
                <w:i/>
                <w:iCs/>
                <w:sz w:val="24"/>
                <w:szCs w:val="24"/>
              </w:rPr>
              <w:t>52.punkts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C6825FA" w14:textId="77777777" w:rsidR="00EF3D28" w:rsidRDefault="00EF3D28" w:rsidP="00EF3D28">
            <w:pPr>
              <w:rPr>
                <w:i/>
                <w:iCs/>
                <w:color w:val="000000"/>
                <w:sz w:val="24"/>
                <w:szCs w:val="24"/>
                <w:lang w:val="lv-LV"/>
              </w:rPr>
            </w:pPr>
            <w:r w:rsidRPr="00EC65E2">
              <w:rPr>
                <w:i/>
                <w:iCs/>
                <w:color w:val="000000"/>
                <w:sz w:val="24"/>
                <w:szCs w:val="24"/>
                <w:lang w:val="lv-LV"/>
              </w:rPr>
              <w:t>Noteikumu projekta</w:t>
            </w:r>
            <w:r>
              <w:rPr>
                <w:i/>
                <w:iCs/>
                <w:color w:val="000000"/>
                <w:sz w:val="24"/>
                <w:szCs w:val="24"/>
                <w:lang w:val="lv-LV"/>
              </w:rPr>
              <w:t xml:space="preserve"> </w:t>
            </w:r>
          </w:p>
          <w:p w14:paraId="5D03DE0A" w14:textId="081BA336" w:rsidR="00EF3D28" w:rsidRPr="00EC65E2" w:rsidRDefault="00EF3D28" w:rsidP="00EF3D28">
            <w:pPr>
              <w:rPr>
                <w:i/>
                <w:iCs/>
                <w:color w:val="000000"/>
                <w:sz w:val="24"/>
                <w:szCs w:val="24"/>
                <w:lang w:val="lv-LV"/>
              </w:rPr>
            </w:pPr>
            <w:r>
              <w:rPr>
                <w:i/>
                <w:iCs/>
                <w:color w:val="000000"/>
                <w:sz w:val="24"/>
                <w:szCs w:val="24"/>
                <w:lang w:val="lv-LV"/>
              </w:rPr>
              <w:t>16.punkts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86A04F0" w14:textId="3D251150"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164C6D31" w14:textId="5215F990"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1BF7678D"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7121D978"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3DD70BA0" w14:textId="239A5198" w:rsidR="00EF3D28" w:rsidRDefault="00EF3D28" w:rsidP="00EF3D28">
            <w:pPr>
              <w:rPr>
                <w:i/>
                <w:iCs/>
                <w:sz w:val="24"/>
                <w:szCs w:val="24"/>
              </w:rPr>
            </w:pPr>
            <w:r>
              <w:rPr>
                <w:i/>
                <w:iCs/>
                <w:sz w:val="24"/>
                <w:szCs w:val="24"/>
              </w:rPr>
              <w:t>53.punkts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DE5CEEA" w14:textId="61AECE7B" w:rsidR="00EF3D28" w:rsidRPr="00EC65E2" w:rsidRDefault="00EF3D28" w:rsidP="00EF3D28">
            <w:pPr>
              <w:rPr>
                <w:i/>
                <w:iCs/>
                <w:color w:val="000000"/>
                <w:sz w:val="24"/>
                <w:szCs w:val="24"/>
                <w:lang w:val="lv-LV"/>
              </w:rPr>
            </w:pPr>
            <w:r w:rsidRPr="00EC65E2">
              <w:rPr>
                <w:i/>
                <w:iCs/>
                <w:color w:val="000000"/>
                <w:sz w:val="24"/>
                <w:szCs w:val="24"/>
                <w:lang w:val="lv-LV"/>
              </w:rPr>
              <w:t>Noteikumu projekta</w:t>
            </w:r>
            <w:r>
              <w:rPr>
                <w:i/>
                <w:iCs/>
                <w:color w:val="000000"/>
                <w:sz w:val="24"/>
                <w:szCs w:val="24"/>
                <w:lang w:val="lv-LV"/>
              </w:rPr>
              <w:t xml:space="preserve"> 17.punkts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43FE662" w14:textId="4D7D24C5"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527635B6" w14:textId="54F8847D"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598AED59"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29C02701"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7D4C5D4B" w14:textId="71894F11" w:rsidR="00EF3D28" w:rsidRDefault="00EF3D28" w:rsidP="00EF3D28">
            <w:pPr>
              <w:rPr>
                <w:i/>
                <w:iCs/>
                <w:sz w:val="24"/>
                <w:szCs w:val="24"/>
              </w:rPr>
            </w:pPr>
            <w:r>
              <w:rPr>
                <w:i/>
                <w:iCs/>
                <w:sz w:val="24"/>
                <w:szCs w:val="24"/>
              </w:rPr>
              <w:t>54.punkts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312E4EA"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75A3F49D" w14:textId="00CC4868" w:rsidR="00EF3D28" w:rsidRPr="00EC65E2" w:rsidRDefault="00EF3D28" w:rsidP="00EF3D28">
            <w:pPr>
              <w:rPr>
                <w:i/>
                <w:iCs/>
                <w:color w:val="000000"/>
                <w:sz w:val="24"/>
                <w:szCs w:val="24"/>
                <w:lang w:val="lv-LV"/>
              </w:rPr>
            </w:pPr>
            <w:r>
              <w:rPr>
                <w:i/>
                <w:iCs/>
                <w:color w:val="000000"/>
                <w:sz w:val="24"/>
                <w:szCs w:val="24"/>
                <w:lang w:val="lv-LV"/>
              </w:rPr>
              <w:t>25.punkts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DEC1A4E" w14:textId="4FE2C2F4"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55B9F222" w14:textId="495DF09E"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7AA36F3D"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3A807143"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064F2A2E" w14:textId="77777777" w:rsidR="00EF3D28" w:rsidRDefault="00EF3D28" w:rsidP="00EF3D28">
            <w:pPr>
              <w:rPr>
                <w:i/>
                <w:iCs/>
                <w:sz w:val="24"/>
                <w:szCs w:val="24"/>
              </w:rPr>
            </w:pPr>
            <w:r>
              <w:rPr>
                <w:i/>
                <w:iCs/>
                <w:sz w:val="24"/>
                <w:szCs w:val="24"/>
              </w:rPr>
              <w:t>55.punkts</w:t>
            </w:r>
          </w:p>
          <w:p w14:paraId="2FB72EAF" w14:textId="77777777" w:rsidR="00EF3D28" w:rsidRDefault="00EF3D28" w:rsidP="00EF3D28">
            <w:pPr>
              <w:rPr>
                <w:i/>
                <w:iCs/>
                <w:sz w:val="24"/>
                <w:szCs w:val="24"/>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E100E91"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2186AD8B" w14:textId="46323BF4" w:rsidR="00EF3D28" w:rsidRPr="00EC65E2" w:rsidRDefault="00EF3D28" w:rsidP="00EF3D28">
            <w:pPr>
              <w:rPr>
                <w:i/>
                <w:iCs/>
                <w:color w:val="000000"/>
                <w:sz w:val="24"/>
                <w:szCs w:val="24"/>
                <w:lang w:val="lv-LV"/>
              </w:rPr>
            </w:pPr>
            <w:r>
              <w:rPr>
                <w:i/>
                <w:iCs/>
                <w:color w:val="000000"/>
                <w:sz w:val="24"/>
                <w:szCs w:val="24"/>
                <w:lang w:val="lv-LV"/>
              </w:rPr>
              <w:t>12., 15., 16., 17., 18., 20., 21., 29., 30., 31.punkts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6BC694A" w14:textId="146325B9"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452013C6" w14:textId="3AAAE148"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6396748A"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7321A177" w14:textId="6A5F996C"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24328D43" w14:textId="66734041" w:rsidR="00EF3D28" w:rsidRDefault="00EF3D28" w:rsidP="00EF3D28">
            <w:pPr>
              <w:rPr>
                <w:i/>
                <w:iCs/>
                <w:sz w:val="24"/>
                <w:szCs w:val="24"/>
              </w:rPr>
            </w:pPr>
            <w:r>
              <w:rPr>
                <w:i/>
                <w:iCs/>
                <w:sz w:val="24"/>
                <w:szCs w:val="24"/>
              </w:rPr>
              <w:t>56.punkts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2620E0B" w14:textId="6E74F1F9" w:rsidR="00EF3D28" w:rsidRPr="00EC65E2" w:rsidRDefault="00EF3D28" w:rsidP="00EF3D28">
            <w:pPr>
              <w:rPr>
                <w:i/>
                <w:iCs/>
                <w:color w:val="000000"/>
                <w:sz w:val="24"/>
                <w:szCs w:val="24"/>
                <w:lang w:val="lv-LV"/>
              </w:rPr>
            </w:pPr>
            <w:r w:rsidRPr="00EC65E2">
              <w:rPr>
                <w:i/>
                <w:iCs/>
                <w:color w:val="000000"/>
                <w:sz w:val="24"/>
                <w:szCs w:val="24"/>
                <w:lang w:val="lv-LV"/>
              </w:rPr>
              <w:t>Noteikumu projekta</w:t>
            </w:r>
            <w:r>
              <w:rPr>
                <w:i/>
                <w:iCs/>
                <w:color w:val="000000"/>
                <w:sz w:val="24"/>
                <w:szCs w:val="24"/>
                <w:lang w:val="lv-LV"/>
              </w:rPr>
              <w:t xml:space="preserve"> 21., 28.-31.punkts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6C19982" w14:textId="57763F87"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0C2ADE15" w14:textId="6E6FFCD3"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740E9B31"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708DB9A5"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1E01B2B8" w14:textId="096E45AA" w:rsidR="00EF3D28" w:rsidRDefault="00EF3D28" w:rsidP="00EF3D28">
            <w:pPr>
              <w:rPr>
                <w:i/>
                <w:iCs/>
                <w:sz w:val="24"/>
                <w:szCs w:val="24"/>
              </w:rPr>
            </w:pPr>
            <w:r>
              <w:rPr>
                <w:i/>
                <w:iCs/>
                <w:sz w:val="24"/>
                <w:szCs w:val="24"/>
              </w:rPr>
              <w:t>57.punkts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D8F5E83"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4231F57D" w14:textId="7FD4D22D" w:rsidR="00EF3D28" w:rsidRPr="00EC65E2" w:rsidRDefault="00EF3D28" w:rsidP="00EF3D28">
            <w:pPr>
              <w:rPr>
                <w:i/>
                <w:iCs/>
                <w:color w:val="000000"/>
                <w:sz w:val="24"/>
                <w:szCs w:val="24"/>
                <w:lang w:val="lv-LV"/>
              </w:rPr>
            </w:pPr>
            <w:r>
              <w:rPr>
                <w:i/>
                <w:iCs/>
                <w:color w:val="000000"/>
                <w:sz w:val="24"/>
                <w:szCs w:val="24"/>
                <w:lang w:val="lv-LV"/>
              </w:rPr>
              <w:t>21., 29.-31.punkts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1A3A28A" w14:textId="5D0D68CC"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4D9F51B6" w14:textId="667A3B4A"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30CE65B2"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0817E0FC"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2C0D51CF" w14:textId="452A78EF" w:rsidR="00EF3D28" w:rsidRDefault="00EF3D28" w:rsidP="00EF3D28">
            <w:pPr>
              <w:rPr>
                <w:i/>
                <w:iCs/>
                <w:sz w:val="24"/>
                <w:szCs w:val="24"/>
              </w:rPr>
            </w:pPr>
            <w:r>
              <w:rPr>
                <w:i/>
                <w:iCs/>
                <w:sz w:val="24"/>
                <w:szCs w:val="24"/>
              </w:rPr>
              <w:t>58.punkts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029A1BA"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1608339D" w14:textId="485C97E0" w:rsidR="00EF3D28" w:rsidRPr="00EC65E2" w:rsidRDefault="00EF3D28" w:rsidP="00EF3D28">
            <w:pPr>
              <w:rPr>
                <w:i/>
                <w:iCs/>
                <w:color w:val="000000"/>
                <w:sz w:val="24"/>
                <w:szCs w:val="24"/>
                <w:lang w:val="lv-LV"/>
              </w:rPr>
            </w:pPr>
            <w:r>
              <w:rPr>
                <w:i/>
                <w:iCs/>
                <w:color w:val="000000"/>
                <w:sz w:val="24"/>
                <w:szCs w:val="24"/>
                <w:lang w:val="lv-LV"/>
              </w:rPr>
              <w:t>21., 29.-31.punkts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3B0D777" w14:textId="223A87B2"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4246CA5F" w14:textId="3A746A51"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6898649E"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171EE8B5"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79202691" w14:textId="7432350F" w:rsidR="00EF3D28" w:rsidRDefault="00EF3D28" w:rsidP="00EF3D28">
            <w:pPr>
              <w:rPr>
                <w:i/>
                <w:iCs/>
                <w:sz w:val="24"/>
                <w:szCs w:val="24"/>
              </w:rPr>
            </w:pPr>
            <w:r>
              <w:rPr>
                <w:i/>
                <w:iCs/>
                <w:sz w:val="24"/>
                <w:szCs w:val="24"/>
              </w:rPr>
              <w:t>60.punkts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82E4A1E"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61747EC3" w14:textId="12AA56CD" w:rsidR="00EF3D28" w:rsidRPr="00EC65E2" w:rsidRDefault="00EF3D28" w:rsidP="00EF3D28">
            <w:pPr>
              <w:rPr>
                <w:i/>
                <w:iCs/>
                <w:color w:val="000000"/>
                <w:sz w:val="24"/>
                <w:szCs w:val="24"/>
                <w:lang w:val="lv-LV"/>
              </w:rPr>
            </w:pPr>
            <w:r>
              <w:rPr>
                <w:i/>
                <w:iCs/>
                <w:color w:val="000000"/>
                <w:sz w:val="24"/>
                <w:szCs w:val="24"/>
                <w:lang w:val="lv-LV"/>
              </w:rPr>
              <w:t>16., 18.punkts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D2FE2DE" w14:textId="53E4B55C"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411F4B4B" w14:textId="080E7D11"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080E833A"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17D23455"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39590293" w14:textId="0B952828" w:rsidR="00EF3D28" w:rsidRDefault="00EF3D28" w:rsidP="00EF3D28">
            <w:pPr>
              <w:rPr>
                <w:i/>
                <w:iCs/>
                <w:sz w:val="24"/>
                <w:szCs w:val="24"/>
              </w:rPr>
            </w:pPr>
            <w:r>
              <w:rPr>
                <w:i/>
                <w:iCs/>
                <w:sz w:val="24"/>
                <w:szCs w:val="24"/>
              </w:rPr>
              <w:t>61.punkts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2DE29CD"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26C4A0F0" w14:textId="5BAAC33D" w:rsidR="00EF3D28" w:rsidRPr="00EC65E2" w:rsidRDefault="00EF3D28" w:rsidP="00EF3D28">
            <w:pPr>
              <w:rPr>
                <w:i/>
                <w:iCs/>
                <w:color w:val="000000"/>
                <w:sz w:val="24"/>
                <w:szCs w:val="24"/>
                <w:lang w:val="lv-LV"/>
              </w:rPr>
            </w:pPr>
            <w:r>
              <w:rPr>
                <w:i/>
                <w:iCs/>
                <w:color w:val="000000"/>
                <w:sz w:val="24"/>
                <w:szCs w:val="24"/>
                <w:lang w:val="lv-LV"/>
              </w:rPr>
              <w:t>29.punkts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05EE15D" w14:textId="29155CF0"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32F8A63F" w14:textId="339B1FCF"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498BC9C7"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7DC93B36"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690E0492" w14:textId="0A697AB5" w:rsidR="00EF3D28" w:rsidRDefault="00EF3D28" w:rsidP="00EF3D28">
            <w:pPr>
              <w:rPr>
                <w:i/>
                <w:iCs/>
                <w:sz w:val="24"/>
                <w:szCs w:val="24"/>
              </w:rPr>
            </w:pPr>
            <w:r>
              <w:rPr>
                <w:i/>
                <w:iCs/>
                <w:sz w:val="24"/>
                <w:szCs w:val="24"/>
              </w:rPr>
              <w:t>63.punkts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7D67F90"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59D24AD3" w14:textId="64A26BFE" w:rsidR="00EF3D28" w:rsidRPr="00EC65E2" w:rsidRDefault="00EF3D28" w:rsidP="00EF3D28">
            <w:pPr>
              <w:rPr>
                <w:i/>
                <w:iCs/>
                <w:color w:val="000000"/>
                <w:sz w:val="24"/>
                <w:szCs w:val="24"/>
                <w:lang w:val="lv-LV"/>
              </w:rPr>
            </w:pPr>
            <w:r>
              <w:rPr>
                <w:i/>
                <w:iCs/>
                <w:color w:val="000000"/>
                <w:sz w:val="24"/>
                <w:szCs w:val="24"/>
                <w:lang w:val="lv-LV"/>
              </w:rPr>
              <w:t>30.punkts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38D6F2B" w14:textId="0DBEF142"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13EEC1C1" w14:textId="713A2DF7"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5E287054"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2BF18A7E"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12C8A7C5" w14:textId="63F007D6" w:rsidR="00EF3D28" w:rsidRDefault="00EF3D28" w:rsidP="00EF3D28">
            <w:pPr>
              <w:rPr>
                <w:i/>
                <w:iCs/>
                <w:sz w:val="24"/>
                <w:szCs w:val="24"/>
              </w:rPr>
            </w:pPr>
            <w:r>
              <w:rPr>
                <w:i/>
                <w:iCs/>
                <w:sz w:val="24"/>
                <w:szCs w:val="24"/>
              </w:rPr>
              <w:t>64.punkts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AE8847E"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36D8E731" w14:textId="1FAE707B" w:rsidR="00EF3D28" w:rsidRPr="00EC65E2" w:rsidRDefault="00EF3D28" w:rsidP="00EF3D28">
            <w:pPr>
              <w:rPr>
                <w:i/>
                <w:iCs/>
                <w:color w:val="000000"/>
                <w:sz w:val="24"/>
                <w:szCs w:val="24"/>
                <w:lang w:val="lv-LV"/>
              </w:rPr>
            </w:pPr>
            <w:r>
              <w:rPr>
                <w:i/>
                <w:iCs/>
                <w:color w:val="000000"/>
                <w:sz w:val="24"/>
                <w:szCs w:val="24"/>
                <w:lang w:val="lv-LV"/>
              </w:rPr>
              <w:t>31.punkts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A2A063D" w14:textId="0BD465B8"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793E17EA" w14:textId="6E4F028E"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61E2D4A8"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6C5AD19F"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162DD998" w14:textId="011D8125" w:rsidR="00EF3D28" w:rsidRDefault="00EF3D28" w:rsidP="00EF3D28">
            <w:pPr>
              <w:rPr>
                <w:i/>
                <w:iCs/>
                <w:sz w:val="24"/>
                <w:szCs w:val="24"/>
              </w:rPr>
            </w:pPr>
            <w:r>
              <w:rPr>
                <w:i/>
                <w:iCs/>
                <w:sz w:val="24"/>
                <w:szCs w:val="24"/>
              </w:rPr>
              <w:t>65.punkts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52F8CB2"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780147D3" w14:textId="787AED36" w:rsidR="00EF3D28" w:rsidRPr="00EC65E2" w:rsidRDefault="00EF3D28" w:rsidP="00EF3D28">
            <w:pPr>
              <w:rPr>
                <w:i/>
                <w:iCs/>
                <w:color w:val="000000"/>
                <w:sz w:val="24"/>
                <w:szCs w:val="24"/>
                <w:lang w:val="lv-LV"/>
              </w:rPr>
            </w:pPr>
            <w:r>
              <w:rPr>
                <w:i/>
                <w:iCs/>
                <w:color w:val="000000"/>
                <w:sz w:val="24"/>
                <w:szCs w:val="24"/>
                <w:lang w:val="lv-LV"/>
              </w:rPr>
              <w:t>16.-18., 20., 21.punkts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42D5EEA" w14:textId="51C417A0"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3B9F1B30" w14:textId="6ACB3A33"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41F892C1"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7328B665"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5605112A" w14:textId="72AA0F65" w:rsidR="00EF3D28" w:rsidRDefault="00EF3D28" w:rsidP="00EF3D28">
            <w:pPr>
              <w:rPr>
                <w:i/>
                <w:iCs/>
                <w:sz w:val="24"/>
                <w:szCs w:val="24"/>
              </w:rPr>
            </w:pPr>
            <w:r>
              <w:rPr>
                <w:i/>
                <w:iCs/>
                <w:sz w:val="24"/>
                <w:szCs w:val="24"/>
              </w:rPr>
              <w:t>66.punkts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C3567F8"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1B7053D3" w14:textId="15B38348" w:rsidR="00EF3D28" w:rsidRPr="00EC65E2" w:rsidRDefault="00EF3D28" w:rsidP="00EF3D28">
            <w:pPr>
              <w:rPr>
                <w:i/>
                <w:iCs/>
                <w:color w:val="000000"/>
                <w:sz w:val="24"/>
                <w:szCs w:val="24"/>
                <w:lang w:val="lv-LV"/>
              </w:rPr>
            </w:pPr>
            <w:r>
              <w:rPr>
                <w:i/>
                <w:iCs/>
                <w:color w:val="000000"/>
                <w:sz w:val="24"/>
                <w:szCs w:val="24"/>
                <w:lang w:val="lv-LV"/>
              </w:rPr>
              <w:t>20.punkts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F4C77C8" w14:textId="00C107A5"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739BFAFC" w14:textId="084EE58A"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1A2ACEA6"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7BEA47C9"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7822BDAB" w14:textId="418DA970" w:rsidR="00EF3D28" w:rsidRDefault="00EF3D28" w:rsidP="00EF3D28">
            <w:pPr>
              <w:rPr>
                <w:i/>
                <w:iCs/>
                <w:sz w:val="24"/>
                <w:szCs w:val="24"/>
              </w:rPr>
            </w:pPr>
            <w:r>
              <w:rPr>
                <w:i/>
                <w:iCs/>
                <w:sz w:val="24"/>
                <w:szCs w:val="24"/>
              </w:rPr>
              <w:t>67.punkts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7E29718"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67D334DE" w14:textId="12B2E0B3" w:rsidR="00EF3D28" w:rsidRPr="00EC65E2" w:rsidRDefault="00EF3D28" w:rsidP="00EF3D28">
            <w:pPr>
              <w:rPr>
                <w:i/>
                <w:iCs/>
                <w:color w:val="000000"/>
                <w:sz w:val="24"/>
                <w:szCs w:val="24"/>
                <w:lang w:val="lv-LV"/>
              </w:rPr>
            </w:pPr>
            <w:r>
              <w:rPr>
                <w:i/>
                <w:iCs/>
                <w:color w:val="000000"/>
                <w:sz w:val="24"/>
                <w:szCs w:val="24"/>
                <w:lang w:val="lv-LV"/>
              </w:rPr>
              <w:t>21.punkts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CA00A48" w14:textId="3D5BF3B6"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12B739A3" w14:textId="0BA15F04"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7B0B554D"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08B208A8"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49995503" w14:textId="02062A33" w:rsidR="00EF3D28" w:rsidRDefault="00EF3D28" w:rsidP="00EF3D28">
            <w:pPr>
              <w:rPr>
                <w:i/>
                <w:iCs/>
                <w:sz w:val="24"/>
                <w:szCs w:val="24"/>
              </w:rPr>
            </w:pPr>
            <w:r>
              <w:rPr>
                <w:i/>
                <w:iCs/>
                <w:sz w:val="24"/>
                <w:szCs w:val="24"/>
              </w:rPr>
              <w:t>68.punkts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4E6EA8F"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1A5F2F6E" w14:textId="42BDB0DF" w:rsidR="00EF3D28" w:rsidRPr="00EC65E2" w:rsidRDefault="00EF3D28" w:rsidP="00EF3D28">
            <w:pPr>
              <w:rPr>
                <w:i/>
                <w:iCs/>
                <w:color w:val="000000"/>
                <w:sz w:val="24"/>
                <w:szCs w:val="24"/>
                <w:lang w:val="lv-LV"/>
              </w:rPr>
            </w:pPr>
            <w:r>
              <w:rPr>
                <w:i/>
                <w:iCs/>
                <w:color w:val="000000"/>
                <w:sz w:val="24"/>
                <w:szCs w:val="24"/>
                <w:lang w:val="lv-LV"/>
              </w:rPr>
              <w:t>21.puntks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0AB528C" w14:textId="5E927DBD"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578A988E" w14:textId="34EE95CD"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76C8E29F"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3102BF97"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753D0506" w14:textId="2C8EEC26" w:rsidR="00EF3D28" w:rsidRDefault="00EF3D28" w:rsidP="00EF3D28">
            <w:pPr>
              <w:rPr>
                <w:i/>
                <w:iCs/>
                <w:sz w:val="24"/>
                <w:szCs w:val="24"/>
              </w:rPr>
            </w:pPr>
            <w:r>
              <w:rPr>
                <w:i/>
                <w:iCs/>
                <w:sz w:val="24"/>
                <w:szCs w:val="24"/>
              </w:rPr>
              <w:t>70.punkts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9C15C5E"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40F69CDC" w14:textId="17F6DEF5" w:rsidR="00EF3D28" w:rsidRPr="00EC65E2" w:rsidRDefault="00EF3D28" w:rsidP="00EF3D28">
            <w:pPr>
              <w:rPr>
                <w:i/>
                <w:iCs/>
                <w:color w:val="000000"/>
                <w:sz w:val="24"/>
                <w:szCs w:val="24"/>
                <w:lang w:val="lv-LV"/>
              </w:rPr>
            </w:pPr>
            <w:r>
              <w:rPr>
                <w:i/>
                <w:iCs/>
                <w:color w:val="000000"/>
                <w:sz w:val="24"/>
                <w:szCs w:val="24"/>
                <w:lang w:val="lv-LV"/>
              </w:rPr>
              <w:t>20.-21.punkts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FEC6A21" w14:textId="529F6821"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3BB05565" w14:textId="486AA25D"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34335208"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517CE44A"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13AAF349" w14:textId="3D316F7D" w:rsidR="00EF3D28" w:rsidRDefault="00EF3D28" w:rsidP="00EF3D28">
            <w:pPr>
              <w:rPr>
                <w:i/>
                <w:iCs/>
                <w:sz w:val="24"/>
                <w:szCs w:val="24"/>
              </w:rPr>
            </w:pPr>
            <w:r>
              <w:rPr>
                <w:i/>
                <w:iCs/>
                <w:sz w:val="24"/>
                <w:szCs w:val="24"/>
              </w:rPr>
              <w:t>71.punkts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A017BFC"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2044055F" w14:textId="255F4799" w:rsidR="00EF3D28" w:rsidRPr="00EC65E2" w:rsidRDefault="00EF3D28" w:rsidP="00EF3D28">
            <w:pPr>
              <w:rPr>
                <w:i/>
                <w:iCs/>
                <w:color w:val="000000"/>
                <w:sz w:val="24"/>
                <w:szCs w:val="24"/>
                <w:lang w:val="lv-LV"/>
              </w:rPr>
            </w:pPr>
            <w:r>
              <w:rPr>
                <w:i/>
                <w:iCs/>
                <w:color w:val="000000"/>
                <w:sz w:val="24"/>
                <w:szCs w:val="24"/>
                <w:lang w:val="lv-LV"/>
              </w:rPr>
              <w:t>16. -17.punkts 33.6.apakšpunkts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C8EDCC9" w14:textId="582D341E"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3FB8EB9A" w14:textId="593555EA"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133F141A"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3F4EBBF5"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62D1F289" w14:textId="387A0C2A" w:rsidR="00EF3D28" w:rsidRDefault="00EF3D28" w:rsidP="00EF3D28">
            <w:pPr>
              <w:rPr>
                <w:i/>
                <w:iCs/>
                <w:sz w:val="24"/>
                <w:szCs w:val="24"/>
              </w:rPr>
            </w:pPr>
            <w:r>
              <w:rPr>
                <w:i/>
                <w:iCs/>
                <w:sz w:val="24"/>
                <w:szCs w:val="24"/>
              </w:rPr>
              <w:t>73.punkts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5FE335C"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2B5262B0" w14:textId="1621FC1A" w:rsidR="00EF3D28" w:rsidRPr="00EC65E2" w:rsidRDefault="00EF3D28" w:rsidP="00EF3D28">
            <w:pPr>
              <w:rPr>
                <w:i/>
                <w:iCs/>
                <w:color w:val="000000"/>
                <w:sz w:val="24"/>
                <w:szCs w:val="24"/>
                <w:lang w:val="lv-LV"/>
              </w:rPr>
            </w:pPr>
            <w:r>
              <w:rPr>
                <w:i/>
                <w:iCs/>
                <w:color w:val="000000"/>
                <w:sz w:val="24"/>
                <w:szCs w:val="24"/>
                <w:lang w:val="lv-LV"/>
              </w:rPr>
              <w:t>33.2.apakšpunkts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2A0C984" w14:textId="46371661"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3D5F7CAF" w14:textId="4A625490"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7625561F"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4A8D6E02" w14:textId="77777777" w:rsidR="00EF3D28" w:rsidRDefault="00EF3D28" w:rsidP="00EF3D28">
            <w:pPr>
              <w:rPr>
                <w:i/>
                <w:iCs/>
                <w:sz w:val="24"/>
                <w:szCs w:val="24"/>
              </w:rPr>
            </w:pPr>
            <w:proofErr w:type="spellStart"/>
            <w:r>
              <w:rPr>
                <w:i/>
                <w:iCs/>
                <w:sz w:val="24"/>
                <w:szCs w:val="24"/>
              </w:rPr>
              <w:lastRenderedPageBreak/>
              <w:t>Komisijas</w:t>
            </w:r>
            <w:proofErr w:type="spellEnd"/>
            <w:r>
              <w:rPr>
                <w:i/>
                <w:iCs/>
                <w:sz w:val="24"/>
                <w:szCs w:val="24"/>
              </w:rPr>
              <w:t xml:space="preserve"> </w:t>
            </w:r>
            <w:proofErr w:type="spellStart"/>
            <w:r>
              <w:rPr>
                <w:i/>
                <w:iCs/>
                <w:sz w:val="24"/>
                <w:szCs w:val="24"/>
              </w:rPr>
              <w:t>paziņojums</w:t>
            </w:r>
            <w:proofErr w:type="spellEnd"/>
          </w:p>
          <w:p w14:paraId="75F2EAB4" w14:textId="43413AD0" w:rsidR="00EF3D28" w:rsidRDefault="00EF3D28" w:rsidP="00EF3D28">
            <w:pPr>
              <w:rPr>
                <w:i/>
                <w:iCs/>
                <w:sz w:val="24"/>
                <w:szCs w:val="24"/>
              </w:rPr>
            </w:pPr>
            <w:r>
              <w:rPr>
                <w:i/>
                <w:iCs/>
                <w:sz w:val="24"/>
                <w:szCs w:val="24"/>
              </w:rPr>
              <w:t>74.punkts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4052ED4"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0323039D" w14:textId="2581F211" w:rsidR="00EF3D28" w:rsidRPr="00EC65E2" w:rsidRDefault="00EF3D28" w:rsidP="00EF3D28">
            <w:pPr>
              <w:rPr>
                <w:i/>
                <w:iCs/>
                <w:color w:val="000000"/>
                <w:sz w:val="24"/>
                <w:szCs w:val="24"/>
                <w:lang w:val="lv-LV"/>
              </w:rPr>
            </w:pPr>
            <w:r>
              <w:rPr>
                <w:i/>
                <w:iCs/>
                <w:color w:val="000000"/>
                <w:sz w:val="24"/>
                <w:szCs w:val="24"/>
                <w:lang w:val="lv-LV"/>
              </w:rPr>
              <w:t>33.1.apakšpunkts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14E5A33" w14:textId="4E9CDF25"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65E75143" w14:textId="73296967"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2B27246B"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2EC231EC"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1165DADA" w14:textId="26F94903" w:rsidR="00EF3D28" w:rsidRDefault="00EF3D28" w:rsidP="00EF3D28">
            <w:pPr>
              <w:rPr>
                <w:i/>
                <w:iCs/>
                <w:sz w:val="24"/>
                <w:szCs w:val="24"/>
              </w:rPr>
            </w:pPr>
            <w:r>
              <w:rPr>
                <w:i/>
                <w:iCs/>
                <w:sz w:val="24"/>
                <w:szCs w:val="24"/>
              </w:rPr>
              <w:t>76.punkts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5E27620"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07DFB710" w14:textId="77777777" w:rsidR="00EF3D28" w:rsidRDefault="00EF3D28" w:rsidP="00EF3D28">
            <w:pPr>
              <w:rPr>
                <w:i/>
                <w:iCs/>
                <w:color w:val="000000"/>
                <w:sz w:val="24"/>
                <w:szCs w:val="24"/>
                <w:lang w:val="lv-LV"/>
              </w:rPr>
            </w:pPr>
            <w:r>
              <w:rPr>
                <w:i/>
                <w:iCs/>
                <w:color w:val="000000"/>
                <w:sz w:val="24"/>
                <w:szCs w:val="24"/>
                <w:lang w:val="lv-LV"/>
              </w:rPr>
              <w:t>6.punkts</w:t>
            </w:r>
          </w:p>
          <w:p w14:paraId="0B898CC7" w14:textId="7104B8B1" w:rsidR="00EF3D28" w:rsidRPr="00EC65E2" w:rsidRDefault="00EF3D28" w:rsidP="00EF3D28">
            <w:pPr>
              <w:rPr>
                <w:i/>
                <w:iCs/>
                <w:color w:val="000000"/>
                <w:sz w:val="24"/>
                <w:szCs w:val="24"/>
                <w:lang w:val="lv-LV"/>
              </w:rPr>
            </w:pPr>
            <w:r>
              <w:rPr>
                <w:i/>
                <w:iCs/>
                <w:color w:val="000000"/>
                <w:sz w:val="24"/>
                <w:szCs w:val="24"/>
                <w:lang w:val="lv-LV"/>
              </w:rPr>
              <w:t>33.3.apakšpunkts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6EA6EE2" w14:textId="4D809B89"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5AAC9D9B" w14:textId="59DBB0D5"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1260B471"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75398427"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7D79250F" w14:textId="05F92D08" w:rsidR="00EF3D28" w:rsidRDefault="00EF3D28" w:rsidP="00EF3D28">
            <w:pPr>
              <w:rPr>
                <w:i/>
                <w:iCs/>
                <w:sz w:val="24"/>
                <w:szCs w:val="24"/>
              </w:rPr>
            </w:pPr>
            <w:r>
              <w:rPr>
                <w:i/>
                <w:iCs/>
                <w:sz w:val="24"/>
                <w:szCs w:val="24"/>
              </w:rPr>
              <w:t>77.punkts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EDB73D9"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2B8FBDD7" w14:textId="3A9ADA97" w:rsidR="00EF3D28" w:rsidRPr="00EC65E2" w:rsidRDefault="00EF3D28" w:rsidP="00EF3D28">
            <w:pPr>
              <w:rPr>
                <w:i/>
                <w:iCs/>
                <w:color w:val="000000"/>
                <w:sz w:val="24"/>
                <w:szCs w:val="24"/>
                <w:lang w:val="lv-LV"/>
              </w:rPr>
            </w:pPr>
            <w:r>
              <w:rPr>
                <w:i/>
                <w:iCs/>
                <w:color w:val="000000"/>
                <w:sz w:val="24"/>
                <w:szCs w:val="24"/>
                <w:lang w:val="lv-LV"/>
              </w:rPr>
              <w:t>33.5.apakšpunkts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472B1A7" w14:textId="62ABCE25"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7F16379E" w14:textId="74104804"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1093D3EA"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3A8FC2DB"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45162608" w14:textId="1D0939C0" w:rsidR="00EF3D28" w:rsidRDefault="00EF3D28" w:rsidP="00EF3D28">
            <w:pPr>
              <w:rPr>
                <w:i/>
                <w:iCs/>
                <w:sz w:val="24"/>
                <w:szCs w:val="24"/>
              </w:rPr>
            </w:pPr>
            <w:r>
              <w:rPr>
                <w:i/>
                <w:iCs/>
                <w:sz w:val="24"/>
                <w:szCs w:val="24"/>
              </w:rPr>
              <w:t>78.punkts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3F816B0"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7DBDE4A2" w14:textId="18C3942A" w:rsidR="00EF3D28" w:rsidRPr="00EC65E2" w:rsidRDefault="00EF3D28" w:rsidP="00EF3D28">
            <w:pPr>
              <w:rPr>
                <w:i/>
                <w:iCs/>
                <w:color w:val="000000"/>
                <w:sz w:val="24"/>
                <w:szCs w:val="24"/>
                <w:lang w:val="lv-LV"/>
              </w:rPr>
            </w:pPr>
            <w:r>
              <w:rPr>
                <w:i/>
                <w:iCs/>
                <w:color w:val="000000"/>
                <w:sz w:val="24"/>
                <w:szCs w:val="24"/>
                <w:lang w:val="lv-LV"/>
              </w:rPr>
              <w:t>33.4.apakšpunkts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8F911FC" w14:textId="62C424C1"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0633E98F" w14:textId="19C2EC8A"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1682B1E9"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38331A9C"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2EDFBF13" w14:textId="0E7797DA" w:rsidR="00EF3D28" w:rsidRDefault="00EF3D28" w:rsidP="00EF3D28">
            <w:pPr>
              <w:rPr>
                <w:i/>
                <w:iCs/>
                <w:sz w:val="24"/>
                <w:szCs w:val="24"/>
              </w:rPr>
            </w:pPr>
            <w:r>
              <w:rPr>
                <w:i/>
                <w:iCs/>
                <w:sz w:val="24"/>
                <w:szCs w:val="24"/>
              </w:rPr>
              <w:t>79.punkts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F8B2306"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58B214B2" w14:textId="22E6E043" w:rsidR="00EF3D28" w:rsidRPr="00EC65E2" w:rsidRDefault="00EF3D28" w:rsidP="00EF3D28">
            <w:pPr>
              <w:rPr>
                <w:i/>
                <w:iCs/>
                <w:color w:val="000000"/>
                <w:sz w:val="24"/>
                <w:szCs w:val="24"/>
                <w:lang w:val="lv-LV"/>
              </w:rPr>
            </w:pPr>
            <w:r>
              <w:rPr>
                <w:i/>
                <w:iCs/>
                <w:color w:val="000000"/>
                <w:sz w:val="24"/>
                <w:szCs w:val="24"/>
                <w:lang w:val="lv-LV"/>
              </w:rPr>
              <w:t>22.punkts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2D0C482" w14:textId="09B7BCB2"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5E0F92E1" w14:textId="68CEB760"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38288F24"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1B909E5A"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2EEFE7E6" w14:textId="5CF71899" w:rsidR="00EF3D28" w:rsidRDefault="00EF3D28" w:rsidP="00EF3D28">
            <w:pPr>
              <w:rPr>
                <w:i/>
                <w:iCs/>
                <w:sz w:val="24"/>
                <w:szCs w:val="24"/>
              </w:rPr>
            </w:pPr>
            <w:r>
              <w:rPr>
                <w:i/>
                <w:iCs/>
                <w:sz w:val="24"/>
                <w:szCs w:val="24"/>
              </w:rPr>
              <w:t>80.punkts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7CB62CB"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44A03B7F" w14:textId="7B982C36" w:rsidR="00EF3D28" w:rsidRPr="00EC65E2" w:rsidRDefault="00EF3D28" w:rsidP="00EF3D28">
            <w:pPr>
              <w:rPr>
                <w:i/>
                <w:iCs/>
                <w:color w:val="000000"/>
                <w:sz w:val="24"/>
                <w:szCs w:val="24"/>
                <w:lang w:val="lv-LV"/>
              </w:rPr>
            </w:pPr>
            <w:r>
              <w:rPr>
                <w:i/>
                <w:iCs/>
                <w:color w:val="000000"/>
                <w:sz w:val="24"/>
                <w:szCs w:val="24"/>
                <w:lang w:val="lv-LV"/>
              </w:rPr>
              <w:t>22.punkts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21741EA" w14:textId="3B84B60A"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6148927C" w14:textId="6D4882B5"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22A95CB7"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1617A7B5"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5F88325E" w14:textId="1C21EFBE" w:rsidR="00EF3D28" w:rsidRDefault="00EF3D28" w:rsidP="00EF3D28">
            <w:pPr>
              <w:rPr>
                <w:i/>
                <w:iCs/>
                <w:sz w:val="24"/>
                <w:szCs w:val="24"/>
              </w:rPr>
            </w:pPr>
            <w:r>
              <w:rPr>
                <w:i/>
                <w:iCs/>
                <w:sz w:val="24"/>
                <w:szCs w:val="24"/>
              </w:rPr>
              <w:t>81.punkts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099AF69"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0701344B" w14:textId="03CFA8F1" w:rsidR="00EF3D28" w:rsidRPr="00EC65E2" w:rsidRDefault="00EF3D28" w:rsidP="00EF3D28">
            <w:pPr>
              <w:rPr>
                <w:i/>
                <w:iCs/>
                <w:color w:val="000000"/>
                <w:sz w:val="24"/>
                <w:szCs w:val="24"/>
                <w:lang w:val="lv-LV"/>
              </w:rPr>
            </w:pPr>
            <w:r>
              <w:rPr>
                <w:i/>
                <w:iCs/>
                <w:color w:val="000000"/>
                <w:sz w:val="24"/>
                <w:szCs w:val="24"/>
                <w:lang w:val="lv-LV"/>
              </w:rPr>
              <w:t>22.punkts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43FC330" w14:textId="1A589FFE"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2D2FED25" w14:textId="54FE9A3B"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56FDA793"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24898965"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56569BC4" w14:textId="0AF96199" w:rsidR="00EF3D28" w:rsidRDefault="00EF3D28" w:rsidP="00EF3D28">
            <w:pPr>
              <w:rPr>
                <w:i/>
                <w:iCs/>
                <w:sz w:val="24"/>
                <w:szCs w:val="24"/>
              </w:rPr>
            </w:pPr>
            <w:r>
              <w:rPr>
                <w:i/>
                <w:iCs/>
                <w:sz w:val="24"/>
                <w:szCs w:val="24"/>
              </w:rPr>
              <w:t>82.punkts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2EB0252"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53A28C63" w14:textId="6CAD4925" w:rsidR="00EF3D28" w:rsidRPr="00EC65E2" w:rsidRDefault="00EF3D28" w:rsidP="00EF3D28">
            <w:pPr>
              <w:rPr>
                <w:i/>
                <w:iCs/>
                <w:color w:val="000000"/>
                <w:sz w:val="24"/>
                <w:szCs w:val="24"/>
                <w:lang w:val="lv-LV"/>
              </w:rPr>
            </w:pPr>
            <w:r>
              <w:rPr>
                <w:i/>
                <w:iCs/>
                <w:color w:val="000000"/>
                <w:sz w:val="24"/>
                <w:szCs w:val="24"/>
                <w:lang w:val="lv-LV"/>
              </w:rPr>
              <w:t>37.punkts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DF0982B" w14:textId="564FA86E"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320A7A2C" w14:textId="48FD5927"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4FEAAB9E"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4B68BBD6"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5C129814" w14:textId="728C49D5" w:rsidR="00EF3D28" w:rsidRDefault="00EF3D28" w:rsidP="00EF3D28">
            <w:pPr>
              <w:rPr>
                <w:i/>
                <w:iCs/>
                <w:sz w:val="24"/>
                <w:szCs w:val="24"/>
              </w:rPr>
            </w:pPr>
            <w:r>
              <w:rPr>
                <w:i/>
                <w:iCs/>
                <w:sz w:val="24"/>
                <w:szCs w:val="24"/>
              </w:rPr>
              <w:t>83.punkts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CC4DFF3"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506123C3" w14:textId="58B11323" w:rsidR="00EF3D28" w:rsidRPr="00EC65E2" w:rsidRDefault="00EF3D28" w:rsidP="00EF3D28">
            <w:pPr>
              <w:rPr>
                <w:i/>
                <w:iCs/>
                <w:color w:val="000000"/>
                <w:sz w:val="24"/>
                <w:szCs w:val="24"/>
                <w:lang w:val="lv-LV"/>
              </w:rPr>
            </w:pPr>
            <w:r>
              <w:rPr>
                <w:i/>
                <w:iCs/>
                <w:color w:val="000000"/>
                <w:sz w:val="24"/>
                <w:szCs w:val="24"/>
                <w:lang w:val="lv-LV"/>
              </w:rPr>
              <w:t>36.punkts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9A5CA47" w14:textId="4665E355"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284DE8DA" w14:textId="4DCF0B78"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398D1BD4"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0BFAD9E9"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78C69D9E" w14:textId="5CDBAD18" w:rsidR="00EF3D28" w:rsidRDefault="00EF3D28" w:rsidP="00EF3D28">
            <w:pPr>
              <w:rPr>
                <w:i/>
                <w:iCs/>
                <w:sz w:val="24"/>
                <w:szCs w:val="24"/>
              </w:rPr>
            </w:pPr>
            <w:r>
              <w:rPr>
                <w:i/>
                <w:iCs/>
                <w:sz w:val="24"/>
                <w:szCs w:val="24"/>
              </w:rPr>
              <w:t>84.punkts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7D05727"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7699B2B4" w14:textId="6EC9E43E" w:rsidR="00EF3D28" w:rsidRPr="00EC65E2" w:rsidRDefault="00EF3D28" w:rsidP="00EF3D28">
            <w:pPr>
              <w:rPr>
                <w:i/>
                <w:iCs/>
                <w:color w:val="000000"/>
                <w:sz w:val="24"/>
                <w:szCs w:val="24"/>
                <w:lang w:val="lv-LV"/>
              </w:rPr>
            </w:pPr>
            <w:r>
              <w:rPr>
                <w:i/>
                <w:iCs/>
                <w:color w:val="000000"/>
                <w:sz w:val="24"/>
                <w:szCs w:val="24"/>
                <w:lang w:val="lv-LV"/>
              </w:rPr>
              <w:t>38.punkts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1698A6C" w14:textId="0332F129"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48EFFB6B" w14:textId="545A5A95"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3B09C9F9"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3F9647BF"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540F3CBD" w14:textId="16873A7E" w:rsidR="00EF3D28" w:rsidRDefault="00EF3D28" w:rsidP="00EF3D28">
            <w:pPr>
              <w:rPr>
                <w:i/>
                <w:iCs/>
                <w:sz w:val="24"/>
                <w:szCs w:val="24"/>
              </w:rPr>
            </w:pPr>
            <w:r>
              <w:rPr>
                <w:i/>
                <w:iCs/>
                <w:sz w:val="24"/>
                <w:szCs w:val="24"/>
              </w:rPr>
              <w:t>85.punkts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F1F6A66"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6799FFD7" w14:textId="6BAAB8B4" w:rsidR="00EF3D28" w:rsidRPr="00EC65E2" w:rsidRDefault="00EF3D28" w:rsidP="00EF3D28">
            <w:pPr>
              <w:rPr>
                <w:i/>
                <w:iCs/>
                <w:color w:val="000000"/>
                <w:sz w:val="24"/>
                <w:szCs w:val="24"/>
                <w:lang w:val="lv-LV"/>
              </w:rPr>
            </w:pPr>
            <w:r>
              <w:rPr>
                <w:i/>
                <w:iCs/>
                <w:color w:val="000000"/>
                <w:sz w:val="24"/>
                <w:szCs w:val="24"/>
                <w:lang w:val="lv-LV"/>
              </w:rPr>
              <w:t>34.punkts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9F8CB80" w14:textId="6A1D0C6B"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78A3B2A8" w14:textId="77724BD2"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2498D24A"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034B3D56"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469B3FE1" w14:textId="4516CB6F" w:rsidR="00EF3D28" w:rsidRDefault="00EF3D28" w:rsidP="00EF3D28">
            <w:pPr>
              <w:rPr>
                <w:i/>
                <w:iCs/>
                <w:sz w:val="24"/>
                <w:szCs w:val="24"/>
              </w:rPr>
            </w:pPr>
            <w:r>
              <w:rPr>
                <w:i/>
                <w:iCs/>
                <w:sz w:val="24"/>
                <w:szCs w:val="24"/>
              </w:rPr>
              <w:t>86.punkts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341A7E5"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4CEE7480" w14:textId="16B96430" w:rsidR="00EF3D28" w:rsidRPr="00EC65E2" w:rsidRDefault="00EF3D28" w:rsidP="00EF3D28">
            <w:pPr>
              <w:rPr>
                <w:i/>
                <w:iCs/>
                <w:color w:val="000000"/>
                <w:sz w:val="24"/>
                <w:szCs w:val="24"/>
                <w:lang w:val="lv-LV"/>
              </w:rPr>
            </w:pPr>
            <w:r>
              <w:rPr>
                <w:i/>
                <w:iCs/>
                <w:color w:val="000000"/>
                <w:sz w:val="24"/>
                <w:szCs w:val="24"/>
                <w:lang w:val="lv-LV"/>
              </w:rPr>
              <w:t>35.punkts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2F84390" w14:textId="1D5C2238"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3944EF30" w14:textId="72998A9E"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5D760FC7"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787CC2A3"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15C83029" w14:textId="00F1C5BE" w:rsidR="00EF3D28" w:rsidRDefault="00EF3D28" w:rsidP="00EF3D28">
            <w:pPr>
              <w:rPr>
                <w:i/>
                <w:iCs/>
                <w:sz w:val="24"/>
                <w:szCs w:val="24"/>
              </w:rPr>
            </w:pPr>
            <w:r>
              <w:rPr>
                <w:i/>
                <w:iCs/>
                <w:sz w:val="24"/>
                <w:szCs w:val="24"/>
              </w:rPr>
              <w:t>89.punkts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8D2B1B2"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3BEC4F1D" w14:textId="6B5F9EC0" w:rsidR="00EF3D28" w:rsidRPr="00EC65E2" w:rsidRDefault="00EF3D28" w:rsidP="00EF3D28">
            <w:pPr>
              <w:rPr>
                <w:i/>
                <w:iCs/>
                <w:color w:val="000000"/>
                <w:sz w:val="24"/>
                <w:szCs w:val="24"/>
                <w:lang w:val="lv-LV"/>
              </w:rPr>
            </w:pPr>
            <w:r>
              <w:rPr>
                <w:i/>
                <w:iCs/>
                <w:color w:val="000000"/>
                <w:sz w:val="24"/>
                <w:szCs w:val="24"/>
                <w:lang w:val="lv-LV"/>
              </w:rPr>
              <w:t>43.punkts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3A3EA8B" w14:textId="73415EA7"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7269BC9F" w14:textId="2DD91040"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4D5374BA" w14:textId="77777777" w:rsidTr="00F81D48">
        <w:tc>
          <w:tcPr>
            <w:tcW w:w="1229" w:type="pct"/>
            <w:tcBorders>
              <w:top w:val="single" w:sz="4" w:space="0" w:color="auto"/>
              <w:left w:val="outset" w:sz="6" w:space="0" w:color="414142"/>
              <w:bottom w:val="single" w:sz="4" w:space="0" w:color="auto"/>
              <w:right w:val="outset" w:sz="6" w:space="0" w:color="414142"/>
            </w:tcBorders>
            <w:shd w:val="clear" w:color="auto" w:fill="FFFFFF"/>
          </w:tcPr>
          <w:p w14:paraId="6543E279" w14:textId="77777777" w:rsidR="00EF3D28" w:rsidRDefault="00EF3D28" w:rsidP="00EF3D28">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paziņojums</w:t>
            </w:r>
            <w:proofErr w:type="spellEnd"/>
          </w:p>
          <w:p w14:paraId="3154BCC9" w14:textId="38359C93" w:rsidR="00EF3D28" w:rsidRPr="00EC65E2" w:rsidRDefault="00EF3D28" w:rsidP="00EF3D28">
            <w:pPr>
              <w:rPr>
                <w:i/>
                <w:iCs/>
                <w:sz w:val="24"/>
                <w:szCs w:val="24"/>
              </w:rPr>
            </w:pPr>
            <w:r>
              <w:rPr>
                <w:i/>
                <w:iCs/>
                <w:sz w:val="24"/>
                <w:szCs w:val="24"/>
              </w:rPr>
              <w:t>91.punkts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5F7A14E" w14:textId="77777777" w:rsidR="00EF3D28" w:rsidRDefault="00EF3D28" w:rsidP="00EF3D28">
            <w:pPr>
              <w:rPr>
                <w:i/>
                <w:iCs/>
                <w:color w:val="000000"/>
                <w:sz w:val="24"/>
                <w:szCs w:val="24"/>
                <w:lang w:val="lv-LV"/>
              </w:rPr>
            </w:pPr>
            <w:r w:rsidRPr="00EC65E2">
              <w:rPr>
                <w:i/>
                <w:iCs/>
                <w:color w:val="000000"/>
                <w:sz w:val="24"/>
                <w:szCs w:val="24"/>
                <w:lang w:val="lv-LV"/>
              </w:rPr>
              <w:t>Noteikumu projekta</w:t>
            </w:r>
          </w:p>
          <w:p w14:paraId="1ADB4B15" w14:textId="0A8D5D7A" w:rsidR="00EF3D28" w:rsidRPr="00EC65E2" w:rsidRDefault="00EF3D28" w:rsidP="00EF3D28">
            <w:pPr>
              <w:rPr>
                <w:i/>
                <w:iCs/>
                <w:color w:val="000000"/>
                <w:sz w:val="24"/>
                <w:szCs w:val="24"/>
                <w:lang w:val="lv-LV"/>
              </w:rPr>
            </w:pPr>
            <w:r>
              <w:rPr>
                <w:i/>
                <w:iCs/>
                <w:color w:val="000000"/>
                <w:sz w:val="24"/>
                <w:szCs w:val="24"/>
                <w:lang w:val="lv-LV"/>
              </w:rPr>
              <w:t>28.punkts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9DC12DC" w14:textId="68FC246E" w:rsidR="00EF3D28" w:rsidRPr="00EC65E2" w:rsidRDefault="00EF3D28" w:rsidP="00EF3D28">
            <w:pPr>
              <w:rPr>
                <w:i/>
                <w:iCs/>
                <w:color w:val="000000"/>
                <w:sz w:val="24"/>
                <w:szCs w:val="24"/>
                <w:lang w:val="lv-LV"/>
              </w:rPr>
            </w:pPr>
            <w:r w:rsidRPr="00EC65E2">
              <w:rPr>
                <w:i/>
                <w:iCs/>
                <w:color w:val="000000"/>
                <w:sz w:val="24"/>
                <w:szCs w:val="24"/>
                <w:lang w:val="lv-LV"/>
              </w:rPr>
              <w:t>Ieviests pilnībā</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3ACC5E89" w14:textId="2C0E8BD2" w:rsidR="00EF3D28" w:rsidRPr="00EC65E2" w:rsidRDefault="00EF3D28" w:rsidP="00EF3D28">
            <w:pPr>
              <w:rPr>
                <w:i/>
                <w:iCs/>
                <w:color w:val="000000"/>
                <w:sz w:val="24"/>
                <w:szCs w:val="24"/>
                <w:lang w:val="lv-LV"/>
              </w:rPr>
            </w:pPr>
            <w:r w:rsidRPr="00EC65E2">
              <w:rPr>
                <w:i/>
                <w:iCs/>
                <w:color w:val="000000"/>
                <w:sz w:val="24"/>
                <w:szCs w:val="24"/>
                <w:lang w:val="lv-LV"/>
              </w:rPr>
              <w:t>Neparedz stingrākas prasības.</w:t>
            </w:r>
          </w:p>
        </w:tc>
      </w:tr>
      <w:tr w:rsidR="00EF3D28" w:rsidRPr="00EC65E2" w14:paraId="0763BB6B" w14:textId="77777777" w:rsidTr="00F81D48">
        <w:tc>
          <w:tcPr>
            <w:tcW w:w="1229" w:type="pct"/>
            <w:tcBorders>
              <w:top w:val="single" w:sz="4" w:space="0" w:color="auto"/>
              <w:left w:val="outset" w:sz="6" w:space="0" w:color="414142"/>
              <w:bottom w:val="outset" w:sz="6" w:space="0" w:color="414142"/>
              <w:right w:val="outset" w:sz="6" w:space="0" w:color="414142"/>
            </w:tcBorders>
            <w:shd w:val="clear" w:color="auto" w:fill="FFFFFF"/>
            <w:hideMark/>
          </w:tcPr>
          <w:p w14:paraId="4D7BA279" w14:textId="77777777" w:rsidR="00EF3D28" w:rsidRPr="00EC65E2" w:rsidRDefault="00EF3D28" w:rsidP="00EF3D28">
            <w:pPr>
              <w:rPr>
                <w:rFonts w:eastAsia="Times New Roman"/>
                <w:color w:val="414142"/>
                <w:sz w:val="24"/>
                <w:szCs w:val="24"/>
                <w:lang w:val="lv-LV" w:eastAsia="lv-LV"/>
              </w:rPr>
            </w:pPr>
            <w:r w:rsidRPr="00EC65E2">
              <w:rPr>
                <w:rFonts w:eastAsia="Times New Roman"/>
                <w:color w:val="414142"/>
                <w:sz w:val="24"/>
                <w:szCs w:val="24"/>
                <w:lang w:val="lv-LV" w:eastAsia="lv-LV"/>
              </w:rPr>
              <w:t>Kā ir izmantota ES tiesību aktā paredzētā rīcības brīvība dalībvalstij pārņemt vai ieviest noteiktas ES tiesību akta normas? Kādēļ?</w:t>
            </w:r>
          </w:p>
        </w:tc>
        <w:tc>
          <w:tcPr>
            <w:tcW w:w="3771" w:type="pct"/>
            <w:gridSpan w:val="3"/>
            <w:tcBorders>
              <w:top w:val="single" w:sz="4" w:space="0" w:color="auto"/>
              <w:left w:val="single" w:sz="4" w:space="0" w:color="auto"/>
              <w:bottom w:val="single" w:sz="4" w:space="0" w:color="auto"/>
              <w:right w:val="single" w:sz="4" w:space="0" w:color="auto"/>
            </w:tcBorders>
            <w:hideMark/>
          </w:tcPr>
          <w:p w14:paraId="1B14C8B0" w14:textId="77777777" w:rsidR="00EF3D28" w:rsidRPr="00EC65E2" w:rsidRDefault="00EF3D28" w:rsidP="00EF3D28">
            <w:pPr>
              <w:rPr>
                <w:rFonts w:eastAsia="Times New Roman"/>
                <w:color w:val="414142"/>
                <w:sz w:val="24"/>
                <w:szCs w:val="24"/>
                <w:lang w:val="lv-LV" w:eastAsia="lv-LV"/>
              </w:rPr>
            </w:pPr>
            <w:r w:rsidRPr="00EC65E2">
              <w:rPr>
                <w:rFonts w:eastAsia="Times New Roman"/>
                <w:sz w:val="24"/>
                <w:szCs w:val="24"/>
                <w:lang w:val="lv-LV"/>
              </w:rPr>
              <w:t>Projekts šo jomu neskar.</w:t>
            </w:r>
          </w:p>
        </w:tc>
      </w:tr>
      <w:tr w:rsidR="00EF3D28" w:rsidRPr="00EC65E2" w14:paraId="55E8B4AB" w14:textId="77777777" w:rsidTr="00F81D48">
        <w:tc>
          <w:tcPr>
            <w:tcW w:w="1229" w:type="pct"/>
            <w:tcBorders>
              <w:top w:val="outset" w:sz="6" w:space="0" w:color="414142"/>
              <w:left w:val="outset" w:sz="6" w:space="0" w:color="414142"/>
              <w:bottom w:val="outset" w:sz="6" w:space="0" w:color="414142"/>
              <w:right w:val="outset" w:sz="6" w:space="0" w:color="414142"/>
            </w:tcBorders>
            <w:shd w:val="clear" w:color="auto" w:fill="FFFFFF"/>
            <w:hideMark/>
          </w:tcPr>
          <w:p w14:paraId="1819A32F" w14:textId="77777777" w:rsidR="00EF3D28" w:rsidRPr="00EC65E2" w:rsidRDefault="00EF3D28" w:rsidP="00EF3D28">
            <w:pPr>
              <w:rPr>
                <w:rFonts w:eastAsia="Times New Roman"/>
                <w:color w:val="414142"/>
                <w:sz w:val="24"/>
                <w:szCs w:val="24"/>
                <w:lang w:val="lv-LV" w:eastAsia="lv-LV"/>
              </w:rPr>
            </w:pPr>
            <w:r w:rsidRPr="00EC65E2">
              <w:rPr>
                <w:rFonts w:eastAsia="Times New Roman"/>
                <w:color w:val="414142"/>
                <w:sz w:val="24"/>
                <w:szCs w:val="24"/>
                <w:lang w:val="lv-LV" w:eastAsia="lv-LV"/>
              </w:rPr>
              <w:t xml:space="preserve">Saistības sniegt paziņojumu ES institūcijām un ES dalībvalstīm atbilstoši normatīvajiem aktiem, kas regulē informācijas sniegšanu par tehnisko noteikumu, valsts atbalsta piešķiršanas un finanšu noteikumu </w:t>
            </w:r>
            <w:r w:rsidRPr="00EC65E2">
              <w:rPr>
                <w:rFonts w:eastAsia="Times New Roman"/>
                <w:color w:val="414142"/>
                <w:sz w:val="24"/>
                <w:szCs w:val="24"/>
                <w:lang w:val="lv-LV" w:eastAsia="lv-LV"/>
              </w:rPr>
              <w:lastRenderedPageBreak/>
              <w:t>(attiecībā uz monetāro politiku) projektiem</w:t>
            </w:r>
          </w:p>
        </w:tc>
        <w:tc>
          <w:tcPr>
            <w:tcW w:w="3771" w:type="pct"/>
            <w:gridSpan w:val="3"/>
            <w:tcBorders>
              <w:top w:val="single" w:sz="4" w:space="0" w:color="auto"/>
              <w:left w:val="single" w:sz="4" w:space="0" w:color="auto"/>
              <w:bottom w:val="single" w:sz="4" w:space="0" w:color="auto"/>
              <w:right w:val="single" w:sz="4" w:space="0" w:color="auto"/>
            </w:tcBorders>
            <w:hideMark/>
          </w:tcPr>
          <w:p w14:paraId="2A95F51A" w14:textId="77777777" w:rsidR="00EF3D28" w:rsidRPr="00EC65E2" w:rsidRDefault="00EF3D28" w:rsidP="00EF3D28">
            <w:pPr>
              <w:rPr>
                <w:rFonts w:eastAsia="Times New Roman"/>
                <w:color w:val="414142"/>
                <w:sz w:val="24"/>
                <w:szCs w:val="24"/>
                <w:lang w:val="lv-LV" w:eastAsia="lv-LV"/>
              </w:rPr>
            </w:pPr>
            <w:r w:rsidRPr="00EC65E2">
              <w:rPr>
                <w:rFonts w:eastAsia="Times New Roman"/>
                <w:sz w:val="24"/>
                <w:szCs w:val="24"/>
                <w:lang w:val="lv-LV"/>
              </w:rPr>
              <w:lastRenderedPageBreak/>
              <w:t>Projekts šo jomu neskar.</w:t>
            </w:r>
          </w:p>
        </w:tc>
      </w:tr>
      <w:tr w:rsidR="00EF3D28" w:rsidRPr="00EC65E2" w14:paraId="42E87599" w14:textId="77777777" w:rsidTr="00F81D48">
        <w:tc>
          <w:tcPr>
            <w:tcW w:w="1229" w:type="pct"/>
            <w:tcBorders>
              <w:top w:val="outset" w:sz="6" w:space="0" w:color="414142"/>
              <w:left w:val="outset" w:sz="6" w:space="0" w:color="414142"/>
              <w:bottom w:val="outset" w:sz="6" w:space="0" w:color="414142"/>
              <w:right w:val="outset" w:sz="6" w:space="0" w:color="414142"/>
            </w:tcBorders>
            <w:shd w:val="clear" w:color="auto" w:fill="FFFFFF"/>
            <w:hideMark/>
          </w:tcPr>
          <w:p w14:paraId="5B67F63C" w14:textId="77777777" w:rsidR="00EF3D28" w:rsidRPr="00EC65E2" w:rsidRDefault="00EF3D28" w:rsidP="00EF3D28">
            <w:pPr>
              <w:rPr>
                <w:rFonts w:eastAsia="Times New Roman"/>
                <w:color w:val="414142"/>
                <w:sz w:val="24"/>
                <w:szCs w:val="24"/>
                <w:lang w:val="lv-LV" w:eastAsia="lv-LV"/>
              </w:rPr>
            </w:pPr>
            <w:r w:rsidRPr="00EC65E2">
              <w:rPr>
                <w:rFonts w:eastAsia="Times New Roman"/>
                <w:color w:val="414142"/>
                <w:sz w:val="24"/>
                <w:szCs w:val="24"/>
                <w:lang w:val="lv-LV" w:eastAsia="lv-LV"/>
              </w:rPr>
              <w:t>Cita informācija</w:t>
            </w:r>
          </w:p>
        </w:tc>
        <w:tc>
          <w:tcPr>
            <w:tcW w:w="3771" w:type="pct"/>
            <w:gridSpan w:val="3"/>
            <w:tcBorders>
              <w:top w:val="single" w:sz="4" w:space="0" w:color="auto"/>
              <w:left w:val="single" w:sz="4" w:space="0" w:color="auto"/>
              <w:bottom w:val="single" w:sz="4" w:space="0" w:color="auto"/>
              <w:right w:val="single" w:sz="4" w:space="0" w:color="auto"/>
            </w:tcBorders>
            <w:hideMark/>
          </w:tcPr>
          <w:p w14:paraId="3E5E4E23" w14:textId="77777777" w:rsidR="00EF3D28" w:rsidRPr="00EC65E2" w:rsidRDefault="00EF3D28" w:rsidP="00EF3D28">
            <w:pPr>
              <w:rPr>
                <w:rFonts w:eastAsia="Times New Roman"/>
                <w:color w:val="414142"/>
                <w:sz w:val="24"/>
                <w:szCs w:val="24"/>
                <w:lang w:val="lv-LV" w:eastAsia="lv-LV"/>
              </w:rPr>
            </w:pPr>
            <w:r w:rsidRPr="00EC65E2">
              <w:rPr>
                <w:color w:val="000000"/>
                <w:sz w:val="24"/>
                <w:szCs w:val="24"/>
                <w:lang w:val="lv-LV"/>
              </w:rPr>
              <w:t>Nav.</w:t>
            </w:r>
          </w:p>
        </w:tc>
      </w:tr>
    </w:tbl>
    <w:p w14:paraId="32D1EA33" w14:textId="3875FE2D" w:rsidR="0064766F" w:rsidRDefault="0064766F" w:rsidP="0064766F">
      <w:pPr>
        <w:contextualSpacing/>
        <w:rPr>
          <w:sz w:val="24"/>
          <w:szCs w:val="24"/>
          <w:lang w:val="lv-LV"/>
        </w:rPr>
      </w:pPr>
    </w:p>
    <w:p w14:paraId="21A4E322" w14:textId="77777777" w:rsidR="00EC65E2" w:rsidRPr="00AB7E1B" w:rsidRDefault="00EC65E2" w:rsidP="0064766F">
      <w:pPr>
        <w:contextualSpacing/>
        <w:rPr>
          <w:sz w:val="24"/>
          <w:szCs w:val="24"/>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4766F" w:rsidRPr="00993107" w14:paraId="72662CBB" w14:textId="77777777" w:rsidTr="00E032B3">
        <w:trPr>
          <w:trHeight w:val="421"/>
        </w:trPr>
        <w:tc>
          <w:tcPr>
            <w:tcW w:w="9211" w:type="dxa"/>
            <w:gridSpan w:val="3"/>
            <w:tcBorders>
              <w:top w:val="single" w:sz="2" w:space="0" w:color="auto"/>
            </w:tcBorders>
            <w:vAlign w:val="center"/>
          </w:tcPr>
          <w:p w14:paraId="3A127D85" w14:textId="77777777" w:rsidR="0064766F" w:rsidRPr="00AB7E1B" w:rsidRDefault="0064766F" w:rsidP="00E032B3">
            <w:pPr>
              <w:ind w:left="57" w:right="57"/>
              <w:contextualSpacing/>
              <w:jc w:val="center"/>
              <w:rPr>
                <w:rFonts w:eastAsia="Times New Roman"/>
                <w:sz w:val="24"/>
                <w:szCs w:val="24"/>
                <w:lang w:val="lv-LV"/>
              </w:rPr>
            </w:pPr>
            <w:r w:rsidRPr="00AB7E1B">
              <w:rPr>
                <w:rFonts w:eastAsia="Times New Roman"/>
                <w:b/>
                <w:sz w:val="24"/>
                <w:szCs w:val="24"/>
                <w:lang w:val="lv-LV"/>
              </w:rPr>
              <w:t>VI. Sabiedrības līdzdalība un komunikācijas aktivitātes</w:t>
            </w:r>
          </w:p>
        </w:tc>
      </w:tr>
      <w:tr w:rsidR="0064766F" w:rsidRPr="00AB7E1B" w14:paraId="03BE4F7A" w14:textId="77777777" w:rsidTr="00E032B3">
        <w:trPr>
          <w:trHeight w:val="553"/>
        </w:trPr>
        <w:tc>
          <w:tcPr>
            <w:tcW w:w="312" w:type="dxa"/>
          </w:tcPr>
          <w:p w14:paraId="54CF04D5" w14:textId="77777777" w:rsidR="0064766F" w:rsidRPr="00AB7E1B" w:rsidRDefault="0064766F" w:rsidP="00E032B3">
            <w:pPr>
              <w:ind w:left="57" w:right="57"/>
              <w:contextualSpacing/>
              <w:jc w:val="both"/>
              <w:rPr>
                <w:sz w:val="24"/>
                <w:szCs w:val="24"/>
                <w:lang w:val="lv-LV"/>
              </w:rPr>
            </w:pPr>
            <w:r w:rsidRPr="00AB7E1B">
              <w:rPr>
                <w:sz w:val="24"/>
                <w:szCs w:val="24"/>
                <w:lang w:val="lv-LV"/>
              </w:rPr>
              <w:t>1.</w:t>
            </w:r>
          </w:p>
        </w:tc>
        <w:tc>
          <w:tcPr>
            <w:tcW w:w="2665" w:type="dxa"/>
          </w:tcPr>
          <w:p w14:paraId="24F945CF" w14:textId="77777777" w:rsidR="0064766F" w:rsidRPr="00AB7E1B" w:rsidRDefault="0064766F" w:rsidP="00E032B3">
            <w:pPr>
              <w:tabs>
                <w:tab w:val="left" w:pos="170"/>
              </w:tabs>
              <w:ind w:left="57" w:right="57"/>
              <w:contextualSpacing/>
              <w:rPr>
                <w:rFonts w:eastAsia="PMingLiU"/>
                <w:sz w:val="24"/>
                <w:szCs w:val="24"/>
                <w:lang w:val="lv-LV" w:eastAsia="ja-JP"/>
              </w:rPr>
            </w:pPr>
            <w:r w:rsidRPr="00AB7E1B">
              <w:rPr>
                <w:rFonts w:eastAsia="PMingLiU"/>
                <w:sz w:val="24"/>
                <w:szCs w:val="24"/>
                <w:lang w:val="lv-LV" w:eastAsia="ja-JP"/>
              </w:rPr>
              <w:t>Plānotās sabiedrības līdzdalības un komunikācijas aktivitātes saistībā ar projektu</w:t>
            </w:r>
          </w:p>
        </w:tc>
        <w:tc>
          <w:tcPr>
            <w:tcW w:w="6234" w:type="dxa"/>
          </w:tcPr>
          <w:p w14:paraId="09F7D54B" w14:textId="32845F53" w:rsidR="0064766F" w:rsidRPr="00AB7E1B" w:rsidRDefault="0058300A" w:rsidP="00E032B3">
            <w:pPr>
              <w:shd w:val="clear" w:color="auto" w:fill="FFFFFF"/>
              <w:ind w:right="113"/>
              <w:contextualSpacing/>
              <w:jc w:val="both"/>
              <w:rPr>
                <w:rFonts w:eastAsia="PMingLiU"/>
                <w:sz w:val="24"/>
                <w:szCs w:val="24"/>
                <w:lang w:val="lv-LV" w:eastAsia="ja-JP"/>
              </w:rPr>
            </w:pPr>
            <w:r w:rsidRPr="00AB7E1B">
              <w:rPr>
                <w:rFonts w:eastAsia="PMingLiU"/>
                <w:sz w:val="24"/>
                <w:szCs w:val="24"/>
                <w:lang w:val="lv-LV" w:eastAsia="ja-JP"/>
              </w:rPr>
              <w:t>Nav</w:t>
            </w:r>
          </w:p>
        </w:tc>
      </w:tr>
      <w:tr w:rsidR="0064766F" w:rsidRPr="00AB7E1B" w14:paraId="665D38D0" w14:textId="77777777" w:rsidTr="00E032B3">
        <w:trPr>
          <w:trHeight w:val="339"/>
        </w:trPr>
        <w:tc>
          <w:tcPr>
            <w:tcW w:w="312" w:type="dxa"/>
          </w:tcPr>
          <w:p w14:paraId="36FBBBC2" w14:textId="77777777" w:rsidR="0064766F" w:rsidRPr="00AB7E1B" w:rsidRDefault="0064766F" w:rsidP="00E032B3">
            <w:pPr>
              <w:ind w:left="57" w:right="57"/>
              <w:contextualSpacing/>
              <w:jc w:val="both"/>
              <w:rPr>
                <w:sz w:val="24"/>
                <w:szCs w:val="24"/>
                <w:lang w:val="lv-LV"/>
              </w:rPr>
            </w:pPr>
            <w:r w:rsidRPr="00AB7E1B">
              <w:rPr>
                <w:sz w:val="24"/>
                <w:szCs w:val="24"/>
                <w:lang w:val="lv-LV"/>
              </w:rPr>
              <w:t>2.</w:t>
            </w:r>
          </w:p>
        </w:tc>
        <w:tc>
          <w:tcPr>
            <w:tcW w:w="2665" w:type="dxa"/>
          </w:tcPr>
          <w:p w14:paraId="725EE368" w14:textId="77777777" w:rsidR="0064766F" w:rsidRPr="00AB7E1B" w:rsidRDefault="0064766F" w:rsidP="00E032B3">
            <w:pPr>
              <w:ind w:left="57" w:right="57"/>
              <w:contextualSpacing/>
              <w:rPr>
                <w:rFonts w:eastAsia="PMingLiU"/>
                <w:sz w:val="24"/>
                <w:szCs w:val="24"/>
                <w:lang w:val="lv-LV" w:eastAsia="ja-JP"/>
              </w:rPr>
            </w:pPr>
            <w:r w:rsidRPr="00AB7E1B">
              <w:rPr>
                <w:rFonts w:eastAsia="PMingLiU"/>
                <w:sz w:val="24"/>
                <w:szCs w:val="24"/>
                <w:lang w:val="lv-LV" w:eastAsia="ja-JP"/>
              </w:rPr>
              <w:t>Sabiedrības līdzdalība projekta izstrādē</w:t>
            </w:r>
          </w:p>
        </w:tc>
        <w:tc>
          <w:tcPr>
            <w:tcW w:w="6234" w:type="dxa"/>
          </w:tcPr>
          <w:p w14:paraId="3D46F622" w14:textId="75679986" w:rsidR="0064766F" w:rsidRPr="00AB7E1B" w:rsidRDefault="0058300A" w:rsidP="00E032B3">
            <w:pPr>
              <w:shd w:val="clear" w:color="auto" w:fill="FFFFFF"/>
              <w:ind w:left="57" w:right="113"/>
              <w:contextualSpacing/>
              <w:jc w:val="both"/>
              <w:rPr>
                <w:rFonts w:eastAsia="PMingLiU"/>
                <w:sz w:val="24"/>
                <w:szCs w:val="24"/>
                <w:shd w:val="clear" w:color="auto" w:fill="FFFFFF"/>
                <w:lang w:val="lv-LV" w:eastAsia="ja-JP"/>
              </w:rPr>
            </w:pPr>
            <w:r w:rsidRPr="00AB7E1B">
              <w:rPr>
                <w:rFonts w:eastAsia="PMingLiU"/>
                <w:sz w:val="24"/>
                <w:szCs w:val="24"/>
                <w:shd w:val="clear" w:color="auto" w:fill="FFFFFF"/>
                <w:lang w:val="lv-LV" w:eastAsia="ja-JP"/>
              </w:rPr>
              <w:t>Nav</w:t>
            </w:r>
          </w:p>
        </w:tc>
      </w:tr>
      <w:tr w:rsidR="0064766F" w:rsidRPr="00AB7E1B" w14:paraId="60600293" w14:textId="77777777" w:rsidTr="00E032B3">
        <w:trPr>
          <w:trHeight w:val="476"/>
        </w:trPr>
        <w:tc>
          <w:tcPr>
            <w:tcW w:w="312" w:type="dxa"/>
          </w:tcPr>
          <w:p w14:paraId="215961D3" w14:textId="77777777" w:rsidR="0064766F" w:rsidRPr="00AB7E1B" w:rsidRDefault="0064766F" w:rsidP="00E032B3">
            <w:pPr>
              <w:ind w:left="57" w:right="57"/>
              <w:contextualSpacing/>
              <w:jc w:val="both"/>
              <w:rPr>
                <w:sz w:val="24"/>
                <w:szCs w:val="24"/>
                <w:lang w:val="lv-LV"/>
              </w:rPr>
            </w:pPr>
            <w:r w:rsidRPr="00AB7E1B">
              <w:rPr>
                <w:sz w:val="24"/>
                <w:szCs w:val="24"/>
                <w:lang w:val="lv-LV"/>
              </w:rPr>
              <w:t>3.</w:t>
            </w:r>
          </w:p>
        </w:tc>
        <w:tc>
          <w:tcPr>
            <w:tcW w:w="2665" w:type="dxa"/>
          </w:tcPr>
          <w:p w14:paraId="7D0AA275" w14:textId="77777777" w:rsidR="0064766F" w:rsidRPr="00AB7E1B" w:rsidRDefault="0064766F" w:rsidP="00E032B3">
            <w:pPr>
              <w:ind w:left="57" w:right="57"/>
              <w:contextualSpacing/>
              <w:rPr>
                <w:rFonts w:eastAsia="PMingLiU"/>
                <w:sz w:val="24"/>
                <w:szCs w:val="24"/>
                <w:lang w:val="lv-LV" w:eastAsia="ja-JP"/>
              </w:rPr>
            </w:pPr>
            <w:r w:rsidRPr="00AB7E1B">
              <w:rPr>
                <w:rFonts w:eastAsia="PMingLiU"/>
                <w:sz w:val="24"/>
                <w:szCs w:val="24"/>
                <w:lang w:val="lv-LV" w:eastAsia="ja-JP"/>
              </w:rPr>
              <w:t>Sabiedrības līdzdalības rezultāti</w:t>
            </w:r>
          </w:p>
        </w:tc>
        <w:tc>
          <w:tcPr>
            <w:tcW w:w="6234" w:type="dxa"/>
          </w:tcPr>
          <w:p w14:paraId="1C07554C" w14:textId="77777777" w:rsidR="0064766F" w:rsidRPr="00AB7E1B" w:rsidRDefault="0064766F" w:rsidP="00E032B3">
            <w:pPr>
              <w:shd w:val="clear" w:color="auto" w:fill="FFFFFF"/>
              <w:ind w:left="57" w:right="113"/>
              <w:contextualSpacing/>
              <w:jc w:val="both"/>
              <w:rPr>
                <w:rFonts w:eastAsia="PMingLiU"/>
                <w:sz w:val="24"/>
                <w:szCs w:val="24"/>
                <w:shd w:val="clear" w:color="auto" w:fill="FFFFFF"/>
                <w:lang w:val="lv-LV" w:eastAsia="ja-JP"/>
              </w:rPr>
            </w:pPr>
            <w:r w:rsidRPr="00AB7E1B">
              <w:rPr>
                <w:rFonts w:eastAsia="PMingLiU"/>
                <w:sz w:val="24"/>
                <w:szCs w:val="24"/>
                <w:shd w:val="clear" w:color="auto" w:fill="FFFFFF"/>
                <w:lang w:val="lv-LV" w:eastAsia="ja-JP"/>
              </w:rPr>
              <w:t>Nav</w:t>
            </w:r>
          </w:p>
        </w:tc>
      </w:tr>
      <w:tr w:rsidR="0064766F" w:rsidRPr="00AB7E1B" w14:paraId="29347A52" w14:textId="77777777" w:rsidTr="00E032B3">
        <w:trPr>
          <w:trHeight w:val="205"/>
        </w:trPr>
        <w:tc>
          <w:tcPr>
            <w:tcW w:w="312" w:type="dxa"/>
          </w:tcPr>
          <w:p w14:paraId="5E4FA38F" w14:textId="77777777" w:rsidR="0064766F" w:rsidRPr="00AB7E1B" w:rsidRDefault="0064766F" w:rsidP="00E032B3">
            <w:pPr>
              <w:ind w:left="57" w:right="57"/>
              <w:contextualSpacing/>
              <w:jc w:val="both"/>
              <w:rPr>
                <w:sz w:val="24"/>
                <w:szCs w:val="24"/>
                <w:lang w:val="lv-LV"/>
              </w:rPr>
            </w:pPr>
            <w:r w:rsidRPr="00AB7E1B">
              <w:rPr>
                <w:sz w:val="24"/>
                <w:szCs w:val="24"/>
                <w:lang w:val="lv-LV"/>
              </w:rPr>
              <w:t>4.</w:t>
            </w:r>
          </w:p>
        </w:tc>
        <w:tc>
          <w:tcPr>
            <w:tcW w:w="2665" w:type="dxa"/>
          </w:tcPr>
          <w:p w14:paraId="30427CD7" w14:textId="77777777" w:rsidR="0064766F" w:rsidRPr="00AB7E1B" w:rsidRDefault="0064766F" w:rsidP="00E032B3">
            <w:pPr>
              <w:ind w:left="57" w:right="57"/>
              <w:contextualSpacing/>
              <w:rPr>
                <w:rFonts w:eastAsia="PMingLiU"/>
                <w:sz w:val="24"/>
                <w:szCs w:val="24"/>
                <w:lang w:val="lv-LV" w:eastAsia="ja-JP"/>
              </w:rPr>
            </w:pPr>
            <w:r w:rsidRPr="00AB7E1B">
              <w:rPr>
                <w:rFonts w:eastAsia="PMingLiU"/>
                <w:sz w:val="24"/>
                <w:szCs w:val="24"/>
                <w:lang w:val="lv-LV" w:eastAsia="ja-JP"/>
              </w:rPr>
              <w:t>Cita informācija</w:t>
            </w:r>
          </w:p>
        </w:tc>
        <w:tc>
          <w:tcPr>
            <w:tcW w:w="6234" w:type="dxa"/>
          </w:tcPr>
          <w:p w14:paraId="01BC206C" w14:textId="77777777" w:rsidR="0064766F" w:rsidRPr="00AB7E1B" w:rsidRDefault="0064766F" w:rsidP="00E032B3">
            <w:pPr>
              <w:ind w:left="57" w:right="113"/>
              <w:contextualSpacing/>
              <w:jc w:val="both"/>
              <w:rPr>
                <w:rFonts w:eastAsia="PMingLiU"/>
                <w:sz w:val="24"/>
                <w:szCs w:val="24"/>
                <w:lang w:val="lv-LV" w:eastAsia="ja-JP"/>
              </w:rPr>
            </w:pPr>
            <w:r w:rsidRPr="00AB7E1B">
              <w:rPr>
                <w:rFonts w:eastAsia="PMingLiU"/>
                <w:sz w:val="24"/>
                <w:szCs w:val="24"/>
                <w:lang w:val="lv-LV" w:eastAsia="ja-JP"/>
              </w:rPr>
              <w:t>Nav</w:t>
            </w:r>
          </w:p>
        </w:tc>
      </w:tr>
    </w:tbl>
    <w:p w14:paraId="5D456046" w14:textId="77777777" w:rsidR="0064766F" w:rsidRPr="00AB7E1B" w:rsidRDefault="0064766F" w:rsidP="0064766F">
      <w:pPr>
        <w:contextualSpacing/>
        <w:rPr>
          <w:rFonts w:eastAsia="Times New Roman"/>
          <w:sz w:val="24"/>
          <w:szCs w:val="24"/>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64766F" w:rsidRPr="00993107" w14:paraId="00635ABF" w14:textId="77777777" w:rsidTr="00E032B3">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498B4F05" w14:textId="77777777" w:rsidR="0064766F" w:rsidRPr="00AB7E1B" w:rsidRDefault="0064766F" w:rsidP="00E032B3">
            <w:pPr>
              <w:spacing w:before="100" w:beforeAutospacing="1" w:after="100" w:afterAutospacing="1"/>
              <w:ind w:firstLine="300"/>
              <w:jc w:val="center"/>
              <w:rPr>
                <w:rFonts w:eastAsia="Times New Roman"/>
                <w:sz w:val="24"/>
                <w:szCs w:val="24"/>
                <w:lang w:val="lv-LV" w:eastAsia="lv-LV"/>
              </w:rPr>
            </w:pPr>
            <w:r w:rsidRPr="00AB7E1B">
              <w:rPr>
                <w:b/>
                <w:sz w:val="24"/>
                <w:szCs w:val="24"/>
                <w:lang w:val="lv-LV"/>
              </w:rPr>
              <w:t>VII. Tiesību akta projekta izpildes nodrošināšana un tās ietekme uz institūcijām</w:t>
            </w:r>
          </w:p>
        </w:tc>
      </w:tr>
      <w:tr w:rsidR="0064766F" w:rsidRPr="00AB7E1B" w14:paraId="6E866C43" w14:textId="77777777" w:rsidTr="00E032B3">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E9D0263" w14:textId="77777777" w:rsidR="0064766F" w:rsidRPr="00AB7E1B" w:rsidRDefault="0064766F" w:rsidP="00E032B3">
            <w:pPr>
              <w:contextualSpacing/>
              <w:rPr>
                <w:rFonts w:eastAsia="Times New Roman"/>
                <w:sz w:val="24"/>
                <w:szCs w:val="24"/>
                <w:lang w:val="lv-LV" w:eastAsia="lv-LV"/>
              </w:rPr>
            </w:pPr>
            <w:r w:rsidRPr="00AB7E1B">
              <w:rPr>
                <w:sz w:val="24"/>
                <w:szCs w:val="24"/>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8718839" w14:textId="77777777" w:rsidR="0064766F" w:rsidRPr="00AB7E1B" w:rsidRDefault="0064766F" w:rsidP="00E032B3">
            <w:pPr>
              <w:ind w:right="112"/>
              <w:contextualSpacing/>
              <w:jc w:val="both"/>
              <w:rPr>
                <w:sz w:val="24"/>
                <w:szCs w:val="24"/>
                <w:lang w:val="lv-LV"/>
              </w:rPr>
            </w:pPr>
            <w:r w:rsidRPr="00AB7E1B">
              <w:rPr>
                <w:sz w:val="24"/>
                <w:szCs w:val="24"/>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6683EF76" w14:textId="341BA2DE" w:rsidR="0064766F" w:rsidRPr="00AB7E1B" w:rsidRDefault="0064766F" w:rsidP="00E032B3">
            <w:pPr>
              <w:ind w:left="82" w:right="161"/>
              <w:contextualSpacing/>
              <w:jc w:val="both"/>
              <w:rPr>
                <w:sz w:val="24"/>
                <w:szCs w:val="24"/>
                <w:lang w:val="lv-LV"/>
              </w:rPr>
            </w:pPr>
            <w:r w:rsidRPr="00AB7E1B">
              <w:rPr>
                <w:sz w:val="24"/>
                <w:szCs w:val="24"/>
                <w:lang w:val="lv-LV"/>
              </w:rPr>
              <w:t xml:space="preserve">Ekonomikas ministrija, sabiedrība </w:t>
            </w:r>
            <w:proofErr w:type="spellStart"/>
            <w:r w:rsidRPr="00AB7E1B">
              <w:rPr>
                <w:sz w:val="24"/>
                <w:szCs w:val="24"/>
                <w:lang w:val="lv-LV"/>
              </w:rPr>
              <w:t>Altum</w:t>
            </w:r>
            <w:proofErr w:type="spellEnd"/>
            <w:r w:rsidR="00EC65E2">
              <w:rPr>
                <w:sz w:val="24"/>
                <w:szCs w:val="24"/>
                <w:lang w:val="lv-LV"/>
              </w:rPr>
              <w:t>.</w:t>
            </w:r>
          </w:p>
        </w:tc>
      </w:tr>
      <w:tr w:rsidR="0064766F" w:rsidRPr="00993107" w14:paraId="5B2B570E" w14:textId="77777777" w:rsidTr="00E032B3">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35F443D8" w14:textId="77777777" w:rsidR="0064766F" w:rsidRPr="00AB7E1B" w:rsidRDefault="0064766F" w:rsidP="00E032B3">
            <w:pPr>
              <w:contextualSpacing/>
              <w:rPr>
                <w:rFonts w:eastAsia="Times New Roman"/>
                <w:sz w:val="24"/>
                <w:szCs w:val="24"/>
                <w:lang w:val="lv-LV" w:eastAsia="lv-LV"/>
              </w:rPr>
            </w:pPr>
            <w:r w:rsidRPr="00AB7E1B">
              <w:rPr>
                <w:sz w:val="24"/>
                <w:szCs w:val="24"/>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6DB98E5" w14:textId="77777777" w:rsidR="0064766F" w:rsidRPr="00AB7E1B" w:rsidRDefault="0064766F" w:rsidP="00E032B3">
            <w:pPr>
              <w:ind w:right="112"/>
              <w:contextualSpacing/>
              <w:jc w:val="both"/>
              <w:rPr>
                <w:sz w:val="24"/>
                <w:szCs w:val="24"/>
                <w:lang w:val="lv-LV"/>
              </w:rPr>
            </w:pPr>
            <w:r w:rsidRPr="00AB7E1B">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61858AD1" w14:textId="023BDE1A" w:rsidR="0064766F" w:rsidRPr="00AB7E1B" w:rsidRDefault="0064766F" w:rsidP="00E032B3">
            <w:pPr>
              <w:ind w:left="82" w:right="161"/>
              <w:contextualSpacing/>
              <w:jc w:val="both"/>
              <w:rPr>
                <w:sz w:val="24"/>
                <w:szCs w:val="24"/>
                <w:lang w:val="lv-LV"/>
              </w:rPr>
            </w:pPr>
            <w:r w:rsidRPr="00AB7E1B">
              <w:rPr>
                <w:sz w:val="24"/>
                <w:szCs w:val="24"/>
                <w:lang w:val="lv-LV"/>
              </w:rPr>
              <w:t xml:space="preserve">Projekta izpilde tiks nodrošināta Ekonomikas ministrijas un akciju sabiedrības </w:t>
            </w:r>
            <w:proofErr w:type="spellStart"/>
            <w:r w:rsidRPr="00AB7E1B">
              <w:rPr>
                <w:sz w:val="24"/>
                <w:szCs w:val="24"/>
                <w:lang w:val="lv-LV"/>
              </w:rPr>
              <w:t>Altum</w:t>
            </w:r>
            <w:proofErr w:type="spellEnd"/>
            <w:r w:rsidRPr="00AB7E1B">
              <w:rPr>
                <w:sz w:val="24"/>
                <w:szCs w:val="24"/>
                <w:lang w:val="lv-LV"/>
              </w:rPr>
              <w:t xml:space="preserve"> esošo funkciju un cilvēkresursu ietvaros, kā arī nav paredzēta jaunu institūciju izveide, esošu institūciju likvidācija vai reorganizācija.</w:t>
            </w:r>
          </w:p>
        </w:tc>
      </w:tr>
      <w:tr w:rsidR="0064766F" w:rsidRPr="00AB7E1B" w14:paraId="2B60F978" w14:textId="77777777" w:rsidTr="00E032B3">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28B799D7" w14:textId="77777777" w:rsidR="0064766F" w:rsidRPr="00AB7E1B" w:rsidRDefault="0064766F" w:rsidP="00E032B3">
            <w:pPr>
              <w:contextualSpacing/>
              <w:rPr>
                <w:rFonts w:eastAsia="Times New Roman"/>
                <w:sz w:val="24"/>
                <w:szCs w:val="24"/>
                <w:lang w:val="lv-LV" w:eastAsia="lv-LV"/>
              </w:rPr>
            </w:pPr>
            <w:r w:rsidRPr="00AB7E1B">
              <w:rPr>
                <w:sz w:val="24"/>
                <w:szCs w:val="24"/>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26959A35" w14:textId="77777777" w:rsidR="0064766F" w:rsidRPr="00AB7E1B" w:rsidRDefault="0064766F" w:rsidP="00E032B3">
            <w:pPr>
              <w:contextualSpacing/>
              <w:jc w:val="both"/>
              <w:rPr>
                <w:rFonts w:eastAsia="Times New Roman"/>
                <w:sz w:val="24"/>
                <w:szCs w:val="24"/>
                <w:lang w:val="lv-LV" w:eastAsia="lv-LV"/>
              </w:rPr>
            </w:pPr>
            <w:r w:rsidRPr="00AB7E1B">
              <w:rPr>
                <w:rFonts w:eastAsia="Times New Roman"/>
                <w:sz w:val="24"/>
                <w:szCs w:val="24"/>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449B992" w14:textId="77777777" w:rsidR="0064766F" w:rsidRPr="00AB7E1B" w:rsidRDefault="0064766F" w:rsidP="00E032B3">
            <w:pPr>
              <w:contextualSpacing/>
              <w:jc w:val="both"/>
              <w:rPr>
                <w:rFonts w:eastAsia="Times New Roman"/>
                <w:sz w:val="24"/>
                <w:szCs w:val="24"/>
                <w:lang w:val="lv-LV" w:eastAsia="lv-LV"/>
              </w:rPr>
            </w:pPr>
            <w:r w:rsidRPr="00AB7E1B">
              <w:rPr>
                <w:rFonts w:eastAsia="Times New Roman"/>
                <w:sz w:val="24"/>
                <w:szCs w:val="24"/>
                <w:lang w:val="lv-LV" w:eastAsia="lv-LV"/>
              </w:rPr>
              <w:t>Nav</w:t>
            </w:r>
          </w:p>
        </w:tc>
      </w:tr>
    </w:tbl>
    <w:p w14:paraId="424F4BDB" w14:textId="77777777" w:rsidR="0064766F" w:rsidRPr="00AB7E1B" w:rsidRDefault="0064766F" w:rsidP="0064766F">
      <w:pPr>
        <w:pStyle w:val="Header"/>
        <w:tabs>
          <w:tab w:val="clear" w:pos="4153"/>
          <w:tab w:val="clear" w:pos="8306"/>
        </w:tabs>
        <w:contextualSpacing/>
        <w:rPr>
          <w:sz w:val="24"/>
          <w:szCs w:val="24"/>
          <w:lang w:val="lv-LV"/>
        </w:rPr>
      </w:pPr>
    </w:p>
    <w:p w14:paraId="63110F2B" w14:textId="77777777" w:rsidR="00C94AF4" w:rsidRPr="00AB7E1B" w:rsidRDefault="00C94AF4" w:rsidP="00C94AF4">
      <w:pPr>
        <w:ind w:firstLine="709"/>
        <w:jc w:val="both"/>
        <w:rPr>
          <w:sz w:val="24"/>
          <w:szCs w:val="24"/>
          <w:lang w:val="lv-LV"/>
        </w:rPr>
      </w:pPr>
    </w:p>
    <w:p w14:paraId="70D5C908" w14:textId="78B56C84" w:rsidR="00C94AF4" w:rsidRPr="00AB7E1B" w:rsidRDefault="00C94AF4" w:rsidP="00C94AF4">
      <w:pPr>
        <w:ind w:firstLine="709"/>
        <w:jc w:val="both"/>
        <w:rPr>
          <w:sz w:val="24"/>
          <w:szCs w:val="24"/>
          <w:lang w:val="lv-LV"/>
        </w:rPr>
      </w:pPr>
      <w:r w:rsidRPr="00AB7E1B">
        <w:rPr>
          <w:sz w:val="24"/>
          <w:szCs w:val="24"/>
          <w:lang w:val="lv-LV"/>
        </w:rPr>
        <w:t>Ekonomikas ministrs</w:t>
      </w:r>
      <w:r w:rsidRPr="00AB7E1B">
        <w:rPr>
          <w:sz w:val="24"/>
          <w:szCs w:val="24"/>
          <w:lang w:val="lv-LV"/>
        </w:rPr>
        <w:tab/>
      </w:r>
      <w:r w:rsidRPr="00AB7E1B">
        <w:rPr>
          <w:sz w:val="24"/>
          <w:szCs w:val="24"/>
          <w:lang w:val="lv-LV"/>
        </w:rPr>
        <w:tab/>
      </w:r>
      <w:r w:rsidRPr="00AB7E1B">
        <w:rPr>
          <w:sz w:val="24"/>
          <w:szCs w:val="24"/>
          <w:lang w:val="lv-LV"/>
        </w:rPr>
        <w:tab/>
      </w:r>
      <w:r w:rsidRPr="00AB7E1B">
        <w:rPr>
          <w:sz w:val="24"/>
          <w:szCs w:val="24"/>
          <w:lang w:val="lv-LV"/>
        </w:rPr>
        <w:tab/>
      </w:r>
      <w:r w:rsidRPr="00AB7E1B">
        <w:rPr>
          <w:sz w:val="24"/>
          <w:szCs w:val="24"/>
          <w:lang w:val="lv-LV"/>
        </w:rPr>
        <w:tab/>
      </w:r>
      <w:r w:rsidRPr="00AB7E1B">
        <w:rPr>
          <w:sz w:val="24"/>
          <w:szCs w:val="24"/>
          <w:lang w:val="lv-LV"/>
        </w:rPr>
        <w:tab/>
      </w:r>
      <w:proofErr w:type="spellStart"/>
      <w:r w:rsidRPr="00AB7E1B">
        <w:rPr>
          <w:sz w:val="24"/>
          <w:szCs w:val="24"/>
          <w:lang w:val="lv-LV"/>
        </w:rPr>
        <w:t>J.Vitenbergs</w:t>
      </w:r>
      <w:proofErr w:type="spellEnd"/>
    </w:p>
    <w:p w14:paraId="548E2DEB" w14:textId="3EF82CF6" w:rsidR="00C94AF4" w:rsidRPr="00AB7E1B" w:rsidRDefault="00C94AF4" w:rsidP="00C94AF4">
      <w:pPr>
        <w:ind w:firstLine="709"/>
        <w:jc w:val="both"/>
        <w:rPr>
          <w:sz w:val="24"/>
          <w:szCs w:val="24"/>
          <w:lang w:val="lv-LV"/>
        </w:rPr>
      </w:pPr>
      <w:r w:rsidRPr="00AB7E1B">
        <w:rPr>
          <w:sz w:val="24"/>
          <w:szCs w:val="24"/>
          <w:lang w:val="lv-LV"/>
        </w:rPr>
        <w:tab/>
      </w:r>
      <w:r w:rsidRPr="00AB7E1B">
        <w:rPr>
          <w:sz w:val="24"/>
          <w:szCs w:val="24"/>
          <w:lang w:val="lv-LV"/>
        </w:rPr>
        <w:tab/>
      </w:r>
      <w:r w:rsidRPr="00AB7E1B">
        <w:rPr>
          <w:sz w:val="24"/>
          <w:szCs w:val="24"/>
          <w:lang w:val="lv-LV"/>
        </w:rPr>
        <w:tab/>
        <w:t xml:space="preserve">                          </w:t>
      </w:r>
    </w:p>
    <w:p w14:paraId="0C69E59A" w14:textId="27D38581" w:rsidR="00C94AF4" w:rsidRPr="00AB7E1B" w:rsidRDefault="00C94AF4" w:rsidP="00C94AF4">
      <w:pPr>
        <w:rPr>
          <w:sz w:val="24"/>
          <w:szCs w:val="24"/>
          <w:lang w:val="lv-LV"/>
        </w:rPr>
      </w:pPr>
      <w:r w:rsidRPr="00AB7E1B">
        <w:rPr>
          <w:sz w:val="24"/>
          <w:szCs w:val="24"/>
          <w:lang w:val="lv-LV"/>
        </w:rPr>
        <w:tab/>
      </w:r>
    </w:p>
    <w:p w14:paraId="559A029C" w14:textId="77777777" w:rsidR="00C94AF4" w:rsidRPr="00AB7E1B" w:rsidRDefault="00C94AF4" w:rsidP="00C94AF4">
      <w:pPr>
        <w:tabs>
          <w:tab w:val="left" w:pos="6237"/>
        </w:tabs>
        <w:ind w:firstLine="720"/>
        <w:contextualSpacing/>
        <w:rPr>
          <w:sz w:val="24"/>
          <w:szCs w:val="24"/>
          <w:lang w:val="lv-LV"/>
        </w:rPr>
      </w:pPr>
      <w:r w:rsidRPr="00AB7E1B">
        <w:rPr>
          <w:sz w:val="24"/>
          <w:szCs w:val="24"/>
          <w:lang w:val="lv-LV"/>
        </w:rPr>
        <w:t>Vīza:</w:t>
      </w:r>
    </w:p>
    <w:p w14:paraId="44965DD7" w14:textId="77777777" w:rsidR="00993107" w:rsidRDefault="00993107" w:rsidP="00993107">
      <w:pPr>
        <w:ind w:firstLine="720"/>
        <w:jc w:val="both"/>
        <w:rPr>
          <w:sz w:val="24"/>
          <w:szCs w:val="26"/>
        </w:rPr>
      </w:pPr>
      <w:proofErr w:type="spellStart"/>
      <w:r w:rsidRPr="008838B0">
        <w:rPr>
          <w:sz w:val="24"/>
          <w:szCs w:val="26"/>
        </w:rPr>
        <w:t>Valsts</w:t>
      </w:r>
      <w:proofErr w:type="spellEnd"/>
      <w:r w:rsidRPr="008838B0">
        <w:rPr>
          <w:sz w:val="24"/>
          <w:szCs w:val="26"/>
        </w:rPr>
        <w:t xml:space="preserve"> </w:t>
      </w:r>
      <w:proofErr w:type="spellStart"/>
      <w:r w:rsidRPr="008838B0">
        <w:rPr>
          <w:sz w:val="24"/>
          <w:szCs w:val="26"/>
        </w:rPr>
        <w:t>sekretār</w:t>
      </w:r>
      <w:r>
        <w:rPr>
          <w:sz w:val="24"/>
          <w:szCs w:val="26"/>
        </w:rPr>
        <w:t>a</w:t>
      </w:r>
      <w:proofErr w:type="spellEnd"/>
      <w:r>
        <w:rPr>
          <w:sz w:val="24"/>
          <w:szCs w:val="26"/>
        </w:rPr>
        <w:t xml:space="preserve"> </w:t>
      </w:r>
      <w:proofErr w:type="spellStart"/>
      <w:r>
        <w:rPr>
          <w:sz w:val="24"/>
          <w:szCs w:val="26"/>
        </w:rPr>
        <w:t>p.i.</w:t>
      </w:r>
      <w:proofErr w:type="spellEnd"/>
      <w:r>
        <w:rPr>
          <w:sz w:val="24"/>
          <w:szCs w:val="26"/>
        </w:rPr>
        <w:tab/>
      </w:r>
      <w:r w:rsidRPr="008838B0">
        <w:rPr>
          <w:sz w:val="24"/>
          <w:szCs w:val="26"/>
        </w:rPr>
        <w:tab/>
      </w:r>
    </w:p>
    <w:p w14:paraId="579ACFEE" w14:textId="77777777" w:rsidR="00993107" w:rsidRPr="008838B0" w:rsidRDefault="00993107" w:rsidP="00993107">
      <w:pPr>
        <w:ind w:firstLine="720"/>
        <w:jc w:val="both"/>
        <w:rPr>
          <w:sz w:val="24"/>
          <w:szCs w:val="26"/>
        </w:rPr>
      </w:pPr>
      <w:proofErr w:type="spellStart"/>
      <w:r>
        <w:rPr>
          <w:sz w:val="24"/>
          <w:szCs w:val="26"/>
        </w:rPr>
        <w:t>Valsts</w:t>
      </w:r>
      <w:proofErr w:type="spellEnd"/>
      <w:r>
        <w:rPr>
          <w:sz w:val="24"/>
          <w:szCs w:val="26"/>
        </w:rPr>
        <w:t xml:space="preserve"> </w:t>
      </w:r>
      <w:proofErr w:type="spellStart"/>
      <w:r>
        <w:rPr>
          <w:sz w:val="24"/>
          <w:szCs w:val="26"/>
        </w:rPr>
        <w:t>sekretāra</w:t>
      </w:r>
      <w:proofErr w:type="spellEnd"/>
      <w:r>
        <w:rPr>
          <w:sz w:val="24"/>
          <w:szCs w:val="26"/>
        </w:rPr>
        <w:t xml:space="preserve"> </w:t>
      </w:r>
      <w:proofErr w:type="spellStart"/>
      <w:r>
        <w:rPr>
          <w:sz w:val="24"/>
          <w:szCs w:val="26"/>
        </w:rPr>
        <w:t>vietniece</w:t>
      </w:r>
      <w:proofErr w:type="spellEnd"/>
      <w:r>
        <w:rPr>
          <w:sz w:val="24"/>
          <w:szCs w:val="26"/>
        </w:rPr>
        <w:tab/>
      </w:r>
      <w:r>
        <w:rPr>
          <w:sz w:val="24"/>
          <w:szCs w:val="26"/>
        </w:rPr>
        <w:tab/>
      </w:r>
      <w:r w:rsidRPr="008838B0">
        <w:rPr>
          <w:sz w:val="24"/>
          <w:szCs w:val="26"/>
        </w:rPr>
        <w:tab/>
      </w:r>
      <w:r w:rsidRPr="008838B0">
        <w:rPr>
          <w:sz w:val="24"/>
          <w:szCs w:val="26"/>
        </w:rPr>
        <w:tab/>
        <w:t xml:space="preserve">     </w:t>
      </w:r>
      <w:r w:rsidRPr="008838B0">
        <w:rPr>
          <w:sz w:val="24"/>
          <w:szCs w:val="26"/>
        </w:rPr>
        <w:tab/>
        <w:t xml:space="preserve">     </w:t>
      </w:r>
      <w:r>
        <w:rPr>
          <w:sz w:val="24"/>
          <w:szCs w:val="26"/>
        </w:rPr>
        <w:t>Z. Liepiņa</w:t>
      </w:r>
      <w:r w:rsidRPr="008838B0">
        <w:rPr>
          <w:sz w:val="24"/>
          <w:szCs w:val="26"/>
        </w:rPr>
        <w:tab/>
      </w:r>
      <w:r w:rsidRPr="008838B0">
        <w:rPr>
          <w:sz w:val="24"/>
          <w:szCs w:val="26"/>
        </w:rPr>
        <w:tab/>
        <w:t xml:space="preserve">                             </w:t>
      </w:r>
    </w:p>
    <w:p w14:paraId="421C96CD" w14:textId="26AD60DD" w:rsidR="00C94AF4" w:rsidRPr="00AB7E1B" w:rsidRDefault="00C94AF4" w:rsidP="00C94AF4">
      <w:pPr>
        <w:tabs>
          <w:tab w:val="left" w:pos="6237"/>
        </w:tabs>
        <w:ind w:firstLine="720"/>
        <w:contextualSpacing/>
        <w:rPr>
          <w:sz w:val="24"/>
          <w:szCs w:val="24"/>
          <w:lang w:val="lv-LV"/>
        </w:rPr>
      </w:pPr>
      <w:bookmarkStart w:id="3" w:name="_GoBack"/>
      <w:bookmarkEnd w:id="3"/>
      <w:r w:rsidRPr="00AB7E1B">
        <w:rPr>
          <w:sz w:val="24"/>
          <w:szCs w:val="24"/>
          <w:lang w:val="lv-LV"/>
        </w:rPr>
        <w:tab/>
      </w:r>
      <w:r w:rsidRPr="00AB7E1B">
        <w:rPr>
          <w:sz w:val="24"/>
          <w:szCs w:val="24"/>
          <w:lang w:val="lv-LV"/>
        </w:rPr>
        <w:tab/>
      </w:r>
    </w:p>
    <w:p w14:paraId="5DD21149" w14:textId="77777777" w:rsidR="00C94AF4" w:rsidRPr="00AB7E1B" w:rsidRDefault="00C94AF4" w:rsidP="00C94AF4">
      <w:pPr>
        <w:tabs>
          <w:tab w:val="left" w:pos="6237"/>
        </w:tabs>
        <w:contextualSpacing/>
        <w:rPr>
          <w:sz w:val="24"/>
          <w:szCs w:val="24"/>
          <w:lang w:val="lv-LV"/>
        </w:rPr>
      </w:pPr>
    </w:p>
    <w:p w14:paraId="5EEDFD0D" w14:textId="77777777" w:rsidR="00C94AF4" w:rsidRPr="00AB7E1B" w:rsidRDefault="00C94AF4" w:rsidP="00C94AF4">
      <w:pPr>
        <w:tabs>
          <w:tab w:val="left" w:pos="6237"/>
        </w:tabs>
        <w:contextualSpacing/>
        <w:rPr>
          <w:sz w:val="24"/>
          <w:szCs w:val="24"/>
          <w:lang w:val="lv-LV"/>
        </w:rPr>
      </w:pPr>
    </w:p>
    <w:p w14:paraId="6B11CC43" w14:textId="77777777" w:rsidR="00C94AF4" w:rsidRPr="002E58F1" w:rsidRDefault="00C94AF4" w:rsidP="00C94AF4">
      <w:pPr>
        <w:tabs>
          <w:tab w:val="left" w:pos="6840"/>
        </w:tabs>
        <w:contextualSpacing/>
        <w:jc w:val="both"/>
        <w:rPr>
          <w:sz w:val="18"/>
          <w:szCs w:val="18"/>
          <w:lang w:val="lv-LV"/>
        </w:rPr>
      </w:pPr>
      <w:r w:rsidRPr="002E58F1">
        <w:rPr>
          <w:sz w:val="18"/>
          <w:szCs w:val="18"/>
          <w:lang w:val="lv-LV"/>
        </w:rPr>
        <w:t>Bergholde, 67013203</w:t>
      </w:r>
    </w:p>
    <w:p w14:paraId="24D61FCD" w14:textId="77777777" w:rsidR="00C94AF4" w:rsidRPr="002E58F1" w:rsidRDefault="00C94AF4" w:rsidP="00C94AF4">
      <w:pPr>
        <w:tabs>
          <w:tab w:val="left" w:pos="6840"/>
        </w:tabs>
        <w:contextualSpacing/>
        <w:jc w:val="both"/>
        <w:rPr>
          <w:sz w:val="18"/>
          <w:szCs w:val="18"/>
          <w:lang w:val="lv-LV"/>
        </w:rPr>
      </w:pPr>
      <w:r w:rsidRPr="002E58F1">
        <w:rPr>
          <w:sz w:val="18"/>
          <w:szCs w:val="18"/>
          <w:lang w:val="lv-LV"/>
        </w:rPr>
        <w:t>Liene.Bergholde@em.gov.lv</w:t>
      </w:r>
    </w:p>
    <w:p w14:paraId="04010A0B" w14:textId="77777777" w:rsidR="00ED33FB" w:rsidRPr="00AB7E1B" w:rsidRDefault="00ED33FB">
      <w:pPr>
        <w:rPr>
          <w:sz w:val="24"/>
          <w:szCs w:val="24"/>
        </w:rPr>
      </w:pPr>
    </w:p>
    <w:sectPr w:rsidR="00ED33FB" w:rsidRPr="00AB7E1B" w:rsidSect="0064766F">
      <w:headerReference w:type="default" r:id="rId17"/>
      <w:endnotePr>
        <w:numFmt w:val="decimal"/>
      </w:endnotePr>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41569" w14:textId="77777777" w:rsidR="003C1E66" w:rsidRDefault="003C1E66">
      <w:r>
        <w:separator/>
      </w:r>
    </w:p>
  </w:endnote>
  <w:endnote w:type="continuationSeparator" w:id="0">
    <w:p w14:paraId="0C2A7BC2" w14:textId="77777777" w:rsidR="003C1E66" w:rsidRDefault="003C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2E434" w14:textId="77777777" w:rsidR="003C1E66" w:rsidRDefault="003C1E66">
      <w:r>
        <w:separator/>
      </w:r>
    </w:p>
  </w:footnote>
  <w:footnote w:type="continuationSeparator" w:id="0">
    <w:p w14:paraId="5A5C02DB" w14:textId="77777777" w:rsidR="003C1E66" w:rsidRDefault="003C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771DF389" w14:textId="4C94D693" w:rsidR="003C1E66" w:rsidRPr="005A1518" w:rsidRDefault="003C1E66" w:rsidP="00E032B3">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4936"/>
    <w:multiLevelType w:val="hybridMultilevel"/>
    <w:tmpl w:val="9956E3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BA5745"/>
    <w:multiLevelType w:val="hybridMultilevel"/>
    <w:tmpl w:val="501814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AF194A"/>
    <w:multiLevelType w:val="hybridMultilevel"/>
    <w:tmpl w:val="393C42A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7C756D"/>
    <w:multiLevelType w:val="hybridMultilevel"/>
    <w:tmpl w:val="80DAB9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8D60CC"/>
    <w:multiLevelType w:val="hybridMultilevel"/>
    <w:tmpl w:val="845057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D90295E"/>
    <w:multiLevelType w:val="hybridMultilevel"/>
    <w:tmpl w:val="3CB09990"/>
    <w:lvl w:ilvl="0" w:tplc="1EE0EC34">
      <w:start w:val="1"/>
      <w:numFmt w:val="lowerLetter"/>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8" w15:restartNumberingAfterBreak="0">
    <w:nsid w:val="7ED46B0C"/>
    <w:multiLevelType w:val="hybridMultilevel"/>
    <w:tmpl w:val="182A69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6F"/>
    <w:rsid w:val="000002A9"/>
    <w:rsid w:val="0000763F"/>
    <w:rsid w:val="00017009"/>
    <w:rsid w:val="0002457F"/>
    <w:rsid w:val="00040F55"/>
    <w:rsid w:val="00080462"/>
    <w:rsid w:val="00086753"/>
    <w:rsid w:val="000905A2"/>
    <w:rsid w:val="000A4F2B"/>
    <w:rsid w:val="000C481E"/>
    <w:rsid w:val="000E2BAC"/>
    <w:rsid w:val="000E57E8"/>
    <w:rsid w:val="00107C91"/>
    <w:rsid w:val="00131360"/>
    <w:rsid w:val="00146EAD"/>
    <w:rsid w:val="00165BA7"/>
    <w:rsid w:val="001B5A64"/>
    <w:rsid w:val="001C6628"/>
    <w:rsid w:val="001F3948"/>
    <w:rsid w:val="00222FC5"/>
    <w:rsid w:val="00246516"/>
    <w:rsid w:val="00293647"/>
    <w:rsid w:val="002E58F1"/>
    <w:rsid w:val="002F55F1"/>
    <w:rsid w:val="00374D78"/>
    <w:rsid w:val="003C1E66"/>
    <w:rsid w:val="0040533F"/>
    <w:rsid w:val="00465AFB"/>
    <w:rsid w:val="00492A4A"/>
    <w:rsid w:val="004B62C2"/>
    <w:rsid w:val="004C5318"/>
    <w:rsid w:val="004E3FB6"/>
    <w:rsid w:val="004F30FF"/>
    <w:rsid w:val="00512832"/>
    <w:rsid w:val="00516E2C"/>
    <w:rsid w:val="00525BD1"/>
    <w:rsid w:val="0053725A"/>
    <w:rsid w:val="00537F7C"/>
    <w:rsid w:val="00540E13"/>
    <w:rsid w:val="00551A59"/>
    <w:rsid w:val="0058300A"/>
    <w:rsid w:val="0059679A"/>
    <w:rsid w:val="005E7B85"/>
    <w:rsid w:val="005F22DA"/>
    <w:rsid w:val="00605523"/>
    <w:rsid w:val="00624B78"/>
    <w:rsid w:val="00633D8D"/>
    <w:rsid w:val="006356D5"/>
    <w:rsid w:val="0064766F"/>
    <w:rsid w:val="00656152"/>
    <w:rsid w:val="007E3641"/>
    <w:rsid w:val="0084410D"/>
    <w:rsid w:val="00881718"/>
    <w:rsid w:val="00883B55"/>
    <w:rsid w:val="008A0283"/>
    <w:rsid w:val="00931D75"/>
    <w:rsid w:val="00957042"/>
    <w:rsid w:val="00984B40"/>
    <w:rsid w:val="00993107"/>
    <w:rsid w:val="009A10DF"/>
    <w:rsid w:val="009B6324"/>
    <w:rsid w:val="009C12DC"/>
    <w:rsid w:val="009D14BB"/>
    <w:rsid w:val="009D2CD7"/>
    <w:rsid w:val="009F143E"/>
    <w:rsid w:val="00A43312"/>
    <w:rsid w:val="00A63DC8"/>
    <w:rsid w:val="00A718F5"/>
    <w:rsid w:val="00A76881"/>
    <w:rsid w:val="00AB7E1B"/>
    <w:rsid w:val="00AC72A7"/>
    <w:rsid w:val="00AD4CD0"/>
    <w:rsid w:val="00B12A12"/>
    <w:rsid w:val="00B76837"/>
    <w:rsid w:val="00C41FDE"/>
    <w:rsid w:val="00C572AE"/>
    <w:rsid w:val="00C6475E"/>
    <w:rsid w:val="00C7754E"/>
    <w:rsid w:val="00C94AF4"/>
    <w:rsid w:val="00CA04E5"/>
    <w:rsid w:val="00CB5B2D"/>
    <w:rsid w:val="00CD1C24"/>
    <w:rsid w:val="00D10665"/>
    <w:rsid w:val="00D1212F"/>
    <w:rsid w:val="00D27CAC"/>
    <w:rsid w:val="00D55804"/>
    <w:rsid w:val="00D56600"/>
    <w:rsid w:val="00D632D0"/>
    <w:rsid w:val="00D708F7"/>
    <w:rsid w:val="00DB5C65"/>
    <w:rsid w:val="00DD1687"/>
    <w:rsid w:val="00DE0CE0"/>
    <w:rsid w:val="00DF4167"/>
    <w:rsid w:val="00E032B3"/>
    <w:rsid w:val="00E07E33"/>
    <w:rsid w:val="00E52F75"/>
    <w:rsid w:val="00EB77B8"/>
    <w:rsid w:val="00EC2651"/>
    <w:rsid w:val="00EC65E2"/>
    <w:rsid w:val="00ED33FB"/>
    <w:rsid w:val="00ED6AFA"/>
    <w:rsid w:val="00EF3D28"/>
    <w:rsid w:val="00F04952"/>
    <w:rsid w:val="00F4004A"/>
    <w:rsid w:val="00F5180B"/>
    <w:rsid w:val="00F566DF"/>
    <w:rsid w:val="00F57784"/>
    <w:rsid w:val="00F64AEE"/>
    <w:rsid w:val="00F81D48"/>
    <w:rsid w:val="00FA185E"/>
    <w:rsid w:val="00FE75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A63F"/>
  <w15:chartTrackingRefBased/>
  <w15:docId w15:val="{F4C17D46-E902-424A-A870-B7D4F1B2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66F"/>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4766F"/>
    <w:pPr>
      <w:jc w:val="both"/>
    </w:pPr>
    <w:rPr>
      <w:rFonts w:eastAsia="Times New Roman"/>
      <w:sz w:val="28"/>
      <w:lang w:val="lv-LV" w:eastAsia="lv-LV"/>
    </w:rPr>
  </w:style>
  <w:style w:type="character" w:customStyle="1" w:styleId="BodyTextChar">
    <w:name w:val="Body Text Char"/>
    <w:basedOn w:val="DefaultParagraphFont"/>
    <w:link w:val="BodyText"/>
    <w:rsid w:val="0064766F"/>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64766F"/>
    <w:pPr>
      <w:tabs>
        <w:tab w:val="center" w:pos="4153"/>
        <w:tab w:val="right" w:pos="8306"/>
      </w:tabs>
    </w:pPr>
  </w:style>
  <w:style w:type="character" w:customStyle="1" w:styleId="HeaderChar">
    <w:name w:val="Header Char"/>
    <w:basedOn w:val="DefaultParagraphFont"/>
    <w:link w:val="Header"/>
    <w:rsid w:val="0064766F"/>
    <w:rPr>
      <w:rFonts w:ascii="Times New Roman" w:eastAsia="Calibri" w:hAnsi="Times New Roman" w:cs="Times New Roman"/>
      <w:sz w:val="20"/>
      <w:szCs w:val="20"/>
      <w:lang w:val="en-AU"/>
    </w:rPr>
  </w:style>
  <w:style w:type="paragraph" w:customStyle="1" w:styleId="naiskr">
    <w:name w:val="naiskr"/>
    <w:basedOn w:val="Normal"/>
    <w:rsid w:val="0064766F"/>
    <w:pPr>
      <w:spacing w:before="75" w:after="75"/>
    </w:pPr>
    <w:rPr>
      <w:rFonts w:eastAsia="Times New Roman"/>
      <w:sz w:val="24"/>
      <w:szCs w:val="24"/>
      <w:lang w:val="lv-LV" w:eastAsia="lv-LV"/>
    </w:rPr>
  </w:style>
  <w:style w:type="paragraph" w:styleId="ListParagraph">
    <w:name w:val="List Paragraph"/>
    <w:aliases w:val="2,Strip,H&amp;P List Paragraph,Saraksta rindkopa,Saraksta rindkopa1"/>
    <w:basedOn w:val="Normal"/>
    <w:link w:val="ListParagraphChar"/>
    <w:uiPriority w:val="34"/>
    <w:qFormat/>
    <w:rsid w:val="0064766F"/>
    <w:pPr>
      <w:ind w:left="720"/>
      <w:contextualSpacing/>
    </w:pPr>
  </w:style>
  <w:style w:type="character" w:customStyle="1" w:styleId="ListParagraphChar">
    <w:name w:val="List Paragraph Char"/>
    <w:aliases w:val="2 Char,Strip Char,H&amp;P List Paragraph Char,Saraksta rindkopa Char,Saraksta rindkopa1 Char"/>
    <w:link w:val="ListParagraph"/>
    <w:uiPriority w:val="34"/>
    <w:locked/>
    <w:rsid w:val="0064766F"/>
    <w:rPr>
      <w:rFonts w:ascii="Times New Roman" w:eastAsia="Calibri" w:hAnsi="Times New Roman" w:cs="Times New Roman"/>
      <w:sz w:val="20"/>
      <w:szCs w:val="20"/>
      <w:lang w:val="en-AU"/>
    </w:rPr>
  </w:style>
  <w:style w:type="paragraph" w:customStyle="1" w:styleId="Default">
    <w:name w:val="Default"/>
    <w:rsid w:val="0064766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naislab">
    <w:name w:val="naislab"/>
    <w:basedOn w:val="Normal"/>
    <w:uiPriority w:val="99"/>
    <w:rsid w:val="0064766F"/>
    <w:pPr>
      <w:spacing w:before="68" w:after="68"/>
      <w:jc w:val="right"/>
    </w:pPr>
    <w:rPr>
      <w:rFonts w:eastAsia="Times New Roman"/>
      <w:sz w:val="28"/>
      <w:szCs w:val="24"/>
      <w:lang w:val="lv-LV" w:eastAsia="lv-LV"/>
    </w:rPr>
  </w:style>
  <w:style w:type="paragraph" w:styleId="NoSpacing">
    <w:name w:val="No Spacing"/>
    <w:uiPriority w:val="1"/>
    <w:qFormat/>
    <w:rsid w:val="0064766F"/>
    <w:pPr>
      <w:spacing w:after="0" w:line="240" w:lineRule="auto"/>
    </w:pPr>
    <w:rPr>
      <w:lang w:eastAsia="lv-LV"/>
    </w:rPr>
  </w:style>
  <w:style w:type="character" w:styleId="CommentReference">
    <w:name w:val="annotation reference"/>
    <w:basedOn w:val="DefaultParagraphFont"/>
    <w:uiPriority w:val="99"/>
    <w:semiHidden/>
    <w:unhideWhenUsed/>
    <w:rsid w:val="001C6628"/>
    <w:rPr>
      <w:sz w:val="16"/>
      <w:szCs w:val="16"/>
    </w:rPr>
  </w:style>
  <w:style w:type="paragraph" w:styleId="CommentText">
    <w:name w:val="annotation text"/>
    <w:basedOn w:val="Normal"/>
    <w:link w:val="CommentTextChar"/>
    <w:uiPriority w:val="99"/>
    <w:semiHidden/>
    <w:unhideWhenUsed/>
    <w:rsid w:val="001C6628"/>
  </w:style>
  <w:style w:type="character" w:customStyle="1" w:styleId="CommentTextChar">
    <w:name w:val="Comment Text Char"/>
    <w:basedOn w:val="DefaultParagraphFont"/>
    <w:link w:val="CommentText"/>
    <w:uiPriority w:val="99"/>
    <w:semiHidden/>
    <w:rsid w:val="001C6628"/>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C6628"/>
    <w:rPr>
      <w:b/>
      <w:bCs/>
    </w:rPr>
  </w:style>
  <w:style w:type="character" w:customStyle="1" w:styleId="CommentSubjectChar">
    <w:name w:val="Comment Subject Char"/>
    <w:basedOn w:val="CommentTextChar"/>
    <w:link w:val="CommentSubject"/>
    <w:uiPriority w:val="99"/>
    <w:semiHidden/>
    <w:rsid w:val="001C6628"/>
    <w:rPr>
      <w:rFonts w:ascii="Times New Roman" w:eastAsia="Calibri" w:hAnsi="Times New Roman" w:cs="Times New Roman"/>
      <w:b/>
      <w:bCs/>
      <w:sz w:val="20"/>
      <w:szCs w:val="20"/>
      <w:lang w:val="en-AU"/>
    </w:rPr>
  </w:style>
  <w:style w:type="paragraph" w:styleId="BalloonText">
    <w:name w:val="Balloon Text"/>
    <w:basedOn w:val="Normal"/>
    <w:link w:val="BalloonTextChar"/>
    <w:uiPriority w:val="99"/>
    <w:semiHidden/>
    <w:unhideWhenUsed/>
    <w:rsid w:val="001C6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28"/>
    <w:rPr>
      <w:rFonts w:ascii="Segoe UI" w:eastAsia="Calibr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5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80/oj/?locale=LV" TargetMode="External"/><Relationship Id="rId13" Type="http://schemas.openxmlformats.org/officeDocument/2006/relationships/hyperlink" Target="http://eur-lex.europa.eu/eli/reg/2014/651/oj/?locale=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reg/2013/1301/oj/?locale=LV" TargetMode="Externa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ur-lex.europa.eu/eli/reg/2014/651/oj/?local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14/651/oj/?locale=LV" TargetMode="External"/><Relationship Id="rId5" Type="http://schemas.openxmlformats.org/officeDocument/2006/relationships/footnotes" Target="footnotes.xml"/><Relationship Id="rId15" Type="http://schemas.openxmlformats.org/officeDocument/2006/relationships/hyperlink" Target="http://eur-lex.europa.eu/eli/reg/2014/651/oj/?locale=LV" TargetMode="External"/><Relationship Id="rId10" Type="http://schemas.openxmlformats.org/officeDocument/2006/relationships/hyperlink" Target="http://eur-lex.europa.eu/eli/reg/2014/651/oj/?local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eli/reg/2013/1303/oj/?locale=LV" TargetMode="Externa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20816</Words>
  <Characters>11866</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Zakule</dc:creator>
  <cp:keywords/>
  <dc:description/>
  <cp:lastModifiedBy>Dita Tetere</cp:lastModifiedBy>
  <cp:revision>8</cp:revision>
  <cp:lastPrinted>2020-05-05T10:32:00Z</cp:lastPrinted>
  <dcterms:created xsi:type="dcterms:W3CDTF">2020-07-08T08:40:00Z</dcterms:created>
  <dcterms:modified xsi:type="dcterms:W3CDTF">2020-07-10T06:54:00Z</dcterms:modified>
</cp:coreProperties>
</file>