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B5DF9" w14:textId="77777777" w:rsidR="006F640E" w:rsidRPr="00CD2F09" w:rsidRDefault="006F640E" w:rsidP="006F640E">
      <w:pPr>
        <w:pStyle w:val="naisnod"/>
        <w:spacing w:before="0" w:after="0"/>
        <w:ind w:firstLine="720"/>
      </w:pPr>
      <w:r w:rsidRPr="00CD2F09">
        <w:t>Izziņa par atzinumos sniegtajiem iebildumiem par</w:t>
      </w:r>
    </w:p>
    <w:p w14:paraId="4C60DF71" w14:textId="77777777" w:rsidR="006F640E" w:rsidRPr="00CD2F09" w:rsidRDefault="006F640E" w:rsidP="006F640E">
      <w:pPr>
        <w:pStyle w:val="naisf"/>
        <w:spacing w:before="0" w:after="0"/>
        <w:ind w:firstLine="720"/>
        <w:jc w:val="center"/>
        <w:rPr>
          <w:rStyle w:val="Strong"/>
        </w:rPr>
      </w:pPr>
      <w:r w:rsidRPr="00CD2F09">
        <w:rPr>
          <w:rStyle w:val="Strong"/>
        </w:rPr>
        <w:t>noteikumu projekt</w:t>
      </w:r>
      <w:r>
        <w:rPr>
          <w:rStyle w:val="Strong"/>
        </w:rPr>
        <w:t>u</w:t>
      </w:r>
      <w:r w:rsidRPr="00CD2F09">
        <w:rPr>
          <w:rStyle w:val="Strong"/>
        </w:rPr>
        <w:t xml:space="preserve"> </w:t>
      </w:r>
      <w:r>
        <w:rPr>
          <w:rStyle w:val="Strong"/>
        </w:rPr>
        <w:t>“</w:t>
      </w:r>
      <w:r w:rsidRPr="004A6B7E">
        <w:rPr>
          <w:rStyle w:val="Strong"/>
        </w:rPr>
        <w:t>Noteikumi par kapitāla ieguldījumiem komersantos, kuru darbību ietekmējusi Covid-19 izplatība</w:t>
      </w:r>
      <w:r>
        <w:rPr>
          <w:rStyle w:val="Strong"/>
        </w:rPr>
        <w:t>”</w:t>
      </w:r>
    </w:p>
    <w:p w14:paraId="3B68BE8E" w14:textId="77777777" w:rsidR="006F640E" w:rsidRPr="00CD2F09" w:rsidRDefault="006F640E" w:rsidP="006F640E">
      <w:pPr>
        <w:pStyle w:val="naisf"/>
        <w:spacing w:before="0" w:after="0"/>
        <w:ind w:firstLine="720"/>
        <w:jc w:val="center"/>
      </w:pPr>
    </w:p>
    <w:p w14:paraId="3C631285" w14:textId="77777777" w:rsidR="006F640E" w:rsidRPr="00CD2F09" w:rsidRDefault="006F640E" w:rsidP="006F640E">
      <w:pPr>
        <w:pStyle w:val="naisf"/>
        <w:spacing w:before="0" w:after="0"/>
        <w:ind w:firstLine="0"/>
        <w:jc w:val="center"/>
        <w:rPr>
          <w:b/>
        </w:rPr>
      </w:pPr>
      <w:r w:rsidRPr="00CD2F09">
        <w:rPr>
          <w:b/>
        </w:rPr>
        <w:t>I. Jautājumi, par kuriem saskaņošanā vienošanās nav panākta</w:t>
      </w:r>
    </w:p>
    <w:p w14:paraId="3FCA565A" w14:textId="77777777" w:rsidR="006F640E" w:rsidRPr="009C6FAF" w:rsidRDefault="006F640E" w:rsidP="006F640E">
      <w:pPr>
        <w:pStyle w:val="naisf"/>
        <w:spacing w:before="0" w:after="0"/>
        <w:ind w:firstLine="720"/>
        <w:rPr>
          <w:sz w:val="22"/>
          <w:szCs w:val="22"/>
        </w:rPr>
      </w:pPr>
    </w:p>
    <w:tbl>
      <w:tblPr>
        <w:tblW w:w="148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3086"/>
        <w:gridCol w:w="3118"/>
        <w:gridCol w:w="2977"/>
        <w:gridCol w:w="2727"/>
        <w:gridCol w:w="2219"/>
        <w:gridCol w:w="9"/>
      </w:tblGrid>
      <w:tr w:rsidR="006F640E" w:rsidRPr="00CD2F09" w14:paraId="5A978045" w14:textId="77777777" w:rsidTr="00D733EB">
        <w:trPr>
          <w:gridAfter w:val="1"/>
          <w:wAfter w:w="9" w:type="dxa"/>
        </w:trPr>
        <w:tc>
          <w:tcPr>
            <w:tcW w:w="708" w:type="dxa"/>
            <w:vAlign w:val="center"/>
          </w:tcPr>
          <w:p w14:paraId="505F92F6" w14:textId="77777777" w:rsidR="006F640E" w:rsidRPr="00CD2F09" w:rsidRDefault="006F640E" w:rsidP="00D733EB">
            <w:pPr>
              <w:pStyle w:val="naisc"/>
              <w:spacing w:before="0" w:after="0"/>
              <w:rPr>
                <w:sz w:val="22"/>
                <w:szCs w:val="22"/>
              </w:rPr>
            </w:pPr>
            <w:r w:rsidRPr="00CD2F09">
              <w:rPr>
                <w:sz w:val="22"/>
                <w:szCs w:val="22"/>
              </w:rPr>
              <w:t>Nr. p.k.</w:t>
            </w:r>
          </w:p>
        </w:tc>
        <w:tc>
          <w:tcPr>
            <w:tcW w:w="3086" w:type="dxa"/>
            <w:vAlign w:val="center"/>
          </w:tcPr>
          <w:p w14:paraId="7D95C027" w14:textId="77777777" w:rsidR="006F640E" w:rsidRPr="00CD2F09" w:rsidRDefault="006F640E" w:rsidP="00D733EB">
            <w:pPr>
              <w:pStyle w:val="naisc"/>
              <w:spacing w:before="0" w:after="0"/>
              <w:ind w:firstLine="12"/>
              <w:rPr>
                <w:sz w:val="22"/>
                <w:szCs w:val="22"/>
              </w:rPr>
            </w:pPr>
            <w:r w:rsidRPr="00CD2F09">
              <w:rPr>
                <w:sz w:val="22"/>
                <w:szCs w:val="22"/>
              </w:rPr>
              <w:t>Saskaņošanai nosūtītā projekta redakcija (konkrēta punkta (panta) redakcija)</w:t>
            </w:r>
          </w:p>
        </w:tc>
        <w:tc>
          <w:tcPr>
            <w:tcW w:w="3118" w:type="dxa"/>
            <w:vAlign w:val="center"/>
          </w:tcPr>
          <w:p w14:paraId="74F9A1BC" w14:textId="77777777" w:rsidR="006F640E" w:rsidRPr="00CD2F09" w:rsidRDefault="006F640E" w:rsidP="00D733EB">
            <w:pPr>
              <w:pStyle w:val="naisc"/>
              <w:spacing w:before="0" w:after="0"/>
              <w:ind w:right="3"/>
              <w:rPr>
                <w:sz w:val="22"/>
                <w:szCs w:val="22"/>
              </w:rPr>
            </w:pPr>
            <w:r w:rsidRPr="00CD2F09">
              <w:rPr>
                <w:sz w:val="22"/>
                <w:szCs w:val="22"/>
              </w:rPr>
              <w:t>Atzinumā norādītais ministrijas (citas institūcijas) iebildums, kā arī saskaņošanā papildus izteiktais iebildums par projekta konkrēto punktu (pantu)</w:t>
            </w:r>
          </w:p>
        </w:tc>
        <w:tc>
          <w:tcPr>
            <w:tcW w:w="2977" w:type="dxa"/>
            <w:vAlign w:val="center"/>
          </w:tcPr>
          <w:p w14:paraId="27BE9605" w14:textId="77777777" w:rsidR="006F640E" w:rsidRPr="00CD2F09" w:rsidRDefault="006F640E" w:rsidP="00D733EB">
            <w:pPr>
              <w:pStyle w:val="naisc"/>
              <w:spacing w:before="0" w:after="0"/>
              <w:ind w:firstLine="21"/>
              <w:rPr>
                <w:sz w:val="22"/>
                <w:szCs w:val="22"/>
              </w:rPr>
            </w:pPr>
            <w:r w:rsidRPr="00CD2F09">
              <w:rPr>
                <w:sz w:val="22"/>
                <w:szCs w:val="22"/>
              </w:rPr>
              <w:t>Atbildīgās ministrijas pamatojums iebilduma noraidījumam</w:t>
            </w:r>
          </w:p>
        </w:tc>
        <w:tc>
          <w:tcPr>
            <w:tcW w:w="2727" w:type="dxa"/>
            <w:vAlign w:val="center"/>
          </w:tcPr>
          <w:p w14:paraId="558E06DF" w14:textId="77777777" w:rsidR="006F640E" w:rsidRPr="00CD2F09" w:rsidRDefault="006F640E" w:rsidP="00D733EB">
            <w:pPr>
              <w:jc w:val="center"/>
              <w:rPr>
                <w:sz w:val="22"/>
                <w:szCs w:val="22"/>
              </w:rPr>
            </w:pPr>
            <w:r w:rsidRPr="00CD2F09">
              <w:rPr>
                <w:sz w:val="22"/>
                <w:szCs w:val="22"/>
              </w:rPr>
              <w:t>Atzinuma sniedzēja uzturētais iebildums, ja tas atšķiras no atzinumā norādītā iebilduma pamatojuma</w:t>
            </w:r>
          </w:p>
        </w:tc>
        <w:tc>
          <w:tcPr>
            <w:tcW w:w="2219" w:type="dxa"/>
            <w:vAlign w:val="center"/>
          </w:tcPr>
          <w:p w14:paraId="44AA76AC" w14:textId="77777777" w:rsidR="006F640E" w:rsidRPr="00CD2F09" w:rsidRDefault="006F640E" w:rsidP="00D733EB">
            <w:pPr>
              <w:jc w:val="center"/>
              <w:rPr>
                <w:sz w:val="22"/>
                <w:szCs w:val="22"/>
              </w:rPr>
            </w:pPr>
            <w:r w:rsidRPr="00CD2F09">
              <w:rPr>
                <w:sz w:val="22"/>
                <w:szCs w:val="22"/>
              </w:rPr>
              <w:t>Projekta attiecīgā punkta (panta) galīgā redakcija</w:t>
            </w:r>
          </w:p>
        </w:tc>
      </w:tr>
      <w:tr w:rsidR="006F640E" w:rsidRPr="00CD2F09" w14:paraId="611DC433" w14:textId="77777777" w:rsidTr="00D733EB">
        <w:tc>
          <w:tcPr>
            <w:tcW w:w="14844" w:type="dxa"/>
            <w:gridSpan w:val="7"/>
          </w:tcPr>
          <w:p w14:paraId="0120C477" w14:textId="77777777" w:rsidR="006F640E" w:rsidRPr="00CD2F09" w:rsidRDefault="006F640E" w:rsidP="00D733EB">
            <w:pPr>
              <w:jc w:val="center"/>
              <w:rPr>
                <w:b/>
                <w:sz w:val="22"/>
                <w:szCs w:val="22"/>
              </w:rPr>
            </w:pPr>
            <w:r w:rsidRPr="00CD2F09">
              <w:rPr>
                <w:b/>
                <w:sz w:val="22"/>
                <w:szCs w:val="22"/>
              </w:rPr>
              <w:t>Nav nesaskaņotu iebildumu</w:t>
            </w:r>
          </w:p>
        </w:tc>
      </w:tr>
    </w:tbl>
    <w:p w14:paraId="4DFCB07E" w14:textId="77777777" w:rsidR="006F640E" w:rsidRDefault="006F640E" w:rsidP="006F640E">
      <w:pPr>
        <w:pStyle w:val="naisf"/>
        <w:spacing w:before="0" w:after="0"/>
        <w:ind w:firstLine="0"/>
        <w:jc w:val="center"/>
        <w:rPr>
          <w:sz w:val="22"/>
          <w:szCs w:val="22"/>
        </w:rPr>
      </w:pPr>
    </w:p>
    <w:p w14:paraId="720BC084" w14:textId="77777777" w:rsidR="006F640E" w:rsidRPr="00CD2F09" w:rsidRDefault="006F640E" w:rsidP="006F640E">
      <w:pPr>
        <w:pStyle w:val="naisf"/>
        <w:spacing w:before="0" w:after="0"/>
        <w:ind w:firstLine="0"/>
        <w:rPr>
          <w:b/>
          <w:sz w:val="22"/>
          <w:szCs w:val="22"/>
        </w:rPr>
      </w:pPr>
      <w:r w:rsidRPr="00CD2F09">
        <w:rPr>
          <w:b/>
          <w:sz w:val="22"/>
          <w:szCs w:val="22"/>
        </w:rPr>
        <w:t xml:space="preserve">Informācija par </w:t>
      </w:r>
      <w:proofErr w:type="spellStart"/>
      <w:r w:rsidRPr="00CD2F09">
        <w:rPr>
          <w:b/>
          <w:sz w:val="22"/>
          <w:szCs w:val="22"/>
        </w:rPr>
        <w:t>starpministriju</w:t>
      </w:r>
      <w:proofErr w:type="spellEnd"/>
      <w:r w:rsidRPr="00CD2F09">
        <w:rPr>
          <w:b/>
          <w:sz w:val="22"/>
          <w:szCs w:val="22"/>
        </w:rPr>
        <w:t xml:space="preserve"> (starpinstitūciju) sanāksmi vai elektronisko saskaņošanu</w:t>
      </w:r>
    </w:p>
    <w:p w14:paraId="47E573A0" w14:textId="77777777" w:rsidR="006F640E" w:rsidRPr="00CD2F09" w:rsidRDefault="006F640E" w:rsidP="006F640E">
      <w:pPr>
        <w:pStyle w:val="naisf"/>
        <w:spacing w:before="0" w:after="0"/>
        <w:ind w:firstLine="0"/>
        <w:rPr>
          <w:b/>
          <w:sz w:val="22"/>
          <w:szCs w:val="22"/>
        </w:rPr>
      </w:pPr>
    </w:p>
    <w:tbl>
      <w:tblPr>
        <w:tblW w:w="14142" w:type="dxa"/>
        <w:tblLook w:val="00A0" w:firstRow="1" w:lastRow="0" w:firstColumn="1" w:lastColumn="0" w:noHBand="0" w:noVBand="0"/>
      </w:tblPr>
      <w:tblGrid>
        <w:gridCol w:w="7763"/>
        <w:gridCol w:w="6300"/>
        <w:gridCol w:w="79"/>
      </w:tblGrid>
      <w:tr w:rsidR="006F640E" w:rsidRPr="00CD2F09" w14:paraId="0F98B6B8" w14:textId="77777777" w:rsidTr="00D733EB">
        <w:tc>
          <w:tcPr>
            <w:tcW w:w="7763" w:type="dxa"/>
          </w:tcPr>
          <w:p w14:paraId="48919BB7" w14:textId="77777777" w:rsidR="006F640E" w:rsidRPr="00CD2F09" w:rsidRDefault="006F640E" w:rsidP="00D733EB">
            <w:pPr>
              <w:pStyle w:val="naisf"/>
              <w:spacing w:before="0" w:after="0"/>
              <w:ind w:firstLine="0"/>
              <w:rPr>
                <w:sz w:val="22"/>
                <w:szCs w:val="22"/>
              </w:rPr>
            </w:pPr>
            <w:r w:rsidRPr="00CD2F09">
              <w:rPr>
                <w:sz w:val="22"/>
                <w:szCs w:val="22"/>
              </w:rPr>
              <w:t>Datums</w:t>
            </w:r>
          </w:p>
        </w:tc>
        <w:tc>
          <w:tcPr>
            <w:tcW w:w="6379" w:type="dxa"/>
            <w:gridSpan w:val="2"/>
            <w:tcBorders>
              <w:bottom w:val="single" w:sz="4" w:space="0" w:color="auto"/>
            </w:tcBorders>
          </w:tcPr>
          <w:p w14:paraId="150F861D" w14:textId="77777777" w:rsidR="006F640E" w:rsidRPr="00CD2F09" w:rsidRDefault="006F640E" w:rsidP="00D733EB">
            <w:pPr>
              <w:pStyle w:val="NormalWeb"/>
              <w:spacing w:before="0" w:beforeAutospacing="0" w:after="0" w:afterAutospacing="0"/>
              <w:ind w:firstLine="720"/>
              <w:rPr>
                <w:sz w:val="22"/>
                <w:szCs w:val="22"/>
                <w:highlight w:val="yellow"/>
              </w:rPr>
            </w:pPr>
          </w:p>
        </w:tc>
      </w:tr>
      <w:tr w:rsidR="006F640E" w:rsidRPr="00CD2F09" w14:paraId="58D66CD0" w14:textId="77777777" w:rsidTr="00D733EB">
        <w:tc>
          <w:tcPr>
            <w:tcW w:w="7763" w:type="dxa"/>
          </w:tcPr>
          <w:p w14:paraId="70A65C73" w14:textId="77777777" w:rsidR="006F640E" w:rsidRPr="00CD2F09" w:rsidRDefault="006F640E" w:rsidP="00D733EB">
            <w:pPr>
              <w:pStyle w:val="naisf"/>
              <w:spacing w:before="0" w:after="0"/>
              <w:ind w:firstLine="0"/>
              <w:rPr>
                <w:sz w:val="22"/>
                <w:szCs w:val="22"/>
              </w:rPr>
            </w:pPr>
          </w:p>
        </w:tc>
        <w:tc>
          <w:tcPr>
            <w:tcW w:w="6379" w:type="dxa"/>
            <w:gridSpan w:val="2"/>
            <w:tcBorders>
              <w:top w:val="single" w:sz="4" w:space="0" w:color="auto"/>
            </w:tcBorders>
          </w:tcPr>
          <w:p w14:paraId="39359D0A" w14:textId="77777777" w:rsidR="006F640E" w:rsidRPr="00CD2F09" w:rsidRDefault="006F640E" w:rsidP="00D733EB">
            <w:pPr>
              <w:pStyle w:val="NormalWeb"/>
              <w:spacing w:before="0" w:beforeAutospacing="0" w:after="0" w:afterAutospacing="0"/>
              <w:ind w:firstLine="720"/>
              <w:rPr>
                <w:sz w:val="22"/>
                <w:szCs w:val="22"/>
              </w:rPr>
            </w:pPr>
          </w:p>
        </w:tc>
      </w:tr>
      <w:tr w:rsidR="006F640E" w:rsidRPr="00CD2F09" w14:paraId="2C29EBF2" w14:textId="77777777" w:rsidTr="00D733EB">
        <w:tc>
          <w:tcPr>
            <w:tcW w:w="7763" w:type="dxa"/>
          </w:tcPr>
          <w:p w14:paraId="35193BC8" w14:textId="77777777" w:rsidR="006F640E" w:rsidRPr="00CD2F09" w:rsidRDefault="006F640E" w:rsidP="00D733EB">
            <w:pPr>
              <w:pStyle w:val="naiskr"/>
              <w:spacing w:before="0" w:after="0"/>
              <w:rPr>
                <w:sz w:val="22"/>
                <w:szCs w:val="22"/>
              </w:rPr>
            </w:pPr>
            <w:r w:rsidRPr="00CD2F09">
              <w:rPr>
                <w:sz w:val="22"/>
                <w:szCs w:val="22"/>
              </w:rPr>
              <w:t>Saskaņošanas dalībnieki</w:t>
            </w:r>
          </w:p>
        </w:tc>
        <w:tc>
          <w:tcPr>
            <w:tcW w:w="6379" w:type="dxa"/>
            <w:gridSpan w:val="2"/>
            <w:tcBorders>
              <w:bottom w:val="single" w:sz="4" w:space="0" w:color="auto"/>
            </w:tcBorders>
          </w:tcPr>
          <w:p w14:paraId="241747CB" w14:textId="77777777" w:rsidR="006F640E" w:rsidRPr="00CD2F09" w:rsidRDefault="006F640E" w:rsidP="00D733EB">
            <w:pPr>
              <w:pStyle w:val="NormalWeb"/>
              <w:spacing w:before="0" w:beforeAutospacing="0" w:after="0" w:afterAutospacing="0"/>
              <w:ind w:left="603"/>
              <w:rPr>
                <w:sz w:val="22"/>
                <w:szCs w:val="22"/>
              </w:rPr>
            </w:pPr>
            <w:r w:rsidRPr="00CD2F09">
              <w:rPr>
                <w:sz w:val="22"/>
                <w:szCs w:val="22"/>
              </w:rPr>
              <w:t>Finanšu ministrija, Tieslietu ministrija</w:t>
            </w:r>
          </w:p>
        </w:tc>
      </w:tr>
      <w:tr w:rsidR="006F640E" w:rsidRPr="00A443AE" w14:paraId="3519AAC6" w14:textId="77777777" w:rsidTr="00D733EB">
        <w:trPr>
          <w:gridAfter w:val="1"/>
          <w:wAfter w:w="79" w:type="dxa"/>
          <w:trHeight w:val="285"/>
        </w:trPr>
        <w:tc>
          <w:tcPr>
            <w:tcW w:w="7763" w:type="dxa"/>
          </w:tcPr>
          <w:p w14:paraId="5F4D7B67" w14:textId="77777777" w:rsidR="006F640E" w:rsidRPr="00A443AE" w:rsidRDefault="006F640E" w:rsidP="00D733EB">
            <w:pPr>
              <w:pStyle w:val="naiskr"/>
              <w:spacing w:before="0" w:after="0"/>
              <w:rPr>
                <w:sz w:val="22"/>
                <w:szCs w:val="22"/>
              </w:rPr>
            </w:pPr>
            <w:r w:rsidRPr="00A443AE">
              <w:rPr>
                <w:sz w:val="22"/>
                <w:szCs w:val="22"/>
              </w:rPr>
              <w:t>Saskaņošanas dalībnieki izskatīja šādu ministriju (citu institūciju) iebildumus</w:t>
            </w:r>
          </w:p>
          <w:p w14:paraId="3A840C1D" w14:textId="77777777" w:rsidR="006F640E" w:rsidRPr="00A443AE" w:rsidRDefault="006F640E" w:rsidP="00D733EB">
            <w:pPr>
              <w:pStyle w:val="naiskr"/>
              <w:spacing w:before="0" w:after="0"/>
              <w:rPr>
                <w:sz w:val="22"/>
                <w:szCs w:val="22"/>
              </w:rPr>
            </w:pPr>
          </w:p>
        </w:tc>
        <w:tc>
          <w:tcPr>
            <w:tcW w:w="6300" w:type="dxa"/>
            <w:tcBorders>
              <w:bottom w:val="single" w:sz="4" w:space="0" w:color="auto"/>
            </w:tcBorders>
          </w:tcPr>
          <w:p w14:paraId="76D18B60" w14:textId="77777777" w:rsidR="006F640E" w:rsidRPr="00A443AE" w:rsidRDefault="006F640E" w:rsidP="00D733EB">
            <w:pPr>
              <w:pStyle w:val="NormalWeb"/>
              <w:spacing w:before="0" w:beforeAutospacing="0" w:after="0" w:afterAutospacing="0"/>
              <w:ind w:left="603"/>
              <w:rPr>
                <w:sz w:val="22"/>
                <w:szCs w:val="22"/>
              </w:rPr>
            </w:pPr>
          </w:p>
          <w:p w14:paraId="5FDCCFB8" w14:textId="55AD03FD" w:rsidR="006F640E" w:rsidRPr="00A443AE" w:rsidRDefault="006F640E" w:rsidP="00D733EB">
            <w:pPr>
              <w:pStyle w:val="NormalWeb"/>
              <w:spacing w:before="0" w:beforeAutospacing="0" w:after="0" w:afterAutospacing="0"/>
              <w:ind w:left="603"/>
              <w:rPr>
                <w:sz w:val="22"/>
                <w:szCs w:val="22"/>
              </w:rPr>
            </w:pPr>
            <w:r w:rsidRPr="00A443AE">
              <w:rPr>
                <w:sz w:val="22"/>
                <w:szCs w:val="22"/>
              </w:rPr>
              <w:t>Finanšu ministrija (11.05.2020</w:t>
            </w:r>
            <w:r w:rsidR="006E2F66">
              <w:rPr>
                <w:sz w:val="22"/>
                <w:szCs w:val="22"/>
              </w:rPr>
              <w:t>; 07.07.2020</w:t>
            </w:r>
            <w:r w:rsidRPr="00A443AE">
              <w:rPr>
                <w:sz w:val="22"/>
                <w:szCs w:val="22"/>
              </w:rPr>
              <w:t>), Tieslietu ministrija (06.05.2020; 26.06.2020.)</w:t>
            </w:r>
          </w:p>
        </w:tc>
      </w:tr>
      <w:tr w:rsidR="006F640E" w:rsidRPr="00A443AE" w14:paraId="53DB982E" w14:textId="77777777" w:rsidTr="00D733EB">
        <w:trPr>
          <w:gridAfter w:val="1"/>
          <w:wAfter w:w="79" w:type="dxa"/>
        </w:trPr>
        <w:tc>
          <w:tcPr>
            <w:tcW w:w="7763" w:type="dxa"/>
          </w:tcPr>
          <w:p w14:paraId="34B93B1B" w14:textId="77777777" w:rsidR="006F640E" w:rsidRPr="00A443AE" w:rsidRDefault="006F640E" w:rsidP="00D733EB">
            <w:pPr>
              <w:pStyle w:val="naiskr"/>
              <w:spacing w:before="0" w:after="0"/>
              <w:rPr>
                <w:sz w:val="22"/>
                <w:szCs w:val="22"/>
              </w:rPr>
            </w:pPr>
            <w:r w:rsidRPr="00A443AE">
              <w:rPr>
                <w:sz w:val="22"/>
                <w:szCs w:val="22"/>
              </w:rPr>
              <w:t>Ministrijas (citas institūcijas), kuras nav ieradušās uz sanāksmi vai kuras nav atbildējušas uz uzaicinājumu piedalīties elektroniskajā saskaņošanā</w:t>
            </w:r>
          </w:p>
        </w:tc>
        <w:tc>
          <w:tcPr>
            <w:tcW w:w="6300" w:type="dxa"/>
            <w:tcBorders>
              <w:top w:val="single" w:sz="4" w:space="0" w:color="auto"/>
              <w:bottom w:val="single" w:sz="4" w:space="0" w:color="auto"/>
            </w:tcBorders>
          </w:tcPr>
          <w:p w14:paraId="411D5818" w14:textId="77777777" w:rsidR="006F640E" w:rsidRPr="00A443AE" w:rsidRDefault="006F640E" w:rsidP="00D733EB">
            <w:pPr>
              <w:pStyle w:val="naiskr"/>
              <w:spacing w:before="0" w:after="0"/>
              <w:rPr>
                <w:sz w:val="22"/>
                <w:szCs w:val="22"/>
              </w:rPr>
            </w:pPr>
          </w:p>
          <w:p w14:paraId="1DC97008" w14:textId="77777777" w:rsidR="006F640E" w:rsidRPr="00A443AE" w:rsidRDefault="006F640E" w:rsidP="00D733EB">
            <w:pPr>
              <w:pStyle w:val="naiskr"/>
              <w:spacing w:before="0" w:after="0"/>
              <w:rPr>
                <w:sz w:val="22"/>
                <w:szCs w:val="22"/>
              </w:rPr>
            </w:pPr>
            <w:r w:rsidRPr="00A443AE">
              <w:rPr>
                <w:sz w:val="22"/>
                <w:szCs w:val="22"/>
              </w:rPr>
              <w:t xml:space="preserve">          </w:t>
            </w:r>
          </w:p>
        </w:tc>
      </w:tr>
    </w:tbl>
    <w:p w14:paraId="2A69FC2C" w14:textId="77777777" w:rsidR="006F640E" w:rsidRPr="00A443AE" w:rsidRDefault="006F640E" w:rsidP="006F640E">
      <w:pPr>
        <w:pStyle w:val="naisf"/>
        <w:spacing w:before="0" w:after="0"/>
        <w:ind w:firstLine="0"/>
        <w:rPr>
          <w:sz w:val="22"/>
          <w:szCs w:val="22"/>
        </w:rPr>
      </w:pPr>
    </w:p>
    <w:p w14:paraId="3EFBE732" w14:textId="77777777" w:rsidR="006F640E" w:rsidRPr="00A443AE" w:rsidRDefault="006F640E" w:rsidP="006F640E">
      <w:pPr>
        <w:pStyle w:val="naisf"/>
        <w:spacing w:before="0" w:after="0"/>
        <w:ind w:firstLine="0"/>
        <w:jc w:val="center"/>
        <w:rPr>
          <w:b/>
        </w:rPr>
      </w:pPr>
      <w:r w:rsidRPr="00A443AE">
        <w:rPr>
          <w:b/>
        </w:rPr>
        <w:t>II. Jautājumi, par kuriem saskaņošanā vienošanās ir panākta</w:t>
      </w:r>
    </w:p>
    <w:tbl>
      <w:tblPr>
        <w:tblW w:w="14742" w:type="dxa"/>
        <w:tblInd w:w="-45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843"/>
        <w:gridCol w:w="992"/>
        <w:gridCol w:w="1849"/>
        <w:gridCol w:w="2997"/>
        <w:gridCol w:w="3092"/>
        <w:gridCol w:w="3402"/>
      </w:tblGrid>
      <w:tr w:rsidR="006F640E" w:rsidRPr="00A443AE" w14:paraId="60CE9334" w14:textId="77777777" w:rsidTr="00244E13">
        <w:tc>
          <w:tcPr>
            <w:tcW w:w="567" w:type="dxa"/>
            <w:tcBorders>
              <w:top w:val="single" w:sz="6" w:space="0" w:color="000000"/>
              <w:left w:val="single" w:sz="6" w:space="0" w:color="000000"/>
              <w:bottom w:val="single" w:sz="6" w:space="0" w:color="000000"/>
              <w:right w:val="single" w:sz="6" w:space="0" w:color="000000"/>
            </w:tcBorders>
            <w:vAlign w:val="center"/>
          </w:tcPr>
          <w:p w14:paraId="60E14061" w14:textId="77777777" w:rsidR="006F640E" w:rsidRPr="00A443AE" w:rsidRDefault="006F640E" w:rsidP="00D733EB">
            <w:pPr>
              <w:pStyle w:val="naisc"/>
              <w:spacing w:before="0" w:after="0"/>
              <w:rPr>
                <w:sz w:val="22"/>
                <w:szCs w:val="22"/>
              </w:rPr>
            </w:pPr>
            <w:r w:rsidRPr="00A443AE">
              <w:rPr>
                <w:sz w:val="22"/>
                <w:szCs w:val="22"/>
              </w:rPr>
              <w:t>Nr. p.k.</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14:paraId="3C6FB390" w14:textId="77777777" w:rsidR="006F640E" w:rsidRPr="00A443AE" w:rsidRDefault="006F640E" w:rsidP="00D733EB">
            <w:pPr>
              <w:pStyle w:val="naisc"/>
              <w:spacing w:before="0" w:after="0"/>
              <w:ind w:firstLine="12"/>
              <w:rPr>
                <w:sz w:val="22"/>
                <w:szCs w:val="22"/>
              </w:rPr>
            </w:pPr>
            <w:r w:rsidRPr="00A443AE">
              <w:rPr>
                <w:sz w:val="22"/>
                <w:szCs w:val="22"/>
              </w:rPr>
              <w:t>Saskaņošanai nosūtītā projekta redakcija (konkrēta punkta (panta) redakcija)</w:t>
            </w:r>
          </w:p>
        </w:tc>
        <w:tc>
          <w:tcPr>
            <w:tcW w:w="4846" w:type="dxa"/>
            <w:gridSpan w:val="2"/>
            <w:tcBorders>
              <w:top w:val="single" w:sz="6" w:space="0" w:color="000000"/>
              <w:left w:val="single" w:sz="6" w:space="0" w:color="000000"/>
              <w:bottom w:val="single" w:sz="6" w:space="0" w:color="000000"/>
              <w:right w:val="single" w:sz="6" w:space="0" w:color="000000"/>
            </w:tcBorders>
            <w:vAlign w:val="center"/>
          </w:tcPr>
          <w:p w14:paraId="24486B7D" w14:textId="77777777" w:rsidR="006F640E" w:rsidRPr="00A443AE" w:rsidRDefault="006F640E" w:rsidP="00D733EB">
            <w:pPr>
              <w:pStyle w:val="naisc"/>
              <w:spacing w:before="0" w:after="0"/>
              <w:ind w:right="3"/>
              <w:rPr>
                <w:sz w:val="22"/>
                <w:szCs w:val="22"/>
              </w:rPr>
            </w:pPr>
            <w:r w:rsidRPr="00A443AE">
              <w:rPr>
                <w:sz w:val="22"/>
                <w:szCs w:val="22"/>
              </w:rPr>
              <w:t>Atzinumā norādītais ministrijas (citas institūcijas) iebildums, kā arī saskaņošanā papildus izteiktais iebildums par projekta konkrēto punktu (pantu)</w:t>
            </w:r>
          </w:p>
        </w:tc>
        <w:tc>
          <w:tcPr>
            <w:tcW w:w="3092" w:type="dxa"/>
            <w:tcBorders>
              <w:top w:val="single" w:sz="6" w:space="0" w:color="000000"/>
              <w:left w:val="single" w:sz="6" w:space="0" w:color="000000"/>
              <w:bottom w:val="single" w:sz="6" w:space="0" w:color="000000"/>
              <w:right w:val="single" w:sz="6" w:space="0" w:color="000000"/>
            </w:tcBorders>
            <w:vAlign w:val="center"/>
          </w:tcPr>
          <w:p w14:paraId="09505B87" w14:textId="77777777" w:rsidR="006F640E" w:rsidRPr="00A443AE" w:rsidRDefault="006F640E" w:rsidP="00D733EB">
            <w:pPr>
              <w:pStyle w:val="naisc"/>
              <w:spacing w:before="0" w:after="0"/>
              <w:ind w:firstLine="21"/>
              <w:rPr>
                <w:sz w:val="22"/>
                <w:szCs w:val="22"/>
              </w:rPr>
            </w:pPr>
            <w:r w:rsidRPr="00A443AE">
              <w:rPr>
                <w:sz w:val="22"/>
                <w:szCs w:val="22"/>
              </w:rPr>
              <w:t>Atbildīgās ministrijas norāde par to, ka iebildums ir ņemts vērā, vai informācija par saskaņošanā panākto alternatīvo risinājumu</w:t>
            </w:r>
          </w:p>
        </w:tc>
        <w:tc>
          <w:tcPr>
            <w:tcW w:w="3402" w:type="dxa"/>
            <w:tcBorders>
              <w:top w:val="single" w:sz="4" w:space="0" w:color="auto"/>
              <w:left w:val="single" w:sz="4" w:space="0" w:color="auto"/>
              <w:bottom w:val="single" w:sz="4" w:space="0" w:color="auto"/>
            </w:tcBorders>
            <w:vAlign w:val="center"/>
          </w:tcPr>
          <w:p w14:paraId="6AD3F799" w14:textId="77777777" w:rsidR="006F640E" w:rsidRPr="00A443AE" w:rsidRDefault="006F640E" w:rsidP="00D733EB">
            <w:pPr>
              <w:jc w:val="center"/>
              <w:rPr>
                <w:sz w:val="22"/>
                <w:szCs w:val="22"/>
              </w:rPr>
            </w:pPr>
            <w:r w:rsidRPr="00A443AE">
              <w:rPr>
                <w:sz w:val="22"/>
                <w:szCs w:val="22"/>
              </w:rPr>
              <w:t>Projekta attiecīgā punkta (panta) galīgā redakcija</w:t>
            </w:r>
          </w:p>
        </w:tc>
      </w:tr>
      <w:tr w:rsidR="006F640E" w:rsidRPr="00A443AE" w14:paraId="3D3E4A72" w14:textId="77777777" w:rsidTr="00244E13">
        <w:tc>
          <w:tcPr>
            <w:tcW w:w="567" w:type="dxa"/>
            <w:tcBorders>
              <w:top w:val="single" w:sz="6" w:space="0" w:color="000000"/>
              <w:left w:val="single" w:sz="6" w:space="0" w:color="000000"/>
              <w:bottom w:val="single" w:sz="6" w:space="0" w:color="000000"/>
              <w:right w:val="single" w:sz="6" w:space="0" w:color="000000"/>
            </w:tcBorders>
          </w:tcPr>
          <w:p w14:paraId="6FF21E02" w14:textId="77777777" w:rsidR="006F640E" w:rsidRPr="00A443AE" w:rsidRDefault="006F640E" w:rsidP="00D733EB">
            <w:pPr>
              <w:pStyle w:val="naisc"/>
              <w:spacing w:before="0" w:after="0"/>
              <w:rPr>
                <w:sz w:val="22"/>
                <w:szCs w:val="22"/>
              </w:rPr>
            </w:pPr>
            <w:r w:rsidRPr="00A443AE">
              <w:rPr>
                <w:sz w:val="22"/>
                <w:szCs w:val="22"/>
              </w:rPr>
              <w:t>1</w:t>
            </w:r>
          </w:p>
        </w:tc>
        <w:tc>
          <w:tcPr>
            <w:tcW w:w="2835" w:type="dxa"/>
            <w:gridSpan w:val="2"/>
            <w:tcBorders>
              <w:top w:val="single" w:sz="6" w:space="0" w:color="000000"/>
              <w:left w:val="single" w:sz="6" w:space="0" w:color="000000"/>
              <w:bottom w:val="single" w:sz="6" w:space="0" w:color="000000"/>
              <w:right w:val="single" w:sz="6" w:space="0" w:color="000000"/>
            </w:tcBorders>
          </w:tcPr>
          <w:p w14:paraId="3676370D" w14:textId="77777777" w:rsidR="006F640E" w:rsidRPr="00A443AE" w:rsidRDefault="006F640E" w:rsidP="00D733EB">
            <w:pPr>
              <w:jc w:val="center"/>
              <w:rPr>
                <w:sz w:val="22"/>
                <w:szCs w:val="22"/>
              </w:rPr>
            </w:pPr>
            <w:r w:rsidRPr="00A443AE">
              <w:rPr>
                <w:sz w:val="22"/>
                <w:szCs w:val="22"/>
              </w:rPr>
              <w:t>2</w:t>
            </w:r>
          </w:p>
        </w:tc>
        <w:tc>
          <w:tcPr>
            <w:tcW w:w="4846" w:type="dxa"/>
            <w:gridSpan w:val="2"/>
            <w:tcBorders>
              <w:top w:val="single" w:sz="6" w:space="0" w:color="000000"/>
              <w:left w:val="single" w:sz="6" w:space="0" w:color="000000"/>
              <w:bottom w:val="single" w:sz="6" w:space="0" w:color="000000"/>
              <w:right w:val="single" w:sz="6" w:space="0" w:color="000000"/>
            </w:tcBorders>
          </w:tcPr>
          <w:p w14:paraId="702ABF2B" w14:textId="77777777" w:rsidR="006F640E" w:rsidRPr="00A443AE" w:rsidRDefault="006F640E" w:rsidP="00D733EB">
            <w:pPr>
              <w:pStyle w:val="ListParagraph"/>
              <w:spacing w:after="0" w:line="240" w:lineRule="auto"/>
              <w:ind w:left="0"/>
              <w:jc w:val="center"/>
              <w:rPr>
                <w:rFonts w:ascii="Times New Roman" w:hAnsi="Times New Roman"/>
              </w:rPr>
            </w:pPr>
            <w:r w:rsidRPr="00A443AE">
              <w:rPr>
                <w:rFonts w:ascii="Times New Roman" w:hAnsi="Times New Roman"/>
              </w:rPr>
              <w:t>3</w:t>
            </w:r>
          </w:p>
        </w:tc>
        <w:tc>
          <w:tcPr>
            <w:tcW w:w="3092" w:type="dxa"/>
            <w:tcBorders>
              <w:top w:val="single" w:sz="6" w:space="0" w:color="000000"/>
              <w:left w:val="single" w:sz="6" w:space="0" w:color="000000"/>
              <w:bottom w:val="single" w:sz="6" w:space="0" w:color="000000"/>
              <w:right w:val="single" w:sz="6" w:space="0" w:color="000000"/>
            </w:tcBorders>
          </w:tcPr>
          <w:p w14:paraId="32F4BF78" w14:textId="77777777" w:rsidR="006F640E" w:rsidRPr="00A443AE" w:rsidRDefault="006F640E" w:rsidP="00D733EB">
            <w:pPr>
              <w:pStyle w:val="naisc"/>
              <w:spacing w:before="0" w:after="0"/>
              <w:rPr>
                <w:sz w:val="22"/>
                <w:szCs w:val="22"/>
              </w:rPr>
            </w:pPr>
            <w:r w:rsidRPr="00A443AE">
              <w:rPr>
                <w:sz w:val="22"/>
                <w:szCs w:val="22"/>
              </w:rPr>
              <w:t>4</w:t>
            </w:r>
          </w:p>
        </w:tc>
        <w:tc>
          <w:tcPr>
            <w:tcW w:w="3402" w:type="dxa"/>
            <w:tcBorders>
              <w:top w:val="single" w:sz="4" w:space="0" w:color="auto"/>
              <w:left w:val="single" w:sz="4" w:space="0" w:color="auto"/>
              <w:bottom w:val="single" w:sz="4" w:space="0" w:color="auto"/>
            </w:tcBorders>
          </w:tcPr>
          <w:p w14:paraId="72623954" w14:textId="77777777" w:rsidR="006F640E" w:rsidRPr="00A443AE" w:rsidRDefault="006F640E" w:rsidP="00D733EB">
            <w:pPr>
              <w:jc w:val="center"/>
              <w:rPr>
                <w:sz w:val="22"/>
                <w:szCs w:val="22"/>
              </w:rPr>
            </w:pPr>
            <w:r w:rsidRPr="00A443AE">
              <w:rPr>
                <w:sz w:val="22"/>
                <w:szCs w:val="22"/>
              </w:rPr>
              <w:t>5</w:t>
            </w:r>
          </w:p>
        </w:tc>
      </w:tr>
      <w:tr w:rsidR="006F640E" w:rsidRPr="00A443AE" w14:paraId="2DFEF891" w14:textId="77777777" w:rsidTr="00244E13">
        <w:trPr>
          <w:trHeight w:val="1270"/>
        </w:trPr>
        <w:tc>
          <w:tcPr>
            <w:tcW w:w="567" w:type="dxa"/>
            <w:tcBorders>
              <w:top w:val="single" w:sz="6" w:space="0" w:color="000000"/>
              <w:left w:val="single" w:sz="6" w:space="0" w:color="000000"/>
              <w:right w:val="single" w:sz="6" w:space="0" w:color="000000"/>
            </w:tcBorders>
          </w:tcPr>
          <w:p w14:paraId="19BAC5DE" w14:textId="77777777" w:rsidR="006F640E" w:rsidRPr="00A443AE" w:rsidRDefault="006F640E" w:rsidP="00D733EB">
            <w:pPr>
              <w:pStyle w:val="naisc"/>
              <w:spacing w:before="0" w:after="0"/>
              <w:jc w:val="both"/>
              <w:rPr>
                <w:sz w:val="22"/>
                <w:szCs w:val="22"/>
              </w:rPr>
            </w:pPr>
            <w:r w:rsidRPr="00A443AE">
              <w:rPr>
                <w:sz w:val="22"/>
                <w:szCs w:val="22"/>
              </w:rPr>
              <w:t>1.</w:t>
            </w:r>
          </w:p>
        </w:tc>
        <w:tc>
          <w:tcPr>
            <w:tcW w:w="2835" w:type="dxa"/>
            <w:gridSpan w:val="2"/>
            <w:tcBorders>
              <w:top w:val="single" w:sz="6" w:space="0" w:color="000000"/>
              <w:left w:val="single" w:sz="6" w:space="0" w:color="000000"/>
              <w:right w:val="single" w:sz="6" w:space="0" w:color="000000"/>
            </w:tcBorders>
          </w:tcPr>
          <w:p w14:paraId="2D458FF2" w14:textId="77777777" w:rsidR="006F640E" w:rsidRPr="00A443AE" w:rsidRDefault="006F640E" w:rsidP="00D733EB">
            <w:pPr>
              <w:jc w:val="both"/>
              <w:rPr>
                <w:b/>
                <w:sz w:val="22"/>
                <w:szCs w:val="22"/>
              </w:rPr>
            </w:pPr>
            <w:r w:rsidRPr="00A443AE">
              <w:rPr>
                <w:b/>
                <w:sz w:val="22"/>
                <w:szCs w:val="22"/>
              </w:rPr>
              <w:t>Noteikumu projekts</w:t>
            </w:r>
          </w:p>
          <w:p w14:paraId="60AFF687" w14:textId="77777777" w:rsidR="006F640E" w:rsidRPr="00A443AE" w:rsidRDefault="006F640E" w:rsidP="00D733EB">
            <w:pPr>
              <w:jc w:val="both"/>
              <w:rPr>
                <w:color w:val="000000"/>
                <w:sz w:val="22"/>
                <w:szCs w:val="22"/>
              </w:rPr>
            </w:pPr>
          </w:p>
        </w:tc>
        <w:tc>
          <w:tcPr>
            <w:tcW w:w="4846" w:type="dxa"/>
            <w:gridSpan w:val="2"/>
            <w:tcBorders>
              <w:top w:val="single" w:sz="6" w:space="0" w:color="000000"/>
              <w:left w:val="single" w:sz="6" w:space="0" w:color="000000"/>
              <w:bottom w:val="single" w:sz="6" w:space="0" w:color="000000"/>
              <w:right w:val="single" w:sz="6" w:space="0" w:color="000000"/>
            </w:tcBorders>
          </w:tcPr>
          <w:p w14:paraId="59917B0C" w14:textId="77777777" w:rsidR="006F640E" w:rsidRPr="00A443AE" w:rsidRDefault="006F640E" w:rsidP="00D733EB">
            <w:pPr>
              <w:tabs>
                <w:tab w:val="left" w:pos="2679"/>
              </w:tabs>
              <w:jc w:val="both"/>
              <w:rPr>
                <w:b/>
                <w:sz w:val="22"/>
                <w:szCs w:val="22"/>
              </w:rPr>
            </w:pPr>
            <w:r w:rsidRPr="00A443AE">
              <w:rPr>
                <w:b/>
                <w:sz w:val="22"/>
                <w:szCs w:val="22"/>
              </w:rPr>
              <w:t>Finanšu ministrijas 11.05.2020 atzinuma 1.iebildums:</w:t>
            </w:r>
          </w:p>
          <w:p w14:paraId="3D2A6BAD" w14:textId="77777777" w:rsidR="006F640E" w:rsidRPr="00A443AE" w:rsidRDefault="006F640E" w:rsidP="00D733EB">
            <w:pPr>
              <w:tabs>
                <w:tab w:val="left" w:pos="2679"/>
              </w:tabs>
              <w:jc w:val="both"/>
              <w:rPr>
                <w:sz w:val="22"/>
                <w:szCs w:val="22"/>
              </w:rPr>
            </w:pPr>
            <w:r w:rsidRPr="00A443AE">
              <w:rPr>
                <w:sz w:val="22"/>
                <w:szCs w:val="22"/>
              </w:rPr>
              <w:t xml:space="preserve">Ņemot vērā anotācijā sniegto informāciju, noteikumu projekts izstrādāts, ievērojot, ka pasākums - izveidot kapitāla fondu (turpmāk – Fonds) - atbilst tirgus noteikumiem, t.i. Fonds tiks pārvaldīts komerciāli un Fonda pārvaldnieks – akciju sabiedrība “Attīstības finanšu institūcija </w:t>
            </w:r>
            <w:proofErr w:type="spellStart"/>
            <w:r w:rsidRPr="00A443AE">
              <w:rPr>
                <w:sz w:val="22"/>
                <w:szCs w:val="22"/>
              </w:rPr>
              <w:t>Altum</w:t>
            </w:r>
            <w:proofErr w:type="spellEnd"/>
            <w:r w:rsidRPr="00A443AE">
              <w:rPr>
                <w:sz w:val="22"/>
                <w:szCs w:val="22"/>
              </w:rPr>
              <w:t xml:space="preserve">” </w:t>
            </w:r>
            <w:r w:rsidRPr="00A443AE">
              <w:rPr>
                <w:sz w:val="22"/>
                <w:szCs w:val="22"/>
              </w:rPr>
              <w:lastRenderedPageBreak/>
              <w:t xml:space="preserve">(turpmāk – </w:t>
            </w:r>
            <w:proofErr w:type="spellStart"/>
            <w:r w:rsidRPr="00A443AE">
              <w:rPr>
                <w:sz w:val="22"/>
                <w:szCs w:val="22"/>
              </w:rPr>
              <w:t>Altum</w:t>
            </w:r>
            <w:proofErr w:type="spellEnd"/>
            <w:r w:rsidRPr="00A443AE">
              <w:rPr>
                <w:sz w:val="22"/>
                <w:szCs w:val="22"/>
              </w:rPr>
              <w:t xml:space="preserve">) pārvalda Fondu, pamatojoties uz komerciāliem principiem un Fonda komerciālais mērķis ir gūt peļņu. Vienlaikus plānots, ka </w:t>
            </w:r>
            <w:proofErr w:type="spellStart"/>
            <w:r w:rsidRPr="00A443AE">
              <w:rPr>
                <w:sz w:val="22"/>
                <w:szCs w:val="22"/>
              </w:rPr>
              <w:t>Altum</w:t>
            </w:r>
            <w:proofErr w:type="spellEnd"/>
            <w:r w:rsidRPr="00A443AE">
              <w:rPr>
                <w:sz w:val="22"/>
                <w:szCs w:val="22"/>
              </w:rPr>
              <w:t xml:space="preserve"> darbosies arī kā publiskais ieguldītājs Fondā (noteikumu projekta 7.punkts). Vēršam uzmanību, ka Eiropas Komisijas (turpmāk - EK) 2015.gada 9.jūnija lēmumā par valsts atbalstu SA.36904 (2014/N) – Latvija, Hipotēku un zemes bankas attīstības daļu un Latvijas Attīstības finanšu institūcijas izveidi (turpmāk - lēmums SA.36904) 43.punktā ir minēts tikai viens pasākums, kurā </w:t>
            </w:r>
            <w:proofErr w:type="spellStart"/>
            <w:r w:rsidRPr="00A443AE">
              <w:rPr>
                <w:sz w:val="22"/>
                <w:szCs w:val="22"/>
              </w:rPr>
              <w:t>Altum</w:t>
            </w:r>
            <w:proofErr w:type="spellEnd"/>
            <w:r w:rsidRPr="00A443AE">
              <w:rPr>
                <w:sz w:val="22"/>
                <w:szCs w:val="22"/>
              </w:rPr>
              <w:t xml:space="preserve"> darbosies uz komerciāliem principiem, t.i. </w:t>
            </w:r>
            <w:proofErr w:type="spellStart"/>
            <w:r w:rsidRPr="00A443AE">
              <w:rPr>
                <w:sz w:val="22"/>
                <w:szCs w:val="22"/>
              </w:rPr>
              <w:t>Altum</w:t>
            </w:r>
            <w:proofErr w:type="spellEnd"/>
            <w:r w:rsidRPr="00A443AE">
              <w:rPr>
                <w:sz w:val="22"/>
                <w:szCs w:val="22"/>
              </w:rPr>
              <w:t xml:space="preserve"> darbība Baltijas Inovāciju fondā, kā arī, balstoties uz tirgus nepilnību analīzi, </w:t>
            </w:r>
            <w:proofErr w:type="spellStart"/>
            <w:r w:rsidRPr="00A443AE">
              <w:rPr>
                <w:sz w:val="22"/>
                <w:szCs w:val="22"/>
              </w:rPr>
              <w:t>Altum</w:t>
            </w:r>
            <w:proofErr w:type="spellEnd"/>
            <w:r w:rsidRPr="00A443AE">
              <w:rPr>
                <w:sz w:val="22"/>
                <w:szCs w:val="22"/>
              </w:rPr>
              <w:t xml:space="preserve"> atbalsts riska kapitāla veidā paredzēts mazajiem un vidējiem uzņēmumiem (turpmāk – MVU). Līdz ar to </w:t>
            </w:r>
            <w:proofErr w:type="spellStart"/>
            <w:r w:rsidRPr="00A443AE">
              <w:rPr>
                <w:sz w:val="22"/>
                <w:szCs w:val="22"/>
              </w:rPr>
              <w:t>Altum</w:t>
            </w:r>
            <w:proofErr w:type="spellEnd"/>
            <w:r w:rsidRPr="00A443AE">
              <w:rPr>
                <w:sz w:val="22"/>
                <w:szCs w:val="22"/>
              </w:rPr>
              <w:t xml:space="preserve"> plānotā darbība Fondā šobrīd nav uzskatāma par saskaņotu ar EK un veikt ieguldījumus Fondā un attiecīgi īstenot pasākumu būs iespējams tikai pēc tam, kad ir veikti grozījumi lēmumā SA.36904 un saņemts EK saskaņojums par pasākuma saderību ar Eiropas Savienības iekšējo tirgu (atbilstoši lēmuma SA.36904 126.punktam jebkādi plāni grozīt pasākumu, jo īpaši attiecībā uz turpmāku finansējumu </w:t>
            </w:r>
            <w:proofErr w:type="spellStart"/>
            <w:r w:rsidRPr="00A443AE">
              <w:rPr>
                <w:sz w:val="22"/>
                <w:szCs w:val="22"/>
              </w:rPr>
              <w:t>Altum</w:t>
            </w:r>
            <w:proofErr w:type="spellEnd"/>
            <w:r w:rsidRPr="00A443AE">
              <w:rPr>
                <w:sz w:val="22"/>
                <w:szCs w:val="22"/>
              </w:rPr>
              <w:t xml:space="preserve">, tās uzdevumiem un/vai darbības ilgumu, pirms to īstenošanas ir jāpaziņo EK, kurai tie ir jāapstiprina). Attiecīgi lūdzam precizēt noteikumu projektu un papildināt anotāciju ar informāciju, ka Ekonomikas ministrija sadarbībā ar </w:t>
            </w:r>
            <w:proofErr w:type="spellStart"/>
            <w:r w:rsidRPr="00A443AE">
              <w:rPr>
                <w:sz w:val="22"/>
                <w:szCs w:val="22"/>
              </w:rPr>
              <w:t>Altum</w:t>
            </w:r>
            <w:proofErr w:type="spellEnd"/>
            <w:r w:rsidRPr="00A443AE">
              <w:rPr>
                <w:sz w:val="22"/>
                <w:szCs w:val="22"/>
              </w:rPr>
              <w:t xml:space="preserve"> pirms noteikumu stāšanās spēkā un ieguldījuma veikšanas Fondā ar Finanšu ministrijas starpniecību iesniegs grozījumus lēmumā SA.36904 EK, lai nodrošinātu plānotā ieguldījuma Fondā atbilstību lēmumam SA.36904.</w:t>
            </w:r>
          </w:p>
        </w:tc>
        <w:tc>
          <w:tcPr>
            <w:tcW w:w="3092" w:type="dxa"/>
            <w:tcBorders>
              <w:top w:val="single" w:sz="6" w:space="0" w:color="000000"/>
              <w:left w:val="single" w:sz="6" w:space="0" w:color="000000"/>
              <w:bottom w:val="single" w:sz="6" w:space="0" w:color="000000"/>
              <w:right w:val="single" w:sz="6" w:space="0" w:color="000000"/>
            </w:tcBorders>
          </w:tcPr>
          <w:p w14:paraId="1F71B067" w14:textId="77777777" w:rsidR="006F640E" w:rsidRPr="00A443AE" w:rsidRDefault="006F640E" w:rsidP="00D733EB">
            <w:pPr>
              <w:pStyle w:val="naisc"/>
              <w:spacing w:before="0" w:after="0"/>
              <w:rPr>
                <w:b/>
                <w:sz w:val="22"/>
                <w:szCs w:val="22"/>
              </w:rPr>
            </w:pPr>
            <w:r w:rsidRPr="00A443AE">
              <w:rPr>
                <w:b/>
                <w:sz w:val="22"/>
                <w:szCs w:val="22"/>
              </w:rPr>
              <w:lastRenderedPageBreak/>
              <w:t>Ņemts vērā</w:t>
            </w:r>
          </w:p>
          <w:p w14:paraId="6789301D" w14:textId="77777777" w:rsidR="006F640E" w:rsidRPr="00A443AE" w:rsidRDefault="006F640E" w:rsidP="00D733EB">
            <w:pPr>
              <w:pStyle w:val="naisc"/>
              <w:spacing w:before="0" w:after="0"/>
              <w:rPr>
                <w:b/>
                <w:sz w:val="22"/>
                <w:szCs w:val="22"/>
              </w:rPr>
            </w:pPr>
          </w:p>
          <w:p w14:paraId="1507BA6E" w14:textId="77777777" w:rsidR="006F640E" w:rsidRPr="00A443AE" w:rsidRDefault="006F640E" w:rsidP="00D733EB">
            <w:pPr>
              <w:pStyle w:val="naisc"/>
              <w:spacing w:before="0" w:after="0"/>
              <w:jc w:val="both"/>
              <w:rPr>
                <w:bCs/>
                <w:color w:val="C00000"/>
                <w:sz w:val="22"/>
                <w:szCs w:val="22"/>
              </w:rPr>
            </w:pPr>
            <w:r w:rsidRPr="00A443AE">
              <w:rPr>
                <w:sz w:val="22"/>
                <w:szCs w:val="22"/>
              </w:rPr>
              <w:t xml:space="preserve">Veikti saskaņojumi ar EK </w:t>
            </w:r>
          </w:p>
        </w:tc>
        <w:tc>
          <w:tcPr>
            <w:tcW w:w="3402" w:type="dxa"/>
            <w:tcBorders>
              <w:top w:val="single" w:sz="4" w:space="0" w:color="auto"/>
              <w:left w:val="single" w:sz="4" w:space="0" w:color="auto"/>
              <w:bottom w:val="single" w:sz="4" w:space="0" w:color="auto"/>
            </w:tcBorders>
          </w:tcPr>
          <w:p w14:paraId="6487C508" w14:textId="77777777" w:rsidR="006F640E" w:rsidRPr="00A443AE" w:rsidRDefault="006F640E" w:rsidP="00D733EB">
            <w:pPr>
              <w:jc w:val="both"/>
              <w:rPr>
                <w:bCs/>
                <w:sz w:val="22"/>
                <w:szCs w:val="22"/>
              </w:rPr>
            </w:pPr>
          </w:p>
          <w:p w14:paraId="479EB127" w14:textId="77777777" w:rsidR="006F640E" w:rsidRPr="00A443AE" w:rsidRDefault="006F640E" w:rsidP="00D733EB">
            <w:pPr>
              <w:jc w:val="both"/>
              <w:rPr>
                <w:bCs/>
                <w:sz w:val="22"/>
                <w:szCs w:val="22"/>
              </w:rPr>
            </w:pPr>
          </w:p>
        </w:tc>
      </w:tr>
      <w:tr w:rsidR="006F640E" w:rsidRPr="00A443AE" w14:paraId="4F444184" w14:textId="77777777" w:rsidTr="00244E13">
        <w:trPr>
          <w:trHeight w:val="561"/>
        </w:trPr>
        <w:tc>
          <w:tcPr>
            <w:tcW w:w="567" w:type="dxa"/>
            <w:tcBorders>
              <w:top w:val="single" w:sz="6" w:space="0" w:color="000000"/>
              <w:left w:val="single" w:sz="6" w:space="0" w:color="000000"/>
              <w:right w:val="single" w:sz="6" w:space="0" w:color="000000"/>
            </w:tcBorders>
          </w:tcPr>
          <w:p w14:paraId="465150CF" w14:textId="60F7775E" w:rsidR="006F640E" w:rsidRPr="00A443AE" w:rsidRDefault="00315B9F" w:rsidP="00D733EB">
            <w:pPr>
              <w:pStyle w:val="naisc"/>
              <w:spacing w:before="0" w:after="0"/>
              <w:jc w:val="both"/>
              <w:rPr>
                <w:sz w:val="22"/>
                <w:szCs w:val="22"/>
              </w:rPr>
            </w:pPr>
            <w:r>
              <w:rPr>
                <w:sz w:val="22"/>
                <w:szCs w:val="22"/>
              </w:rPr>
              <w:t>2</w:t>
            </w:r>
            <w:r w:rsidR="006F640E" w:rsidRPr="00A443AE">
              <w:rPr>
                <w:sz w:val="22"/>
                <w:szCs w:val="22"/>
              </w:rPr>
              <w:t>.</w:t>
            </w:r>
          </w:p>
        </w:tc>
        <w:tc>
          <w:tcPr>
            <w:tcW w:w="2835" w:type="dxa"/>
            <w:gridSpan w:val="2"/>
            <w:tcBorders>
              <w:top w:val="single" w:sz="6" w:space="0" w:color="000000"/>
              <w:left w:val="single" w:sz="6" w:space="0" w:color="000000"/>
              <w:right w:val="single" w:sz="6" w:space="0" w:color="000000"/>
            </w:tcBorders>
          </w:tcPr>
          <w:p w14:paraId="3895DDA8" w14:textId="77777777" w:rsidR="006F640E" w:rsidRPr="00A443AE" w:rsidRDefault="006F640E" w:rsidP="00D733EB">
            <w:pPr>
              <w:jc w:val="both"/>
              <w:rPr>
                <w:b/>
                <w:sz w:val="22"/>
                <w:szCs w:val="22"/>
              </w:rPr>
            </w:pPr>
            <w:r w:rsidRPr="00A443AE">
              <w:rPr>
                <w:b/>
                <w:sz w:val="22"/>
                <w:szCs w:val="22"/>
              </w:rPr>
              <w:t xml:space="preserve">Noteikuma projekta 19.punkts </w:t>
            </w:r>
          </w:p>
        </w:tc>
        <w:tc>
          <w:tcPr>
            <w:tcW w:w="4846" w:type="dxa"/>
            <w:gridSpan w:val="2"/>
            <w:tcBorders>
              <w:top w:val="single" w:sz="6" w:space="0" w:color="000000"/>
              <w:left w:val="single" w:sz="6" w:space="0" w:color="000000"/>
              <w:bottom w:val="single" w:sz="6" w:space="0" w:color="000000"/>
              <w:right w:val="single" w:sz="6" w:space="0" w:color="000000"/>
            </w:tcBorders>
          </w:tcPr>
          <w:p w14:paraId="6865424E" w14:textId="77777777" w:rsidR="006F640E" w:rsidRPr="00A443AE" w:rsidRDefault="006F640E" w:rsidP="00D733EB">
            <w:pPr>
              <w:tabs>
                <w:tab w:val="left" w:pos="2679"/>
              </w:tabs>
              <w:jc w:val="both"/>
              <w:rPr>
                <w:b/>
                <w:sz w:val="22"/>
                <w:szCs w:val="22"/>
              </w:rPr>
            </w:pPr>
            <w:r w:rsidRPr="00A443AE">
              <w:rPr>
                <w:b/>
                <w:sz w:val="22"/>
                <w:szCs w:val="22"/>
              </w:rPr>
              <w:t>Finanšu ministrijas 11.05.2020. atzinuma 2.iebildums:</w:t>
            </w:r>
          </w:p>
          <w:p w14:paraId="0FADA718" w14:textId="77777777" w:rsidR="006F640E" w:rsidRPr="00A443AE" w:rsidRDefault="006F640E" w:rsidP="00D733EB">
            <w:pPr>
              <w:tabs>
                <w:tab w:val="left" w:pos="2679"/>
              </w:tabs>
              <w:jc w:val="both"/>
              <w:rPr>
                <w:bCs/>
                <w:sz w:val="22"/>
                <w:szCs w:val="22"/>
              </w:rPr>
            </w:pPr>
            <w:r w:rsidRPr="00A443AE">
              <w:rPr>
                <w:bCs/>
                <w:sz w:val="22"/>
                <w:szCs w:val="22"/>
              </w:rPr>
              <w:t xml:space="preserve">Saskaņā ar noteikumu projekta 19.punktu, noteikumu ietvaros 25 000 000 euro </w:t>
            </w:r>
            <w:r w:rsidRPr="00A443AE">
              <w:rPr>
                <w:bCs/>
                <w:sz w:val="22"/>
                <w:szCs w:val="22"/>
              </w:rPr>
              <w:lastRenderedPageBreak/>
              <w:t xml:space="preserve">pārstrukturēšanas atbalsts var tikt piešķirts lielajiem uzņēmumiem, kuriem ir konstatējamas finanšu grūtību pazīmes vēl pirms 2019.gada 31.decembra, veicot individuālo atbalsta pasākuma notifikāciju EK. Savukārt, anotācijā ir minēts, ka atbalsts lielajiem uzņēmumiem, kuri ir nonākuši finanšu grūtībās, </w:t>
            </w:r>
            <w:proofErr w:type="spellStart"/>
            <w:r w:rsidRPr="00A443AE">
              <w:rPr>
                <w:bCs/>
                <w:sz w:val="22"/>
                <w:szCs w:val="22"/>
              </w:rPr>
              <w:t>pārstrukutrēšanās</w:t>
            </w:r>
            <w:proofErr w:type="spellEnd"/>
            <w:r w:rsidRPr="00A443AE">
              <w:rPr>
                <w:bCs/>
                <w:sz w:val="22"/>
                <w:szCs w:val="22"/>
              </w:rPr>
              <w:t xml:space="preserve"> atbalstu var piešķirt, individuāli to </w:t>
            </w:r>
            <w:proofErr w:type="spellStart"/>
            <w:r w:rsidRPr="00A443AE">
              <w:rPr>
                <w:bCs/>
                <w:sz w:val="22"/>
                <w:szCs w:val="22"/>
              </w:rPr>
              <w:t>notificējot</w:t>
            </w:r>
            <w:proofErr w:type="spellEnd"/>
            <w:r w:rsidRPr="00A443AE">
              <w:rPr>
                <w:bCs/>
                <w:sz w:val="22"/>
                <w:szCs w:val="22"/>
              </w:rPr>
              <w:t xml:space="preserve"> EK saskaņā ar “Komisijas paziņojumu par pamatnostādnēm par valsts atbalstu grūtībās nonākušu </w:t>
            </w:r>
            <w:proofErr w:type="spellStart"/>
            <w:r w:rsidRPr="00A443AE">
              <w:rPr>
                <w:bCs/>
                <w:sz w:val="22"/>
                <w:szCs w:val="22"/>
              </w:rPr>
              <w:t>nefinanšu</w:t>
            </w:r>
            <w:proofErr w:type="spellEnd"/>
            <w:r w:rsidRPr="00A443AE">
              <w:rPr>
                <w:bCs/>
                <w:sz w:val="22"/>
                <w:szCs w:val="22"/>
              </w:rPr>
              <w:t xml:space="preserve"> uzņēmumu glābšanai un pārstrukturēšanai” (turpmāk – Paziņojums) un tādējādi šos uzņēmumus nav plānots finansēt fonda ietvaros, jo tiem ir piemērojama cita atbalsta saņemšanas kārtība. Lai novērstu pretrunu starp noteikumu projektā un anotācijā minēto, lūdzam viennozīmīgai uztverei attiecīgi veikt atbilstošos precizējums noteikumu projektā un/vai anotācijā, kā arī, gadījumā ja Fonda ietvaros plānots sniegt atbalstu grūtībās nonākušiem uzņēmumiem, kuru finanšu grūtības nav saistītas ar vīrusa Covid-19 izplatību, lūdzam noteikumu projektu papildināt ar nosacījumiem, kas izriet no Paziņojuma, vienlaikus papildinot anotāciju ar attiecīgo noteikumu projekta punktu </w:t>
            </w:r>
            <w:proofErr w:type="spellStart"/>
            <w:r w:rsidRPr="00A443AE">
              <w:rPr>
                <w:bCs/>
                <w:sz w:val="22"/>
                <w:szCs w:val="22"/>
              </w:rPr>
              <w:t>izvērtējumu</w:t>
            </w:r>
            <w:proofErr w:type="spellEnd"/>
            <w:r w:rsidRPr="00A443AE">
              <w:rPr>
                <w:bCs/>
                <w:sz w:val="22"/>
                <w:szCs w:val="22"/>
              </w:rPr>
              <w:t xml:space="preserve"> pret Paziņojumā ietvertajiem punktiem.</w:t>
            </w:r>
          </w:p>
        </w:tc>
        <w:tc>
          <w:tcPr>
            <w:tcW w:w="3092" w:type="dxa"/>
            <w:tcBorders>
              <w:top w:val="single" w:sz="6" w:space="0" w:color="000000"/>
              <w:left w:val="single" w:sz="6" w:space="0" w:color="000000"/>
              <w:bottom w:val="single" w:sz="6" w:space="0" w:color="000000"/>
              <w:right w:val="single" w:sz="6" w:space="0" w:color="000000"/>
            </w:tcBorders>
          </w:tcPr>
          <w:p w14:paraId="13F007C2" w14:textId="77777777" w:rsidR="006F640E" w:rsidRPr="00A443AE" w:rsidRDefault="006F640E" w:rsidP="00D733EB">
            <w:pPr>
              <w:pStyle w:val="naisc"/>
              <w:spacing w:before="0" w:after="0"/>
              <w:rPr>
                <w:b/>
                <w:sz w:val="22"/>
                <w:szCs w:val="22"/>
              </w:rPr>
            </w:pPr>
            <w:r w:rsidRPr="00A443AE">
              <w:rPr>
                <w:b/>
                <w:sz w:val="22"/>
                <w:szCs w:val="22"/>
              </w:rPr>
              <w:lastRenderedPageBreak/>
              <w:t>Ņemts vērā un sniegts skaidrojums:</w:t>
            </w:r>
          </w:p>
          <w:p w14:paraId="7A664E40" w14:textId="77777777" w:rsidR="006F640E" w:rsidRPr="00A443AE" w:rsidRDefault="006F640E" w:rsidP="00D733EB">
            <w:pPr>
              <w:pStyle w:val="naisc"/>
              <w:spacing w:before="0" w:after="0"/>
              <w:jc w:val="both"/>
              <w:rPr>
                <w:bCs/>
                <w:sz w:val="22"/>
                <w:szCs w:val="22"/>
              </w:rPr>
            </w:pPr>
          </w:p>
          <w:p w14:paraId="41D4F6F8" w14:textId="77777777" w:rsidR="006F640E" w:rsidRPr="00A443AE" w:rsidRDefault="006F640E" w:rsidP="00D733EB">
            <w:pPr>
              <w:pStyle w:val="naisc"/>
              <w:spacing w:before="0" w:after="0"/>
              <w:jc w:val="both"/>
              <w:rPr>
                <w:bCs/>
                <w:sz w:val="22"/>
                <w:szCs w:val="22"/>
              </w:rPr>
            </w:pPr>
            <w:r w:rsidRPr="00A443AE">
              <w:rPr>
                <w:bCs/>
                <w:sz w:val="22"/>
                <w:szCs w:val="22"/>
              </w:rPr>
              <w:lastRenderedPageBreak/>
              <w:t xml:space="preserve">Attiecībā uz informāciju par pārstrukturēšanās atbalsta iespēju lielajiem uzņēmumiem, kuri ir nonākuši finanšu grūtībās un kur katrs gadījums ir individuāli </w:t>
            </w:r>
            <w:proofErr w:type="spellStart"/>
            <w:r w:rsidRPr="00A443AE">
              <w:rPr>
                <w:bCs/>
                <w:sz w:val="22"/>
                <w:szCs w:val="22"/>
              </w:rPr>
              <w:t>notificējams</w:t>
            </w:r>
            <w:proofErr w:type="spellEnd"/>
            <w:r w:rsidRPr="00A443AE">
              <w:rPr>
                <w:bCs/>
                <w:sz w:val="22"/>
                <w:szCs w:val="22"/>
              </w:rPr>
              <w:t xml:space="preserve"> Eiropas Komisijai, tiks atspoguļota Noteikumu projekta anotācijā. </w:t>
            </w:r>
          </w:p>
          <w:p w14:paraId="22135C8A" w14:textId="77777777" w:rsidR="006F640E" w:rsidRPr="00A443AE" w:rsidRDefault="006F640E" w:rsidP="00D733EB">
            <w:pPr>
              <w:pStyle w:val="naisc"/>
              <w:spacing w:before="0" w:after="0"/>
              <w:jc w:val="both"/>
              <w:rPr>
                <w:bCs/>
                <w:sz w:val="22"/>
                <w:szCs w:val="22"/>
              </w:rPr>
            </w:pPr>
            <w:r w:rsidRPr="00A443AE">
              <w:rPr>
                <w:bCs/>
                <w:sz w:val="22"/>
                <w:szCs w:val="22"/>
              </w:rPr>
              <w:t>Tādejādi Noteikumu projekts ir precizēts, svītrojot normas, kas attiecas uz 25 milj. euro finansējumu un uzņēmumiem, kuri ir nonākuši finanšu grūtībās. Attiecīgi Noteikumu projektā netiek ietverti pārstrukturēšanās atbalsta nosacījumi.</w:t>
            </w:r>
          </w:p>
          <w:p w14:paraId="5BD1E8CE" w14:textId="77777777" w:rsidR="006F640E" w:rsidRPr="00A443AE" w:rsidRDefault="006F640E" w:rsidP="00D733EB">
            <w:pPr>
              <w:jc w:val="both"/>
              <w:rPr>
                <w:bCs/>
                <w:sz w:val="22"/>
                <w:szCs w:val="22"/>
              </w:rPr>
            </w:pPr>
          </w:p>
          <w:p w14:paraId="1EDD1C67" w14:textId="77777777" w:rsidR="006F640E" w:rsidRPr="00A443AE" w:rsidRDefault="006F640E" w:rsidP="00D733EB">
            <w:pPr>
              <w:jc w:val="both"/>
              <w:rPr>
                <w:bCs/>
                <w:sz w:val="22"/>
                <w:szCs w:val="22"/>
              </w:rPr>
            </w:pPr>
          </w:p>
          <w:p w14:paraId="23974EAC" w14:textId="77777777" w:rsidR="006F640E" w:rsidRPr="00A443AE" w:rsidRDefault="006F640E" w:rsidP="00D733EB">
            <w:pPr>
              <w:jc w:val="both"/>
              <w:rPr>
                <w:bCs/>
                <w:sz w:val="22"/>
                <w:szCs w:val="22"/>
              </w:rPr>
            </w:pPr>
          </w:p>
          <w:p w14:paraId="7EB1D93F" w14:textId="77777777" w:rsidR="006F640E" w:rsidRPr="00A443AE" w:rsidRDefault="006F640E" w:rsidP="00D733EB">
            <w:pPr>
              <w:jc w:val="both"/>
              <w:rPr>
                <w:bCs/>
                <w:sz w:val="22"/>
                <w:szCs w:val="22"/>
              </w:rPr>
            </w:pPr>
          </w:p>
          <w:p w14:paraId="07E85202" w14:textId="77777777" w:rsidR="006F640E" w:rsidRPr="00A443AE" w:rsidRDefault="006F640E" w:rsidP="00D733EB">
            <w:pPr>
              <w:jc w:val="both"/>
              <w:rPr>
                <w:bCs/>
                <w:sz w:val="22"/>
                <w:szCs w:val="22"/>
              </w:rPr>
            </w:pPr>
          </w:p>
          <w:p w14:paraId="769EBD9D" w14:textId="77777777" w:rsidR="006F640E" w:rsidRPr="00A443AE" w:rsidRDefault="006F640E" w:rsidP="00D733EB">
            <w:pPr>
              <w:jc w:val="both"/>
              <w:rPr>
                <w:bCs/>
                <w:sz w:val="22"/>
                <w:szCs w:val="22"/>
              </w:rPr>
            </w:pPr>
          </w:p>
          <w:p w14:paraId="42DD144A" w14:textId="77777777" w:rsidR="006F640E" w:rsidRPr="00A443AE" w:rsidRDefault="006F640E" w:rsidP="00D733EB">
            <w:pPr>
              <w:jc w:val="both"/>
              <w:rPr>
                <w:bCs/>
                <w:sz w:val="22"/>
                <w:szCs w:val="22"/>
              </w:rPr>
            </w:pPr>
          </w:p>
          <w:p w14:paraId="36603639" w14:textId="77777777" w:rsidR="006F640E" w:rsidRPr="00A443AE" w:rsidRDefault="006F640E" w:rsidP="00D733EB">
            <w:pPr>
              <w:jc w:val="both"/>
              <w:rPr>
                <w:bCs/>
                <w:sz w:val="22"/>
                <w:szCs w:val="22"/>
              </w:rPr>
            </w:pPr>
          </w:p>
          <w:p w14:paraId="240CEC4B" w14:textId="77777777" w:rsidR="006F640E" w:rsidRPr="00A443AE" w:rsidRDefault="006F640E" w:rsidP="00D733EB">
            <w:pPr>
              <w:jc w:val="both"/>
              <w:rPr>
                <w:bCs/>
                <w:sz w:val="22"/>
                <w:szCs w:val="22"/>
              </w:rPr>
            </w:pPr>
          </w:p>
          <w:p w14:paraId="1ED1CCF1" w14:textId="77777777" w:rsidR="006F640E" w:rsidRPr="00A443AE" w:rsidRDefault="006F640E" w:rsidP="00D733EB">
            <w:pPr>
              <w:jc w:val="both"/>
              <w:rPr>
                <w:bCs/>
                <w:sz w:val="22"/>
                <w:szCs w:val="22"/>
              </w:rPr>
            </w:pPr>
          </w:p>
          <w:p w14:paraId="71B00F44" w14:textId="77777777" w:rsidR="006F640E" w:rsidRPr="00A443AE" w:rsidRDefault="006F640E" w:rsidP="00D733EB">
            <w:pPr>
              <w:jc w:val="both"/>
              <w:rPr>
                <w:bCs/>
                <w:sz w:val="22"/>
                <w:szCs w:val="22"/>
              </w:rPr>
            </w:pPr>
          </w:p>
          <w:p w14:paraId="0A469C1E" w14:textId="77777777" w:rsidR="006F640E" w:rsidRPr="00A443AE" w:rsidRDefault="006F640E" w:rsidP="00D733EB">
            <w:pPr>
              <w:jc w:val="both"/>
              <w:rPr>
                <w:bCs/>
                <w:sz w:val="22"/>
                <w:szCs w:val="22"/>
              </w:rPr>
            </w:pPr>
          </w:p>
          <w:p w14:paraId="51DFDA7A" w14:textId="77777777" w:rsidR="006F640E" w:rsidRPr="00A443AE" w:rsidRDefault="006F640E" w:rsidP="00D733EB">
            <w:pPr>
              <w:jc w:val="both"/>
              <w:rPr>
                <w:bCs/>
                <w:sz w:val="22"/>
                <w:szCs w:val="22"/>
              </w:rPr>
            </w:pPr>
          </w:p>
          <w:p w14:paraId="13CD6146" w14:textId="77777777" w:rsidR="006F640E" w:rsidRPr="00A443AE" w:rsidRDefault="006F640E" w:rsidP="00D733EB">
            <w:pPr>
              <w:jc w:val="both"/>
              <w:rPr>
                <w:bCs/>
                <w:sz w:val="22"/>
                <w:szCs w:val="22"/>
              </w:rPr>
            </w:pPr>
          </w:p>
          <w:p w14:paraId="491983EF" w14:textId="77777777" w:rsidR="006F640E" w:rsidRPr="00A443AE" w:rsidRDefault="006F640E" w:rsidP="00D733EB">
            <w:pPr>
              <w:jc w:val="both"/>
              <w:rPr>
                <w:bCs/>
                <w:sz w:val="22"/>
                <w:szCs w:val="22"/>
              </w:rPr>
            </w:pPr>
          </w:p>
          <w:p w14:paraId="72E748EE" w14:textId="77777777" w:rsidR="006F640E" w:rsidRPr="00A443AE" w:rsidRDefault="006F640E" w:rsidP="00D733EB">
            <w:pPr>
              <w:jc w:val="both"/>
              <w:rPr>
                <w:bCs/>
                <w:sz w:val="22"/>
                <w:szCs w:val="22"/>
              </w:rPr>
            </w:pPr>
          </w:p>
          <w:p w14:paraId="2DE5BBE3" w14:textId="77777777" w:rsidR="006F640E" w:rsidRPr="00A443AE" w:rsidRDefault="006F640E" w:rsidP="00D733EB">
            <w:pPr>
              <w:jc w:val="both"/>
              <w:rPr>
                <w:bCs/>
                <w:sz w:val="22"/>
                <w:szCs w:val="22"/>
              </w:rPr>
            </w:pPr>
          </w:p>
          <w:p w14:paraId="6165BCD1" w14:textId="77777777" w:rsidR="006F640E" w:rsidRPr="00A443AE" w:rsidRDefault="006F640E" w:rsidP="00D733EB">
            <w:pPr>
              <w:jc w:val="both"/>
              <w:rPr>
                <w:bCs/>
                <w:sz w:val="22"/>
                <w:szCs w:val="22"/>
              </w:rPr>
            </w:pPr>
          </w:p>
          <w:p w14:paraId="17099776" w14:textId="77777777" w:rsidR="006F640E" w:rsidRPr="00A443AE" w:rsidRDefault="006F640E" w:rsidP="00D733EB">
            <w:pPr>
              <w:jc w:val="both"/>
              <w:rPr>
                <w:bCs/>
                <w:sz w:val="22"/>
                <w:szCs w:val="22"/>
              </w:rPr>
            </w:pPr>
          </w:p>
        </w:tc>
        <w:tc>
          <w:tcPr>
            <w:tcW w:w="3402" w:type="dxa"/>
            <w:tcBorders>
              <w:top w:val="single" w:sz="4" w:space="0" w:color="auto"/>
              <w:left w:val="single" w:sz="4" w:space="0" w:color="auto"/>
              <w:bottom w:val="single" w:sz="4" w:space="0" w:color="auto"/>
            </w:tcBorders>
          </w:tcPr>
          <w:p w14:paraId="6604552B" w14:textId="77777777" w:rsidR="006F640E" w:rsidRPr="00A443AE" w:rsidRDefault="006F640E" w:rsidP="00D733EB">
            <w:pPr>
              <w:jc w:val="both"/>
              <w:rPr>
                <w:b/>
                <w:sz w:val="22"/>
                <w:szCs w:val="22"/>
              </w:rPr>
            </w:pPr>
            <w:r w:rsidRPr="00A443AE">
              <w:rPr>
                <w:b/>
                <w:sz w:val="22"/>
                <w:szCs w:val="22"/>
              </w:rPr>
              <w:lastRenderedPageBreak/>
              <w:t>Precizēts noteikumu projekta 3. punkts un 18.punkts</w:t>
            </w:r>
          </w:p>
        </w:tc>
      </w:tr>
      <w:tr w:rsidR="006F640E" w:rsidRPr="00A443AE" w14:paraId="7015E92E" w14:textId="77777777" w:rsidTr="00244E13">
        <w:trPr>
          <w:trHeight w:val="1270"/>
        </w:trPr>
        <w:tc>
          <w:tcPr>
            <w:tcW w:w="567" w:type="dxa"/>
            <w:tcBorders>
              <w:top w:val="single" w:sz="6" w:space="0" w:color="000000"/>
              <w:left w:val="single" w:sz="6" w:space="0" w:color="000000"/>
              <w:right w:val="single" w:sz="6" w:space="0" w:color="000000"/>
            </w:tcBorders>
          </w:tcPr>
          <w:p w14:paraId="08923834" w14:textId="139CA691" w:rsidR="006F640E" w:rsidRPr="00A443AE" w:rsidRDefault="00315B9F" w:rsidP="00D733EB">
            <w:pPr>
              <w:pStyle w:val="naisc"/>
              <w:spacing w:before="0" w:after="0"/>
              <w:jc w:val="both"/>
              <w:rPr>
                <w:sz w:val="22"/>
                <w:szCs w:val="22"/>
              </w:rPr>
            </w:pPr>
            <w:r>
              <w:rPr>
                <w:sz w:val="22"/>
                <w:szCs w:val="22"/>
              </w:rPr>
              <w:lastRenderedPageBreak/>
              <w:t>3</w:t>
            </w:r>
            <w:r w:rsidR="006F640E" w:rsidRPr="00A443AE">
              <w:rPr>
                <w:sz w:val="22"/>
                <w:szCs w:val="22"/>
              </w:rPr>
              <w:t>.</w:t>
            </w:r>
          </w:p>
        </w:tc>
        <w:tc>
          <w:tcPr>
            <w:tcW w:w="2835" w:type="dxa"/>
            <w:gridSpan w:val="2"/>
            <w:tcBorders>
              <w:top w:val="single" w:sz="6" w:space="0" w:color="000000"/>
              <w:left w:val="single" w:sz="6" w:space="0" w:color="000000"/>
              <w:right w:val="single" w:sz="6" w:space="0" w:color="000000"/>
            </w:tcBorders>
          </w:tcPr>
          <w:p w14:paraId="6C82CECC" w14:textId="77777777" w:rsidR="006F640E" w:rsidRPr="00A443AE" w:rsidRDefault="006F640E" w:rsidP="00D733EB">
            <w:pPr>
              <w:jc w:val="both"/>
              <w:rPr>
                <w:b/>
                <w:sz w:val="22"/>
                <w:szCs w:val="22"/>
              </w:rPr>
            </w:pPr>
            <w:r w:rsidRPr="00A443AE">
              <w:rPr>
                <w:b/>
                <w:sz w:val="22"/>
                <w:szCs w:val="22"/>
              </w:rPr>
              <w:t>Noteikuma projekta 5. un 13. punkts</w:t>
            </w:r>
          </w:p>
        </w:tc>
        <w:tc>
          <w:tcPr>
            <w:tcW w:w="4846" w:type="dxa"/>
            <w:gridSpan w:val="2"/>
            <w:tcBorders>
              <w:top w:val="single" w:sz="6" w:space="0" w:color="000000"/>
              <w:left w:val="single" w:sz="6" w:space="0" w:color="000000"/>
              <w:bottom w:val="single" w:sz="6" w:space="0" w:color="000000"/>
              <w:right w:val="single" w:sz="6" w:space="0" w:color="000000"/>
            </w:tcBorders>
          </w:tcPr>
          <w:p w14:paraId="714452E1" w14:textId="77777777" w:rsidR="006F640E" w:rsidRPr="00A443AE" w:rsidRDefault="006F640E" w:rsidP="00D733EB">
            <w:pPr>
              <w:tabs>
                <w:tab w:val="left" w:pos="2679"/>
              </w:tabs>
              <w:jc w:val="both"/>
              <w:rPr>
                <w:b/>
                <w:sz w:val="22"/>
                <w:szCs w:val="22"/>
              </w:rPr>
            </w:pPr>
            <w:r w:rsidRPr="00A443AE">
              <w:rPr>
                <w:b/>
                <w:sz w:val="22"/>
                <w:szCs w:val="22"/>
              </w:rPr>
              <w:t>Finanšu ministrijas 11.05.2020 atzinuma 3.iebildums:</w:t>
            </w:r>
          </w:p>
          <w:p w14:paraId="652C7BCB" w14:textId="77777777" w:rsidR="006F640E" w:rsidRPr="00A443AE" w:rsidRDefault="006F640E" w:rsidP="00D733EB">
            <w:pPr>
              <w:tabs>
                <w:tab w:val="left" w:pos="2679"/>
              </w:tabs>
              <w:jc w:val="both"/>
              <w:rPr>
                <w:bCs/>
                <w:sz w:val="22"/>
                <w:szCs w:val="22"/>
              </w:rPr>
            </w:pPr>
            <w:r w:rsidRPr="00A443AE">
              <w:rPr>
                <w:bCs/>
                <w:sz w:val="22"/>
                <w:szCs w:val="22"/>
              </w:rPr>
              <w:t>Ņemot vērā, ka noteikumu projekta ietvaros finansējumu lielo komersantu, kas atbilst Komisijas regulas Nr.651/2014, ar ko noteiktas atbalsta kategorijas atzīst par saderīgām ar iekšējo tirgu, piemērojot Līguma 107. un 108.pantu, 2.panta 24.punktā noteiktajai definīcijai, atbalstam plānots piešķirt kā tādus riska ieguldījumus, kas nav kvalificējami kā komercdarbības atbalsts (noteikumu projekta 5. un 13.punkts), kā arī Fonda pārvaldnieka, publisko un privāto ieguldītāju līmenī plānots, ka pasākums riska finansējuma veidā nav kvalificējams kā komercdarbības atbalsts. Līdz ar to ir jāizpilda visas sekojošās Komisijas 2014.gada 22.janvāra paziņojumā “Pamatnostādnes par valsts atbalstu, lai veicinātu riska finansējuma ieguldījumus” (turpmāk – Pamatnostādnes) minētas prasības, kas izslēdz valsts atbalsta esamību visos līmeņos:</w:t>
            </w:r>
          </w:p>
          <w:p w14:paraId="769616E6" w14:textId="77777777" w:rsidR="006F640E" w:rsidRPr="00A443AE" w:rsidRDefault="006F640E" w:rsidP="00D733EB">
            <w:pPr>
              <w:tabs>
                <w:tab w:val="left" w:pos="2679"/>
              </w:tabs>
              <w:jc w:val="both"/>
              <w:rPr>
                <w:bCs/>
                <w:sz w:val="22"/>
                <w:szCs w:val="22"/>
              </w:rPr>
            </w:pPr>
            <w:r w:rsidRPr="00A443AE">
              <w:rPr>
                <w:bCs/>
                <w:sz w:val="22"/>
                <w:szCs w:val="22"/>
              </w:rPr>
              <w:t xml:space="preserve">3.1. vēršam uzmanību, ka saskaņā ar Pamatnostādnēm, riska finansējuma atbalsts netiek uzskatīts par saderīgu ar iekšējo tirgu, ja to piešķir grūtībās nonākušiem uzņēmumiem (sk. Paziņojuma 26.punktu). Lūdzam attiecīgi precizēt noteikumu projekta 18.punktu, svītrojot vārdus un skaitļus “uz 2019.gada 31.decembri”. Skaidrojam, ka gadījumā, ja atbalstu noteikumu projekta ietvaros plānots piešķirt grūtībās nonākušiem uzņēmumiem, atbilstoši noteikumu projekta 19.punktam katrs individuālais atbalsts ir paziņojams EK saskaņā ar Paziņojumu un ir īstenojams tikai pēc EK lēmuma saņemšanas par atbalsta saderību ar Eiropas Savienības iekšējo tirgu (sk. iepriekšējo iebildumu); </w:t>
            </w:r>
          </w:p>
          <w:p w14:paraId="76F974EE" w14:textId="77777777" w:rsidR="006F640E" w:rsidRPr="00A443AE" w:rsidRDefault="006F640E" w:rsidP="00D733EB">
            <w:pPr>
              <w:tabs>
                <w:tab w:val="left" w:pos="2679"/>
              </w:tabs>
              <w:jc w:val="both"/>
              <w:rPr>
                <w:bCs/>
                <w:sz w:val="22"/>
                <w:szCs w:val="22"/>
              </w:rPr>
            </w:pPr>
            <w:r w:rsidRPr="00A443AE">
              <w:rPr>
                <w:bCs/>
                <w:sz w:val="22"/>
                <w:szCs w:val="22"/>
              </w:rPr>
              <w:t xml:space="preserve">3.2. noteikumu projekts paredz, ka daļā pasākumu Fonds ieguldījumu veic, iegādājoties komersanta kapitāldaļas biržā, komersanta tirgus vērtība tiek noteikta atbilstoši tā akciju cenai biržā. Pamatnostādņu 22.punkts nosaka, ka oficiālā biržas </w:t>
            </w:r>
            <w:r w:rsidRPr="00A443AE">
              <w:rPr>
                <w:bCs/>
                <w:sz w:val="22"/>
                <w:szCs w:val="22"/>
              </w:rPr>
              <w:lastRenderedPageBreak/>
              <w:t>sarakstā vai regulētā tirgū iekļautus uzņēmumus nevar atbalstīt, izmantojot riska finansējuma atbalstu, jo tas, ka tie ir iekļauti biržas sarakstā, pierāda to spēju piesaistīt privāto finansējumu. Līdz ar to attiecīgi lūdzam precizēt noteikumu projektu un anotāciju, iekļaujot šo nosacījumu;</w:t>
            </w:r>
          </w:p>
          <w:p w14:paraId="5B07C692" w14:textId="77777777" w:rsidR="006F640E" w:rsidRPr="00A443AE" w:rsidRDefault="006F640E" w:rsidP="00D733EB">
            <w:pPr>
              <w:tabs>
                <w:tab w:val="left" w:pos="2679"/>
              </w:tabs>
              <w:jc w:val="both"/>
              <w:rPr>
                <w:bCs/>
                <w:sz w:val="22"/>
                <w:szCs w:val="22"/>
              </w:rPr>
            </w:pPr>
            <w:r w:rsidRPr="00A443AE">
              <w:rPr>
                <w:bCs/>
                <w:sz w:val="22"/>
                <w:szCs w:val="22"/>
              </w:rPr>
              <w:t>3.3. Pamatnostādņu 41.punkts nosaka, ka, ja finanšu starpnieks un tā pārvaldnieks ir publiska struktūra un nav ticis izvēlēts atklātā, pārredzamā, nediskriminējošā un objektīvā atlases procedūrā, to neuzskata par atbalsta saņēmēju, ja to pārvaldības maksai ir noteikta maksimālā robežvērtība un to atalgojums atspoguļo parastus tirgus apstākļus un ir piesaistīts darbībai. Turklāt privātajiem ieguldītājiem ir jābūt atlasītiem atklātā, pārredzamā, nediskriminējošā un objektīvā atlases procedūrā, pamatojoties uz katru darījumu atsevišķi, kā arī jāpastāv piemērotiem mehānismiem, lai izslēgtu jebkādu valsts iespējamo iejaukšanos publiskā fonda ikdienas pārvaldībā. Vienlaikus vēršam uzmanību, ka atbilstoši Pamatnostādņu 148. punktam:  Ja pilnvaroto struktūru ieceļ tieši, Komisija uzskata, ka gada pārvaldības maksai principā nevajadzētu pārsniegt 3 % no struktūras iemaksājamā kapitāla, izņemot ar darbības rezultātiem saistītos stimulus. Līdz ar to lūdzam precizēt un papildināt ar šiem nosacījumiem noteikumu projektu un attiecīgi precizēt anotāciju;</w:t>
            </w:r>
          </w:p>
          <w:p w14:paraId="5459AF79" w14:textId="77777777" w:rsidR="006F640E" w:rsidRPr="00A443AE" w:rsidRDefault="006F640E" w:rsidP="00D733EB">
            <w:pPr>
              <w:tabs>
                <w:tab w:val="left" w:pos="2679"/>
              </w:tabs>
              <w:jc w:val="both"/>
              <w:rPr>
                <w:bCs/>
                <w:sz w:val="22"/>
                <w:szCs w:val="22"/>
              </w:rPr>
            </w:pPr>
            <w:r w:rsidRPr="00A443AE">
              <w:rPr>
                <w:bCs/>
                <w:sz w:val="22"/>
                <w:szCs w:val="22"/>
              </w:rPr>
              <w:t>3.4. noteikumu projekta 14.3.apakšpunkts paredz, ka Fonds ieguldījumus cita starpā veic riska aizdevumu veidā. Atbilstoši Pamatnostādņu 42. un 45.punktam, lai finanšu starpnieks un komersants netiktu uzskatīts par valsts atbalsta saņēmēju ir jāievēro aizdevumu likmes, kas nevar būt zemākas  par “</w:t>
            </w:r>
            <w:bookmarkStart w:id="0" w:name="_Hlk40106404"/>
            <w:r w:rsidRPr="00A443AE">
              <w:rPr>
                <w:bCs/>
                <w:sz w:val="22"/>
                <w:szCs w:val="22"/>
              </w:rPr>
              <w:t>Komisijas paziņojumā par atsauces likmes un diskonta likmes noteikšanas metodes pārskatīšanu</w:t>
            </w:r>
            <w:bookmarkEnd w:id="0"/>
            <w:r w:rsidRPr="00A443AE">
              <w:rPr>
                <w:bCs/>
                <w:sz w:val="22"/>
                <w:szCs w:val="22"/>
              </w:rPr>
              <w:t xml:space="preserve">” (Eiropas Savienības Oficiālais Vēstnesis, 2008. gada 19. janvāris, Nr. C 014) noteikto. Līdz ar to lūdzam </w:t>
            </w:r>
            <w:r w:rsidRPr="00A443AE">
              <w:rPr>
                <w:bCs/>
                <w:sz w:val="22"/>
                <w:szCs w:val="22"/>
              </w:rPr>
              <w:lastRenderedPageBreak/>
              <w:t>papildināt ar šo nosacījumu noteikumu projektu un attiecīgi precizēt anotāciju;</w:t>
            </w:r>
          </w:p>
          <w:p w14:paraId="0FAD8608" w14:textId="77777777" w:rsidR="006F640E" w:rsidRPr="00A443AE" w:rsidRDefault="006F640E" w:rsidP="00D733EB">
            <w:pPr>
              <w:tabs>
                <w:tab w:val="left" w:pos="2679"/>
              </w:tabs>
              <w:jc w:val="both"/>
              <w:rPr>
                <w:bCs/>
                <w:sz w:val="22"/>
                <w:szCs w:val="22"/>
              </w:rPr>
            </w:pPr>
            <w:r w:rsidRPr="00A443AE">
              <w:rPr>
                <w:bCs/>
                <w:sz w:val="22"/>
                <w:szCs w:val="22"/>
              </w:rPr>
              <w:t>3.5. aicinām papildināt noteikumu projektu ar nosacījumu, ka lēmumu par atbalsta piešķiršanu šo noteikumu ietvaros saskaņā ar Pamatnostādņu 174. punktu pieņem līdz 2020.gada 31.decembrim. Lūdzam attiecīgi precizēt arī noteikumu projekta 22.punktu. Vienlaikus informējam, ka minētais termiņš no EK puses varētu tik pagarināts;</w:t>
            </w:r>
          </w:p>
          <w:p w14:paraId="0EFBA8EA" w14:textId="77777777" w:rsidR="006F640E" w:rsidRPr="00A443AE" w:rsidRDefault="006F640E" w:rsidP="00D733EB">
            <w:pPr>
              <w:tabs>
                <w:tab w:val="left" w:pos="2679"/>
              </w:tabs>
              <w:jc w:val="both"/>
              <w:rPr>
                <w:bCs/>
                <w:sz w:val="22"/>
                <w:szCs w:val="22"/>
              </w:rPr>
            </w:pPr>
            <w:r w:rsidRPr="00A443AE">
              <w:rPr>
                <w:bCs/>
                <w:sz w:val="22"/>
                <w:szCs w:val="22"/>
              </w:rPr>
              <w:t xml:space="preserve">3.6. Pamatnostādnēs minētos nosacījumus riska finansējuma ieguldījumiem var piemērot MVU, nelielu uzņēmumu ar vidēji lielu kapitālu un inovatīvu uzņēmumu ar vidēji lielu kapitālu atbalstam (Pamatnostādņu 1.punkts un 52.punkta xviii), xx) un xxvi) noteiktajās definīcijas). Vienlaikus Pamatnostādņu 21.punkts nosaka, ka EK neuzskata, ka pastāv vispārēja tirgus nepilnība saistībā ar lielo uzņēmumu piekļuvi finansējumam. Izņēmuma kārtā riska finansējuma pasākums saskaņā ar 3.3.1. iedaļas a) punktu var būt vērsts uz nelieliem uzņēmumiem ar vidēji lielu kapitālu un saskaņā ar 3.3.1. iedaļas b) punktu – uz tādiem inovatīviem uzņēmumiem ar vidēji lielu kapitālu, kas veic pētniecības un izstrādes, un inovāciju projektus (Pamatnostādņu 21.punkts). Skaidrojam, ka anotācijā nepieciešams iekļaut secinājumus no neatkarīgas struktūras veikta </w:t>
            </w:r>
            <w:proofErr w:type="spellStart"/>
            <w:r w:rsidRPr="00A443AE">
              <w:rPr>
                <w:bCs/>
                <w:sz w:val="22"/>
                <w:szCs w:val="22"/>
              </w:rPr>
              <w:t>ex</w:t>
            </w:r>
            <w:proofErr w:type="spellEnd"/>
            <w:r w:rsidRPr="00A443AE">
              <w:rPr>
                <w:bCs/>
                <w:sz w:val="22"/>
                <w:szCs w:val="22"/>
              </w:rPr>
              <w:t xml:space="preserve"> </w:t>
            </w:r>
            <w:proofErr w:type="spellStart"/>
            <w:r w:rsidRPr="00A443AE">
              <w:rPr>
                <w:bCs/>
                <w:sz w:val="22"/>
                <w:szCs w:val="22"/>
              </w:rPr>
              <w:t>ante</w:t>
            </w:r>
            <w:proofErr w:type="spellEnd"/>
            <w:r w:rsidRPr="00A443AE">
              <w:rPr>
                <w:bCs/>
                <w:sz w:val="22"/>
                <w:szCs w:val="22"/>
              </w:rPr>
              <w:t xml:space="preserve"> novērtējuma, kas veikts pamatojoties uz objektīviem un aktuāliem pierādījumiem, kas liecina par tirgus nepilnību un finansējuma nepietiekamību un kas pierāda, ka riska finansējuma pasākums lielajiem uzņēmumiem ir izstrādāts tā, lai risinātu tirgus nepilnības. Līdz ar to lūdzam ar nepieciešamo informāciju papildināt anotāciju;</w:t>
            </w:r>
          </w:p>
          <w:p w14:paraId="678BE1D6" w14:textId="77777777" w:rsidR="006F640E" w:rsidRPr="00A443AE" w:rsidRDefault="006F640E" w:rsidP="00D733EB">
            <w:pPr>
              <w:tabs>
                <w:tab w:val="left" w:pos="2679"/>
              </w:tabs>
              <w:jc w:val="both"/>
              <w:rPr>
                <w:bCs/>
                <w:sz w:val="22"/>
                <w:szCs w:val="22"/>
              </w:rPr>
            </w:pPr>
            <w:r w:rsidRPr="00A443AE">
              <w:rPr>
                <w:bCs/>
                <w:sz w:val="22"/>
                <w:szCs w:val="22"/>
              </w:rPr>
              <w:t xml:space="preserve">3.7. lai nodrošinātu, ka plānotais pasākums riska finansējuma veidā nav kvalificējams kā komercdarbības atbalsts Fonda pārvaldnieka, publisko un privāto ieguldītāju un komersantu līmenī </w:t>
            </w:r>
            <w:r w:rsidRPr="00A443AE">
              <w:rPr>
                <w:bCs/>
                <w:sz w:val="22"/>
                <w:szCs w:val="22"/>
              </w:rPr>
              <w:lastRenderedPageBreak/>
              <w:t>un noteikumu projektā ir iekļautas visas komercdarbības atbalsta izslēdzošās prasības, lūdzam pirms noteikumu projekta iesniegšanas Ministru kabinetā iesniegt to izvērtēšanai EK.</w:t>
            </w:r>
          </w:p>
        </w:tc>
        <w:tc>
          <w:tcPr>
            <w:tcW w:w="3092" w:type="dxa"/>
            <w:tcBorders>
              <w:top w:val="single" w:sz="6" w:space="0" w:color="000000"/>
              <w:left w:val="single" w:sz="6" w:space="0" w:color="000000"/>
              <w:bottom w:val="single" w:sz="6" w:space="0" w:color="000000"/>
              <w:right w:val="single" w:sz="6" w:space="0" w:color="000000"/>
            </w:tcBorders>
          </w:tcPr>
          <w:p w14:paraId="7C63BDDC" w14:textId="77777777" w:rsidR="006F640E" w:rsidRPr="00A443AE" w:rsidRDefault="006F640E" w:rsidP="00D733EB">
            <w:pPr>
              <w:pStyle w:val="naisc"/>
              <w:spacing w:before="0" w:after="0"/>
              <w:rPr>
                <w:b/>
                <w:sz w:val="22"/>
                <w:szCs w:val="22"/>
              </w:rPr>
            </w:pPr>
            <w:r w:rsidRPr="00A443AE">
              <w:rPr>
                <w:b/>
                <w:sz w:val="22"/>
                <w:szCs w:val="22"/>
              </w:rPr>
              <w:lastRenderedPageBreak/>
              <w:t>Sniegts skaidrojums</w:t>
            </w:r>
          </w:p>
          <w:p w14:paraId="19778913" w14:textId="77777777" w:rsidR="006F640E" w:rsidRPr="00A443AE" w:rsidRDefault="006F640E" w:rsidP="00D733EB">
            <w:pPr>
              <w:pStyle w:val="naisc"/>
              <w:spacing w:before="0" w:after="0"/>
              <w:jc w:val="both"/>
              <w:rPr>
                <w:bCs/>
                <w:sz w:val="22"/>
                <w:szCs w:val="22"/>
              </w:rPr>
            </w:pPr>
          </w:p>
          <w:p w14:paraId="19D263F7" w14:textId="77777777" w:rsidR="006F640E" w:rsidRPr="00A443AE" w:rsidRDefault="006F640E" w:rsidP="00D733EB">
            <w:pPr>
              <w:pStyle w:val="naisc"/>
              <w:spacing w:before="0" w:after="0"/>
              <w:jc w:val="both"/>
              <w:rPr>
                <w:bCs/>
                <w:sz w:val="22"/>
                <w:szCs w:val="22"/>
              </w:rPr>
            </w:pPr>
            <w:r w:rsidRPr="00A443AE">
              <w:rPr>
                <w:bCs/>
                <w:sz w:val="22"/>
                <w:szCs w:val="22"/>
              </w:rPr>
              <w:t xml:space="preserve">Plānoto pasākumu netiek plānots </w:t>
            </w:r>
            <w:proofErr w:type="spellStart"/>
            <w:r w:rsidRPr="00A443AE">
              <w:rPr>
                <w:bCs/>
                <w:sz w:val="22"/>
                <w:szCs w:val="22"/>
              </w:rPr>
              <w:t>notificēt</w:t>
            </w:r>
            <w:proofErr w:type="spellEnd"/>
            <w:r w:rsidRPr="00A443AE">
              <w:rPr>
                <w:bCs/>
                <w:sz w:val="22"/>
                <w:szCs w:val="22"/>
              </w:rPr>
              <w:t xml:space="preserve"> saskaņā ar Pamatnostādnēm.</w:t>
            </w:r>
          </w:p>
          <w:p w14:paraId="3751A7D7" w14:textId="77777777" w:rsidR="006F640E" w:rsidRPr="00A443AE" w:rsidRDefault="006F640E" w:rsidP="00D733EB">
            <w:pPr>
              <w:pStyle w:val="naisc"/>
              <w:spacing w:before="0" w:after="0"/>
              <w:jc w:val="both"/>
              <w:rPr>
                <w:bCs/>
                <w:sz w:val="22"/>
                <w:szCs w:val="22"/>
              </w:rPr>
            </w:pPr>
          </w:p>
          <w:p w14:paraId="52A0A3EB" w14:textId="77777777" w:rsidR="006F640E" w:rsidRPr="00A443AE" w:rsidRDefault="006F640E" w:rsidP="00D733EB">
            <w:pPr>
              <w:pStyle w:val="naisc"/>
              <w:spacing w:before="0" w:after="0"/>
              <w:jc w:val="both"/>
              <w:rPr>
                <w:bCs/>
                <w:sz w:val="22"/>
                <w:szCs w:val="22"/>
              </w:rPr>
            </w:pPr>
          </w:p>
          <w:p w14:paraId="77BD4CC7" w14:textId="77777777" w:rsidR="006F640E" w:rsidRPr="00A443AE" w:rsidRDefault="006F640E" w:rsidP="00D733EB">
            <w:pPr>
              <w:pStyle w:val="naisc"/>
              <w:spacing w:before="0" w:after="0"/>
              <w:jc w:val="both"/>
              <w:rPr>
                <w:bCs/>
                <w:sz w:val="22"/>
                <w:szCs w:val="22"/>
              </w:rPr>
            </w:pPr>
          </w:p>
          <w:p w14:paraId="34376967" w14:textId="77777777" w:rsidR="006F640E" w:rsidRPr="00A443AE" w:rsidRDefault="006F640E" w:rsidP="00D733EB">
            <w:pPr>
              <w:pStyle w:val="naisc"/>
              <w:spacing w:before="0" w:after="0"/>
              <w:jc w:val="both"/>
              <w:rPr>
                <w:bCs/>
                <w:sz w:val="22"/>
                <w:szCs w:val="22"/>
              </w:rPr>
            </w:pPr>
          </w:p>
          <w:p w14:paraId="4CD358AD" w14:textId="77777777" w:rsidR="006F640E" w:rsidRPr="00A443AE" w:rsidRDefault="006F640E" w:rsidP="00D733EB">
            <w:pPr>
              <w:pStyle w:val="naisc"/>
              <w:spacing w:before="0" w:after="0"/>
              <w:jc w:val="both"/>
              <w:rPr>
                <w:bCs/>
                <w:sz w:val="22"/>
                <w:szCs w:val="22"/>
              </w:rPr>
            </w:pPr>
          </w:p>
          <w:p w14:paraId="62FDD0E4" w14:textId="77777777" w:rsidR="006F640E" w:rsidRPr="00A443AE" w:rsidRDefault="006F640E" w:rsidP="00D733EB">
            <w:pPr>
              <w:pStyle w:val="naisc"/>
              <w:spacing w:before="0" w:after="0"/>
              <w:jc w:val="both"/>
              <w:rPr>
                <w:bCs/>
                <w:sz w:val="22"/>
                <w:szCs w:val="22"/>
              </w:rPr>
            </w:pPr>
          </w:p>
          <w:p w14:paraId="3E43B82F" w14:textId="77777777" w:rsidR="006F640E" w:rsidRPr="00A443AE" w:rsidRDefault="006F640E" w:rsidP="00D733EB">
            <w:pPr>
              <w:pStyle w:val="naisc"/>
              <w:spacing w:before="0" w:after="0"/>
              <w:jc w:val="both"/>
              <w:rPr>
                <w:bCs/>
                <w:sz w:val="22"/>
                <w:szCs w:val="22"/>
              </w:rPr>
            </w:pPr>
          </w:p>
          <w:p w14:paraId="46FDB87E" w14:textId="77777777" w:rsidR="006F640E" w:rsidRPr="00A443AE" w:rsidRDefault="006F640E" w:rsidP="00D733EB">
            <w:pPr>
              <w:pStyle w:val="naisc"/>
              <w:spacing w:before="0" w:after="0"/>
              <w:jc w:val="both"/>
              <w:rPr>
                <w:bCs/>
                <w:sz w:val="22"/>
                <w:szCs w:val="22"/>
              </w:rPr>
            </w:pPr>
          </w:p>
          <w:p w14:paraId="0E9B9650" w14:textId="77777777" w:rsidR="006F640E" w:rsidRPr="00A443AE" w:rsidRDefault="006F640E" w:rsidP="00D733EB">
            <w:pPr>
              <w:pStyle w:val="naisc"/>
              <w:spacing w:before="0" w:after="0"/>
              <w:jc w:val="both"/>
              <w:rPr>
                <w:bCs/>
                <w:sz w:val="22"/>
                <w:szCs w:val="22"/>
              </w:rPr>
            </w:pPr>
          </w:p>
          <w:p w14:paraId="01E23B0E" w14:textId="77777777" w:rsidR="006F640E" w:rsidRPr="00A443AE" w:rsidRDefault="006F640E" w:rsidP="00D733EB">
            <w:pPr>
              <w:pStyle w:val="naisc"/>
              <w:spacing w:before="0" w:after="0"/>
              <w:jc w:val="both"/>
              <w:rPr>
                <w:bCs/>
                <w:sz w:val="22"/>
                <w:szCs w:val="22"/>
              </w:rPr>
            </w:pPr>
          </w:p>
          <w:p w14:paraId="5F004035" w14:textId="77777777" w:rsidR="006F640E" w:rsidRPr="00A443AE" w:rsidRDefault="006F640E" w:rsidP="00D733EB">
            <w:pPr>
              <w:pStyle w:val="naisc"/>
              <w:spacing w:before="0" w:after="0"/>
              <w:jc w:val="both"/>
              <w:rPr>
                <w:bCs/>
                <w:sz w:val="22"/>
                <w:szCs w:val="22"/>
              </w:rPr>
            </w:pPr>
          </w:p>
          <w:p w14:paraId="27AC0CF8" w14:textId="77777777" w:rsidR="006F640E" w:rsidRPr="00A443AE" w:rsidRDefault="006F640E" w:rsidP="00D733EB">
            <w:pPr>
              <w:pStyle w:val="naisc"/>
              <w:spacing w:before="0" w:after="0"/>
              <w:jc w:val="both"/>
              <w:rPr>
                <w:bCs/>
                <w:sz w:val="22"/>
                <w:szCs w:val="22"/>
              </w:rPr>
            </w:pPr>
          </w:p>
          <w:p w14:paraId="0E7A5D2A" w14:textId="77777777" w:rsidR="006F640E" w:rsidRPr="00A443AE" w:rsidRDefault="006F640E" w:rsidP="00D733EB">
            <w:pPr>
              <w:pStyle w:val="naisc"/>
              <w:spacing w:before="0" w:after="0"/>
              <w:jc w:val="both"/>
              <w:rPr>
                <w:bCs/>
                <w:sz w:val="22"/>
                <w:szCs w:val="22"/>
              </w:rPr>
            </w:pPr>
          </w:p>
          <w:p w14:paraId="0754CA49" w14:textId="77777777" w:rsidR="006F640E" w:rsidRPr="00A443AE" w:rsidRDefault="006F640E" w:rsidP="00D733EB">
            <w:pPr>
              <w:pStyle w:val="naisc"/>
              <w:spacing w:before="0" w:after="0"/>
              <w:jc w:val="both"/>
              <w:rPr>
                <w:bCs/>
                <w:sz w:val="22"/>
                <w:szCs w:val="22"/>
              </w:rPr>
            </w:pPr>
          </w:p>
          <w:p w14:paraId="5AE10492" w14:textId="77777777" w:rsidR="006F640E" w:rsidRPr="00A443AE" w:rsidRDefault="006F640E" w:rsidP="00D733EB">
            <w:pPr>
              <w:pStyle w:val="naisc"/>
              <w:spacing w:before="0" w:after="0"/>
              <w:jc w:val="both"/>
              <w:rPr>
                <w:bCs/>
                <w:sz w:val="22"/>
                <w:szCs w:val="22"/>
              </w:rPr>
            </w:pPr>
          </w:p>
          <w:p w14:paraId="05793BC5" w14:textId="77777777" w:rsidR="006F640E" w:rsidRPr="00A443AE" w:rsidRDefault="006F640E" w:rsidP="00D733EB">
            <w:pPr>
              <w:pStyle w:val="naisc"/>
              <w:spacing w:before="0" w:after="0"/>
              <w:jc w:val="both"/>
              <w:rPr>
                <w:bCs/>
                <w:sz w:val="22"/>
                <w:szCs w:val="22"/>
              </w:rPr>
            </w:pPr>
          </w:p>
          <w:p w14:paraId="16F6A92B" w14:textId="77777777" w:rsidR="006F640E" w:rsidRPr="00A443AE" w:rsidRDefault="006F640E" w:rsidP="00D733EB">
            <w:pPr>
              <w:pStyle w:val="naisc"/>
              <w:spacing w:before="0" w:after="0"/>
              <w:jc w:val="both"/>
              <w:rPr>
                <w:bCs/>
                <w:sz w:val="22"/>
                <w:szCs w:val="22"/>
              </w:rPr>
            </w:pPr>
          </w:p>
          <w:p w14:paraId="0FC49DBB" w14:textId="77777777" w:rsidR="006F640E" w:rsidRPr="00A443AE" w:rsidRDefault="006F640E" w:rsidP="00D733EB">
            <w:pPr>
              <w:pStyle w:val="naisc"/>
              <w:spacing w:before="0" w:after="0"/>
              <w:jc w:val="both"/>
              <w:rPr>
                <w:bCs/>
                <w:sz w:val="22"/>
                <w:szCs w:val="22"/>
              </w:rPr>
            </w:pPr>
          </w:p>
          <w:p w14:paraId="04E3D0E0" w14:textId="77777777" w:rsidR="006F640E" w:rsidRPr="00A443AE" w:rsidRDefault="006F640E" w:rsidP="00D733EB">
            <w:pPr>
              <w:pStyle w:val="naisc"/>
              <w:spacing w:before="0" w:after="0"/>
              <w:jc w:val="both"/>
              <w:rPr>
                <w:b/>
                <w:sz w:val="22"/>
                <w:szCs w:val="22"/>
              </w:rPr>
            </w:pPr>
            <w:r w:rsidRPr="00A443AE">
              <w:rPr>
                <w:b/>
                <w:sz w:val="22"/>
                <w:szCs w:val="22"/>
              </w:rPr>
              <w:t>3.1. Ņemts vērā</w:t>
            </w:r>
          </w:p>
          <w:p w14:paraId="32D0CEDC" w14:textId="77777777" w:rsidR="006F640E" w:rsidRPr="00A443AE" w:rsidRDefault="006F640E" w:rsidP="00D733EB">
            <w:pPr>
              <w:pStyle w:val="naisc"/>
              <w:spacing w:before="0" w:after="0"/>
              <w:jc w:val="both"/>
              <w:rPr>
                <w:bCs/>
                <w:sz w:val="22"/>
                <w:szCs w:val="22"/>
              </w:rPr>
            </w:pPr>
            <w:r w:rsidRPr="00A443AE">
              <w:rPr>
                <w:bCs/>
                <w:sz w:val="22"/>
                <w:szCs w:val="22"/>
              </w:rPr>
              <w:t>Noteikumu projekts ir precizēts, svītrojot normas attiecībā uz uzņēmumiem, kuri ir nonākuši finanšu grūtībās.</w:t>
            </w:r>
          </w:p>
          <w:p w14:paraId="0F9C8B37" w14:textId="77777777" w:rsidR="006F640E" w:rsidRPr="00A443AE" w:rsidRDefault="006F640E" w:rsidP="00D733EB">
            <w:pPr>
              <w:pStyle w:val="naisc"/>
              <w:spacing w:before="0" w:after="0"/>
              <w:jc w:val="both"/>
              <w:rPr>
                <w:bCs/>
                <w:sz w:val="22"/>
                <w:szCs w:val="22"/>
              </w:rPr>
            </w:pPr>
          </w:p>
          <w:p w14:paraId="039586CA" w14:textId="77777777" w:rsidR="006F640E" w:rsidRPr="00A443AE" w:rsidRDefault="006F640E" w:rsidP="00D733EB">
            <w:pPr>
              <w:pStyle w:val="naisc"/>
              <w:spacing w:before="0" w:after="0"/>
              <w:jc w:val="both"/>
              <w:rPr>
                <w:bCs/>
                <w:sz w:val="22"/>
                <w:szCs w:val="22"/>
              </w:rPr>
            </w:pPr>
          </w:p>
          <w:p w14:paraId="1A60A3A4" w14:textId="77777777" w:rsidR="006F640E" w:rsidRPr="00A443AE" w:rsidRDefault="006F640E" w:rsidP="00D733EB">
            <w:pPr>
              <w:pStyle w:val="naisc"/>
              <w:spacing w:before="0" w:after="0"/>
              <w:jc w:val="both"/>
              <w:rPr>
                <w:bCs/>
                <w:sz w:val="22"/>
                <w:szCs w:val="22"/>
              </w:rPr>
            </w:pPr>
          </w:p>
          <w:p w14:paraId="08727D29" w14:textId="77777777" w:rsidR="006F640E" w:rsidRPr="00A443AE" w:rsidRDefault="006F640E" w:rsidP="00D733EB">
            <w:pPr>
              <w:pStyle w:val="naisc"/>
              <w:spacing w:before="0" w:after="0"/>
              <w:jc w:val="both"/>
              <w:rPr>
                <w:bCs/>
                <w:sz w:val="22"/>
                <w:szCs w:val="22"/>
              </w:rPr>
            </w:pPr>
          </w:p>
          <w:p w14:paraId="2B383250" w14:textId="77777777" w:rsidR="006F640E" w:rsidRPr="00A443AE" w:rsidRDefault="006F640E" w:rsidP="00D733EB">
            <w:pPr>
              <w:pStyle w:val="naisc"/>
              <w:spacing w:before="0" w:after="0"/>
              <w:jc w:val="both"/>
              <w:rPr>
                <w:bCs/>
                <w:sz w:val="22"/>
                <w:szCs w:val="22"/>
              </w:rPr>
            </w:pPr>
          </w:p>
          <w:p w14:paraId="25EEE52E" w14:textId="77777777" w:rsidR="006F640E" w:rsidRPr="00A443AE" w:rsidRDefault="006F640E" w:rsidP="00D733EB">
            <w:pPr>
              <w:pStyle w:val="naisc"/>
              <w:spacing w:before="0" w:after="0"/>
              <w:jc w:val="both"/>
              <w:rPr>
                <w:bCs/>
                <w:sz w:val="22"/>
                <w:szCs w:val="22"/>
              </w:rPr>
            </w:pPr>
          </w:p>
          <w:p w14:paraId="58DADF70" w14:textId="77777777" w:rsidR="006F640E" w:rsidRPr="00A443AE" w:rsidRDefault="006F640E" w:rsidP="00D733EB">
            <w:pPr>
              <w:pStyle w:val="naisc"/>
              <w:spacing w:before="0" w:after="0"/>
              <w:jc w:val="both"/>
              <w:rPr>
                <w:bCs/>
                <w:sz w:val="22"/>
                <w:szCs w:val="22"/>
              </w:rPr>
            </w:pPr>
          </w:p>
          <w:p w14:paraId="5FBAC1B3" w14:textId="77777777" w:rsidR="006F640E" w:rsidRPr="00A443AE" w:rsidRDefault="006F640E" w:rsidP="00D733EB">
            <w:pPr>
              <w:pStyle w:val="naisc"/>
              <w:spacing w:before="0" w:after="0"/>
              <w:jc w:val="both"/>
              <w:rPr>
                <w:bCs/>
                <w:sz w:val="22"/>
                <w:szCs w:val="22"/>
              </w:rPr>
            </w:pPr>
          </w:p>
          <w:p w14:paraId="1AA5CD17" w14:textId="77777777" w:rsidR="006F640E" w:rsidRPr="00A443AE" w:rsidRDefault="006F640E" w:rsidP="00D733EB">
            <w:pPr>
              <w:pStyle w:val="naisc"/>
              <w:spacing w:before="0" w:after="0"/>
              <w:jc w:val="both"/>
              <w:rPr>
                <w:bCs/>
                <w:sz w:val="22"/>
                <w:szCs w:val="22"/>
              </w:rPr>
            </w:pPr>
          </w:p>
          <w:p w14:paraId="65B9B5C2" w14:textId="77777777" w:rsidR="006F640E" w:rsidRPr="00A443AE" w:rsidRDefault="006F640E" w:rsidP="00D733EB">
            <w:pPr>
              <w:pStyle w:val="naisc"/>
              <w:spacing w:before="0" w:after="0"/>
              <w:jc w:val="both"/>
              <w:rPr>
                <w:bCs/>
                <w:sz w:val="22"/>
                <w:szCs w:val="22"/>
              </w:rPr>
            </w:pPr>
          </w:p>
          <w:p w14:paraId="207EBB7B" w14:textId="77777777" w:rsidR="006F640E" w:rsidRPr="00A443AE" w:rsidRDefault="006F640E" w:rsidP="00D733EB">
            <w:pPr>
              <w:pStyle w:val="naisc"/>
              <w:spacing w:before="0" w:after="0"/>
              <w:jc w:val="both"/>
              <w:rPr>
                <w:bCs/>
                <w:sz w:val="22"/>
                <w:szCs w:val="22"/>
              </w:rPr>
            </w:pPr>
          </w:p>
          <w:p w14:paraId="38EB15A8" w14:textId="77777777" w:rsidR="006F640E" w:rsidRPr="00A443AE" w:rsidRDefault="006F640E" w:rsidP="00D733EB">
            <w:pPr>
              <w:pStyle w:val="naisc"/>
              <w:spacing w:before="0" w:after="0"/>
              <w:jc w:val="both"/>
              <w:rPr>
                <w:bCs/>
                <w:sz w:val="22"/>
                <w:szCs w:val="22"/>
              </w:rPr>
            </w:pPr>
          </w:p>
          <w:p w14:paraId="2DAA9BCF" w14:textId="77777777" w:rsidR="006F640E" w:rsidRPr="00A443AE" w:rsidRDefault="006F640E" w:rsidP="00D733EB">
            <w:pPr>
              <w:pStyle w:val="naisc"/>
              <w:spacing w:before="0" w:after="0"/>
              <w:jc w:val="both"/>
              <w:rPr>
                <w:bCs/>
                <w:sz w:val="22"/>
                <w:szCs w:val="22"/>
              </w:rPr>
            </w:pPr>
          </w:p>
          <w:p w14:paraId="05281C82" w14:textId="77777777" w:rsidR="006F640E" w:rsidRPr="00A443AE" w:rsidRDefault="006F640E" w:rsidP="00D733EB">
            <w:pPr>
              <w:pStyle w:val="naisc"/>
              <w:spacing w:before="0" w:after="0"/>
              <w:jc w:val="both"/>
              <w:rPr>
                <w:b/>
                <w:sz w:val="22"/>
                <w:szCs w:val="22"/>
              </w:rPr>
            </w:pPr>
            <w:r w:rsidRPr="00A443AE">
              <w:rPr>
                <w:b/>
                <w:sz w:val="22"/>
                <w:szCs w:val="22"/>
              </w:rPr>
              <w:t>3.2. Nav ņemts vērā un sniegts skaidrojums:</w:t>
            </w:r>
          </w:p>
          <w:p w14:paraId="6EDA6590" w14:textId="77777777" w:rsidR="006F640E" w:rsidRPr="00A443AE" w:rsidRDefault="006F640E" w:rsidP="00D733EB">
            <w:pPr>
              <w:pStyle w:val="naisc"/>
              <w:spacing w:before="0" w:after="0"/>
              <w:jc w:val="both"/>
              <w:rPr>
                <w:bCs/>
                <w:sz w:val="22"/>
                <w:szCs w:val="22"/>
              </w:rPr>
            </w:pPr>
            <w:r w:rsidRPr="00A443AE">
              <w:rPr>
                <w:bCs/>
                <w:sz w:val="22"/>
                <w:szCs w:val="22"/>
              </w:rPr>
              <w:t xml:space="preserve">Plānoto pasākumu netiek plānots </w:t>
            </w:r>
            <w:proofErr w:type="spellStart"/>
            <w:r w:rsidRPr="00A443AE">
              <w:rPr>
                <w:bCs/>
                <w:sz w:val="22"/>
                <w:szCs w:val="22"/>
              </w:rPr>
              <w:t>notificēt</w:t>
            </w:r>
            <w:proofErr w:type="spellEnd"/>
            <w:r w:rsidRPr="00A443AE">
              <w:rPr>
                <w:bCs/>
                <w:sz w:val="22"/>
                <w:szCs w:val="22"/>
              </w:rPr>
              <w:t xml:space="preserve"> saskaņā ar Pamatnostādnēm. Tiek plānots atbalstīt gan tos uzņēmumus, kas jau ir kotējušies biržā, gan arī plānots, ka pats fonds veicinās, lai uzņēmumi kotētos biržā. </w:t>
            </w:r>
          </w:p>
          <w:p w14:paraId="4B774A4F" w14:textId="77777777" w:rsidR="006F640E" w:rsidRPr="00A443AE" w:rsidRDefault="006F640E" w:rsidP="00D733EB">
            <w:pPr>
              <w:pStyle w:val="naisc"/>
              <w:spacing w:before="0" w:after="0"/>
              <w:jc w:val="both"/>
              <w:rPr>
                <w:bCs/>
                <w:sz w:val="22"/>
                <w:szCs w:val="22"/>
              </w:rPr>
            </w:pPr>
          </w:p>
          <w:p w14:paraId="3A6AA26C" w14:textId="77777777" w:rsidR="006F640E" w:rsidRPr="00A443AE" w:rsidRDefault="006F640E" w:rsidP="00D733EB">
            <w:pPr>
              <w:pStyle w:val="naisc"/>
              <w:spacing w:before="0" w:after="0"/>
              <w:jc w:val="both"/>
              <w:rPr>
                <w:bCs/>
                <w:sz w:val="22"/>
                <w:szCs w:val="22"/>
              </w:rPr>
            </w:pPr>
          </w:p>
          <w:p w14:paraId="27E5EE64" w14:textId="77777777" w:rsidR="006F640E" w:rsidRPr="00A443AE" w:rsidRDefault="006F640E" w:rsidP="00D733EB">
            <w:pPr>
              <w:pStyle w:val="naisc"/>
              <w:spacing w:before="0" w:after="0"/>
              <w:jc w:val="both"/>
              <w:rPr>
                <w:bCs/>
                <w:sz w:val="22"/>
                <w:szCs w:val="22"/>
              </w:rPr>
            </w:pPr>
          </w:p>
          <w:p w14:paraId="3AF72E0C" w14:textId="77777777" w:rsidR="006F640E" w:rsidRPr="00A443AE" w:rsidRDefault="006F640E" w:rsidP="00D733EB">
            <w:pPr>
              <w:pStyle w:val="naisc"/>
              <w:spacing w:before="0" w:after="0"/>
              <w:jc w:val="both"/>
              <w:rPr>
                <w:bCs/>
                <w:sz w:val="22"/>
                <w:szCs w:val="22"/>
              </w:rPr>
            </w:pPr>
          </w:p>
          <w:p w14:paraId="37AE5348" w14:textId="77777777" w:rsidR="006F640E" w:rsidRPr="00A443AE" w:rsidRDefault="006F640E" w:rsidP="00D733EB">
            <w:pPr>
              <w:pStyle w:val="naisc"/>
              <w:spacing w:before="0" w:after="0"/>
              <w:jc w:val="both"/>
              <w:rPr>
                <w:bCs/>
                <w:sz w:val="22"/>
                <w:szCs w:val="22"/>
              </w:rPr>
            </w:pPr>
          </w:p>
          <w:p w14:paraId="35BDD197" w14:textId="77777777" w:rsidR="006F640E" w:rsidRPr="00A443AE" w:rsidRDefault="006F640E" w:rsidP="00D733EB">
            <w:pPr>
              <w:pStyle w:val="naisc"/>
              <w:spacing w:before="0" w:after="0"/>
              <w:jc w:val="both"/>
              <w:rPr>
                <w:bCs/>
                <w:sz w:val="22"/>
                <w:szCs w:val="22"/>
              </w:rPr>
            </w:pPr>
            <w:r w:rsidRPr="00A443AE">
              <w:rPr>
                <w:b/>
                <w:sz w:val="22"/>
                <w:szCs w:val="22"/>
              </w:rPr>
              <w:t>3.3.</w:t>
            </w:r>
            <w:r w:rsidRPr="00A443AE">
              <w:rPr>
                <w:bCs/>
                <w:sz w:val="22"/>
                <w:szCs w:val="22"/>
              </w:rPr>
              <w:t xml:space="preserve"> </w:t>
            </w:r>
            <w:r w:rsidRPr="00A443AE">
              <w:rPr>
                <w:b/>
                <w:sz w:val="22"/>
                <w:szCs w:val="22"/>
              </w:rPr>
              <w:t>Ņemts vērā un sniegts skaidrojums</w:t>
            </w:r>
            <w:r w:rsidRPr="00A443AE">
              <w:rPr>
                <w:bCs/>
                <w:sz w:val="22"/>
                <w:szCs w:val="22"/>
              </w:rPr>
              <w:t>:</w:t>
            </w:r>
          </w:p>
          <w:p w14:paraId="4E1E5EED" w14:textId="77777777" w:rsidR="006F640E" w:rsidRPr="00A443AE" w:rsidRDefault="006F640E" w:rsidP="00D733EB">
            <w:pPr>
              <w:pStyle w:val="naisc"/>
              <w:spacing w:before="0" w:after="0"/>
              <w:jc w:val="both"/>
              <w:rPr>
                <w:bCs/>
                <w:sz w:val="22"/>
                <w:szCs w:val="22"/>
              </w:rPr>
            </w:pPr>
            <w:r w:rsidRPr="00A443AE">
              <w:rPr>
                <w:bCs/>
                <w:sz w:val="22"/>
                <w:szCs w:val="22"/>
              </w:rPr>
              <w:t>Precizēts noteikumu projekts, papildinot par pārvaldības maksas maksimālo robežvērtību.</w:t>
            </w:r>
          </w:p>
          <w:p w14:paraId="7E2C9877" w14:textId="77777777" w:rsidR="006F640E" w:rsidRPr="00A443AE" w:rsidRDefault="006F640E" w:rsidP="00D733EB">
            <w:pPr>
              <w:pStyle w:val="Default"/>
              <w:spacing w:before="120" w:after="120"/>
              <w:jc w:val="both"/>
              <w:rPr>
                <w:rFonts w:ascii="Times New Roman" w:hAnsi="Times New Roman" w:cs="Times New Roman"/>
                <w:bCs/>
                <w:sz w:val="22"/>
                <w:szCs w:val="22"/>
              </w:rPr>
            </w:pPr>
            <w:r w:rsidRPr="00A443AE">
              <w:rPr>
                <w:rFonts w:ascii="Times New Roman" w:hAnsi="Times New Roman" w:cs="Times New Roman"/>
                <w:bCs/>
                <w:sz w:val="22"/>
                <w:szCs w:val="22"/>
              </w:rPr>
              <w:t xml:space="preserve">Attiecībā uz privātajiem ieguldītājiem: plānots, ka </w:t>
            </w:r>
            <w:r w:rsidRPr="00A443AE">
              <w:rPr>
                <w:rFonts w:ascii="Times New Roman" w:hAnsi="Times New Roman" w:cs="Times New Roman"/>
                <w:bCs/>
                <w:color w:val="auto"/>
                <w:sz w:val="22"/>
                <w:szCs w:val="22"/>
              </w:rPr>
              <w:t>publiskais finansējums fondā veidos 50 miljonus eiro un ir plānots, ka 50 miljonus eiro veidos privātā finansējuma kapitāls</w:t>
            </w:r>
            <w:r w:rsidRPr="00A443AE">
              <w:rPr>
                <w:rFonts w:ascii="Times New Roman" w:hAnsi="Times New Roman" w:cs="Times New Roman"/>
                <w:bCs/>
                <w:sz w:val="22"/>
                <w:szCs w:val="22"/>
              </w:rPr>
              <w:t xml:space="preserve">, </w:t>
            </w:r>
            <w:r w:rsidRPr="00A443AE">
              <w:rPr>
                <w:rFonts w:ascii="Times New Roman" w:hAnsi="Times New Roman" w:cs="Times New Roman"/>
                <w:bCs/>
                <w:color w:val="auto"/>
                <w:sz w:val="22"/>
                <w:szCs w:val="22"/>
              </w:rPr>
              <w:t xml:space="preserve">t.sk. finansējums no valsts </w:t>
            </w:r>
            <w:proofErr w:type="spellStart"/>
            <w:r w:rsidRPr="00A443AE">
              <w:rPr>
                <w:rFonts w:ascii="Times New Roman" w:hAnsi="Times New Roman" w:cs="Times New Roman"/>
                <w:bCs/>
                <w:color w:val="auto"/>
                <w:sz w:val="22"/>
                <w:szCs w:val="22"/>
              </w:rPr>
              <w:t>fondēto</w:t>
            </w:r>
            <w:proofErr w:type="spellEnd"/>
            <w:r w:rsidRPr="00A443AE">
              <w:rPr>
                <w:rFonts w:ascii="Times New Roman" w:hAnsi="Times New Roman" w:cs="Times New Roman"/>
                <w:bCs/>
                <w:color w:val="auto"/>
                <w:sz w:val="22"/>
                <w:szCs w:val="22"/>
              </w:rPr>
              <w:t xml:space="preserve"> pensiju shēmas līdzekļu pārvaldītājiem, kā arī citiem privātajiem ieguldītājiem</w:t>
            </w:r>
            <w:r w:rsidRPr="00A443AE">
              <w:rPr>
                <w:rFonts w:ascii="Times New Roman" w:hAnsi="Times New Roman" w:cs="Times New Roman"/>
                <w:bCs/>
                <w:sz w:val="22"/>
                <w:szCs w:val="22"/>
              </w:rPr>
              <w:t xml:space="preserve"> (piemēram, starptautiskas finanšu institūcijas)</w:t>
            </w:r>
            <w:r w:rsidRPr="00A443AE">
              <w:rPr>
                <w:rFonts w:ascii="Times New Roman" w:hAnsi="Times New Roman" w:cs="Times New Roman"/>
                <w:bCs/>
                <w:color w:val="auto"/>
                <w:sz w:val="22"/>
                <w:szCs w:val="22"/>
              </w:rPr>
              <w:t>, palielinot fonda kopējo apjomu.</w:t>
            </w:r>
            <w:r w:rsidRPr="00A443AE">
              <w:rPr>
                <w:rFonts w:ascii="Times New Roman" w:hAnsi="Times New Roman" w:cs="Times New Roman"/>
                <w:bCs/>
                <w:sz w:val="22"/>
                <w:szCs w:val="22"/>
              </w:rPr>
              <w:t xml:space="preserve"> Tādejādi ir atvērta iespēja privātajiem investoriem. Anotācija ir noteikts, ka prasības investoriem </w:t>
            </w:r>
            <w:r w:rsidRPr="00A443AE">
              <w:rPr>
                <w:rFonts w:ascii="Times New Roman" w:hAnsi="Times New Roman" w:cs="Times New Roman"/>
                <w:bCs/>
                <w:sz w:val="22"/>
                <w:szCs w:val="22"/>
              </w:rPr>
              <w:lastRenderedPageBreak/>
              <w:t>izstrādās pārvaldnieks, par to informējot, piemēram, Finanšu nozares asociāciju.</w:t>
            </w:r>
          </w:p>
          <w:p w14:paraId="0FE1FC6D" w14:textId="77777777" w:rsidR="006F640E" w:rsidRPr="00A443AE" w:rsidRDefault="006F640E" w:rsidP="00D733EB">
            <w:pPr>
              <w:pStyle w:val="naisc"/>
              <w:spacing w:before="0" w:after="0"/>
              <w:jc w:val="both"/>
              <w:rPr>
                <w:bCs/>
                <w:sz w:val="22"/>
                <w:szCs w:val="22"/>
              </w:rPr>
            </w:pPr>
            <w:r w:rsidRPr="00A443AE">
              <w:rPr>
                <w:bCs/>
                <w:sz w:val="22"/>
                <w:szCs w:val="22"/>
              </w:rPr>
              <w:t xml:space="preserve">Turklāt darījuma līmenī vēl ir iespēja piesaistīt privāto kapitālu, piemēram, kredītiestādes finansējumu, citu riska kapitāla fondu u.c. </w:t>
            </w:r>
          </w:p>
          <w:p w14:paraId="6B9DAA5A" w14:textId="77777777" w:rsidR="006F640E" w:rsidRPr="00A443AE" w:rsidRDefault="006F640E" w:rsidP="00D733EB">
            <w:pPr>
              <w:pStyle w:val="naisc"/>
              <w:spacing w:before="0" w:after="0"/>
              <w:jc w:val="both"/>
              <w:rPr>
                <w:bCs/>
                <w:sz w:val="22"/>
                <w:szCs w:val="22"/>
              </w:rPr>
            </w:pPr>
          </w:p>
          <w:p w14:paraId="1A9D26D9" w14:textId="77777777" w:rsidR="006F640E" w:rsidRPr="00A443AE" w:rsidRDefault="006F640E" w:rsidP="00D733EB">
            <w:pPr>
              <w:pStyle w:val="naisc"/>
              <w:spacing w:before="0" w:after="0"/>
              <w:jc w:val="both"/>
              <w:rPr>
                <w:b/>
                <w:sz w:val="22"/>
                <w:szCs w:val="22"/>
              </w:rPr>
            </w:pPr>
            <w:r w:rsidRPr="00A443AE">
              <w:rPr>
                <w:b/>
                <w:sz w:val="22"/>
                <w:szCs w:val="22"/>
              </w:rPr>
              <w:t>3.4. Ņemts vērā, likmes ir noteiktas atbilstoši Eiropas Komisijas Pagaidu regulējumam valsts atbalsta pasākumiem, ar ko atbalsta ekonomiku pašreizējā Covid-19 uzliesmojuma situācijā</w:t>
            </w:r>
          </w:p>
          <w:p w14:paraId="19E818E5" w14:textId="77777777" w:rsidR="006F640E" w:rsidRPr="00A443AE" w:rsidRDefault="006F640E" w:rsidP="00D733EB">
            <w:pPr>
              <w:pStyle w:val="naisc"/>
              <w:spacing w:before="0" w:after="0"/>
              <w:jc w:val="both"/>
              <w:rPr>
                <w:bCs/>
                <w:sz w:val="22"/>
                <w:szCs w:val="22"/>
              </w:rPr>
            </w:pPr>
          </w:p>
          <w:p w14:paraId="780FB64C" w14:textId="77777777" w:rsidR="006F640E" w:rsidRPr="00A443AE" w:rsidRDefault="006F640E" w:rsidP="00D733EB">
            <w:pPr>
              <w:pStyle w:val="naisc"/>
              <w:spacing w:before="0" w:after="0"/>
              <w:jc w:val="both"/>
              <w:rPr>
                <w:bCs/>
                <w:sz w:val="22"/>
                <w:szCs w:val="22"/>
              </w:rPr>
            </w:pPr>
          </w:p>
          <w:p w14:paraId="0DD168CA" w14:textId="77777777" w:rsidR="006F640E" w:rsidRPr="00A443AE" w:rsidRDefault="006F640E" w:rsidP="00D733EB">
            <w:pPr>
              <w:pStyle w:val="naisc"/>
              <w:spacing w:before="0" w:after="0"/>
              <w:jc w:val="both"/>
              <w:rPr>
                <w:bCs/>
                <w:sz w:val="22"/>
                <w:szCs w:val="22"/>
              </w:rPr>
            </w:pPr>
          </w:p>
          <w:p w14:paraId="35ADC581" w14:textId="77777777" w:rsidR="006F640E" w:rsidRPr="00A443AE" w:rsidRDefault="006F640E" w:rsidP="00D733EB">
            <w:pPr>
              <w:pStyle w:val="naisc"/>
              <w:spacing w:before="0" w:after="0"/>
              <w:jc w:val="both"/>
              <w:rPr>
                <w:bCs/>
                <w:sz w:val="22"/>
                <w:szCs w:val="22"/>
              </w:rPr>
            </w:pPr>
          </w:p>
          <w:p w14:paraId="667EC193" w14:textId="77777777" w:rsidR="006F640E" w:rsidRPr="00A443AE" w:rsidRDefault="006F640E" w:rsidP="00D733EB">
            <w:pPr>
              <w:pStyle w:val="naisc"/>
              <w:spacing w:before="0" w:after="0"/>
              <w:jc w:val="both"/>
              <w:rPr>
                <w:bCs/>
                <w:sz w:val="22"/>
                <w:szCs w:val="22"/>
              </w:rPr>
            </w:pPr>
          </w:p>
          <w:p w14:paraId="27D50AD5" w14:textId="77777777" w:rsidR="006F640E" w:rsidRPr="00A443AE" w:rsidRDefault="006F640E" w:rsidP="00D733EB">
            <w:pPr>
              <w:pStyle w:val="naisc"/>
              <w:spacing w:before="0" w:after="0"/>
              <w:jc w:val="both"/>
              <w:rPr>
                <w:bCs/>
                <w:sz w:val="22"/>
                <w:szCs w:val="22"/>
              </w:rPr>
            </w:pPr>
          </w:p>
          <w:p w14:paraId="330D4C78" w14:textId="77777777" w:rsidR="006F640E" w:rsidRPr="00A443AE" w:rsidRDefault="006F640E" w:rsidP="00D733EB">
            <w:pPr>
              <w:pStyle w:val="naisc"/>
              <w:spacing w:before="0" w:after="0"/>
              <w:jc w:val="both"/>
              <w:rPr>
                <w:bCs/>
                <w:sz w:val="22"/>
                <w:szCs w:val="22"/>
              </w:rPr>
            </w:pPr>
          </w:p>
          <w:p w14:paraId="203B6F30" w14:textId="77777777" w:rsidR="006F640E" w:rsidRPr="00A443AE" w:rsidRDefault="006F640E" w:rsidP="00D733EB">
            <w:pPr>
              <w:pStyle w:val="naisc"/>
              <w:spacing w:before="0" w:after="0"/>
              <w:jc w:val="both"/>
              <w:rPr>
                <w:bCs/>
                <w:sz w:val="22"/>
                <w:szCs w:val="22"/>
              </w:rPr>
            </w:pPr>
          </w:p>
          <w:p w14:paraId="232544E1" w14:textId="77777777" w:rsidR="006F640E" w:rsidRPr="00A443AE" w:rsidRDefault="006F640E" w:rsidP="00D733EB">
            <w:pPr>
              <w:pStyle w:val="naisc"/>
              <w:spacing w:before="0" w:after="0"/>
              <w:jc w:val="both"/>
              <w:rPr>
                <w:b/>
                <w:sz w:val="22"/>
                <w:szCs w:val="22"/>
              </w:rPr>
            </w:pPr>
            <w:r w:rsidRPr="00A443AE">
              <w:rPr>
                <w:b/>
                <w:sz w:val="22"/>
                <w:szCs w:val="22"/>
              </w:rPr>
              <w:t>3.5. Nav ņemts vērā.   Lēmumu pieņemšanas termiņš ir noteikts atbilstoši Eiropas Komisijas Pagaidu regulējumam valsts atbalsta pasākumiem, ar ko atbalsta ekonomiku pašreizējā Covid-19 uzliesmojuma situācijā.</w:t>
            </w:r>
          </w:p>
          <w:p w14:paraId="67D0274E" w14:textId="77777777" w:rsidR="006F640E" w:rsidRPr="00A443AE" w:rsidRDefault="006F640E" w:rsidP="00D733EB">
            <w:pPr>
              <w:pStyle w:val="naisc"/>
              <w:spacing w:before="0" w:after="0"/>
              <w:jc w:val="both"/>
              <w:rPr>
                <w:bCs/>
                <w:sz w:val="22"/>
                <w:szCs w:val="22"/>
              </w:rPr>
            </w:pPr>
          </w:p>
          <w:p w14:paraId="3780C4B0" w14:textId="77777777" w:rsidR="006F640E" w:rsidRPr="00A443AE" w:rsidRDefault="006F640E" w:rsidP="00D733EB">
            <w:pPr>
              <w:pStyle w:val="naisc"/>
              <w:spacing w:before="0" w:after="0"/>
              <w:jc w:val="both"/>
              <w:rPr>
                <w:b/>
                <w:sz w:val="22"/>
                <w:szCs w:val="22"/>
              </w:rPr>
            </w:pPr>
            <w:r w:rsidRPr="00A443AE">
              <w:rPr>
                <w:b/>
                <w:sz w:val="22"/>
                <w:szCs w:val="22"/>
              </w:rPr>
              <w:t>3.6. Netiek ņemts vērā un sniegts skaidrojums:</w:t>
            </w:r>
          </w:p>
          <w:p w14:paraId="6206563F" w14:textId="77777777" w:rsidR="006F640E" w:rsidRPr="00A443AE" w:rsidRDefault="006F640E" w:rsidP="00D733EB">
            <w:pPr>
              <w:pStyle w:val="naisc"/>
              <w:spacing w:before="0" w:after="0"/>
              <w:jc w:val="both"/>
              <w:rPr>
                <w:bCs/>
                <w:sz w:val="22"/>
                <w:szCs w:val="22"/>
              </w:rPr>
            </w:pPr>
            <w:r w:rsidRPr="00A443AE">
              <w:rPr>
                <w:bCs/>
                <w:sz w:val="22"/>
                <w:szCs w:val="22"/>
              </w:rPr>
              <w:t xml:space="preserve">Pasākumu netiek plānots </w:t>
            </w:r>
            <w:proofErr w:type="spellStart"/>
            <w:r w:rsidRPr="00A443AE">
              <w:rPr>
                <w:bCs/>
                <w:sz w:val="22"/>
                <w:szCs w:val="22"/>
              </w:rPr>
              <w:t>notificēt</w:t>
            </w:r>
            <w:proofErr w:type="spellEnd"/>
            <w:r w:rsidRPr="00A443AE">
              <w:rPr>
                <w:bCs/>
                <w:sz w:val="22"/>
                <w:szCs w:val="22"/>
              </w:rPr>
              <w:t xml:space="preserve"> saskaņā ar Pamatnostādnēm.</w:t>
            </w:r>
          </w:p>
          <w:p w14:paraId="2827A593" w14:textId="77777777" w:rsidR="006F640E" w:rsidRPr="00A443AE" w:rsidRDefault="006F640E" w:rsidP="00D733EB">
            <w:pPr>
              <w:pStyle w:val="naisc"/>
              <w:spacing w:before="0" w:after="0"/>
              <w:jc w:val="both"/>
              <w:rPr>
                <w:bCs/>
                <w:sz w:val="22"/>
                <w:szCs w:val="22"/>
              </w:rPr>
            </w:pPr>
            <w:r w:rsidRPr="00A443AE">
              <w:rPr>
                <w:bCs/>
                <w:sz w:val="22"/>
                <w:szCs w:val="22"/>
              </w:rPr>
              <w:lastRenderedPageBreak/>
              <w:t xml:space="preserve">COVID-19 ietekme ir </w:t>
            </w:r>
            <w:proofErr w:type="spellStart"/>
            <w:r w:rsidRPr="00A443AE">
              <w:rPr>
                <w:bCs/>
                <w:sz w:val="22"/>
                <w:szCs w:val="22"/>
              </w:rPr>
              <w:t>skārusi</w:t>
            </w:r>
            <w:proofErr w:type="spellEnd"/>
            <w:r w:rsidRPr="00A443AE">
              <w:rPr>
                <w:bCs/>
                <w:sz w:val="22"/>
                <w:szCs w:val="22"/>
              </w:rPr>
              <w:t xml:space="preserve"> arī lielos uzņēmumus. Anotācijā ir atspoguļota informācija, ka MVU ir pieejams finansējamus esošo izveidoto riska kapitāla fondu ietvaros.</w:t>
            </w:r>
          </w:p>
          <w:p w14:paraId="1407C774" w14:textId="77777777" w:rsidR="006F640E" w:rsidRPr="00A443AE" w:rsidRDefault="006F640E" w:rsidP="00D733EB">
            <w:pPr>
              <w:pStyle w:val="naisc"/>
              <w:spacing w:before="0" w:after="0"/>
              <w:jc w:val="both"/>
              <w:rPr>
                <w:bCs/>
                <w:sz w:val="22"/>
                <w:szCs w:val="22"/>
              </w:rPr>
            </w:pPr>
            <w:r w:rsidRPr="00A443AE">
              <w:rPr>
                <w:bCs/>
                <w:sz w:val="22"/>
                <w:szCs w:val="22"/>
              </w:rPr>
              <w:t>Ir veikts neatkarīgs novērtējums attiecībā uz lielajiem uzņēmumiem, kur minētā informācija ir ietverta notifikācijā Eiropas Komisijai.</w:t>
            </w:r>
          </w:p>
          <w:p w14:paraId="097B78D2" w14:textId="77777777" w:rsidR="006F640E" w:rsidRPr="00A443AE" w:rsidRDefault="006F640E" w:rsidP="00D733EB">
            <w:pPr>
              <w:pStyle w:val="naisc"/>
              <w:spacing w:before="0" w:after="0"/>
              <w:jc w:val="both"/>
              <w:rPr>
                <w:bCs/>
                <w:sz w:val="22"/>
                <w:szCs w:val="22"/>
              </w:rPr>
            </w:pPr>
          </w:p>
          <w:p w14:paraId="60D6D54C" w14:textId="77777777" w:rsidR="006F640E" w:rsidRPr="00A443AE" w:rsidRDefault="006F640E" w:rsidP="00D733EB">
            <w:pPr>
              <w:pStyle w:val="naisc"/>
              <w:spacing w:before="0" w:after="0"/>
              <w:jc w:val="both"/>
              <w:rPr>
                <w:bCs/>
                <w:sz w:val="22"/>
                <w:szCs w:val="22"/>
              </w:rPr>
            </w:pPr>
          </w:p>
          <w:p w14:paraId="2CC1A99D" w14:textId="77777777" w:rsidR="006F640E" w:rsidRPr="00A443AE" w:rsidRDefault="006F640E" w:rsidP="00D733EB">
            <w:pPr>
              <w:pStyle w:val="naisc"/>
              <w:spacing w:before="0" w:after="0"/>
              <w:jc w:val="both"/>
              <w:rPr>
                <w:bCs/>
                <w:sz w:val="22"/>
                <w:szCs w:val="22"/>
              </w:rPr>
            </w:pPr>
          </w:p>
          <w:p w14:paraId="1C94C02F" w14:textId="77777777" w:rsidR="006F640E" w:rsidRPr="00A443AE" w:rsidRDefault="006F640E" w:rsidP="00D733EB">
            <w:pPr>
              <w:pStyle w:val="naisc"/>
              <w:spacing w:before="0" w:after="0"/>
              <w:jc w:val="both"/>
              <w:rPr>
                <w:bCs/>
                <w:sz w:val="22"/>
                <w:szCs w:val="22"/>
              </w:rPr>
            </w:pPr>
          </w:p>
          <w:p w14:paraId="119D7DE1" w14:textId="77777777" w:rsidR="006F640E" w:rsidRPr="00A443AE" w:rsidRDefault="006F640E" w:rsidP="00D733EB">
            <w:pPr>
              <w:pStyle w:val="naisc"/>
              <w:spacing w:before="0" w:after="0"/>
              <w:jc w:val="both"/>
              <w:rPr>
                <w:bCs/>
                <w:sz w:val="22"/>
                <w:szCs w:val="22"/>
              </w:rPr>
            </w:pPr>
          </w:p>
          <w:p w14:paraId="61F2DA0F" w14:textId="77777777" w:rsidR="006F640E" w:rsidRPr="00A443AE" w:rsidRDefault="006F640E" w:rsidP="00D733EB">
            <w:pPr>
              <w:pStyle w:val="naisc"/>
              <w:spacing w:before="0" w:after="0"/>
              <w:jc w:val="both"/>
              <w:rPr>
                <w:bCs/>
                <w:sz w:val="22"/>
                <w:szCs w:val="22"/>
              </w:rPr>
            </w:pPr>
          </w:p>
          <w:p w14:paraId="3CA44991" w14:textId="77777777" w:rsidR="006F640E" w:rsidRPr="00A443AE" w:rsidRDefault="006F640E" w:rsidP="00D733EB">
            <w:pPr>
              <w:pStyle w:val="naisc"/>
              <w:spacing w:before="0" w:after="0"/>
              <w:jc w:val="both"/>
              <w:rPr>
                <w:bCs/>
                <w:sz w:val="22"/>
                <w:szCs w:val="22"/>
              </w:rPr>
            </w:pPr>
          </w:p>
          <w:p w14:paraId="05A70A88" w14:textId="77777777" w:rsidR="006F640E" w:rsidRPr="00A443AE" w:rsidRDefault="006F640E" w:rsidP="00D733EB">
            <w:pPr>
              <w:pStyle w:val="naisc"/>
              <w:spacing w:before="0" w:after="0"/>
              <w:jc w:val="both"/>
              <w:rPr>
                <w:bCs/>
                <w:sz w:val="22"/>
                <w:szCs w:val="22"/>
              </w:rPr>
            </w:pPr>
          </w:p>
          <w:p w14:paraId="744BC87D" w14:textId="77777777" w:rsidR="006F640E" w:rsidRPr="00A443AE" w:rsidRDefault="006F640E" w:rsidP="00D733EB">
            <w:pPr>
              <w:pStyle w:val="naisc"/>
              <w:spacing w:before="0" w:after="0"/>
              <w:jc w:val="both"/>
              <w:rPr>
                <w:bCs/>
                <w:sz w:val="22"/>
                <w:szCs w:val="22"/>
              </w:rPr>
            </w:pPr>
          </w:p>
          <w:p w14:paraId="1A574F62" w14:textId="77777777" w:rsidR="006F640E" w:rsidRPr="00A443AE" w:rsidRDefault="006F640E" w:rsidP="00D733EB">
            <w:pPr>
              <w:pStyle w:val="naisc"/>
              <w:spacing w:before="0" w:after="0"/>
              <w:jc w:val="both"/>
              <w:rPr>
                <w:bCs/>
                <w:sz w:val="22"/>
                <w:szCs w:val="22"/>
              </w:rPr>
            </w:pPr>
          </w:p>
          <w:p w14:paraId="228D32B4" w14:textId="77777777" w:rsidR="006F640E" w:rsidRPr="00A443AE" w:rsidRDefault="006F640E" w:rsidP="00D733EB">
            <w:pPr>
              <w:pStyle w:val="naisc"/>
              <w:spacing w:before="0" w:after="0"/>
              <w:jc w:val="both"/>
              <w:rPr>
                <w:bCs/>
                <w:sz w:val="22"/>
                <w:szCs w:val="22"/>
              </w:rPr>
            </w:pPr>
          </w:p>
          <w:p w14:paraId="1DDEDD8A" w14:textId="77777777" w:rsidR="006F640E" w:rsidRPr="00A443AE" w:rsidRDefault="006F640E" w:rsidP="00D733EB">
            <w:pPr>
              <w:pStyle w:val="naisc"/>
              <w:spacing w:before="0" w:after="0"/>
              <w:jc w:val="both"/>
              <w:rPr>
                <w:bCs/>
                <w:sz w:val="22"/>
                <w:szCs w:val="22"/>
              </w:rPr>
            </w:pPr>
          </w:p>
          <w:p w14:paraId="09E5A8D0" w14:textId="77777777" w:rsidR="006F640E" w:rsidRPr="00A443AE" w:rsidRDefault="006F640E" w:rsidP="00D733EB">
            <w:pPr>
              <w:pStyle w:val="naisc"/>
              <w:spacing w:before="0" w:after="0"/>
              <w:jc w:val="both"/>
              <w:rPr>
                <w:bCs/>
                <w:sz w:val="22"/>
                <w:szCs w:val="22"/>
              </w:rPr>
            </w:pPr>
          </w:p>
          <w:p w14:paraId="4A89F772" w14:textId="77777777" w:rsidR="006F640E" w:rsidRPr="00A443AE" w:rsidRDefault="006F640E" w:rsidP="00D733EB">
            <w:pPr>
              <w:pStyle w:val="naisc"/>
              <w:spacing w:before="0" w:after="0"/>
              <w:jc w:val="both"/>
              <w:rPr>
                <w:bCs/>
                <w:sz w:val="22"/>
                <w:szCs w:val="22"/>
              </w:rPr>
            </w:pPr>
          </w:p>
          <w:p w14:paraId="29E6BFFC" w14:textId="77777777" w:rsidR="006F640E" w:rsidRPr="00A443AE" w:rsidRDefault="006F640E" w:rsidP="00D733EB">
            <w:pPr>
              <w:pStyle w:val="naisc"/>
              <w:spacing w:before="0" w:after="0"/>
              <w:jc w:val="both"/>
              <w:rPr>
                <w:bCs/>
                <w:sz w:val="22"/>
                <w:szCs w:val="22"/>
              </w:rPr>
            </w:pPr>
            <w:r w:rsidRPr="00A443AE">
              <w:rPr>
                <w:bCs/>
                <w:sz w:val="22"/>
                <w:szCs w:val="22"/>
              </w:rPr>
              <w:t xml:space="preserve">3.7.Noteikumu projekts iesniegts EK un notiek tā izvērtēšana. </w:t>
            </w:r>
          </w:p>
          <w:p w14:paraId="145FEBC9" w14:textId="77777777" w:rsidR="006F640E" w:rsidRPr="00A443AE" w:rsidRDefault="006F640E" w:rsidP="00D733EB">
            <w:pPr>
              <w:pStyle w:val="naisc"/>
              <w:spacing w:before="0" w:after="0"/>
              <w:jc w:val="both"/>
              <w:rPr>
                <w:bCs/>
                <w:sz w:val="22"/>
                <w:szCs w:val="22"/>
              </w:rPr>
            </w:pPr>
          </w:p>
          <w:p w14:paraId="3EE52B34" w14:textId="77777777" w:rsidR="006F640E" w:rsidRPr="00A443AE" w:rsidRDefault="006F640E" w:rsidP="00D733EB">
            <w:pPr>
              <w:pStyle w:val="naisc"/>
              <w:spacing w:before="0" w:after="0"/>
              <w:jc w:val="both"/>
              <w:rPr>
                <w:bCs/>
                <w:sz w:val="22"/>
                <w:szCs w:val="22"/>
              </w:rPr>
            </w:pPr>
          </w:p>
        </w:tc>
        <w:tc>
          <w:tcPr>
            <w:tcW w:w="3402" w:type="dxa"/>
            <w:tcBorders>
              <w:top w:val="single" w:sz="4" w:space="0" w:color="auto"/>
              <w:left w:val="single" w:sz="4" w:space="0" w:color="auto"/>
              <w:bottom w:val="single" w:sz="4" w:space="0" w:color="auto"/>
            </w:tcBorders>
          </w:tcPr>
          <w:p w14:paraId="78B731AB" w14:textId="77777777" w:rsidR="006F640E" w:rsidRPr="00A443AE" w:rsidRDefault="006F640E" w:rsidP="00D733EB">
            <w:pPr>
              <w:jc w:val="both"/>
              <w:rPr>
                <w:color w:val="414142"/>
                <w:sz w:val="22"/>
                <w:szCs w:val="22"/>
                <w:shd w:val="clear" w:color="auto" w:fill="FFFFFF"/>
              </w:rPr>
            </w:pPr>
          </w:p>
          <w:p w14:paraId="26F96DC6" w14:textId="77777777" w:rsidR="006F640E" w:rsidRPr="00A443AE" w:rsidRDefault="006F640E" w:rsidP="00D733EB">
            <w:pPr>
              <w:jc w:val="both"/>
              <w:rPr>
                <w:color w:val="414142"/>
                <w:sz w:val="22"/>
                <w:szCs w:val="22"/>
                <w:shd w:val="clear" w:color="auto" w:fill="FFFFFF"/>
              </w:rPr>
            </w:pPr>
          </w:p>
          <w:p w14:paraId="49F51A1F" w14:textId="77777777" w:rsidR="006F640E" w:rsidRPr="00A443AE" w:rsidRDefault="006F640E" w:rsidP="00D733EB">
            <w:pPr>
              <w:jc w:val="both"/>
              <w:rPr>
                <w:color w:val="414142"/>
                <w:sz w:val="22"/>
                <w:szCs w:val="22"/>
                <w:shd w:val="clear" w:color="auto" w:fill="FFFFFF"/>
              </w:rPr>
            </w:pPr>
          </w:p>
          <w:p w14:paraId="5AF80541" w14:textId="77777777" w:rsidR="006F640E" w:rsidRPr="00A443AE" w:rsidRDefault="006F640E" w:rsidP="00D733EB">
            <w:pPr>
              <w:jc w:val="both"/>
              <w:rPr>
                <w:color w:val="414142"/>
                <w:sz w:val="22"/>
                <w:szCs w:val="22"/>
                <w:shd w:val="clear" w:color="auto" w:fill="FFFFFF"/>
              </w:rPr>
            </w:pPr>
          </w:p>
          <w:p w14:paraId="77EE8153" w14:textId="77777777" w:rsidR="006F640E" w:rsidRPr="00A443AE" w:rsidRDefault="006F640E" w:rsidP="00D733EB">
            <w:pPr>
              <w:jc w:val="both"/>
              <w:rPr>
                <w:color w:val="414142"/>
                <w:sz w:val="22"/>
                <w:szCs w:val="22"/>
                <w:shd w:val="clear" w:color="auto" w:fill="FFFFFF"/>
              </w:rPr>
            </w:pPr>
          </w:p>
          <w:p w14:paraId="13E450E1" w14:textId="77777777" w:rsidR="006F640E" w:rsidRPr="00A443AE" w:rsidRDefault="006F640E" w:rsidP="00D733EB">
            <w:pPr>
              <w:jc w:val="both"/>
              <w:rPr>
                <w:color w:val="414142"/>
                <w:sz w:val="22"/>
                <w:szCs w:val="22"/>
                <w:shd w:val="clear" w:color="auto" w:fill="FFFFFF"/>
              </w:rPr>
            </w:pPr>
          </w:p>
          <w:p w14:paraId="38FF87CD" w14:textId="77777777" w:rsidR="006F640E" w:rsidRPr="00A443AE" w:rsidRDefault="006F640E" w:rsidP="00D733EB">
            <w:pPr>
              <w:jc w:val="both"/>
              <w:rPr>
                <w:color w:val="414142"/>
                <w:sz w:val="22"/>
                <w:szCs w:val="22"/>
                <w:shd w:val="clear" w:color="auto" w:fill="FFFFFF"/>
              </w:rPr>
            </w:pPr>
          </w:p>
          <w:p w14:paraId="3E09A8ED" w14:textId="77777777" w:rsidR="006F640E" w:rsidRPr="00A443AE" w:rsidRDefault="006F640E" w:rsidP="00D733EB">
            <w:pPr>
              <w:jc w:val="both"/>
              <w:rPr>
                <w:color w:val="414142"/>
                <w:sz w:val="22"/>
                <w:szCs w:val="22"/>
                <w:shd w:val="clear" w:color="auto" w:fill="FFFFFF"/>
              </w:rPr>
            </w:pPr>
          </w:p>
          <w:p w14:paraId="13A263B1" w14:textId="77777777" w:rsidR="006F640E" w:rsidRPr="00A443AE" w:rsidRDefault="006F640E" w:rsidP="00D733EB">
            <w:pPr>
              <w:jc w:val="both"/>
              <w:rPr>
                <w:color w:val="414142"/>
                <w:sz w:val="22"/>
                <w:szCs w:val="22"/>
                <w:shd w:val="clear" w:color="auto" w:fill="FFFFFF"/>
              </w:rPr>
            </w:pPr>
          </w:p>
          <w:p w14:paraId="57D73DBD" w14:textId="77777777" w:rsidR="006F640E" w:rsidRPr="00A443AE" w:rsidRDefault="006F640E" w:rsidP="00D733EB">
            <w:pPr>
              <w:jc w:val="both"/>
              <w:rPr>
                <w:color w:val="414142"/>
                <w:sz w:val="22"/>
                <w:szCs w:val="22"/>
                <w:shd w:val="clear" w:color="auto" w:fill="FFFFFF"/>
              </w:rPr>
            </w:pPr>
          </w:p>
          <w:p w14:paraId="77685D97" w14:textId="77777777" w:rsidR="006F640E" w:rsidRPr="00A443AE" w:rsidRDefault="006F640E" w:rsidP="00D733EB">
            <w:pPr>
              <w:jc w:val="both"/>
              <w:rPr>
                <w:color w:val="414142"/>
                <w:sz w:val="22"/>
                <w:szCs w:val="22"/>
                <w:shd w:val="clear" w:color="auto" w:fill="FFFFFF"/>
              </w:rPr>
            </w:pPr>
          </w:p>
          <w:p w14:paraId="79DB5334" w14:textId="77777777" w:rsidR="006F640E" w:rsidRPr="00A443AE" w:rsidRDefault="006F640E" w:rsidP="00D733EB">
            <w:pPr>
              <w:jc w:val="both"/>
              <w:rPr>
                <w:color w:val="414142"/>
                <w:sz w:val="22"/>
                <w:szCs w:val="22"/>
                <w:shd w:val="clear" w:color="auto" w:fill="FFFFFF"/>
              </w:rPr>
            </w:pPr>
          </w:p>
          <w:p w14:paraId="6E13DAB6" w14:textId="77777777" w:rsidR="006F640E" w:rsidRPr="00A443AE" w:rsidRDefault="006F640E" w:rsidP="00D733EB">
            <w:pPr>
              <w:jc w:val="both"/>
              <w:rPr>
                <w:color w:val="414142"/>
                <w:sz w:val="22"/>
                <w:szCs w:val="22"/>
                <w:shd w:val="clear" w:color="auto" w:fill="FFFFFF"/>
              </w:rPr>
            </w:pPr>
          </w:p>
          <w:p w14:paraId="0ABA7CD2" w14:textId="77777777" w:rsidR="006F640E" w:rsidRPr="00A443AE" w:rsidRDefault="006F640E" w:rsidP="00D733EB">
            <w:pPr>
              <w:jc w:val="both"/>
              <w:rPr>
                <w:color w:val="414142"/>
                <w:sz w:val="22"/>
                <w:szCs w:val="22"/>
                <w:shd w:val="clear" w:color="auto" w:fill="FFFFFF"/>
              </w:rPr>
            </w:pPr>
          </w:p>
          <w:p w14:paraId="2F532BC7" w14:textId="77777777" w:rsidR="006F640E" w:rsidRPr="00A443AE" w:rsidRDefault="006F640E" w:rsidP="00D733EB">
            <w:pPr>
              <w:jc w:val="both"/>
              <w:rPr>
                <w:color w:val="414142"/>
                <w:sz w:val="22"/>
                <w:szCs w:val="22"/>
                <w:shd w:val="clear" w:color="auto" w:fill="FFFFFF"/>
              </w:rPr>
            </w:pPr>
          </w:p>
          <w:p w14:paraId="24C34092" w14:textId="77777777" w:rsidR="006F640E" w:rsidRPr="00A443AE" w:rsidRDefault="006F640E" w:rsidP="00D733EB">
            <w:pPr>
              <w:jc w:val="both"/>
              <w:rPr>
                <w:color w:val="414142"/>
                <w:sz w:val="22"/>
                <w:szCs w:val="22"/>
                <w:shd w:val="clear" w:color="auto" w:fill="FFFFFF"/>
              </w:rPr>
            </w:pPr>
          </w:p>
          <w:p w14:paraId="7190DB41" w14:textId="77777777" w:rsidR="006F640E" w:rsidRPr="00A443AE" w:rsidRDefault="006F640E" w:rsidP="00D733EB">
            <w:pPr>
              <w:jc w:val="both"/>
              <w:rPr>
                <w:color w:val="414142"/>
                <w:sz w:val="22"/>
                <w:szCs w:val="22"/>
                <w:shd w:val="clear" w:color="auto" w:fill="FFFFFF"/>
              </w:rPr>
            </w:pPr>
          </w:p>
          <w:p w14:paraId="5D3851FC" w14:textId="77777777" w:rsidR="006F640E" w:rsidRPr="00A443AE" w:rsidRDefault="006F640E" w:rsidP="00D733EB">
            <w:pPr>
              <w:jc w:val="both"/>
              <w:rPr>
                <w:color w:val="414142"/>
                <w:sz w:val="22"/>
                <w:szCs w:val="22"/>
                <w:shd w:val="clear" w:color="auto" w:fill="FFFFFF"/>
              </w:rPr>
            </w:pPr>
          </w:p>
          <w:p w14:paraId="54AE16AC" w14:textId="77777777" w:rsidR="006F640E" w:rsidRPr="00A443AE" w:rsidRDefault="006F640E" w:rsidP="00D733EB">
            <w:pPr>
              <w:jc w:val="both"/>
              <w:rPr>
                <w:color w:val="414142"/>
                <w:sz w:val="22"/>
                <w:szCs w:val="22"/>
                <w:shd w:val="clear" w:color="auto" w:fill="FFFFFF"/>
              </w:rPr>
            </w:pPr>
          </w:p>
          <w:p w14:paraId="35A8B46E" w14:textId="77777777" w:rsidR="006F640E" w:rsidRPr="00A443AE" w:rsidRDefault="006F640E" w:rsidP="00D733EB">
            <w:pPr>
              <w:jc w:val="both"/>
              <w:rPr>
                <w:color w:val="414142"/>
                <w:sz w:val="22"/>
                <w:szCs w:val="22"/>
                <w:shd w:val="clear" w:color="auto" w:fill="FFFFFF"/>
              </w:rPr>
            </w:pPr>
          </w:p>
          <w:p w14:paraId="241EA1AD" w14:textId="77777777" w:rsidR="006F640E" w:rsidRPr="00A443AE" w:rsidRDefault="006F640E" w:rsidP="00D733EB">
            <w:pPr>
              <w:jc w:val="both"/>
              <w:rPr>
                <w:color w:val="414142"/>
                <w:sz w:val="22"/>
                <w:szCs w:val="22"/>
                <w:shd w:val="clear" w:color="auto" w:fill="FFFFFF"/>
              </w:rPr>
            </w:pPr>
          </w:p>
          <w:p w14:paraId="462D28CA" w14:textId="77777777" w:rsidR="006F640E" w:rsidRPr="00A443AE" w:rsidRDefault="006F640E" w:rsidP="00D733EB">
            <w:pPr>
              <w:jc w:val="both"/>
              <w:rPr>
                <w:color w:val="414142"/>
                <w:sz w:val="22"/>
                <w:szCs w:val="22"/>
                <w:shd w:val="clear" w:color="auto" w:fill="FFFFFF"/>
              </w:rPr>
            </w:pPr>
          </w:p>
          <w:p w14:paraId="4D829709" w14:textId="77777777" w:rsidR="006F640E" w:rsidRPr="00A443AE" w:rsidRDefault="006F640E" w:rsidP="00D733EB">
            <w:pPr>
              <w:jc w:val="both"/>
              <w:rPr>
                <w:color w:val="414142"/>
                <w:sz w:val="22"/>
                <w:szCs w:val="22"/>
                <w:shd w:val="clear" w:color="auto" w:fill="FFFFFF"/>
              </w:rPr>
            </w:pPr>
          </w:p>
          <w:p w14:paraId="25E92351" w14:textId="77777777" w:rsidR="006F640E" w:rsidRPr="00A443AE" w:rsidRDefault="006F640E" w:rsidP="00D733EB">
            <w:pPr>
              <w:jc w:val="both"/>
              <w:rPr>
                <w:color w:val="414142"/>
                <w:sz w:val="22"/>
                <w:szCs w:val="22"/>
                <w:shd w:val="clear" w:color="auto" w:fill="FFFFFF"/>
              </w:rPr>
            </w:pPr>
            <w:r w:rsidRPr="00A443AE">
              <w:rPr>
                <w:color w:val="414142"/>
                <w:sz w:val="22"/>
                <w:szCs w:val="22"/>
                <w:shd w:val="clear" w:color="auto" w:fill="FFFFFF"/>
              </w:rPr>
              <w:t>3.1. Precizēts noteikuma projekta 18.punkts, to svītrojot.</w:t>
            </w:r>
          </w:p>
          <w:p w14:paraId="7BFC953E" w14:textId="77777777" w:rsidR="006F640E" w:rsidRPr="00A443AE" w:rsidRDefault="006F640E" w:rsidP="00D733EB">
            <w:pPr>
              <w:jc w:val="both"/>
              <w:rPr>
                <w:color w:val="414142"/>
                <w:sz w:val="22"/>
                <w:szCs w:val="22"/>
                <w:shd w:val="clear" w:color="auto" w:fill="FFFFFF"/>
              </w:rPr>
            </w:pPr>
          </w:p>
          <w:p w14:paraId="23F65BEB" w14:textId="77777777" w:rsidR="006F640E" w:rsidRPr="00A443AE" w:rsidRDefault="006F640E" w:rsidP="00D733EB">
            <w:pPr>
              <w:jc w:val="both"/>
              <w:rPr>
                <w:color w:val="414142"/>
                <w:sz w:val="22"/>
                <w:szCs w:val="22"/>
                <w:shd w:val="clear" w:color="auto" w:fill="FFFFFF"/>
              </w:rPr>
            </w:pPr>
          </w:p>
          <w:p w14:paraId="3D310B88" w14:textId="77777777" w:rsidR="006F640E" w:rsidRPr="00A443AE" w:rsidRDefault="006F640E" w:rsidP="00D733EB">
            <w:pPr>
              <w:jc w:val="both"/>
              <w:rPr>
                <w:color w:val="414142"/>
                <w:sz w:val="22"/>
                <w:szCs w:val="22"/>
                <w:shd w:val="clear" w:color="auto" w:fill="FFFFFF"/>
              </w:rPr>
            </w:pPr>
          </w:p>
          <w:p w14:paraId="1D942CFC" w14:textId="77777777" w:rsidR="006F640E" w:rsidRPr="00A443AE" w:rsidRDefault="006F640E" w:rsidP="00D733EB">
            <w:pPr>
              <w:jc w:val="both"/>
              <w:rPr>
                <w:color w:val="414142"/>
                <w:sz w:val="22"/>
                <w:szCs w:val="22"/>
                <w:shd w:val="clear" w:color="auto" w:fill="FFFFFF"/>
              </w:rPr>
            </w:pPr>
          </w:p>
          <w:p w14:paraId="588E8B73" w14:textId="77777777" w:rsidR="006F640E" w:rsidRPr="00A443AE" w:rsidRDefault="006F640E" w:rsidP="00D733EB">
            <w:pPr>
              <w:jc w:val="both"/>
              <w:rPr>
                <w:color w:val="414142"/>
                <w:sz w:val="22"/>
                <w:szCs w:val="22"/>
                <w:shd w:val="clear" w:color="auto" w:fill="FFFFFF"/>
              </w:rPr>
            </w:pPr>
          </w:p>
          <w:p w14:paraId="6F8894B0" w14:textId="77777777" w:rsidR="006F640E" w:rsidRPr="00A443AE" w:rsidRDefault="006F640E" w:rsidP="00D733EB">
            <w:pPr>
              <w:jc w:val="both"/>
              <w:rPr>
                <w:color w:val="414142"/>
                <w:sz w:val="22"/>
                <w:szCs w:val="22"/>
                <w:shd w:val="clear" w:color="auto" w:fill="FFFFFF"/>
              </w:rPr>
            </w:pPr>
          </w:p>
          <w:p w14:paraId="65BD22F0" w14:textId="77777777" w:rsidR="006F640E" w:rsidRPr="00A443AE" w:rsidRDefault="006F640E" w:rsidP="00D733EB">
            <w:pPr>
              <w:jc w:val="both"/>
              <w:rPr>
                <w:color w:val="414142"/>
                <w:sz w:val="22"/>
                <w:szCs w:val="22"/>
                <w:shd w:val="clear" w:color="auto" w:fill="FFFFFF"/>
              </w:rPr>
            </w:pPr>
          </w:p>
          <w:p w14:paraId="23F24CE5" w14:textId="77777777" w:rsidR="006F640E" w:rsidRPr="00A443AE" w:rsidRDefault="006F640E" w:rsidP="00D733EB">
            <w:pPr>
              <w:jc w:val="both"/>
              <w:rPr>
                <w:color w:val="414142"/>
                <w:sz w:val="22"/>
                <w:szCs w:val="22"/>
                <w:shd w:val="clear" w:color="auto" w:fill="FFFFFF"/>
              </w:rPr>
            </w:pPr>
          </w:p>
          <w:p w14:paraId="217CC2C3" w14:textId="77777777" w:rsidR="006F640E" w:rsidRPr="00A443AE" w:rsidRDefault="006F640E" w:rsidP="00D733EB">
            <w:pPr>
              <w:jc w:val="both"/>
              <w:rPr>
                <w:color w:val="414142"/>
                <w:sz w:val="22"/>
                <w:szCs w:val="22"/>
                <w:shd w:val="clear" w:color="auto" w:fill="FFFFFF"/>
              </w:rPr>
            </w:pPr>
          </w:p>
          <w:p w14:paraId="4A4876F3" w14:textId="77777777" w:rsidR="006F640E" w:rsidRPr="00A443AE" w:rsidRDefault="006F640E" w:rsidP="00D733EB">
            <w:pPr>
              <w:jc w:val="both"/>
              <w:rPr>
                <w:color w:val="414142"/>
                <w:sz w:val="22"/>
                <w:szCs w:val="22"/>
                <w:shd w:val="clear" w:color="auto" w:fill="FFFFFF"/>
              </w:rPr>
            </w:pPr>
          </w:p>
          <w:p w14:paraId="59082663" w14:textId="77777777" w:rsidR="006F640E" w:rsidRPr="00A443AE" w:rsidRDefault="006F640E" w:rsidP="00D733EB">
            <w:pPr>
              <w:jc w:val="both"/>
              <w:rPr>
                <w:color w:val="414142"/>
                <w:sz w:val="22"/>
                <w:szCs w:val="22"/>
                <w:shd w:val="clear" w:color="auto" w:fill="FFFFFF"/>
              </w:rPr>
            </w:pPr>
          </w:p>
          <w:p w14:paraId="28B58333" w14:textId="77777777" w:rsidR="006F640E" w:rsidRPr="00A443AE" w:rsidRDefault="006F640E" w:rsidP="00D733EB">
            <w:pPr>
              <w:jc w:val="both"/>
              <w:rPr>
                <w:color w:val="414142"/>
                <w:sz w:val="22"/>
                <w:szCs w:val="22"/>
                <w:shd w:val="clear" w:color="auto" w:fill="FFFFFF"/>
              </w:rPr>
            </w:pPr>
          </w:p>
          <w:p w14:paraId="56771032" w14:textId="77777777" w:rsidR="006F640E" w:rsidRPr="00A443AE" w:rsidRDefault="006F640E" w:rsidP="00D733EB">
            <w:pPr>
              <w:jc w:val="both"/>
              <w:rPr>
                <w:color w:val="414142"/>
                <w:sz w:val="22"/>
                <w:szCs w:val="22"/>
                <w:shd w:val="clear" w:color="auto" w:fill="FFFFFF"/>
              </w:rPr>
            </w:pPr>
          </w:p>
          <w:p w14:paraId="30B531BF" w14:textId="77777777" w:rsidR="006F640E" w:rsidRPr="00A443AE" w:rsidRDefault="006F640E" w:rsidP="00D733EB">
            <w:pPr>
              <w:jc w:val="both"/>
              <w:rPr>
                <w:color w:val="414142"/>
                <w:sz w:val="22"/>
                <w:szCs w:val="22"/>
                <w:shd w:val="clear" w:color="auto" w:fill="FFFFFF"/>
              </w:rPr>
            </w:pPr>
          </w:p>
          <w:p w14:paraId="32422F39" w14:textId="77777777" w:rsidR="006F640E" w:rsidRPr="00A443AE" w:rsidRDefault="006F640E" w:rsidP="00D733EB">
            <w:pPr>
              <w:jc w:val="both"/>
              <w:rPr>
                <w:color w:val="414142"/>
                <w:sz w:val="22"/>
                <w:szCs w:val="22"/>
                <w:shd w:val="clear" w:color="auto" w:fill="FFFFFF"/>
              </w:rPr>
            </w:pPr>
          </w:p>
          <w:p w14:paraId="301A7872" w14:textId="77777777" w:rsidR="006F640E" w:rsidRPr="00A443AE" w:rsidRDefault="006F640E" w:rsidP="00D733EB">
            <w:pPr>
              <w:jc w:val="both"/>
              <w:rPr>
                <w:color w:val="414142"/>
                <w:sz w:val="22"/>
                <w:szCs w:val="22"/>
                <w:shd w:val="clear" w:color="auto" w:fill="FFFFFF"/>
              </w:rPr>
            </w:pPr>
          </w:p>
          <w:p w14:paraId="028B85FC" w14:textId="77777777" w:rsidR="006F640E" w:rsidRPr="00A443AE" w:rsidRDefault="006F640E" w:rsidP="00D733EB">
            <w:pPr>
              <w:jc w:val="both"/>
              <w:rPr>
                <w:color w:val="414142"/>
                <w:sz w:val="22"/>
                <w:szCs w:val="22"/>
                <w:shd w:val="clear" w:color="auto" w:fill="FFFFFF"/>
              </w:rPr>
            </w:pPr>
          </w:p>
          <w:p w14:paraId="3D9FBC7C" w14:textId="77777777" w:rsidR="006F640E" w:rsidRPr="00A443AE" w:rsidRDefault="006F640E" w:rsidP="00D733EB">
            <w:pPr>
              <w:jc w:val="both"/>
              <w:rPr>
                <w:color w:val="414142"/>
                <w:sz w:val="22"/>
                <w:szCs w:val="22"/>
                <w:shd w:val="clear" w:color="auto" w:fill="FFFFFF"/>
              </w:rPr>
            </w:pPr>
          </w:p>
          <w:p w14:paraId="340EB3C5" w14:textId="77777777" w:rsidR="006F640E" w:rsidRPr="00A443AE" w:rsidRDefault="006F640E" w:rsidP="00D733EB">
            <w:pPr>
              <w:jc w:val="both"/>
              <w:rPr>
                <w:color w:val="414142"/>
                <w:sz w:val="22"/>
                <w:szCs w:val="22"/>
                <w:shd w:val="clear" w:color="auto" w:fill="FFFFFF"/>
              </w:rPr>
            </w:pPr>
          </w:p>
          <w:p w14:paraId="33136B6D" w14:textId="77777777" w:rsidR="006F640E" w:rsidRPr="00A443AE" w:rsidRDefault="006F640E" w:rsidP="00D733EB">
            <w:pPr>
              <w:jc w:val="both"/>
              <w:rPr>
                <w:color w:val="414142"/>
                <w:sz w:val="22"/>
                <w:szCs w:val="22"/>
                <w:shd w:val="clear" w:color="auto" w:fill="FFFFFF"/>
              </w:rPr>
            </w:pPr>
          </w:p>
          <w:p w14:paraId="0B0D0CCB" w14:textId="77777777" w:rsidR="006F640E" w:rsidRPr="00A443AE" w:rsidRDefault="006F640E" w:rsidP="00D733EB">
            <w:pPr>
              <w:jc w:val="both"/>
              <w:rPr>
                <w:color w:val="414142"/>
                <w:sz w:val="22"/>
                <w:szCs w:val="22"/>
                <w:shd w:val="clear" w:color="auto" w:fill="FFFFFF"/>
              </w:rPr>
            </w:pPr>
          </w:p>
          <w:p w14:paraId="0EB07335" w14:textId="77777777" w:rsidR="006F640E" w:rsidRPr="00A443AE" w:rsidRDefault="006F640E" w:rsidP="00D733EB">
            <w:pPr>
              <w:jc w:val="both"/>
              <w:rPr>
                <w:color w:val="414142"/>
                <w:sz w:val="22"/>
                <w:szCs w:val="22"/>
                <w:shd w:val="clear" w:color="auto" w:fill="FFFFFF"/>
              </w:rPr>
            </w:pPr>
          </w:p>
          <w:p w14:paraId="22407938" w14:textId="77777777" w:rsidR="006F640E" w:rsidRPr="00A443AE" w:rsidRDefault="006F640E" w:rsidP="00D733EB">
            <w:pPr>
              <w:jc w:val="both"/>
              <w:rPr>
                <w:color w:val="414142"/>
                <w:sz w:val="22"/>
                <w:szCs w:val="22"/>
                <w:shd w:val="clear" w:color="auto" w:fill="FFFFFF"/>
              </w:rPr>
            </w:pPr>
          </w:p>
          <w:p w14:paraId="1E771F54" w14:textId="77777777" w:rsidR="006F640E" w:rsidRPr="00A443AE" w:rsidRDefault="006F640E" w:rsidP="00D733EB">
            <w:pPr>
              <w:jc w:val="both"/>
              <w:rPr>
                <w:color w:val="414142"/>
                <w:sz w:val="22"/>
                <w:szCs w:val="22"/>
                <w:shd w:val="clear" w:color="auto" w:fill="FFFFFF"/>
              </w:rPr>
            </w:pPr>
          </w:p>
          <w:p w14:paraId="5AF9A604" w14:textId="77777777" w:rsidR="006F640E" w:rsidRPr="00A443AE" w:rsidRDefault="006F640E" w:rsidP="00D733EB">
            <w:pPr>
              <w:jc w:val="both"/>
              <w:rPr>
                <w:color w:val="414142"/>
                <w:sz w:val="22"/>
                <w:szCs w:val="22"/>
                <w:shd w:val="clear" w:color="auto" w:fill="FFFFFF"/>
              </w:rPr>
            </w:pPr>
          </w:p>
          <w:p w14:paraId="3662D2C0" w14:textId="77777777" w:rsidR="006F640E" w:rsidRPr="00A443AE" w:rsidRDefault="006F640E" w:rsidP="00D733EB">
            <w:pPr>
              <w:jc w:val="both"/>
              <w:rPr>
                <w:color w:val="414142"/>
                <w:sz w:val="22"/>
                <w:szCs w:val="22"/>
                <w:shd w:val="clear" w:color="auto" w:fill="FFFFFF"/>
              </w:rPr>
            </w:pPr>
          </w:p>
          <w:p w14:paraId="083BEDCA" w14:textId="77777777" w:rsidR="006F640E" w:rsidRPr="00A443AE" w:rsidRDefault="006F640E" w:rsidP="00D733EB">
            <w:pPr>
              <w:jc w:val="both"/>
              <w:rPr>
                <w:color w:val="414142"/>
                <w:sz w:val="22"/>
                <w:szCs w:val="22"/>
                <w:shd w:val="clear" w:color="auto" w:fill="FFFFFF"/>
              </w:rPr>
            </w:pPr>
          </w:p>
          <w:p w14:paraId="7E1E1048" w14:textId="77777777" w:rsidR="006F640E" w:rsidRPr="00A443AE" w:rsidRDefault="006F640E" w:rsidP="00D733EB">
            <w:pPr>
              <w:jc w:val="both"/>
              <w:rPr>
                <w:color w:val="414142"/>
                <w:sz w:val="22"/>
                <w:szCs w:val="22"/>
                <w:shd w:val="clear" w:color="auto" w:fill="FFFFFF"/>
              </w:rPr>
            </w:pPr>
          </w:p>
          <w:p w14:paraId="6263994F" w14:textId="77777777" w:rsidR="006F640E" w:rsidRPr="00A443AE" w:rsidRDefault="006F640E" w:rsidP="00D733EB">
            <w:pPr>
              <w:jc w:val="both"/>
              <w:rPr>
                <w:b/>
                <w:bCs/>
                <w:color w:val="414142"/>
                <w:sz w:val="22"/>
                <w:szCs w:val="22"/>
                <w:shd w:val="clear" w:color="auto" w:fill="FFFFFF"/>
              </w:rPr>
            </w:pPr>
          </w:p>
          <w:p w14:paraId="21FD4EFB" w14:textId="77777777" w:rsidR="006F640E" w:rsidRPr="00A443AE" w:rsidRDefault="006F640E" w:rsidP="00D733EB">
            <w:pPr>
              <w:jc w:val="both"/>
              <w:rPr>
                <w:b/>
                <w:bCs/>
                <w:color w:val="414142"/>
                <w:sz w:val="22"/>
                <w:szCs w:val="22"/>
                <w:shd w:val="clear" w:color="auto" w:fill="FFFFFF"/>
              </w:rPr>
            </w:pPr>
            <w:r w:rsidRPr="00A443AE">
              <w:rPr>
                <w:b/>
                <w:bCs/>
                <w:color w:val="414142"/>
                <w:sz w:val="22"/>
                <w:szCs w:val="22"/>
                <w:shd w:val="clear" w:color="auto" w:fill="FFFFFF"/>
              </w:rPr>
              <w:t>3.3. Precizēts Noteikumu projekta 9.punkts.</w:t>
            </w:r>
          </w:p>
          <w:p w14:paraId="0DCBC083" w14:textId="77777777" w:rsidR="006F640E" w:rsidRPr="00A443AE" w:rsidRDefault="006F640E" w:rsidP="00D733EB">
            <w:pPr>
              <w:jc w:val="both"/>
              <w:rPr>
                <w:color w:val="414142"/>
                <w:sz w:val="22"/>
                <w:szCs w:val="22"/>
                <w:shd w:val="clear" w:color="auto" w:fill="FFFFFF"/>
              </w:rPr>
            </w:pPr>
          </w:p>
          <w:p w14:paraId="5CA52673" w14:textId="77777777" w:rsidR="006F640E" w:rsidRPr="00A443AE" w:rsidRDefault="006F640E" w:rsidP="00D733EB">
            <w:pPr>
              <w:jc w:val="both"/>
              <w:rPr>
                <w:color w:val="414142"/>
                <w:sz w:val="22"/>
                <w:szCs w:val="22"/>
                <w:shd w:val="clear" w:color="auto" w:fill="FFFFFF"/>
              </w:rPr>
            </w:pPr>
          </w:p>
          <w:p w14:paraId="46C0E0D8" w14:textId="77777777" w:rsidR="006F640E" w:rsidRPr="00A443AE" w:rsidRDefault="006F640E" w:rsidP="00D733EB">
            <w:pPr>
              <w:jc w:val="both"/>
              <w:rPr>
                <w:color w:val="414142"/>
                <w:sz w:val="22"/>
                <w:szCs w:val="22"/>
                <w:shd w:val="clear" w:color="auto" w:fill="FFFFFF"/>
              </w:rPr>
            </w:pPr>
          </w:p>
          <w:p w14:paraId="707E9ADA" w14:textId="77777777" w:rsidR="006F640E" w:rsidRPr="00A443AE" w:rsidRDefault="006F640E" w:rsidP="00D733EB">
            <w:pPr>
              <w:jc w:val="both"/>
              <w:rPr>
                <w:color w:val="414142"/>
                <w:sz w:val="22"/>
                <w:szCs w:val="22"/>
                <w:shd w:val="clear" w:color="auto" w:fill="FFFFFF"/>
              </w:rPr>
            </w:pPr>
          </w:p>
          <w:p w14:paraId="44079BF9" w14:textId="77777777" w:rsidR="006F640E" w:rsidRPr="00A443AE" w:rsidRDefault="006F640E" w:rsidP="00D733EB">
            <w:pPr>
              <w:jc w:val="both"/>
              <w:rPr>
                <w:color w:val="414142"/>
                <w:sz w:val="22"/>
                <w:szCs w:val="22"/>
                <w:shd w:val="clear" w:color="auto" w:fill="FFFFFF"/>
              </w:rPr>
            </w:pPr>
          </w:p>
          <w:p w14:paraId="72F7862E" w14:textId="77777777" w:rsidR="006F640E" w:rsidRPr="00A443AE" w:rsidRDefault="006F640E" w:rsidP="00D733EB">
            <w:pPr>
              <w:jc w:val="both"/>
              <w:rPr>
                <w:color w:val="414142"/>
                <w:sz w:val="22"/>
                <w:szCs w:val="22"/>
                <w:shd w:val="clear" w:color="auto" w:fill="FFFFFF"/>
              </w:rPr>
            </w:pPr>
          </w:p>
          <w:p w14:paraId="1CE3940A" w14:textId="77777777" w:rsidR="006F640E" w:rsidRPr="00A443AE" w:rsidRDefault="006F640E" w:rsidP="00D733EB">
            <w:pPr>
              <w:jc w:val="both"/>
              <w:rPr>
                <w:color w:val="414142"/>
                <w:sz w:val="22"/>
                <w:szCs w:val="22"/>
                <w:shd w:val="clear" w:color="auto" w:fill="FFFFFF"/>
              </w:rPr>
            </w:pPr>
          </w:p>
          <w:p w14:paraId="61B30AE3" w14:textId="77777777" w:rsidR="006F640E" w:rsidRPr="00A443AE" w:rsidRDefault="006F640E" w:rsidP="00D733EB">
            <w:pPr>
              <w:jc w:val="both"/>
              <w:rPr>
                <w:color w:val="414142"/>
                <w:sz w:val="22"/>
                <w:szCs w:val="22"/>
                <w:shd w:val="clear" w:color="auto" w:fill="FFFFFF"/>
              </w:rPr>
            </w:pPr>
          </w:p>
          <w:p w14:paraId="2CB59CB4" w14:textId="77777777" w:rsidR="006F640E" w:rsidRPr="00A443AE" w:rsidRDefault="006F640E" w:rsidP="00D733EB">
            <w:pPr>
              <w:jc w:val="both"/>
              <w:rPr>
                <w:color w:val="414142"/>
                <w:sz w:val="22"/>
                <w:szCs w:val="22"/>
                <w:shd w:val="clear" w:color="auto" w:fill="FFFFFF"/>
              </w:rPr>
            </w:pPr>
          </w:p>
          <w:p w14:paraId="4E4970FE" w14:textId="77777777" w:rsidR="006F640E" w:rsidRPr="00A443AE" w:rsidRDefault="006F640E" w:rsidP="00D733EB">
            <w:pPr>
              <w:jc w:val="both"/>
              <w:rPr>
                <w:color w:val="414142"/>
                <w:sz w:val="22"/>
                <w:szCs w:val="22"/>
                <w:shd w:val="clear" w:color="auto" w:fill="FFFFFF"/>
              </w:rPr>
            </w:pPr>
          </w:p>
          <w:p w14:paraId="7280A4AD" w14:textId="77777777" w:rsidR="006F640E" w:rsidRPr="00A443AE" w:rsidRDefault="006F640E" w:rsidP="00D733EB">
            <w:pPr>
              <w:jc w:val="both"/>
              <w:rPr>
                <w:color w:val="414142"/>
                <w:sz w:val="22"/>
                <w:szCs w:val="22"/>
                <w:shd w:val="clear" w:color="auto" w:fill="FFFFFF"/>
              </w:rPr>
            </w:pPr>
          </w:p>
          <w:p w14:paraId="4C3A69F9" w14:textId="77777777" w:rsidR="006F640E" w:rsidRPr="00A443AE" w:rsidRDefault="006F640E" w:rsidP="00D733EB">
            <w:pPr>
              <w:jc w:val="both"/>
              <w:rPr>
                <w:color w:val="414142"/>
                <w:sz w:val="22"/>
                <w:szCs w:val="22"/>
                <w:shd w:val="clear" w:color="auto" w:fill="FFFFFF"/>
              </w:rPr>
            </w:pPr>
          </w:p>
          <w:p w14:paraId="7800494C" w14:textId="77777777" w:rsidR="006F640E" w:rsidRPr="00A443AE" w:rsidRDefault="006F640E" w:rsidP="00D733EB">
            <w:pPr>
              <w:jc w:val="both"/>
              <w:rPr>
                <w:color w:val="414142"/>
                <w:sz w:val="22"/>
                <w:szCs w:val="22"/>
                <w:shd w:val="clear" w:color="auto" w:fill="FFFFFF"/>
              </w:rPr>
            </w:pPr>
          </w:p>
          <w:p w14:paraId="3E08F2A1" w14:textId="77777777" w:rsidR="006F640E" w:rsidRPr="00A443AE" w:rsidRDefault="006F640E" w:rsidP="00D733EB">
            <w:pPr>
              <w:jc w:val="both"/>
              <w:rPr>
                <w:color w:val="414142"/>
                <w:sz w:val="22"/>
                <w:szCs w:val="22"/>
                <w:shd w:val="clear" w:color="auto" w:fill="FFFFFF"/>
              </w:rPr>
            </w:pPr>
          </w:p>
          <w:p w14:paraId="7850D470" w14:textId="77777777" w:rsidR="006F640E" w:rsidRPr="00A443AE" w:rsidRDefault="006F640E" w:rsidP="00D733EB">
            <w:pPr>
              <w:jc w:val="both"/>
              <w:rPr>
                <w:color w:val="414142"/>
                <w:sz w:val="22"/>
                <w:szCs w:val="22"/>
                <w:shd w:val="clear" w:color="auto" w:fill="FFFFFF"/>
              </w:rPr>
            </w:pPr>
          </w:p>
          <w:p w14:paraId="4FF2D79B" w14:textId="77777777" w:rsidR="006F640E" w:rsidRPr="00A443AE" w:rsidRDefault="006F640E" w:rsidP="00D733EB">
            <w:pPr>
              <w:jc w:val="both"/>
              <w:rPr>
                <w:color w:val="414142"/>
                <w:sz w:val="22"/>
                <w:szCs w:val="22"/>
                <w:shd w:val="clear" w:color="auto" w:fill="FFFFFF"/>
              </w:rPr>
            </w:pPr>
          </w:p>
          <w:p w14:paraId="32462628" w14:textId="77777777" w:rsidR="006F640E" w:rsidRPr="00A443AE" w:rsidRDefault="006F640E" w:rsidP="00D733EB">
            <w:pPr>
              <w:jc w:val="both"/>
              <w:rPr>
                <w:color w:val="414142"/>
                <w:sz w:val="22"/>
                <w:szCs w:val="22"/>
                <w:shd w:val="clear" w:color="auto" w:fill="FFFFFF"/>
              </w:rPr>
            </w:pPr>
          </w:p>
          <w:p w14:paraId="4832A5FF" w14:textId="77777777" w:rsidR="006F640E" w:rsidRPr="00A443AE" w:rsidRDefault="006F640E" w:rsidP="00D733EB">
            <w:pPr>
              <w:jc w:val="both"/>
              <w:rPr>
                <w:color w:val="414142"/>
                <w:sz w:val="22"/>
                <w:szCs w:val="22"/>
                <w:shd w:val="clear" w:color="auto" w:fill="FFFFFF"/>
              </w:rPr>
            </w:pPr>
          </w:p>
          <w:p w14:paraId="5A16FCD4" w14:textId="77777777" w:rsidR="006F640E" w:rsidRPr="00A443AE" w:rsidRDefault="006F640E" w:rsidP="00D733EB">
            <w:pPr>
              <w:jc w:val="both"/>
              <w:rPr>
                <w:color w:val="414142"/>
                <w:sz w:val="22"/>
                <w:szCs w:val="22"/>
                <w:shd w:val="clear" w:color="auto" w:fill="FFFFFF"/>
              </w:rPr>
            </w:pPr>
          </w:p>
          <w:p w14:paraId="3EEE3F03" w14:textId="77777777" w:rsidR="006F640E" w:rsidRPr="00A443AE" w:rsidRDefault="006F640E" w:rsidP="00D733EB">
            <w:pPr>
              <w:jc w:val="both"/>
              <w:rPr>
                <w:color w:val="414142"/>
                <w:sz w:val="22"/>
                <w:szCs w:val="22"/>
                <w:shd w:val="clear" w:color="auto" w:fill="FFFFFF"/>
              </w:rPr>
            </w:pPr>
          </w:p>
          <w:p w14:paraId="54F42271" w14:textId="77777777" w:rsidR="006F640E" w:rsidRPr="00A443AE" w:rsidRDefault="006F640E" w:rsidP="00D733EB">
            <w:pPr>
              <w:jc w:val="both"/>
              <w:rPr>
                <w:color w:val="414142"/>
                <w:sz w:val="22"/>
                <w:szCs w:val="22"/>
                <w:shd w:val="clear" w:color="auto" w:fill="FFFFFF"/>
              </w:rPr>
            </w:pPr>
          </w:p>
          <w:p w14:paraId="34DA266A" w14:textId="77777777" w:rsidR="006F640E" w:rsidRPr="00A443AE" w:rsidRDefault="006F640E" w:rsidP="00D733EB">
            <w:pPr>
              <w:jc w:val="both"/>
              <w:rPr>
                <w:color w:val="414142"/>
                <w:sz w:val="22"/>
                <w:szCs w:val="22"/>
                <w:shd w:val="clear" w:color="auto" w:fill="FFFFFF"/>
              </w:rPr>
            </w:pPr>
          </w:p>
          <w:p w14:paraId="3000706C" w14:textId="77777777" w:rsidR="006F640E" w:rsidRPr="00A443AE" w:rsidRDefault="006F640E" w:rsidP="00D733EB">
            <w:pPr>
              <w:jc w:val="both"/>
              <w:rPr>
                <w:color w:val="414142"/>
                <w:sz w:val="22"/>
                <w:szCs w:val="22"/>
                <w:shd w:val="clear" w:color="auto" w:fill="FFFFFF"/>
              </w:rPr>
            </w:pPr>
          </w:p>
          <w:p w14:paraId="1BE5B6C1" w14:textId="77777777" w:rsidR="006F640E" w:rsidRPr="00A443AE" w:rsidRDefault="006F640E" w:rsidP="00D733EB">
            <w:pPr>
              <w:jc w:val="both"/>
              <w:rPr>
                <w:color w:val="414142"/>
                <w:sz w:val="22"/>
                <w:szCs w:val="22"/>
                <w:shd w:val="clear" w:color="auto" w:fill="FFFFFF"/>
              </w:rPr>
            </w:pPr>
          </w:p>
          <w:p w14:paraId="56A0C395" w14:textId="77777777" w:rsidR="006F640E" w:rsidRPr="00A443AE" w:rsidRDefault="006F640E" w:rsidP="00D733EB">
            <w:pPr>
              <w:jc w:val="both"/>
              <w:rPr>
                <w:color w:val="414142"/>
                <w:sz w:val="22"/>
                <w:szCs w:val="22"/>
                <w:shd w:val="clear" w:color="auto" w:fill="FFFFFF"/>
              </w:rPr>
            </w:pPr>
          </w:p>
          <w:p w14:paraId="707C112E" w14:textId="77777777" w:rsidR="006F640E" w:rsidRPr="00A443AE" w:rsidRDefault="006F640E" w:rsidP="00D733EB">
            <w:pPr>
              <w:jc w:val="both"/>
              <w:rPr>
                <w:b/>
                <w:bCs/>
                <w:color w:val="414142"/>
                <w:sz w:val="22"/>
                <w:szCs w:val="22"/>
                <w:shd w:val="clear" w:color="auto" w:fill="FFFFFF"/>
              </w:rPr>
            </w:pPr>
            <w:r w:rsidRPr="00A443AE">
              <w:rPr>
                <w:b/>
                <w:bCs/>
                <w:color w:val="414142"/>
                <w:sz w:val="22"/>
                <w:szCs w:val="22"/>
                <w:shd w:val="clear" w:color="auto" w:fill="FFFFFF"/>
              </w:rPr>
              <w:t>3.4. Precizēts noteikumu projekta 16.punkts.</w:t>
            </w:r>
          </w:p>
          <w:p w14:paraId="62ABFAAF" w14:textId="77777777" w:rsidR="006F640E" w:rsidRPr="00A443AE" w:rsidRDefault="006F640E" w:rsidP="00D733EB">
            <w:pPr>
              <w:jc w:val="both"/>
              <w:rPr>
                <w:color w:val="414142"/>
                <w:sz w:val="22"/>
                <w:szCs w:val="22"/>
                <w:shd w:val="clear" w:color="auto" w:fill="FFFFFF"/>
              </w:rPr>
            </w:pPr>
          </w:p>
          <w:p w14:paraId="7ABCF7D8" w14:textId="77777777" w:rsidR="006F640E" w:rsidRPr="00A443AE" w:rsidRDefault="006F640E" w:rsidP="00D733EB">
            <w:pPr>
              <w:jc w:val="both"/>
              <w:rPr>
                <w:color w:val="414142"/>
                <w:sz w:val="22"/>
                <w:szCs w:val="22"/>
                <w:shd w:val="clear" w:color="auto" w:fill="FFFFFF"/>
              </w:rPr>
            </w:pPr>
          </w:p>
          <w:p w14:paraId="3E7D055E" w14:textId="77777777" w:rsidR="006F640E" w:rsidRPr="00A443AE" w:rsidRDefault="006F640E" w:rsidP="00D733EB">
            <w:pPr>
              <w:jc w:val="both"/>
              <w:rPr>
                <w:color w:val="414142"/>
                <w:sz w:val="22"/>
                <w:szCs w:val="22"/>
                <w:shd w:val="clear" w:color="auto" w:fill="FFFFFF"/>
              </w:rPr>
            </w:pPr>
          </w:p>
          <w:p w14:paraId="5D43B034" w14:textId="77777777" w:rsidR="006F640E" w:rsidRPr="00A443AE" w:rsidRDefault="006F640E" w:rsidP="00D733EB">
            <w:pPr>
              <w:jc w:val="both"/>
              <w:rPr>
                <w:color w:val="414142"/>
                <w:sz w:val="22"/>
                <w:szCs w:val="22"/>
                <w:shd w:val="clear" w:color="auto" w:fill="FFFFFF"/>
              </w:rPr>
            </w:pPr>
          </w:p>
          <w:p w14:paraId="08CB988E" w14:textId="77777777" w:rsidR="006F640E" w:rsidRPr="00A443AE" w:rsidRDefault="006F640E" w:rsidP="00D733EB">
            <w:pPr>
              <w:jc w:val="both"/>
              <w:rPr>
                <w:color w:val="414142"/>
                <w:sz w:val="22"/>
                <w:szCs w:val="22"/>
                <w:shd w:val="clear" w:color="auto" w:fill="FFFFFF"/>
              </w:rPr>
            </w:pPr>
          </w:p>
          <w:p w14:paraId="05A83504" w14:textId="77777777" w:rsidR="006F640E" w:rsidRPr="00A443AE" w:rsidRDefault="006F640E" w:rsidP="00D733EB">
            <w:pPr>
              <w:jc w:val="both"/>
              <w:rPr>
                <w:color w:val="414142"/>
                <w:sz w:val="22"/>
                <w:szCs w:val="22"/>
                <w:shd w:val="clear" w:color="auto" w:fill="FFFFFF"/>
              </w:rPr>
            </w:pPr>
          </w:p>
          <w:p w14:paraId="21067B20" w14:textId="77777777" w:rsidR="006F640E" w:rsidRPr="00A443AE" w:rsidRDefault="006F640E" w:rsidP="00D733EB">
            <w:pPr>
              <w:jc w:val="both"/>
              <w:rPr>
                <w:color w:val="414142"/>
                <w:sz w:val="22"/>
                <w:szCs w:val="22"/>
                <w:shd w:val="clear" w:color="auto" w:fill="FFFFFF"/>
              </w:rPr>
            </w:pPr>
          </w:p>
          <w:p w14:paraId="10AE3599" w14:textId="77777777" w:rsidR="006F640E" w:rsidRPr="00A443AE" w:rsidRDefault="006F640E" w:rsidP="00D733EB">
            <w:pPr>
              <w:jc w:val="both"/>
              <w:rPr>
                <w:color w:val="414142"/>
                <w:sz w:val="22"/>
                <w:szCs w:val="22"/>
                <w:shd w:val="clear" w:color="auto" w:fill="FFFFFF"/>
              </w:rPr>
            </w:pPr>
          </w:p>
          <w:p w14:paraId="064AE030" w14:textId="77777777" w:rsidR="006F640E" w:rsidRPr="00A443AE" w:rsidRDefault="006F640E" w:rsidP="00D733EB">
            <w:pPr>
              <w:jc w:val="both"/>
              <w:rPr>
                <w:color w:val="414142"/>
                <w:sz w:val="22"/>
                <w:szCs w:val="22"/>
                <w:shd w:val="clear" w:color="auto" w:fill="FFFFFF"/>
              </w:rPr>
            </w:pPr>
          </w:p>
          <w:p w14:paraId="01874E5C" w14:textId="77777777" w:rsidR="006F640E" w:rsidRPr="00A443AE" w:rsidRDefault="006F640E" w:rsidP="00D733EB">
            <w:pPr>
              <w:jc w:val="both"/>
              <w:rPr>
                <w:color w:val="414142"/>
                <w:sz w:val="22"/>
                <w:szCs w:val="22"/>
                <w:shd w:val="clear" w:color="auto" w:fill="FFFFFF"/>
              </w:rPr>
            </w:pPr>
          </w:p>
          <w:p w14:paraId="3ED5C663" w14:textId="77777777" w:rsidR="006F640E" w:rsidRPr="00A443AE" w:rsidRDefault="006F640E" w:rsidP="00D733EB">
            <w:pPr>
              <w:jc w:val="both"/>
              <w:rPr>
                <w:color w:val="414142"/>
                <w:sz w:val="22"/>
                <w:szCs w:val="22"/>
                <w:shd w:val="clear" w:color="auto" w:fill="FFFFFF"/>
              </w:rPr>
            </w:pPr>
          </w:p>
          <w:p w14:paraId="2A2888D4" w14:textId="77777777" w:rsidR="006F640E" w:rsidRPr="00A443AE" w:rsidRDefault="006F640E" w:rsidP="00D733EB">
            <w:pPr>
              <w:jc w:val="both"/>
              <w:rPr>
                <w:color w:val="414142"/>
                <w:sz w:val="22"/>
                <w:szCs w:val="22"/>
                <w:shd w:val="clear" w:color="auto" w:fill="FFFFFF"/>
              </w:rPr>
            </w:pPr>
            <w:r w:rsidRPr="00A443AE">
              <w:rPr>
                <w:color w:val="414142"/>
                <w:sz w:val="22"/>
                <w:szCs w:val="22"/>
                <w:shd w:val="clear" w:color="auto" w:fill="FFFFFF"/>
              </w:rPr>
              <w:t>3.5. Precizēts noteikumu projekts</w:t>
            </w:r>
          </w:p>
        </w:tc>
      </w:tr>
      <w:tr w:rsidR="006F640E" w:rsidRPr="00A443AE" w14:paraId="6A8218D2" w14:textId="77777777" w:rsidTr="00244E13">
        <w:trPr>
          <w:trHeight w:val="703"/>
        </w:trPr>
        <w:tc>
          <w:tcPr>
            <w:tcW w:w="567" w:type="dxa"/>
            <w:tcBorders>
              <w:top w:val="single" w:sz="6" w:space="0" w:color="000000"/>
              <w:left w:val="single" w:sz="6" w:space="0" w:color="000000"/>
              <w:right w:val="single" w:sz="6" w:space="0" w:color="000000"/>
            </w:tcBorders>
          </w:tcPr>
          <w:p w14:paraId="139F8472" w14:textId="78B17EA1" w:rsidR="006F640E" w:rsidRPr="00A443AE" w:rsidRDefault="00315B9F" w:rsidP="00D733EB">
            <w:pPr>
              <w:pStyle w:val="naisc"/>
              <w:spacing w:before="0" w:after="0"/>
              <w:jc w:val="both"/>
              <w:rPr>
                <w:sz w:val="22"/>
                <w:szCs w:val="22"/>
              </w:rPr>
            </w:pPr>
            <w:r>
              <w:rPr>
                <w:sz w:val="22"/>
                <w:szCs w:val="22"/>
              </w:rPr>
              <w:lastRenderedPageBreak/>
              <w:t>4</w:t>
            </w:r>
            <w:r w:rsidR="006F640E" w:rsidRPr="00A443AE">
              <w:rPr>
                <w:sz w:val="22"/>
                <w:szCs w:val="22"/>
              </w:rPr>
              <w:t>.</w:t>
            </w:r>
          </w:p>
        </w:tc>
        <w:tc>
          <w:tcPr>
            <w:tcW w:w="2835" w:type="dxa"/>
            <w:gridSpan w:val="2"/>
            <w:tcBorders>
              <w:top w:val="single" w:sz="6" w:space="0" w:color="000000"/>
              <w:left w:val="single" w:sz="6" w:space="0" w:color="000000"/>
              <w:right w:val="single" w:sz="6" w:space="0" w:color="000000"/>
            </w:tcBorders>
          </w:tcPr>
          <w:p w14:paraId="69A8D145" w14:textId="77777777" w:rsidR="006F640E" w:rsidRPr="00A443AE" w:rsidRDefault="006F640E" w:rsidP="00D733EB">
            <w:pPr>
              <w:jc w:val="both"/>
              <w:rPr>
                <w:b/>
                <w:sz w:val="22"/>
                <w:szCs w:val="22"/>
              </w:rPr>
            </w:pPr>
            <w:r w:rsidRPr="00A443AE">
              <w:rPr>
                <w:b/>
                <w:sz w:val="22"/>
                <w:szCs w:val="22"/>
              </w:rPr>
              <w:t>Noteikuma projekta 16.punkts</w:t>
            </w:r>
          </w:p>
        </w:tc>
        <w:tc>
          <w:tcPr>
            <w:tcW w:w="4846" w:type="dxa"/>
            <w:gridSpan w:val="2"/>
            <w:tcBorders>
              <w:top w:val="single" w:sz="6" w:space="0" w:color="000000"/>
              <w:left w:val="single" w:sz="6" w:space="0" w:color="000000"/>
              <w:bottom w:val="single" w:sz="6" w:space="0" w:color="000000"/>
              <w:right w:val="single" w:sz="6" w:space="0" w:color="000000"/>
            </w:tcBorders>
          </w:tcPr>
          <w:p w14:paraId="0C712554" w14:textId="77777777" w:rsidR="006F640E" w:rsidRPr="00A443AE" w:rsidRDefault="006F640E" w:rsidP="00D733EB">
            <w:pPr>
              <w:tabs>
                <w:tab w:val="left" w:pos="2679"/>
              </w:tabs>
              <w:jc w:val="both"/>
              <w:rPr>
                <w:b/>
                <w:sz w:val="22"/>
                <w:szCs w:val="22"/>
              </w:rPr>
            </w:pPr>
            <w:r w:rsidRPr="00A443AE">
              <w:rPr>
                <w:b/>
                <w:sz w:val="22"/>
                <w:szCs w:val="22"/>
              </w:rPr>
              <w:t>Finanšu ministrijas 11.05.2020 atzinuma 4.iebildums:</w:t>
            </w:r>
          </w:p>
          <w:p w14:paraId="6BB1B226" w14:textId="77777777" w:rsidR="006F640E" w:rsidRPr="00A443AE" w:rsidRDefault="006F640E" w:rsidP="00D733EB">
            <w:pPr>
              <w:tabs>
                <w:tab w:val="left" w:pos="2679"/>
              </w:tabs>
              <w:jc w:val="both"/>
              <w:rPr>
                <w:b/>
                <w:sz w:val="22"/>
                <w:szCs w:val="22"/>
              </w:rPr>
            </w:pPr>
            <w:r w:rsidRPr="00A443AE">
              <w:rPr>
                <w:bCs/>
                <w:sz w:val="22"/>
                <w:szCs w:val="22"/>
              </w:rPr>
              <w:t>Lūdzam papildināt noteikumu projekta 16.punktu ar papildu vērtēšanas kritēriju “</w:t>
            </w:r>
            <w:bookmarkStart w:id="1" w:name="_Hlk40088592"/>
            <w:r w:rsidRPr="00A443AE">
              <w:rPr>
                <w:bCs/>
                <w:sz w:val="22"/>
                <w:szCs w:val="22"/>
              </w:rPr>
              <w:t>nodrošinājuma pietiekamība un likviditāte</w:t>
            </w:r>
            <w:bookmarkEnd w:id="1"/>
            <w:r w:rsidRPr="00A443AE">
              <w:rPr>
                <w:bCs/>
                <w:sz w:val="22"/>
                <w:szCs w:val="22"/>
              </w:rPr>
              <w:t>” attiecīgā locījumā un atbilstoši precizēt anotāciju.</w:t>
            </w:r>
          </w:p>
        </w:tc>
        <w:tc>
          <w:tcPr>
            <w:tcW w:w="3092" w:type="dxa"/>
            <w:tcBorders>
              <w:top w:val="single" w:sz="6" w:space="0" w:color="000000"/>
              <w:left w:val="single" w:sz="6" w:space="0" w:color="000000"/>
              <w:bottom w:val="single" w:sz="6" w:space="0" w:color="000000"/>
              <w:right w:val="single" w:sz="6" w:space="0" w:color="000000"/>
            </w:tcBorders>
          </w:tcPr>
          <w:p w14:paraId="1B0C4335" w14:textId="77777777" w:rsidR="006F640E" w:rsidRPr="00A443AE" w:rsidRDefault="006F640E" w:rsidP="00D733EB">
            <w:pPr>
              <w:pStyle w:val="naisc"/>
              <w:spacing w:before="0" w:after="0"/>
              <w:rPr>
                <w:b/>
                <w:sz w:val="22"/>
                <w:szCs w:val="22"/>
              </w:rPr>
            </w:pPr>
            <w:r w:rsidRPr="00A443AE">
              <w:rPr>
                <w:b/>
                <w:sz w:val="22"/>
                <w:szCs w:val="22"/>
              </w:rPr>
              <w:t>Ņemts vērā.</w:t>
            </w:r>
          </w:p>
          <w:p w14:paraId="407B1535" w14:textId="77777777" w:rsidR="006F640E" w:rsidRPr="00A443AE" w:rsidRDefault="006F640E" w:rsidP="00D733EB">
            <w:pPr>
              <w:pStyle w:val="naisc"/>
              <w:spacing w:before="0" w:after="0"/>
              <w:rPr>
                <w:b/>
                <w:sz w:val="22"/>
                <w:szCs w:val="22"/>
              </w:rPr>
            </w:pPr>
          </w:p>
          <w:p w14:paraId="4CE95AA2" w14:textId="77777777" w:rsidR="006F640E" w:rsidRPr="00A443AE" w:rsidRDefault="006F640E" w:rsidP="00D733EB">
            <w:pPr>
              <w:pStyle w:val="Hipo-Heading1"/>
              <w:widowControl w:val="0"/>
              <w:numPr>
                <w:ilvl w:val="0"/>
                <w:numId w:val="0"/>
              </w:numPr>
              <w:spacing w:before="0" w:after="0"/>
              <w:jc w:val="both"/>
              <w:rPr>
                <w:b w:val="0"/>
                <w:iCs/>
              </w:rPr>
            </w:pPr>
          </w:p>
          <w:p w14:paraId="2F46E486" w14:textId="77777777" w:rsidR="006F640E" w:rsidRPr="00A443AE" w:rsidRDefault="006F640E" w:rsidP="00D733EB">
            <w:pPr>
              <w:pStyle w:val="Hipo-Heading1"/>
              <w:widowControl w:val="0"/>
              <w:numPr>
                <w:ilvl w:val="0"/>
                <w:numId w:val="0"/>
              </w:numPr>
              <w:spacing w:before="0" w:after="0"/>
              <w:jc w:val="both"/>
              <w:rPr>
                <w:b w:val="0"/>
                <w:iCs/>
              </w:rPr>
            </w:pPr>
          </w:p>
        </w:tc>
        <w:tc>
          <w:tcPr>
            <w:tcW w:w="3402" w:type="dxa"/>
            <w:tcBorders>
              <w:top w:val="single" w:sz="4" w:space="0" w:color="auto"/>
              <w:left w:val="single" w:sz="4" w:space="0" w:color="auto"/>
              <w:bottom w:val="single" w:sz="4" w:space="0" w:color="auto"/>
            </w:tcBorders>
          </w:tcPr>
          <w:p w14:paraId="4DB9C331" w14:textId="77777777" w:rsidR="006F640E" w:rsidRPr="00A443AE" w:rsidRDefault="006F640E" w:rsidP="00D733EB">
            <w:pPr>
              <w:jc w:val="both"/>
              <w:rPr>
                <w:b/>
                <w:sz w:val="22"/>
                <w:szCs w:val="22"/>
              </w:rPr>
            </w:pPr>
            <w:r w:rsidRPr="00A443AE">
              <w:rPr>
                <w:b/>
                <w:sz w:val="22"/>
                <w:szCs w:val="22"/>
              </w:rPr>
              <w:t>Precizēts noteikumu projekta 16.punkts</w:t>
            </w:r>
          </w:p>
        </w:tc>
      </w:tr>
      <w:tr w:rsidR="006F640E" w:rsidRPr="00A443AE" w14:paraId="227F6640" w14:textId="77777777" w:rsidTr="00244E13">
        <w:trPr>
          <w:trHeight w:val="1270"/>
        </w:trPr>
        <w:tc>
          <w:tcPr>
            <w:tcW w:w="567" w:type="dxa"/>
            <w:tcBorders>
              <w:top w:val="single" w:sz="6" w:space="0" w:color="000000"/>
              <w:left w:val="single" w:sz="6" w:space="0" w:color="000000"/>
              <w:right w:val="single" w:sz="6" w:space="0" w:color="000000"/>
            </w:tcBorders>
          </w:tcPr>
          <w:p w14:paraId="1BFF3151" w14:textId="4B7AD264" w:rsidR="006F640E" w:rsidRPr="00A443AE" w:rsidRDefault="00315B9F" w:rsidP="00D733EB">
            <w:pPr>
              <w:pStyle w:val="naisc"/>
              <w:spacing w:before="0" w:after="0"/>
              <w:jc w:val="both"/>
              <w:rPr>
                <w:sz w:val="22"/>
                <w:szCs w:val="22"/>
              </w:rPr>
            </w:pPr>
            <w:r>
              <w:rPr>
                <w:sz w:val="22"/>
                <w:szCs w:val="22"/>
              </w:rPr>
              <w:lastRenderedPageBreak/>
              <w:t>5</w:t>
            </w:r>
            <w:r w:rsidR="006F640E" w:rsidRPr="00A443AE">
              <w:rPr>
                <w:sz w:val="22"/>
                <w:szCs w:val="22"/>
              </w:rPr>
              <w:t>.</w:t>
            </w:r>
          </w:p>
        </w:tc>
        <w:tc>
          <w:tcPr>
            <w:tcW w:w="2835" w:type="dxa"/>
            <w:gridSpan w:val="2"/>
            <w:tcBorders>
              <w:top w:val="single" w:sz="6" w:space="0" w:color="000000"/>
              <w:left w:val="single" w:sz="6" w:space="0" w:color="000000"/>
              <w:right w:val="single" w:sz="6" w:space="0" w:color="000000"/>
            </w:tcBorders>
          </w:tcPr>
          <w:p w14:paraId="2813C206" w14:textId="77777777" w:rsidR="006F640E" w:rsidRPr="00A443AE" w:rsidRDefault="006F640E" w:rsidP="00D733EB">
            <w:pPr>
              <w:jc w:val="both"/>
              <w:rPr>
                <w:b/>
                <w:sz w:val="22"/>
                <w:szCs w:val="22"/>
              </w:rPr>
            </w:pPr>
            <w:r w:rsidRPr="00A443AE">
              <w:rPr>
                <w:b/>
                <w:sz w:val="22"/>
                <w:szCs w:val="22"/>
              </w:rPr>
              <w:t>Noteikumu projekta 11.punkts</w:t>
            </w:r>
          </w:p>
        </w:tc>
        <w:tc>
          <w:tcPr>
            <w:tcW w:w="4846" w:type="dxa"/>
            <w:gridSpan w:val="2"/>
            <w:tcBorders>
              <w:top w:val="single" w:sz="6" w:space="0" w:color="000000"/>
              <w:left w:val="single" w:sz="6" w:space="0" w:color="000000"/>
              <w:bottom w:val="single" w:sz="6" w:space="0" w:color="000000"/>
              <w:right w:val="single" w:sz="6" w:space="0" w:color="000000"/>
            </w:tcBorders>
          </w:tcPr>
          <w:p w14:paraId="1907329A" w14:textId="77777777" w:rsidR="006F640E" w:rsidRPr="00A443AE" w:rsidRDefault="006F640E" w:rsidP="00D733EB">
            <w:pPr>
              <w:tabs>
                <w:tab w:val="left" w:pos="2679"/>
              </w:tabs>
              <w:jc w:val="both"/>
              <w:rPr>
                <w:b/>
                <w:sz w:val="22"/>
                <w:szCs w:val="22"/>
              </w:rPr>
            </w:pPr>
            <w:r w:rsidRPr="00A443AE">
              <w:rPr>
                <w:b/>
                <w:sz w:val="22"/>
                <w:szCs w:val="22"/>
              </w:rPr>
              <w:t>Ekonomikas ministrijas iniciatīva:</w:t>
            </w:r>
          </w:p>
          <w:p w14:paraId="442D104B" w14:textId="77777777" w:rsidR="006F640E" w:rsidRPr="00A443AE" w:rsidRDefault="006F640E" w:rsidP="00D733EB">
            <w:pPr>
              <w:tabs>
                <w:tab w:val="left" w:pos="2679"/>
              </w:tabs>
              <w:jc w:val="both"/>
              <w:rPr>
                <w:bCs/>
                <w:sz w:val="22"/>
                <w:szCs w:val="22"/>
              </w:rPr>
            </w:pPr>
            <w:r w:rsidRPr="00A443AE">
              <w:rPr>
                <w:bCs/>
                <w:sz w:val="22"/>
                <w:szCs w:val="22"/>
              </w:rPr>
              <w:t>Ņemot vērā, ka Eiropas Riska kapitāla asociācija (</w:t>
            </w:r>
            <w:proofErr w:type="spellStart"/>
            <w:r w:rsidRPr="00A443AE">
              <w:rPr>
                <w:bCs/>
                <w:sz w:val="22"/>
                <w:szCs w:val="22"/>
              </w:rPr>
              <w:t>European</w:t>
            </w:r>
            <w:proofErr w:type="spellEnd"/>
            <w:r w:rsidRPr="00A443AE">
              <w:rPr>
                <w:bCs/>
                <w:sz w:val="22"/>
                <w:szCs w:val="22"/>
              </w:rPr>
              <w:t xml:space="preserve"> </w:t>
            </w:r>
            <w:proofErr w:type="spellStart"/>
            <w:r w:rsidRPr="00A443AE">
              <w:rPr>
                <w:bCs/>
                <w:sz w:val="22"/>
                <w:szCs w:val="22"/>
              </w:rPr>
              <w:t>Private</w:t>
            </w:r>
            <w:proofErr w:type="spellEnd"/>
            <w:r w:rsidRPr="00A443AE">
              <w:rPr>
                <w:bCs/>
                <w:sz w:val="22"/>
                <w:szCs w:val="22"/>
              </w:rPr>
              <w:t xml:space="preserve"> </w:t>
            </w:r>
            <w:proofErr w:type="spellStart"/>
            <w:r w:rsidRPr="00A443AE">
              <w:rPr>
                <w:bCs/>
                <w:sz w:val="22"/>
                <w:szCs w:val="22"/>
              </w:rPr>
              <w:t>Equity</w:t>
            </w:r>
            <w:proofErr w:type="spellEnd"/>
            <w:r w:rsidRPr="00A443AE">
              <w:rPr>
                <w:bCs/>
                <w:sz w:val="22"/>
                <w:szCs w:val="22"/>
              </w:rPr>
              <w:t xml:space="preserve"> &amp; </w:t>
            </w:r>
            <w:proofErr w:type="spellStart"/>
            <w:r w:rsidRPr="00A443AE">
              <w:rPr>
                <w:bCs/>
                <w:sz w:val="22"/>
                <w:szCs w:val="22"/>
              </w:rPr>
              <w:t>Venture</w:t>
            </w:r>
            <w:proofErr w:type="spellEnd"/>
            <w:r w:rsidRPr="00A443AE">
              <w:rPr>
                <w:bCs/>
                <w:sz w:val="22"/>
                <w:szCs w:val="22"/>
              </w:rPr>
              <w:t xml:space="preserve"> </w:t>
            </w:r>
            <w:proofErr w:type="spellStart"/>
            <w:r w:rsidRPr="00A443AE">
              <w:rPr>
                <w:bCs/>
                <w:sz w:val="22"/>
                <w:szCs w:val="22"/>
              </w:rPr>
              <w:t>Capital</w:t>
            </w:r>
            <w:proofErr w:type="spellEnd"/>
            <w:r w:rsidRPr="00A443AE">
              <w:rPr>
                <w:bCs/>
                <w:sz w:val="22"/>
                <w:szCs w:val="22"/>
              </w:rPr>
              <w:t xml:space="preserve"> Association) šobrīd ir mainīts nosaukums un tas ir </w:t>
            </w:r>
            <w:proofErr w:type="spellStart"/>
            <w:r w:rsidRPr="00A443AE">
              <w:rPr>
                <w:bCs/>
                <w:sz w:val="22"/>
                <w:szCs w:val="22"/>
              </w:rPr>
              <w:t>Invest</w:t>
            </w:r>
            <w:proofErr w:type="spellEnd"/>
            <w:r w:rsidRPr="00A443AE">
              <w:rPr>
                <w:bCs/>
                <w:sz w:val="22"/>
                <w:szCs w:val="22"/>
              </w:rPr>
              <w:t xml:space="preserve"> </w:t>
            </w:r>
            <w:proofErr w:type="spellStart"/>
            <w:r w:rsidRPr="00A443AE">
              <w:rPr>
                <w:bCs/>
                <w:sz w:val="22"/>
                <w:szCs w:val="22"/>
              </w:rPr>
              <w:t>Europe</w:t>
            </w:r>
            <w:proofErr w:type="spellEnd"/>
            <w:r w:rsidRPr="00A443AE">
              <w:rPr>
                <w:bCs/>
                <w:sz w:val="22"/>
                <w:szCs w:val="22"/>
              </w:rPr>
              <w:t xml:space="preserve">, kā arī nosaukumi netiek tulkoti Precizēt noteikuma 11.punktu, izsakot to šādā redakcijā: “Fonda pārvaldē sabiedrība </w:t>
            </w:r>
            <w:proofErr w:type="spellStart"/>
            <w:r w:rsidRPr="00A443AE">
              <w:rPr>
                <w:bCs/>
                <w:sz w:val="22"/>
                <w:szCs w:val="22"/>
              </w:rPr>
              <w:t>Altum</w:t>
            </w:r>
            <w:proofErr w:type="spellEnd"/>
            <w:r w:rsidRPr="00A443AE">
              <w:rPr>
                <w:bCs/>
                <w:sz w:val="22"/>
                <w:szCs w:val="22"/>
              </w:rPr>
              <w:t xml:space="preserve"> izmanto labāko industrijas praksi, tai skaitā ievēro Eiropas Riska kapitāla asociācijas izstrādātās vadlīnijas.” </w:t>
            </w:r>
          </w:p>
        </w:tc>
        <w:tc>
          <w:tcPr>
            <w:tcW w:w="3092" w:type="dxa"/>
            <w:tcBorders>
              <w:top w:val="single" w:sz="6" w:space="0" w:color="000000"/>
              <w:left w:val="single" w:sz="6" w:space="0" w:color="000000"/>
              <w:bottom w:val="single" w:sz="6" w:space="0" w:color="000000"/>
              <w:right w:val="single" w:sz="6" w:space="0" w:color="000000"/>
            </w:tcBorders>
          </w:tcPr>
          <w:p w14:paraId="0FD6D8A1" w14:textId="77777777" w:rsidR="006F640E" w:rsidRPr="00A443AE" w:rsidRDefault="006F640E" w:rsidP="00D733EB">
            <w:pPr>
              <w:pStyle w:val="naisc"/>
              <w:spacing w:before="0" w:after="0"/>
              <w:rPr>
                <w:b/>
                <w:sz w:val="22"/>
                <w:szCs w:val="22"/>
              </w:rPr>
            </w:pPr>
            <w:r w:rsidRPr="00A443AE">
              <w:rPr>
                <w:b/>
                <w:sz w:val="22"/>
                <w:szCs w:val="22"/>
              </w:rPr>
              <w:t>Ņemts vērā</w:t>
            </w:r>
          </w:p>
        </w:tc>
        <w:tc>
          <w:tcPr>
            <w:tcW w:w="3402" w:type="dxa"/>
            <w:tcBorders>
              <w:top w:val="single" w:sz="4" w:space="0" w:color="auto"/>
              <w:left w:val="single" w:sz="4" w:space="0" w:color="auto"/>
              <w:bottom w:val="single" w:sz="4" w:space="0" w:color="auto"/>
            </w:tcBorders>
          </w:tcPr>
          <w:p w14:paraId="404141A0" w14:textId="77777777" w:rsidR="006F640E" w:rsidRPr="00A443AE" w:rsidRDefault="006F640E" w:rsidP="00D733EB">
            <w:pPr>
              <w:jc w:val="both"/>
              <w:rPr>
                <w:b/>
                <w:sz w:val="22"/>
                <w:szCs w:val="22"/>
              </w:rPr>
            </w:pPr>
            <w:r w:rsidRPr="00A443AE">
              <w:rPr>
                <w:b/>
                <w:sz w:val="22"/>
                <w:szCs w:val="22"/>
              </w:rPr>
              <w:t>Precizēts noteikumu projekta 11.punkts</w:t>
            </w:r>
          </w:p>
        </w:tc>
      </w:tr>
      <w:tr w:rsidR="006F640E" w:rsidRPr="00A443AE" w14:paraId="3A819A6B" w14:textId="77777777" w:rsidTr="00244E13">
        <w:trPr>
          <w:trHeight w:val="419"/>
        </w:trPr>
        <w:tc>
          <w:tcPr>
            <w:tcW w:w="567" w:type="dxa"/>
            <w:tcBorders>
              <w:top w:val="single" w:sz="6" w:space="0" w:color="000000"/>
              <w:left w:val="single" w:sz="6" w:space="0" w:color="000000"/>
              <w:right w:val="single" w:sz="6" w:space="0" w:color="000000"/>
            </w:tcBorders>
          </w:tcPr>
          <w:p w14:paraId="0C8277E6" w14:textId="33840DC5" w:rsidR="006F640E" w:rsidRPr="00A443AE" w:rsidRDefault="00315B9F" w:rsidP="00D733EB">
            <w:pPr>
              <w:pStyle w:val="naisc"/>
              <w:spacing w:before="0" w:after="0"/>
              <w:jc w:val="both"/>
              <w:rPr>
                <w:sz w:val="22"/>
                <w:szCs w:val="22"/>
              </w:rPr>
            </w:pPr>
            <w:r>
              <w:rPr>
                <w:sz w:val="22"/>
                <w:szCs w:val="22"/>
              </w:rPr>
              <w:t>6</w:t>
            </w:r>
            <w:r w:rsidR="006F640E" w:rsidRPr="00A443AE">
              <w:rPr>
                <w:sz w:val="22"/>
                <w:szCs w:val="22"/>
              </w:rPr>
              <w:t>.</w:t>
            </w:r>
          </w:p>
        </w:tc>
        <w:tc>
          <w:tcPr>
            <w:tcW w:w="2835" w:type="dxa"/>
            <w:gridSpan w:val="2"/>
            <w:tcBorders>
              <w:top w:val="single" w:sz="6" w:space="0" w:color="000000"/>
              <w:left w:val="single" w:sz="6" w:space="0" w:color="000000"/>
              <w:right w:val="single" w:sz="6" w:space="0" w:color="000000"/>
            </w:tcBorders>
          </w:tcPr>
          <w:p w14:paraId="043E7372" w14:textId="77777777" w:rsidR="006F640E" w:rsidRPr="00A443AE" w:rsidRDefault="006F640E" w:rsidP="00D733EB">
            <w:pPr>
              <w:jc w:val="both"/>
              <w:rPr>
                <w:b/>
                <w:sz w:val="22"/>
                <w:szCs w:val="22"/>
              </w:rPr>
            </w:pPr>
            <w:r w:rsidRPr="00A443AE">
              <w:rPr>
                <w:b/>
                <w:sz w:val="22"/>
                <w:szCs w:val="22"/>
              </w:rPr>
              <w:t>Noteikumu projekta 12.punkts</w:t>
            </w:r>
          </w:p>
        </w:tc>
        <w:tc>
          <w:tcPr>
            <w:tcW w:w="4846" w:type="dxa"/>
            <w:gridSpan w:val="2"/>
            <w:tcBorders>
              <w:top w:val="single" w:sz="6" w:space="0" w:color="000000"/>
              <w:left w:val="single" w:sz="6" w:space="0" w:color="000000"/>
              <w:bottom w:val="single" w:sz="6" w:space="0" w:color="000000"/>
              <w:right w:val="single" w:sz="6" w:space="0" w:color="000000"/>
            </w:tcBorders>
          </w:tcPr>
          <w:p w14:paraId="6ADF9B6D" w14:textId="77777777" w:rsidR="006F640E" w:rsidRPr="00A443AE" w:rsidRDefault="006F640E" w:rsidP="00D733EB">
            <w:pPr>
              <w:tabs>
                <w:tab w:val="left" w:pos="2679"/>
              </w:tabs>
              <w:jc w:val="both"/>
              <w:rPr>
                <w:b/>
                <w:sz w:val="22"/>
                <w:szCs w:val="22"/>
              </w:rPr>
            </w:pPr>
            <w:r w:rsidRPr="00A443AE">
              <w:rPr>
                <w:b/>
                <w:sz w:val="22"/>
                <w:szCs w:val="22"/>
              </w:rPr>
              <w:t>Ekonomikas ministrijas iniciatīva:</w:t>
            </w:r>
          </w:p>
          <w:p w14:paraId="1F5A9B96" w14:textId="77777777" w:rsidR="006F640E" w:rsidRPr="00A443AE" w:rsidRDefault="006F640E" w:rsidP="00D733EB">
            <w:pPr>
              <w:tabs>
                <w:tab w:val="left" w:pos="2679"/>
              </w:tabs>
              <w:jc w:val="both"/>
              <w:rPr>
                <w:bCs/>
                <w:sz w:val="22"/>
                <w:szCs w:val="22"/>
              </w:rPr>
            </w:pPr>
            <w:r w:rsidRPr="00A443AE">
              <w:rPr>
                <w:bCs/>
                <w:sz w:val="22"/>
                <w:szCs w:val="22"/>
              </w:rPr>
              <w:t xml:space="preserve">Komerclikuma 127.pants nosaka, ka komandīts sabiedrības kreditoriem atbild sava ieguldījuma apmērā līdz ieguldījuma izdarīšanai. Šāda atbildība ir izslēgta, tiklīdz ieguldījums ir veikts. Komerclikuma 128.panta pirmā daļa noteic, ka pēc sabiedrības ierakstīšanas komercreģistrā komandīta atbildības apjoms attiecībā uz sabiedrības kreditoriem nosakāms atbilstoši komercreģistrā ierakstītajai viņa ieguldījuma summai. Komandīta atbildība aptver reģistrēto kapitālu, nevis parakstīto. Attiecīgi Ministru kabineta noteikumi nevar palielināt atbildības apjomu. </w:t>
            </w:r>
          </w:p>
          <w:p w14:paraId="720F8E0D" w14:textId="77777777" w:rsidR="006F640E" w:rsidRPr="00A443AE" w:rsidRDefault="006F640E" w:rsidP="00D733EB">
            <w:pPr>
              <w:tabs>
                <w:tab w:val="left" w:pos="2679"/>
              </w:tabs>
              <w:jc w:val="both"/>
              <w:rPr>
                <w:bCs/>
                <w:sz w:val="22"/>
                <w:szCs w:val="22"/>
              </w:rPr>
            </w:pPr>
            <w:r w:rsidRPr="00A443AE">
              <w:rPr>
                <w:bCs/>
                <w:sz w:val="22"/>
                <w:szCs w:val="22"/>
              </w:rPr>
              <w:t>Precizēt noteikuma projekta 12.punktu, izsakot šādā reakcijā: “</w:t>
            </w:r>
            <w:bookmarkStart w:id="2" w:name="_Hlk40089638"/>
            <w:r w:rsidRPr="00A443AE">
              <w:rPr>
                <w:bCs/>
                <w:sz w:val="22"/>
                <w:szCs w:val="22"/>
              </w:rPr>
              <w:t xml:space="preserve">Sabiedrība </w:t>
            </w:r>
            <w:proofErr w:type="spellStart"/>
            <w:r w:rsidRPr="00A443AE">
              <w:rPr>
                <w:bCs/>
                <w:sz w:val="22"/>
                <w:szCs w:val="22"/>
              </w:rPr>
              <w:t>Altum</w:t>
            </w:r>
            <w:proofErr w:type="spellEnd"/>
            <w:r w:rsidRPr="00A443AE">
              <w:rPr>
                <w:bCs/>
                <w:sz w:val="22"/>
                <w:szCs w:val="22"/>
              </w:rPr>
              <w:t xml:space="preserve"> pārvalda Fondu, pamatojoties uz komerciāliem principiem. Fonda komerciālais mērķis ir gūt peļņu. Zaudējumus no ieguldījumiem komersantos sedz saskaņā ar Komerclikumu no Fonda mantas un atbilstoši komercreģistrā ierakstītajām dalībnieku ieguldījumu summām</w:t>
            </w:r>
            <w:bookmarkEnd w:id="2"/>
            <w:r w:rsidRPr="00A443AE">
              <w:rPr>
                <w:bCs/>
                <w:sz w:val="22"/>
                <w:szCs w:val="22"/>
              </w:rPr>
              <w:t>.”</w:t>
            </w:r>
          </w:p>
        </w:tc>
        <w:tc>
          <w:tcPr>
            <w:tcW w:w="3092" w:type="dxa"/>
            <w:tcBorders>
              <w:top w:val="single" w:sz="6" w:space="0" w:color="000000"/>
              <w:left w:val="single" w:sz="6" w:space="0" w:color="000000"/>
              <w:bottom w:val="single" w:sz="6" w:space="0" w:color="000000"/>
              <w:right w:val="single" w:sz="6" w:space="0" w:color="000000"/>
            </w:tcBorders>
          </w:tcPr>
          <w:p w14:paraId="59C96A47" w14:textId="77777777" w:rsidR="006F640E" w:rsidRPr="00A443AE" w:rsidRDefault="006F640E" w:rsidP="00D733EB">
            <w:pPr>
              <w:pStyle w:val="naisc"/>
              <w:spacing w:before="0" w:after="0"/>
              <w:rPr>
                <w:b/>
                <w:sz w:val="22"/>
                <w:szCs w:val="22"/>
              </w:rPr>
            </w:pPr>
            <w:r w:rsidRPr="00A443AE">
              <w:rPr>
                <w:b/>
                <w:sz w:val="22"/>
                <w:szCs w:val="22"/>
              </w:rPr>
              <w:t>Ņemts vērā</w:t>
            </w:r>
          </w:p>
        </w:tc>
        <w:tc>
          <w:tcPr>
            <w:tcW w:w="3402" w:type="dxa"/>
            <w:tcBorders>
              <w:top w:val="single" w:sz="4" w:space="0" w:color="auto"/>
              <w:left w:val="single" w:sz="4" w:space="0" w:color="auto"/>
              <w:bottom w:val="single" w:sz="4" w:space="0" w:color="auto"/>
            </w:tcBorders>
          </w:tcPr>
          <w:p w14:paraId="1EFF12D1" w14:textId="77777777" w:rsidR="006F640E" w:rsidRPr="00A443AE" w:rsidRDefault="006F640E" w:rsidP="00D733EB">
            <w:pPr>
              <w:jc w:val="both"/>
              <w:rPr>
                <w:b/>
                <w:sz w:val="22"/>
                <w:szCs w:val="22"/>
              </w:rPr>
            </w:pPr>
            <w:r w:rsidRPr="00A443AE">
              <w:rPr>
                <w:b/>
                <w:sz w:val="22"/>
                <w:szCs w:val="22"/>
              </w:rPr>
              <w:t>Precizēts noteikumu projekta 12.punkts</w:t>
            </w:r>
          </w:p>
        </w:tc>
      </w:tr>
      <w:tr w:rsidR="006F640E" w:rsidRPr="00A443AE" w14:paraId="6E52058C" w14:textId="77777777" w:rsidTr="00244E13">
        <w:trPr>
          <w:trHeight w:val="1270"/>
        </w:trPr>
        <w:tc>
          <w:tcPr>
            <w:tcW w:w="567" w:type="dxa"/>
            <w:tcBorders>
              <w:top w:val="single" w:sz="6" w:space="0" w:color="000000"/>
              <w:left w:val="single" w:sz="6" w:space="0" w:color="000000"/>
              <w:right w:val="single" w:sz="6" w:space="0" w:color="000000"/>
            </w:tcBorders>
          </w:tcPr>
          <w:p w14:paraId="190DC115" w14:textId="65191404" w:rsidR="006F640E" w:rsidRPr="00A443AE" w:rsidRDefault="00315B9F" w:rsidP="00D733EB">
            <w:pPr>
              <w:pStyle w:val="naisc"/>
              <w:spacing w:before="0" w:after="0"/>
              <w:jc w:val="both"/>
              <w:rPr>
                <w:sz w:val="22"/>
                <w:szCs w:val="22"/>
              </w:rPr>
            </w:pPr>
            <w:r>
              <w:rPr>
                <w:sz w:val="22"/>
                <w:szCs w:val="22"/>
              </w:rPr>
              <w:t>7</w:t>
            </w:r>
            <w:r w:rsidR="006F640E" w:rsidRPr="00A443AE">
              <w:rPr>
                <w:sz w:val="22"/>
                <w:szCs w:val="22"/>
              </w:rPr>
              <w:t>.</w:t>
            </w:r>
          </w:p>
        </w:tc>
        <w:tc>
          <w:tcPr>
            <w:tcW w:w="2835" w:type="dxa"/>
            <w:gridSpan w:val="2"/>
            <w:tcBorders>
              <w:top w:val="single" w:sz="6" w:space="0" w:color="000000"/>
              <w:left w:val="single" w:sz="6" w:space="0" w:color="000000"/>
              <w:right w:val="single" w:sz="6" w:space="0" w:color="000000"/>
            </w:tcBorders>
          </w:tcPr>
          <w:p w14:paraId="3FB4FDAC" w14:textId="77777777" w:rsidR="006F640E" w:rsidRPr="00A443AE" w:rsidRDefault="006F640E" w:rsidP="00D733EB">
            <w:pPr>
              <w:jc w:val="both"/>
              <w:rPr>
                <w:b/>
                <w:sz w:val="22"/>
                <w:szCs w:val="22"/>
              </w:rPr>
            </w:pPr>
            <w:r w:rsidRPr="00A443AE">
              <w:rPr>
                <w:b/>
                <w:sz w:val="22"/>
                <w:szCs w:val="22"/>
              </w:rPr>
              <w:t>Noteikuma projekta 14.3. punkts</w:t>
            </w:r>
          </w:p>
        </w:tc>
        <w:tc>
          <w:tcPr>
            <w:tcW w:w="4846" w:type="dxa"/>
            <w:gridSpan w:val="2"/>
            <w:tcBorders>
              <w:top w:val="single" w:sz="6" w:space="0" w:color="000000"/>
              <w:left w:val="single" w:sz="6" w:space="0" w:color="000000"/>
              <w:bottom w:val="single" w:sz="6" w:space="0" w:color="000000"/>
              <w:right w:val="single" w:sz="6" w:space="0" w:color="000000"/>
            </w:tcBorders>
          </w:tcPr>
          <w:p w14:paraId="1D748E6C" w14:textId="77777777" w:rsidR="006F640E" w:rsidRPr="00A443AE" w:rsidRDefault="006F640E" w:rsidP="00D733EB">
            <w:pPr>
              <w:tabs>
                <w:tab w:val="left" w:pos="2679"/>
              </w:tabs>
              <w:jc w:val="both"/>
              <w:rPr>
                <w:b/>
                <w:sz w:val="22"/>
                <w:szCs w:val="22"/>
              </w:rPr>
            </w:pPr>
            <w:r w:rsidRPr="00A443AE">
              <w:rPr>
                <w:b/>
                <w:sz w:val="22"/>
                <w:szCs w:val="22"/>
              </w:rPr>
              <w:t>Ekonomikas ministrijas iniciatīva:</w:t>
            </w:r>
          </w:p>
          <w:p w14:paraId="1B887E08" w14:textId="77777777" w:rsidR="006F640E" w:rsidRPr="00A443AE" w:rsidRDefault="006F640E" w:rsidP="00D733EB">
            <w:pPr>
              <w:tabs>
                <w:tab w:val="left" w:pos="2679"/>
              </w:tabs>
              <w:jc w:val="both"/>
              <w:rPr>
                <w:bCs/>
                <w:sz w:val="22"/>
                <w:szCs w:val="22"/>
              </w:rPr>
            </w:pPr>
            <w:r w:rsidRPr="00A443AE">
              <w:rPr>
                <w:bCs/>
                <w:sz w:val="22"/>
                <w:szCs w:val="22"/>
              </w:rPr>
              <w:t>Precizēt noteikumu 14.3. punktā vārdus “vismaz 50+1 no visām komersanta kapitāla daļām” aizstāt ar “vismaz 51% no visām komersanta kapitāla daļām” vai “iegūt vairākumu no visām komersanta kapitāla daļām”. Ja kapitālsabiedrībā ir viens miljons kapitāla daļas, 50+1 daļa būs mazākums.</w:t>
            </w:r>
          </w:p>
        </w:tc>
        <w:tc>
          <w:tcPr>
            <w:tcW w:w="3092" w:type="dxa"/>
            <w:tcBorders>
              <w:top w:val="single" w:sz="6" w:space="0" w:color="000000"/>
              <w:left w:val="single" w:sz="6" w:space="0" w:color="000000"/>
              <w:bottom w:val="single" w:sz="6" w:space="0" w:color="000000"/>
              <w:right w:val="single" w:sz="6" w:space="0" w:color="000000"/>
            </w:tcBorders>
          </w:tcPr>
          <w:p w14:paraId="5E57C69B" w14:textId="77777777" w:rsidR="006F640E" w:rsidRPr="00A443AE" w:rsidRDefault="006F640E" w:rsidP="00D733EB">
            <w:pPr>
              <w:pStyle w:val="naisc"/>
              <w:spacing w:before="0" w:after="0"/>
              <w:rPr>
                <w:b/>
                <w:sz w:val="22"/>
                <w:szCs w:val="22"/>
              </w:rPr>
            </w:pPr>
            <w:r w:rsidRPr="00A443AE">
              <w:rPr>
                <w:b/>
                <w:sz w:val="22"/>
                <w:szCs w:val="22"/>
              </w:rPr>
              <w:t>Ņemts vērā</w:t>
            </w:r>
          </w:p>
        </w:tc>
        <w:tc>
          <w:tcPr>
            <w:tcW w:w="3402" w:type="dxa"/>
            <w:tcBorders>
              <w:top w:val="single" w:sz="4" w:space="0" w:color="auto"/>
              <w:left w:val="single" w:sz="4" w:space="0" w:color="auto"/>
              <w:bottom w:val="single" w:sz="4" w:space="0" w:color="auto"/>
            </w:tcBorders>
          </w:tcPr>
          <w:p w14:paraId="686B1002" w14:textId="77777777" w:rsidR="006F640E" w:rsidRPr="00A443AE" w:rsidRDefault="006F640E" w:rsidP="00D733EB">
            <w:pPr>
              <w:jc w:val="both"/>
              <w:rPr>
                <w:b/>
                <w:sz w:val="22"/>
                <w:szCs w:val="22"/>
              </w:rPr>
            </w:pPr>
            <w:r w:rsidRPr="00A443AE">
              <w:rPr>
                <w:b/>
                <w:sz w:val="22"/>
                <w:szCs w:val="22"/>
              </w:rPr>
              <w:t>Precizēts noteikumu projekta 14.3. punkts</w:t>
            </w:r>
          </w:p>
        </w:tc>
      </w:tr>
      <w:tr w:rsidR="006F640E" w:rsidRPr="00A443AE" w14:paraId="3B4AB165" w14:textId="77777777" w:rsidTr="00244E13">
        <w:trPr>
          <w:trHeight w:val="1270"/>
        </w:trPr>
        <w:tc>
          <w:tcPr>
            <w:tcW w:w="567" w:type="dxa"/>
            <w:tcBorders>
              <w:top w:val="single" w:sz="6" w:space="0" w:color="000000"/>
              <w:left w:val="single" w:sz="6" w:space="0" w:color="000000"/>
              <w:right w:val="single" w:sz="6" w:space="0" w:color="000000"/>
            </w:tcBorders>
          </w:tcPr>
          <w:p w14:paraId="5BABD07B" w14:textId="3EE90543" w:rsidR="006F640E" w:rsidRPr="00A443AE" w:rsidRDefault="00315B9F" w:rsidP="00D733EB">
            <w:pPr>
              <w:pStyle w:val="naisc"/>
              <w:spacing w:before="0" w:after="0"/>
              <w:jc w:val="both"/>
              <w:rPr>
                <w:sz w:val="22"/>
                <w:szCs w:val="22"/>
              </w:rPr>
            </w:pPr>
            <w:r>
              <w:rPr>
                <w:sz w:val="22"/>
                <w:szCs w:val="22"/>
              </w:rPr>
              <w:lastRenderedPageBreak/>
              <w:t>8</w:t>
            </w:r>
            <w:r w:rsidR="006F640E" w:rsidRPr="00A443AE">
              <w:rPr>
                <w:sz w:val="22"/>
                <w:szCs w:val="22"/>
              </w:rPr>
              <w:t>.</w:t>
            </w:r>
          </w:p>
        </w:tc>
        <w:tc>
          <w:tcPr>
            <w:tcW w:w="2835" w:type="dxa"/>
            <w:gridSpan w:val="2"/>
            <w:tcBorders>
              <w:top w:val="single" w:sz="6" w:space="0" w:color="000000"/>
              <w:left w:val="single" w:sz="6" w:space="0" w:color="000000"/>
              <w:right w:val="single" w:sz="6" w:space="0" w:color="000000"/>
            </w:tcBorders>
          </w:tcPr>
          <w:p w14:paraId="6969EC00" w14:textId="77777777" w:rsidR="006F640E" w:rsidRPr="00A443AE" w:rsidRDefault="006F640E" w:rsidP="00D733EB">
            <w:pPr>
              <w:jc w:val="both"/>
              <w:rPr>
                <w:b/>
                <w:sz w:val="22"/>
                <w:szCs w:val="22"/>
              </w:rPr>
            </w:pPr>
            <w:r w:rsidRPr="00A443AE">
              <w:rPr>
                <w:b/>
                <w:sz w:val="22"/>
                <w:szCs w:val="22"/>
              </w:rPr>
              <w:t>Noteikuma projekta 17.2.punkts</w:t>
            </w:r>
          </w:p>
        </w:tc>
        <w:tc>
          <w:tcPr>
            <w:tcW w:w="4846" w:type="dxa"/>
            <w:gridSpan w:val="2"/>
            <w:tcBorders>
              <w:top w:val="single" w:sz="6" w:space="0" w:color="000000"/>
              <w:left w:val="single" w:sz="6" w:space="0" w:color="000000"/>
              <w:bottom w:val="single" w:sz="6" w:space="0" w:color="000000"/>
              <w:right w:val="single" w:sz="6" w:space="0" w:color="000000"/>
            </w:tcBorders>
          </w:tcPr>
          <w:p w14:paraId="1F8FBCBB" w14:textId="77777777" w:rsidR="006F640E" w:rsidRPr="00A443AE" w:rsidRDefault="006F640E" w:rsidP="00D733EB">
            <w:pPr>
              <w:tabs>
                <w:tab w:val="left" w:pos="2679"/>
              </w:tabs>
              <w:jc w:val="both"/>
              <w:rPr>
                <w:b/>
                <w:sz w:val="22"/>
                <w:szCs w:val="22"/>
              </w:rPr>
            </w:pPr>
            <w:r w:rsidRPr="00A443AE">
              <w:rPr>
                <w:b/>
                <w:sz w:val="22"/>
                <w:szCs w:val="22"/>
              </w:rPr>
              <w:t>Tieslietu ministrijas 12.05.2020. atzinuma 1.iebildums:</w:t>
            </w:r>
          </w:p>
          <w:p w14:paraId="684807A8" w14:textId="77777777" w:rsidR="006F640E" w:rsidRPr="00A443AE" w:rsidRDefault="006F640E" w:rsidP="00D733EB">
            <w:pPr>
              <w:tabs>
                <w:tab w:val="left" w:pos="2679"/>
              </w:tabs>
              <w:jc w:val="both"/>
              <w:rPr>
                <w:bCs/>
                <w:sz w:val="22"/>
                <w:szCs w:val="22"/>
              </w:rPr>
            </w:pPr>
            <w:r w:rsidRPr="00A443AE">
              <w:rPr>
                <w:bCs/>
                <w:sz w:val="22"/>
                <w:szCs w:val="22"/>
              </w:rPr>
              <w:t xml:space="preserve">Projekta 17.2. apakšpunktā paredzēts, ka Fonda finansējumu nepiešķir komersantam, kurš brīdī, kad tiek pieņemts lēmums par ieguldījumu, atbilst nosacījumam, ka ar tiesas spriedumu ir pasludināts maksātnespējas process vai ar tiesas spriedumu tiek īstenots tiesiskās aizsardzības process, vai ar tiesas lēmumu tiek īstenots </w:t>
            </w:r>
            <w:proofErr w:type="spellStart"/>
            <w:r w:rsidRPr="00A443AE">
              <w:rPr>
                <w:bCs/>
                <w:sz w:val="22"/>
                <w:szCs w:val="22"/>
              </w:rPr>
              <w:t>ārpustiesas</w:t>
            </w:r>
            <w:proofErr w:type="spellEnd"/>
            <w:r w:rsidRPr="00A443AE">
              <w:rPr>
                <w:bCs/>
                <w:sz w:val="22"/>
                <w:szCs w:val="22"/>
              </w:rPr>
              <w:t xml:space="preserve"> tiesiskās aizsardzības process, vai to saimnieciskā darbība ir izbeigta, vai komersants atbilst normatīvajos aktos maksātnespējas jomā noteiktajiem kritērijiem, lai tiem pēc kreditoru pieprasījuma pieprasītu maksātnespējas procedūru. Ņemot vērā turpmāk minēto, lūdzam svītrot Projekta 17.2. apakšpunktu.</w:t>
            </w:r>
          </w:p>
          <w:p w14:paraId="2E5A9AF0" w14:textId="77777777" w:rsidR="006F640E" w:rsidRPr="00A443AE" w:rsidRDefault="006F640E" w:rsidP="00D733EB">
            <w:pPr>
              <w:pStyle w:val="NormalWeb"/>
              <w:tabs>
                <w:tab w:val="left" w:pos="709"/>
              </w:tabs>
              <w:spacing w:before="0" w:after="0"/>
              <w:ind w:right="13" w:firstLine="720"/>
              <w:jc w:val="both"/>
              <w:rPr>
                <w:sz w:val="22"/>
                <w:szCs w:val="22"/>
              </w:rPr>
            </w:pPr>
            <w:r w:rsidRPr="00A443AE">
              <w:t>1.1</w:t>
            </w:r>
            <w:r w:rsidRPr="00A443AE">
              <w:rPr>
                <w:sz w:val="22"/>
                <w:szCs w:val="22"/>
              </w:rPr>
              <w:t xml:space="preserve">. Vēršam uzmanību uz Komisijas 2014. gada 17. jūnija Regulas (ES) Nr. 651/2014, ar ko noteiktas atbalsta kategorijas atzīst par saderīgām ar iekšējo tirgu, piemērojot Līguma 107. un 108. pantu, (turpmāk – Komisijas regula Nr. 651/2014) </w:t>
            </w:r>
            <w:bookmarkStart w:id="3" w:name="_Hlk40079200"/>
            <w:r w:rsidRPr="00A443AE">
              <w:rPr>
                <w:sz w:val="22"/>
                <w:szCs w:val="22"/>
              </w:rPr>
              <w:t>2. panta 18. punkta c) apakšpunktu</w:t>
            </w:r>
            <w:bookmarkEnd w:id="3"/>
            <w:r w:rsidRPr="00A443AE">
              <w:rPr>
                <w:sz w:val="22"/>
                <w:szCs w:val="22"/>
              </w:rPr>
              <w:t xml:space="preserve">, kurā noteikts, ka grūtībās nonācis uzņēmums ir, tai skaitā, uzņēmums, kuram tiek piemērota kolektīva maksātnespējas procedūra, vai tas atbilst savas valsts tiesību aktos noteiktiem kritērijiem, lai tam pēc kreditoru pieprasījuma piemērotu kolektīvu maksātnespējas procedūru. Līdz ar to paskaidrojam, ka Projekta 17.2. apakšpunktā paredzētais regulējums ir pretrunā ar Projekta 3.2. apakšpunktā noteikto, kā arī Komisijas regulas Nr. 651/2014 2. panta 18. punkta c) apakšpunktu. Proti, Projekts paredz, ka atbalsts ir sniedzams grūtības nonākušiem komersantiem, bet no otras puses liedz atbalstu sniegt grūtībās nonākušiem komersantiem. </w:t>
            </w:r>
          </w:p>
          <w:p w14:paraId="64F6BA08" w14:textId="77777777" w:rsidR="006F640E" w:rsidRPr="00A443AE" w:rsidRDefault="006F640E" w:rsidP="00D733EB">
            <w:pPr>
              <w:pStyle w:val="NormalWeb"/>
              <w:tabs>
                <w:tab w:val="left" w:pos="1276"/>
              </w:tabs>
              <w:spacing w:before="0" w:after="0"/>
              <w:ind w:right="13" w:firstLine="720"/>
              <w:jc w:val="both"/>
              <w:rPr>
                <w:sz w:val="22"/>
                <w:szCs w:val="22"/>
              </w:rPr>
            </w:pPr>
            <w:r w:rsidRPr="00A443AE">
              <w:rPr>
                <w:sz w:val="22"/>
                <w:szCs w:val="22"/>
              </w:rPr>
              <w:t xml:space="preserve">1.2. Attiecībā uz tiesiskās aizsardzības procesu ietveršanu kā automātisku nosacījumu </w:t>
            </w:r>
            <w:r w:rsidRPr="00A443AE">
              <w:rPr>
                <w:sz w:val="22"/>
                <w:szCs w:val="22"/>
              </w:rPr>
              <w:lastRenderedPageBreak/>
              <w:t>atteikumam, vēršam uzmanību, ka šāds risinājums nav atbalstāms. Tiesiskās aizsardzības procesa mērķis ir atjaunot parādnieka spēju nokārtot savas saistības. Ņemot vērā, ka daudziem komersantiem jau ir finanšu grūtības vai ir skaidras indikācijas par tādu tuvošanos, atbalsta atteikšana automātiski tikai tamdēļ, ka komersantam tiek īstenots tiesiskās aizsardzības process, tikai pasliktinās tā ekonomisko situāciju. Turklāt norādītajā stadijā parādnieks un viņa finansiālā situācija un attiecības ar (t.sk. uzvedība pret) kreditoriem jau ir pakļautas tiesas, tiesiskās aizsardzības procesa uzraugošās personas un pašu kreditoru kontrolei, kas nozīmē, ka parādnieka finansiālo situāciju spēj definēt gana daudzi subjekti.</w:t>
            </w:r>
          </w:p>
          <w:p w14:paraId="684BC4BB" w14:textId="77777777" w:rsidR="006F640E" w:rsidRPr="00A443AE" w:rsidRDefault="006F640E" w:rsidP="00D733EB">
            <w:pPr>
              <w:pStyle w:val="NormalWeb"/>
              <w:spacing w:before="0" w:after="0"/>
              <w:ind w:right="13" w:firstLine="720"/>
              <w:jc w:val="both"/>
              <w:rPr>
                <w:sz w:val="22"/>
                <w:szCs w:val="22"/>
              </w:rPr>
            </w:pPr>
            <w:r w:rsidRPr="00A443AE">
              <w:rPr>
                <w:sz w:val="22"/>
                <w:szCs w:val="22"/>
              </w:rPr>
              <w:t xml:space="preserve">1.3. Lūdzam svītrot atsauci uz </w:t>
            </w:r>
            <w:proofErr w:type="spellStart"/>
            <w:r w:rsidRPr="00A443AE">
              <w:rPr>
                <w:sz w:val="22"/>
                <w:szCs w:val="22"/>
              </w:rPr>
              <w:t>ārpustiesas</w:t>
            </w:r>
            <w:proofErr w:type="spellEnd"/>
            <w:r w:rsidRPr="00A443AE">
              <w:rPr>
                <w:sz w:val="22"/>
                <w:szCs w:val="22"/>
              </w:rPr>
              <w:t xml:space="preserve"> tiesiskās aizsardzības procesa īstenošanu, ņemot vērā, ka juridiski tiek īstenots tiesiskās aizsardzības process.</w:t>
            </w:r>
          </w:p>
          <w:p w14:paraId="3DC7357E" w14:textId="77777777" w:rsidR="006F640E" w:rsidRPr="00A443AE" w:rsidRDefault="006F640E" w:rsidP="00D733EB">
            <w:pPr>
              <w:tabs>
                <w:tab w:val="left" w:pos="2679"/>
              </w:tabs>
              <w:jc w:val="both"/>
              <w:rPr>
                <w:bCs/>
                <w:sz w:val="22"/>
                <w:szCs w:val="22"/>
              </w:rPr>
            </w:pPr>
            <w:r w:rsidRPr="00A443AE">
              <w:rPr>
                <w:sz w:val="22"/>
                <w:szCs w:val="22"/>
              </w:rPr>
              <w:t xml:space="preserve">1.4. Vēršam uzmanību uz Projekta 17.2. apakšpunktā norādīto: “[..] vai komersants atbilst normatīvajos aktos maksātnespējas jomā noteiktajiem kritērijiem, lai tiem pēc kreditoru pieprasījuma pieprasītu maksātnespējas procedūru”. Sakarā ar minēto norādām, ka šāda norāde nav atbalstāma turpmāk norādīto apsvērumu dēļ. Pirmkārt, jēdziens “maksātnespējas procedūra” netiek lietots maksātnespējas jomu regulējošos nacionālajos normatīvajos aktos, taču Eiropas Savienības tiesību aktos ar to saprot ievērojami plašāku tvērumu, kā Maksātnespējas likumā regulētie maksātnespējas procesi. Proti, tas attiecināms arī uz tiesiskās aizsardzības procesiem. Otrkārt, vēršam uzmanību uz Maksātnespējas likuma 57. panta pirmo daļu un tajā ietvertajiem kritērijiem. Minētās normas 2., 3., 4. un 5. punktā uzskaitītās </w:t>
            </w:r>
            <w:r w:rsidRPr="00A443AE">
              <w:rPr>
                <w:sz w:val="22"/>
                <w:szCs w:val="22"/>
              </w:rPr>
              <w:lastRenderedPageBreak/>
              <w:t>juridiskās personas maksātnespējas procesa pazīmes var būt problemātiski konstatēt, jo pastāv strīda par tiesībām risks. Rezultātā atbalsts varētu tikt atteikts nepamatoti.</w:t>
            </w:r>
          </w:p>
        </w:tc>
        <w:tc>
          <w:tcPr>
            <w:tcW w:w="3092" w:type="dxa"/>
            <w:tcBorders>
              <w:top w:val="single" w:sz="6" w:space="0" w:color="000000"/>
              <w:left w:val="single" w:sz="6" w:space="0" w:color="000000"/>
              <w:bottom w:val="single" w:sz="6" w:space="0" w:color="000000"/>
              <w:right w:val="single" w:sz="6" w:space="0" w:color="000000"/>
            </w:tcBorders>
          </w:tcPr>
          <w:p w14:paraId="1E5BEA68" w14:textId="77777777" w:rsidR="006F640E" w:rsidRPr="00A443AE" w:rsidRDefault="006F640E" w:rsidP="00D733EB">
            <w:pPr>
              <w:pStyle w:val="naisc"/>
              <w:spacing w:before="0" w:after="0"/>
              <w:jc w:val="both"/>
              <w:rPr>
                <w:b/>
                <w:sz w:val="22"/>
                <w:szCs w:val="22"/>
              </w:rPr>
            </w:pPr>
            <w:r w:rsidRPr="00A443AE">
              <w:rPr>
                <w:b/>
                <w:sz w:val="22"/>
                <w:szCs w:val="22"/>
              </w:rPr>
              <w:lastRenderedPageBreak/>
              <w:t>Netiek ņemts vērā un sniegts skaidrojums:</w:t>
            </w:r>
          </w:p>
          <w:p w14:paraId="473C6422" w14:textId="77777777" w:rsidR="006F640E" w:rsidRPr="00A443AE" w:rsidRDefault="006F640E" w:rsidP="00D733EB">
            <w:pPr>
              <w:pStyle w:val="naisc"/>
              <w:spacing w:before="0" w:after="0"/>
              <w:jc w:val="both"/>
              <w:rPr>
                <w:b/>
                <w:sz w:val="22"/>
                <w:szCs w:val="22"/>
              </w:rPr>
            </w:pPr>
            <w:r w:rsidRPr="00A443AE">
              <w:rPr>
                <w:bCs/>
                <w:sz w:val="22"/>
                <w:szCs w:val="22"/>
              </w:rPr>
              <w:t>Balstoties uz to, ka noteikumu projekta 3.2.punkts tiek svītrots un uz Finanšu ministrijas lūgumu (iepriekš saskaņoto normatīvo regulējumu)  17.2. punkts netiek svītrots.</w:t>
            </w:r>
          </w:p>
        </w:tc>
        <w:tc>
          <w:tcPr>
            <w:tcW w:w="3402" w:type="dxa"/>
            <w:tcBorders>
              <w:top w:val="single" w:sz="4" w:space="0" w:color="auto"/>
              <w:left w:val="single" w:sz="4" w:space="0" w:color="auto"/>
              <w:bottom w:val="single" w:sz="4" w:space="0" w:color="auto"/>
            </w:tcBorders>
          </w:tcPr>
          <w:p w14:paraId="72DA49B6" w14:textId="77777777" w:rsidR="006F640E" w:rsidRPr="00A443AE" w:rsidRDefault="006F640E" w:rsidP="00D733EB">
            <w:pPr>
              <w:shd w:val="clear" w:color="auto" w:fill="FFFFFF"/>
              <w:spacing w:line="293" w:lineRule="atLeast"/>
              <w:jc w:val="both"/>
              <w:rPr>
                <w:b/>
                <w:sz w:val="22"/>
                <w:szCs w:val="22"/>
              </w:rPr>
            </w:pPr>
          </w:p>
        </w:tc>
      </w:tr>
      <w:tr w:rsidR="006F640E" w:rsidRPr="00A443AE" w14:paraId="3315DD31" w14:textId="77777777" w:rsidTr="00244E13">
        <w:trPr>
          <w:trHeight w:val="1270"/>
        </w:trPr>
        <w:tc>
          <w:tcPr>
            <w:tcW w:w="567" w:type="dxa"/>
            <w:tcBorders>
              <w:top w:val="single" w:sz="6" w:space="0" w:color="000000"/>
              <w:left w:val="single" w:sz="6" w:space="0" w:color="000000"/>
              <w:right w:val="single" w:sz="6" w:space="0" w:color="000000"/>
            </w:tcBorders>
          </w:tcPr>
          <w:p w14:paraId="3B844748" w14:textId="40186936" w:rsidR="006F640E" w:rsidRPr="00A443AE" w:rsidRDefault="00315B9F" w:rsidP="00D733EB">
            <w:pPr>
              <w:pStyle w:val="naisc"/>
              <w:spacing w:before="0" w:after="0"/>
              <w:jc w:val="both"/>
              <w:rPr>
                <w:sz w:val="22"/>
                <w:szCs w:val="22"/>
              </w:rPr>
            </w:pPr>
            <w:r>
              <w:rPr>
                <w:sz w:val="22"/>
                <w:szCs w:val="22"/>
              </w:rPr>
              <w:lastRenderedPageBreak/>
              <w:t>9</w:t>
            </w:r>
            <w:r w:rsidR="006F640E" w:rsidRPr="00A443AE">
              <w:rPr>
                <w:sz w:val="22"/>
                <w:szCs w:val="22"/>
              </w:rPr>
              <w:t>.</w:t>
            </w:r>
          </w:p>
        </w:tc>
        <w:tc>
          <w:tcPr>
            <w:tcW w:w="2835" w:type="dxa"/>
            <w:gridSpan w:val="2"/>
            <w:tcBorders>
              <w:top w:val="single" w:sz="6" w:space="0" w:color="000000"/>
              <w:left w:val="single" w:sz="6" w:space="0" w:color="000000"/>
              <w:right w:val="single" w:sz="6" w:space="0" w:color="000000"/>
            </w:tcBorders>
          </w:tcPr>
          <w:p w14:paraId="5CAF7BF5" w14:textId="77777777" w:rsidR="006F640E" w:rsidRPr="00A443AE" w:rsidRDefault="006F640E" w:rsidP="00D733EB">
            <w:pPr>
              <w:jc w:val="both"/>
              <w:rPr>
                <w:b/>
                <w:sz w:val="22"/>
                <w:szCs w:val="22"/>
              </w:rPr>
            </w:pPr>
            <w:r w:rsidRPr="00A443AE">
              <w:rPr>
                <w:b/>
                <w:sz w:val="22"/>
                <w:szCs w:val="22"/>
              </w:rPr>
              <w:t>Noteikuma projekta 23.2.punkts un 24.punkts</w:t>
            </w:r>
          </w:p>
        </w:tc>
        <w:tc>
          <w:tcPr>
            <w:tcW w:w="4846" w:type="dxa"/>
            <w:gridSpan w:val="2"/>
            <w:tcBorders>
              <w:top w:val="single" w:sz="6" w:space="0" w:color="000000"/>
              <w:left w:val="single" w:sz="6" w:space="0" w:color="000000"/>
              <w:bottom w:val="single" w:sz="6" w:space="0" w:color="000000"/>
              <w:right w:val="single" w:sz="6" w:space="0" w:color="000000"/>
            </w:tcBorders>
          </w:tcPr>
          <w:p w14:paraId="533347EF" w14:textId="77777777" w:rsidR="006F640E" w:rsidRPr="00A443AE" w:rsidRDefault="006F640E" w:rsidP="00D733EB">
            <w:pPr>
              <w:tabs>
                <w:tab w:val="left" w:pos="2679"/>
              </w:tabs>
              <w:jc w:val="both"/>
              <w:rPr>
                <w:b/>
                <w:sz w:val="22"/>
                <w:szCs w:val="22"/>
              </w:rPr>
            </w:pPr>
            <w:r w:rsidRPr="00A443AE">
              <w:rPr>
                <w:b/>
                <w:sz w:val="22"/>
                <w:szCs w:val="22"/>
              </w:rPr>
              <w:t>Tieslietu ministrijas 26.06.2020. atzinuma 1.iebildums:</w:t>
            </w:r>
          </w:p>
          <w:p w14:paraId="715B852C" w14:textId="77777777" w:rsidR="006F640E" w:rsidRPr="00A443AE" w:rsidRDefault="006F640E" w:rsidP="00D733EB">
            <w:pPr>
              <w:tabs>
                <w:tab w:val="left" w:pos="2679"/>
              </w:tabs>
              <w:jc w:val="both"/>
              <w:rPr>
                <w:bCs/>
                <w:sz w:val="22"/>
                <w:szCs w:val="22"/>
              </w:rPr>
            </w:pPr>
            <w:r w:rsidRPr="00A443AE">
              <w:rPr>
                <w:bCs/>
                <w:sz w:val="22"/>
                <w:szCs w:val="22"/>
              </w:rPr>
              <w:t>1. Projekta 23.2. apakšpunkts korelācijā ar projekta 24. punktu vēl aizvien (tāpat kā sākotnējā projekta 3.2. apakšpunkts korelācijā ar 17.2. apakšpunktu; skat. Tieslietu ministrijas 2020. gada 12. maija atzinuma 1.1. punktu) nenoteic viennozīmīgi to, vai un ja, tad kādos gadījumos, finanšu grūtībās esošiem komersantiem būtu pieejams projektā regulētais finansējums. Projekta 24. punkts noteic finansējuma pieejamības ierobežojumu laikā pēc finanšu grūtību rašanās brīža. Taču vienlaikus 23.2. apakšpunkts neliecina par jebkādu ierobežojumu laikā. Gluži pretēji – minētā apakšpunkta ievaddaļa vispārīgi nosaka gadījumus, kad komersants finansējumu nedrīkst saņemt.</w:t>
            </w:r>
          </w:p>
          <w:p w14:paraId="5F10D1A8" w14:textId="77777777" w:rsidR="006F640E" w:rsidRPr="00A443AE" w:rsidRDefault="006F640E" w:rsidP="00D733EB">
            <w:pPr>
              <w:tabs>
                <w:tab w:val="left" w:pos="2679"/>
              </w:tabs>
              <w:jc w:val="both"/>
              <w:rPr>
                <w:bCs/>
                <w:sz w:val="22"/>
                <w:szCs w:val="22"/>
              </w:rPr>
            </w:pPr>
            <w:r w:rsidRPr="00A443AE">
              <w:rPr>
                <w:bCs/>
                <w:sz w:val="22"/>
                <w:szCs w:val="22"/>
              </w:rPr>
              <w:t>Līdz ar to projektā ir pretruna, tā kā no vienas puses tiek noteikts, ka uz finansējumu varēs pretendēt tie komersanti, kuriem finanšu grūtības ir radušās Covid-19 izplatības ietekmē (projekta 24. punkts), vienlaikus norādot, ka lēmuma pieņemšanas brīdī komersantam nedrīkst būt finanšu grūtības (projekta 23.2. apakšpunkts).</w:t>
            </w:r>
          </w:p>
          <w:p w14:paraId="234810CB" w14:textId="77777777" w:rsidR="006F640E" w:rsidRPr="00A443AE" w:rsidRDefault="006F640E" w:rsidP="00D733EB">
            <w:pPr>
              <w:tabs>
                <w:tab w:val="left" w:pos="2679"/>
              </w:tabs>
              <w:jc w:val="both"/>
              <w:rPr>
                <w:bCs/>
                <w:sz w:val="22"/>
                <w:szCs w:val="22"/>
              </w:rPr>
            </w:pPr>
            <w:r w:rsidRPr="00A443AE">
              <w:rPr>
                <w:bCs/>
                <w:sz w:val="22"/>
                <w:szCs w:val="22"/>
              </w:rPr>
              <w:t xml:space="preserve">Papildus norādāms, ka Tieslietu ministrijas ieskatā projekta dažādas interpretācijas risku pastiprina sākotnējās ietekmes novērtējuma ziņojuma (anotācijas) I sadaļas 2. punkta 4. lpp. norādītais: “Saskaņā ar Komisijas paziņojumu par pamatnostādnēm par valsts atbalstu grūtībās nonākušu </w:t>
            </w:r>
            <w:proofErr w:type="spellStart"/>
            <w:r w:rsidRPr="00A443AE">
              <w:rPr>
                <w:bCs/>
                <w:sz w:val="22"/>
                <w:szCs w:val="22"/>
              </w:rPr>
              <w:t>nefinanšu</w:t>
            </w:r>
            <w:proofErr w:type="spellEnd"/>
            <w:r w:rsidRPr="00A443AE">
              <w:rPr>
                <w:bCs/>
                <w:sz w:val="22"/>
                <w:szCs w:val="22"/>
              </w:rPr>
              <w:t xml:space="preserve"> uzņēmumu glābšanai un pārstrukturēšanai (Eiropas Savienības Oficiālais Vēstnesis, 2014.gada 31.jūlijs, Nr. C 249/1), lielajiem uzņēmumiem, kuri ir nonākuši finanšu </w:t>
            </w:r>
            <w:r w:rsidRPr="00A443AE">
              <w:rPr>
                <w:bCs/>
                <w:sz w:val="22"/>
                <w:szCs w:val="22"/>
              </w:rPr>
              <w:lastRenderedPageBreak/>
              <w:t xml:space="preserve">grūtībās, </w:t>
            </w:r>
            <w:proofErr w:type="spellStart"/>
            <w:r w:rsidRPr="00A443AE">
              <w:rPr>
                <w:bCs/>
                <w:sz w:val="22"/>
                <w:szCs w:val="22"/>
              </w:rPr>
              <w:t>pārstrukutrēšanās</w:t>
            </w:r>
            <w:proofErr w:type="spellEnd"/>
            <w:r w:rsidRPr="00A443AE">
              <w:rPr>
                <w:bCs/>
                <w:sz w:val="22"/>
                <w:szCs w:val="22"/>
              </w:rPr>
              <w:t xml:space="preserve"> atbalstu var piešķirt, individuāli to </w:t>
            </w:r>
            <w:proofErr w:type="spellStart"/>
            <w:r w:rsidRPr="00A443AE">
              <w:rPr>
                <w:bCs/>
                <w:sz w:val="22"/>
                <w:szCs w:val="22"/>
              </w:rPr>
              <w:t>notificējot</w:t>
            </w:r>
            <w:proofErr w:type="spellEnd"/>
            <w:r w:rsidRPr="00A443AE">
              <w:rPr>
                <w:bCs/>
                <w:sz w:val="22"/>
                <w:szCs w:val="22"/>
              </w:rPr>
              <w:t xml:space="preserve"> Eiropas Komisijai. Šādus uzņēmumus nefinansēs fonda ietvaros, jo tiem ir piemērojama cita valsts atbalsta saņemšanas kārtība. Tādejādi šis Noteikumu projekts nenosaka valsts atbalsta piešķiršanas kārtību uzņēmumiem, kuri ir nonākuši finanšu grūtībās, jo konkrētie nosacījumi tiek noteikti atbilstoši konkrētajam gadījumam, to skaņojot ar Eiropas Komisiju.”</w:t>
            </w:r>
          </w:p>
          <w:p w14:paraId="1EB911C4" w14:textId="77777777" w:rsidR="006F640E" w:rsidRPr="00A443AE" w:rsidRDefault="006F640E" w:rsidP="00D733EB">
            <w:pPr>
              <w:tabs>
                <w:tab w:val="left" w:pos="2679"/>
              </w:tabs>
              <w:jc w:val="both"/>
              <w:rPr>
                <w:bCs/>
                <w:sz w:val="22"/>
                <w:szCs w:val="22"/>
              </w:rPr>
            </w:pPr>
            <w:r w:rsidRPr="00A443AE">
              <w:rPr>
                <w:bCs/>
                <w:sz w:val="22"/>
                <w:szCs w:val="22"/>
              </w:rPr>
              <w:t>Lūdzam precizēt projektu, skaidri nosakot, vai finanšu grūtībās esošs komersants ir tiesīgs saņemt finansējumu.</w:t>
            </w:r>
          </w:p>
        </w:tc>
        <w:tc>
          <w:tcPr>
            <w:tcW w:w="3092" w:type="dxa"/>
            <w:tcBorders>
              <w:top w:val="single" w:sz="6" w:space="0" w:color="000000"/>
              <w:left w:val="single" w:sz="6" w:space="0" w:color="000000"/>
              <w:bottom w:val="single" w:sz="6" w:space="0" w:color="000000"/>
              <w:right w:val="single" w:sz="6" w:space="0" w:color="000000"/>
            </w:tcBorders>
          </w:tcPr>
          <w:p w14:paraId="3CEB53C3" w14:textId="77777777" w:rsidR="006F640E" w:rsidRPr="00A443AE" w:rsidRDefault="006F640E" w:rsidP="00D733EB">
            <w:pPr>
              <w:pStyle w:val="naisc"/>
              <w:spacing w:before="0" w:after="0"/>
              <w:rPr>
                <w:b/>
                <w:sz w:val="22"/>
                <w:szCs w:val="22"/>
              </w:rPr>
            </w:pPr>
            <w:r w:rsidRPr="00A443AE">
              <w:rPr>
                <w:b/>
                <w:sz w:val="22"/>
                <w:szCs w:val="22"/>
              </w:rPr>
              <w:lastRenderedPageBreak/>
              <w:t>Ņemts vērā.</w:t>
            </w:r>
          </w:p>
        </w:tc>
        <w:tc>
          <w:tcPr>
            <w:tcW w:w="3402" w:type="dxa"/>
            <w:tcBorders>
              <w:top w:val="single" w:sz="4" w:space="0" w:color="auto"/>
              <w:left w:val="single" w:sz="4" w:space="0" w:color="auto"/>
              <w:bottom w:val="single" w:sz="4" w:space="0" w:color="auto"/>
            </w:tcBorders>
          </w:tcPr>
          <w:p w14:paraId="2AF9253A" w14:textId="77777777" w:rsidR="006F640E" w:rsidRPr="00A443AE" w:rsidRDefault="006F640E" w:rsidP="00D733EB">
            <w:pPr>
              <w:jc w:val="both"/>
              <w:rPr>
                <w:b/>
                <w:sz w:val="22"/>
                <w:szCs w:val="22"/>
              </w:rPr>
            </w:pPr>
            <w:r w:rsidRPr="00A443AE">
              <w:rPr>
                <w:b/>
                <w:sz w:val="22"/>
                <w:szCs w:val="22"/>
              </w:rPr>
              <w:t>Precizēts noteikumu projekts, papildināts noteikumu projekts ar 23.4.apakšpunktu un svītrots 24.punkts.</w:t>
            </w:r>
          </w:p>
        </w:tc>
      </w:tr>
      <w:tr w:rsidR="006F640E" w:rsidRPr="00A443AE" w14:paraId="19D04CB4" w14:textId="77777777" w:rsidTr="00244E13">
        <w:trPr>
          <w:trHeight w:val="1270"/>
        </w:trPr>
        <w:tc>
          <w:tcPr>
            <w:tcW w:w="567" w:type="dxa"/>
            <w:tcBorders>
              <w:top w:val="single" w:sz="6" w:space="0" w:color="000000"/>
              <w:left w:val="single" w:sz="6" w:space="0" w:color="000000"/>
              <w:right w:val="single" w:sz="6" w:space="0" w:color="000000"/>
            </w:tcBorders>
          </w:tcPr>
          <w:p w14:paraId="68D36056" w14:textId="3EECEF98" w:rsidR="006F640E" w:rsidRPr="00A443AE" w:rsidRDefault="006F640E" w:rsidP="00D733EB">
            <w:pPr>
              <w:pStyle w:val="naisc"/>
              <w:spacing w:before="0" w:after="0"/>
              <w:jc w:val="both"/>
              <w:rPr>
                <w:sz w:val="22"/>
                <w:szCs w:val="22"/>
              </w:rPr>
            </w:pPr>
            <w:r w:rsidRPr="00A443AE">
              <w:rPr>
                <w:sz w:val="22"/>
                <w:szCs w:val="22"/>
              </w:rPr>
              <w:t>1</w:t>
            </w:r>
            <w:r w:rsidR="00315B9F">
              <w:rPr>
                <w:sz w:val="22"/>
                <w:szCs w:val="22"/>
              </w:rPr>
              <w:t>0</w:t>
            </w:r>
            <w:r w:rsidRPr="00A443AE">
              <w:rPr>
                <w:sz w:val="22"/>
                <w:szCs w:val="22"/>
              </w:rPr>
              <w:t>.</w:t>
            </w:r>
          </w:p>
        </w:tc>
        <w:tc>
          <w:tcPr>
            <w:tcW w:w="2835" w:type="dxa"/>
            <w:gridSpan w:val="2"/>
            <w:tcBorders>
              <w:top w:val="single" w:sz="6" w:space="0" w:color="000000"/>
              <w:left w:val="single" w:sz="6" w:space="0" w:color="000000"/>
              <w:right w:val="single" w:sz="6" w:space="0" w:color="000000"/>
            </w:tcBorders>
          </w:tcPr>
          <w:p w14:paraId="1023C4A6" w14:textId="77777777" w:rsidR="006F640E" w:rsidRPr="00A443AE" w:rsidRDefault="006F640E" w:rsidP="00D733EB">
            <w:pPr>
              <w:jc w:val="both"/>
              <w:rPr>
                <w:b/>
                <w:sz w:val="22"/>
                <w:szCs w:val="22"/>
              </w:rPr>
            </w:pPr>
            <w:r w:rsidRPr="00A443AE">
              <w:rPr>
                <w:b/>
                <w:sz w:val="22"/>
                <w:szCs w:val="22"/>
              </w:rPr>
              <w:t>Noteikuma projekta 23.2. punkts</w:t>
            </w:r>
          </w:p>
        </w:tc>
        <w:tc>
          <w:tcPr>
            <w:tcW w:w="4846" w:type="dxa"/>
            <w:gridSpan w:val="2"/>
            <w:tcBorders>
              <w:top w:val="single" w:sz="6" w:space="0" w:color="000000"/>
              <w:left w:val="single" w:sz="6" w:space="0" w:color="000000"/>
              <w:bottom w:val="single" w:sz="6" w:space="0" w:color="000000"/>
              <w:right w:val="single" w:sz="6" w:space="0" w:color="000000"/>
            </w:tcBorders>
          </w:tcPr>
          <w:p w14:paraId="473BBC04" w14:textId="77777777" w:rsidR="006F640E" w:rsidRPr="00A443AE" w:rsidRDefault="006F640E" w:rsidP="00D733EB">
            <w:pPr>
              <w:tabs>
                <w:tab w:val="left" w:pos="2679"/>
              </w:tabs>
              <w:jc w:val="both"/>
              <w:rPr>
                <w:b/>
                <w:sz w:val="22"/>
                <w:szCs w:val="22"/>
              </w:rPr>
            </w:pPr>
            <w:r w:rsidRPr="00A443AE">
              <w:rPr>
                <w:b/>
                <w:sz w:val="22"/>
                <w:szCs w:val="22"/>
              </w:rPr>
              <w:t>Tieslietu ministrijas 26.06.2020. atzinuma 2.iebildums:</w:t>
            </w:r>
          </w:p>
          <w:p w14:paraId="59A8C9A2" w14:textId="77777777" w:rsidR="006F640E" w:rsidRPr="00A443AE" w:rsidRDefault="006F640E" w:rsidP="00D733EB">
            <w:pPr>
              <w:tabs>
                <w:tab w:val="left" w:pos="2679"/>
              </w:tabs>
              <w:jc w:val="both"/>
              <w:rPr>
                <w:bCs/>
                <w:sz w:val="22"/>
                <w:szCs w:val="22"/>
              </w:rPr>
            </w:pPr>
            <w:r w:rsidRPr="00A443AE">
              <w:rPr>
                <w:bCs/>
                <w:sz w:val="22"/>
                <w:szCs w:val="22"/>
              </w:rPr>
              <w:t>2. Ja Ekonomikas ministrijas ieskatā finansējums tomēr nav piešķirams lēmuma pieņemšanas brīdī finanšu grūtībās esošam komersantam, tad papildus norādāms turpmākais attiecībā uz projekta 23.2. apakšpunktu.</w:t>
            </w:r>
          </w:p>
          <w:p w14:paraId="3B4C2012" w14:textId="77777777" w:rsidR="006F640E" w:rsidRPr="00A443AE" w:rsidRDefault="006F640E" w:rsidP="00D733EB">
            <w:pPr>
              <w:tabs>
                <w:tab w:val="left" w:pos="2679"/>
              </w:tabs>
              <w:jc w:val="both"/>
              <w:rPr>
                <w:bCs/>
                <w:sz w:val="22"/>
                <w:szCs w:val="22"/>
              </w:rPr>
            </w:pPr>
            <w:r w:rsidRPr="00A443AE">
              <w:rPr>
                <w:bCs/>
                <w:sz w:val="22"/>
                <w:szCs w:val="22"/>
              </w:rPr>
              <w:t>2.1. Tieslietu ministrija uztur tās 2020. gada 12. maija atzinuma 1.2., 1.3. un 1.4. punktā norādīto, iebildumus attiecīgi neatkārtojot. Minētajā normā norādītais formulējuma un konceptuālā ziņā no maksātnespējas jomas perspektīvas ir novecojis un to ir nepieciešams precizēt atbilstoši esošajai nacionālajai un Eiropas Savienības izpratnei.</w:t>
            </w:r>
          </w:p>
          <w:p w14:paraId="727732AB" w14:textId="77777777" w:rsidR="006F640E" w:rsidRPr="00A443AE" w:rsidRDefault="006F640E" w:rsidP="00D733EB">
            <w:pPr>
              <w:tabs>
                <w:tab w:val="left" w:pos="2679"/>
              </w:tabs>
              <w:jc w:val="both"/>
              <w:rPr>
                <w:bCs/>
                <w:sz w:val="22"/>
                <w:szCs w:val="22"/>
              </w:rPr>
            </w:pPr>
            <w:r w:rsidRPr="00A443AE">
              <w:rPr>
                <w:bCs/>
                <w:sz w:val="22"/>
                <w:szCs w:val="22"/>
              </w:rPr>
              <w:t xml:space="preserve">Saistībā ar minēto papildus uzsveram, ka pēdējos gados arvien </w:t>
            </w:r>
            <w:proofErr w:type="spellStart"/>
            <w:r w:rsidRPr="00A443AE">
              <w:rPr>
                <w:bCs/>
                <w:sz w:val="22"/>
                <w:szCs w:val="22"/>
              </w:rPr>
              <w:t>izteiktāk</w:t>
            </w:r>
            <w:proofErr w:type="spellEnd"/>
            <w:r w:rsidRPr="00A443AE">
              <w:rPr>
                <w:bCs/>
                <w:sz w:val="22"/>
                <w:szCs w:val="22"/>
              </w:rPr>
              <w:t xml:space="preserve"> mainās restrukturizācijas procesu nozīmība un izpratne par tiem, arī Eiropas Savienībai stiprinot uzņēmumu iespējas piekļūt restrukturizācijas procesiem (skat. Eiropas Parlamenta un Padomes (ES) 2019. gada 26. jūnija direktīvu Nr. 2019/1023 par preventīvās pārstrukturēšanas regulējumu, parādsaistību dzēšanu un diskvalifikāciju un ar pārstrukturēšanu, maksātnespēju un parādsaistību dzēšanu saistīto procedūru efektivitātes palielināšanas pasākumiem un ar ko groza Direktīvu (ES) 2017/1132 (Direktīva </w:t>
            </w:r>
            <w:r w:rsidRPr="00A443AE">
              <w:rPr>
                <w:bCs/>
                <w:sz w:val="22"/>
                <w:szCs w:val="22"/>
              </w:rPr>
              <w:lastRenderedPageBreak/>
              <w:t>par pārstrukturēšanu un maksātnespēju)). Vēl pirms minētās direktīvas pieņemšanas 2018. gadā veiktā pētījumā secināts, ka Latvijā bez Maksātnespējas likuma un Civilprocesa likuma tiesību normas, kurās ir atsauce uz tiesiskās aizsardzības procesiem, ietvertas kopumā vēl vismaz 20 likumos, kā arī 172 Ministru Kabineta noteikumos (skat. http://petijumi.mk.gov.lv/sites/default/files/title_file/Zinojums_Par_tiesiskas_aizsardzibas_procesa_efektivitati.pdf, 24. lpp.). Jāatzīmē, ka lielākā daļa no šīm normām noteic, ka tiesiskās aizsardzības process ir automātisks šķērslis uzņēmumam turpināt vai saņemt darbību, pakalpojumu, atbalstu u.tml. Norādāms, ka šāda pieeja nav atbalstāma, ņemot vērā, ka tiesiskās aizsardzības procesa esamība automātiski nenozīmē, ka uzņēmums nav dzīvotspējīgs.</w:t>
            </w:r>
          </w:p>
          <w:p w14:paraId="61DFCC0C" w14:textId="77777777" w:rsidR="006F640E" w:rsidRPr="00A443AE" w:rsidRDefault="006F640E" w:rsidP="00D733EB">
            <w:pPr>
              <w:tabs>
                <w:tab w:val="left" w:pos="2679"/>
              </w:tabs>
              <w:jc w:val="both"/>
              <w:rPr>
                <w:bCs/>
                <w:sz w:val="22"/>
                <w:szCs w:val="22"/>
              </w:rPr>
            </w:pPr>
            <w:r w:rsidRPr="00A443AE">
              <w:rPr>
                <w:bCs/>
                <w:sz w:val="22"/>
                <w:szCs w:val="22"/>
              </w:rPr>
              <w:t>2.2. Lūdzam vārdus “ar tiesas spriedumu ir pasludināts maksātnespējas process” aizstāt ar vārdiem “ar tiesas nolēmumu ir pasludināts maksātnespējas process”, ievērojot, ka juridiskās personas maksātnespējas process var tikt pasludināts arī ar tiesas lēmumu (gadījumos, kad vienlaikus tiek izbeigta tiesiskās aizsardzības process pārejot uz maksātnespējas procesu).</w:t>
            </w:r>
          </w:p>
          <w:p w14:paraId="61A3C0FF" w14:textId="77777777" w:rsidR="006F640E" w:rsidRPr="00A443AE" w:rsidRDefault="006F640E" w:rsidP="00D733EB">
            <w:pPr>
              <w:tabs>
                <w:tab w:val="left" w:pos="2679"/>
              </w:tabs>
              <w:jc w:val="both"/>
              <w:rPr>
                <w:bCs/>
                <w:sz w:val="22"/>
                <w:szCs w:val="22"/>
              </w:rPr>
            </w:pPr>
            <w:r w:rsidRPr="00A443AE">
              <w:rPr>
                <w:bCs/>
                <w:sz w:val="22"/>
                <w:szCs w:val="22"/>
              </w:rPr>
              <w:t>2.3. Lūdzam arī svītrot vārdus “ir uzsākta bankrota procedūra”, ievērojot, ka pašlaik vairs netiek atsevišķi pieņemts nolēmums par bankrota procedūras uzsākšanu, tā kā bankrota procedūra tiek uzsākta automātiski līdz ar maksātnespējas procesa pasludināšanu.</w:t>
            </w:r>
          </w:p>
        </w:tc>
        <w:tc>
          <w:tcPr>
            <w:tcW w:w="3092" w:type="dxa"/>
            <w:tcBorders>
              <w:top w:val="single" w:sz="6" w:space="0" w:color="000000"/>
              <w:left w:val="single" w:sz="6" w:space="0" w:color="000000"/>
              <w:bottom w:val="single" w:sz="6" w:space="0" w:color="000000"/>
              <w:right w:val="single" w:sz="6" w:space="0" w:color="000000"/>
            </w:tcBorders>
          </w:tcPr>
          <w:p w14:paraId="622FF244" w14:textId="77777777" w:rsidR="006F640E" w:rsidRPr="00A443AE" w:rsidRDefault="006F640E" w:rsidP="00D733EB">
            <w:pPr>
              <w:pStyle w:val="naisc"/>
              <w:spacing w:before="0" w:after="0"/>
              <w:rPr>
                <w:b/>
                <w:sz w:val="22"/>
                <w:szCs w:val="22"/>
              </w:rPr>
            </w:pPr>
            <w:r w:rsidRPr="00A443AE">
              <w:rPr>
                <w:b/>
                <w:sz w:val="22"/>
                <w:szCs w:val="22"/>
              </w:rPr>
              <w:lastRenderedPageBreak/>
              <w:t>Ņemts vērā</w:t>
            </w:r>
          </w:p>
          <w:p w14:paraId="646E0FAA" w14:textId="77777777" w:rsidR="006F640E" w:rsidRPr="00A443AE" w:rsidRDefault="006F640E" w:rsidP="00D733EB">
            <w:pPr>
              <w:pStyle w:val="naisc"/>
              <w:spacing w:before="0" w:after="0"/>
              <w:rPr>
                <w:b/>
                <w:sz w:val="22"/>
                <w:szCs w:val="22"/>
              </w:rPr>
            </w:pPr>
          </w:p>
          <w:p w14:paraId="6D5BDB59" w14:textId="77777777" w:rsidR="006F640E" w:rsidRPr="00A443AE" w:rsidRDefault="006F640E" w:rsidP="00D733EB">
            <w:pPr>
              <w:pStyle w:val="naisc"/>
              <w:spacing w:before="0" w:after="0"/>
              <w:jc w:val="left"/>
              <w:rPr>
                <w:b/>
                <w:sz w:val="22"/>
                <w:szCs w:val="22"/>
              </w:rPr>
            </w:pPr>
          </w:p>
          <w:p w14:paraId="77FAE96D" w14:textId="77777777" w:rsidR="006F640E" w:rsidRPr="00A443AE" w:rsidRDefault="006F640E" w:rsidP="00D733EB">
            <w:pPr>
              <w:pStyle w:val="naisc"/>
              <w:spacing w:before="0" w:after="0"/>
              <w:jc w:val="left"/>
              <w:rPr>
                <w:b/>
                <w:sz w:val="22"/>
                <w:szCs w:val="22"/>
              </w:rPr>
            </w:pPr>
          </w:p>
        </w:tc>
        <w:tc>
          <w:tcPr>
            <w:tcW w:w="3402" w:type="dxa"/>
            <w:tcBorders>
              <w:top w:val="single" w:sz="4" w:space="0" w:color="auto"/>
              <w:left w:val="single" w:sz="4" w:space="0" w:color="auto"/>
              <w:bottom w:val="single" w:sz="4" w:space="0" w:color="auto"/>
            </w:tcBorders>
          </w:tcPr>
          <w:p w14:paraId="6FDA03CA" w14:textId="77777777" w:rsidR="006F640E" w:rsidRPr="00A443AE" w:rsidRDefault="006F640E" w:rsidP="00D733EB">
            <w:pPr>
              <w:jc w:val="both"/>
              <w:rPr>
                <w:b/>
                <w:sz w:val="22"/>
                <w:szCs w:val="22"/>
              </w:rPr>
            </w:pPr>
          </w:p>
        </w:tc>
      </w:tr>
      <w:tr w:rsidR="006F640E" w:rsidRPr="00A443AE" w14:paraId="67B67C09" w14:textId="77777777" w:rsidTr="00244E13">
        <w:trPr>
          <w:trHeight w:val="1270"/>
        </w:trPr>
        <w:tc>
          <w:tcPr>
            <w:tcW w:w="567" w:type="dxa"/>
            <w:tcBorders>
              <w:top w:val="single" w:sz="6" w:space="0" w:color="000000"/>
              <w:left w:val="single" w:sz="6" w:space="0" w:color="000000"/>
              <w:right w:val="single" w:sz="6" w:space="0" w:color="000000"/>
            </w:tcBorders>
          </w:tcPr>
          <w:p w14:paraId="671B53A7" w14:textId="671EEC95" w:rsidR="006F640E" w:rsidRPr="00A443AE" w:rsidRDefault="006F640E" w:rsidP="00D733EB">
            <w:pPr>
              <w:pStyle w:val="naisc"/>
              <w:spacing w:before="0" w:after="0"/>
              <w:jc w:val="both"/>
              <w:rPr>
                <w:sz w:val="22"/>
                <w:szCs w:val="22"/>
              </w:rPr>
            </w:pPr>
            <w:r w:rsidRPr="00A443AE">
              <w:rPr>
                <w:sz w:val="22"/>
                <w:szCs w:val="22"/>
              </w:rPr>
              <w:t>1</w:t>
            </w:r>
            <w:r w:rsidR="00315B9F">
              <w:rPr>
                <w:sz w:val="22"/>
                <w:szCs w:val="22"/>
              </w:rPr>
              <w:t>1</w:t>
            </w:r>
            <w:r w:rsidRPr="00A443AE">
              <w:rPr>
                <w:sz w:val="22"/>
                <w:szCs w:val="22"/>
              </w:rPr>
              <w:t>.</w:t>
            </w:r>
          </w:p>
        </w:tc>
        <w:tc>
          <w:tcPr>
            <w:tcW w:w="2835" w:type="dxa"/>
            <w:gridSpan w:val="2"/>
            <w:tcBorders>
              <w:top w:val="single" w:sz="6" w:space="0" w:color="000000"/>
              <w:left w:val="single" w:sz="6" w:space="0" w:color="000000"/>
              <w:right w:val="single" w:sz="6" w:space="0" w:color="000000"/>
            </w:tcBorders>
          </w:tcPr>
          <w:p w14:paraId="1E652BB3" w14:textId="77777777" w:rsidR="006F640E" w:rsidRPr="00A443AE" w:rsidRDefault="006F640E" w:rsidP="00D733EB">
            <w:pPr>
              <w:jc w:val="both"/>
              <w:rPr>
                <w:b/>
                <w:sz w:val="22"/>
                <w:szCs w:val="22"/>
              </w:rPr>
            </w:pPr>
            <w:r w:rsidRPr="00A443AE">
              <w:rPr>
                <w:b/>
                <w:sz w:val="22"/>
                <w:szCs w:val="22"/>
              </w:rPr>
              <w:t>Noteikuma projekta 18.punkts un 35.punkts</w:t>
            </w:r>
          </w:p>
        </w:tc>
        <w:tc>
          <w:tcPr>
            <w:tcW w:w="4846" w:type="dxa"/>
            <w:gridSpan w:val="2"/>
            <w:tcBorders>
              <w:top w:val="single" w:sz="6" w:space="0" w:color="000000"/>
              <w:left w:val="single" w:sz="6" w:space="0" w:color="000000"/>
              <w:bottom w:val="single" w:sz="6" w:space="0" w:color="000000"/>
              <w:right w:val="single" w:sz="6" w:space="0" w:color="000000"/>
            </w:tcBorders>
          </w:tcPr>
          <w:p w14:paraId="2A4A3970" w14:textId="77777777" w:rsidR="006F640E" w:rsidRPr="00A443AE" w:rsidRDefault="006F640E" w:rsidP="00D733EB">
            <w:pPr>
              <w:tabs>
                <w:tab w:val="left" w:pos="2679"/>
              </w:tabs>
              <w:jc w:val="both"/>
              <w:rPr>
                <w:b/>
                <w:sz w:val="22"/>
                <w:szCs w:val="22"/>
              </w:rPr>
            </w:pPr>
            <w:r w:rsidRPr="00A443AE">
              <w:rPr>
                <w:b/>
                <w:sz w:val="22"/>
                <w:szCs w:val="22"/>
              </w:rPr>
              <w:t>Tieslietu ministrijas 26.06.2020. atzinuma 3.iebildums:</w:t>
            </w:r>
          </w:p>
          <w:p w14:paraId="7C8A3522" w14:textId="77777777" w:rsidR="006F640E" w:rsidRPr="00A443AE" w:rsidRDefault="006F640E" w:rsidP="00D733EB">
            <w:pPr>
              <w:tabs>
                <w:tab w:val="left" w:pos="2679"/>
              </w:tabs>
              <w:jc w:val="both"/>
              <w:rPr>
                <w:bCs/>
                <w:sz w:val="22"/>
                <w:szCs w:val="22"/>
              </w:rPr>
            </w:pPr>
            <w:r w:rsidRPr="00A443AE">
              <w:rPr>
                <w:bCs/>
                <w:sz w:val="22"/>
                <w:szCs w:val="22"/>
              </w:rPr>
              <w:t xml:space="preserve">3. Tieslietu ministrijas 2020. gada 12. maija atzinumā tika lūgts visā projektā precizēt terminus “birža” un “kotēt” tā, lai tie atbilstu Komerclikumā un Finanšu instrumentu tirgus likumā lietotajai terminoloģijai. Ņemot vērā, minēto, norādām, ka projekta 18. un 35. punktos ir saglabājies termins </w:t>
            </w:r>
            <w:r w:rsidRPr="00A443AE">
              <w:rPr>
                <w:bCs/>
                <w:sz w:val="22"/>
                <w:szCs w:val="22"/>
              </w:rPr>
              <w:lastRenderedPageBreak/>
              <w:t>“biržā kotēts”, līdz ar to lūdzam precizēt minēto terminu atbilstoši Komerclikumā un Finanšu instrumentu tirgus likumā lietotajai terminoloģijai.</w:t>
            </w:r>
          </w:p>
        </w:tc>
        <w:tc>
          <w:tcPr>
            <w:tcW w:w="3092" w:type="dxa"/>
            <w:tcBorders>
              <w:top w:val="single" w:sz="6" w:space="0" w:color="000000"/>
              <w:left w:val="single" w:sz="6" w:space="0" w:color="000000"/>
              <w:bottom w:val="single" w:sz="6" w:space="0" w:color="000000"/>
              <w:right w:val="single" w:sz="6" w:space="0" w:color="000000"/>
            </w:tcBorders>
          </w:tcPr>
          <w:p w14:paraId="5D254313" w14:textId="77777777" w:rsidR="006F640E" w:rsidRPr="00A443AE" w:rsidRDefault="006F640E" w:rsidP="00D733EB">
            <w:pPr>
              <w:pStyle w:val="naisc"/>
              <w:spacing w:before="0" w:after="0"/>
              <w:rPr>
                <w:b/>
                <w:sz w:val="22"/>
                <w:szCs w:val="22"/>
              </w:rPr>
            </w:pPr>
            <w:r w:rsidRPr="00A443AE">
              <w:rPr>
                <w:b/>
                <w:sz w:val="22"/>
                <w:szCs w:val="22"/>
              </w:rPr>
              <w:lastRenderedPageBreak/>
              <w:t>Ņemts vērā.</w:t>
            </w:r>
          </w:p>
        </w:tc>
        <w:tc>
          <w:tcPr>
            <w:tcW w:w="3402" w:type="dxa"/>
            <w:tcBorders>
              <w:top w:val="single" w:sz="4" w:space="0" w:color="auto"/>
              <w:left w:val="single" w:sz="4" w:space="0" w:color="auto"/>
              <w:bottom w:val="single" w:sz="4" w:space="0" w:color="auto"/>
            </w:tcBorders>
          </w:tcPr>
          <w:p w14:paraId="798B1521" w14:textId="77777777" w:rsidR="006F640E" w:rsidRPr="00A443AE" w:rsidRDefault="006F640E" w:rsidP="00D733EB">
            <w:pPr>
              <w:jc w:val="both"/>
              <w:rPr>
                <w:b/>
                <w:sz w:val="22"/>
                <w:szCs w:val="22"/>
              </w:rPr>
            </w:pPr>
            <w:r w:rsidRPr="00A443AE">
              <w:rPr>
                <w:b/>
                <w:sz w:val="22"/>
                <w:szCs w:val="22"/>
              </w:rPr>
              <w:t>Precizēts noteikumu projekta 18.punkts un 34.punkts.</w:t>
            </w:r>
          </w:p>
        </w:tc>
      </w:tr>
      <w:tr w:rsidR="006F640E" w:rsidRPr="00A443AE" w14:paraId="375D835D" w14:textId="77777777" w:rsidTr="00244E13">
        <w:trPr>
          <w:trHeight w:val="844"/>
        </w:trPr>
        <w:tc>
          <w:tcPr>
            <w:tcW w:w="567" w:type="dxa"/>
            <w:tcBorders>
              <w:top w:val="single" w:sz="6" w:space="0" w:color="000000"/>
              <w:left w:val="single" w:sz="6" w:space="0" w:color="000000"/>
              <w:right w:val="single" w:sz="6" w:space="0" w:color="000000"/>
            </w:tcBorders>
          </w:tcPr>
          <w:p w14:paraId="5EC15895" w14:textId="1454E547" w:rsidR="006F640E" w:rsidRPr="00A443AE" w:rsidRDefault="006F640E" w:rsidP="00D733EB">
            <w:pPr>
              <w:pStyle w:val="naisc"/>
              <w:spacing w:before="0" w:after="0"/>
              <w:jc w:val="both"/>
              <w:rPr>
                <w:sz w:val="22"/>
                <w:szCs w:val="22"/>
              </w:rPr>
            </w:pPr>
            <w:r w:rsidRPr="00A443AE">
              <w:rPr>
                <w:sz w:val="22"/>
                <w:szCs w:val="22"/>
              </w:rPr>
              <w:t>1</w:t>
            </w:r>
            <w:r w:rsidR="00315B9F">
              <w:rPr>
                <w:sz w:val="22"/>
                <w:szCs w:val="22"/>
              </w:rPr>
              <w:t>2</w:t>
            </w:r>
            <w:r w:rsidRPr="00A443AE">
              <w:rPr>
                <w:sz w:val="22"/>
                <w:szCs w:val="22"/>
              </w:rPr>
              <w:t>.</w:t>
            </w:r>
          </w:p>
        </w:tc>
        <w:tc>
          <w:tcPr>
            <w:tcW w:w="2835" w:type="dxa"/>
            <w:gridSpan w:val="2"/>
            <w:tcBorders>
              <w:top w:val="single" w:sz="6" w:space="0" w:color="000000"/>
              <w:left w:val="single" w:sz="6" w:space="0" w:color="000000"/>
              <w:right w:val="single" w:sz="6" w:space="0" w:color="000000"/>
            </w:tcBorders>
          </w:tcPr>
          <w:p w14:paraId="3A703AE0" w14:textId="77777777" w:rsidR="006F640E" w:rsidRPr="00A443AE" w:rsidRDefault="006F640E" w:rsidP="00D733EB">
            <w:pPr>
              <w:jc w:val="both"/>
              <w:rPr>
                <w:b/>
                <w:sz w:val="22"/>
                <w:szCs w:val="22"/>
              </w:rPr>
            </w:pPr>
            <w:r w:rsidRPr="00A443AE">
              <w:rPr>
                <w:b/>
                <w:sz w:val="22"/>
                <w:szCs w:val="22"/>
              </w:rPr>
              <w:t>Noteikumu projekta 19.punkts</w:t>
            </w:r>
          </w:p>
        </w:tc>
        <w:tc>
          <w:tcPr>
            <w:tcW w:w="4846" w:type="dxa"/>
            <w:gridSpan w:val="2"/>
            <w:tcBorders>
              <w:top w:val="single" w:sz="6" w:space="0" w:color="000000"/>
              <w:left w:val="single" w:sz="6" w:space="0" w:color="000000"/>
              <w:bottom w:val="single" w:sz="6" w:space="0" w:color="000000"/>
              <w:right w:val="single" w:sz="6" w:space="0" w:color="000000"/>
            </w:tcBorders>
          </w:tcPr>
          <w:p w14:paraId="7E8F68AE" w14:textId="77777777" w:rsidR="006F640E" w:rsidRPr="00A443AE" w:rsidRDefault="006F640E" w:rsidP="00D733EB">
            <w:pPr>
              <w:tabs>
                <w:tab w:val="left" w:pos="2679"/>
              </w:tabs>
              <w:jc w:val="both"/>
              <w:rPr>
                <w:b/>
                <w:sz w:val="22"/>
                <w:szCs w:val="22"/>
              </w:rPr>
            </w:pPr>
            <w:r w:rsidRPr="00A443AE">
              <w:rPr>
                <w:b/>
                <w:sz w:val="22"/>
                <w:szCs w:val="22"/>
              </w:rPr>
              <w:t>Tieslietu ministrijas 12.05.2020. atzinuma 2.iebildums:</w:t>
            </w:r>
          </w:p>
          <w:p w14:paraId="5EAFDC16" w14:textId="77777777" w:rsidR="006F640E" w:rsidRPr="00A443AE" w:rsidRDefault="006F640E" w:rsidP="00D733EB">
            <w:pPr>
              <w:tabs>
                <w:tab w:val="left" w:pos="2679"/>
              </w:tabs>
              <w:jc w:val="both"/>
              <w:rPr>
                <w:bCs/>
                <w:sz w:val="22"/>
                <w:szCs w:val="22"/>
              </w:rPr>
            </w:pPr>
            <w:r w:rsidRPr="00A443AE">
              <w:rPr>
                <w:bCs/>
                <w:sz w:val="22"/>
                <w:szCs w:val="22"/>
              </w:rPr>
              <w:t xml:space="preserve">Projekta 19. punktā noteikts, ka: “Ja saskaņā ar šo noteikumu 18 punktu komersants ir nonācis finanšu grūtībās vai uz finansējuma piešķiršanas brīdi tam ar tiesas spriedumu tiek īstenots tiesiskās aizsardzības process, vai komersants atbilst normatīvajos aktos maksātnespējas jomā noteiktajiem kritērijiem, lai tam pēc kreditoru pieprasījuma pieprasītu maksātnespējas procedūru, tas var saņemt pārstrukturēšanas atbalstu, veicot individuālo atbalsta pasākuma notifikāciju Eiropas Komisijā”. </w:t>
            </w:r>
          </w:p>
          <w:p w14:paraId="1B9B2205" w14:textId="77777777" w:rsidR="006F640E" w:rsidRPr="00A443AE" w:rsidRDefault="006F640E" w:rsidP="00D733EB">
            <w:pPr>
              <w:tabs>
                <w:tab w:val="left" w:pos="2679"/>
              </w:tabs>
              <w:jc w:val="both"/>
              <w:rPr>
                <w:bCs/>
                <w:sz w:val="22"/>
                <w:szCs w:val="22"/>
              </w:rPr>
            </w:pPr>
            <w:r w:rsidRPr="00A443AE">
              <w:rPr>
                <w:bCs/>
                <w:sz w:val="22"/>
                <w:szCs w:val="22"/>
              </w:rPr>
              <w:t xml:space="preserve">Vēršam uzmanību, ka, gadījumā, ja “finanšu grūtības” paredzētas Komisijas regulas </w:t>
            </w:r>
            <w:proofErr w:type="spellStart"/>
            <w:r w:rsidRPr="00A443AE">
              <w:rPr>
                <w:bCs/>
                <w:sz w:val="22"/>
                <w:szCs w:val="22"/>
              </w:rPr>
              <w:t>Nr</w:t>
            </w:r>
            <w:proofErr w:type="spellEnd"/>
            <w:r w:rsidRPr="00A443AE">
              <w:rPr>
                <w:bCs/>
                <w:sz w:val="22"/>
                <w:szCs w:val="22"/>
              </w:rPr>
              <w:t xml:space="preserve">  651/2014 2. panta 18. punktā noteiktās definīcijas ietvaros, tad alternatīvie nosacījumi ir lieki, turklāt šaurāki par šo noteikumu 17.2. apakšpunktā noteikto. </w:t>
            </w:r>
          </w:p>
          <w:p w14:paraId="2974CE1E" w14:textId="77777777" w:rsidR="006F640E" w:rsidRPr="00A443AE" w:rsidRDefault="006F640E" w:rsidP="00D733EB">
            <w:pPr>
              <w:tabs>
                <w:tab w:val="left" w:pos="2679"/>
              </w:tabs>
              <w:jc w:val="both"/>
              <w:rPr>
                <w:b/>
                <w:sz w:val="22"/>
                <w:szCs w:val="22"/>
              </w:rPr>
            </w:pPr>
            <w:r w:rsidRPr="00A443AE">
              <w:rPr>
                <w:bCs/>
                <w:sz w:val="22"/>
                <w:szCs w:val="22"/>
              </w:rPr>
              <w:t>Ņemot vērā minēto, lūdzam pārskatīt Projekta 19. punktu kontekstā ar iepriekš minēto.</w:t>
            </w:r>
          </w:p>
        </w:tc>
        <w:tc>
          <w:tcPr>
            <w:tcW w:w="3092" w:type="dxa"/>
            <w:tcBorders>
              <w:top w:val="single" w:sz="6" w:space="0" w:color="000000"/>
              <w:left w:val="single" w:sz="6" w:space="0" w:color="000000"/>
              <w:bottom w:val="single" w:sz="6" w:space="0" w:color="000000"/>
              <w:right w:val="single" w:sz="6" w:space="0" w:color="000000"/>
            </w:tcBorders>
          </w:tcPr>
          <w:p w14:paraId="01142680" w14:textId="77777777" w:rsidR="006F640E" w:rsidRPr="00A443AE" w:rsidRDefault="006F640E" w:rsidP="00D733EB">
            <w:pPr>
              <w:pStyle w:val="naisc"/>
              <w:spacing w:before="0" w:after="0"/>
              <w:rPr>
                <w:b/>
                <w:sz w:val="22"/>
                <w:szCs w:val="22"/>
              </w:rPr>
            </w:pPr>
            <w:r w:rsidRPr="00A443AE">
              <w:rPr>
                <w:b/>
                <w:sz w:val="22"/>
                <w:szCs w:val="22"/>
              </w:rPr>
              <w:t>Ņemts vērā</w:t>
            </w:r>
          </w:p>
          <w:p w14:paraId="7D15A88E" w14:textId="77777777" w:rsidR="006F640E" w:rsidRPr="00A443AE" w:rsidRDefault="006F640E" w:rsidP="00D733EB">
            <w:pPr>
              <w:pStyle w:val="naisc"/>
              <w:spacing w:before="0" w:after="0"/>
              <w:rPr>
                <w:b/>
                <w:sz w:val="22"/>
                <w:szCs w:val="22"/>
              </w:rPr>
            </w:pPr>
          </w:p>
          <w:p w14:paraId="42F0484C" w14:textId="77777777" w:rsidR="006F640E" w:rsidRPr="00A443AE" w:rsidRDefault="006F640E" w:rsidP="00D733EB">
            <w:pPr>
              <w:pStyle w:val="naisc"/>
              <w:spacing w:before="0" w:after="0"/>
              <w:jc w:val="left"/>
              <w:rPr>
                <w:b/>
                <w:sz w:val="22"/>
                <w:szCs w:val="22"/>
              </w:rPr>
            </w:pPr>
          </w:p>
        </w:tc>
        <w:tc>
          <w:tcPr>
            <w:tcW w:w="3402" w:type="dxa"/>
            <w:tcBorders>
              <w:top w:val="single" w:sz="4" w:space="0" w:color="auto"/>
              <w:left w:val="single" w:sz="4" w:space="0" w:color="auto"/>
              <w:bottom w:val="single" w:sz="4" w:space="0" w:color="auto"/>
            </w:tcBorders>
          </w:tcPr>
          <w:p w14:paraId="1712629B" w14:textId="77777777" w:rsidR="006F640E" w:rsidRPr="00A443AE" w:rsidRDefault="006F640E" w:rsidP="00D733EB">
            <w:pPr>
              <w:jc w:val="both"/>
              <w:rPr>
                <w:b/>
                <w:sz w:val="22"/>
                <w:szCs w:val="22"/>
              </w:rPr>
            </w:pPr>
            <w:r w:rsidRPr="00A443AE">
              <w:rPr>
                <w:b/>
                <w:sz w:val="22"/>
                <w:szCs w:val="22"/>
              </w:rPr>
              <w:t>Precizēts noteikuma projekta 19.punkts, to svītrojot.</w:t>
            </w:r>
          </w:p>
        </w:tc>
      </w:tr>
      <w:tr w:rsidR="00244E13" w:rsidRPr="00A443AE" w14:paraId="14A90C59" w14:textId="77777777" w:rsidTr="00244E13">
        <w:trPr>
          <w:trHeight w:val="1270"/>
        </w:trPr>
        <w:tc>
          <w:tcPr>
            <w:tcW w:w="567" w:type="dxa"/>
            <w:tcBorders>
              <w:top w:val="single" w:sz="6" w:space="0" w:color="000000"/>
              <w:left w:val="single" w:sz="6" w:space="0" w:color="000000"/>
              <w:right w:val="single" w:sz="6" w:space="0" w:color="000000"/>
            </w:tcBorders>
          </w:tcPr>
          <w:p w14:paraId="49CC3D6B" w14:textId="687F17E7" w:rsidR="00244E13" w:rsidRPr="00A443AE" w:rsidRDefault="00315B9F" w:rsidP="00D733EB">
            <w:pPr>
              <w:pStyle w:val="naisc"/>
              <w:spacing w:before="0" w:after="0"/>
              <w:jc w:val="both"/>
              <w:rPr>
                <w:sz w:val="22"/>
                <w:szCs w:val="22"/>
              </w:rPr>
            </w:pPr>
            <w:r>
              <w:rPr>
                <w:sz w:val="22"/>
                <w:szCs w:val="22"/>
              </w:rPr>
              <w:t>13.</w:t>
            </w:r>
          </w:p>
        </w:tc>
        <w:tc>
          <w:tcPr>
            <w:tcW w:w="2835" w:type="dxa"/>
            <w:gridSpan w:val="2"/>
            <w:tcBorders>
              <w:top w:val="single" w:sz="6" w:space="0" w:color="000000"/>
              <w:left w:val="single" w:sz="6" w:space="0" w:color="000000"/>
              <w:right w:val="single" w:sz="6" w:space="0" w:color="000000"/>
            </w:tcBorders>
          </w:tcPr>
          <w:p w14:paraId="3B5D0950" w14:textId="63E9C1E7" w:rsidR="00244E13" w:rsidRPr="00A443AE" w:rsidRDefault="00244E13" w:rsidP="00D733EB">
            <w:pPr>
              <w:jc w:val="both"/>
              <w:rPr>
                <w:b/>
                <w:sz w:val="22"/>
                <w:szCs w:val="22"/>
              </w:rPr>
            </w:pPr>
            <w:r>
              <w:rPr>
                <w:b/>
                <w:sz w:val="22"/>
                <w:szCs w:val="22"/>
              </w:rPr>
              <w:t>Noteikumu projekts</w:t>
            </w:r>
          </w:p>
        </w:tc>
        <w:tc>
          <w:tcPr>
            <w:tcW w:w="4846" w:type="dxa"/>
            <w:gridSpan w:val="2"/>
            <w:tcBorders>
              <w:top w:val="single" w:sz="6" w:space="0" w:color="000000"/>
              <w:left w:val="single" w:sz="6" w:space="0" w:color="000000"/>
              <w:bottom w:val="single" w:sz="6" w:space="0" w:color="000000"/>
              <w:right w:val="single" w:sz="6" w:space="0" w:color="000000"/>
            </w:tcBorders>
          </w:tcPr>
          <w:p w14:paraId="4C9DF9C1" w14:textId="28274802" w:rsidR="00244E13" w:rsidRPr="00244E13" w:rsidRDefault="00244E13" w:rsidP="00244E13">
            <w:pPr>
              <w:jc w:val="both"/>
              <w:rPr>
                <w:sz w:val="22"/>
                <w:szCs w:val="22"/>
              </w:rPr>
            </w:pPr>
            <w:r w:rsidRPr="000B3751">
              <w:rPr>
                <w:b/>
                <w:sz w:val="22"/>
                <w:szCs w:val="22"/>
              </w:rPr>
              <w:t>Finanšu ministrijas 07.07.2020. 4.iebildums</w:t>
            </w:r>
          </w:p>
          <w:p w14:paraId="2C732779" w14:textId="40A9C958" w:rsidR="00244E13" w:rsidRPr="00244E13" w:rsidRDefault="00244E13" w:rsidP="00244E13">
            <w:pPr>
              <w:jc w:val="both"/>
              <w:rPr>
                <w:sz w:val="22"/>
                <w:szCs w:val="22"/>
              </w:rPr>
            </w:pPr>
            <w:r w:rsidRPr="00244E13">
              <w:rPr>
                <w:sz w:val="22"/>
                <w:szCs w:val="22"/>
              </w:rPr>
              <w:t xml:space="preserve">Gadījumā, ja atbalsts šo noteikumu ietvaros tiks sniegts no ES struktūrfondu finansējuma vai </w:t>
            </w:r>
            <w:proofErr w:type="spellStart"/>
            <w:r w:rsidRPr="00244E13">
              <w:rPr>
                <w:sz w:val="22"/>
                <w:szCs w:val="22"/>
              </w:rPr>
              <w:t>virssaistību</w:t>
            </w:r>
            <w:proofErr w:type="spellEnd"/>
            <w:r w:rsidRPr="00244E13">
              <w:rPr>
                <w:sz w:val="22"/>
                <w:szCs w:val="22"/>
              </w:rPr>
              <w:t xml:space="preserve"> finansējuma, lūdzam ņemt vērā turpmāk minēto:</w:t>
            </w:r>
          </w:p>
          <w:p w14:paraId="58BE0DB2" w14:textId="77777777" w:rsidR="00244E13" w:rsidRPr="00244E13" w:rsidRDefault="00244E13" w:rsidP="00244E13">
            <w:pPr>
              <w:pStyle w:val="ListParagraph"/>
              <w:numPr>
                <w:ilvl w:val="0"/>
                <w:numId w:val="26"/>
              </w:numPr>
              <w:spacing w:after="0" w:line="240" w:lineRule="auto"/>
              <w:ind w:left="0" w:firstLine="360"/>
              <w:contextualSpacing w:val="0"/>
              <w:jc w:val="both"/>
              <w:rPr>
                <w:rFonts w:ascii="Times New Roman" w:hAnsi="Times New Roman"/>
              </w:rPr>
            </w:pPr>
            <w:r w:rsidRPr="00244E13">
              <w:rPr>
                <w:rFonts w:ascii="Times New Roman" w:hAnsi="Times New Roman"/>
              </w:rPr>
              <w:t xml:space="preserve">lūdzam precizēt noteikumu projektu atbilstoši Eiropas Savienības struktūrfondu un Kohēzijas fonda (turpmāk – ES struktūrfondi) vadošās iestādes 2017.gada 19.jūnija kārtības Nr.2.2. “Vadlīnijas Ministru kabineta noteikumu par specifiskā atbalsta mērķa īstenošanu izstrādei” (pieejami ES fondu mājas lapā: </w:t>
            </w:r>
            <w:hyperlink r:id="rId7" w:history="1">
              <w:r w:rsidRPr="00244E13">
                <w:rPr>
                  <w:rStyle w:val="Hyperlink"/>
                  <w:rFonts w:ascii="Times New Roman" w:hAnsi="Times New Roman"/>
                </w:rPr>
                <w:t>https://www.esfondi.lv/vadlinijas--skaidrojumi</w:t>
              </w:r>
            </w:hyperlink>
            <w:r w:rsidRPr="00244E13">
              <w:rPr>
                <w:rFonts w:ascii="Times New Roman" w:hAnsi="Times New Roman"/>
              </w:rPr>
              <w:t xml:space="preserve">) nosacījumiem, tas ir, precizēt noteikumu projekta </w:t>
            </w:r>
            <w:r w:rsidRPr="00244E13">
              <w:rPr>
                <w:rFonts w:ascii="Times New Roman" w:hAnsi="Times New Roman"/>
              </w:rPr>
              <w:lastRenderedPageBreak/>
              <w:t>nosaukumu, lai tas satur specifiskā atbalsta mērķa numuru, paredzēt sasniedzamos uzraudzības rādītājus un to sasniedzamās vērtības līdz 2023.gada 31.decembrim, paredzēt sadarbības iestādes (Centrālā finanšu un līgumu aģentūra) vienpusēja uzteikuma nosacījumus u.c. . Līdzīgi precizējumi jau ir veikti Ekonomikas ministrijas izstrādātajā Ministru kabineta noteikumu projektā “Darbības programmas ”Izaugsme un nodarbinātība” 1.2.1. specifiskā atbalsta mērķa “Palielināt privātā sektora investīcijas P&amp;A” 1.2.1.3. pasākuma “Aizdevumi un aizdevumu procentu likmju subsīdijas komersantiem konkurētspējas veicināšanai” īstenošanas noteikumi”;</w:t>
            </w:r>
          </w:p>
          <w:p w14:paraId="0E203D1C" w14:textId="77777777" w:rsidR="00244E13" w:rsidRPr="00244E13" w:rsidRDefault="00244E13" w:rsidP="00244E13">
            <w:pPr>
              <w:pStyle w:val="ListParagraph"/>
              <w:numPr>
                <w:ilvl w:val="0"/>
                <w:numId w:val="26"/>
              </w:numPr>
              <w:spacing w:after="0" w:line="240" w:lineRule="auto"/>
              <w:ind w:left="0" w:firstLine="360"/>
              <w:contextualSpacing w:val="0"/>
              <w:jc w:val="both"/>
              <w:rPr>
                <w:rFonts w:ascii="Times New Roman" w:hAnsi="Times New Roman"/>
              </w:rPr>
            </w:pPr>
            <w:r w:rsidRPr="00244E13">
              <w:rPr>
                <w:rFonts w:ascii="Times New Roman" w:hAnsi="Times New Roman"/>
              </w:rPr>
              <w:t>lai nodrošinātu to, ka šo noteikumu ietvaros paredzētās darbības būtu iespējams attiecināt no ES fondu finansējuma, lūdzam sagatavot un iesniegt ES fondu vadošai iestādei atsevišķu darbības programmas ”Izaugsme un nodarbinātība” grozījumu projektu, īpaši pamatojot specifiskā atbalsta mērķa izvēli šī atbalsta sniegšanai;</w:t>
            </w:r>
          </w:p>
          <w:p w14:paraId="05D50DAD" w14:textId="77777777" w:rsidR="00244E13" w:rsidRPr="00244E13" w:rsidRDefault="00244E13" w:rsidP="00244E13">
            <w:pPr>
              <w:pStyle w:val="ListParagraph"/>
              <w:numPr>
                <w:ilvl w:val="0"/>
                <w:numId w:val="26"/>
              </w:numPr>
              <w:spacing w:after="0" w:line="240" w:lineRule="auto"/>
              <w:ind w:left="0" w:firstLine="360"/>
              <w:contextualSpacing w:val="0"/>
              <w:jc w:val="both"/>
              <w:rPr>
                <w:rFonts w:ascii="Times New Roman" w:hAnsi="Times New Roman"/>
              </w:rPr>
            </w:pPr>
            <w:r w:rsidRPr="00244E13">
              <w:rPr>
                <w:rFonts w:ascii="Times New Roman" w:hAnsi="Times New Roman"/>
              </w:rPr>
              <w:t xml:space="preserve">ņemot vērā, ka šis ir jauns ES struktūrfondu finanšu instruments, tad ievērojot Eiropas Parlamenta un Padomes 2013.gada 17.decembra regulas Nr.1303/2013, </w:t>
            </w:r>
            <w:r w:rsidRPr="00244E13">
              <w:rPr>
                <w:rFonts w:ascii="Times New Roman" w:hAnsi="Times New Roman"/>
                <w:i/>
                <w:iCs/>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Pr="00244E13">
              <w:rPr>
                <w:rFonts w:ascii="Times New Roman" w:hAnsi="Times New Roman"/>
              </w:rPr>
              <w:t xml:space="preserve">, 37.panta 2.punkta nosacījumus, ERAF finansējums būs attiecināms deklarēšanai Eiropas Komisijai tikai pēc tirgus nepilnību </w:t>
            </w:r>
            <w:proofErr w:type="spellStart"/>
            <w:r w:rsidRPr="00244E13">
              <w:rPr>
                <w:rFonts w:ascii="Times New Roman" w:hAnsi="Times New Roman"/>
              </w:rPr>
              <w:t>izvērtējuma</w:t>
            </w:r>
            <w:proofErr w:type="spellEnd"/>
            <w:r w:rsidRPr="00244E13">
              <w:rPr>
                <w:rFonts w:ascii="Times New Roman" w:hAnsi="Times New Roman"/>
              </w:rPr>
              <w:t xml:space="preserve"> finanšu instrumenta pieejamības jomā saskaņošanas ES struktūrfondu Uzraudzības komitejā. Savukārt saskaņā ar </w:t>
            </w:r>
            <w:r w:rsidRPr="00244E13">
              <w:rPr>
                <w:rFonts w:ascii="Times New Roman" w:hAnsi="Times New Roman"/>
              </w:rPr>
              <w:lastRenderedPageBreak/>
              <w:t xml:space="preserve">Komisijas 2014.gada 3.marta deleģētās regulas Nr. 480/2014, ar kuru papildina Eiropas Parlamenta un Padomes Regulu (ES) Nr. 1303/2013, </w:t>
            </w:r>
            <w:r w:rsidRPr="00244E13">
              <w:rPr>
                <w:rFonts w:ascii="Times New Roman" w:hAnsi="Times New Roman"/>
                <w:i/>
                <w:iCs/>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rsidRPr="00244E13">
              <w:rPr>
                <w:rFonts w:ascii="Times New Roman" w:hAnsi="Times New Roman"/>
              </w:rPr>
              <w:t xml:space="preserve">, 7.pantam ir jāveic arī </w:t>
            </w:r>
            <w:r w:rsidRPr="00244E13">
              <w:rPr>
                <w:rFonts w:ascii="Times New Roman" w:hAnsi="Times New Roman"/>
                <w:color w:val="232324"/>
                <w:spacing w:val="2"/>
                <w:shd w:val="clear" w:color="auto" w:fill="FEFEFE"/>
              </w:rPr>
              <w:t xml:space="preserve">ALTUM </w:t>
            </w:r>
            <w:r w:rsidRPr="00244E13">
              <w:rPr>
                <w:rFonts w:ascii="Times New Roman" w:hAnsi="Times New Roman"/>
              </w:rPr>
              <w:t xml:space="preserve"> atbilstības </w:t>
            </w:r>
            <w:proofErr w:type="spellStart"/>
            <w:r w:rsidRPr="00244E13">
              <w:rPr>
                <w:rFonts w:ascii="Times New Roman" w:hAnsi="Times New Roman"/>
              </w:rPr>
              <w:t>izvērtējums</w:t>
            </w:r>
            <w:proofErr w:type="spellEnd"/>
            <w:r w:rsidRPr="00244E13">
              <w:rPr>
                <w:rFonts w:ascii="Times New Roman" w:hAnsi="Times New Roman"/>
              </w:rPr>
              <w:t xml:space="preserve">, kuru lūdzam ietvert noteikumu projekta anotācijas I sadaļas 2.punktā. </w:t>
            </w:r>
          </w:p>
          <w:p w14:paraId="597A69A8" w14:textId="77777777" w:rsidR="00244E13" w:rsidRPr="00244E13" w:rsidRDefault="00244E13" w:rsidP="00244E13">
            <w:pPr>
              <w:ind w:firstLine="360"/>
              <w:jc w:val="both"/>
              <w:rPr>
                <w:color w:val="1F497D"/>
                <w:sz w:val="22"/>
                <w:szCs w:val="22"/>
              </w:rPr>
            </w:pPr>
            <w:r w:rsidRPr="00244E13">
              <w:rPr>
                <w:sz w:val="22"/>
                <w:szCs w:val="22"/>
              </w:rPr>
              <w:t xml:space="preserve">Papildus vēršam uzmanību, ja Ekonomikas ministrija veiks ieguldījumu jau pastāvošajos atbalsta finanšu instrumentos, tad augstāk minētie </w:t>
            </w:r>
            <w:proofErr w:type="spellStart"/>
            <w:r w:rsidRPr="00244E13">
              <w:rPr>
                <w:sz w:val="22"/>
                <w:szCs w:val="22"/>
              </w:rPr>
              <w:t>izvērtējumi</w:t>
            </w:r>
            <w:proofErr w:type="spellEnd"/>
            <w:r w:rsidRPr="00244E13">
              <w:rPr>
                <w:sz w:val="22"/>
                <w:szCs w:val="22"/>
              </w:rPr>
              <w:t xml:space="preserve"> nav jāveic. </w:t>
            </w:r>
          </w:p>
          <w:p w14:paraId="7B3B1AED" w14:textId="77777777" w:rsidR="00244E13" w:rsidRPr="00244E13" w:rsidRDefault="00244E13" w:rsidP="00D733EB">
            <w:pPr>
              <w:tabs>
                <w:tab w:val="left" w:pos="2679"/>
              </w:tabs>
              <w:jc w:val="both"/>
              <w:rPr>
                <w:b/>
                <w:sz w:val="22"/>
                <w:szCs w:val="22"/>
              </w:rPr>
            </w:pPr>
          </w:p>
        </w:tc>
        <w:tc>
          <w:tcPr>
            <w:tcW w:w="3092" w:type="dxa"/>
            <w:tcBorders>
              <w:top w:val="single" w:sz="6" w:space="0" w:color="000000"/>
              <w:left w:val="single" w:sz="6" w:space="0" w:color="000000"/>
              <w:bottom w:val="single" w:sz="6" w:space="0" w:color="000000"/>
              <w:right w:val="single" w:sz="6" w:space="0" w:color="000000"/>
            </w:tcBorders>
          </w:tcPr>
          <w:p w14:paraId="540F7332" w14:textId="1C58226B" w:rsidR="00244E13" w:rsidRPr="00244E13" w:rsidRDefault="00244E13" w:rsidP="00D733EB">
            <w:pPr>
              <w:pStyle w:val="naisc"/>
              <w:spacing w:before="0" w:after="0"/>
              <w:rPr>
                <w:b/>
                <w:sz w:val="22"/>
                <w:szCs w:val="22"/>
              </w:rPr>
            </w:pPr>
            <w:r w:rsidRPr="00244E13">
              <w:rPr>
                <w:b/>
                <w:sz w:val="22"/>
                <w:szCs w:val="22"/>
              </w:rPr>
              <w:lastRenderedPageBreak/>
              <w:t>Nav attiecināms</w:t>
            </w:r>
          </w:p>
          <w:p w14:paraId="2584E046" w14:textId="2F43A512" w:rsidR="00244E13" w:rsidRPr="00244E13" w:rsidRDefault="00244E13" w:rsidP="00244E13">
            <w:pPr>
              <w:pStyle w:val="naisc"/>
              <w:spacing w:before="0" w:after="0"/>
              <w:jc w:val="both"/>
              <w:rPr>
                <w:bCs/>
                <w:sz w:val="22"/>
                <w:szCs w:val="22"/>
              </w:rPr>
            </w:pPr>
            <w:r>
              <w:rPr>
                <w:bCs/>
                <w:sz w:val="22"/>
                <w:szCs w:val="22"/>
              </w:rPr>
              <w:t>Atbalstu noteikumu ietvaros paredzēts sniegt no valsts budžeta finansējuma.</w:t>
            </w:r>
          </w:p>
        </w:tc>
        <w:tc>
          <w:tcPr>
            <w:tcW w:w="3402" w:type="dxa"/>
            <w:tcBorders>
              <w:top w:val="single" w:sz="4" w:space="0" w:color="auto"/>
              <w:left w:val="single" w:sz="4" w:space="0" w:color="auto"/>
              <w:bottom w:val="single" w:sz="4" w:space="0" w:color="auto"/>
            </w:tcBorders>
          </w:tcPr>
          <w:p w14:paraId="759C9FBD" w14:textId="77777777" w:rsidR="00244E13" w:rsidRPr="00A443AE" w:rsidRDefault="00244E13" w:rsidP="00D733EB">
            <w:pPr>
              <w:jc w:val="both"/>
              <w:rPr>
                <w:b/>
                <w:sz w:val="22"/>
                <w:szCs w:val="22"/>
              </w:rPr>
            </w:pPr>
          </w:p>
        </w:tc>
      </w:tr>
      <w:tr w:rsidR="006F640E" w:rsidRPr="00A443AE" w14:paraId="5C4E35EC" w14:textId="77777777" w:rsidTr="00D733EB">
        <w:tc>
          <w:tcPr>
            <w:tcW w:w="14742" w:type="dxa"/>
            <w:gridSpan w:val="7"/>
            <w:tcBorders>
              <w:top w:val="single" w:sz="6" w:space="0" w:color="000000"/>
              <w:left w:val="single" w:sz="6" w:space="0" w:color="000000"/>
              <w:bottom w:val="single" w:sz="6" w:space="0" w:color="000000"/>
            </w:tcBorders>
          </w:tcPr>
          <w:p w14:paraId="1A9B8BC8" w14:textId="77777777" w:rsidR="006F640E" w:rsidRPr="00A443AE" w:rsidRDefault="006F640E" w:rsidP="00D733EB">
            <w:pPr>
              <w:jc w:val="center"/>
              <w:rPr>
                <w:b/>
                <w:sz w:val="22"/>
                <w:szCs w:val="22"/>
              </w:rPr>
            </w:pPr>
            <w:r w:rsidRPr="00A443AE">
              <w:rPr>
                <w:b/>
                <w:sz w:val="22"/>
                <w:szCs w:val="22"/>
              </w:rPr>
              <w:lastRenderedPageBreak/>
              <w:t>Iebildumi par sākotnējās ietekmes novērtējuma ziņojumu (anotāciju)</w:t>
            </w:r>
          </w:p>
        </w:tc>
      </w:tr>
      <w:tr w:rsidR="006F640E" w:rsidRPr="00A443AE" w14:paraId="1B7E98BD" w14:textId="77777777" w:rsidTr="00244E13">
        <w:tc>
          <w:tcPr>
            <w:tcW w:w="567" w:type="dxa"/>
            <w:tcBorders>
              <w:top w:val="single" w:sz="6" w:space="0" w:color="000000"/>
              <w:left w:val="single" w:sz="6" w:space="0" w:color="000000"/>
              <w:bottom w:val="single" w:sz="6" w:space="0" w:color="000000"/>
            </w:tcBorders>
          </w:tcPr>
          <w:p w14:paraId="3F777667" w14:textId="131D8863" w:rsidR="006F640E" w:rsidRPr="00A443AE" w:rsidRDefault="006F640E" w:rsidP="00D733EB">
            <w:pPr>
              <w:jc w:val="center"/>
              <w:rPr>
                <w:bCs/>
                <w:sz w:val="22"/>
                <w:szCs w:val="22"/>
              </w:rPr>
            </w:pPr>
            <w:r w:rsidRPr="00A443AE">
              <w:rPr>
                <w:bCs/>
                <w:sz w:val="22"/>
                <w:szCs w:val="22"/>
              </w:rPr>
              <w:t>1</w:t>
            </w:r>
            <w:r w:rsidR="00315B9F">
              <w:rPr>
                <w:bCs/>
                <w:sz w:val="22"/>
                <w:szCs w:val="22"/>
              </w:rPr>
              <w:t>4</w:t>
            </w:r>
            <w:r w:rsidRPr="00A443AE">
              <w:rPr>
                <w:bCs/>
                <w:sz w:val="22"/>
                <w:szCs w:val="22"/>
              </w:rPr>
              <w:t>.</w:t>
            </w:r>
          </w:p>
        </w:tc>
        <w:tc>
          <w:tcPr>
            <w:tcW w:w="2835" w:type="dxa"/>
            <w:gridSpan w:val="2"/>
            <w:tcBorders>
              <w:top w:val="single" w:sz="6" w:space="0" w:color="000000"/>
              <w:left w:val="single" w:sz="6" w:space="0" w:color="000000"/>
              <w:bottom w:val="single" w:sz="6" w:space="0" w:color="000000"/>
            </w:tcBorders>
          </w:tcPr>
          <w:p w14:paraId="650614D3" w14:textId="77777777" w:rsidR="006F640E" w:rsidRPr="00A443AE" w:rsidRDefault="006F640E" w:rsidP="00D733EB">
            <w:pPr>
              <w:jc w:val="both"/>
              <w:rPr>
                <w:b/>
                <w:sz w:val="22"/>
                <w:szCs w:val="22"/>
              </w:rPr>
            </w:pPr>
            <w:r w:rsidRPr="00A443AE">
              <w:rPr>
                <w:b/>
                <w:sz w:val="22"/>
                <w:szCs w:val="22"/>
              </w:rPr>
              <w:t>Anotācijas III sadaļa</w:t>
            </w:r>
          </w:p>
        </w:tc>
        <w:tc>
          <w:tcPr>
            <w:tcW w:w="4846" w:type="dxa"/>
            <w:gridSpan w:val="2"/>
            <w:tcBorders>
              <w:top w:val="single" w:sz="6" w:space="0" w:color="000000"/>
              <w:left w:val="single" w:sz="6" w:space="0" w:color="000000"/>
              <w:bottom w:val="single" w:sz="6" w:space="0" w:color="000000"/>
            </w:tcBorders>
          </w:tcPr>
          <w:p w14:paraId="3559C077" w14:textId="77777777" w:rsidR="006F640E" w:rsidRPr="00A443AE" w:rsidRDefault="006F640E" w:rsidP="00D733EB">
            <w:pPr>
              <w:jc w:val="both"/>
              <w:rPr>
                <w:b/>
                <w:sz w:val="22"/>
                <w:szCs w:val="22"/>
              </w:rPr>
            </w:pPr>
            <w:r w:rsidRPr="00A443AE">
              <w:rPr>
                <w:b/>
                <w:sz w:val="22"/>
                <w:szCs w:val="22"/>
              </w:rPr>
              <w:t>Finanšu ministrijas 11.05.2020 atzinuma 5.iebildums:</w:t>
            </w:r>
          </w:p>
          <w:p w14:paraId="4F395897" w14:textId="77777777" w:rsidR="006F640E" w:rsidRPr="00A443AE" w:rsidRDefault="006F640E" w:rsidP="00D733EB">
            <w:pPr>
              <w:jc w:val="both"/>
              <w:rPr>
                <w:sz w:val="22"/>
                <w:szCs w:val="22"/>
              </w:rPr>
            </w:pPr>
            <w:r w:rsidRPr="00A443AE">
              <w:rPr>
                <w:sz w:val="22"/>
                <w:szCs w:val="22"/>
              </w:rPr>
              <w:t xml:space="preserve">Ņemot vērā noteikuma projekta 3.punktā paredzēto atbalstu komersantiem no valsts budžeta līdz 75 000 000 euro, anotācijas III sadaļā nevar būt norādīts, ka projektam nav ietekmes uz valsts budžetu. Līdz ar to jāaizpilda anotācijas III sadaļa atbilstoši Ministru kabineta 2009.gada 15.decembra instrukcijas Nr.19 “Tiesību akta projekta sākotnējās ietekmes izvērtēšanas kārtība” prasībām, norādot paredzēto ietekmi uz valsts budžetu un izdevumu finansēšanas avotu, papildus arī sniedzot informāciju par mehānismu finansējuma 75 000 000 euro apmērā novirzīšanai </w:t>
            </w:r>
            <w:proofErr w:type="spellStart"/>
            <w:r w:rsidRPr="00A443AE">
              <w:rPr>
                <w:sz w:val="22"/>
                <w:szCs w:val="22"/>
              </w:rPr>
              <w:t>Altum</w:t>
            </w:r>
            <w:proofErr w:type="spellEnd"/>
            <w:r w:rsidRPr="00A443AE">
              <w:rPr>
                <w:sz w:val="22"/>
                <w:szCs w:val="22"/>
              </w:rPr>
              <w:t>.</w:t>
            </w:r>
          </w:p>
        </w:tc>
        <w:tc>
          <w:tcPr>
            <w:tcW w:w="3092" w:type="dxa"/>
            <w:tcBorders>
              <w:top w:val="single" w:sz="6" w:space="0" w:color="000000"/>
              <w:left w:val="single" w:sz="6" w:space="0" w:color="000000"/>
              <w:bottom w:val="single" w:sz="6" w:space="0" w:color="000000"/>
            </w:tcBorders>
          </w:tcPr>
          <w:p w14:paraId="66087E02" w14:textId="77777777" w:rsidR="006F640E" w:rsidRPr="00A443AE" w:rsidRDefault="006F640E" w:rsidP="00D733EB">
            <w:pPr>
              <w:jc w:val="center"/>
              <w:rPr>
                <w:b/>
                <w:sz w:val="22"/>
                <w:szCs w:val="22"/>
              </w:rPr>
            </w:pPr>
            <w:r w:rsidRPr="00A443AE">
              <w:rPr>
                <w:b/>
                <w:sz w:val="22"/>
                <w:szCs w:val="22"/>
              </w:rPr>
              <w:t>Ņemts vērā</w:t>
            </w:r>
          </w:p>
          <w:p w14:paraId="6ED6F4CE" w14:textId="77777777" w:rsidR="006F640E" w:rsidRPr="00A443AE" w:rsidRDefault="006F640E" w:rsidP="00D733EB">
            <w:pPr>
              <w:jc w:val="center"/>
              <w:rPr>
                <w:b/>
                <w:sz w:val="22"/>
                <w:szCs w:val="22"/>
              </w:rPr>
            </w:pPr>
          </w:p>
          <w:p w14:paraId="477A7A1F" w14:textId="77777777" w:rsidR="006F640E" w:rsidRPr="00A443AE" w:rsidRDefault="006F640E" w:rsidP="00D733EB">
            <w:pPr>
              <w:jc w:val="both"/>
              <w:rPr>
                <w:bCs/>
                <w:sz w:val="22"/>
                <w:szCs w:val="22"/>
              </w:rPr>
            </w:pPr>
            <w:r w:rsidRPr="00A443AE">
              <w:rPr>
                <w:bCs/>
                <w:sz w:val="22"/>
                <w:szCs w:val="22"/>
              </w:rPr>
              <w:t xml:space="preserve">Ņemot vērā, ka Noteikumu projekts ir precizēts, paredzot, ka fondā tiks ieguldīti 50 milj. euro un par publisko finansējumu 25 milj. euro apjomā Noteikumu projekts nenosaka finansējuma piešķiršanas kārtību, tad anotācijā attiecīgi sniegta informācija par ietekmi un mehānismu finansējumu novirzīšanai </w:t>
            </w:r>
            <w:proofErr w:type="spellStart"/>
            <w:r w:rsidRPr="00A443AE">
              <w:rPr>
                <w:bCs/>
                <w:sz w:val="22"/>
                <w:szCs w:val="22"/>
              </w:rPr>
              <w:t>Altum</w:t>
            </w:r>
            <w:proofErr w:type="spellEnd"/>
            <w:r w:rsidRPr="00A443AE">
              <w:rPr>
                <w:bCs/>
                <w:sz w:val="22"/>
                <w:szCs w:val="22"/>
              </w:rPr>
              <w:t xml:space="preserve">  attiecībā uz šiem 50 milj. euro. </w:t>
            </w:r>
          </w:p>
        </w:tc>
        <w:tc>
          <w:tcPr>
            <w:tcW w:w="3402" w:type="dxa"/>
            <w:tcBorders>
              <w:top w:val="single" w:sz="6" w:space="0" w:color="000000"/>
              <w:left w:val="single" w:sz="6" w:space="0" w:color="000000"/>
              <w:bottom w:val="single" w:sz="6" w:space="0" w:color="000000"/>
            </w:tcBorders>
          </w:tcPr>
          <w:p w14:paraId="40ABD7B2" w14:textId="77777777" w:rsidR="006F640E" w:rsidRPr="00A443AE" w:rsidRDefault="006F640E" w:rsidP="00D733EB">
            <w:pPr>
              <w:jc w:val="both"/>
              <w:rPr>
                <w:b/>
                <w:sz w:val="22"/>
                <w:szCs w:val="22"/>
              </w:rPr>
            </w:pPr>
            <w:r w:rsidRPr="00A443AE">
              <w:rPr>
                <w:b/>
                <w:sz w:val="22"/>
                <w:szCs w:val="22"/>
              </w:rPr>
              <w:t>Precizēta anotācija</w:t>
            </w:r>
          </w:p>
        </w:tc>
      </w:tr>
      <w:tr w:rsidR="006F640E" w:rsidRPr="00A443AE" w14:paraId="18CDD3D8" w14:textId="77777777" w:rsidTr="00244E13">
        <w:tc>
          <w:tcPr>
            <w:tcW w:w="567" w:type="dxa"/>
            <w:tcBorders>
              <w:top w:val="single" w:sz="6" w:space="0" w:color="000000"/>
              <w:left w:val="single" w:sz="6" w:space="0" w:color="000000"/>
              <w:bottom w:val="single" w:sz="6" w:space="0" w:color="000000"/>
            </w:tcBorders>
          </w:tcPr>
          <w:p w14:paraId="62B652AA" w14:textId="55A42456" w:rsidR="006F640E" w:rsidRPr="00A443AE" w:rsidRDefault="006F640E" w:rsidP="00D733EB">
            <w:pPr>
              <w:jc w:val="center"/>
              <w:rPr>
                <w:bCs/>
                <w:sz w:val="22"/>
                <w:szCs w:val="22"/>
              </w:rPr>
            </w:pPr>
            <w:r w:rsidRPr="00A443AE">
              <w:rPr>
                <w:bCs/>
                <w:sz w:val="22"/>
                <w:szCs w:val="22"/>
              </w:rPr>
              <w:t>1</w:t>
            </w:r>
            <w:r w:rsidR="00315B9F">
              <w:rPr>
                <w:bCs/>
                <w:sz w:val="22"/>
                <w:szCs w:val="22"/>
              </w:rPr>
              <w:t>5</w:t>
            </w:r>
            <w:r w:rsidRPr="00A443AE">
              <w:rPr>
                <w:bCs/>
                <w:sz w:val="22"/>
                <w:szCs w:val="22"/>
              </w:rPr>
              <w:t>.</w:t>
            </w:r>
          </w:p>
        </w:tc>
        <w:tc>
          <w:tcPr>
            <w:tcW w:w="2835" w:type="dxa"/>
            <w:gridSpan w:val="2"/>
            <w:tcBorders>
              <w:top w:val="single" w:sz="6" w:space="0" w:color="000000"/>
              <w:left w:val="single" w:sz="6" w:space="0" w:color="000000"/>
              <w:bottom w:val="single" w:sz="6" w:space="0" w:color="000000"/>
            </w:tcBorders>
          </w:tcPr>
          <w:p w14:paraId="078E32F5" w14:textId="77777777" w:rsidR="006F640E" w:rsidRPr="00A443AE" w:rsidRDefault="006F640E" w:rsidP="00D733EB">
            <w:pPr>
              <w:jc w:val="both"/>
              <w:rPr>
                <w:b/>
                <w:sz w:val="22"/>
                <w:szCs w:val="22"/>
              </w:rPr>
            </w:pPr>
            <w:r w:rsidRPr="00A443AE">
              <w:rPr>
                <w:b/>
                <w:sz w:val="22"/>
                <w:szCs w:val="22"/>
              </w:rPr>
              <w:t>Anotācija</w:t>
            </w:r>
          </w:p>
        </w:tc>
        <w:tc>
          <w:tcPr>
            <w:tcW w:w="4846" w:type="dxa"/>
            <w:gridSpan w:val="2"/>
            <w:tcBorders>
              <w:top w:val="single" w:sz="6" w:space="0" w:color="000000"/>
              <w:left w:val="single" w:sz="6" w:space="0" w:color="000000"/>
              <w:bottom w:val="single" w:sz="6" w:space="0" w:color="000000"/>
            </w:tcBorders>
          </w:tcPr>
          <w:p w14:paraId="75458365" w14:textId="77777777" w:rsidR="006F640E" w:rsidRPr="00A443AE" w:rsidRDefault="006F640E" w:rsidP="00D733EB">
            <w:pPr>
              <w:jc w:val="both"/>
              <w:rPr>
                <w:b/>
                <w:sz w:val="22"/>
                <w:szCs w:val="22"/>
              </w:rPr>
            </w:pPr>
            <w:r w:rsidRPr="00A443AE">
              <w:rPr>
                <w:b/>
                <w:sz w:val="22"/>
                <w:szCs w:val="22"/>
              </w:rPr>
              <w:t>Finanšu ministrijas 11.05.2020 atzinuma 6.iebildums:</w:t>
            </w:r>
          </w:p>
          <w:p w14:paraId="06CEA1D8" w14:textId="77777777" w:rsidR="006F640E" w:rsidRPr="00A443AE" w:rsidRDefault="006F640E" w:rsidP="00D733EB">
            <w:pPr>
              <w:jc w:val="both"/>
              <w:rPr>
                <w:bCs/>
                <w:sz w:val="22"/>
                <w:szCs w:val="22"/>
              </w:rPr>
            </w:pPr>
            <w:r w:rsidRPr="00A443AE">
              <w:rPr>
                <w:bCs/>
                <w:sz w:val="22"/>
                <w:szCs w:val="22"/>
              </w:rPr>
              <w:t xml:space="preserve">Lūdzam papildināt anotāciju, norādot, vai attiecībā uz 25 000 000 euro, kurus plānots ieguldīt lielo </w:t>
            </w:r>
            <w:r w:rsidRPr="00A443AE">
              <w:rPr>
                <w:bCs/>
                <w:sz w:val="22"/>
                <w:szCs w:val="22"/>
              </w:rPr>
              <w:lastRenderedPageBreak/>
              <w:t>uzņēmumu kapitālā, līdzekļi tiks pārvaldīti uz komerciāliem principiem un vai ir sagaidāmi zaudējumi (mērķa ietvaros) no šo ieguldījumu veikšanas.</w:t>
            </w:r>
          </w:p>
        </w:tc>
        <w:tc>
          <w:tcPr>
            <w:tcW w:w="3092" w:type="dxa"/>
            <w:tcBorders>
              <w:top w:val="single" w:sz="6" w:space="0" w:color="000000"/>
              <w:left w:val="single" w:sz="6" w:space="0" w:color="000000"/>
              <w:bottom w:val="single" w:sz="6" w:space="0" w:color="000000"/>
            </w:tcBorders>
          </w:tcPr>
          <w:p w14:paraId="4023A187" w14:textId="77777777" w:rsidR="006F640E" w:rsidRPr="00A443AE" w:rsidRDefault="006F640E" w:rsidP="00D733EB">
            <w:pPr>
              <w:jc w:val="center"/>
              <w:rPr>
                <w:b/>
                <w:sz w:val="22"/>
                <w:szCs w:val="22"/>
              </w:rPr>
            </w:pPr>
            <w:r w:rsidRPr="00A443AE">
              <w:rPr>
                <w:b/>
                <w:sz w:val="22"/>
                <w:szCs w:val="22"/>
              </w:rPr>
              <w:lastRenderedPageBreak/>
              <w:t>Ņemts vērā</w:t>
            </w:r>
          </w:p>
          <w:p w14:paraId="31F88B84" w14:textId="77777777" w:rsidR="006F640E" w:rsidRPr="00A443AE" w:rsidRDefault="006F640E" w:rsidP="00D733EB">
            <w:pPr>
              <w:jc w:val="center"/>
              <w:rPr>
                <w:b/>
                <w:sz w:val="22"/>
                <w:szCs w:val="22"/>
              </w:rPr>
            </w:pPr>
          </w:p>
          <w:p w14:paraId="270D07C5" w14:textId="77777777" w:rsidR="006F640E" w:rsidRPr="00A443AE" w:rsidRDefault="006F640E" w:rsidP="00D733EB">
            <w:pPr>
              <w:rPr>
                <w:bCs/>
                <w:sz w:val="22"/>
                <w:szCs w:val="22"/>
              </w:rPr>
            </w:pPr>
          </w:p>
        </w:tc>
        <w:tc>
          <w:tcPr>
            <w:tcW w:w="3402" w:type="dxa"/>
            <w:tcBorders>
              <w:top w:val="single" w:sz="6" w:space="0" w:color="000000"/>
              <w:left w:val="single" w:sz="6" w:space="0" w:color="000000"/>
              <w:bottom w:val="single" w:sz="6" w:space="0" w:color="000000"/>
            </w:tcBorders>
          </w:tcPr>
          <w:p w14:paraId="39EFC89D" w14:textId="77777777" w:rsidR="006F640E" w:rsidRPr="00A443AE" w:rsidRDefault="006F640E" w:rsidP="00D733EB">
            <w:pPr>
              <w:jc w:val="both"/>
              <w:rPr>
                <w:b/>
                <w:sz w:val="22"/>
                <w:szCs w:val="22"/>
              </w:rPr>
            </w:pPr>
            <w:r w:rsidRPr="00A443AE">
              <w:rPr>
                <w:b/>
                <w:sz w:val="22"/>
                <w:szCs w:val="22"/>
              </w:rPr>
              <w:t>Precizēta anotācija</w:t>
            </w:r>
          </w:p>
          <w:p w14:paraId="3EF003C8" w14:textId="77777777" w:rsidR="006F640E" w:rsidRPr="00A443AE" w:rsidRDefault="006F640E" w:rsidP="00D733EB">
            <w:pPr>
              <w:jc w:val="both"/>
              <w:rPr>
                <w:b/>
                <w:sz w:val="22"/>
                <w:szCs w:val="22"/>
              </w:rPr>
            </w:pPr>
          </w:p>
        </w:tc>
      </w:tr>
      <w:tr w:rsidR="006F640E" w:rsidRPr="00A443AE" w14:paraId="16AEE46F" w14:textId="77777777" w:rsidTr="00244E13">
        <w:tc>
          <w:tcPr>
            <w:tcW w:w="567" w:type="dxa"/>
            <w:tcBorders>
              <w:top w:val="single" w:sz="6" w:space="0" w:color="000000"/>
              <w:left w:val="single" w:sz="6" w:space="0" w:color="000000"/>
              <w:bottom w:val="single" w:sz="6" w:space="0" w:color="000000"/>
            </w:tcBorders>
          </w:tcPr>
          <w:p w14:paraId="0BC085A6" w14:textId="5565B915" w:rsidR="006F640E" w:rsidRPr="00A443AE" w:rsidRDefault="00315B9F" w:rsidP="00D733EB">
            <w:pPr>
              <w:jc w:val="center"/>
              <w:rPr>
                <w:bCs/>
                <w:sz w:val="22"/>
                <w:szCs w:val="22"/>
              </w:rPr>
            </w:pPr>
            <w:r>
              <w:rPr>
                <w:bCs/>
                <w:sz w:val="22"/>
                <w:szCs w:val="22"/>
              </w:rPr>
              <w:t>16</w:t>
            </w:r>
            <w:r w:rsidR="006F640E" w:rsidRPr="00A443AE">
              <w:rPr>
                <w:bCs/>
                <w:sz w:val="22"/>
                <w:szCs w:val="22"/>
              </w:rPr>
              <w:t>.</w:t>
            </w:r>
          </w:p>
        </w:tc>
        <w:tc>
          <w:tcPr>
            <w:tcW w:w="2835" w:type="dxa"/>
            <w:gridSpan w:val="2"/>
            <w:tcBorders>
              <w:top w:val="single" w:sz="6" w:space="0" w:color="000000"/>
              <w:left w:val="single" w:sz="6" w:space="0" w:color="000000"/>
              <w:bottom w:val="single" w:sz="6" w:space="0" w:color="000000"/>
            </w:tcBorders>
          </w:tcPr>
          <w:p w14:paraId="73D3D591" w14:textId="77777777" w:rsidR="006F640E" w:rsidRPr="00A443AE" w:rsidRDefault="006F640E" w:rsidP="00D733EB">
            <w:pPr>
              <w:jc w:val="both"/>
              <w:rPr>
                <w:b/>
                <w:sz w:val="22"/>
                <w:szCs w:val="22"/>
              </w:rPr>
            </w:pPr>
            <w:r w:rsidRPr="00A443AE">
              <w:rPr>
                <w:b/>
                <w:sz w:val="22"/>
                <w:szCs w:val="22"/>
              </w:rPr>
              <w:t xml:space="preserve">Anotācijas pielikums </w:t>
            </w:r>
          </w:p>
        </w:tc>
        <w:tc>
          <w:tcPr>
            <w:tcW w:w="4846" w:type="dxa"/>
            <w:gridSpan w:val="2"/>
            <w:tcBorders>
              <w:top w:val="single" w:sz="6" w:space="0" w:color="000000"/>
              <w:left w:val="single" w:sz="6" w:space="0" w:color="000000"/>
              <w:bottom w:val="single" w:sz="6" w:space="0" w:color="000000"/>
            </w:tcBorders>
          </w:tcPr>
          <w:p w14:paraId="20B51895" w14:textId="77777777" w:rsidR="006F640E" w:rsidRPr="00A443AE" w:rsidRDefault="006F640E" w:rsidP="00D733EB">
            <w:pPr>
              <w:jc w:val="both"/>
              <w:rPr>
                <w:b/>
                <w:sz w:val="22"/>
                <w:szCs w:val="22"/>
              </w:rPr>
            </w:pPr>
            <w:r w:rsidRPr="00A443AE">
              <w:rPr>
                <w:b/>
                <w:sz w:val="22"/>
                <w:szCs w:val="22"/>
              </w:rPr>
              <w:t>Finanšu ministrijas 11.05.2020 atzinuma 7.iebildums:</w:t>
            </w:r>
          </w:p>
          <w:p w14:paraId="5E7CDE2D" w14:textId="77777777" w:rsidR="006F640E" w:rsidRPr="00A443AE" w:rsidRDefault="006F640E" w:rsidP="00D733EB">
            <w:pPr>
              <w:jc w:val="both"/>
              <w:rPr>
                <w:bCs/>
                <w:sz w:val="22"/>
                <w:szCs w:val="22"/>
              </w:rPr>
            </w:pPr>
            <w:r w:rsidRPr="00A443AE">
              <w:rPr>
                <w:bCs/>
                <w:sz w:val="22"/>
                <w:szCs w:val="22"/>
              </w:rPr>
              <w:t>Lūdzam pievienot anotācijai pielikumu, kurā izvērtēta scenārijos balstīta turpmāka programmas ietekme, riski un sagaidāmie zaudējumi, finansiālais rezultāts un programmas īstenošanas izmaksu noteikšanas principi, piemēram, atbilstība segtajam riskam, kredītriskam, izsniegšanas un ilgtermiņa darbības izdevumi, kā arī iekļauta informācija par zaudējumu segšanu no piesaistītiem finanšu resursiem, lai ievērotu Attīstības finanšu institūcijas likuma 12.panta trešajā un ceturtajā daļā noteikto.</w:t>
            </w:r>
          </w:p>
        </w:tc>
        <w:tc>
          <w:tcPr>
            <w:tcW w:w="3092" w:type="dxa"/>
            <w:tcBorders>
              <w:top w:val="single" w:sz="6" w:space="0" w:color="000000"/>
              <w:left w:val="single" w:sz="6" w:space="0" w:color="000000"/>
              <w:bottom w:val="single" w:sz="6" w:space="0" w:color="000000"/>
            </w:tcBorders>
          </w:tcPr>
          <w:p w14:paraId="77643A36" w14:textId="77777777" w:rsidR="006F640E" w:rsidRPr="00A443AE" w:rsidRDefault="006F640E" w:rsidP="00D733EB">
            <w:pPr>
              <w:jc w:val="center"/>
              <w:rPr>
                <w:b/>
                <w:sz w:val="22"/>
                <w:szCs w:val="22"/>
              </w:rPr>
            </w:pPr>
            <w:r w:rsidRPr="00A443AE">
              <w:rPr>
                <w:b/>
                <w:sz w:val="22"/>
                <w:szCs w:val="22"/>
              </w:rPr>
              <w:t>Ņemts vērā</w:t>
            </w:r>
          </w:p>
        </w:tc>
        <w:tc>
          <w:tcPr>
            <w:tcW w:w="3402" w:type="dxa"/>
            <w:tcBorders>
              <w:top w:val="single" w:sz="6" w:space="0" w:color="000000"/>
              <w:left w:val="single" w:sz="6" w:space="0" w:color="000000"/>
              <w:bottom w:val="single" w:sz="6" w:space="0" w:color="000000"/>
            </w:tcBorders>
          </w:tcPr>
          <w:p w14:paraId="5B1A2FF6" w14:textId="77777777" w:rsidR="006F640E" w:rsidRPr="00A443AE" w:rsidRDefault="006F640E" w:rsidP="00D733EB">
            <w:pPr>
              <w:jc w:val="both"/>
              <w:rPr>
                <w:b/>
                <w:sz w:val="22"/>
                <w:szCs w:val="22"/>
              </w:rPr>
            </w:pPr>
            <w:r w:rsidRPr="00A443AE">
              <w:rPr>
                <w:b/>
                <w:sz w:val="22"/>
                <w:szCs w:val="22"/>
              </w:rPr>
              <w:t>Pievienots anotācijas pielikums</w:t>
            </w:r>
          </w:p>
        </w:tc>
      </w:tr>
      <w:tr w:rsidR="00FD2F89" w:rsidRPr="00A443AE" w14:paraId="4759FC92" w14:textId="77777777" w:rsidTr="00244E13">
        <w:tc>
          <w:tcPr>
            <w:tcW w:w="567" w:type="dxa"/>
            <w:tcBorders>
              <w:top w:val="single" w:sz="6" w:space="0" w:color="000000"/>
              <w:left w:val="single" w:sz="6" w:space="0" w:color="000000"/>
              <w:bottom w:val="single" w:sz="6" w:space="0" w:color="000000"/>
            </w:tcBorders>
          </w:tcPr>
          <w:p w14:paraId="2BE79631" w14:textId="4E10B41B" w:rsidR="00FD2F89" w:rsidRPr="00A443AE" w:rsidRDefault="00315B9F" w:rsidP="00D733EB">
            <w:pPr>
              <w:jc w:val="center"/>
              <w:rPr>
                <w:bCs/>
                <w:sz w:val="22"/>
                <w:szCs w:val="22"/>
              </w:rPr>
            </w:pPr>
            <w:r>
              <w:rPr>
                <w:bCs/>
                <w:sz w:val="22"/>
                <w:szCs w:val="22"/>
              </w:rPr>
              <w:t>17.</w:t>
            </w:r>
          </w:p>
        </w:tc>
        <w:tc>
          <w:tcPr>
            <w:tcW w:w="2835" w:type="dxa"/>
            <w:gridSpan w:val="2"/>
            <w:tcBorders>
              <w:top w:val="single" w:sz="6" w:space="0" w:color="000000"/>
              <w:left w:val="single" w:sz="6" w:space="0" w:color="000000"/>
              <w:bottom w:val="single" w:sz="6" w:space="0" w:color="000000"/>
            </w:tcBorders>
          </w:tcPr>
          <w:p w14:paraId="6E79A6B9" w14:textId="13EA6742" w:rsidR="00FD2F89" w:rsidRPr="00396530" w:rsidRDefault="00FD2F89" w:rsidP="00D733EB">
            <w:pPr>
              <w:jc w:val="both"/>
              <w:rPr>
                <w:b/>
                <w:sz w:val="22"/>
                <w:szCs w:val="22"/>
                <w:highlight w:val="yellow"/>
              </w:rPr>
            </w:pPr>
            <w:r w:rsidRPr="00396530">
              <w:rPr>
                <w:b/>
                <w:sz w:val="22"/>
                <w:szCs w:val="22"/>
              </w:rPr>
              <w:t>Anotācija</w:t>
            </w:r>
          </w:p>
        </w:tc>
        <w:tc>
          <w:tcPr>
            <w:tcW w:w="4846" w:type="dxa"/>
            <w:gridSpan w:val="2"/>
            <w:tcBorders>
              <w:top w:val="single" w:sz="6" w:space="0" w:color="000000"/>
              <w:left w:val="single" w:sz="6" w:space="0" w:color="000000"/>
              <w:bottom w:val="single" w:sz="6" w:space="0" w:color="000000"/>
            </w:tcBorders>
          </w:tcPr>
          <w:p w14:paraId="7C3389FB" w14:textId="18CF75D3" w:rsidR="00FD2F89" w:rsidRPr="000B3751" w:rsidRDefault="00FD2F89" w:rsidP="00D733EB">
            <w:pPr>
              <w:jc w:val="both"/>
              <w:rPr>
                <w:b/>
                <w:sz w:val="22"/>
                <w:szCs w:val="22"/>
              </w:rPr>
            </w:pPr>
            <w:r w:rsidRPr="000B3751">
              <w:rPr>
                <w:b/>
                <w:sz w:val="22"/>
                <w:szCs w:val="22"/>
              </w:rPr>
              <w:t>Finanšu ministrijas 07.07.2020. 2.iebildums:</w:t>
            </w:r>
          </w:p>
          <w:p w14:paraId="4BFDE7A4" w14:textId="4A2EB070" w:rsidR="00FD2F89" w:rsidRPr="000B3751" w:rsidRDefault="00FD2F89" w:rsidP="00D733EB">
            <w:pPr>
              <w:jc w:val="both"/>
              <w:rPr>
                <w:b/>
                <w:sz w:val="22"/>
                <w:szCs w:val="22"/>
              </w:rPr>
            </w:pPr>
            <w:r w:rsidRPr="000B3751">
              <w:rPr>
                <w:bCs/>
                <w:sz w:val="22"/>
                <w:szCs w:val="22"/>
              </w:rPr>
              <w:t xml:space="preserve">Lūdzam noteikumu projekta anotācijā norādīt prognozēto publiskā finansējuma pakāpenisko investēšanu, ieskaitot to AS "Attīstības finanšu institūcija </w:t>
            </w:r>
            <w:proofErr w:type="spellStart"/>
            <w:r w:rsidRPr="000B3751">
              <w:rPr>
                <w:bCs/>
                <w:sz w:val="22"/>
                <w:szCs w:val="22"/>
              </w:rPr>
              <w:t>Altum</w:t>
            </w:r>
            <w:proofErr w:type="spellEnd"/>
            <w:r w:rsidRPr="000B3751">
              <w:rPr>
                <w:bCs/>
                <w:sz w:val="22"/>
                <w:szCs w:val="22"/>
              </w:rPr>
              <w:t>" (turpmāk – ALTUM) rezerves kapitālā, sadalījumā pa gadiem.</w:t>
            </w:r>
          </w:p>
        </w:tc>
        <w:tc>
          <w:tcPr>
            <w:tcW w:w="3092" w:type="dxa"/>
            <w:tcBorders>
              <w:top w:val="single" w:sz="6" w:space="0" w:color="000000"/>
              <w:left w:val="single" w:sz="6" w:space="0" w:color="000000"/>
              <w:bottom w:val="single" w:sz="6" w:space="0" w:color="000000"/>
            </w:tcBorders>
          </w:tcPr>
          <w:p w14:paraId="66AC4FB9" w14:textId="1C67E4F5" w:rsidR="00FD2F89" w:rsidRPr="00396530" w:rsidRDefault="00FD2F89" w:rsidP="00D733EB">
            <w:pPr>
              <w:jc w:val="center"/>
              <w:rPr>
                <w:b/>
                <w:sz w:val="22"/>
                <w:szCs w:val="22"/>
              </w:rPr>
            </w:pPr>
            <w:r w:rsidRPr="00396530">
              <w:rPr>
                <w:b/>
                <w:sz w:val="22"/>
                <w:szCs w:val="22"/>
              </w:rPr>
              <w:t>Ņemts vērā</w:t>
            </w:r>
          </w:p>
        </w:tc>
        <w:tc>
          <w:tcPr>
            <w:tcW w:w="3402" w:type="dxa"/>
            <w:tcBorders>
              <w:top w:val="single" w:sz="6" w:space="0" w:color="000000"/>
              <w:left w:val="single" w:sz="6" w:space="0" w:color="000000"/>
              <w:bottom w:val="single" w:sz="6" w:space="0" w:color="000000"/>
            </w:tcBorders>
          </w:tcPr>
          <w:p w14:paraId="3E30C7B7" w14:textId="16CDDAD5" w:rsidR="00FD2F89" w:rsidRPr="00396530" w:rsidRDefault="00FD2F89" w:rsidP="00FD2F89">
            <w:pPr>
              <w:jc w:val="both"/>
              <w:rPr>
                <w:b/>
                <w:sz w:val="22"/>
                <w:szCs w:val="22"/>
              </w:rPr>
            </w:pPr>
            <w:r w:rsidRPr="00396530">
              <w:rPr>
                <w:b/>
                <w:sz w:val="22"/>
                <w:szCs w:val="22"/>
              </w:rPr>
              <w:t>Precizē</w:t>
            </w:r>
            <w:r w:rsidR="00396530">
              <w:rPr>
                <w:b/>
                <w:sz w:val="22"/>
                <w:szCs w:val="22"/>
              </w:rPr>
              <w:t xml:space="preserve">ts </w:t>
            </w:r>
            <w:r w:rsidRPr="00396530">
              <w:rPr>
                <w:b/>
                <w:sz w:val="22"/>
                <w:szCs w:val="22"/>
              </w:rPr>
              <w:t>Ministru kabineta rīkojuma projekta „Par rezerves kapitāla palielināšanu” sākotnējās ietekmes novērtējuma ziņojumā (anotācija)</w:t>
            </w:r>
          </w:p>
          <w:p w14:paraId="7B7B618B" w14:textId="77777777" w:rsidR="00FD2F89" w:rsidRPr="00396530" w:rsidRDefault="00FD2F89" w:rsidP="00D733EB">
            <w:pPr>
              <w:jc w:val="both"/>
              <w:rPr>
                <w:b/>
                <w:sz w:val="22"/>
                <w:szCs w:val="22"/>
              </w:rPr>
            </w:pPr>
          </w:p>
        </w:tc>
      </w:tr>
      <w:tr w:rsidR="00FD2F89" w:rsidRPr="00A443AE" w14:paraId="070939A3" w14:textId="77777777" w:rsidTr="00244E13">
        <w:tc>
          <w:tcPr>
            <w:tcW w:w="567" w:type="dxa"/>
            <w:tcBorders>
              <w:top w:val="single" w:sz="6" w:space="0" w:color="000000"/>
              <w:left w:val="single" w:sz="6" w:space="0" w:color="000000"/>
              <w:bottom w:val="single" w:sz="6" w:space="0" w:color="000000"/>
            </w:tcBorders>
          </w:tcPr>
          <w:p w14:paraId="47528C6A" w14:textId="6222165F" w:rsidR="00FD2F89" w:rsidRPr="00A443AE" w:rsidRDefault="00315B9F" w:rsidP="00D733EB">
            <w:pPr>
              <w:jc w:val="center"/>
              <w:rPr>
                <w:bCs/>
                <w:sz w:val="22"/>
                <w:szCs w:val="22"/>
              </w:rPr>
            </w:pPr>
            <w:r>
              <w:rPr>
                <w:bCs/>
                <w:sz w:val="22"/>
                <w:szCs w:val="22"/>
              </w:rPr>
              <w:t>18.</w:t>
            </w:r>
          </w:p>
        </w:tc>
        <w:tc>
          <w:tcPr>
            <w:tcW w:w="2835" w:type="dxa"/>
            <w:gridSpan w:val="2"/>
            <w:tcBorders>
              <w:top w:val="single" w:sz="6" w:space="0" w:color="000000"/>
              <w:left w:val="single" w:sz="6" w:space="0" w:color="000000"/>
              <w:bottom w:val="single" w:sz="6" w:space="0" w:color="000000"/>
            </w:tcBorders>
          </w:tcPr>
          <w:p w14:paraId="44E19DAB" w14:textId="3023DA50" w:rsidR="00FD2F89" w:rsidRPr="00396530" w:rsidRDefault="00FD2F89" w:rsidP="00D733EB">
            <w:pPr>
              <w:jc w:val="both"/>
              <w:rPr>
                <w:b/>
                <w:sz w:val="22"/>
                <w:szCs w:val="22"/>
              </w:rPr>
            </w:pPr>
            <w:r w:rsidRPr="00396530">
              <w:rPr>
                <w:b/>
                <w:sz w:val="22"/>
                <w:szCs w:val="22"/>
              </w:rPr>
              <w:t>Anotācijas pielikums</w:t>
            </w:r>
          </w:p>
        </w:tc>
        <w:tc>
          <w:tcPr>
            <w:tcW w:w="4846" w:type="dxa"/>
            <w:gridSpan w:val="2"/>
            <w:tcBorders>
              <w:top w:val="single" w:sz="6" w:space="0" w:color="000000"/>
              <w:left w:val="single" w:sz="6" w:space="0" w:color="000000"/>
              <w:bottom w:val="single" w:sz="6" w:space="0" w:color="000000"/>
            </w:tcBorders>
          </w:tcPr>
          <w:p w14:paraId="381864DA" w14:textId="66B19008" w:rsidR="00FD2F89" w:rsidRPr="000B3751" w:rsidRDefault="00FD2F89" w:rsidP="00FD2F89">
            <w:pPr>
              <w:jc w:val="both"/>
              <w:rPr>
                <w:b/>
                <w:sz w:val="22"/>
                <w:szCs w:val="22"/>
              </w:rPr>
            </w:pPr>
            <w:r w:rsidRPr="000B3751">
              <w:rPr>
                <w:b/>
                <w:sz w:val="22"/>
                <w:szCs w:val="22"/>
              </w:rPr>
              <w:t>Finanšu ministrijas 07.07.2020. 3.iebildums:</w:t>
            </w:r>
          </w:p>
          <w:p w14:paraId="1E6A76D3" w14:textId="1DF0986F" w:rsidR="00FD2F89" w:rsidRPr="000B3751" w:rsidRDefault="00FD2F89" w:rsidP="00D733EB">
            <w:pPr>
              <w:jc w:val="both"/>
              <w:rPr>
                <w:bCs/>
                <w:sz w:val="22"/>
                <w:szCs w:val="22"/>
              </w:rPr>
            </w:pPr>
            <w:r w:rsidRPr="000B3751">
              <w:rPr>
                <w:bCs/>
                <w:sz w:val="22"/>
                <w:szCs w:val="22"/>
              </w:rPr>
              <w:t xml:space="preserve">Lūdzam skaidrot noteikumu projektam pievienotajā ALTUM kapitāla fonda risku un sagaidāmo zaudējumu novērtējumā vai un kā tabulā “Finansiālais rezultāts un programmas īstenošanas izmaksas” ir ietverti paredzamie kredītriska zaudējumi, norādot pozīciju, kurā minētie izdevumi ir ietverti. </w:t>
            </w:r>
          </w:p>
        </w:tc>
        <w:tc>
          <w:tcPr>
            <w:tcW w:w="3092" w:type="dxa"/>
            <w:tcBorders>
              <w:top w:val="single" w:sz="6" w:space="0" w:color="000000"/>
              <w:left w:val="single" w:sz="6" w:space="0" w:color="000000"/>
              <w:bottom w:val="single" w:sz="6" w:space="0" w:color="000000"/>
            </w:tcBorders>
          </w:tcPr>
          <w:p w14:paraId="755D3DFD" w14:textId="0D56547D" w:rsidR="00FD2F89" w:rsidRPr="00396530" w:rsidRDefault="00FD2F89" w:rsidP="00D733EB">
            <w:pPr>
              <w:jc w:val="center"/>
              <w:rPr>
                <w:b/>
                <w:sz w:val="22"/>
                <w:szCs w:val="22"/>
              </w:rPr>
            </w:pPr>
            <w:r w:rsidRPr="00396530">
              <w:rPr>
                <w:b/>
                <w:sz w:val="22"/>
                <w:szCs w:val="22"/>
              </w:rPr>
              <w:t>Ņemts vērā</w:t>
            </w:r>
          </w:p>
        </w:tc>
        <w:tc>
          <w:tcPr>
            <w:tcW w:w="3402" w:type="dxa"/>
            <w:tcBorders>
              <w:top w:val="single" w:sz="6" w:space="0" w:color="000000"/>
              <w:left w:val="single" w:sz="6" w:space="0" w:color="000000"/>
              <w:bottom w:val="single" w:sz="6" w:space="0" w:color="000000"/>
            </w:tcBorders>
          </w:tcPr>
          <w:p w14:paraId="151FFBBD" w14:textId="39EBCB09" w:rsidR="00FD2F89" w:rsidRPr="00396530" w:rsidRDefault="003F667E" w:rsidP="00FD2F89">
            <w:pPr>
              <w:jc w:val="both"/>
              <w:rPr>
                <w:b/>
                <w:sz w:val="22"/>
                <w:szCs w:val="22"/>
              </w:rPr>
            </w:pPr>
            <w:r w:rsidRPr="00396530">
              <w:rPr>
                <w:b/>
                <w:sz w:val="22"/>
                <w:szCs w:val="22"/>
              </w:rPr>
              <w:t>Precizēts risku novērtējums</w:t>
            </w:r>
          </w:p>
        </w:tc>
      </w:tr>
      <w:tr w:rsidR="00D43437" w:rsidRPr="00A443AE" w14:paraId="6153B54F" w14:textId="77777777" w:rsidTr="00A83A09">
        <w:tc>
          <w:tcPr>
            <w:tcW w:w="14742" w:type="dxa"/>
            <w:gridSpan w:val="7"/>
            <w:tcBorders>
              <w:top w:val="single" w:sz="6" w:space="0" w:color="000000"/>
              <w:left w:val="single" w:sz="6" w:space="0" w:color="000000"/>
              <w:bottom w:val="single" w:sz="6" w:space="0" w:color="000000"/>
            </w:tcBorders>
          </w:tcPr>
          <w:p w14:paraId="59A67141" w14:textId="31513779" w:rsidR="00D43437" w:rsidRPr="00A443AE" w:rsidRDefault="00D43437" w:rsidP="00D43437">
            <w:pPr>
              <w:jc w:val="center"/>
              <w:rPr>
                <w:b/>
                <w:sz w:val="22"/>
                <w:szCs w:val="22"/>
              </w:rPr>
            </w:pPr>
            <w:r>
              <w:rPr>
                <w:b/>
                <w:sz w:val="22"/>
                <w:szCs w:val="22"/>
              </w:rPr>
              <w:t xml:space="preserve">Iebildumi par </w:t>
            </w:r>
            <w:proofErr w:type="spellStart"/>
            <w:r>
              <w:rPr>
                <w:b/>
                <w:sz w:val="22"/>
                <w:szCs w:val="22"/>
              </w:rPr>
              <w:t>protokollēmuma</w:t>
            </w:r>
            <w:proofErr w:type="spellEnd"/>
            <w:r>
              <w:rPr>
                <w:b/>
                <w:sz w:val="22"/>
                <w:szCs w:val="22"/>
              </w:rPr>
              <w:t xml:space="preserve"> projektu</w:t>
            </w:r>
          </w:p>
        </w:tc>
      </w:tr>
      <w:tr w:rsidR="00D43437" w:rsidRPr="00A443AE" w14:paraId="3AE3AC81" w14:textId="77777777" w:rsidTr="00244E13">
        <w:tc>
          <w:tcPr>
            <w:tcW w:w="567" w:type="dxa"/>
            <w:tcBorders>
              <w:top w:val="single" w:sz="6" w:space="0" w:color="000000"/>
              <w:left w:val="single" w:sz="6" w:space="0" w:color="000000"/>
              <w:bottom w:val="single" w:sz="6" w:space="0" w:color="000000"/>
            </w:tcBorders>
          </w:tcPr>
          <w:p w14:paraId="301D3A54" w14:textId="0122FAA9" w:rsidR="00D43437" w:rsidRPr="00A443AE" w:rsidRDefault="00315B9F" w:rsidP="00D733EB">
            <w:pPr>
              <w:jc w:val="center"/>
              <w:rPr>
                <w:bCs/>
                <w:sz w:val="22"/>
                <w:szCs w:val="22"/>
              </w:rPr>
            </w:pPr>
            <w:r>
              <w:rPr>
                <w:bCs/>
                <w:sz w:val="22"/>
                <w:szCs w:val="22"/>
              </w:rPr>
              <w:t>19.</w:t>
            </w:r>
          </w:p>
        </w:tc>
        <w:tc>
          <w:tcPr>
            <w:tcW w:w="2835" w:type="dxa"/>
            <w:gridSpan w:val="2"/>
            <w:tcBorders>
              <w:top w:val="single" w:sz="6" w:space="0" w:color="000000"/>
              <w:left w:val="single" w:sz="6" w:space="0" w:color="000000"/>
              <w:bottom w:val="single" w:sz="6" w:space="0" w:color="000000"/>
            </w:tcBorders>
          </w:tcPr>
          <w:p w14:paraId="6C53729E" w14:textId="4DD7FB91" w:rsidR="00D43437" w:rsidRPr="00396530" w:rsidRDefault="00D43437" w:rsidP="00D733EB">
            <w:pPr>
              <w:jc w:val="both"/>
              <w:rPr>
                <w:b/>
                <w:sz w:val="22"/>
                <w:szCs w:val="22"/>
              </w:rPr>
            </w:pPr>
            <w:proofErr w:type="spellStart"/>
            <w:r w:rsidRPr="00396530">
              <w:rPr>
                <w:b/>
                <w:sz w:val="22"/>
                <w:szCs w:val="22"/>
              </w:rPr>
              <w:t>Protokollēmuma</w:t>
            </w:r>
            <w:proofErr w:type="spellEnd"/>
            <w:r w:rsidRPr="00396530">
              <w:rPr>
                <w:b/>
                <w:sz w:val="22"/>
                <w:szCs w:val="22"/>
              </w:rPr>
              <w:t xml:space="preserve"> projekts</w:t>
            </w:r>
          </w:p>
        </w:tc>
        <w:tc>
          <w:tcPr>
            <w:tcW w:w="4846" w:type="dxa"/>
            <w:gridSpan w:val="2"/>
            <w:tcBorders>
              <w:top w:val="single" w:sz="6" w:space="0" w:color="000000"/>
              <w:left w:val="single" w:sz="6" w:space="0" w:color="000000"/>
              <w:bottom w:val="single" w:sz="6" w:space="0" w:color="000000"/>
            </w:tcBorders>
          </w:tcPr>
          <w:p w14:paraId="46182039" w14:textId="7FFF844D" w:rsidR="00D43437" w:rsidRPr="000B3751" w:rsidRDefault="00D43437" w:rsidP="00D733EB">
            <w:pPr>
              <w:jc w:val="both"/>
              <w:rPr>
                <w:b/>
                <w:sz w:val="22"/>
                <w:szCs w:val="22"/>
              </w:rPr>
            </w:pPr>
            <w:r w:rsidRPr="000B3751">
              <w:rPr>
                <w:b/>
                <w:sz w:val="22"/>
                <w:szCs w:val="22"/>
              </w:rPr>
              <w:t>Finanšu ministrijas 07.07.2020. 1.iebildums:</w:t>
            </w:r>
          </w:p>
          <w:p w14:paraId="586109E3" w14:textId="4EF5C875" w:rsidR="00D43437" w:rsidRPr="000B3751" w:rsidRDefault="00D43437" w:rsidP="00D733EB">
            <w:pPr>
              <w:jc w:val="both"/>
              <w:rPr>
                <w:b/>
                <w:sz w:val="22"/>
                <w:szCs w:val="22"/>
              </w:rPr>
            </w:pPr>
            <w:r w:rsidRPr="000B3751">
              <w:rPr>
                <w:bCs/>
                <w:sz w:val="22"/>
                <w:szCs w:val="22"/>
              </w:rPr>
              <w:t xml:space="preserve">Lūdzam svītrot noteikumu projektam pievienotā Ministru kabineta sēdes </w:t>
            </w:r>
            <w:proofErr w:type="spellStart"/>
            <w:r w:rsidRPr="000B3751">
              <w:rPr>
                <w:bCs/>
                <w:sz w:val="22"/>
                <w:szCs w:val="22"/>
              </w:rPr>
              <w:t>protokollēmuma</w:t>
            </w:r>
            <w:proofErr w:type="spellEnd"/>
            <w:r w:rsidRPr="000B3751">
              <w:rPr>
                <w:bCs/>
                <w:sz w:val="22"/>
                <w:szCs w:val="22"/>
              </w:rPr>
              <w:t xml:space="preserve"> projekta 2. un 3.punktu, jo tas dublē rīkojuma projektā paredzēto. Vienlaikus lūdzam svītrot Ministru kabineta sēdes </w:t>
            </w:r>
            <w:proofErr w:type="spellStart"/>
            <w:r w:rsidRPr="000B3751">
              <w:rPr>
                <w:bCs/>
                <w:sz w:val="22"/>
                <w:szCs w:val="22"/>
              </w:rPr>
              <w:t>protokollēmuma</w:t>
            </w:r>
            <w:proofErr w:type="spellEnd"/>
            <w:r w:rsidRPr="000B3751">
              <w:rPr>
                <w:bCs/>
                <w:sz w:val="22"/>
                <w:szCs w:val="22"/>
              </w:rPr>
              <w:t xml:space="preserve"> projekta 4.punktu, ņemot vērā Ekonomikas ministrijas sniegto </w:t>
            </w:r>
            <w:r w:rsidRPr="000B3751">
              <w:rPr>
                <w:bCs/>
                <w:sz w:val="22"/>
                <w:szCs w:val="22"/>
              </w:rPr>
              <w:lastRenderedPageBreak/>
              <w:t xml:space="preserve">informāciju, ka tā sagatavos Ministru kabineta noteikumu projektu par atbalstu maziem un vidējiem komersantiem, turklāt kam nepieciešamā finansējuma 25 milj. euro apmērā finansēšanas avots būs valsts budžeta </w:t>
            </w:r>
            <w:proofErr w:type="spellStart"/>
            <w:r w:rsidRPr="000B3751">
              <w:rPr>
                <w:bCs/>
                <w:sz w:val="22"/>
                <w:szCs w:val="22"/>
              </w:rPr>
              <w:t>virssaistības</w:t>
            </w:r>
            <w:proofErr w:type="spellEnd"/>
            <w:r w:rsidRPr="000B3751">
              <w:rPr>
                <w:bCs/>
                <w:sz w:val="22"/>
                <w:szCs w:val="22"/>
              </w:rPr>
              <w:t>.</w:t>
            </w:r>
          </w:p>
        </w:tc>
        <w:tc>
          <w:tcPr>
            <w:tcW w:w="3092" w:type="dxa"/>
            <w:tcBorders>
              <w:top w:val="single" w:sz="6" w:space="0" w:color="000000"/>
              <w:left w:val="single" w:sz="6" w:space="0" w:color="000000"/>
              <w:bottom w:val="single" w:sz="6" w:space="0" w:color="000000"/>
            </w:tcBorders>
          </w:tcPr>
          <w:p w14:paraId="25DB082A" w14:textId="38C4DD50" w:rsidR="00D43437" w:rsidRPr="00396530" w:rsidRDefault="00617307" w:rsidP="00D733EB">
            <w:pPr>
              <w:jc w:val="center"/>
              <w:rPr>
                <w:b/>
                <w:sz w:val="22"/>
                <w:szCs w:val="22"/>
              </w:rPr>
            </w:pPr>
            <w:r>
              <w:rPr>
                <w:b/>
                <w:sz w:val="22"/>
                <w:szCs w:val="22"/>
              </w:rPr>
              <w:lastRenderedPageBreak/>
              <w:t>Ņ</w:t>
            </w:r>
            <w:r w:rsidR="00FD2F89" w:rsidRPr="00396530">
              <w:rPr>
                <w:b/>
                <w:sz w:val="22"/>
                <w:szCs w:val="22"/>
              </w:rPr>
              <w:t>emts vērā</w:t>
            </w:r>
          </w:p>
          <w:p w14:paraId="1DC53849" w14:textId="17FCD774" w:rsidR="00FD2F89" w:rsidRPr="00396530" w:rsidRDefault="00FD2F89" w:rsidP="00D733EB">
            <w:pPr>
              <w:jc w:val="center"/>
              <w:rPr>
                <w:b/>
                <w:sz w:val="22"/>
                <w:szCs w:val="22"/>
              </w:rPr>
            </w:pPr>
          </w:p>
        </w:tc>
        <w:tc>
          <w:tcPr>
            <w:tcW w:w="3402" w:type="dxa"/>
            <w:tcBorders>
              <w:top w:val="single" w:sz="6" w:space="0" w:color="000000"/>
              <w:left w:val="single" w:sz="6" w:space="0" w:color="000000"/>
              <w:bottom w:val="single" w:sz="6" w:space="0" w:color="000000"/>
            </w:tcBorders>
          </w:tcPr>
          <w:p w14:paraId="320D14CC" w14:textId="3203769C" w:rsidR="00D43437" w:rsidRPr="00180A0C" w:rsidRDefault="00617307" w:rsidP="00D733EB">
            <w:pPr>
              <w:jc w:val="both"/>
              <w:rPr>
                <w:bCs/>
                <w:sz w:val="22"/>
                <w:szCs w:val="22"/>
              </w:rPr>
            </w:pPr>
            <w:proofErr w:type="spellStart"/>
            <w:r w:rsidRPr="00180A0C">
              <w:rPr>
                <w:bCs/>
                <w:sz w:val="22"/>
                <w:szCs w:val="22"/>
              </w:rPr>
              <w:t>Protokollēmums</w:t>
            </w:r>
            <w:proofErr w:type="spellEnd"/>
            <w:r w:rsidRPr="00180A0C">
              <w:rPr>
                <w:bCs/>
                <w:sz w:val="22"/>
                <w:szCs w:val="22"/>
              </w:rPr>
              <w:t xml:space="preserve"> netiek </w:t>
            </w:r>
            <w:r w:rsidR="00315B9F">
              <w:rPr>
                <w:bCs/>
                <w:sz w:val="22"/>
                <w:szCs w:val="22"/>
              </w:rPr>
              <w:t>virzīts</w:t>
            </w:r>
          </w:p>
        </w:tc>
      </w:tr>
      <w:tr w:rsidR="006F640E" w:rsidRPr="00A443AE" w14:paraId="11EAA2E7" w14:textId="77777777" w:rsidTr="00D733EB">
        <w:tc>
          <w:tcPr>
            <w:tcW w:w="14742" w:type="dxa"/>
            <w:gridSpan w:val="7"/>
            <w:tcBorders>
              <w:top w:val="single" w:sz="6" w:space="0" w:color="000000"/>
              <w:left w:val="single" w:sz="6" w:space="0" w:color="000000"/>
              <w:bottom w:val="single" w:sz="6" w:space="0" w:color="000000"/>
            </w:tcBorders>
          </w:tcPr>
          <w:p w14:paraId="5E2D7B93" w14:textId="77777777" w:rsidR="006F640E" w:rsidRPr="00A443AE" w:rsidRDefault="006F640E" w:rsidP="00D733EB">
            <w:pPr>
              <w:jc w:val="center"/>
              <w:rPr>
                <w:b/>
                <w:sz w:val="22"/>
                <w:szCs w:val="22"/>
              </w:rPr>
            </w:pPr>
            <w:r w:rsidRPr="00A443AE">
              <w:rPr>
                <w:b/>
                <w:sz w:val="22"/>
                <w:szCs w:val="22"/>
              </w:rPr>
              <w:t>Priekšlikumi</w:t>
            </w:r>
          </w:p>
        </w:tc>
      </w:tr>
      <w:tr w:rsidR="006F640E" w:rsidRPr="00A443AE" w14:paraId="2DBED8DE" w14:textId="77777777" w:rsidTr="00244E13">
        <w:tc>
          <w:tcPr>
            <w:tcW w:w="567" w:type="dxa"/>
            <w:tcBorders>
              <w:top w:val="single" w:sz="6" w:space="0" w:color="000000"/>
              <w:left w:val="single" w:sz="6" w:space="0" w:color="000000"/>
              <w:bottom w:val="single" w:sz="6" w:space="0" w:color="000000"/>
            </w:tcBorders>
          </w:tcPr>
          <w:p w14:paraId="71782BFE" w14:textId="344B104E" w:rsidR="006F640E" w:rsidRPr="00A443AE" w:rsidRDefault="006F640E" w:rsidP="00D733EB">
            <w:pPr>
              <w:jc w:val="center"/>
              <w:rPr>
                <w:bCs/>
                <w:sz w:val="22"/>
                <w:szCs w:val="22"/>
              </w:rPr>
            </w:pPr>
            <w:r w:rsidRPr="00A443AE">
              <w:rPr>
                <w:bCs/>
                <w:sz w:val="22"/>
                <w:szCs w:val="22"/>
              </w:rPr>
              <w:t>2</w:t>
            </w:r>
            <w:r w:rsidR="00315B9F">
              <w:rPr>
                <w:bCs/>
                <w:sz w:val="22"/>
                <w:szCs w:val="22"/>
              </w:rPr>
              <w:t>0</w:t>
            </w:r>
            <w:r w:rsidRPr="00A443AE">
              <w:rPr>
                <w:bCs/>
                <w:sz w:val="22"/>
                <w:szCs w:val="22"/>
              </w:rPr>
              <w:t>.</w:t>
            </w:r>
          </w:p>
        </w:tc>
        <w:tc>
          <w:tcPr>
            <w:tcW w:w="2835" w:type="dxa"/>
            <w:gridSpan w:val="2"/>
            <w:tcBorders>
              <w:top w:val="single" w:sz="6" w:space="0" w:color="000000"/>
              <w:left w:val="single" w:sz="6" w:space="0" w:color="000000"/>
              <w:bottom w:val="single" w:sz="6" w:space="0" w:color="000000"/>
            </w:tcBorders>
          </w:tcPr>
          <w:p w14:paraId="2A3C9255" w14:textId="77777777" w:rsidR="006F640E" w:rsidRPr="00A443AE" w:rsidRDefault="006F640E" w:rsidP="00D733EB">
            <w:pPr>
              <w:jc w:val="both"/>
              <w:rPr>
                <w:b/>
                <w:sz w:val="22"/>
                <w:szCs w:val="22"/>
              </w:rPr>
            </w:pPr>
            <w:r w:rsidRPr="00A443AE">
              <w:rPr>
                <w:b/>
                <w:sz w:val="22"/>
                <w:szCs w:val="22"/>
              </w:rPr>
              <w:t>Noteikumu projekta 17.1. apakšpunkts</w:t>
            </w:r>
          </w:p>
        </w:tc>
        <w:tc>
          <w:tcPr>
            <w:tcW w:w="4846" w:type="dxa"/>
            <w:gridSpan w:val="2"/>
            <w:tcBorders>
              <w:top w:val="single" w:sz="6" w:space="0" w:color="000000"/>
              <w:left w:val="single" w:sz="6" w:space="0" w:color="000000"/>
              <w:bottom w:val="single" w:sz="6" w:space="0" w:color="000000"/>
            </w:tcBorders>
          </w:tcPr>
          <w:p w14:paraId="70C67F72" w14:textId="77777777" w:rsidR="006F640E" w:rsidRPr="00A443AE" w:rsidRDefault="006F640E" w:rsidP="00D733EB">
            <w:pPr>
              <w:jc w:val="both"/>
              <w:rPr>
                <w:b/>
                <w:sz w:val="22"/>
                <w:szCs w:val="22"/>
              </w:rPr>
            </w:pPr>
            <w:r w:rsidRPr="00A443AE">
              <w:rPr>
                <w:b/>
                <w:sz w:val="22"/>
                <w:szCs w:val="22"/>
              </w:rPr>
              <w:t>Finanšu ministrijas 11.05.2020. priekšlikums:</w:t>
            </w:r>
          </w:p>
          <w:p w14:paraId="0A143DF1" w14:textId="77777777" w:rsidR="006F640E" w:rsidRPr="00A443AE" w:rsidRDefault="006F640E" w:rsidP="00D733EB">
            <w:pPr>
              <w:jc w:val="both"/>
              <w:rPr>
                <w:bCs/>
                <w:sz w:val="22"/>
                <w:szCs w:val="22"/>
              </w:rPr>
            </w:pPr>
            <w:r w:rsidRPr="00A443AE">
              <w:rPr>
                <w:bCs/>
                <w:sz w:val="22"/>
                <w:szCs w:val="22"/>
              </w:rPr>
              <w:t>Vienlaikus izsakām priekšlikumu izvērtēt, vai noteikumu projekta 17.1.apakšpunkts nebūtu papildināms arī ar vienošanās līgumiem, jo tas arī ir viens no tiesiskajiem instrumentiem, kas, līdzīgi kā nodokļu maksājumu samaksas termiņa pagarināšana un nokavēto nodokļu maksājumu labprātīga izpilde, nodokļu maksātājam ir izmantojams savu īslaicīgo finansiālo grūtību risināšanai (sadalot maksājamo nodokļu summu noteiktos termiņos).</w:t>
            </w:r>
          </w:p>
        </w:tc>
        <w:tc>
          <w:tcPr>
            <w:tcW w:w="3092" w:type="dxa"/>
            <w:tcBorders>
              <w:top w:val="single" w:sz="6" w:space="0" w:color="000000"/>
              <w:left w:val="single" w:sz="6" w:space="0" w:color="000000"/>
              <w:bottom w:val="single" w:sz="6" w:space="0" w:color="000000"/>
            </w:tcBorders>
          </w:tcPr>
          <w:p w14:paraId="4598EE0A" w14:textId="77777777" w:rsidR="006F640E" w:rsidRPr="00A443AE" w:rsidRDefault="006F640E" w:rsidP="00D733EB">
            <w:pPr>
              <w:jc w:val="center"/>
              <w:rPr>
                <w:b/>
                <w:sz w:val="22"/>
                <w:szCs w:val="22"/>
              </w:rPr>
            </w:pPr>
            <w:r w:rsidRPr="00A443AE">
              <w:rPr>
                <w:b/>
                <w:sz w:val="22"/>
                <w:szCs w:val="22"/>
              </w:rPr>
              <w:t>Ņemts vērā</w:t>
            </w:r>
          </w:p>
        </w:tc>
        <w:tc>
          <w:tcPr>
            <w:tcW w:w="3402" w:type="dxa"/>
            <w:tcBorders>
              <w:top w:val="single" w:sz="6" w:space="0" w:color="000000"/>
              <w:left w:val="single" w:sz="6" w:space="0" w:color="000000"/>
              <w:bottom w:val="single" w:sz="6" w:space="0" w:color="000000"/>
            </w:tcBorders>
          </w:tcPr>
          <w:p w14:paraId="16F0C4E9" w14:textId="77777777" w:rsidR="006F640E" w:rsidRPr="00A443AE" w:rsidRDefault="006F640E" w:rsidP="00D733EB">
            <w:pPr>
              <w:jc w:val="both"/>
              <w:rPr>
                <w:b/>
                <w:sz w:val="22"/>
                <w:szCs w:val="22"/>
              </w:rPr>
            </w:pPr>
            <w:r w:rsidRPr="00A443AE">
              <w:rPr>
                <w:b/>
                <w:sz w:val="22"/>
                <w:szCs w:val="22"/>
              </w:rPr>
              <w:t>Precizēts noteikumu projekta 17.1.apakšpunkts</w:t>
            </w:r>
          </w:p>
        </w:tc>
      </w:tr>
      <w:tr w:rsidR="006F640E" w:rsidRPr="00A443AE" w14:paraId="5401EBA3" w14:textId="77777777" w:rsidTr="00244E13">
        <w:tc>
          <w:tcPr>
            <w:tcW w:w="567" w:type="dxa"/>
            <w:tcBorders>
              <w:top w:val="single" w:sz="6" w:space="0" w:color="000000"/>
              <w:left w:val="single" w:sz="6" w:space="0" w:color="000000"/>
              <w:bottom w:val="single" w:sz="6" w:space="0" w:color="000000"/>
            </w:tcBorders>
          </w:tcPr>
          <w:p w14:paraId="0D92754C" w14:textId="023ED641" w:rsidR="006F640E" w:rsidRPr="00A443AE" w:rsidRDefault="006F640E" w:rsidP="00D733EB">
            <w:pPr>
              <w:jc w:val="center"/>
              <w:rPr>
                <w:bCs/>
                <w:sz w:val="22"/>
                <w:szCs w:val="22"/>
              </w:rPr>
            </w:pPr>
            <w:r w:rsidRPr="00A443AE">
              <w:rPr>
                <w:bCs/>
                <w:sz w:val="22"/>
                <w:szCs w:val="22"/>
              </w:rPr>
              <w:t>2</w:t>
            </w:r>
            <w:r w:rsidR="00315B9F">
              <w:rPr>
                <w:bCs/>
                <w:sz w:val="22"/>
                <w:szCs w:val="22"/>
              </w:rPr>
              <w:t>1</w:t>
            </w:r>
            <w:r w:rsidRPr="00A443AE">
              <w:rPr>
                <w:bCs/>
                <w:sz w:val="22"/>
                <w:szCs w:val="22"/>
              </w:rPr>
              <w:t>.</w:t>
            </w:r>
          </w:p>
        </w:tc>
        <w:tc>
          <w:tcPr>
            <w:tcW w:w="2835" w:type="dxa"/>
            <w:gridSpan w:val="2"/>
            <w:tcBorders>
              <w:top w:val="single" w:sz="6" w:space="0" w:color="000000"/>
              <w:left w:val="single" w:sz="6" w:space="0" w:color="000000"/>
              <w:bottom w:val="single" w:sz="6" w:space="0" w:color="000000"/>
            </w:tcBorders>
          </w:tcPr>
          <w:p w14:paraId="46AAA460" w14:textId="77777777" w:rsidR="006F640E" w:rsidRPr="00A443AE" w:rsidRDefault="006F640E" w:rsidP="00D733EB">
            <w:pPr>
              <w:jc w:val="both"/>
              <w:rPr>
                <w:b/>
                <w:sz w:val="22"/>
                <w:szCs w:val="22"/>
              </w:rPr>
            </w:pPr>
            <w:r w:rsidRPr="00A443AE">
              <w:rPr>
                <w:b/>
                <w:sz w:val="22"/>
                <w:szCs w:val="22"/>
              </w:rPr>
              <w:t>Noteikuma projekts</w:t>
            </w:r>
          </w:p>
        </w:tc>
        <w:tc>
          <w:tcPr>
            <w:tcW w:w="4846" w:type="dxa"/>
            <w:gridSpan w:val="2"/>
            <w:tcBorders>
              <w:top w:val="single" w:sz="6" w:space="0" w:color="000000"/>
              <w:left w:val="single" w:sz="6" w:space="0" w:color="000000"/>
              <w:bottom w:val="single" w:sz="6" w:space="0" w:color="000000"/>
            </w:tcBorders>
          </w:tcPr>
          <w:p w14:paraId="1B70C075" w14:textId="77777777" w:rsidR="006F640E" w:rsidRPr="00A443AE" w:rsidRDefault="006F640E" w:rsidP="00D733EB">
            <w:pPr>
              <w:jc w:val="both"/>
              <w:rPr>
                <w:b/>
                <w:sz w:val="22"/>
                <w:szCs w:val="22"/>
              </w:rPr>
            </w:pPr>
            <w:r w:rsidRPr="00A443AE">
              <w:rPr>
                <w:b/>
                <w:sz w:val="22"/>
                <w:szCs w:val="22"/>
              </w:rPr>
              <w:t>Tieslietu ministrijas 12.05.2020. atzinuma priekšlikums:</w:t>
            </w:r>
          </w:p>
          <w:p w14:paraId="4F940A37" w14:textId="77777777" w:rsidR="006F640E" w:rsidRPr="00A443AE" w:rsidRDefault="006F640E" w:rsidP="00D733EB">
            <w:pPr>
              <w:jc w:val="both"/>
              <w:rPr>
                <w:bCs/>
                <w:sz w:val="22"/>
                <w:szCs w:val="22"/>
              </w:rPr>
            </w:pPr>
            <w:r w:rsidRPr="00A443AE">
              <w:rPr>
                <w:bCs/>
                <w:sz w:val="22"/>
                <w:szCs w:val="22"/>
              </w:rPr>
              <w:t xml:space="preserve">Ierosinām visā Projektā precizēt lietoto terminoloģiju, lai tā atbilstu Komerclikumā un Finanšu instrumentu tirgus likumā noteiktajai terminoloģijai. Vēršam uzmanību uz konkrētiem Projektā lietotiem terminiem: </w:t>
            </w:r>
          </w:p>
          <w:p w14:paraId="7D58C548" w14:textId="77777777" w:rsidR="006F640E" w:rsidRPr="00A443AE" w:rsidRDefault="006F640E" w:rsidP="00D733EB">
            <w:pPr>
              <w:jc w:val="both"/>
              <w:rPr>
                <w:bCs/>
                <w:sz w:val="22"/>
                <w:szCs w:val="22"/>
              </w:rPr>
            </w:pPr>
            <w:r w:rsidRPr="00A443AE">
              <w:rPr>
                <w:bCs/>
                <w:sz w:val="22"/>
                <w:szCs w:val="22"/>
              </w:rPr>
              <w:t>1.1. Projekta 2. punktā lietots termins “bizness”, savukārt Komerclikumā lietots termins “komercdarbība”;</w:t>
            </w:r>
          </w:p>
          <w:p w14:paraId="51954B2C" w14:textId="77777777" w:rsidR="006F640E" w:rsidRPr="00A443AE" w:rsidRDefault="006F640E" w:rsidP="00D733EB">
            <w:pPr>
              <w:jc w:val="both"/>
              <w:rPr>
                <w:bCs/>
                <w:sz w:val="22"/>
                <w:szCs w:val="22"/>
              </w:rPr>
            </w:pPr>
            <w:r w:rsidRPr="00A443AE">
              <w:rPr>
                <w:bCs/>
                <w:sz w:val="22"/>
                <w:szCs w:val="22"/>
              </w:rPr>
              <w:t>1.2. Projekta 14.1. apakšpunktā lietots termins “kapitāldaļas”, savukārt Komerclikumā lietots termins “pamatkapitāla daļas (akcijas)”;</w:t>
            </w:r>
          </w:p>
          <w:p w14:paraId="6771C61A" w14:textId="77777777" w:rsidR="006F640E" w:rsidRPr="00A443AE" w:rsidRDefault="006F640E" w:rsidP="00D733EB">
            <w:pPr>
              <w:jc w:val="both"/>
              <w:rPr>
                <w:bCs/>
                <w:sz w:val="22"/>
                <w:szCs w:val="22"/>
              </w:rPr>
            </w:pPr>
            <w:r w:rsidRPr="00A443AE">
              <w:rPr>
                <w:bCs/>
                <w:sz w:val="22"/>
                <w:szCs w:val="22"/>
              </w:rPr>
              <w:t>1.3. Projekta 14.1. apakšpunktā lietots termins “komersanta tirgus vērtība”. Norādām, ka komersants ir juridiskā persona un juridiskai personai tirgus vērtība netiek noteikta. Līdz ar Tieslietu ministrijas ieskatā precīzāks būtu termins “</w:t>
            </w:r>
            <w:bookmarkStart w:id="4" w:name="_Hlk40124020"/>
            <w:r w:rsidRPr="00A443AE">
              <w:rPr>
                <w:bCs/>
                <w:sz w:val="22"/>
                <w:szCs w:val="22"/>
              </w:rPr>
              <w:t>pamatkapitāla daļu (akciju) tirgus vērtība</w:t>
            </w:r>
            <w:bookmarkEnd w:id="4"/>
            <w:r w:rsidRPr="00A443AE">
              <w:rPr>
                <w:bCs/>
                <w:sz w:val="22"/>
                <w:szCs w:val="22"/>
              </w:rPr>
              <w:t xml:space="preserve">”. </w:t>
            </w:r>
          </w:p>
          <w:p w14:paraId="12C9BB99" w14:textId="77777777" w:rsidR="006F640E" w:rsidRPr="00A443AE" w:rsidRDefault="006F640E" w:rsidP="00D733EB">
            <w:pPr>
              <w:jc w:val="both"/>
              <w:rPr>
                <w:bCs/>
                <w:sz w:val="22"/>
                <w:szCs w:val="22"/>
              </w:rPr>
            </w:pPr>
            <w:r w:rsidRPr="00A443AE">
              <w:rPr>
                <w:bCs/>
                <w:sz w:val="22"/>
                <w:szCs w:val="22"/>
              </w:rPr>
              <w:t xml:space="preserve">1.4. Projekta 14.1. apakšpunktā lietots termins “kapitāldaļas biržā”. Norādām, ka precīzāk būtu norādīt terminu “akcijas” ņemot vērā, ka sabiedrība </w:t>
            </w:r>
            <w:r w:rsidRPr="00A443AE">
              <w:rPr>
                <w:bCs/>
                <w:sz w:val="22"/>
                <w:szCs w:val="22"/>
              </w:rPr>
              <w:lastRenderedPageBreak/>
              <w:t>ar ierobežotu atbildību savas pamatkapitāla daļas nevar iekļaut regulētajā tirgū. Savukārt, priekšlikumu saistībā ar terminu “birža” lūdzam skatīt priekšlikuma 1.6. apakšpunktu;</w:t>
            </w:r>
          </w:p>
          <w:p w14:paraId="602EA27D" w14:textId="77777777" w:rsidR="006F640E" w:rsidRPr="00A443AE" w:rsidRDefault="006F640E" w:rsidP="00D733EB">
            <w:pPr>
              <w:jc w:val="both"/>
              <w:rPr>
                <w:bCs/>
                <w:sz w:val="22"/>
                <w:szCs w:val="22"/>
              </w:rPr>
            </w:pPr>
            <w:r w:rsidRPr="00A443AE">
              <w:rPr>
                <w:bCs/>
                <w:sz w:val="22"/>
                <w:szCs w:val="22"/>
              </w:rPr>
              <w:t>1.5. Projekta 14.1. apakšpunktā lietots termins “kapitāldaļu turētāji”, savukārt Komerclikumā lietots termins “dalībnieki (akcionāri)”;</w:t>
            </w:r>
          </w:p>
          <w:p w14:paraId="781C814E" w14:textId="77777777" w:rsidR="006F640E" w:rsidRPr="00A443AE" w:rsidRDefault="006F640E" w:rsidP="00D733EB">
            <w:pPr>
              <w:jc w:val="both"/>
              <w:rPr>
                <w:bCs/>
                <w:sz w:val="22"/>
                <w:szCs w:val="22"/>
              </w:rPr>
            </w:pPr>
            <w:r w:rsidRPr="00A443AE">
              <w:rPr>
                <w:bCs/>
                <w:sz w:val="22"/>
                <w:szCs w:val="22"/>
              </w:rPr>
              <w:t>1.6. Projekta 14.4. apakšpunktā lietots termins “birža”, savukārt Finanšu instrumentu tirgus likuma 1. panta 77. punktā ir noteiktas vairākas tirdzniecības vietas, proti, regulētais tirgus, daudzpusējā tirdzniecības sistēma un organizētā tirdzniecības sistēma. Līdz ar to lūdzam precizēt, kas konkrētajā gadījumā paredzēts ar minēto terminu;</w:t>
            </w:r>
          </w:p>
          <w:p w14:paraId="78997CC0" w14:textId="77777777" w:rsidR="006F640E" w:rsidRPr="00A443AE" w:rsidRDefault="006F640E" w:rsidP="00D733EB">
            <w:pPr>
              <w:jc w:val="both"/>
              <w:rPr>
                <w:bCs/>
                <w:sz w:val="22"/>
                <w:szCs w:val="22"/>
              </w:rPr>
            </w:pPr>
            <w:r w:rsidRPr="00A443AE">
              <w:rPr>
                <w:bCs/>
                <w:sz w:val="22"/>
                <w:szCs w:val="22"/>
              </w:rPr>
              <w:t>1.7. Projekta 14.4. apakšpunktā lietots termins “kotēt”, savukārt Finanšu instrumentu tirgus likumā lietots termins “</w:t>
            </w:r>
            <w:bookmarkStart w:id="5" w:name="_Hlk40124333"/>
            <w:r w:rsidRPr="00A443AE">
              <w:rPr>
                <w:bCs/>
                <w:sz w:val="22"/>
                <w:szCs w:val="22"/>
              </w:rPr>
              <w:t>iekļaut regulētajā tirgū</w:t>
            </w:r>
            <w:bookmarkEnd w:id="5"/>
            <w:r w:rsidRPr="00A443AE">
              <w:rPr>
                <w:bCs/>
                <w:sz w:val="22"/>
                <w:szCs w:val="22"/>
              </w:rPr>
              <w:t>”;</w:t>
            </w:r>
          </w:p>
        </w:tc>
        <w:tc>
          <w:tcPr>
            <w:tcW w:w="3092" w:type="dxa"/>
            <w:tcBorders>
              <w:top w:val="single" w:sz="6" w:space="0" w:color="000000"/>
              <w:left w:val="single" w:sz="6" w:space="0" w:color="000000"/>
              <w:bottom w:val="single" w:sz="6" w:space="0" w:color="000000"/>
            </w:tcBorders>
          </w:tcPr>
          <w:p w14:paraId="3353D5DA" w14:textId="77777777" w:rsidR="006F640E" w:rsidRPr="00A443AE" w:rsidRDefault="006F640E" w:rsidP="00D733EB">
            <w:pPr>
              <w:jc w:val="center"/>
              <w:rPr>
                <w:b/>
                <w:sz w:val="22"/>
                <w:szCs w:val="22"/>
              </w:rPr>
            </w:pPr>
            <w:r w:rsidRPr="00A443AE">
              <w:rPr>
                <w:b/>
                <w:sz w:val="22"/>
                <w:szCs w:val="22"/>
              </w:rPr>
              <w:lastRenderedPageBreak/>
              <w:t>Ņemts vērā</w:t>
            </w:r>
          </w:p>
        </w:tc>
        <w:tc>
          <w:tcPr>
            <w:tcW w:w="3402" w:type="dxa"/>
            <w:tcBorders>
              <w:top w:val="single" w:sz="6" w:space="0" w:color="000000"/>
              <w:left w:val="single" w:sz="6" w:space="0" w:color="000000"/>
              <w:bottom w:val="single" w:sz="6" w:space="0" w:color="000000"/>
            </w:tcBorders>
          </w:tcPr>
          <w:p w14:paraId="323FC8AA" w14:textId="77777777" w:rsidR="006F640E" w:rsidRPr="00A443AE" w:rsidRDefault="006F640E" w:rsidP="00D733EB">
            <w:pPr>
              <w:jc w:val="both"/>
              <w:rPr>
                <w:b/>
                <w:sz w:val="22"/>
                <w:szCs w:val="22"/>
              </w:rPr>
            </w:pPr>
            <w:r w:rsidRPr="00A443AE">
              <w:rPr>
                <w:b/>
                <w:sz w:val="22"/>
                <w:szCs w:val="22"/>
              </w:rPr>
              <w:t>Precizēts noteikuma projekts</w:t>
            </w:r>
          </w:p>
        </w:tc>
      </w:tr>
      <w:tr w:rsidR="006F640E" w:rsidRPr="00CD2F09" w14:paraId="1F278D36" w14:textId="77777777" w:rsidTr="00D733EB">
        <w:tblPrEx>
          <w:tblBorders>
            <w:top w:val="none" w:sz="0" w:space="0" w:color="auto"/>
            <w:left w:val="none" w:sz="0" w:space="0" w:color="auto"/>
            <w:bottom w:val="none" w:sz="0" w:space="0" w:color="auto"/>
            <w:right w:val="none" w:sz="0" w:space="0" w:color="auto"/>
          </w:tblBorders>
        </w:tblPrEx>
        <w:trPr>
          <w:gridAfter w:val="3"/>
          <w:wAfter w:w="9491" w:type="dxa"/>
        </w:trPr>
        <w:tc>
          <w:tcPr>
            <w:tcW w:w="2410" w:type="dxa"/>
            <w:gridSpan w:val="2"/>
          </w:tcPr>
          <w:p w14:paraId="70AB4C1C" w14:textId="77777777" w:rsidR="006F640E" w:rsidRPr="00CD2F09" w:rsidRDefault="006F640E" w:rsidP="00D733EB">
            <w:pPr>
              <w:pStyle w:val="naiskr"/>
              <w:spacing w:before="0" w:after="0"/>
              <w:ind w:firstLine="720"/>
              <w:rPr>
                <w:sz w:val="22"/>
                <w:szCs w:val="22"/>
              </w:rPr>
            </w:pPr>
          </w:p>
        </w:tc>
        <w:tc>
          <w:tcPr>
            <w:tcW w:w="2841" w:type="dxa"/>
            <w:gridSpan w:val="2"/>
            <w:tcBorders>
              <w:top w:val="single" w:sz="6" w:space="0" w:color="000000"/>
            </w:tcBorders>
          </w:tcPr>
          <w:p w14:paraId="7693CCDF" w14:textId="77777777" w:rsidR="006F640E" w:rsidRPr="00CD2F09" w:rsidRDefault="006F640E" w:rsidP="00D733EB">
            <w:pPr>
              <w:pStyle w:val="naisc"/>
              <w:spacing w:before="0" w:after="0"/>
              <w:ind w:firstLine="720"/>
              <w:rPr>
                <w:sz w:val="22"/>
                <w:szCs w:val="22"/>
              </w:rPr>
            </w:pPr>
          </w:p>
        </w:tc>
      </w:tr>
    </w:tbl>
    <w:p w14:paraId="4B611061" w14:textId="77777777" w:rsidR="006F640E" w:rsidRPr="009C6FAF" w:rsidRDefault="006F640E" w:rsidP="006F640E">
      <w:pPr>
        <w:pStyle w:val="NormalLatvian"/>
        <w:spacing w:after="0"/>
        <w:rPr>
          <w:sz w:val="22"/>
          <w:szCs w:val="22"/>
        </w:rPr>
      </w:pPr>
      <w:r w:rsidRPr="009C6FAF">
        <w:rPr>
          <w:sz w:val="22"/>
          <w:szCs w:val="22"/>
        </w:rPr>
        <w:t xml:space="preserve">Par projektu atbildīgā amatpersona: </w:t>
      </w:r>
      <w:r>
        <w:rPr>
          <w:sz w:val="22"/>
          <w:szCs w:val="22"/>
        </w:rPr>
        <w:t>Kristaps Soms</w:t>
      </w:r>
    </w:p>
    <w:p w14:paraId="65BE492E" w14:textId="77777777" w:rsidR="006F640E" w:rsidRPr="009C6FAF" w:rsidRDefault="006F640E" w:rsidP="006F640E">
      <w:pPr>
        <w:pStyle w:val="naisf"/>
        <w:spacing w:before="0" w:after="0"/>
        <w:ind w:firstLine="0"/>
        <w:rPr>
          <w:sz w:val="22"/>
          <w:szCs w:val="22"/>
        </w:rPr>
      </w:pPr>
      <w:r w:rsidRPr="009C6FAF">
        <w:rPr>
          <w:sz w:val="22"/>
          <w:szCs w:val="22"/>
        </w:rPr>
        <w:t>Uzņēmējdarbības konkurētspējas departamenta</w:t>
      </w:r>
    </w:p>
    <w:p w14:paraId="500A51C9" w14:textId="77777777" w:rsidR="006F640E" w:rsidRPr="009C6FAF" w:rsidRDefault="006F640E" w:rsidP="006F640E">
      <w:pPr>
        <w:pStyle w:val="naisf"/>
        <w:spacing w:before="0" w:after="0"/>
        <w:ind w:firstLine="0"/>
        <w:rPr>
          <w:sz w:val="22"/>
          <w:szCs w:val="22"/>
        </w:rPr>
      </w:pPr>
      <w:r>
        <w:rPr>
          <w:sz w:val="22"/>
          <w:szCs w:val="22"/>
        </w:rPr>
        <w:t>Direktors</w:t>
      </w:r>
      <w:r w:rsidRPr="009C6FAF">
        <w:rPr>
          <w:sz w:val="22"/>
          <w:szCs w:val="22"/>
        </w:rPr>
        <w:t>, tālr.: 67013</w:t>
      </w:r>
      <w:r>
        <w:rPr>
          <w:sz w:val="22"/>
          <w:szCs w:val="22"/>
        </w:rPr>
        <w:t>299</w:t>
      </w:r>
    </w:p>
    <w:p w14:paraId="36F07153" w14:textId="77777777" w:rsidR="006F640E" w:rsidRPr="009C6FAF" w:rsidRDefault="006F640E" w:rsidP="006F640E">
      <w:pPr>
        <w:pStyle w:val="naisf"/>
        <w:spacing w:before="0" w:after="0"/>
        <w:ind w:firstLine="0"/>
        <w:rPr>
          <w:sz w:val="22"/>
          <w:szCs w:val="22"/>
        </w:rPr>
      </w:pPr>
      <w:r>
        <w:rPr>
          <w:sz w:val="22"/>
          <w:szCs w:val="22"/>
        </w:rPr>
        <w:t>E</w:t>
      </w:r>
      <w:r w:rsidRPr="009C6FAF">
        <w:rPr>
          <w:sz w:val="22"/>
          <w:szCs w:val="22"/>
        </w:rPr>
        <w:t xml:space="preserve">-pasts: </w:t>
      </w:r>
      <w:hyperlink r:id="rId8" w:history="1">
        <w:r w:rsidRPr="007E701D">
          <w:rPr>
            <w:rStyle w:val="Hyperlink"/>
            <w:sz w:val="22"/>
            <w:szCs w:val="22"/>
          </w:rPr>
          <w:t>Kristaps.Soms@em.gov.lv</w:t>
        </w:r>
      </w:hyperlink>
    </w:p>
    <w:p w14:paraId="413846CF" w14:textId="77777777" w:rsidR="006F640E" w:rsidRDefault="006F640E" w:rsidP="006F640E">
      <w:pPr>
        <w:pStyle w:val="Header"/>
        <w:tabs>
          <w:tab w:val="center" w:pos="900"/>
        </w:tabs>
        <w:rPr>
          <w:bCs/>
          <w:sz w:val="16"/>
          <w:szCs w:val="22"/>
        </w:rPr>
      </w:pPr>
    </w:p>
    <w:p w14:paraId="27013BE2" w14:textId="77777777" w:rsidR="006F640E" w:rsidRDefault="006F640E" w:rsidP="006F640E">
      <w:pPr>
        <w:pStyle w:val="Header"/>
        <w:tabs>
          <w:tab w:val="center" w:pos="900"/>
        </w:tabs>
        <w:rPr>
          <w:bCs/>
          <w:sz w:val="16"/>
          <w:szCs w:val="22"/>
        </w:rPr>
      </w:pPr>
    </w:p>
    <w:p w14:paraId="756307EB" w14:textId="77777777" w:rsidR="006F640E" w:rsidRDefault="006F640E" w:rsidP="006F640E">
      <w:pPr>
        <w:pStyle w:val="Header"/>
        <w:tabs>
          <w:tab w:val="center" w:pos="900"/>
        </w:tabs>
        <w:rPr>
          <w:bCs/>
          <w:sz w:val="16"/>
          <w:szCs w:val="22"/>
        </w:rPr>
      </w:pPr>
    </w:p>
    <w:p w14:paraId="7333B2C3" w14:textId="77777777" w:rsidR="006F640E" w:rsidRPr="005F080C" w:rsidRDefault="006F640E" w:rsidP="006F640E">
      <w:pPr>
        <w:pStyle w:val="Header"/>
        <w:tabs>
          <w:tab w:val="center" w:pos="900"/>
        </w:tabs>
        <w:rPr>
          <w:bCs/>
          <w:sz w:val="16"/>
          <w:szCs w:val="22"/>
        </w:rPr>
      </w:pPr>
      <w:r w:rsidRPr="005F080C">
        <w:rPr>
          <w:bCs/>
          <w:sz w:val="16"/>
          <w:szCs w:val="22"/>
        </w:rPr>
        <w:fldChar w:fldCharType="begin"/>
      </w:r>
      <w:r w:rsidRPr="005F080C">
        <w:rPr>
          <w:bCs/>
          <w:sz w:val="16"/>
          <w:szCs w:val="22"/>
        </w:rPr>
        <w:instrText xml:space="preserve"> NUMWORDS   \* MERGEFORMAT </w:instrText>
      </w:r>
      <w:r w:rsidRPr="005F080C">
        <w:rPr>
          <w:bCs/>
          <w:sz w:val="16"/>
          <w:szCs w:val="22"/>
        </w:rPr>
        <w:fldChar w:fldCharType="separate"/>
      </w:r>
      <w:r>
        <w:rPr>
          <w:bCs/>
          <w:noProof/>
          <w:sz w:val="16"/>
          <w:szCs w:val="22"/>
        </w:rPr>
        <w:t>5363</w:t>
      </w:r>
      <w:r w:rsidRPr="005F080C">
        <w:rPr>
          <w:bCs/>
          <w:sz w:val="16"/>
          <w:szCs w:val="22"/>
        </w:rPr>
        <w:fldChar w:fldCharType="end"/>
      </w:r>
    </w:p>
    <w:p w14:paraId="215DCE5D" w14:textId="1396E4B0" w:rsidR="006F640E" w:rsidRPr="005F080C" w:rsidRDefault="006F640E" w:rsidP="006F640E">
      <w:pPr>
        <w:pStyle w:val="Header"/>
        <w:tabs>
          <w:tab w:val="center" w:pos="900"/>
        </w:tabs>
        <w:rPr>
          <w:bCs/>
          <w:sz w:val="16"/>
          <w:szCs w:val="22"/>
        </w:rPr>
      </w:pPr>
      <w:r>
        <w:rPr>
          <w:bCs/>
          <w:sz w:val="16"/>
          <w:szCs w:val="22"/>
        </w:rPr>
        <w:fldChar w:fldCharType="begin"/>
      </w:r>
      <w:r>
        <w:rPr>
          <w:bCs/>
          <w:sz w:val="16"/>
          <w:szCs w:val="22"/>
        </w:rPr>
        <w:instrText xml:space="preserve"> DATE  \@ "dd.MM.yyyy HH:mm"  \* MERGEFORMAT </w:instrText>
      </w:r>
      <w:r>
        <w:rPr>
          <w:bCs/>
          <w:sz w:val="16"/>
          <w:szCs w:val="22"/>
        </w:rPr>
        <w:fldChar w:fldCharType="separate"/>
      </w:r>
      <w:r w:rsidR="00976007">
        <w:rPr>
          <w:bCs/>
          <w:noProof/>
          <w:sz w:val="16"/>
          <w:szCs w:val="22"/>
        </w:rPr>
        <w:t>09.07.2020 16:26</w:t>
      </w:r>
      <w:r>
        <w:rPr>
          <w:bCs/>
          <w:sz w:val="16"/>
          <w:szCs w:val="22"/>
        </w:rPr>
        <w:fldChar w:fldCharType="end"/>
      </w:r>
      <w:bookmarkStart w:id="6" w:name="_GoBack"/>
      <w:bookmarkEnd w:id="6"/>
      <w:r w:rsidRPr="005F080C">
        <w:rPr>
          <w:bCs/>
          <w:sz w:val="16"/>
          <w:szCs w:val="22"/>
        </w:rPr>
        <w:br/>
      </w:r>
      <w:proofErr w:type="spellStart"/>
      <w:r>
        <w:rPr>
          <w:bCs/>
          <w:sz w:val="16"/>
          <w:szCs w:val="22"/>
        </w:rPr>
        <w:t>L.Bergholde</w:t>
      </w:r>
      <w:proofErr w:type="spellEnd"/>
    </w:p>
    <w:p w14:paraId="26C29270" w14:textId="77777777" w:rsidR="006F640E" w:rsidRPr="005F080C" w:rsidRDefault="00976007" w:rsidP="006F640E">
      <w:pPr>
        <w:pStyle w:val="naisf"/>
        <w:spacing w:before="0" w:after="0"/>
        <w:ind w:firstLine="0"/>
        <w:rPr>
          <w:sz w:val="16"/>
          <w:szCs w:val="22"/>
        </w:rPr>
      </w:pPr>
      <w:hyperlink r:id="rId9" w:history="1">
        <w:r w:rsidR="006F640E" w:rsidRPr="001E6072">
          <w:rPr>
            <w:rStyle w:val="Hyperlink"/>
            <w:sz w:val="16"/>
            <w:szCs w:val="22"/>
          </w:rPr>
          <w:t>Liene.Bergholde@em.gov.lv</w:t>
        </w:r>
      </w:hyperlink>
    </w:p>
    <w:p w14:paraId="340D0464" w14:textId="77777777" w:rsidR="00516768" w:rsidRDefault="00976007"/>
    <w:sectPr w:rsidR="00516768" w:rsidSect="00980710">
      <w:headerReference w:type="even" r:id="rId10"/>
      <w:headerReference w:type="default" r:id="rId11"/>
      <w:footerReference w:type="default" r:id="rId12"/>
      <w:footerReference w:type="first" r:id="rId13"/>
      <w:pgSz w:w="16838" w:h="11906" w:orient="landscape" w:code="9"/>
      <w:pgMar w:top="709"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67E84" w14:textId="77777777" w:rsidR="00BE12C5" w:rsidRDefault="00BE12C5">
      <w:r>
        <w:separator/>
      </w:r>
    </w:p>
  </w:endnote>
  <w:endnote w:type="continuationSeparator" w:id="0">
    <w:p w14:paraId="4D6BBD15" w14:textId="77777777" w:rsidR="00BE12C5" w:rsidRDefault="00BE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92CF4" w14:textId="1BD9274D" w:rsidR="006455E7" w:rsidRPr="00EF7B65" w:rsidRDefault="006F640E" w:rsidP="00EF7B65">
    <w:pPr>
      <w:pStyle w:val="Footer"/>
    </w:pPr>
    <w:r>
      <w:rPr>
        <w:sz w:val="16"/>
        <w:szCs w:val="20"/>
      </w:rPr>
      <w:fldChar w:fldCharType="begin"/>
    </w:r>
    <w:r>
      <w:rPr>
        <w:sz w:val="16"/>
        <w:szCs w:val="20"/>
      </w:rPr>
      <w:instrText xml:space="preserve"> FILENAME   \* MERGEFORMAT </w:instrText>
    </w:r>
    <w:r>
      <w:rPr>
        <w:sz w:val="16"/>
        <w:szCs w:val="20"/>
      </w:rPr>
      <w:fldChar w:fldCharType="separate"/>
    </w:r>
    <w:r w:rsidR="00A443AE" w:rsidRPr="00A443AE">
      <w:rPr>
        <w:noProof/>
        <w:szCs w:val="20"/>
      </w:rPr>
      <w:t>EMIzz_</w:t>
    </w:r>
    <w:r w:rsidR="00976007">
      <w:rPr>
        <w:noProof/>
        <w:szCs w:val="20"/>
      </w:rPr>
      <w:t>10</w:t>
    </w:r>
    <w:r w:rsidR="00A443AE" w:rsidRPr="00A443AE">
      <w:rPr>
        <w:noProof/>
        <w:szCs w:val="20"/>
      </w:rPr>
      <w:t>07</w:t>
    </w:r>
    <w:r w:rsidR="00976007">
      <w:rPr>
        <w:noProof/>
        <w:szCs w:val="20"/>
      </w:rPr>
      <w:t>20</w:t>
    </w:r>
    <w:r w:rsidR="00A443AE" w:rsidRPr="00A443AE">
      <w:rPr>
        <w:noProof/>
        <w:szCs w:val="20"/>
      </w:rPr>
      <w:t>20_</w:t>
    </w:r>
    <w:r w:rsidR="00976007" w:rsidRPr="00976007">
      <w:rPr>
        <w:noProof/>
        <w:sz w:val="20"/>
        <w:szCs w:val="20"/>
      </w:rPr>
      <w:t>Kapitala_ieguldijumi</w:t>
    </w:r>
    <w:r w:rsidR="00A443AE">
      <w:rPr>
        <w:noProof/>
        <w:sz w:val="16"/>
        <w:szCs w:val="20"/>
      </w:rPr>
      <w:t>.docx</w:t>
    </w:r>
    <w:r>
      <w:rPr>
        <w:sz w:val="16"/>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18980" w14:textId="77777777" w:rsidR="006455E7" w:rsidRPr="00913AA8" w:rsidRDefault="000B3751" w:rsidP="00913AA8">
    <w:pPr>
      <w:pStyle w:val="Footer"/>
    </w:pPr>
    <w:fldSimple w:instr=" FILENAME   \* MERGEFORMAT ">
      <w:r w:rsidR="006F640E">
        <w:rPr>
          <w:noProof/>
        </w:rPr>
        <w:t>EMIzz_250620_MKN_kapitāla palielināšana.doc</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FA60B" w14:textId="77777777" w:rsidR="00BE12C5" w:rsidRDefault="00BE12C5">
      <w:r>
        <w:separator/>
      </w:r>
    </w:p>
  </w:footnote>
  <w:footnote w:type="continuationSeparator" w:id="0">
    <w:p w14:paraId="00EC9246" w14:textId="77777777" w:rsidR="00BE12C5" w:rsidRDefault="00BE1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8A590" w14:textId="77777777" w:rsidR="006455E7" w:rsidRDefault="006F640E"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7434BE" w14:textId="77777777" w:rsidR="006455E7" w:rsidRDefault="00976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DEF61" w14:textId="77777777" w:rsidR="006455E7" w:rsidRDefault="006F640E"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5353CAD" w14:textId="77777777" w:rsidR="006455E7" w:rsidRDefault="00976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15A6A"/>
    <w:multiLevelType w:val="multilevel"/>
    <w:tmpl w:val="1B40E26A"/>
    <w:lvl w:ilvl="0">
      <w:start w:val="1"/>
      <w:numFmt w:val="decimal"/>
      <w:lvlText w:val="%1."/>
      <w:lvlJc w:val="left"/>
      <w:pPr>
        <w:ind w:left="1069" w:hanging="360"/>
      </w:pPr>
      <w:rPr>
        <w:rFonts w:hint="default"/>
      </w:rPr>
    </w:lvl>
    <w:lvl w:ilvl="1">
      <w:start w:val="1"/>
      <w:numFmt w:val="decimal"/>
      <w:isLgl/>
      <w:lvlText w:val="%1.%2."/>
      <w:lvlJc w:val="left"/>
      <w:pPr>
        <w:ind w:left="1778" w:hanging="360"/>
      </w:pPr>
      <w:rPr>
        <w:rFonts w:eastAsia="Times New Roman" w:hint="default"/>
      </w:rPr>
    </w:lvl>
    <w:lvl w:ilvl="2">
      <w:start w:val="1"/>
      <w:numFmt w:val="decimal"/>
      <w:isLgl/>
      <w:lvlText w:val="%1.%2.%3."/>
      <w:lvlJc w:val="left"/>
      <w:pPr>
        <w:ind w:left="2149" w:hanging="720"/>
      </w:pPr>
      <w:rPr>
        <w:rFonts w:eastAsia="Times New Roman" w:hint="default"/>
      </w:rPr>
    </w:lvl>
    <w:lvl w:ilvl="3">
      <w:start w:val="1"/>
      <w:numFmt w:val="decimal"/>
      <w:isLgl/>
      <w:lvlText w:val="%1.%2.%3.%4."/>
      <w:lvlJc w:val="left"/>
      <w:pPr>
        <w:ind w:left="2509" w:hanging="720"/>
      </w:pPr>
      <w:rPr>
        <w:rFonts w:eastAsia="Times New Roman" w:hint="default"/>
      </w:rPr>
    </w:lvl>
    <w:lvl w:ilvl="4">
      <w:start w:val="1"/>
      <w:numFmt w:val="decimal"/>
      <w:isLgl/>
      <w:lvlText w:val="%1.%2.%3.%4.%5."/>
      <w:lvlJc w:val="left"/>
      <w:pPr>
        <w:ind w:left="3229" w:hanging="1080"/>
      </w:pPr>
      <w:rPr>
        <w:rFonts w:eastAsia="Times New Roman" w:hint="default"/>
      </w:rPr>
    </w:lvl>
    <w:lvl w:ilvl="5">
      <w:start w:val="1"/>
      <w:numFmt w:val="decimal"/>
      <w:isLgl/>
      <w:lvlText w:val="%1.%2.%3.%4.%5.%6."/>
      <w:lvlJc w:val="left"/>
      <w:pPr>
        <w:ind w:left="3589" w:hanging="1080"/>
      </w:pPr>
      <w:rPr>
        <w:rFonts w:eastAsia="Times New Roman" w:hint="default"/>
      </w:rPr>
    </w:lvl>
    <w:lvl w:ilvl="6">
      <w:start w:val="1"/>
      <w:numFmt w:val="decimal"/>
      <w:isLgl/>
      <w:lvlText w:val="%1.%2.%3.%4.%5.%6.%7."/>
      <w:lvlJc w:val="left"/>
      <w:pPr>
        <w:ind w:left="4309" w:hanging="1440"/>
      </w:pPr>
      <w:rPr>
        <w:rFonts w:eastAsia="Times New Roman" w:hint="default"/>
      </w:rPr>
    </w:lvl>
    <w:lvl w:ilvl="7">
      <w:start w:val="1"/>
      <w:numFmt w:val="decimal"/>
      <w:isLgl/>
      <w:lvlText w:val="%1.%2.%3.%4.%5.%6.%7.%8."/>
      <w:lvlJc w:val="left"/>
      <w:pPr>
        <w:ind w:left="4669" w:hanging="1440"/>
      </w:pPr>
      <w:rPr>
        <w:rFonts w:eastAsia="Times New Roman" w:hint="default"/>
      </w:rPr>
    </w:lvl>
    <w:lvl w:ilvl="8">
      <w:start w:val="1"/>
      <w:numFmt w:val="decimal"/>
      <w:isLgl/>
      <w:lvlText w:val="%1.%2.%3.%4.%5.%6.%7.%8.%9."/>
      <w:lvlJc w:val="left"/>
      <w:pPr>
        <w:ind w:left="5389" w:hanging="1800"/>
      </w:pPr>
      <w:rPr>
        <w:rFonts w:eastAsia="Times New Roman" w:hint="default"/>
      </w:rPr>
    </w:lvl>
  </w:abstractNum>
  <w:abstractNum w:abstractNumId="1" w15:restartNumberingAfterBreak="0">
    <w:nsid w:val="0AF34909"/>
    <w:multiLevelType w:val="hybridMultilevel"/>
    <w:tmpl w:val="54AA7A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3778A2"/>
    <w:multiLevelType w:val="multilevel"/>
    <w:tmpl w:val="A9162EBC"/>
    <w:lvl w:ilvl="0">
      <w:start w:val="1"/>
      <w:numFmt w:val="decimal"/>
      <w:lvlText w:val="%1."/>
      <w:lvlJc w:val="left"/>
      <w:pPr>
        <w:ind w:left="360" w:hanging="360"/>
      </w:pPr>
    </w:lvl>
    <w:lvl w:ilvl="1">
      <w:start w:val="1"/>
      <w:numFmt w:val="decimal"/>
      <w:lvlText w:val="%1.%2."/>
      <w:lvlJc w:val="left"/>
      <w:pPr>
        <w:ind w:left="574" w:hanging="432"/>
      </w:pPr>
      <w:rPr>
        <w:b w:val="0"/>
        <w:i w:val="0"/>
      </w:rPr>
    </w:lvl>
    <w:lvl w:ilvl="2">
      <w:start w:val="1"/>
      <w:numFmt w:val="decimal"/>
      <w:lvlText w:val="%1.%2.%3."/>
      <w:lvlJc w:val="left"/>
      <w:pPr>
        <w:ind w:left="1355"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E12AA4"/>
    <w:multiLevelType w:val="hybridMultilevel"/>
    <w:tmpl w:val="1BBC8432"/>
    <w:lvl w:ilvl="0" w:tplc="DDF0D822">
      <w:start w:val="2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15:restartNumberingAfterBreak="0">
    <w:nsid w:val="2C9179C7"/>
    <w:multiLevelType w:val="hybridMultilevel"/>
    <w:tmpl w:val="3788E7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36772AAB"/>
    <w:multiLevelType w:val="hybridMultilevel"/>
    <w:tmpl w:val="AF2A7278"/>
    <w:lvl w:ilvl="0" w:tplc="B62A1382">
      <w:start w:val="201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15:restartNumberingAfterBreak="0">
    <w:nsid w:val="39702E8E"/>
    <w:multiLevelType w:val="multilevel"/>
    <w:tmpl w:val="9D88E39C"/>
    <w:lvl w:ilvl="0">
      <w:start w:val="1"/>
      <w:numFmt w:val="decimal"/>
      <w:pStyle w:val="Hipo-Heading1"/>
      <w:suff w:val="space"/>
      <w:lvlText w:val="%1."/>
      <w:lvlJc w:val="left"/>
      <w:pPr>
        <w:ind w:left="0" w:firstLine="0"/>
      </w:pPr>
    </w:lvl>
    <w:lvl w:ilvl="1">
      <w:start w:val="1"/>
      <w:numFmt w:val="decimal"/>
      <w:pStyle w:val="Hipo-Heading2"/>
      <w:suff w:val="space"/>
      <w:lvlText w:val="%1.%2."/>
      <w:lvlJc w:val="left"/>
      <w:pPr>
        <w:ind w:left="284" w:firstLine="0"/>
      </w:pPr>
      <w:rPr>
        <w:b w:val="0"/>
        <w:i w:val="0"/>
      </w:rPr>
    </w:lvl>
    <w:lvl w:ilvl="2">
      <w:start w:val="1"/>
      <w:numFmt w:val="decimal"/>
      <w:pStyle w:val="Hipo-Text1"/>
      <w:suff w:val="space"/>
      <w:lvlText w:val="%1.%2.%3."/>
      <w:lvlJc w:val="left"/>
      <w:pPr>
        <w:ind w:left="1315" w:hanging="595"/>
      </w:pPr>
      <w:rPr>
        <w:b w:val="0"/>
      </w:rPr>
    </w:lvl>
    <w:lvl w:ilvl="3">
      <w:start w:val="1"/>
      <w:numFmt w:val="decimal"/>
      <w:pStyle w:val="Hipo-Text2"/>
      <w:suff w:val="space"/>
      <w:lvlText w:val="%1.%2.%3.%4."/>
      <w:lvlJc w:val="left"/>
      <w:pPr>
        <w:ind w:left="1872" w:hanging="595"/>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3FA552D9"/>
    <w:multiLevelType w:val="hybridMultilevel"/>
    <w:tmpl w:val="272C2A7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44A7109C"/>
    <w:multiLevelType w:val="hybridMultilevel"/>
    <w:tmpl w:val="766EE86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46F27706"/>
    <w:multiLevelType w:val="hybridMultilevel"/>
    <w:tmpl w:val="F88EF0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AF861FA"/>
    <w:multiLevelType w:val="hybridMultilevel"/>
    <w:tmpl w:val="11A2E694"/>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AE54AA6"/>
    <w:multiLevelType w:val="hybridMultilevel"/>
    <w:tmpl w:val="BCC66C5E"/>
    <w:lvl w:ilvl="0" w:tplc="51A2306A">
      <w:numFmt w:val="bullet"/>
      <w:lvlText w:val="-"/>
      <w:lvlJc w:val="left"/>
      <w:pPr>
        <w:ind w:left="735" w:hanging="375"/>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E541938"/>
    <w:multiLevelType w:val="hybridMultilevel"/>
    <w:tmpl w:val="3522C9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FC716A6"/>
    <w:multiLevelType w:val="hybridMultilevel"/>
    <w:tmpl w:val="12524B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63E7544A"/>
    <w:multiLevelType w:val="hybridMultilevel"/>
    <w:tmpl w:val="C812E520"/>
    <w:lvl w:ilvl="0" w:tplc="ADC02578">
      <w:start w:val="1"/>
      <w:numFmt w:val="decimal"/>
      <w:lvlText w:val="%1."/>
      <w:lvlJc w:val="left"/>
      <w:pPr>
        <w:ind w:left="5889"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5146D51"/>
    <w:multiLevelType w:val="hybridMultilevel"/>
    <w:tmpl w:val="A6C69820"/>
    <w:lvl w:ilvl="0" w:tplc="A198E302">
      <w:start w:val="1"/>
      <w:numFmt w:val="decimal"/>
      <w:lvlText w:val="%1."/>
      <w:lvlJc w:val="left"/>
      <w:pPr>
        <w:ind w:left="1069" w:hanging="360"/>
      </w:pPr>
      <w:rPr>
        <w:rFonts w:ascii="Times New Roman" w:eastAsia="Calibri"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68A1451D"/>
    <w:multiLevelType w:val="hybridMultilevel"/>
    <w:tmpl w:val="F8A8CAFA"/>
    <w:lvl w:ilvl="0" w:tplc="A48886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BFD2A1D"/>
    <w:multiLevelType w:val="multilevel"/>
    <w:tmpl w:val="801E78E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2"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B26B68"/>
    <w:multiLevelType w:val="hybridMultilevel"/>
    <w:tmpl w:val="7B54D376"/>
    <w:lvl w:ilvl="0" w:tplc="50DEE6A8">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2"/>
  </w:num>
  <w:num w:numId="2">
    <w:abstractNumId w:val="21"/>
  </w:num>
  <w:num w:numId="3">
    <w:abstractNumId w:val="17"/>
  </w:num>
  <w:num w:numId="4">
    <w:abstractNumId w:val="12"/>
  </w:num>
  <w:num w:numId="5">
    <w:abstractNumId w:val="11"/>
  </w:num>
  <w:num w:numId="6">
    <w:abstractNumId w:val="9"/>
  </w:num>
  <w:num w:numId="7">
    <w:abstractNumId w:val="3"/>
  </w:num>
  <w:num w:numId="8">
    <w:abstractNumId w:val="19"/>
  </w:num>
  <w:num w:numId="9">
    <w:abstractNumId w:val="5"/>
  </w:num>
  <w:num w:numId="10">
    <w:abstractNumId w:val="0"/>
  </w:num>
  <w:num w:numId="11">
    <w:abstractNumId w:val="1"/>
  </w:num>
  <w:num w:numId="12">
    <w:abstractNumId w:val="13"/>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6"/>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40E"/>
    <w:rsid w:val="000B3751"/>
    <w:rsid w:val="00173B82"/>
    <w:rsid w:val="00180A0C"/>
    <w:rsid w:val="00244E13"/>
    <w:rsid w:val="00315B9F"/>
    <w:rsid w:val="00396530"/>
    <w:rsid w:val="003F667E"/>
    <w:rsid w:val="00617307"/>
    <w:rsid w:val="006E2F66"/>
    <w:rsid w:val="006F640E"/>
    <w:rsid w:val="008C64BD"/>
    <w:rsid w:val="00976007"/>
    <w:rsid w:val="00A443AE"/>
    <w:rsid w:val="00B10A20"/>
    <w:rsid w:val="00BE12C5"/>
    <w:rsid w:val="00C05B45"/>
    <w:rsid w:val="00D16C12"/>
    <w:rsid w:val="00D43437"/>
    <w:rsid w:val="00E90BE8"/>
    <w:rsid w:val="00FD2F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F985D"/>
  <w15:chartTrackingRefBased/>
  <w15:docId w15:val="{24661F86-5DBD-4D2B-9919-318F626B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40E"/>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9"/>
    <w:qFormat/>
    <w:rsid w:val="006F640E"/>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6F640E"/>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uiPriority w:val="9"/>
    <w:unhideWhenUsed/>
    <w:qFormat/>
    <w:rsid w:val="006F640E"/>
    <w:pPr>
      <w:numPr>
        <w:ilvl w:val="4"/>
        <w:numId w:val="22"/>
      </w:numPr>
      <w:spacing w:before="240" w:after="60"/>
      <w:outlineLvl w:val="4"/>
    </w:pPr>
    <w:rPr>
      <w:b/>
      <w:bCs/>
      <w:i/>
      <w:iCs/>
      <w:sz w:val="26"/>
      <w:szCs w:val="26"/>
      <w:lang w:val="en-GB"/>
    </w:rPr>
  </w:style>
  <w:style w:type="paragraph" w:styleId="Heading6">
    <w:name w:val="heading 6"/>
    <w:basedOn w:val="Normal"/>
    <w:next w:val="Normal"/>
    <w:link w:val="Heading6Char"/>
    <w:uiPriority w:val="9"/>
    <w:unhideWhenUsed/>
    <w:qFormat/>
    <w:rsid w:val="006F640E"/>
    <w:pPr>
      <w:numPr>
        <w:ilvl w:val="5"/>
        <w:numId w:val="22"/>
      </w:numPr>
      <w:spacing w:before="240" w:after="60"/>
      <w:outlineLvl w:val="5"/>
    </w:pPr>
    <w:rPr>
      <w:b/>
      <w:bCs/>
      <w:sz w:val="22"/>
      <w:szCs w:val="22"/>
      <w:lang w:val="en-GB"/>
    </w:rPr>
  </w:style>
  <w:style w:type="paragraph" w:styleId="Heading7">
    <w:name w:val="heading 7"/>
    <w:basedOn w:val="Normal"/>
    <w:next w:val="Normal"/>
    <w:link w:val="Heading7Char"/>
    <w:uiPriority w:val="9"/>
    <w:unhideWhenUsed/>
    <w:qFormat/>
    <w:rsid w:val="006F640E"/>
    <w:pPr>
      <w:numPr>
        <w:ilvl w:val="6"/>
        <w:numId w:val="22"/>
      </w:numPr>
      <w:spacing w:before="240" w:after="60"/>
      <w:outlineLvl w:val="6"/>
    </w:pPr>
    <w:rPr>
      <w:lang w:val="en-GB"/>
    </w:rPr>
  </w:style>
  <w:style w:type="paragraph" w:styleId="Heading8">
    <w:name w:val="heading 8"/>
    <w:basedOn w:val="Normal"/>
    <w:next w:val="Normal"/>
    <w:link w:val="Heading8Char"/>
    <w:uiPriority w:val="9"/>
    <w:unhideWhenUsed/>
    <w:qFormat/>
    <w:rsid w:val="006F640E"/>
    <w:pPr>
      <w:numPr>
        <w:ilvl w:val="7"/>
        <w:numId w:val="22"/>
      </w:numPr>
      <w:spacing w:before="240" w:after="60"/>
      <w:outlineLvl w:val="7"/>
    </w:pPr>
    <w:rPr>
      <w:i/>
      <w:iCs/>
      <w:lang w:val="en-GB"/>
    </w:rPr>
  </w:style>
  <w:style w:type="paragraph" w:styleId="Heading9">
    <w:name w:val="heading 9"/>
    <w:basedOn w:val="Normal"/>
    <w:next w:val="Normal"/>
    <w:link w:val="Heading9Char"/>
    <w:uiPriority w:val="9"/>
    <w:unhideWhenUsed/>
    <w:qFormat/>
    <w:rsid w:val="006F640E"/>
    <w:pPr>
      <w:numPr>
        <w:ilvl w:val="8"/>
        <w:numId w:val="22"/>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F640E"/>
    <w:rPr>
      <w:rFonts w:ascii="Times New Roman" w:eastAsia="Times New Roman" w:hAnsi="Times New Roman" w:cs="Times New Roman"/>
      <w:b/>
      <w:bCs/>
      <w:kern w:val="36"/>
      <w:sz w:val="48"/>
      <w:szCs w:val="48"/>
      <w:lang w:eastAsia="lv-LV"/>
    </w:rPr>
  </w:style>
  <w:style w:type="character" w:customStyle="1" w:styleId="Heading3Char">
    <w:name w:val="Heading 3 Char"/>
    <w:basedOn w:val="DefaultParagraphFont"/>
    <w:link w:val="Heading3"/>
    <w:semiHidden/>
    <w:rsid w:val="006F640E"/>
    <w:rPr>
      <w:rFonts w:ascii="Calibri Light" w:eastAsia="Times New Roman" w:hAnsi="Calibri Light" w:cs="Times New Roman"/>
      <w:b/>
      <w:bCs/>
      <w:sz w:val="26"/>
      <w:szCs w:val="26"/>
      <w:lang w:eastAsia="lv-LV"/>
    </w:rPr>
  </w:style>
  <w:style w:type="character" w:customStyle="1" w:styleId="Heading5Char">
    <w:name w:val="Heading 5 Char"/>
    <w:basedOn w:val="DefaultParagraphFont"/>
    <w:link w:val="Heading5"/>
    <w:uiPriority w:val="9"/>
    <w:rsid w:val="006F640E"/>
    <w:rPr>
      <w:rFonts w:ascii="Times New Roman" w:eastAsia="Times New Roman" w:hAnsi="Times New Roman" w:cs="Times New Roman"/>
      <w:b/>
      <w:bCs/>
      <w:i/>
      <w:iCs/>
      <w:sz w:val="26"/>
      <w:szCs w:val="26"/>
      <w:lang w:val="en-GB" w:eastAsia="lv-LV"/>
    </w:rPr>
  </w:style>
  <w:style w:type="character" w:customStyle="1" w:styleId="Heading6Char">
    <w:name w:val="Heading 6 Char"/>
    <w:basedOn w:val="DefaultParagraphFont"/>
    <w:link w:val="Heading6"/>
    <w:uiPriority w:val="9"/>
    <w:rsid w:val="006F640E"/>
    <w:rPr>
      <w:rFonts w:ascii="Times New Roman" w:eastAsia="Times New Roman" w:hAnsi="Times New Roman" w:cs="Times New Roman"/>
      <w:b/>
      <w:bCs/>
      <w:lang w:val="en-GB" w:eastAsia="lv-LV"/>
    </w:rPr>
  </w:style>
  <w:style w:type="character" w:customStyle="1" w:styleId="Heading7Char">
    <w:name w:val="Heading 7 Char"/>
    <w:basedOn w:val="DefaultParagraphFont"/>
    <w:link w:val="Heading7"/>
    <w:uiPriority w:val="9"/>
    <w:rsid w:val="006F640E"/>
    <w:rPr>
      <w:rFonts w:ascii="Times New Roman" w:eastAsia="Times New Roman" w:hAnsi="Times New Roman" w:cs="Times New Roman"/>
      <w:sz w:val="24"/>
      <w:szCs w:val="24"/>
      <w:lang w:val="en-GB" w:eastAsia="lv-LV"/>
    </w:rPr>
  </w:style>
  <w:style w:type="character" w:customStyle="1" w:styleId="Heading8Char">
    <w:name w:val="Heading 8 Char"/>
    <w:basedOn w:val="DefaultParagraphFont"/>
    <w:link w:val="Heading8"/>
    <w:uiPriority w:val="9"/>
    <w:rsid w:val="006F640E"/>
    <w:rPr>
      <w:rFonts w:ascii="Times New Roman" w:eastAsia="Times New Roman" w:hAnsi="Times New Roman" w:cs="Times New Roman"/>
      <w:i/>
      <w:iCs/>
      <w:sz w:val="24"/>
      <w:szCs w:val="24"/>
      <w:lang w:val="en-GB" w:eastAsia="lv-LV"/>
    </w:rPr>
  </w:style>
  <w:style w:type="character" w:customStyle="1" w:styleId="Heading9Char">
    <w:name w:val="Heading 9 Char"/>
    <w:basedOn w:val="DefaultParagraphFont"/>
    <w:link w:val="Heading9"/>
    <w:uiPriority w:val="9"/>
    <w:rsid w:val="006F640E"/>
    <w:rPr>
      <w:rFonts w:ascii="Arial" w:eastAsia="Times New Roman" w:hAnsi="Arial" w:cs="Arial"/>
      <w:lang w:val="en-GB" w:eastAsia="lv-LV"/>
    </w:rPr>
  </w:style>
  <w:style w:type="character" w:styleId="Hyperlink">
    <w:name w:val="Hyperlink"/>
    <w:uiPriority w:val="99"/>
    <w:semiHidden/>
    <w:rsid w:val="006F640E"/>
    <w:rPr>
      <w:rFonts w:cs="Times New Roman"/>
      <w:color w:val="0000FF"/>
      <w:u w:val="single"/>
    </w:rPr>
  </w:style>
  <w:style w:type="character" w:styleId="FollowedHyperlink">
    <w:name w:val="FollowedHyperlink"/>
    <w:uiPriority w:val="99"/>
    <w:semiHidden/>
    <w:rsid w:val="006F640E"/>
    <w:rPr>
      <w:rFonts w:cs="Times New Roman"/>
      <w:color w:val="800080"/>
      <w:u w:val="single"/>
    </w:rPr>
  </w:style>
  <w:style w:type="paragraph" w:customStyle="1" w:styleId="h1">
    <w:name w:val="h1"/>
    <w:basedOn w:val="Normal"/>
    <w:uiPriority w:val="99"/>
    <w:rsid w:val="006F640E"/>
    <w:pPr>
      <w:spacing w:after="150"/>
    </w:pPr>
    <w:rPr>
      <w:color w:val="306060"/>
      <w:sz w:val="31"/>
      <w:szCs w:val="31"/>
    </w:rPr>
  </w:style>
  <w:style w:type="paragraph" w:customStyle="1" w:styleId="h2">
    <w:name w:val="h2"/>
    <w:basedOn w:val="Normal"/>
    <w:uiPriority w:val="99"/>
    <w:rsid w:val="006F640E"/>
    <w:pPr>
      <w:spacing w:before="100" w:beforeAutospacing="1" w:after="100" w:afterAutospacing="1"/>
    </w:pPr>
    <w:rPr>
      <w:color w:val="306060"/>
    </w:rPr>
  </w:style>
  <w:style w:type="paragraph" w:customStyle="1" w:styleId="a">
    <w:name w:val="a"/>
    <w:basedOn w:val="Normal"/>
    <w:uiPriority w:val="99"/>
    <w:rsid w:val="006F640E"/>
    <w:pPr>
      <w:spacing w:before="100" w:beforeAutospacing="1" w:after="100" w:afterAutospacing="1"/>
    </w:pPr>
    <w:rPr>
      <w:color w:val="306060"/>
    </w:rPr>
  </w:style>
  <w:style w:type="paragraph" w:customStyle="1" w:styleId="b">
    <w:name w:val="b"/>
    <w:basedOn w:val="Normal"/>
    <w:uiPriority w:val="99"/>
    <w:rsid w:val="006F640E"/>
    <w:pPr>
      <w:spacing w:before="100" w:beforeAutospacing="1" w:after="100" w:afterAutospacing="1"/>
    </w:pPr>
    <w:rPr>
      <w:color w:val="306060"/>
    </w:rPr>
  </w:style>
  <w:style w:type="paragraph" w:customStyle="1" w:styleId="body">
    <w:name w:val="body"/>
    <w:basedOn w:val="Normal"/>
    <w:uiPriority w:val="99"/>
    <w:rsid w:val="006F640E"/>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6F640E"/>
    <w:pPr>
      <w:spacing w:before="100" w:beforeAutospacing="1" w:after="100" w:afterAutospacing="1"/>
    </w:pPr>
    <w:rPr>
      <w:color w:val="F0F8F8"/>
    </w:rPr>
  </w:style>
  <w:style w:type="paragraph" w:customStyle="1" w:styleId="radio">
    <w:name w:val="radio"/>
    <w:basedOn w:val="Normal"/>
    <w:uiPriority w:val="99"/>
    <w:rsid w:val="006F640E"/>
    <w:pPr>
      <w:spacing w:before="100" w:beforeAutospacing="1" w:after="100" w:afterAutospacing="1"/>
    </w:pPr>
  </w:style>
  <w:style w:type="paragraph" w:customStyle="1" w:styleId="headcol">
    <w:name w:val="headcol"/>
    <w:basedOn w:val="Normal"/>
    <w:uiPriority w:val="99"/>
    <w:rsid w:val="006F640E"/>
    <w:pPr>
      <w:spacing w:before="100" w:beforeAutospacing="1" w:after="100" w:afterAutospacing="1"/>
    </w:pPr>
    <w:rPr>
      <w:color w:val="F0F8F8"/>
    </w:rPr>
  </w:style>
  <w:style w:type="paragraph" w:customStyle="1" w:styleId="titlecol">
    <w:name w:val="titlecol"/>
    <w:basedOn w:val="Normal"/>
    <w:uiPriority w:val="99"/>
    <w:rsid w:val="006F640E"/>
    <w:pPr>
      <w:spacing w:before="100" w:beforeAutospacing="1" w:after="100" w:afterAutospacing="1"/>
      <w:jc w:val="right"/>
    </w:pPr>
    <w:rPr>
      <w:b/>
      <w:bCs/>
    </w:rPr>
  </w:style>
  <w:style w:type="paragraph" w:customStyle="1" w:styleId="th">
    <w:name w:val="th"/>
    <w:basedOn w:val="Normal"/>
    <w:uiPriority w:val="99"/>
    <w:rsid w:val="006F640E"/>
    <w:pPr>
      <w:spacing w:before="100" w:beforeAutospacing="1" w:after="100" w:afterAutospacing="1"/>
    </w:pPr>
    <w:rPr>
      <w:b/>
      <w:bCs/>
      <w:color w:val="333333"/>
    </w:rPr>
  </w:style>
  <w:style w:type="paragraph" w:customStyle="1" w:styleId="thr">
    <w:name w:val="thr"/>
    <w:basedOn w:val="Normal"/>
    <w:uiPriority w:val="99"/>
    <w:rsid w:val="006F640E"/>
    <w:pPr>
      <w:spacing w:before="100" w:beforeAutospacing="1" w:after="100" w:afterAutospacing="1"/>
      <w:jc w:val="right"/>
    </w:pPr>
  </w:style>
  <w:style w:type="paragraph" w:customStyle="1" w:styleId="bdc">
    <w:name w:val="bdc"/>
    <w:basedOn w:val="Normal"/>
    <w:uiPriority w:val="99"/>
    <w:rsid w:val="006F640E"/>
    <w:pPr>
      <w:spacing w:before="100" w:beforeAutospacing="1" w:after="100" w:afterAutospacing="1"/>
    </w:pPr>
    <w:rPr>
      <w:b/>
      <w:bCs/>
    </w:rPr>
  </w:style>
  <w:style w:type="paragraph" w:customStyle="1" w:styleId="input">
    <w:name w:val="input"/>
    <w:basedOn w:val="Normal"/>
    <w:uiPriority w:val="99"/>
    <w:rsid w:val="006F640E"/>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6F640E"/>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6F640E"/>
    <w:pPr>
      <w:shd w:val="clear" w:color="auto" w:fill="F0F8F8"/>
      <w:spacing w:before="100" w:beforeAutospacing="1" w:after="100" w:afterAutospacing="1"/>
    </w:pPr>
    <w:rPr>
      <w:color w:val="333333"/>
    </w:rPr>
  </w:style>
  <w:style w:type="paragraph" w:customStyle="1" w:styleId="top1">
    <w:name w:val="top1"/>
    <w:basedOn w:val="Normal"/>
    <w:uiPriority w:val="99"/>
    <w:rsid w:val="006F640E"/>
    <w:pPr>
      <w:spacing w:before="100" w:beforeAutospacing="1" w:after="100" w:afterAutospacing="1"/>
    </w:pPr>
  </w:style>
  <w:style w:type="paragraph" w:customStyle="1" w:styleId="logo">
    <w:name w:val="logo"/>
    <w:basedOn w:val="Normal"/>
    <w:uiPriority w:val="99"/>
    <w:rsid w:val="006F640E"/>
    <w:pPr>
      <w:spacing w:before="100" w:beforeAutospacing="1" w:after="100" w:afterAutospacing="1"/>
    </w:pPr>
  </w:style>
  <w:style w:type="paragraph" w:customStyle="1" w:styleId="top2">
    <w:name w:val="top2"/>
    <w:basedOn w:val="Normal"/>
    <w:uiPriority w:val="99"/>
    <w:rsid w:val="006F640E"/>
    <w:pPr>
      <w:spacing w:before="100" w:beforeAutospacing="1" w:after="100" w:afterAutospacing="1"/>
    </w:pPr>
  </w:style>
  <w:style w:type="paragraph" w:customStyle="1" w:styleId="hline">
    <w:name w:val="hline"/>
    <w:basedOn w:val="Normal"/>
    <w:uiPriority w:val="99"/>
    <w:rsid w:val="006F640E"/>
    <w:pPr>
      <w:spacing w:before="100" w:beforeAutospacing="1" w:after="100" w:afterAutospacing="1"/>
    </w:pPr>
  </w:style>
  <w:style w:type="paragraph" w:customStyle="1" w:styleId="vline">
    <w:name w:val="vline"/>
    <w:basedOn w:val="Normal"/>
    <w:uiPriority w:val="99"/>
    <w:rsid w:val="006F640E"/>
    <w:pPr>
      <w:spacing w:before="100" w:beforeAutospacing="1" w:after="100" w:afterAutospacing="1"/>
    </w:pPr>
  </w:style>
  <w:style w:type="paragraph" w:customStyle="1" w:styleId="zvabri">
    <w:name w:val="zvabri"/>
    <w:basedOn w:val="Normal"/>
    <w:uiPriority w:val="99"/>
    <w:rsid w:val="006F640E"/>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6F640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F640E"/>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rsid w:val="006F640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6F640E"/>
    <w:rPr>
      <w:rFonts w:ascii="Arial" w:eastAsia="Times New Roman" w:hAnsi="Arial" w:cs="Arial"/>
      <w:vanish/>
      <w:sz w:val="16"/>
      <w:szCs w:val="16"/>
      <w:lang w:eastAsia="lv-LV"/>
    </w:rPr>
  </w:style>
  <w:style w:type="paragraph" w:styleId="NormalWeb">
    <w:name w:val="Normal (Web)"/>
    <w:basedOn w:val="Normal"/>
    <w:uiPriority w:val="99"/>
    <w:rsid w:val="006F640E"/>
    <w:pPr>
      <w:spacing w:before="100" w:beforeAutospacing="1" w:after="100" w:afterAutospacing="1"/>
    </w:pPr>
  </w:style>
  <w:style w:type="paragraph" w:customStyle="1" w:styleId="naisf">
    <w:name w:val="naisf"/>
    <w:basedOn w:val="Normal"/>
    <w:rsid w:val="006F640E"/>
    <w:pPr>
      <w:spacing w:before="75" w:after="75"/>
      <w:ind w:firstLine="375"/>
      <w:jc w:val="both"/>
    </w:pPr>
  </w:style>
  <w:style w:type="paragraph" w:customStyle="1" w:styleId="nais1">
    <w:name w:val="nais1"/>
    <w:basedOn w:val="Normal"/>
    <w:uiPriority w:val="99"/>
    <w:rsid w:val="006F640E"/>
    <w:pPr>
      <w:spacing w:before="75" w:after="75"/>
      <w:ind w:left="450" w:firstLine="375"/>
      <w:jc w:val="both"/>
    </w:pPr>
  </w:style>
  <w:style w:type="paragraph" w:customStyle="1" w:styleId="nais2">
    <w:name w:val="nais2"/>
    <w:basedOn w:val="Normal"/>
    <w:uiPriority w:val="99"/>
    <w:rsid w:val="006F640E"/>
    <w:pPr>
      <w:spacing w:before="75" w:after="75"/>
      <w:ind w:left="900" w:firstLine="375"/>
      <w:jc w:val="both"/>
    </w:pPr>
  </w:style>
  <w:style w:type="paragraph" w:customStyle="1" w:styleId="naispant">
    <w:name w:val="naispant"/>
    <w:basedOn w:val="Normal"/>
    <w:uiPriority w:val="99"/>
    <w:rsid w:val="006F640E"/>
    <w:pPr>
      <w:spacing w:before="75" w:after="75"/>
      <w:ind w:left="375" w:firstLine="375"/>
      <w:jc w:val="both"/>
    </w:pPr>
    <w:rPr>
      <w:b/>
      <w:bCs/>
    </w:rPr>
  </w:style>
  <w:style w:type="paragraph" w:customStyle="1" w:styleId="naisvisr">
    <w:name w:val="naisvisr"/>
    <w:basedOn w:val="Normal"/>
    <w:uiPriority w:val="99"/>
    <w:rsid w:val="006F640E"/>
    <w:pPr>
      <w:spacing w:before="150" w:after="150"/>
      <w:jc w:val="center"/>
    </w:pPr>
    <w:rPr>
      <w:b/>
      <w:bCs/>
      <w:sz w:val="28"/>
      <w:szCs w:val="28"/>
    </w:rPr>
  </w:style>
  <w:style w:type="paragraph" w:customStyle="1" w:styleId="naisnod">
    <w:name w:val="naisnod"/>
    <w:basedOn w:val="Normal"/>
    <w:uiPriority w:val="99"/>
    <w:rsid w:val="006F640E"/>
    <w:pPr>
      <w:spacing w:before="150" w:after="150"/>
      <w:jc w:val="center"/>
    </w:pPr>
    <w:rPr>
      <w:b/>
      <w:bCs/>
    </w:rPr>
  </w:style>
  <w:style w:type="paragraph" w:customStyle="1" w:styleId="naislab">
    <w:name w:val="naislab"/>
    <w:basedOn w:val="Normal"/>
    <w:uiPriority w:val="99"/>
    <w:rsid w:val="006F640E"/>
    <w:pPr>
      <w:spacing w:before="75" w:after="75"/>
      <w:jc w:val="right"/>
    </w:pPr>
  </w:style>
  <w:style w:type="paragraph" w:customStyle="1" w:styleId="naiskr">
    <w:name w:val="naiskr"/>
    <w:basedOn w:val="Normal"/>
    <w:rsid w:val="006F640E"/>
    <w:pPr>
      <w:spacing w:before="75" w:after="75"/>
    </w:pPr>
  </w:style>
  <w:style w:type="paragraph" w:customStyle="1" w:styleId="naisc">
    <w:name w:val="naisc"/>
    <w:basedOn w:val="Normal"/>
    <w:rsid w:val="006F640E"/>
    <w:pPr>
      <w:spacing w:before="75" w:after="75"/>
      <w:jc w:val="center"/>
    </w:pPr>
  </w:style>
  <w:style w:type="character" w:styleId="Strong">
    <w:name w:val="Strong"/>
    <w:uiPriority w:val="22"/>
    <w:qFormat/>
    <w:rsid w:val="006F640E"/>
    <w:rPr>
      <w:rFonts w:cs="Times New Roman"/>
      <w:b/>
      <w:bCs/>
    </w:rPr>
  </w:style>
  <w:style w:type="character" w:customStyle="1" w:styleId="th1">
    <w:name w:val="th1"/>
    <w:uiPriority w:val="99"/>
    <w:rsid w:val="006F640E"/>
    <w:rPr>
      <w:rFonts w:cs="Times New Roman"/>
      <w:b/>
      <w:bCs/>
      <w:color w:val="333333"/>
    </w:rPr>
  </w:style>
  <w:style w:type="character" w:styleId="Emphasis">
    <w:name w:val="Emphasis"/>
    <w:uiPriority w:val="99"/>
    <w:qFormat/>
    <w:rsid w:val="006F640E"/>
    <w:rPr>
      <w:rFonts w:cs="Times New Roman"/>
      <w:i/>
      <w:iCs/>
    </w:rPr>
  </w:style>
  <w:style w:type="paragraph" w:styleId="BalloonText">
    <w:name w:val="Balloon Text"/>
    <w:basedOn w:val="Normal"/>
    <w:link w:val="BalloonTextChar"/>
    <w:uiPriority w:val="99"/>
    <w:semiHidden/>
    <w:rsid w:val="006F640E"/>
    <w:rPr>
      <w:rFonts w:ascii="Tahoma" w:hAnsi="Tahoma" w:cs="Tahoma"/>
      <w:sz w:val="16"/>
      <w:szCs w:val="16"/>
    </w:rPr>
  </w:style>
  <w:style w:type="character" w:customStyle="1" w:styleId="BalloonTextChar">
    <w:name w:val="Balloon Text Char"/>
    <w:basedOn w:val="DefaultParagraphFont"/>
    <w:link w:val="BalloonText"/>
    <w:uiPriority w:val="99"/>
    <w:semiHidden/>
    <w:rsid w:val="006F640E"/>
    <w:rPr>
      <w:rFonts w:ascii="Tahoma" w:eastAsia="Times New Roman" w:hAnsi="Tahoma" w:cs="Tahoma"/>
      <w:sz w:val="16"/>
      <w:szCs w:val="16"/>
      <w:lang w:eastAsia="lv-LV"/>
    </w:rPr>
  </w:style>
  <w:style w:type="table" w:styleId="TableGrid">
    <w:name w:val="Table Grid"/>
    <w:basedOn w:val="TableNormal"/>
    <w:uiPriority w:val="99"/>
    <w:rsid w:val="006F640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F640E"/>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rsid w:val="006F640E"/>
    <w:rPr>
      <w:rFonts w:ascii="Times New Roman" w:eastAsia="Times New Roman" w:hAnsi="Times New Roman" w:cs="Times New Roman"/>
      <w:sz w:val="28"/>
      <w:szCs w:val="28"/>
    </w:rPr>
  </w:style>
  <w:style w:type="paragraph" w:styleId="Header">
    <w:name w:val="header"/>
    <w:basedOn w:val="Normal"/>
    <w:link w:val="HeaderChar"/>
    <w:uiPriority w:val="99"/>
    <w:rsid w:val="006F640E"/>
    <w:pPr>
      <w:tabs>
        <w:tab w:val="center" w:pos="4153"/>
        <w:tab w:val="right" w:pos="8306"/>
      </w:tabs>
    </w:pPr>
  </w:style>
  <w:style w:type="character" w:customStyle="1" w:styleId="HeaderChar">
    <w:name w:val="Header Char"/>
    <w:basedOn w:val="DefaultParagraphFont"/>
    <w:link w:val="Header"/>
    <w:uiPriority w:val="99"/>
    <w:rsid w:val="006F640E"/>
    <w:rPr>
      <w:rFonts w:ascii="Times New Roman" w:eastAsia="Times New Roman" w:hAnsi="Times New Roman" w:cs="Times New Roman"/>
      <w:sz w:val="24"/>
      <w:szCs w:val="24"/>
      <w:lang w:eastAsia="lv-LV"/>
    </w:rPr>
  </w:style>
  <w:style w:type="character" w:styleId="PageNumber">
    <w:name w:val="page number"/>
    <w:uiPriority w:val="99"/>
    <w:rsid w:val="006F640E"/>
    <w:rPr>
      <w:rFonts w:cs="Times New Roman"/>
    </w:rPr>
  </w:style>
  <w:style w:type="paragraph" w:styleId="Footer">
    <w:name w:val="footer"/>
    <w:basedOn w:val="Normal"/>
    <w:link w:val="FooterChar"/>
    <w:uiPriority w:val="99"/>
    <w:rsid w:val="006F640E"/>
    <w:pPr>
      <w:tabs>
        <w:tab w:val="center" w:pos="4153"/>
        <w:tab w:val="right" w:pos="8306"/>
      </w:tabs>
    </w:pPr>
  </w:style>
  <w:style w:type="character" w:customStyle="1" w:styleId="FooterChar">
    <w:name w:val="Footer Char"/>
    <w:basedOn w:val="DefaultParagraphFont"/>
    <w:link w:val="Footer"/>
    <w:uiPriority w:val="99"/>
    <w:rsid w:val="006F640E"/>
    <w:rPr>
      <w:rFonts w:ascii="Times New Roman" w:eastAsia="Times New Roman" w:hAnsi="Times New Roman" w:cs="Times New Roman"/>
      <w:sz w:val="24"/>
      <w:szCs w:val="24"/>
      <w:lang w:eastAsia="lv-LV"/>
    </w:rPr>
  </w:style>
  <w:style w:type="paragraph" w:styleId="ListParagraph">
    <w:name w:val="List Paragraph"/>
    <w:aliases w:val="2,H&amp;P List Paragraph,Strip,Saraksta rindkopa,Saraksta rindkopa1"/>
    <w:basedOn w:val="Normal"/>
    <w:link w:val="ListParagraphChar"/>
    <w:uiPriority w:val="34"/>
    <w:qFormat/>
    <w:rsid w:val="006F640E"/>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6F640E"/>
    <w:rPr>
      <w:sz w:val="16"/>
      <w:szCs w:val="16"/>
    </w:rPr>
  </w:style>
  <w:style w:type="paragraph" w:styleId="CommentText">
    <w:name w:val="annotation text"/>
    <w:basedOn w:val="Normal"/>
    <w:link w:val="CommentTextChar"/>
    <w:uiPriority w:val="99"/>
    <w:semiHidden/>
    <w:unhideWhenUsed/>
    <w:rsid w:val="006F640E"/>
    <w:rPr>
      <w:sz w:val="20"/>
      <w:szCs w:val="20"/>
    </w:rPr>
  </w:style>
  <w:style w:type="character" w:customStyle="1" w:styleId="CommentTextChar">
    <w:name w:val="Comment Text Char"/>
    <w:basedOn w:val="DefaultParagraphFont"/>
    <w:link w:val="CommentText"/>
    <w:uiPriority w:val="99"/>
    <w:semiHidden/>
    <w:rsid w:val="006F640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F640E"/>
    <w:rPr>
      <w:b/>
      <w:bCs/>
    </w:rPr>
  </w:style>
  <w:style w:type="character" w:customStyle="1" w:styleId="CommentSubjectChar">
    <w:name w:val="Comment Subject Char"/>
    <w:basedOn w:val="CommentTextChar"/>
    <w:link w:val="CommentSubject"/>
    <w:uiPriority w:val="99"/>
    <w:semiHidden/>
    <w:rsid w:val="006F640E"/>
    <w:rPr>
      <w:rFonts w:ascii="Times New Roman" w:eastAsia="Times New Roman" w:hAnsi="Times New Roman" w:cs="Times New Roman"/>
      <w:b/>
      <w:bCs/>
      <w:sz w:val="20"/>
      <w:szCs w:val="20"/>
      <w:lang w:eastAsia="lv-LV"/>
    </w:rPr>
  </w:style>
  <w:style w:type="paragraph" w:customStyle="1" w:styleId="NormalLatvian">
    <w:name w:val="Normal – Latvian"/>
    <w:basedOn w:val="Normal"/>
    <w:rsid w:val="006F640E"/>
    <w:pPr>
      <w:tabs>
        <w:tab w:val="left" w:pos="1829"/>
      </w:tabs>
      <w:spacing w:after="120"/>
      <w:jc w:val="both"/>
    </w:pPr>
    <w:rPr>
      <w:bCs/>
      <w:sz w:val="28"/>
      <w:lang w:eastAsia="en-US"/>
    </w:rPr>
  </w:style>
  <w:style w:type="paragraph" w:styleId="Revision">
    <w:name w:val="Revision"/>
    <w:hidden/>
    <w:uiPriority w:val="99"/>
    <w:semiHidden/>
    <w:rsid w:val="006F640E"/>
    <w:pPr>
      <w:spacing w:after="0"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6F640E"/>
  </w:style>
  <w:style w:type="character" w:customStyle="1" w:styleId="ListParagraphChar">
    <w:name w:val="List Paragraph Char"/>
    <w:aliases w:val="2 Char,H&amp;P List Paragraph Char,Strip Char,Saraksta rindkopa Char,Saraksta rindkopa1 Char"/>
    <w:link w:val="ListParagraph"/>
    <w:uiPriority w:val="34"/>
    <w:locked/>
    <w:rsid w:val="006F640E"/>
    <w:rPr>
      <w:rFonts w:ascii="Calibri" w:eastAsia="Times New Roman" w:hAnsi="Calibri" w:cs="Times New Roman"/>
    </w:rPr>
  </w:style>
  <w:style w:type="paragraph" w:styleId="FootnoteText">
    <w:name w:val="footnote text"/>
    <w:basedOn w:val="Normal"/>
    <w:link w:val="FootnoteTextChar"/>
    <w:uiPriority w:val="99"/>
    <w:semiHidden/>
    <w:unhideWhenUsed/>
    <w:rsid w:val="006F640E"/>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6F640E"/>
    <w:rPr>
      <w:rFonts w:ascii="Times New Roman" w:eastAsia="Calibri" w:hAnsi="Times New Roman" w:cs="Times New Roman"/>
      <w:sz w:val="20"/>
      <w:szCs w:val="20"/>
    </w:rPr>
  </w:style>
  <w:style w:type="character" w:styleId="FootnoteReference">
    <w:name w:val="footnote reference"/>
    <w:uiPriority w:val="99"/>
    <w:semiHidden/>
    <w:unhideWhenUsed/>
    <w:rsid w:val="006F640E"/>
    <w:rPr>
      <w:vertAlign w:val="superscript"/>
    </w:rPr>
  </w:style>
  <w:style w:type="paragraph" w:styleId="PlainText">
    <w:name w:val="Plain Text"/>
    <w:basedOn w:val="Normal"/>
    <w:link w:val="PlainTextChar"/>
    <w:uiPriority w:val="99"/>
    <w:semiHidden/>
    <w:unhideWhenUsed/>
    <w:rsid w:val="006F640E"/>
    <w:rPr>
      <w:rFonts w:ascii="Calibri" w:eastAsia="Calibri" w:hAnsi="Calibri"/>
      <w:sz w:val="22"/>
      <w:szCs w:val="22"/>
      <w:lang w:eastAsia="en-US"/>
    </w:rPr>
  </w:style>
  <w:style w:type="character" w:customStyle="1" w:styleId="PlainTextChar">
    <w:name w:val="Plain Text Char"/>
    <w:basedOn w:val="DefaultParagraphFont"/>
    <w:link w:val="PlainText"/>
    <w:uiPriority w:val="99"/>
    <w:semiHidden/>
    <w:rsid w:val="006F640E"/>
    <w:rPr>
      <w:rFonts w:ascii="Calibri" w:eastAsia="Calibri" w:hAnsi="Calibri" w:cs="Times New Roman"/>
    </w:rPr>
  </w:style>
  <w:style w:type="character" w:styleId="UnresolvedMention">
    <w:name w:val="Unresolved Mention"/>
    <w:uiPriority w:val="99"/>
    <w:semiHidden/>
    <w:unhideWhenUsed/>
    <w:rsid w:val="006F640E"/>
    <w:rPr>
      <w:color w:val="808080"/>
      <w:shd w:val="clear" w:color="auto" w:fill="E6E6E6"/>
    </w:rPr>
  </w:style>
  <w:style w:type="paragraph" w:customStyle="1" w:styleId="tv213">
    <w:name w:val="tv213"/>
    <w:basedOn w:val="Normal"/>
    <w:rsid w:val="006F640E"/>
    <w:pPr>
      <w:spacing w:before="100" w:beforeAutospacing="1" w:after="100" w:afterAutospacing="1"/>
    </w:pPr>
  </w:style>
  <w:style w:type="paragraph" w:customStyle="1" w:styleId="Hipo-Heading2">
    <w:name w:val="Hipo-Heading2"/>
    <w:next w:val="Normal"/>
    <w:rsid w:val="006F640E"/>
    <w:pPr>
      <w:keepNext/>
      <w:numPr>
        <w:ilvl w:val="1"/>
        <w:numId w:val="22"/>
      </w:numPr>
      <w:suppressAutoHyphens/>
      <w:spacing w:before="240" w:after="240" w:line="240" w:lineRule="auto"/>
    </w:pPr>
    <w:rPr>
      <w:rFonts w:ascii="Times New Roman" w:eastAsia="Times New Roman" w:hAnsi="Times New Roman" w:cs="Times New Roman"/>
      <w:b/>
      <w:sz w:val="24"/>
      <w:szCs w:val="20"/>
      <w:lang w:eastAsia="lv-LV"/>
    </w:rPr>
  </w:style>
  <w:style w:type="paragraph" w:customStyle="1" w:styleId="Hipo-Text1">
    <w:name w:val="Hipo-Text1"/>
    <w:rsid w:val="006F640E"/>
    <w:pPr>
      <w:numPr>
        <w:ilvl w:val="2"/>
        <w:numId w:val="22"/>
      </w:numPr>
      <w:suppressAutoHyphens/>
      <w:spacing w:after="240" w:line="240" w:lineRule="auto"/>
      <w:jc w:val="both"/>
    </w:pPr>
    <w:rPr>
      <w:rFonts w:ascii="Times New Roman" w:eastAsia="Times New Roman" w:hAnsi="Times New Roman" w:cs="Times New Roman"/>
      <w:sz w:val="24"/>
      <w:szCs w:val="20"/>
      <w:lang w:eastAsia="lv-LV"/>
    </w:rPr>
  </w:style>
  <w:style w:type="paragraph" w:customStyle="1" w:styleId="Hipo-Text2">
    <w:name w:val="Hipo-Text2"/>
    <w:rsid w:val="006F640E"/>
    <w:pPr>
      <w:numPr>
        <w:ilvl w:val="3"/>
        <w:numId w:val="22"/>
      </w:numPr>
      <w:suppressAutoHyphens/>
      <w:spacing w:after="0" w:line="240" w:lineRule="auto"/>
      <w:jc w:val="both"/>
    </w:pPr>
    <w:rPr>
      <w:rFonts w:ascii="Times New Roman" w:eastAsia="Times New Roman" w:hAnsi="Times New Roman" w:cs="Times New Roman"/>
      <w:sz w:val="24"/>
      <w:szCs w:val="20"/>
      <w:lang w:eastAsia="lv-LV"/>
    </w:rPr>
  </w:style>
  <w:style w:type="paragraph" w:customStyle="1" w:styleId="Hipo-Heading1">
    <w:name w:val="Hipo-Heading1"/>
    <w:rsid w:val="006F640E"/>
    <w:pPr>
      <w:numPr>
        <w:numId w:val="22"/>
      </w:numPr>
      <w:spacing w:before="360" w:after="240" w:line="240" w:lineRule="auto"/>
    </w:pPr>
    <w:rPr>
      <w:rFonts w:ascii="Times New Roman" w:eastAsia="Times New Roman" w:hAnsi="Times New Roman" w:cs="Times New Roman"/>
      <w:b/>
      <w:sz w:val="24"/>
      <w:szCs w:val="20"/>
      <w:lang w:eastAsia="lv-LV"/>
    </w:rPr>
  </w:style>
  <w:style w:type="paragraph" w:customStyle="1" w:styleId="Default">
    <w:name w:val="Default"/>
    <w:rsid w:val="006F640E"/>
    <w:pPr>
      <w:autoSpaceDE w:val="0"/>
      <w:autoSpaceDN w:val="0"/>
      <w:adjustRightInd w:val="0"/>
      <w:spacing w:after="0" w:line="240" w:lineRule="auto"/>
    </w:pPr>
    <w:rPr>
      <w:rFonts w:ascii="Century Gothic" w:eastAsia="Calibri"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535025">
      <w:bodyDiv w:val="1"/>
      <w:marLeft w:val="0"/>
      <w:marRight w:val="0"/>
      <w:marTop w:val="0"/>
      <w:marBottom w:val="0"/>
      <w:divBdr>
        <w:top w:val="none" w:sz="0" w:space="0" w:color="auto"/>
        <w:left w:val="none" w:sz="0" w:space="0" w:color="auto"/>
        <w:bottom w:val="none" w:sz="0" w:space="0" w:color="auto"/>
        <w:right w:val="none" w:sz="0" w:space="0" w:color="auto"/>
      </w:divBdr>
    </w:div>
    <w:div w:id="162064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aps.Soms@em.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esfondi.lv/vadlinijas--skaidrojum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ene.Bergholde@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19</Pages>
  <Words>22857</Words>
  <Characters>13029</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Bergholde</dc:creator>
  <cp:keywords/>
  <dc:description/>
  <cp:lastModifiedBy>Dita Tetere</cp:lastModifiedBy>
  <cp:revision>14</cp:revision>
  <dcterms:created xsi:type="dcterms:W3CDTF">2020-07-03T12:46:00Z</dcterms:created>
  <dcterms:modified xsi:type="dcterms:W3CDTF">2020-07-09T13:27:00Z</dcterms:modified>
</cp:coreProperties>
</file>