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6684" w14:textId="60672A34" w:rsidR="00FE3D8C" w:rsidRDefault="00032471" w:rsidP="00B043DE">
      <w:pPr>
        <w:shd w:val="clear" w:color="auto" w:fill="FFFFFF"/>
        <w:contextualSpacing/>
        <w:jc w:val="center"/>
        <w:rPr>
          <w:b/>
          <w:sz w:val="24"/>
          <w:szCs w:val="24"/>
          <w:lang w:val="lv-LV"/>
        </w:rPr>
      </w:pPr>
      <w:bookmarkStart w:id="0" w:name="OLE_LINK3"/>
      <w:bookmarkStart w:id="1" w:name="OLE_LINK1"/>
      <w:bookmarkStart w:id="2" w:name="OLE_LINK2"/>
      <w:r w:rsidRPr="00C921F5">
        <w:rPr>
          <w:b/>
          <w:sz w:val="24"/>
          <w:szCs w:val="24"/>
          <w:lang w:val="lv-LV"/>
        </w:rPr>
        <w:t xml:space="preserve">Ministru kabineta noteikumu projekta </w:t>
      </w:r>
      <w:r w:rsidR="003D3CA2" w:rsidRPr="00C921F5">
        <w:rPr>
          <w:b/>
          <w:bCs/>
          <w:sz w:val="24"/>
          <w:szCs w:val="24"/>
          <w:lang w:val="lv-LV"/>
        </w:rPr>
        <w:t>“</w:t>
      </w:r>
      <w:r w:rsidR="003F2AC0" w:rsidRPr="00C921F5">
        <w:rPr>
          <w:b/>
          <w:sz w:val="24"/>
          <w:szCs w:val="24"/>
          <w:lang w:val="lv-LV"/>
        </w:rPr>
        <w:t xml:space="preserve">Noteikumi par garantijām </w:t>
      </w:r>
      <w:r w:rsidR="003D72E9" w:rsidRPr="00C921F5">
        <w:rPr>
          <w:b/>
          <w:bCs/>
          <w:sz w:val="24"/>
          <w:szCs w:val="24"/>
          <w:lang w:val="lv-LV"/>
        </w:rPr>
        <w:t xml:space="preserve">lielajiem </w:t>
      </w:r>
      <w:r w:rsidR="003F2AC0" w:rsidRPr="00C921F5">
        <w:rPr>
          <w:b/>
          <w:bCs/>
          <w:sz w:val="24"/>
          <w:szCs w:val="24"/>
          <w:lang w:val="lv-LV"/>
        </w:rPr>
        <w:t>komersantiem, kuru darbību ietekmējusi Covid-19 izplatība</w:t>
      </w:r>
      <w:r w:rsidR="000A3654" w:rsidRPr="00C921F5">
        <w:rPr>
          <w:b/>
          <w:bCs/>
          <w:sz w:val="24"/>
          <w:szCs w:val="24"/>
          <w:lang w:val="lv-LV"/>
        </w:rPr>
        <w:t>”</w:t>
      </w:r>
      <w:r w:rsidR="003C585E" w:rsidRPr="00C921F5">
        <w:rPr>
          <w:b/>
          <w:bCs/>
          <w:sz w:val="24"/>
          <w:szCs w:val="24"/>
          <w:lang w:val="lv-LV"/>
        </w:rPr>
        <w:t xml:space="preserve"> </w:t>
      </w:r>
      <w:r w:rsidRPr="00C921F5">
        <w:rPr>
          <w:b/>
          <w:bCs/>
          <w:sz w:val="24"/>
          <w:szCs w:val="24"/>
          <w:lang w:val="lv-LV"/>
        </w:rPr>
        <w:t>sākotnējās</w:t>
      </w:r>
      <w:r w:rsidRPr="00C921F5">
        <w:rPr>
          <w:b/>
          <w:sz w:val="24"/>
          <w:szCs w:val="24"/>
          <w:lang w:val="lv-LV"/>
        </w:rPr>
        <w:t xml:space="preserve"> ietekmes novērtējuma ziņojums (anotācija)</w:t>
      </w:r>
    </w:p>
    <w:p w14:paraId="3C1007C9" w14:textId="4E078B33" w:rsidR="00FA4414" w:rsidRDefault="00FA4414" w:rsidP="00B043DE">
      <w:pPr>
        <w:shd w:val="clear" w:color="auto" w:fill="FFFFFF"/>
        <w:contextualSpacing/>
        <w:jc w:val="center"/>
        <w:rPr>
          <w:b/>
          <w:sz w:val="24"/>
          <w:szCs w:val="24"/>
          <w:lang w:val="lv-LV"/>
        </w:rPr>
      </w:pPr>
    </w:p>
    <w:tbl>
      <w:tblPr>
        <w:tblStyle w:val="TableGrid"/>
        <w:tblW w:w="9351" w:type="dxa"/>
        <w:tblLook w:val="04A0" w:firstRow="1" w:lastRow="0" w:firstColumn="1" w:lastColumn="0" w:noHBand="0" w:noVBand="1"/>
      </w:tblPr>
      <w:tblGrid>
        <w:gridCol w:w="2122"/>
        <w:gridCol w:w="7229"/>
      </w:tblGrid>
      <w:tr w:rsidR="00FE3D8C" w14:paraId="47A77C9D" w14:textId="77777777" w:rsidTr="00240921">
        <w:trPr>
          <w:trHeight w:val="280"/>
        </w:trPr>
        <w:tc>
          <w:tcPr>
            <w:tcW w:w="9351" w:type="dxa"/>
            <w:gridSpan w:val="2"/>
            <w:vAlign w:val="center"/>
          </w:tcPr>
          <w:p w14:paraId="67F1F095" w14:textId="1A0B8496" w:rsidR="00FE3D8C" w:rsidRDefault="00FE3D8C" w:rsidP="00FA4414">
            <w:pPr>
              <w:contextualSpacing/>
              <w:rPr>
                <w:b/>
                <w:sz w:val="24"/>
                <w:szCs w:val="24"/>
                <w:lang w:val="lv-LV"/>
              </w:rPr>
            </w:pPr>
            <w:r w:rsidRPr="00C921F5">
              <w:rPr>
                <w:rFonts w:eastAsia="Times New Roman"/>
                <w:b/>
                <w:bCs/>
                <w:iCs/>
                <w:sz w:val="24"/>
                <w:szCs w:val="24"/>
                <w:lang w:val="lv-LV" w:eastAsia="lv-LV"/>
              </w:rPr>
              <w:t>Tiesību akta projekta anotācijas kopsavilkums</w:t>
            </w:r>
          </w:p>
        </w:tc>
      </w:tr>
      <w:tr w:rsidR="00FE3D8C" w:rsidRPr="00A1427D" w14:paraId="562FF486" w14:textId="77777777" w:rsidTr="00240921">
        <w:trPr>
          <w:trHeight w:val="1851"/>
        </w:trPr>
        <w:tc>
          <w:tcPr>
            <w:tcW w:w="2122" w:type="dxa"/>
          </w:tcPr>
          <w:p w14:paraId="7F646FDE" w14:textId="47AA0D72" w:rsidR="00FE3D8C" w:rsidRDefault="00FE3D8C" w:rsidP="00FE3D8C">
            <w:pPr>
              <w:contextualSpacing/>
              <w:jc w:val="center"/>
              <w:rPr>
                <w:b/>
                <w:sz w:val="24"/>
                <w:szCs w:val="24"/>
                <w:lang w:val="lv-LV"/>
              </w:rPr>
            </w:pPr>
            <w:r w:rsidRPr="00C921F5">
              <w:rPr>
                <w:rFonts w:eastAsia="Times New Roman"/>
                <w:iCs/>
                <w:sz w:val="24"/>
                <w:szCs w:val="24"/>
                <w:lang w:val="lv-LV" w:eastAsia="lv-LV"/>
              </w:rPr>
              <w:t>Mērķis, risinājums un projekta spēkā stāšanās laiks (500 zīmes bez atstarpēm</w:t>
            </w:r>
          </w:p>
        </w:tc>
        <w:tc>
          <w:tcPr>
            <w:tcW w:w="7229" w:type="dxa"/>
          </w:tcPr>
          <w:p w14:paraId="03338DC8" w14:textId="14B68120" w:rsidR="00FE3D8C" w:rsidRPr="00C921F5" w:rsidRDefault="00FE3D8C" w:rsidP="00FE3D8C">
            <w:pPr>
              <w:contextualSpacing/>
              <w:jc w:val="both"/>
              <w:rPr>
                <w:rFonts w:eastAsia="Times New Roman"/>
                <w:iCs/>
                <w:sz w:val="24"/>
                <w:szCs w:val="24"/>
                <w:lang w:val="lv-LV"/>
              </w:rPr>
            </w:pPr>
            <w:r w:rsidRPr="00C921F5">
              <w:rPr>
                <w:bCs/>
                <w:sz w:val="24"/>
                <w:szCs w:val="24"/>
                <w:lang w:val="lv-LV"/>
              </w:rPr>
              <w:t xml:space="preserve">Ministru kabineta noteikumu projekta “Noteikumi par garantijām </w:t>
            </w:r>
            <w:r w:rsidRPr="00C921F5">
              <w:rPr>
                <w:sz w:val="24"/>
                <w:szCs w:val="24"/>
                <w:lang w:val="lv-LV"/>
              </w:rPr>
              <w:t xml:space="preserve">lielajiem </w:t>
            </w:r>
            <w:r w:rsidRPr="00C921F5">
              <w:rPr>
                <w:bCs/>
                <w:sz w:val="24"/>
                <w:szCs w:val="24"/>
                <w:lang w:val="lv-LV"/>
              </w:rPr>
              <w:t>komersantiem, kuru darbību ietekmējusi Covid-19 izplatība”</w:t>
            </w:r>
            <w:r w:rsidRPr="00C921F5">
              <w:rPr>
                <w:b/>
                <w:sz w:val="24"/>
                <w:szCs w:val="24"/>
                <w:lang w:val="lv-LV"/>
              </w:rPr>
              <w:t xml:space="preserve"> </w:t>
            </w:r>
            <w:r w:rsidRPr="00C921F5">
              <w:rPr>
                <w:rFonts w:eastAsia="Times New Roman"/>
                <w:iCs/>
                <w:sz w:val="24"/>
                <w:szCs w:val="24"/>
                <w:lang w:val="lv-LV"/>
              </w:rPr>
              <w:t xml:space="preserve">projekts (turpmāk – MK Noteikumu projekts) paredz noteikt garantiju pieejamību komersantiem, kuru darbību ietekmējusi Covid-19 izplatība). </w:t>
            </w:r>
          </w:p>
          <w:p w14:paraId="4B2499E0" w14:textId="4BAD34A8" w:rsidR="00FE3D8C" w:rsidRDefault="00F7299C" w:rsidP="00FA4414">
            <w:pPr>
              <w:contextualSpacing/>
              <w:jc w:val="both"/>
              <w:rPr>
                <w:b/>
                <w:sz w:val="24"/>
                <w:szCs w:val="24"/>
                <w:lang w:val="lv-LV"/>
              </w:rPr>
            </w:pPr>
            <w:bookmarkStart w:id="3" w:name="_Hlk40442234"/>
            <w:r>
              <w:rPr>
                <w:rFonts w:eastAsia="Times New Roman"/>
                <w:iCs/>
                <w:sz w:val="24"/>
                <w:szCs w:val="24"/>
                <w:lang w:val="lv-LV" w:eastAsia="lv-LV"/>
              </w:rPr>
              <w:t>MK N</w:t>
            </w:r>
            <w:r w:rsidR="00FE3D8C" w:rsidRPr="00C921F5">
              <w:rPr>
                <w:rFonts w:eastAsia="Times New Roman"/>
                <w:iCs/>
                <w:sz w:val="24"/>
                <w:szCs w:val="24"/>
                <w:lang w:val="lv-LV" w:eastAsia="lv-LV"/>
              </w:rPr>
              <w:t>oteikum</w:t>
            </w:r>
            <w:r>
              <w:rPr>
                <w:rFonts w:eastAsia="Times New Roman"/>
                <w:iCs/>
                <w:sz w:val="24"/>
                <w:szCs w:val="24"/>
                <w:lang w:val="lv-LV" w:eastAsia="lv-LV"/>
              </w:rPr>
              <w:t>u projektā noteiktā</w:t>
            </w:r>
            <w:r w:rsidR="00FE3D8C" w:rsidRPr="00C921F5">
              <w:rPr>
                <w:rFonts w:eastAsia="Times New Roman"/>
                <w:iCs/>
                <w:sz w:val="24"/>
                <w:szCs w:val="24"/>
                <w:lang w:val="lv-LV" w:eastAsia="lv-LV"/>
              </w:rPr>
              <w:t xml:space="preserve"> </w:t>
            </w:r>
            <w:r w:rsidRPr="00C921F5">
              <w:rPr>
                <w:rFonts w:eastAsia="Times New Roman"/>
                <w:iCs/>
                <w:sz w:val="24"/>
                <w:szCs w:val="24"/>
                <w:lang w:val="lv-LV" w:eastAsia="lv-LV"/>
              </w:rPr>
              <w:t xml:space="preserve">atbalsta programma </w:t>
            </w:r>
            <w:r w:rsidR="00BC6663" w:rsidRPr="00C921F5">
              <w:rPr>
                <w:rFonts w:eastAsia="Times New Roman"/>
                <w:iCs/>
                <w:sz w:val="24"/>
                <w:szCs w:val="24"/>
                <w:lang w:val="lv-LV" w:eastAsia="lv-LV"/>
              </w:rPr>
              <w:t xml:space="preserve">stāsies spēkā pēc </w:t>
            </w:r>
            <w:r w:rsidR="00BC6663" w:rsidRPr="00F7299C">
              <w:rPr>
                <w:rFonts w:eastAsia="Times New Roman"/>
                <w:iCs/>
                <w:sz w:val="24"/>
                <w:szCs w:val="24"/>
                <w:lang w:val="lv-LV" w:eastAsia="lv-LV"/>
              </w:rPr>
              <w:t>tā</w:t>
            </w:r>
            <w:r w:rsidR="00BC6663">
              <w:rPr>
                <w:rFonts w:eastAsia="Times New Roman"/>
                <w:iCs/>
                <w:sz w:val="24"/>
                <w:szCs w:val="24"/>
                <w:lang w:val="lv-LV" w:eastAsia="lv-LV"/>
              </w:rPr>
              <w:t>s</w:t>
            </w:r>
            <w:r w:rsidR="00BC6663" w:rsidRPr="00F7299C">
              <w:rPr>
                <w:rFonts w:eastAsia="Times New Roman"/>
                <w:iCs/>
                <w:sz w:val="24"/>
                <w:szCs w:val="24"/>
                <w:lang w:val="lv-LV" w:eastAsia="lv-LV"/>
              </w:rPr>
              <w:t xml:space="preserve"> </w:t>
            </w:r>
            <w:r w:rsidRPr="00C921F5">
              <w:rPr>
                <w:rFonts w:eastAsia="Times New Roman"/>
                <w:iCs/>
                <w:sz w:val="24"/>
                <w:szCs w:val="24"/>
                <w:lang w:val="lv-LV" w:eastAsia="lv-LV"/>
              </w:rPr>
              <w:t>saskaņo</w:t>
            </w:r>
            <w:r w:rsidR="00BC6663">
              <w:rPr>
                <w:rFonts w:eastAsia="Times New Roman"/>
                <w:iCs/>
                <w:sz w:val="24"/>
                <w:szCs w:val="24"/>
                <w:lang w:val="lv-LV" w:eastAsia="lv-LV"/>
              </w:rPr>
              <w:t>šanas</w:t>
            </w:r>
            <w:r w:rsidRPr="00C921F5">
              <w:rPr>
                <w:rFonts w:eastAsia="Times New Roman"/>
                <w:iCs/>
                <w:sz w:val="24"/>
                <w:szCs w:val="24"/>
                <w:lang w:val="lv-LV" w:eastAsia="lv-LV"/>
              </w:rPr>
              <w:t xml:space="preserve"> ar Eiropas Komisiju</w:t>
            </w:r>
            <w:r w:rsidRPr="00F7299C">
              <w:rPr>
                <w:rFonts w:eastAsia="Times New Roman"/>
                <w:iCs/>
                <w:sz w:val="24"/>
                <w:szCs w:val="24"/>
                <w:lang w:val="lv-LV" w:eastAsia="lv-LV"/>
              </w:rPr>
              <w:t>.</w:t>
            </w:r>
            <w:bookmarkEnd w:id="3"/>
          </w:p>
        </w:tc>
      </w:tr>
    </w:tbl>
    <w:p w14:paraId="4F03DE00" w14:textId="29ECC9FB" w:rsidR="00310924" w:rsidRDefault="00310924" w:rsidP="00B043DE">
      <w:pPr>
        <w:shd w:val="clear" w:color="auto" w:fill="FFFFFF"/>
        <w:contextualSpacing/>
        <w:jc w:val="center"/>
        <w:rPr>
          <w:b/>
          <w:sz w:val="24"/>
          <w:szCs w:val="24"/>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294"/>
        <w:gridCol w:w="1847"/>
        <w:gridCol w:w="7207"/>
      </w:tblGrid>
      <w:tr w:rsidR="00844176" w:rsidRPr="00C921F5" w14:paraId="02364BB3" w14:textId="77777777" w:rsidTr="00240921">
        <w:trPr>
          <w:trHeight w:val="307"/>
        </w:trPr>
        <w:tc>
          <w:tcPr>
            <w:tcW w:w="9348" w:type="dxa"/>
            <w:gridSpan w:val="3"/>
            <w:tcBorders>
              <w:top w:val="outset" w:sz="6" w:space="0" w:color="414142"/>
              <w:left w:val="outset" w:sz="6" w:space="0" w:color="414142"/>
              <w:bottom w:val="outset" w:sz="6" w:space="0" w:color="414142"/>
              <w:right w:val="outset" w:sz="6" w:space="0" w:color="414142"/>
            </w:tcBorders>
            <w:hideMark/>
          </w:tcPr>
          <w:bookmarkEnd w:id="0"/>
          <w:bookmarkEnd w:id="1"/>
          <w:bookmarkEnd w:id="2"/>
          <w:p w14:paraId="12E54FE2" w14:textId="77777777" w:rsidR="00844176" w:rsidRPr="00C921F5" w:rsidRDefault="00844176" w:rsidP="00B043DE">
            <w:pPr>
              <w:tabs>
                <w:tab w:val="left" w:pos="5888"/>
              </w:tabs>
              <w:contextualSpacing/>
              <w:jc w:val="center"/>
              <w:rPr>
                <w:rFonts w:eastAsia="Times New Roman"/>
                <w:sz w:val="24"/>
                <w:szCs w:val="24"/>
                <w:lang w:val="lv-LV" w:eastAsia="lv-LV"/>
              </w:rPr>
            </w:pPr>
            <w:r w:rsidRPr="00C921F5">
              <w:rPr>
                <w:b/>
                <w:sz w:val="24"/>
                <w:szCs w:val="24"/>
                <w:lang w:val="lv-LV"/>
              </w:rPr>
              <w:t>I. Tiesību akta projekta izstrādes nepieciešamība</w:t>
            </w:r>
          </w:p>
        </w:tc>
      </w:tr>
      <w:tr w:rsidR="00844176" w:rsidRPr="00A1427D" w14:paraId="7F385C9A" w14:textId="77777777" w:rsidTr="00240921">
        <w:trPr>
          <w:trHeight w:val="405"/>
        </w:trPr>
        <w:tc>
          <w:tcPr>
            <w:tcW w:w="294"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1.</w:t>
            </w:r>
          </w:p>
        </w:tc>
        <w:tc>
          <w:tcPr>
            <w:tcW w:w="1847"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Pamatojums</w:t>
            </w:r>
          </w:p>
        </w:tc>
        <w:tc>
          <w:tcPr>
            <w:tcW w:w="7207" w:type="dxa"/>
            <w:tcBorders>
              <w:top w:val="outset" w:sz="6" w:space="0" w:color="414142"/>
              <w:left w:val="outset" w:sz="6" w:space="0" w:color="414142"/>
              <w:bottom w:val="outset" w:sz="6" w:space="0" w:color="414142"/>
              <w:right w:val="outset" w:sz="6" w:space="0" w:color="414142"/>
            </w:tcBorders>
            <w:hideMark/>
          </w:tcPr>
          <w:p w14:paraId="79DF1BBF" w14:textId="38847175" w:rsidR="003F2AC0" w:rsidRPr="00C921F5" w:rsidRDefault="003D0F93" w:rsidP="00B043DE">
            <w:pPr>
              <w:contextualSpacing/>
              <w:jc w:val="both"/>
              <w:rPr>
                <w:sz w:val="24"/>
                <w:szCs w:val="24"/>
                <w:lang w:val="lv-LV"/>
              </w:rPr>
            </w:pPr>
            <w:r w:rsidRPr="00C921F5">
              <w:rPr>
                <w:rFonts w:eastAsia="Times New Roman"/>
                <w:iCs/>
                <w:sz w:val="24"/>
                <w:szCs w:val="24"/>
                <w:lang w:val="lv-LV"/>
              </w:rPr>
              <w:t>MK Noteikumu projekts</w:t>
            </w:r>
            <w:r w:rsidRPr="00C921F5" w:rsidDel="003D0F93">
              <w:rPr>
                <w:rFonts w:eastAsia="Times New Roman"/>
                <w:iCs/>
                <w:sz w:val="24"/>
                <w:szCs w:val="24"/>
                <w:lang w:val="lv-LV"/>
              </w:rPr>
              <w:t xml:space="preserve"> </w:t>
            </w:r>
            <w:r w:rsidR="003F2AC0" w:rsidRPr="00C921F5">
              <w:rPr>
                <w:rFonts w:eastAsia="Times New Roman"/>
                <w:iCs/>
                <w:sz w:val="24"/>
                <w:szCs w:val="24"/>
                <w:lang w:val="lv-LV"/>
              </w:rPr>
              <w:t>izstrādāts saskaņā ar Attīstības finanšu institūcijas likuma 12.panta ceturto daļu, lai atbalstītu lielos komersantus, kuriem ir pagaidu grūtības, jo to darbību uz pārejošu laika posmu ir negatīvi ietekmējusi vīrusa Covid-19 izplatība, kā arī atbalstīt komersantus</w:t>
            </w:r>
            <w:r w:rsidR="00BD1C32" w:rsidRPr="00C921F5">
              <w:rPr>
                <w:rFonts w:eastAsia="Times New Roman"/>
                <w:iCs/>
                <w:sz w:val="24"/>
                <w:szCs w:val="24"/>
                <w:lang w:val="lv-LV"/>
              </w:rPr>
              <w:t xml:space="preserve"> </w:t>
            </w:r>
            <w:bookmarkStart w:id="4" w:name="_Hlk40442633"/>
            <w:r w:rsidR="00BD1C32" w:rsidRPr="00C921F5">
              <w:rPr>
                <w:rFonts w:eastAsia="Times New Roman"/>
                <w:iCs/>
                <w:sz w:val="24"/>
                <w:szCs w:val="24"/>
                <w:lang w:val="lv-LV"/>
              </w:rPr>
              <w:t>ar mērķi komersantu konkurētspējas atjaunošanai, saglabāšanai un veicināšanai, kā arī apgrozījuma, t.sk.</w:t>
            </w:r>
            <w:r w:rsidR="009059B3">
              <w:rPr>
                <w:rFonts w:eastAsia="Times New Roman"/>
                <w:iCs/>
                <w:sz w:val="24"/>
                <w:szCs w:val="24"/>
                <w:lang w:val="lv-LV"/>
              </w:rPr>
              <w:t>,</w:t>
            </w:r>
            <w:r w:rsidR="00BD1C32" w:rsidRPr="00C921F5">
              <w:rPr>
                <w:rFonts w:eastAsia="Times New Roman"/>
                <w:iCs/>
                <w:sz w:val="24"/>
                <w:szCs w:val="24"/>
                <w:lang w:val="lv-LV"/>
              </w:rPr>
              <w:t xml:space="preserve"> eksporta palielināšanai.</w:t>
            </w:r>
            <w:bookmarkEnd w:id="4"/>
          </w:p>
        </w:tc>
      </w:tr>
      <w:tr w:rsidR="00844176" w:rsidRPr="00A1427D" w14:paraId="62EDED08" w14:textId="77777777" w:rsidTr="00240921">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2.</w:t>
            </w:r>
          </w:p>
        </w:tc>
        <w:tc>
          <w:tcPr>
            <w:tcW w:w="1847"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C921F5" w:rsidRDefault="00844176" w:rsidP="00B043DE">
            <w:pPr>
              <w:contextualSpacing/>
              <w:rPr>
                <w:rFonts w:eastAsia="Times New Roman"/>
                <w:sz w:val="24"/>
                <w:szCs w:val="24"/>
                <w:lang w:val="lv-LV" w:eastAsia="lv-LV"/>
              </w:rPr>
            </w:pPr>
            <w:r w:rsidRPr="00C921F5">
              <w:rPr>
                <w:sz w:val="24"/>
                <w:szCs w:val="24"/>
                <w:lang w:val="lv-LV"/>
              </w:rPr>
              <w:t>Pašreizējā situācija un problēmas, kuru risināšanai tiesību akta projekts izstrādāts, tiesiskā regulējuma mērķis un būtība</w:t>
            </w:r>
          </w:p>
        </w:tc>
        <w:tc>
          <w:tcPr>
            <w:tcW w:w="7207" w:type="dxa"/>
            <w:tcBorders>
              <w:top w:val="outset" w:sz="6" w:space="0" w:color="414142"/>
              <w:left w:val="outset" w:sz="6" w:space="0" w:color="414142"/>
              <w:bottom w:val="outset" w:sz="6" w:space="0" w:color="414142"/>
              <w:right w:val="outset" w:sz="6" w:space="0" w:color="414142"/>
            </w:tcBorders>
          </w:tcPr>
          <w:p w14:paraId="6D3C8DC0" w14:textId="0152C245" w:rsidR="00726398" w:rsidRPr="00C921F5" w:rsidRDefault="00726398" w:rsidP="00AB7C59">
            <w:pPr>
              <w:pStyle w:val="Default"/>
              <w:spacing w:after="60"/>
              <w:jc w:val="both"/>
              <w:rPr>
                <w:rFonts w:ascii="Times New Roman" w:eastAsia="Times New Roman" w:hAnsi="Times New Roman" w:cs="Times New Roman"/>
                <w:iCs/>
                <w:color w:val="auto"/>
              </w:rPr>
            </w:pPr>
            <w:bookmarkStart w:id="5" w:name="_Hlk42854642"/>
            <w:r w:rsidRPr="00D710DA">
              <w:rPr>
                <w:rFonts w:ascii="Times New Roman" w:eastAsia="Times New Roman" w:hAnsi="Times New Roman" w:cs="Times New Roman"/>
                <w:iCs/>
                <w:color w:val="auto"/>
              </w:rPr>
              <w:t>Ņemot vērā Covid-19 izplatību pasaulē un ārkārtas situācij</w:t>
            </w:r>
            <w:r w:rsidR="00D710DA" w:rsidRPr="00D710DA">
              <w:rPr>
                <w:rFonts w:ascii="Times New Roman" w:eastAsia="Times New Roman" w:hAnsi="Times New Roman" w:cs="Times New Roman"/>
                <w:iCs/>
                <w:color w:val="auto"/>
              </w:rPr>
              <w:t>as izplatības sekām</w:t>
            </w:r>
            <w:r w:rsidRPr="00D710DA">
              <w:rPr>
                <w:rFonts w:ascii="Times New Roman" w:eastAsia="Times New Roman" w:hAnsi="Times New Roman" w:cs="Times New Roman"/>
                <w:iCs/>
                <w:color w:val="auto"/>
              </w:rPr>
              <w:t xml:space="preserve"> </w:t>
            </w:r>
            <w:r w:rsidR="00D710DA" w:rsidRPr="00D710DA">
              <w:rPr>
                <w:rFonts w:ascii="Times New Roman" w:eastAsia="Times New Roman" w:hAnsi="Times New Roman" w:cs="Times New Roman"/>
                <w:iCs/>
                <w:color w:val="auto"/>
              </w:rPr>
              <w:t>valstī (izsludināta ar Ministru kabineta 2020. gada 12. marta rīkojums Nr. 103 "Par ārkārtējās situācijas izsludināšanu" un</w:t>
            </w:r>
            <w:r w:rsidR="00D710DA">
              <w:rPr>
                <w:rFonts w:ascii="Times New Roman" w:eastAsia="Times New Roman" w:hAnsi="Times New Roman" w:cs="Times New Roman"/>
                <w:iCs/>
                <w:color w:val="auto"/>
              </w:rPr>
              <w:t xml:space="preserve"> secīgi apstiprināta ar</w:t>
            </w:r>
            <w:r w:rsidR="00D710DA" w:rsidRPr="00D710DA">
              <w:rPr>
                <w:rFonts w:ascii="Times New Roman" w:eastAsia="Times New Roman" w:hAnsi="Times New Roman" w:cs="Times New Roman"/>
                <w:iCs/>
                <w:color w:val="auto"/>
              </w:rPr>
              <w:t xml:space="preserve"> </w:t>
            </w:r>
            <w:r w:rsidR="00D710DA" w:rsidRPr="00D710DA">
              <w:rPr>
                <w:rFonts w:ascii="Times New Roman" w:hAnsi="Times New Roman" w:cs="Times New Roman"/>
              </w:rPr>
              <w:t>Covid-19 infekcijas izplatības seku pārvarēšanas likumu</w:t>
            </w:r>
            <w:r w:rsidR="00D710DA" w:rsidRPr="00D710DA">
              <w:rPr>
                <w:rFonts w:ascii="Times New Roman" w:eastAsia="Times New Roman" w:hAnsi="Times New Roman" w:cs="Times New Roman"/>
                <w:iCs/>
                <w:color w:val="auto"/>
              </w:rPr>
              <w:t>)</w:t>
            </w:r>
            <w:r w:rsidRPr="00D710DA">
              <w:rPr>
                <w:rFonts w:ascii="Times New Roman" w:eastAsia="Times New Roman" w:hAnsi="Times New Roman" w:cs="Times New Roman"/>
                <w:iCs/>
                <w:color w:val="auto"/>
              </w:rPr>
              <w:t>,</w:t>
            </w:r>
            <w:r w:rsidRPr="00C921F5">
              <w:rPr>
                <w:rFonts w:ascii="Times New Roman" w:eastAsia="Times New Roman" w:hAnsi="Times New Roman" w:cs="Times New Roman"/>
                <w:iCs/>
                <w:color w:val="auto"/>
              </w:rPr>
              <w:t xml:space="preserve"> valstī vērojama negatīva ietekme uz ekonomikas attīstību, kuras ilgums un apmēri vēl ir grūti prognozējami</w:t>
            </w:r>
            <w:bookmarkEnd w:id="5"/>
            <w:r w:rsidRPr="00C921F5">
              <w:rPr>
                <w:rFonts w:ascii="Times New Roman" w:eastAsia="Times New Roman" w:hAnsi="Times New Roman" w:cs="Times New Roman"/>
                <w:iCs/>
                <w:color w:val="auto"/>
              </w:rPr>
              <w:t>.</w:t>
            </w:r>
          </w:p>
          <w:p w14:paraId="4073A8DC" w14:textId="64475738" w:rsidR="003F2AC0" w:rsidRPr="00C921F5" w:rsidRDefault="003F2AC0"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Covid-19 krīzes ietekmes uz Latvijas uzņēmumiem risināšanai ir apstiprinā</w:t>
            </w:r>
            <w:r w:rsidR="00416547" w:rsidRPr="00C921F5">
              <w:rPr>
                <w:rFonts w:ascii="Times New Roman" w:eastAsia="Times New Roman" w:hAnsi="Times New Roman" w:cs="Times New Roman"/>
                <w:iCs/>
                <w:color w:val="auto"/>
              </w:rPr>
              <w:t>ti</w:t>
            </w:r>
            <w:r w:rsidRPr="00C921F5">
              <w:rPr>
                <w:rFonts w:ascii="Times New Roman" w:eastAsia="Times New Roman" w:hAnsi="Times New Roman" w:cs="Times New Roman"/>
                <w:iCs/>
                <w:color w:val="auto"/>
              </w:rPr>
              <w:t xml:space="preserve"> vairāk</w:t>
            </w:r>
            <w:r w:rsidR="00416547" w:rsidRPr="00C921F5">
              <w:rPr>
                <w:rFonts w:ascii="Times New Roman" w:eastAsia="Times New Roman" w:hAnsi="Times New Roman" w:cs="Times New Roman"/>
                <w:iCs/>
                <w:color w:val="auto"/>
              </w:rPr>
              <w:t>i</w:t>
            </w:r>
            <w:r w:rsidRPr="00C921F5">
              <w:rPr>
                <w:rFonts w:ascii="Times New Roman" w:eastAsia="Times New Roman" w:hAnsi="Times New Roman" w:cs="Times New Roman"/>
                <w:iCs/>
                <w:color w:val="auto"/>
              </w:rPr>
              <w:t xml:space="preserve"> finanšu instrument</w:t>
            </w:r>
            <w:r w:rsidR="00416547" w:rsidRPr="00C921F5">
              <w:rPr>
                <w:rFonts w:ascii="Times New Roman" w:eastAsia="Times New Roman" w:hAnsi="Times New Roman" w:cs="Times New Roman"/>
                <w:iCs/>
                <w:color w:val="auto"/>
              </w:rPr>
              <w:t>i</w:t>
            </w:r>
            <w:r w:rsidR="00726398" w:rsidRPr="00C921F5">
              <w:rPr>
                <w:rFonts w:ascii="Times New Roman" w:eastAsia="Times New Roman" w:hAnsi="Times New Roman" w:cs="Times New Roman"/>
                <w:iCs/>
                <w:color w:val="auto"/>
              </w:rPr>
              <w:t xml:space="preserve">, kurus īsteno </w:t>
            </w:r>
            <w:r w:rsidR="003D0F93" w:rsidRPr="00C921F5">
              <w:rPr>
                <w:rFonts w:ascii="Times New Roman" w:eastAsia="Times New Roman" w:hAnsi="Times New Roman" w:cs="Times New Roman"/>
                <w:lang w:eastAsia="lv-LV"/>
              </w:rPr>
              <w:t>akciju sabiedrība ”Attīstības finanšu institūcija Altum</w:t>
            </w:r>
            <w:r w:rsidR="00B63C0B" w:rsidRPr="00C921F5">
              <w:rPr>
                <w:rFonts w:ascii="Times New Roman" w:eastAsia="Times New Roman" w:hAnsi="Times New Roman" w:cs="Times New Roman"/>
                <w:lang w:eastAsia="lv-LV"/>
              </w:rPr>
              <w:t>”</w:t>
            </w:r>
            <w:r w:rsidR="003D0F93" w:rsidRPr="00C921F5">
              <w:rPr>
                <w:rFonts w:ascii="Times New Roman" w:eastAsia="Times New Roman" w:hAnsi="Times New Roman" w:cs="Times New Roman"/>
                <w:lang w:eastAsia="lv-LV"/>
              </w:rPr>
              <w:t xml:space="preserve"> (turpmāk – sabiedrība “Altum”)</w:t>
            </w:r>
            <w:r w:rsidRPr="00C921F5">
              <w:rPr>
                <w:rFonts w:ascii="Times New Roman" w:eastAsia="Times New Roman" w:hAnsi="Times New Roman" w:cs="Times New Roman"/>
                <w:iCs/>
                <w:color w:val="auto"/>
              </w:rPr>
              <w:t>:</w:t>
            </w:r>
          </w:p>
          <w:p w14:paraId="3021DD22" w14:textId="77777777" w:rsidR="003F2AC0" w:rsidRPr="00C921F5" w:rsidRDefault="003F2AC0"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1)</w:t>
            </w:r>
            <w:r w:rsidRPr="00C921F5">
              <w:rPr>
                <w:rFonts w:ascii="Times New Roman" w:eastAsia="Times New Roman" w:hAnsi="Times New Roman" w:cs="Times New Roman"/>
                <w:iCs/>
                <w:color w:val="auto"/>
              </w:rPr>
              <w:tab/>
              <w:t>apgrozāmo līdzekļu aizdevumi:</w:t>
            </w:r>
          </w:p>
          <w:p w14:paraId="1E2D39B2" w14:textId="77777777" w:rsidR="003F2AC0" w:rsidRPr="00C921F5" w:rsidRDefault="003F2AC0"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 xml:space="preserve">Ministru kabineta 2020.gada 19.marta noteikumi Nr.149 “Noteikumi par apgrozāmo līdzekļu aizdevumiem saimnieciskās darbības veicējiem, kuru darbību ietekmējusi Covid-19 izplatība”; </w:t>
            </w:r>
          </w:p>
          <w:p w14:paraId="480B1B0F" w14:textId="77777777" w:rsidR="003F2AC0" w:rsidRPr="00C921F5" w:rsidRDefault="003F2AC0"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2)</w:t>
            </w:r>
            <w:r w:rsidRPr="00C921F5">
              <w:rPr>
                <w:rFonts w:ascii="Times New Roman" w:eastAsia="Times New Roman" w:hAnsi="Times New Roman" w:cs="Times New Roman"/>
                <w:iCs/>
                <w:color w:val="auto"/>
              </w:rPr>
              <w:tab/>
              <w:t>individuālās garantijas:</w:t>
            </w:r>
          </w:p>
          <w:p w14:paraId="6D19ED88" w14:textId="77777777" w:rsidR="003F2AC0" w:rsidRPr="00C921F5" w:rsidRDefault="003F2AC0"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 xml:space="preserve">Ministru kabineta 2020.gada 19.marta noteikumi Nr.150 “Noteikumi par garantijām saimnieciskās darbības veicējiem, kuru darbību ietekmējusi Covid-19 izplatība”; </w:t>
            </w:r>
          </w:p>
          <w:p w14:paraId="16BA6781" w14:textId="77777777" w:rsidR="003F2AC0" w:rsidRPr="00C921F5" w:rsidRDefault="003F2AC0"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3)</w:t>
            </w:r>
            <w:r w:rsidRPr="00C921F5">
              <w:rPr>
                <w:rFonts w:ascii="Times New Roman" w:eastAsia="Times New Roman" w:hAnsi="Times New Roman" w:cs="Times New Roman"/>
                <w:iCs/>
                <w:color w:val="auto"/>
              </w:rPr>
              <w:tab/>
            </w:r>
            <w:proofErr w:type="spellStart"/>
            <w:r w:rsidRPr="00C921F5">
              <w:rPr>
                <w:rFonts w:ascii="Times New Roman" w:eastAsia="Times New Roman" w:hAnsi="Times New Roman" w:cs="Times New Roman"/>
                <w:iCs/>
                <w:color w:val="auto"/>
              </w:rPr>
              <w:t>portfeļgarantijas</w:t>
            </w:r>
            <w:proofErr w:type="spellEnd"/>
            <w:r w:rsidRPr="00C921F5">
              <w:rPr>
                <w:rFonts w:ascii="Times New Roman" w:eastAsia="Times New Roman" w:hAnsi="Times New Roman" w:cs="Times New Roman"/>
                <w:iCs/>
                <w:color w:val="auto"/>
              </w:rPr>
              <w:t>:</w:t>
            </w:r>
          </w:p>
          <w:p w14:paraId="08218553" w14:textId="31E1185B" w:rsidR="003F2AC0" w:rsidRPr="00C921F5" w:rsidRDefault="003F2AC0"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 xml:space="preserve">Ministru kabineta 2020.gada 24.marta noteikumi Nr.155 “Grozījumi Ministru kabineta 2017.gada 5.septembra noteikumos Nr.537 “Noteikumi par </w:t>
            </w:r>
            <w:proofErr w:type="spellStart"/>
            <w:r w:rsidRPr="00C921F5">
              <w:rPr>
                <w:rFonts w:ascii="Times New Roman" w:eastAsia="Times New Roman" w:hAnsi="Times New Roman" w:cs="Times New Roman"/>
                <w:iCs/>
                <w:color w:val="auto"/>
              </w:rPr>
              <w:t>po</w:t>
            </w:r>
            <w:r w:rsidR="00B56674" w:rsidRPr="00C921F5">
              <w:rPr>
                <w:rFonts w:ascii="Times New Roman" w:eastAsia="Times New Roman" w:hAnsi="Times New Roman" w:cs="Times New Roman"/>
                <w:iCs/>
                <w:color w:val="auto"/>
              </w:rPr>
              <w:t>r</w:t>
            </w:r>
            <w:r w:rsidRPr="00C921F5">
              <w:rPr>
                <w:rFonts w:ascii="Times New Roman" w:eastAsia="Times New Roman" w:hAnsi="Times New Roman" w:cs="Times New Roman"/>
                <w:iCs/>
                <w:color w:val="auto"/>
              </w:rPr>
              <w:t>tfeļgarantijām</w:t>
            </w:r>
            <w:proofErr w:type="spellEnd"/>
            <w:r w:rsidRPr="00C921F5">
              <w:rPr>
                <w:rFonts w:ascii="Times New Roman" w:eastAsia="Times New Roman" w:hAnsi="Times New Roman" w:cs="Times New Roman"/>
                <w:iCs/>
                <w:color w:val="auto"/>
              </w:rPr>
              <w:t xml:space="preserve"> sīko (mikro), mazo un vidējo komersantu kreditēšanas veicināšanai””.</w:t>
            </w:r>
          </w:p>
          <w:p w14:paraId="5EBEA8E9" w14:textId="50BBE3CE" w:rsidR="000A3654" w:rsidRPr="00C921F5" w:rsidRDefault="00726398"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 xml:space="preserve">4) </w:t>
            </w:r>
            <w:r w:rsidR="003D0F93" w:rsidRPr="00C921F5">
              <w:rPr>
                <w:rFonts w:ascii="Times New Roman" w:eastAsia="Times New Roman" w:hAnsi="Times New Roman" w:cs="Times New Roman"/>
                <w:iCs/>
                <w:color w:val="auto"/>
              </w:rPr>
              <w:t>t</w:t>
            </w:r>
            <w:r w:rsidR="003F2AC0" w:rsidRPr="00C921F5">
              <w:rPr>
                <w:rFonts w:ascii="Times New Roman" w:eastAsia="Times New Roman" w:hAnsi="Times New Roman" w:cs="Times New Roman"/>
                <w:iCs/>
                <w:color w:val="auto"/>
              </w:rPr>
              <w:t>āpat īstermiņa eksporta kredītu garantiju jomā ir atļauts līdz 2020.gada 31.decembrim sniegt eksporta kredīta garantijas uzņēmumiem neatkarīgi no debitora valsts</w:t>
            </w:r>
            <w:r w:rsidR="009059B3">
              <w:rPr>
                <w:rFonts w:ascii="Times New Roman" w:eastAsia="Times New Roman" w:hAnsi="Times New Roman" w:cs="Times New Roman"/>
                <w:iCs/>
                <w:color w:val="auto"/>
              </w:rPr>
              <w:t>,</w:t>
            </w:r>
            <w:r w:rsidR="003F2AC0" w:rsidRPr="00C921F5">
              <w:rPr>
                <w:rFonts w:ascii="Times New Roman" w:eastAsia="Times New Roman" w:hAnsi="Times New Roman" w:cs="Times New Roman"/>
                <w:iCs/>
                <w:color w:val="auto"/>
              </w:rPr>
              <w:t xml:space="preserve"> saskaņā ar Ministru kabineta 2020.gada 14.aprīļa noteikumiem Nr.206 “Grozījumi Ministru kabineta 2016.gada 20.decembra noteikumos Nr.866 „Īstermiņa eksporta kredīta garantiju izsniegšanas noteikumi komersantiem un atbilstošām lauksaimniecības pakalpojumu kooperatīvajām sabiedrībām””.</w:t>
            </w:r>
          </w:p>
          <w:p w14:paraId="2481F129" w14:textId="42B6CC5E" w:rsidR="00EF17FD" w:rsidRPr="00C921F5" w:rsidRDefault="00EF17FD"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lastRenderedPageBreak/>
              <w:t>Atbilstoši Latvijas Bankas secinājumiem, apstrādes rūpniecība piedzīvos kritumu sākotnēji piegādes ķēžu pārtraukumu un sekojoša pieprasījuma sarukuma dēļ. Pieprasījuma pieaugums ir vērojams tikai atsevišķās šaurās jomās, tāpēc paredzams, ka nozarē cietīs gan uz iekšzemes noietu vērstie apstrādes rūpniecības uzņēmumi, gan eksports</w:t>
            </w:r>
            <w:r w:rsidR="00416547" w:rsidRPr="00C921F5">
              <w:rPr>
                <w:rFonts w:ascii="Times New Roman" w:eastAsia="Times New Roman" w:hAnsi="Times New Roman" w:cs="Times New Roman"/>
                <w:iCs/>
                <w:color w:val="auto"/>
              </w:rPr>
              <w:t>.</w:t>
            </w:r>
          </w:p>
          <w:p w14:paraId="280D6B11" w14:textId="4C015E42" w:rsidR="00EF17FD" w:rsidRPr="00C921F5" w:rsidRDefault="00EF17FD"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COVID-19 izraisīta nedrošība un noteiktie ierobežojumi COVID-19 izplatības mazināšanai tirgos turpmākajos mēnešos krasi ietekmēs lielo komersantu ražošanas jaudu  saglabāšanu un eksportspēju</w:t>
            </w:r>
            <w:r w:rsidR="00416547" w:rsidRPr="00C921F5">
              <w:rPr>
                <w:rFonts w:ascii="Times New Roman" w:eastAsia="Times New Roman" w:hAnsi="Times New Roman" w:cs="Times New Roman"/>
                <w:iCs/>
                <w:color w:val="auto"/>
              </w:rPr>
              <w:t>.</w:t>
            </w:r>
          </w:p>
          <w:p w14:paraId="3AA9C614" w14:textId="3BCDC7E6" w:rsidR="00416547" w:rsidRPr="00C921F5" w:rsidRDefault="00EF17FD"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Covid-19 krīzei ieilgstot</w:t>
            </w:r>
            <w:r w:rsidR="00F2791C" w:rsidRPr="00C921F5">
              <w:rPr>
                <w:rFonts w:ascii="Times New Roman" w:eastAsia="Times New Roman" w:hAnsi="Times New Roman" w:cs="Times New Roman"/>
                <w:iCs/>
                <w:color w:val="auto"/>
              </w:rPr>
              <w:t xml:space="preserve"> un palielinoties neziņai par pasaules ekonomikas atgūšanās </w:t>
            </w:r>
            <w:r w:rsidR="00A74203" w:rsidRPr="00C921F5">
              <w:rPr>
                <w:rFonts w:ascii="Times New Roman" w:eastAsia="Times New Roman" w:hAnsi="Times New Roman" w:cs="Times New Roman"/>
                <w:iCs/>
                <w:color w:val="auto"/>
              </w:rPr>
              <w:t>tempiem</w:t>
            </w:r>
            <w:r w:rsidRPr="00C921F5">
              <w:rPr>
                <w:rFonts w:ascii="Times New Roman" w:eastAsia="Times New Roman" w:hAnsi="Times New Roman" w:cs="Times New Roman"/>
                <w:iCs/>
                <w:color w:val="auto"/>
              </w:rPr>
              <w:t>,</w:t>
            </w:r>
            <w:r w:rsidR="00A74203" w:rsidRPr="00C921F5">
              <w:rPr>
                <w:rFonts w:ascii="Times New Roman" w:eastAsia="Times New Roman" w:hAnsi="Times New Roman" w:cs="Times New Roman"/>
                <w:iCs/>
                <w:color w:val="auto"/>
              </w:rPr>
              <w:t xml:space="preserve"> plānotie</w:t>
            </w:r>
            <w:r w:rsidRPr="00C921F5">
              <w:rPr>
                <w:rFonts w:ascii="Times New Roman" w:eastAsia="Times New Roman" w:hAnsi="Times New Roman" w:cs="Times New Roman"/>
                <w:iCs/>
                <w:color w:val="auto"/>
              </w:rPr>
              <w:t xml:space="preserve"> investīciju projekti un to izstrāde varētu tikt atlikta,</w:t>
            </w:r>
            <w:r w:rsidR="00A74203" w:rsidRPr="00C921F5">
              <w:rPr>
                <w:rFonts w:ascii="Times New Roman" w:eastAsia="Times New Roman" w:hAnsi="Times New Roman" w:cs="Times New Roman"/>
                <w:iCs/>
                <w:color w:val="auto"/>
              </w:rPr>
              <w:t xml:space="preserve"> t.sk., ierobežotas finansējuma ar ilgu atmaksāšanas periodu pieejamības dēļ,</w:t>
            </w:r>
            <w:r w:rsidRPr="00C921F5">
              <w:rPr>
                <w:rFonts w:ascii="Times New Roman" w:eastAsia="Times New Roman" w:hAnsi="Times New Roman" w:cs="Times New Roman"/>
                <w:iCs/>
                <w:color w:val="auto"/>
              </w:rPr>
              <w:t xml:space="preserve"> tādējādi </w:t>
            </w:r>
            <w:r w:rsidR="00A74203" w:rsidRPr="00C921F5">
              <w:rPr>
                <w:rFonts w:ascii="Times New Roman" w:eastAsia="Times New Roman" w:hAnsi="Times New Roman" w:cs="Times New Roman"/>
                <w:iCs/>
                <w:color w:val="auto"/>
              </w:rPr>
              <w:t xml:space="preserve">vēl vairāk </w:t>
            </w:r>
            <w:r w:rsidRPr="00C921F5">
              <w:rPr>
                <w:rFonts w:ascii="Times New Roman" w:eastAsia="Times New Roman" w:hAnsi="Times New Roman" w:cs="Times New Roman"/>
                <w:iCs/>
                <w:color w:val="auto"/>
              </w:rPr>
              <w:t xml:space="preserve">samazinot </w:t>
            </w:r>
            <w:r w:rsidR="00A74203" w:rsidRPr="00C921F5">
              <w:rPr>
                <w:rFonts w:ascii="Times New Roman" w:eastAsia="Times New Roman" w:hAnsi="Times New Roman" w:cs="Times New Roman"/>
                <w:iCs/>
                <w:color w:val="auto"/>
              </w:rPr>
              <w:t>ekonomiskās izaugsmes potenciālu</w:t>
            </w:r>
            <w:r w:rsidR="00416547" w:rsidRPr="00C921F5">
              <w:rPr>
                <w:rFonts w:ascii="Times New Roman" w:eastAsia="Times New Roman" w:hAnsi="Times New Roman" w:cs="Times New Roman"/>
                <w:iCs/>
                <w:color w:val="auto"/>
              </w:rPr>
              <w:t>.</w:t>
            </w:r>
          </w:p>
          <w:p w14:paraId="53AE7AA6" w14:textId="6B89F220" w:rsidR="00EF17FD" w:rsidRPr="00C921F5" w:rsidRDefault="00EF17FD"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Ekonomikas ministrija</w:t>
            </w:r>
            <w:r w:rsidR="0065132D" w:rsidRPr="00C921F5">
              <w:rPr>
                <w:rFonts w:ascii="Times New Roman" w:eastAsia="Times New Roman" w:hAnsi="Times New Roman" w:cs="Times New Roman"/>
                <w:iCs/>
                <w:color w:val="auto"/>
              </w:rPr>
              <w:t xml:space="preserve"> sadarbībā ar nozaru pārstāvjiem un</w:t>
            </w:r>
            <w:r w:rsidRPr="00C921F5">
              <w:rPr>
                <w:rFonts w:ascii="Times New Roman" w:eastAsia="Times New Roman" w:hAnsi="Times New Roman" w:cs="Times New Roman"/>
                <w:iCs/>
                <w:color w:val="auto"/>
              </w:rPr>
              <w:t xml:space="preserve"> sadarbības partneri</w:t>
            </w:r>
            <w:r w:rsidR="0065132D" w:rsidRPr="00C921F5">
              <w:rPr>
                <w:rFonts w:ascii="Times New Roman" w:eastAsia="Times New Roman" w:hAnsi="Times New Roman" w:cs="Times New Roman"/>
                <w:iCs/>
                <w:color w:val="auto"/>
              </w:rPr>
              <w:t>em</w:t>
            </w:r>
            <w:r w:rsidRPr="00C921F5">
              <w:rPr>
                <w:rFonts w:ascii="Times New Roman" w:eastAsia="Times New Roman" w:hAnsi="Times New Roman" w:cs="Times New Roman"/>
                <w:iCs/>
                <w:color w:val="auto"/>
              </w:rPr>
              <w:t xml:space="preserve"> identificēju</w:t>
            </w:r>
            <w:r w:rsidR="0065132D" w:rsidRPr="00C921F5">
              <w:rPr>
                <w:rFonts w:ascii="Times New Roman" w:eastAsia="Times New Roman" w:hAnsi="Times New Roman" w:cs="Times New Roman"/>
                <w:iCs/>
                <w:color w:val="auto"/>
              </w:rPr>
              <w:t>s</w:t>
            </w:r>
            <w:r w:rsidRPr="00C921F5">
              <w:rPr>
                <w:rFonts w:ascii="Times New Roman" w:eastAsia="Times New Roman" w:hAnsi="Times New Roman" w:cs="Times New Roman"/>
                <w:iCs/>
                <w:color w:val="auto"/>
              </w:rPr>
              <w:t xml:space="preserve">i finanšu pieejamības </w:t>
            </w:r>
            <w:r w:rsidRPr="00F7299C">
              <w:rPr>
                <w:rFonts w:ascii="Times New Roman" w:eastAsia="Times New Roman" w:hAnsi="Times New Roman" w:cs="Times New Roman"/>
                <w:iCs/>
                <w:color w:val="auto"/>
              </w:rPr>
              <w:t xml:space="preserve">trūkumu </w:t>
            </w:r>
            <w:r w:rsidR="0065132D" w:rsidRPr="00F7299C">
              <w:rPr>
                <w:rFonts w:ascii="Times New Roman" w:eastAsia="Times New Roman" w:hAnsi="Times New Roman" w:cs="Times New Roman"/>
                <w:iCs/>
                <w:color w:val="auto"/>
              </w:rPr>
              <w:t xml:space="preserve">tādiem </w:t>
            </w:r>
            <w:r w:rsidRPr="00F7299C">
              <w:rPr>
                <w:rFonts w:ascii="Times New Roman" w:eastAsia="Times New Roman" w:hAnsi="Times New Roman" w:cs="Times New Roman"/>
                <w:iCs/>
                <w:color w:val="auto"/>
              </w:rPr>
              <w:t>lielajiem</w:t>
            </w:r>
            <w:r w:rsidR="00B63C0B" w:rsidRPr="00F7299C">
              <w:rPr>
                <w:rFonts w:ascii="Times New Roman" w:eastAsia="Times New Roman" w:hAnsi="Times New Roman" w:cs="Times New Roman"/>
                <w:iCs/>
                <w:color w:val="auto"/>
              </w:rPr>
              <w:t xml:space="preserve"> </w:t>
            </w:r>
            <w:r w:rsidRPr="00F7299C">
              <w:rPr>
                <w:rFonts w:ascii="Times New Roman" w:eastAsia="Times New Roman" w:hAnsi="Times New Roman" w:cs="Times New Roman"/>
                <w:iCs/>
                <w:color w:val="auto"/>
              </w:rPr>
              <w:t xml:space="preserve">eksportējošajiem uzņēmumiem, kas </w:t>
            </w:r>
            <w:r w:rsidR="0075462B" w:rsidRPr="00F7299C">
              <w:rPr>
                <w:rFonts w:ascii="Times New Roman" w:eastAsia="Times New Roman" w:hAnsi="Times New Roman" w:cs="Times New Roman"/>
                <w:iCs/>
                <w:color w:val="auto"/>
              </w:rPr>
              <w:t>ir Latvijai ilgtermiņā stratēģiski svarīgi uzņēmumi (</w:t>
            </w:r>
            <w:r w:rsidR="0065132D" w:rsidRPr="00F7299C">
              <w:rPr>
                <w:rFonts w:ascii="Times New Roman" w:eastAsia="Times New Roman" w:hAnsi="Times New Roman" w:cs="Times New Roman"/>
                <w:iCs/>
                <w:color w:val="auto"/>
              </w:rPr>
              <w:t>t.i., sniedz būtisku pienesumu</w:t>
            </w:r>
            <w:r w:rsidR="0075462B" w:rsidRPr="00F7299C">
              <w:rPr>
                <w:rFonts w:ascii="Times New Roman" w:eastAsia="Times New Roman" w:hAnsi="Times New Roman" w:cs="Times New Roman"/>
                <w:iCs/>
                <w:color w:val="auto"/>
              </w:rPr>
              <w:t xml:space="preserve"> Latvijas IKP un</w:t>
            </w:r>
            <w:r w:rsidR="0065132D" w:rsidRPr="00F7299C">
              <w:rPr>
                <w:rFonts w:ascii="Times New Roman" w:eastAsia="Times New Roman" w:hAnsi="Times New Roman" w:cs="Times New Roman"/>
                <w:iCs/>
                <w:color w:val="auto"/>
              </w:rPr>
              <w:t xml:space="preserve"> veido</w:t>
            </w:r>
            <w:r w:rsidR="0075462B" w:rsidRPr="00F7299C">
              <w:rPr>
                <w:rFonts w:ascii="Times New Roman" w:eastAsia="Times New Roman" w:hAnsi="Times New Roman" w:cs="Times New Roman"/>
                <w:iCs/>
                <w:color w:val="auto"/>
              </w:rPr>
              <w:t xml:space="preserve"> ieņēmumus, uz kuriem varam balstīt </w:t>
            </w:r>
            <w:r w:rsidR="0065132D" w:rsidRPr="00F7299C">
              <w:rPr>
                <w:rFonts w:ascii="Times New Roman" w:eastAsia="Times New Roman" w:hAnsi="Times New Roman" w:cs="Times New Roman"/>
                <w:iCs/>
                <w:color w:val="auto"/>
              </w:rPr>
              <w:t>valsts</w:t>
            </w:r>
            <w:r w:rsidR="0065132D" w:rsidRPr="00C921F5">
              <w:rPr>
                <w:rFonts w:ascii="Times New Roman" w:eastAsia="Times New Roman" w:hAnsi="Times New Roman" w:cs="Times New Roman"/>
                <w:iCs/>
                <w:color w:val="auto"/>
              </w:rPr>
              <w:t xml:space="preserve"> </w:t>
            </w:r>
            <w:r w:rsidR="0075462B" w:rsidRPr="00C921F5">
              <w:rPr>
                <w:rFonts w:ascii="Times New Roman" w:eastAsia="Times New Roman" w:hAnsi="Times New Roman" w:cs="Times New Roman"/>
                <w:iCs/>
                <w:color w:val="auto"/>
              </w:rPr>
              <w:t>nākotnes izaugsmi), kuru darbība</w:t>
            </w:r>
            <w:r w:rsidR="0065132D" w:rsidRPr="00C921F5">
              <w:rPr>
                <w:rFonts w:ascii="Times New Roman" w:eastAsia="Times New Roman" w:hAnsi="Times New Roman" w:cs="Times New Roman"/>
                <w:iCs/>
                <w:color w:val="auto"/>
              </w:rPr>
              <w:t xml:space="preserve"> tehnoloģiski</w:t>
            </w:r>
            <w:r w:rsidR="0075462B" w:rsidRPr="00C921F5">
              <w:rPr>
                <w:rFonts w:ascii="Times New Roman" w:eastAsia="Times New Roman" w:hAnsi="Times New Roman" w:cs="Times New Roman"/>
                <w:iCs/>
                <w:color w:val="auto"/>
              </w:rPr>
              <w:t xml:space="preserve"> ir ļoti grūti atjaunojama</w:t>
            </w:r>
            <w:r w:rsidR="0065132D" w:rsidRPr="00C921F5">
              <w:rPr>
                <w:rFonts w:ascii="Times New Roman" w:eastAsia="Times New Roman" w:hAnsi="Times New Roman" w:cs="Times New Roman"/>
                <w:iCs/>
                <w:color w:val="auto"/>
              </w:rPr>
              <w:t xml:space="preserve"> pēc dīkstāves vai jaudu samazināšanas</w:t>
            </w:r>
            <w:r w:rsidR="0075462B" w:rsidRPr="00C921F5">
              <w:rPr>
                <w:rFonts w:ascii="Times New Roman" w:eastAsia="Times New Roman" w:hAnsi="Times New Roman" w:cs="Times New Roman"/>
                <w:iCs/>
                <w:color w:val="auto"/>
              </w:rPr>
              <w:t>, kuri nodarbojas ar</w:t>
            </w:r>
            <w:r w:rsidR="00C27354" w:rsidRPr="00C921F5">
              <w:rPr>
                <w:rFonts w:ascii="Times New Roman" w:eastAsia="Times New Roman" w:hAnsi="Times New Roman" w:cs="Times New Roman"/>
                <w:iCs/>
                <w:color w:val="auto"/>
              </w:rPr>
              <w:t xml:space="preserve">  konkurētspējīgu vai inovatīvu</w:t>
            </w:r>
            <w:r w:rsidR="0075462B" w:rsidRPr="00C921F5">
              <w:rPr>
                <w:rFonts w:ascii="Times New Roman" w:eastAsia="Times New Roman" w:hAnsi="Times New Roman" w:cs="Times New Roman"/>
                <w:iCs/>
                <w:color w:val="auto"/>
              </w:rPr>
              <w:t xml:space="preserve"> ražošanu un produkciju eksportē, kā arī IT pakalpojumus eksportējošus uzņēmumus, vai uzņēmumus ar lielu ietekmi tautsaimniecībā.</w:t>
            </w:r>
          </w:p>
          <w:p w14:paraId="16CCF7A7" w14:textId="32BA809B" w:rsidR="0075462B" w:rsidRPr="00C921F5" w:rsidRDefault="0075462B"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 xml:space="preserve">Šobrīd Covid-19 individuālo garantiju </w:t>
            </w:r>
            <w:r w:rsidR="00416547" w:rsidRPr="00C921F5">
              <w:rPr>
                <w:rFonts w:ascii="Times New Roman" w:eastAsia="Times New Roman" w:hAnsi="Times New Roman" w:cs="Times New Roman"/>
                <w:iCs/>
                <w:color w:val="auto"/>
              </w:rPr>
              <w:t xml:space="preserve">(Ministru kabineta 2020.gada 19.marta noteikumi Nr.150) </w:t>
            </w:r>
            <w:r w:rsidRPr="00C921F5">
              <w:rPr>
                <w:rFonts w:ascii="Times New Roman" w:eastAsia="Times New Roman" w:hAnsi="Times New Roman" w:cs="Times New Roman"/>
                <w:iCs/>
                <w:color w:val="auto"/>
              </w:rPr>
              <w:t>maksimālais apmērs ir 5 milj.</w:t>
            </w:r>
            <w:r w:rsidR="003D0F93" w:rsidRPr="00C921F5">
              <w:rPr>
                <w:rFonts w:ascii="Times New Roman" w:eastAsia="Times New Roman" w:hAnsi="Times New Roman" w:cs="Times New Roman"/>
                <w:iCs/>
                <w:color w:val="auto"/>
              </w:rPr>
              <w:t xml:space="preserve"> euro</w:t>
            </w:r>
            <w:r w:rsidRPr="00C921F5">
              <w:rPr>
                <w:rFonts w:ascii="Times New Roman" w:eastAsia="Times New Roman" w:hAnsi="Times New Roman" w:cs="Times New Roman"/>
                <w:iCs/>
                <w:color w:val="auto"/>
              </w:rPr>
              <w:t>, to var saņemt gan lielie, gan mazie un vidējie komersanti. Šajā programmā atbalsts tiek sniegts esošiem investīciju un līzinga darījumiem, kā arī jauniem vai esošiem apgrozāmiem līdzekļiem. Maksimāl</w:t>
            </w:r>
            <w:r w:rsidR="00416547" w:rsidRPr="00C921F5">
              <w:rPr>
                <w:rFonts w:ascii="Times New Roman" w:eastAsia="Times New Roman" w:hAnsi="Times New Roman" w:cs="Times New Roman"/>
                <w:iCs/>
                <w:color w:val="auto"/>
              </w:rPr>
              <w:t>ais</w:t>
            </w:r>
            <w:r w:rsidRPr="00C921F5">
              <w:rPr>
                <w:rFonts w:ascii="Times New Roman" w:eastAsia="Times New Roman" w:hAnsi="Times New Roman" w:cs="Times New Roman"/>
                <w:iCs/>
                <w:color w:val="auto"/>
              </w:rPr>
              <w:t xml:space="preserve"> garantijas apmērs ir 50%. Papildus arī sabiedrība </w:t>
            </w:r>
            <w:r w:rsidR="009059B3">
              <w:rPr>
                <w:rFonts w:ascii="Times New Roman" w:eastAsia="Times New Roman" w:hAnsi="Times New Roman" w:cs="Times New Roman"/>
                <w:iCs/>
                <w:color w:val="auto"/>
              </w:rPr>
              <w:t>“</w:t>
            </w:r>
            <w:r w:rsidRPr="00C921F5">
              <w:rPr>
                <w:rFonts w:ascii="Times New Roman" w:eastAsia="Times New Roman" w:hAnsi="Times New Roman" w:cs="Times New Roman"/>
                <w:iCs/>
                <w:color w:val="auto"/>
              </w:rPr>
              <w:t>Altum</w:t>
            </w:r>
            <w:r w:rsidR="009059B3">
              <w:rPr>
                <w:rFonts w:ascii="Times New Roman" w:eastAsia="Times New Roman" w:hAnsi="Times New Roman" w:cs="Times New Roman"/>
                <w:iCs/>
                <w:color w:val="auto"/>
              </w:rPr>
              <w:t>”</w:t>
            </w:r>
            <w:r w:rsidRPr="00C921F5">
              <w:rPr>
                <w:rFonts w:ascii="Times New Roman" w:eastAsia="Times New Roman" w:hAnsi="Times New Roman" w:cs="Times New Roman"/>
                <w:iCs/>
                <w:color w:val="auto"/>
              </w:rPr>
              <w:t xml:space="preserve"> sniedz garantijas lielajiem </w:t>
            </w:r>
            <w:r w:rsidR="00E32516" w:rsidRPr="00C921F5">
              <w:rPr>
                <w:rFonts w:ascii="Times New Roman" w:eastAsia="Times New Roman" w:hAnsi="Times New Roman" w:cs="Times New Roman"/>
                <w:iCs/>
                <w:color w:val="auto"/>
              </w:rPr>
              <w:t>komersantiem</w:t>
            </w:r>
            <w:r w:rsidRPr="00C921F5">
              <w:rPr>
                <w:rFonts w:ascii="Times New Roman" w:eastAsia="Times New Roman" w:hAnsi="Times New Roman" w:cs="Times New Roman"/>
                <w:iCs/>
                <w:color w:val="auto"/>
              </w:rPr>
              <w:t xml:space="preserve"> </w:t>
            </w:r>
            <w:proofErr w:type="spellStart"/>
            <w:r w:rsidRPr="00C921F5">
              <w:rPr>
                <w:rFonts w:ascii="Times New Roman" w:eastAsia="Times New Roman" w:hAnsi="Times New Roman" w:cs="Times New Roman"/>
                <w:i/>
                <w:color w:val="auto"/>
              </w:rPr>
              <w:t>de</w:t>
            </w:r>
            <w:proofErr w:type="spellEnd"/>
            <w:r w:rsidRPr="00C921F5">
              <w:rPr>
                <w:rFonts w:ascii="Times New Roman" w:eastAsia="Times New Roman" w:hAnsi="Times New Roman" w:cs="Times New Roman"/>
                <w:i/>
                <w:color w:val="auto"/>
              </w:rPr>
              <w:t xml:space="preserve"> </w:t>
            </w:r>
            <w:proofErr w:type="spellStart"/>
            <w:r w:rsidRPr="00C921F5">
              <w:rPr>
                <w:rFonts w:ascii="Times New Roman" w:eastAsia="Times New Roman" w:hAnsi="Times New Roman" w:cs="Times New Roman"/>
                <w:i/>
                <w:color w:val="auto"/>
              </w:rPr>
              <w:t>minimis</w:t>
            </w:r>
            <w:proofErr w:type="spellEnd"/>
            <w:r w:rsidRPr="00C921F5">
              <w:rPr>
                <w:rFonts w:ascii="Times New Roman" w:eastAsia="Times New Roman" w:hAnsi="Times New Roman" w:cs="Times New Roman"/>
                <w:iCs/>
                <w:color w:val="auto"/>
              </w:rPr>
              <w:t xml:space="preserve"> atbalsta shēmas ietvaros ar 80% garantiju, bet maksimālais garantijas apmērs ir 1,5 milj.</w:t>
            </w:r>
            <w:r w:rsidR="00045B58">
              <w:rPr>
                <w:rFonts w:ascii="Times New Roman" w:eastAsia="Times New Roman" w:hAnsi="Times New Roman" w:cs="Times New Roman"/>
                <w:iCs/>
                <w:color w:val="auto"/>
              </w:rPr>
              <w:t xml:space="preserve"> </w:t>
            </w:r>
            <w:r w:rsidRPr="00C921F5">
              <w:rPr>
                <w:rFonts w:ascii="Times New Roman" w:eastAsia="Times New Roman" w:hAnsi="Times New Roman" w:cs="Times New Roman"/>
                <w:iCs/>
                <w:color w:val="auto"/>
              </w:rPr>
              <w:t xml:space="preserve">euro, t.i., saņemot maksimālo </w:t>
            </w:r>
            <w:proofErr w:type="spellStart"/>
            <w:r w:rsidRPr="00C921F5">
              <w:rPr>
                <w:rFonts w:ascii="Times New Roman" w:eastAsia="Times New Roman" w:hAnsi="Times New Roman" w:cs="Times New Roman"/>
                <w:i/>
                <w:color w:val="auto"/>
              </w:rPr>
              <w:t>de</w:t>
            </w:r>
            <w:proofErr w:type="spellEnd"/>
            <w:r w:rsidRPr="00C921F5">
              <w:rPr>
                <w:rFonts w:ascii="Times New Roman" w:eastAsia="Times New Roman" w:hAnsi="Times New Roman" w:cs="Times New Roman"/>
                <w:i/>
                <w:color w:val="auto"/>
              </w:rPr>
              <w:t xml:space="preserve"> </w:t>
            </w:r>
            <w:proofErr w:type="spellStart"/>
            <w:r w:rsidRPr="00C921F5">
              <w:rPr>
                <w:rFonts w:ascii="Times New Roman" w:eastAsia="Times New Roman" w:hAnsi="Times New Roman" w:cs="Times New Roman"/>
                <w:i/>
                <w:color w:val="auto"/>
              </w:rPr>
              <w:t>minimis</w:t>
            </w:r>
            <w:proofErr w:type="spellEnd"/>
            <w:r w:rsidRPr="00C921F5">
              <w:rPr>
                <w:rFonts w:ascii="Times New Roman" w:eastAsia="Times New Roman" w:hAnsi="Times New Roman" w:cs="Times New Roman"/>
                <w:iCs/>
                <w:color w:val="auto"/>
              </w:rPr>
              <w:t xml:space="preserve"> atbalstu 200 000 euro. Šajā programmā ir ierobežots</w:t>
            </w:r>
            <w:r w:rsidR="00416547" w:rsidRPr="00C921F5">
              <w:rPr>
                <w:rFonts w:ascii="Times New Roman" w:eastAsia="Times New Roman" w:hAnsi="Times New Roman" w:cs="Times New Roman"/>
                <w:iCs/>
                <w:color w:val="auto"/>
              </w:rPr>
              <w:t xml:space="preserve"> pieejamais</w:t>
            </w:r>
            <w:r w:rsidRPr="00C921F5">
              <w:rPr>
                <w:rFonts w:ascii="Times New Roman" w:eastAsia="Times New Roman" w:hAnsi="Times New Roman" w:cs="Times New Roman"/>
                <w:iCs/>
                <w:color w:val="auto"/>
              </w:rPr>
              <w:t xml:space="preserve"> finansējums</w:t>
            </w:r>
            <w:r w:rsidR="00416547" w:rsidRPr="00C921F5">
              <w:rPr>
                <w:rFonts w:ascii="Times New Roman" w:eastAsia="Times New Roman" w:hAnsi="Times New Roman" w:cs="Times New Roman"/>
                <w:iCs/>
                <w:color w:val="auto"/>
              </w:rPr>
              <w:t>.</w:t>
            </w:r>
          </w:p>
          <w:p w14:paraId="5B620012" w14:textId="6D739349" w:rsidR="00D35CE6" w:rsidRPr="00C921F5" w:rsidRDefault="00726398"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Lai atbalstītu dzīvotspējīgus komersantus nodrošināt nepārtrauktu saimniecisko darbību, saglabātu un palielinātu eksporta apjomus, kuriem ir radusies finansējuma nepieciešamība Covid-19 ietekmē,</w:t>
            </w:r>
            <w:r w:rsidR="00A62D53" w:rsidRPr="00C921F5">
              <w:rPr>
                <w:rFonts w:ascii="Times New Roman" w:eastAsia="Times New Roman" w:hAnsi="Times New Roman" w:cs="Times New Roman"/>
                <w:iCs/>
                <w:color w:val="auto"/>
              </w:rPr>
              <w:t xml:space="preserve"> kā arī lai veicinātu kredītiestādes sniegt </w:t>
            </w:r>
            <w:r w:rsidR="00416547" w:rsidRPr="00C921F5">
              <w:rPr>
                <w:rFonts w:ascii="Times New Roman" w:eastAsia="Times New Roman" w:hAnsi="Times New Roman" w:cs="Times New Roman"/>
                <w:iCs/>
                <w:color w:val="auto"/>
              </w:rPr>
              <w:t xml:space="preserve">finansējumu </w:t>
            </w:r>
            <w:r w:rsidR="00A62D53" w:rsidRPr="00C921F5">
              <w:rPr>
                <w:rFonts w:ascii="Times New Roman" w:eastAsia="Times New Roman" w:hAnsi="Times New Roman" w:cs="Times New Roman"/>
                <w:iCs/>
                <w:color w:val="auto"/>
              </w:rPr>
              <w:t>gan investīciju, gan apgrozāmo līdzekļu veidā lielajiem komersantiem,</w:t>
            </w:r>
            <w:r w:rsidR="00C27354" w:rsidRPr="00C921F5">
              <w:rPr>
                <w:rFonts w:ascii="Times New Roman" w:eastAsia="Times New Roman" w:hAnsi="Times New Roman" w:cs="Times New Roman"/>
                <w:iCs/>
                <w:color w:val="auto"/>
              </w:rPr>
              <w:t xml:space="preserve"> tādējādi stabilizējot Latvijas ekonomisko aktivitāti, veicinot stratēģisku</w:t>
            </w:r>
            <w:r w:rsidR="00A74203" w:rsidRPr="00C921F5">
              <w:rPr>
                <w:rFonts w:ascii="Times New Roman" w:eastAsia="Times New Roman" w:hAnsi="Times New Roman" w:cs="Times New Roman"/>
                <w:iCs/>
                <w:color w:val="auto"/>
              </w:rPr>
              <w:t xml:space="preserve">, nobriedušu un inovatīvu </w:t>
            </w:r>
            <w:r w:rsidR="00C27354" w:rsidRPr="00C921F5">
              <w:rPr>
                <w:rFonts w:ascii="Times New Roman" w:eastAsia="Times New Roman" w:hAnsi="Times New Roman" w:cs="Times New Roman"/>
                <w:iCs/>
                <w:color w:val="auto"/>
              </w:rPr>
              <w:t>investīciju projektu “neiesaldēšanu”</w:t>
            </w:r>
            <w:r w:rsidR="00A62D53" w:rsidRPr="00C921F5">
              <w:rPr>
                <w:rFonts w:ascii="Times New Roman" w:eastAsia="Times New Roman" w:hAnsi="Times New Roman" w:cs="Times New Roman"/>
                <w:iCs/>
                <w:color w:val="auto"/>
              </w:rPr>
              <w:t xml:space="preserve"> </w:t>
            </w:r>
            <w:r w:rsidR="00C27354" w:rsidRPr="00C921F5">
              <w:rPr>
                <w:rFonts w:ascii="Times New Roman" w:eastAsia="Times New Roman" w:hAnsi="Times New Roman" w:cs="Times New Roman"/>
                <w:iCs/>
                <w:color w:val="auto"/>
              </w:rPr>
              <w:t xml:space="preserve">un </w:t>
            </w:r>
            <w:r w:rsidR="000C7F31" w:rsidRPr="00C921F5">
              <w:rPr>
                <w:rFonts w:ascii="Times New Roman" w:eastAsia="Times New Roman" w:hAnsi="Times New Roman" w:cs="Times New Roman"/>
                <w:iCs/>
                <w:color w:val="auto"/>
              </w:rPr>
              <w:t>tautsaimniecības izaugsmes potenciāla saglabāšanu</w:t>
            </w:r>
            <w:r w:rsidR="000C7F31" w:rsidRPr="00F7299C">
              <w:rPr>
                <w:rFonts w:ascii="Times New Roman" w:eastAsia="Times New Roman" w:hAnsi="Times New Roman" w:cs="Times New Roman"/>
                <w:iCs/>
                <w:color w:val="auto"/>
              </w:rPr>
              <w:t>,</w:t>
            </w:r>
            <w:r w:rsidRPr="00F7299C">
              <w:rPr>
                <w:rFonts w:ascii="Times New Roman" w:eastAsia="Times New Roman" w:hAnsi="Times New Roman" w:cs="Times New Roman"/>
                <w:iCs/>
                <w:color w:val="auto"/>
              </w:rPr>
              <w:t xml:space="preserve"> Ekonomikas ministrija</w:t>
            </w:r>
            <w:r w:rsidR="003D0F93" w:rsidRPr="00F7299C">
              <w:rPr>
                <w:rFonts w:ascii="Times New Roman" w:eastAsia="Times New Roman" w:hAnsi="Times New Roman" w:cs="Times New Roman"/>
                <w:iCs/>
                <w:color w:val="auto"/>
              </w:rPr>
              <w:t xml:space="preserve"> sadarbībā</w:t>
            </w:r>
            <w:r w:rsidR="00024EF9" w:rsidRPr="00F7299C">
              <w:rPr>
                <w:rFonts w:ascii="Times New Roman" w:eastAsia="Times New Roman" w:hAnsi="Times New Roman" w:cs="Times New Roman"/>
                <w:iCs/>
                <w:color w:val="auto"/>
              </w:rPr>
              <w:t xml:space="preserve"> ar</w:t>
            </w:r>
            <w:r w:rsidR="003D0F93" w:rsidRPr="00F7299C">
              <w:rPr>
                <w:rFonts w:ascii="Times New Roman" w:eastAsia="Times New Roman" w:hAnsi="Times New Roman" w:cs="Times New Roman"/>
                <w:iCs/>
                <w:color w:val="auto"/>
              </w:rPr>
              <w:t xml:space="preserve"> </w:t>
            </w:r>
            <w:r w:rsidR="003D0F93" w:rsidRPr="00F7299C">
              <w:rPr>
                <w:rFonts w:ascii="Times New Roman" w:eastAsia="Times New Roman" w:hAnsi="Times New Roman" w:cs="Times New Roman"/>
                <w:lang w:eastAsia="lv-LV"/>
              </w:rPr>
              <w:t>sabiedrību “Altum”</w:t>
            </w:r>
            <w:r w:rsidRPr="00F7299C">
              <w:rPr>
                <w:rFonts w:ascii="Times New Roman" w:eastAsia="Times New Roman" w:hAnsi="Times New Roman" w:cs="Times New Roman"/>
                <w:iCs/>
                <w:color w:val="auto"/>
              </w:rPr>
              <w:t xml:space="preserve"> ir izstrādājusi garantiju programmu lielajiem komersantiem, kuru </w:t>
            </w:r>
            <w:r w:rsidR="00024EF9" w:rsidRPr="00F7299C">
              <w:rPr>
                <w:rFonts w:ascii="Times New Roman" w:eastAsia="Times New Roman" w:hAnsi="Times New Roman" w:cs="Times New Roman"/>
                <w:lang w:eastAsia="lv-LV"/>
              </w:rPr>
              <w:t xml:space="preserve">eksporta apjoms ir vismaz 30% no apgrozījuma un aizņēmējiem, kas pārceļ darbību uz Latviju </w:t>
            </w:r>
            <w:r w:rsidR="00B835B4" w:rsidRPr="00F7299C">
              <w:rPr>
                <w:rFonts w:ascii="Times New Roman" w:eastAsia="Times New Roman" w:hAnsi="Times New Roman" w:cs="Times New Roman"/>
                <w:lang w:eastAsia="lv-LV"/>
              </w:rPr>
              <w:t xml:space="preserve">no valsts ārpus Eiropas Ekonomiskās zonas </w:t>
            </w:r>
            <w:r w:rsidR="00024EF9" w:rsidRPr="00F7299C">
              <w:rPr>
                <w:rFonts w:ascii="Times New Roman" w:eastAsia="Times New Roman" w:hAnsi="Times New Roman" w:cs="Times New Roman"/>
                <w:lang w:eastAsia="lv-LV"/>
              </w:rPr>
              <w:t>vai uzsāk jaunu saimniecisko darbību Latvijā, plānotais eksporta apjoms</w:t>
            </w:r>
            <w:r w:rsidR="00B835B4" w:rsidRPr="00F7299C">
              <w:rPr>
                <w:rFonts w:ascii="Times New Roman" w:eastAsia="Times New Roman" w:hAnsi="Times New Roman" w:cs="Times New Roman"/>
                <w:lang w:eastAsia="lv-LV"/>
              </w:rPr>
              <w:t xml:space="preserve"> turpmākajos divos gados</w:t>
            </w:r>
            <w:r w:rsidR="00024EF9" w:rsidRPr="00F7299C">
              <w:rPr>
                <w:rFonts w:ascii="Times New Roman" w:eastAsia="Times New Roman" w:hAnsi="Times New Roman" w:cs="Times New Roman"/>
                <w:lang w:eastAsia="lv-LV"/>
              </w:rPr>
              <w:t xml:space="preserve"> ir vismaz 50% no apgrozījuma</w:t>
            </w:r>
            <w:r w:rsidRPr="00F7299C">
              <w:rPr>
                <w:rFonts w:ascii="Times New Roman" w:eastAsia="Times New Roman" w:hAnsi="Times New Roman" w:cs="Times New Roman"/>
                <w:iCs/>
                <w:color w:val="auto"/>
              </w:rPr>
              <w:t xml:space="preserve">. </w:t>
            </w:r>
            <w:r w:rsidR="00F7299C">
              <w:rPr>
                <w:rFonts w:ascii="Times New Roman" w:eastAsia="Times New Roman" w:hAnsi="Times New Roman" w:cs="Times New Roman"/>
                <w:iCs/>
                <w:color w:val="auto"/>
              </w:rPr>
              <w:t>Esošo p</w:t>
            </w:r>
            <w:r w:rsidR="00F7299C" w:rsidRPr="00AC105D">
              <w:rPr>
                <w:rFonts w:ascii="Times New Roman" w:eastAsia="Times New Roman" w:hAnsi="Times New Roman" w:cs="Times New Roman"/>
                <w:iCs/>
                <w:color w:val="auto"/>
              </w:rPr>
              <w:t xml:space="preserve">rocentuālo apjomu no apgrozījuma sabiedrība </w:t>
            </w:r>
            <w:r w:rsidR="00F7299C">
              <w:rPr>
                <w:rFonts w:ascii="Times New Roman" w:eastAsia="Times New Roman" w:hAnsi="Times New Roman" w:cs="Times New Roman"/>
                <w:iCs/>
                <w:color w:val="auto"/>
              </w:rPr>
              <w:t>“</w:t>
            </w:r>
            <w:r w:rsidR="00F7299C" w:rsidRPr="00AC105D">
              <w:rPr>
                <w:rFonts w:ascii="Times New Roman" w:eastAsia="Times New Roman" w:hAnsi="Times New Roman" w:cs="Times New Roman"/>
                <w:iCs/>
                <w:color w:val="auto"/>
              </w:rPr>
              <w:t>Altum</w:t>
            </w:r>
            <w:r w:rsidR="00F7299C">
              <w:rPr>
                <w:rFonts w:ascii="Times New Roman" w:eastAsia="Times New Roman" w:hAnsi="Times New Roman" w:cs="Times New Roman"/>
                <w:iCs/>
                <w:color w:val="auto"/>
              </w:rPr>
              <w:t>”</w:t>
            </w:r>
            <w:r w:rsidR="00F7299C" w:rsidRPr="00AC105D">
              <w:rPr>
                <w:rFonts w:ascii="Times New Roman" w:eastAsia="Times New Roman" w:hAnsi="Times New Roman" w:cs="Times New Roman"/>
                <w:iCs/>
                <w:color w:val="auto"/>
              </w:rPr>
              <w:t xml:space="preserve"> var pārliecināties, pieprasot Valsts ieņēmuma dienesta Pievienotās vērtības deklarāciju</w:t>
            </w:r>
            <w:r w:rsidR="00F7299C">
              <w:rPr>
                <w:rFonts w:ascii="Times New Roman" w:eastAsia="Times New Roman" w:hAnsi="Times New Roman" w:cs="Times New Roman"/>
                <w:iCs/>
                <w:color w:val="auto"/>
              </w:rPr>
              <w:t>, savukārt plānoto no Iesniedzēja biznesa plāna kredītiestādē</w:t>
            </w:r>
            <w:r w:rsidR="00F7299C" w:rsidRPr="00AC105D">
              <w:rPr>
                <w:rFonts w:ascii="Times New Roman" w:eastAsia="Times New Roman" w:hAnsi="Times New Roman" w:cs="Times New Roman"/>
                <w:iCs/>
                <w:color w:val="auto"/>
              </w:rPr>
              <w:t>.</w:t>
            </w:r>
            <w:r w:rsidR="00F7299C">
              <w:rPr>
                <w:rFonts w:ascii="Times New Roman" w:eastAsia="Times New Roman" w:hAnsi="Times New Roman" w:cs="Times New Roman"/>
                <w:iCs/>
                <w:color w:val="auto"/>
              </w:rPr>
              <w:t xml:space="preserve"> </w:t>
            </w:r>
            <w:r w:rsidR="00254AB5" w:rsidRPr="009059B3">
              <w:rPr>
                <w:rFonts w:ascii="Times New Roman" w:eastAsia="Times New Roman" w:hAnsi="Times New Roman" w:cs="Times New Roman"/>
                <w:iCs/>
                <w:color w:val="auto"/>
              </w:rPr>
              <w:t>Jāatzīmē, ka ar lielajiem uzņēmumiem šajā MK Noteikumu projektā tiek saprasti komersanti, kas atbilst Eiropas Komisijas regulām par lielo komersantu definīciju (skat.</w:t>
            </w:r>
            <w:r w:rsidR="009059B3">
              <w:rPr>
                <w:rFonts w:ascii="Times New Roman" w:eastAsia="Times New Roman" w:hAnsi="Times New Roman" w:cs="Times New Roman"/>
                <w:iCs/>
                <w:color w:val="auto"/>
              </w:rPr>
              <w:t xml:space="preserve"> </w:t>
            </w:r>
            <w:r w:rsidR="00254AB5" w:rsidRPr="009059B3">
              <w:rPr>
                <w:rFonts w:ascii="Times New Roman" w:eastAsia="Times New Roman" w:hAnsi="Times New Roman" w:cs="Times New Roman"/>
                <w:iCs/>
                <w:color w:val="auto"/>
              </w:rPr>
              <w:t>MK Noteikumu projekta 4.3.punktu)</w:t>
            </w:r>
            <w:r w:rsidR="009059B3">
              <w:rPr>
                <w:rFonts w:ascii="Times New Roman" w:eastAsia="Times New Roman" w:hAnsi="Times New Roman" w:cs="Times New Roman"/>
                <w:iCs/>
                <w:color w:val="auto"/>
              </w:rPr>
              <w:t xml:space="preserve">. </w:t>
            </w:r>
          </w:p>
          <w:p w14:paraId="087A650B" w14:textId="478CA926" w:rsidR="00CE6143" w:rsidRPr="00104E86" w:rsidRDefault="00AC105D" w:rsidP="00CE6143">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lastRenderedPageBreak/>
              <w:t xml:space="preserve">Paredzēts, ka garantijas tiks sniegtas par šādiem kredītiestādes finanšu pakalpojumiem - aizdevums investīciju veikšanai; aizdevums apgrozāmo līdzekļu finansēšanai, t. sk., kredītlimiti (kredītlīnijas un </w:t>
            </w:r>
            <w:proofErr w:type="spellStart"/>
            <w:r w:rsidRPr="00C921F5">
              <w:rPr>
                <w:rFonts w:ascii="Times New Roman" w:eastAsia="Times New Roman" w:hAnsi="Times New Roman" w:cs="Times New Roman"/>
                <w:iCs/>
                <w:color w:val="auto"/>
              </w:rPr>
              <w:t>overdrafti</w:t>
            </w:r>
            <w:proofErr w:type="spellEnd"/>
            <w:r w:rsidRPr="00C921F5">
              <w:rPr>
                <w:rFonts w:ascii="Times New Roman" w:eastAsia="Times New Roman" w:hAnsi="Times New Roman" w:cs="Times New Roman"/>
                <w:iCs/>
                <w:color w:val="auto"/>
              </w:rPr>
              <w:t>) un  finanšu līzings, finanšu līzinga limiti. Garantijas piešķirs par jauniem un esošiem finanšu pakalpojumiem. Garantija sedz līdz 90 % no neatmaksātās finansējuma pamatsummas jauniem finanšu pakalpojumiem, savukārt par esošiem garantija tiks sniegta līdz 90 % no atliktās pamatsummas</w:t>
            </w:r>
            <w:r>
              <w:rPr>
                <w:rFonts w:ascii="Times New Roman" w:eastAsia="Times New Roman" w:hAnsi="Times New Roman" w:cs="Times New Roman"/>
                <w:iCs/>
                <w:color w:val="auto"/>
              </w:rPr>
              <w:t xml:space="preserve">. </w:t>
            </w:r>
            <w:r w:rsidRPr="00130C79">
              <w:rPr>
                <w:rFonts w:ascii="Times New Roman" w:eastAsia="Times New Roman" w:hAnsi="Times New Roman" w:cs="Times New Roman"/>
                <w:iCs/>
                <w:color w:val="auto"/>
              </w:rPr>
              <w:t>Esošiem finanšu pakalpojumiem garantiju var piesaistīt, ja kredītiestāde atliek pamatsummas maksājumu vismaz par 12 mēnešiem</w:t>
            </w:r>
            <w:r w:rsidR="00B835B4">
              <w:rPr>
                <w:rFonts w:ascii="Times New Roman" w:eastAsia="Times New Roman" w:hAnsi="Times New Roman" w:cs="Times New Roman"/>
                <w:iCs/>
                <w:color w:val="auto"/>
              </w:rPr>
              <w:t xml:space="preserve"> un /vai pagarina termiņu</w:t>
            </w:r>
            <w:r w:rsidRPr="00130C79">
              <w:rPr>
                <w:rFonts w:ascii="Times New Roman" w:eastAsia="Times New Roman" w:hAnsi="Times New Roman" w:cs="Times New Roman"/>
                <w:iCs/>
                <w:color w:val="auto"/>
              </w:rPr>
              <w:t xml:space="preserve">, un tādā gadījumā par šo atlikto </w:t>
            </w:r>
            <w:r w:rsidRPr="00FA4414">
              <w:rPr>
                <w:rFonts w:ascii="Times New Roman" w:eastAsia="Times New Roman" w:hAnsi="Times New Roman" w:cs="Times New Roman"/>
                <w:iCs/>
                <w:color w:val="auto"/>
              </w:rPr>
              <w:t>pamatsummu</w:t>
            </w:r>
            <w:r w:rsidR="00045B58">
              <w:rPr>
                <w:rFonts w:ascii="Times New Roman" w:eastAsia="Times New Roman" w:hAnsi="Times New Roman" w:cs="Times New Roman"/>
                <w:iCs/>
                <w:color w:val="auto"/>
              </w:rPr>
              <w:t xml:space="preserve"> </w:t>
            </w:r>
            <w:r w:rsidRPr="00FA4414">
              <w:rPr>
                <w:rFonts w:ascii="Times New Roman" w:eastAsia="Times New Roman" w:hAnsi="Times New Roman" w:cs="Times New Roman"/>
                <w:iCs/>
                <w:color w:val="auto"/>
              </w:rPr>
              <w:t xml:space="preserve">var saņemt sabiedrības “Altum” garantiju līdz maksimālajam termiņam, t.i., </w:t>
            </w:r>
            <w:r w:rsidR="00B835B4">
              <w:rPr>
                <w:rFonts w:ascii="Times New Roman" w:eastAsia="Times New Roman" w:hAnsi="Times New Roman" w:cs="Times New Roman"/>
                <w:iCs/>
                <w:color w:val="auto"/>
              </w:rPr>
              <w:t>8</w:t>
            </w:r>
            <w:r w:rsidR="00B835B4" w:rsidRPr="00FA4414">
              <w:rPr>
                <w:rFonts w:ascii="Times New Roman" w:eastAsia="Times New Roman" w:hAnsi="Times New Roman" w:cs="Times New Roman"/>
                <w:iCs/>
                <w:color w:val="auto"/>
              </w:rPr>
              <w:t xml:space="preserve"> </w:t>
            </w:r>
            <w:r w:rsidRPr="00FA4414">
              <w:rPr>
                <w:rFonts w:ascii="Times New Roman" w:eastAsia="Times New Roman" w:hAnsi="Times New Roman" w:cs="Times New Roman"/>
                <w:iCs/>
                <w:color w:val="auto"/>
              </w:rPr>
              <w:t xml:space="preserve">gadiem (finansējuma apjomu, par kuru ir piešķirtas </w:t>
            </w:r>
            <w:proofErr w:type="spellStart"/>
            <w:r w:rsidRPr="00FA4414">
              <w:rPr>
                <w:rFonts w:ascii="Times New Roman" w:eastAsia="Times New Roman" w:hAnsi="Times New Roman" w:cs="Times New Roman"/>
                <w:iCs/>
                <w:color w:val="auto"/>
              </w:rPr>
              <w:t>kredītbrīvdienas</w:t>
            </w:r>
            <w:proofErr w:type="spellEnd"/>
            <w:r w:rsidRPr="00FA4414">
              <w:rPr>
                <w:rFonts w:ascii="Times New Roman" w:eastAsia="Times New Roman" w:hAnsi="Times New Roman" w:cs="Times New Roman"/>
                <w:iCs/>
                <w:color w:val="auto"/>
              </w:rPr>
              <w:t>, piemērs – finansējuma līguma atlikums ir 100 000 euro</w:t>
            </w:r>
            <w:r w:rsidR="00C67534" w:rsidRPr="00FA4414">
              <w:rPr>
                <w:rFonts w:ascii="Times New Roman" w:eastAsia="Times New Roman" w:hAnsi="Times New Roman" w:cs="Times New Roman"/>
                <w:iCs/>
              </w:rPr>
              <w:t xml:space="preserve"> un 5 gadi termiņš</w:t>
            </w:r>
            <w:r w:rsidR="00045B58">
              <w:rPr>
                <w:rFonts w:ascii="Times New Roman" w:eastAsia="Times New Roman" w:hAnsi="Times New Roman" w:cs="Times New Roman"/>
                <w:iCs/>
              </w:rPr>
              <w:t xml:space="preserve"> </w:t>
            </w:r>
            <w:r w:rsidRPr="00FA4414">
              <w:rPr>
                <w:rFonts w:ascii="Times New Roman" w:eastAsia="Times New Roman" w:hAnsi="Times New Roman" w:cs="Times New Roman"/>
                <w:iCs/>
                <w:color w:val="auto"/>
              </w:rPr>
              <w:t xml:space="preserve">tiek atlikta pamatsumma uz vienu gadu, </w:t>
            </w:r>
            <w:r w:rsidR="00C67534" w:rsidRPr="00FA4414">
              <w:rPr>
                <w:rFonts w:ascii="Times New Roman" w:eastAsia="Times New Roman" w:hAnsi="Times New Roman" w:cs="Times New Roman"/>
                <w:iCs/>
              </w:rPr>
              <w:t>attiecīgi maksājumi kopsummā par 20 000 euro, tad garantija būtu 18 000 euro (90% no 20 000 euro)</w:t>
            </w:r>
            <w:r w:rsidRPr="00FA4414">
              <w:rPr>
                <w:rFonts w:ascii="Times New Roman" w:eastAsia="Times New Roman" w:hAnsi="Times New Roman" w:cs="Times New Roman"/>
                <w:iCs/>
                <w:color w:val="auto"/>
              </w:rPr>
              <w:t xml:space="preserve">. Finanšu pakalpojuma summa, ko sedz garantija, nepārsniedz 25 % no komersanta 2019.gada kopējā apgrozījuma. </w:t>
            </w:r>
            <w:r w:rsidR="00C67534" w:rsidRPr="00FA4414">
              <w:rPr>
                <w:rFonts w:ascii="Times New Roman" w:eastAsia="Times New Roman" w:hAnsi="Times New Roman" w:cs="Times New Roman"/>
                <w:color w:val="000000" w:themeColor="text1"/>
                <w:lang w:eastAsia="lv-LV"/>
              </w:rPr>
              <w:t xml:space="preserve">Jauniem finanšu pakalpojumiem minimālā garantija ir 1 500 000 </w:t>
            </w:r>
            <w:r w:rsidR="00C67534" w:rsidRPr="00FA4414">
              <w:rPr>
                <w:rFonts w:ascii="Times New Roman" w:eastAsia="Times New Roman" w:hAnsi="Times New Roman" w:cs="Times New Roman"/>
                <w:i/>
                <w:iCs/>
                <w:color w:val="000000" w:themeColor="text1"/>
                <w:lang w:eastAsia="lv-LV"/>
              </w:rPr>
              <w:t>euro</w:t>
            </w:r>
            <w:r w:rsidR="00C67534" w:rsidRPr="00FA4414">
              <w:rPr>
                <w:rFonts w:ascii="Times New Roman" w:eastAsia="Times New Roman" w:hAnsi="Times New Roman" w:cs="Times New Roman"/>
                <w:color w:val="000000" w:themeColor="text1"/>
                <w:lang w:eastAsia="lv-LV"/>
              </w:rPr>
              <w:t xml:space="preserve">, savukārt maksimālā garantija komersantam un tā saistītai personu grupai ir 15 000 000 </w:t>
            </w:r>
            <w:r w:rsidR="00C67534" w:rsidRPr="00FA4414">
              <w:rPr>
                <w:rFonts w:ascii="Times New Roman" w:eastAsia="Times New Roman" w:hAnsi="Times New Roman" w:cs="Times New Roman"/>
                <w:i/>
                <w:iCs/>
                <w:color w:val="000000" w:themeColor="text1"/>
                <w:lang w:eastAsia="lv-LV"/>
              </w:rPr>
              <w:t>euro</w:t>
            </w:r>
            <w:r w:rsidR="00C67534" w:rsidRPr="00FA4414">
              <w:rPr>
                <w:rFonts w:ascii="Times New Roman" w:eastAsia="Times New Roman" w:hAnsi="Times New Roman" w:cs="Times New Roman"/>
                <w:color w:val="000000" w:themeColor="text1"/>
                <w:lang w:eastAsia="lv-LV"/>
              </w:rPr>
              <w:t xml:space="preserve">. Atliktai pamatsummai minimālais finanšu pakalpojuma atlikums ir 10 000 000  </w:t>
            </w:r>
            <w:r w:rsidR="00C67534" w:rsidRPr="00FA4414">
              <w:rPr>
                <w:rFonts w:ascii="Times New Roman" w:eastAsia="Times New Roman" w:hAnsi="Times New Roman" w:cs="Times New Roman"/>
                <w:i/>
                <w:iCs/>
                <w:color w:val="000000" w:themeColor="text1"/>
                <w:lang w:eastAsia="lv-LV"/>
              </w:rPr>
              <w:t>euro</w:t>
            </w:r>
            <w:r w:rsidR="00C67534" w:rsidRPr="00FA4414">
              <w:rPr>
                <w:rFonts w:ascii="Times New Roman" w:eastAsia="Times New Roman" w:hAnsi="Times New Roman" w:cs="Times New Roman"/>
                <w:color w:val="000000" w:themeColor="text1"/>
                <w:lang w:eastAsia="lv-LV"/>
              </w:rPr>
              <w:t xml:space="preserve"> , savukārt maksimālā garantija komersantam un tā saistītai personu grupai ir 15 000 000 </w:t>
            </w:r>
            <w:r w:rsidR="00C67534" w:rsidRPr="00FA4414">
              <w:rPr>
                <w:rFonts w:ascii="Times New Roman" w:eastAsia="Times New Roman" w:hAnsi="Times New Roman" w:cs="Times New Roman"/>
                <w:i/>
                <w:iCs/>
                <w:color w:val="000000" w:themeColor="text1"/>
                <w:lang w:eastAsia="lv-LV"/>
              </w:rPr>
              <w:t>euro</w:t>
            </w:r>
            <w:r w:rsidR="00C67534" w:rsidRPr="00FA4414">
              <w:rPr>
                <w:rFonts w:ascii="Times New Roman" w:eastAsia="Times New Roman" w:hAnsi="Times New Roman" w:cs="Times New Roman"/>
                <w:color w:val="000000" w:themeColor="text1"/>
                <w:lang w:eastAsia="lv-LV"/>
              </w:rPr>
              <w:t>.</w:t>
            </w:r>
            <w:r w:rsidR="00CB48BB">
              <w:rPr>
                <w:rFonts w:ascii="Times New Roman" w:eastAsia="Times New Roman" w:hAnsi="Times New Roman" w:cs="Times New Roman"/>
                <w:color w:val="000000" w:themeColor="text1"/>
                <w:lang w:eastAsia="lv-LV"/>
              </w:rPr>
              <w:t xml:space="preserve"> </w:t>
            </w:r>
            <w:r w:rsidRPr="00FA4414">
              <w:rPr>
                <w:rFonts w:ascii="Times New Roman" w:eastAsia="Times New Roman" w:hAnsi="Times New Roman" w:cs="Times New Roman"/>
                <w:iCs/>
                <w:color w:val="auto"/>
              </w:rPr>
              <w:t xml:space="preserve">Maksimālais garantijas termiņš ir līdz </w:t>
            </w:r>
            <w:r w:rsidR="00D613AD">
              <w:rPr>
                <w:rFonts w:ascii="Times New Roman" w:eastAsia="Times New Roman" w:hAnsi="Times New Roman" w:cs="Times New Roman"/>
                <w:iCs/>
                <w:color w:val="auto"/>
              </w:rPr>
              <w:t>8</w:t>
            </w:r>
            <w:r w:rsidR="00D613AD" w:rsidRPr="00FA4414">
              <w:rPr>
                <w:rFonts w:ascii="Times New Roman" w:eastAsia="Times New Roman" w:hAnsi="Times New Roman" w:cs="Times New Roman"/>
                <w:iCs/>
                <w:color w:val="auto"/>
              </w:rPr>
              <w:t xml:space="preserve"> </w:t>
            </w:r>
            <w:r w:rsidRPr="00FA4414">
              <w:rPr>
                <w:rFonts w:ascii="Times New Roman" w:eastAsia="Times New Roman" w:hAnsi="Times New Roman" w:cs="Times New Roman"/>
                <w:iCs/>
                <w:color w:val="auto"/>
              </w:rPr>
              <w:t>(</w:t>
            </w:r>
            <w:r w:rsidR="00D613AD">
              <w:rPr>
                <w:rFonts w:ascii="Times New Roman" w:eastAsia="Times New Roman" w:hAnsi="Times New Roman" w:cs="Times New Roman"/>
                <w:iCs/>
                <w:color w:val="auto"/>
              </w:rPr>
              <w:t>astoņiem</w:t>
            </w:r>
            <w:r w:rsidRPr="00FA4414">
              <w:rPr>
                <w:rFonts w:ascii="Times New Roman" w:eastAsia="Times New Roman" w:hAnsi="Times New Roman" w:cs="Times New Roman"/>
                <w:iCs/>
                <w:color w:val="auto"/>
              </w:rPr>
              <w:t xml:space="preserve">) gadiem.  </w:t>
            </w:r>
            <w:r w:rsidR="00B835B4">
              <w:rPr>
                <w:rFonts w:ascii="Times New Roman" w:eastAsia="Times New Roman" w:hAnsi="Times New Roman" w:cs="Times New Roman"/>
                <w:iCs/>
                <w:color w:val="auto"/>
              </w:rPr>
              <w:t>Garantiju</w:t>
            </w:r>
            <w:r w:rsidRPr="00FA4414">
              <w:rPr>
                <w:rFonts w:ascii="Times New Roman" w:eastAsia="Times New Roman" w:hAnsi="Times New Roman" w:cs="Times New Roman"/>
                <w:iCs/>
                <w:color w:val="auto"/>
              </w:rPr>
              <w:t xml:space="preserve"> prēmijas </w:t>
            </w:r>
            <w:r w:rsidR="00B835B4">
              <w:rPr>
                <w:rFonts w:ascii="Times New Roman" w:eastAsia="Times New Roman" w:hAnsi="Times New Roman" w:cs="Times New Roman"/>
                <w:iCs/>
                <w:color w:val="auto"/>
              </w:rPr>
              <w:t>ir noteiktas MK</w:t>
            </w:r>
            <w:r w:rsidR="00FA4038">
              <w:rPr>
                <w:rFonts w:ascii="Times New Roman" w:eastAsia="Times New Roman" w:hAnsi="Times New Roman" w:cs="Times New Roman"/>
                <w:iCs/>
                <w:color w:val="auto"/>
              </w:rPr>
              <w:t xml:space="preserve"> </w:t>
            </w:r>
            <w:r w:rsidR="00B835B4">
              <w:rPr>
                <w:rFonts w:ascii="Times New Roman" w:eastAsia="Times New Roman" w:hAnsi="Times New Roman" w:cs="Times New Roman"/>
                <w:iCs/>
                <w:color w:val="auto"/>
              </w:rPr>
              <w:t>N</w:t>
            </w:r>
            <w:r w:rsidR="00FA4038">
              <w:rPr>
                <w:rFonts w:ascii="Times New Roman" w:eastAsia="Times New Roman" w:hAnsi="Times New Roman" w:cs="Times New Roman"/>
                <w:iCs/>
                <w:color w:val="auto"/>
              </w:rPr>
              <w:t>oteikumu projekta</w:t>
            </w:r>
            <w:r w:rsidR="00B835B4">
              <w:rPr>
                <w:rFonts w:ascii="Times New Roman" w:eastAsia="Times New Roman" w:hAnsi="Times New Roman" w:cs="Times New Roman"/>
                <w:iCs/>
                <w:color w:val="auto"/>
              </w:rPr>
              <w:t xml:space="preserve"> pielikumā</w:t>
            </w:r>
            <w:r w:rsidR="00CE6143">
              <w:rPr>
                <w:rFonts w:ascii="Times New Roman" w:eastAsia="Times New Roman" w:hAnsi="Times New Roman" w:cs="Times New Roman"/>
                <w:iCs/>
                <w:color w:val="auto"/>
              </w:rPr>
              <w:t xml:space="preserve">, </w:t>
            </w:r>
            <w:r w:rsidR="00CE6143" w:rsidRPr="00104E86">
              <w:rPr>
                <w:rFonts w:ascii="Times New Roman" w:eastAsia="Times New Roman" w:hAnsi="Times New Roman" w:cs="Times New Roman"/>
                <w:iCs/>
                <w:color w:val="auto"/>
              </w:rPr>
              <w:t>ievērojot šādus nosacījumus:</w:t>
            </w:r>
          </w:p>
          <w:p w14:paraId="5A830886" w14:textId="2641B69C" w:rsidR="00CE6143" w:rsidRPr="009059B3" w:rsidRDefault="00CE6143" w:rsidP="00CE6143">
            <w:pPr>
              <w:pStyle w:val="Default"/>
              <w:spacing w:after="60"/>
              <w:jc w:val="both"/>
              <w:rPr>
                <w:rFonts w:ascii="Times New Roman" w:eastAsia="Times New Roman" w:hAnsi="Times New Roman" w:cs="Times New Roman"/>
                <w:iCs/>
                <w:color w:val="auto"/>
              </w:rPr>
            </w:pPr>
            <w:r w:rsidRPr="009059B3">
              <w:rPr>
                <w:rFonts w:ascii="Times New Roman" w:eastAsia="Times New Roman" w:hAnsi="Times New Roman" w:cs="Times New Roman"/>
                <w:iCs/>
                <w:color w:val="auto"/>
              </w:rPr>
              <w:t xml:space="preserve">1. </w:t>
            </w:r>
            <w:r w:rsidR="00F7299C" w:rsidRPr="009059B3">
              <w:rPr>
                <w:rFonts w:ascii="Times New Roman" w:eastAsia="Times New Roman" w:hAnsi="Times New Roman" w:cs="Times New Roman"/>
                <w:iCs/>
                <w:color w:val="auto"/>
              </w:rPr>
              <w:t>g</w:t>
            </w:r>
            <w:r w:rsidRPr="009059B3">
              <w:rPr>
                <w:rFonts w:ascii="Times New Roman" w:eastAsia="Times New Roman" w:hAnsi="Times New Roman" w:cs="Times New Roman"/>
                <w:iCs/>
                <w:color w:val="auto"/>
              </w:rPr>
              <w:t>arantijas apmērs tiek noteikts sākotnēji  70% vai 90% apmērā un tas garantijas termiņa laikā nav maināms; Garantijas apmēru var ierosināt komersants,  banka, kā arī sabiedrība Altum izvērtējot pieteikumu saskaņā ar tās kredītpolitiku, ņemot vērā projekta riskus, finansiālo situāciju utt.</w:t>
            </w:r>
          </w:p>
          <w:p w14:paraId="6FEAD8FD" w14:textId="77777777" w:rsidR="00CE6143" w:rsidRPr="009059B3" w:rsidRDefault="00CE6143" w:rsidP="00CE6143">
            <w:pPr>
              <w:pStyle w:val="Default"/>
              <w:spacing w:after="60"/>
              <w:jc w:val="both"/>
              <w:rPr>
                <w:rFonts w:ascii="Times New Roman" w:eastAsia="Times New Roman" w:hAnsi="Times New Roman" w:cs="Times New Roman"/>
                <w:iCs/>
                <w:color w:val="auto"/>
              </w:rPr>
            </w:pPr>
            <w:r w:rsidRPr="009059B3">
              <w:rPr>
                <w:rFonts w:ascii="Times New Roman" w:eastAsia="Times New Roman" w:hAnsi="Times New Roman" w:cs="Times New Roman"/>
                <w:iCs/>
                <w:color w:val="auto"/>
              </w:rPr>
              <w:t>2. ja sākotnēji tiek noteikts, ka garantijas termiņš ir līdz sešiem gadiem, ieskaitot pagarinājumus un tiek piemērota garantijas prēmija saskaņā ar pielikuma pirmo tabulu, garantiju nevar pagarināt uz garāku termiņu par sešiem gadiem.</w:t>
            </w:r>
          </w:p>
          <w:p w14:paraId="1F9359B9" w14:textId="42A5E37E" w:rsidR="00CE6143" w:rsidRDefault="00CE6143" w:rsidP="00CE6143">
            <w:pPr>
              <w:pStyle w:val="Default"/>
              <w:spacing w:after="60"/>
              <w:jc w:val="both"/>
              <w:rPr>
                <w:rFonts w:ascii="Times New Roman" w:eastAsia="Times New Roman" w:hAnsi="Times New Roman" w:cs="Times New Roman"/>
                <w:iCs/>
                <w:color w:val="auto"/>
              </w:rPr>
            </w:pPr>
            <w:r w:rsidRPr="009059B3">
              <w:rPr>
                <w:rFonts w:ascii="Times New Roman" w:eastAsia="Times New Roman" w:hAnsi="Times New Roman" w:cs="Times New Roman"/>
                <w:iCs/>
                <w:color w:val="auto"/>
              </w:rPr>
              <w:t>Tāpat arī, ja</w:t>
            </w:r>
            <w:r w:rsidR="00F831CE" w:rsidRPr="009059B3">
              <w:rPr>
                <w:rFonts w:ascii="Times New Roman" w:eastAsia="Times New Roman" w:hAnsi="Times New Roman" w:cs="Times New Roman"/>
                <w:iCs/>
                <w:color w:val="auto"/>
              </w:rPr>
              <w:t>,</w:t>
            </w:r>
            <w:r w:rsidRPr="009059B3">
              <w:rPr>
                <w:rFonts w:ascii="Times New Roman" w:eastAsia="Times New Roman" w:hAnsi="Times New Roman" w:cs="Times New Roman"/>
                <w:iCs/>
                <w:color w:val="auto"/>
              </w:rPr>
              <w:t xml:space="preserve"> piemēram</w:t>
            </w:r>
            <w:r w:rsidR="00F831CE" w:rsidRPr="009059B3">
              <w:rPr>
                <w:rFonts w:ascii="Times New Roman" w:eastAsia="Times New Roman" w:hAnsi="Times New Roman" w:cs="Times New Roman"/>
                <w:iCs/>
                <w:color w:val="auto"/>
              </w:rPr>
              <w:t>,</w:t>
            </w:r>
            <w:r w:rsidRPr="009059B3">
              <w:rPr>
                <w:rFonts w:ascii="Times New Roman" w:eastAsia="Times New Roman" w:hAnsi="Times New Roman" w:cs="Times New Roman"/>
                <w:iCs/>
                <w:color w:val="auto"/>
              </w:rPr>
              <w:t xml:space="preserve"> sākotnēji garantija tiek izsniegta uz astoņiem gadiem, bet pēc termiņš tiek saīsināts uz trim vai sešiem gadiem, garantijas prēmija netiek</w:t>
            </w:r>
            <w:r w:rsidR="002F4637" w:rsidRPr="009059B3">
              <w:rPr>
                <w:rFonts w:ascii="Times New Roman" w:eastAsia="Times New Roman" w:hAnsi="Times New Roman" w:cs="Times New Roman"/>
                <w:iCs/>
                <w:color w:val="auto"/>
              </w:rPr>
              <w:t xml:space="preserve"> mainīta un netiek</w:t>
            </w:r>
            <w:r w:rsidRPr="009059B3">
              <w:rPr>
                <w:rFonts w:ascii="Times New Roman" w:eastAsia="Times New Roman" w:hAnsi="Times New Roman" w:cs="Times New Roman"/>
                <w:iCs/>
                <w:color w:val="auto"/>
              </w:rPr>
              <w:t xml:space="preserve"> atmaksāta. Šie un citi nosacījumi tiks atrunāti sadarbības līgumā.</w:t>
            </w:r>
          </w:p>
          <w:p w14:paraId="450D2BDE" w14:textId="66DADBD1" w:rsidR="00C26F77" w:rsidRDefault="00C26F77" w:rsidP="00C26F77">
            <w:pPr>
              <w:pStyle w:val="Default"/>
              <w:spacing w:after="60"/>
              <w:jc w:val="both"/>
              <w:rPr>
                <w:rFonts w:ascii="Times New Roman" w:eastAsia="Times New Roman" w:hAnsi="Times New Roman" w:cs="Times New Roman"/>
                <w:iCs/>
                <w:color w:val="auto"/>
              </w:rPr>
            </w:pPr>
            <w:r w:rsidRPr="00DE0669">
              <w:rPr>
                <w:rFonts w:ascii="Times New Roman" w:eastAsia="Times New Roman" w:hAnsi="Times New Roman" w:cs="Times New Roman"/>
                <w:lang w:eastAsia="lv-LV"/>
              </w:rPr>
              <w:t xml:space="preserve">Atbalsts komersantam tiek piešķirts ar lēmuma par garantijas  piešķiršanu pieņemšanas brīdi. Sākotnējā lēmumā tiek iekļauts arī nosacījums, ka garantija tiks pagarināta pēc komersanta ierosinājuma, ievērojot </w:t>
            </w:r>
            <w:r>
              <w:rPr>
                <w:rFonts w:ascii="Times New Roman" w:eastAsia="Times New Roman" w:hAnsi="Times New Roman" w:cs="Times New Roman"/>
                <w:lang w:eastAsia="lv-LV"/>
              </w:rPr>
              <w:t>MK Noteik</w:t>
            </w:r>
            <w:r w:rsidR="009059B3">
              <w:rPr>
                <w:rFonts w:ascii="Times New Roman" w:eastAsia="Times New Roman" w:hAnsi="Times New Roman" w:cs="Times New Roman"/>
                <w:lang w:eastAsia="lv-LV"/>
              </w:rPr>
              <w:t>u</w:t>
            </w:r>
            <w:r>
              <w:rPr>
                <w:rFonts w:ascii="Times New Roman" w:eastAsia="Times New Roman" w:hAnsi="Times New Roman" w:cs="Times New Roman"/>
                <w:lang w:eastAsia="lv-LV"/>
              </w:rPr>
              <w:t>mu projekta</w:t>
            </w:r>
            <w:r w:rsidRPr="00DE0669">
              <w:rPr>
                <w:rFonts w:ascii="Times New Roman" w:eastAsia="Times New Roman" w:hAnsi="Times New Roman" w:cs="Times New Roman"/>
                <w:lang w:eastAsia="lv-LV"/>
              </w:rPr>
              <w:t xml:space="preserve"> 14., 15. un 2</w:t>
            </w:r>
            <w:r w:rsidR="001D2EC9">
              <w:rPr>
                <w:rFonts w:ascii="Times New Roman" w:eastAsia="Times New Roman" w:hAnsi="Times New Roman" w:cs="Times New Roman"/>
                <w:lang w:eastAsia="lv-LV"/>
              </w:rPr>
              <w:t>7</w:t>
            </w:r>
            <w:r w:rsidRPr="00DE0669">
              <w:rPr>
                <w:rFonts w:ascii="Times New Roman" w:eastAsia="Times New Roman" w:hAnsi="Times New Roman" w:cs="Times New Roman"/>
                <w:lang w:eastAsia="lv-LV"/>
              </w:rPr>
              <w:t>.punktu.</w:t>
            </w:r>
          </w:p>
          <w:p w14:paraId="799161BA" w14:textId="0EAF707F" w:rsidR="00F86C74" w:rsidRPr="00C921F5" w:rsidRDefault="00F86C74" w:rsidP="00AB7C59">
            <w:pPr>
              <w:pStyle w:val="Default"/>
              <w:spacing w:after="60"/>
              <w:jc w:val="both"/>
              <w:rPr>
                <w:rFonts w:ascii="Times New Roman" w:eastAsia="Times New Roman" w:hAnsi="Times New Roman" w:cs="Times New Roman"/>
                <w:iCs/>
                <w:color w:val="auto"/>
              </w:rPr>
            </w:pPr>
            <w:r w:rsidRPr="00C921F5">
              <w:rPr>
                <w:rFonts w:ascii="Times New Roman" w:eastAsia="Times New Roman" w:hAnsi="Times New Roman" w:cs="Times New Roman"/>
                <w:iCs/>
                <w:color w:val="auto"/>
              </w:rPr>
              <w:t xml:space="preserve">Garantijas nevar tikt </w:t>
            </w:r>
            <w:r w:rsidR="00A62D53" w:rsidRPr="00C921F5">
              <w:rPr>
                <w:rFonts w:ascii="Times New Roman" w:eastAsia="Times New Roman" w:hAnsi="Times New Roman" w:cs="Times New Roman"/>
                <w:iCs/>
                <w:color w:val="auto"/>
              </w:rPr>
              <w:t>piešķirtas</w:t>
            </w:r>
            <w:r w:rsidRPr="00C921F5">
              <w:rPr>
                <w:rFonts w:ascii="Times New Roman" w:eastAsia="Times New Roman" w:hAnsi="Times New Roman" w:cs="Times New Roman"/>
                <w:iCs/>
                <w:color w:val="auto"/>
              </w:rPr>
              <w:t xml:space="preserve"> komersantam, </w:t>
            </w:r>
            <w:r w:rsidRPr="00C921F5">
              <w:rPr>
                <w:rFonts w:ascii="Times New Roman" w:eastAsia="Times New Roman" w:hAnsi="Times New Roman" w:cs="Times New Roman"/>
                <w:color w:val="auto"/>
              </w:rPr>
              <w:t>ja tas</w:t>
            </w:r>
            <w:r w:rsidR="00F2791C" w:rsidRPr="00C921F5">
              <w:rPr>
                <w:rFonts w:ascii="Times New Roman" w:eastAsia="Times New Roman" w:hAnsi="Times New Roman" w:cs="Times New Roman"/>
                <w:color w:val="auto"/>
              </w:rPr>
              <w:t xml:space="preserve"> jau </w:t>
            </w:r>
            <w:r w:rsidRPr="00C921F5">
              <w:rPr>
                <w:rFonts w:ascii="Times New Roman" w:eastAsia="Times New Roman" w:hAnsi="Times New Roman" w:cs="Times New Roman"/>
                <w:color w:val="auto"/>
              </w:rPr>
              <w:t xml:space="preserve">bija nonācis finanšu grūtībās uz 2019.gada 31.decembri saskaņā ar </w:t>
            </w:r>
            <w:r w:rsidR="00AC105D" w:rsidRPr="00717BA3">
              <w:rPr>
                <w:rFonts w:ascii="Times New Roman" w:eastAsia="Times New Roman" w:hAnsi="Times New Roman" w:cs="Times New Roman"/>
                <w:color w:val="000000" w:themeColor="text1"/>
                <w:lang w:eastAsia="lv-LV"/>
              </w:rPr>
              <w:t xml:space="preserve">Eiropas Komisijas  (turpmāk - Komisijas) 2014. gada 17. jūnija Regulas  Nr. 651/2014, ar ko noteiktas atbalsta kategorijas atzīst par saderīgām ar iekšējo tirgu, piemērojot Līguma 107. un 108. pantu (turpmāk - Komisijas </w:t>
            </w:r>
            <w:r w:rsidR="00AC105D">
              <w:rPr>
                <w:rFonts w:ascii="Times New Roman" w:eastAsia="Times New Roman" w:hAnsi="Times New Roman" w:cs="Times New Roman"/>
                <w:color w:val="000000" w:themeColor="text1"/>
                <w:lang w:eastAsia="lv-LV"/>
              </w:rPr>
              <w:t>R</w:t>
            </w:r>
            <w:r w:rsidR="00AC105D" w:rsidRPr="00717BA3">
              <w:rPr>
                <w:rFonts w:ascii="Times New Roman" w:eastAsia="Times New Roman" w:hAnsi="Times New Roman" w:cs="Times New Roman"/>
                <w:color w:val="000000" w:themeColor="text1"/>
                <w:lang w:eastAsia="lv-LV"/>
              </w:rPr>
              <w:t>egula Nr. 651/2014)</w:t>
            </w:r>
            <w:r w:rsidR="00AC105D">
              <w:rPr>
                <w:rFonts w:ascii="Times New Roman" w:eastAsia="Times New Roman" w:hAnsi="Times New Roman" w:cs="Times New Roman"/>
                <w:color w:val="000000" w:themeColor="text1"/>
                <w:lang w:eastAsia="lv-LV"/>
              </w:rPr>
              <w:t xml:space="preserve">, </w:t>
            </w:r>
            <w:r w:rsidRPr="00C921F5">
              <w:rPr>
                <w:rFonts w:ascii="Times New Roman" w:eastAsia="Times New Roman" w:hAnsi="Times New Roman" w:cs="Times New Roman"/>
                <w:color w:val="auto"/>
              </w:rPr>
              <w:t>2.panta 18.punktā</w:t>
            </w:r>
            <w:r w:rsidR="009C7844">
              <w:rPr>
                <w:rFonts w:ascii="Times New Roman" w:eastAsia="Times New Roman" w:hAnsi="Times New Roman" w:cs="Times New Roman"/>
                <w:color w:val="auto"/>
              </w:rPr>
              <w:t xml:space="preserve"> vai Komisijas  </w:t>
            </w:r>
            <w:r w:rsidR="009C7844">
              <w:rPr>
                <w:rFonts w:ascii="Times New Roman" w:hAnsi="Times New Roman" w:cs="Times New Roman"/>
                <w:color w:val="000000" w:themeColor="text1"/>
                <w:shd w:val="clear" w:color="auto" w:fill="FFFFFF"/>
              </w:rPr>
              <w:t>Regulas Nr.702/2014 2.panta 14.punktā vai Komisijas Regulas Nr.1388/2014 3.panta 8.punktā</w:t>
            </w:r>
            <w:r w:rsidRPr="00C921F5">
              <w:rPr>
                <w:rFonts w:ascii="Times New Roman" w:eastAsia="Times New Roman" w:hAnsi="Times New Roman" w:cs="Times New Roman"/>
                <w:color w:val="auto"/>
              </w:rPr>
              <w:t xml:space="preserve"> noteikto, pārbaudot tos uzņēmumam un tā saistītajiem uzņēmumiem (grupai).</w:t>
            </w:r>
            <w:r w:rsidR="00CE6143">
              <w:rPr>
                <w:rFonts w:ascii="Times New Roman" w:eastAsia="Times New Roman" w:hAnsi="Times New Roman" w:cs="Times New Roman"/>
                <w:color w:val="auto"/>
              </w:rPr>
              <w:t xml:space="preserve"> </w:t>
            </w:r>
            <w:r w:rsidR="00CE6143" w:rsidRPr="009059B3">
              <w:rPr>
                <w:rFonts w:ascii="Times New Roman" w:eastAsia="Times New Roman" w:hAnsi="Times New Roman" w:cs="Times New Roman"/>
                <w:color w:val="auto"/>
              </w:rPr>
              <w:t>Grūtību kritērijs tiek vērtēts uz garantijas lēmuma pieņemšanas brīdi</w:t>
            </w:r>
            <w:r w:rsidR="00ED66F5">
              <w:rPr>
                <w:rFonts w:ascii="Times New Roman" w:eastAsia="Times New Roman" w:hAnsi="Times New Roman" w:cs="Times New Roman"/>
                <w:color w:val="auto"/>
              </w:rPr>
              <w:t>.</w:t>
            </w:r>
          </w:p>
          <w:p w14:paraId="5AAE613F" w14:textId="05E63868" w:rsidR="0075462B" w:rsidRPr="00C921F5" w:rsidRDefault="0075462B" w:rsidP="00AB7C59">
            <w:pPr>
              <w:pStyle w:val="Default"/>
              <w:spacing w:after="60"/>
              <w:jc w:val="both"/>
              <w:rPr>
                <w:rFonts w:ascii="Times New Roman" w:eastAsia="Times New Roman" w:hAnsi="Times New Roman" w:cs="Times New Roman"/>
                <w:color w:val="auto"/>
              </w:rPr>
            </w:pPr>
            <w:r w:rsidRPr="00C921F5">
              <w:rPr>
                <w:rFonts w:ascii="Times New Roman" w:eastAsia="Times New Roman" w:hAnsi="Times New Roman" w:cs="Times New Roman"/>
                <w:color w:val="auto"/>
              </w:rPr>
              <w:lastRenderedPageBreak/>
              <w:t xml:space="preserve">Noteikumi attieksies </w:t>
            </w:r>
            <w:r w:rsidR="00B63C0B" w:rsidRPr="00C921F5">
              <w:rPr>
                <w:rFonts w:ascii="Times New Roman" w:eastAsia="Times New Roman" w:hAnsi="Times New Roman" w:cs="Times New Roman"/>
                <w:color w:val="auto"/>
              </w:rPr>
              <w:t xml:space="preserve">gan uz lielajiem uzņēmumiem, gan </w:t>
            </w:r>
            <w:r w:rsidRPr="00C921F5">
              <w:rPr>
                <w:rFonts w:ascii="Times New Roman" w:eastAsia="Times New Roman" w:hAnsi="Times New Roman" w:cs="Times New Roman"/>
                <w:color w:val="auto"/>
              </w:rPr>
              <w:t>arī lauksaimniecības, kā arī uz zvejniecības un akvakultūras nozaru uzņēmumiem.</w:t>
            </w:r>
          </w:p>
          <w:p w14:paraId="659EAA80" w14:textId="47ED0B0D" w:rsidR="00573049" w:rsidRPr="00573049" w:rsidRDefault="001870A9" w:rsidP="00573049">
            <w:pPr>
              <w:pStyle w:val="Default"/>
              <w:spacing w:after="60"/>
              <w:jc w:val="both"/>
              <w:rPr>
                <w:rFonts w:ascii="Times New Roman" w:eastAsia="Times New Roman" w:hAnsi="Times New Roman" w:cs="Times New Roman"/>
                <w:color w:val="auto"/>
              </w:rPr>
            </w:pPr>
            <w:r w:rsidRPr="009059B3">
              <w:rPr>
                <w:rFonts w:ascii="Times New Roman" w:eastAsia="Times New Roman" w:hAnsi="Times New Roman" w:cs="Times New Roman"/>
                <w:color w:val="000000" w:themeColor="text1"/>
                <w:lang w:eastAsia="lv-LV"/>
              </w:rPr>
              <w:t>Šo noteikumu  ietvaros sniegto atbalstu par vienām un tām pašām attiecināmajām izmaksām nedrīkst apvienot ar atbalstu, kuru sniedz saskaņā ar Eiropas Komisijas lēmumiem, kas pieņemti atbilstoši Eiropas Komisijas Pagaidu regulējumam valsts atbalsta pasākumiem, ar ko atbalsta ekonomiku pašreizējā Covid-19 uzliesmojuma situācijā</w:t>
            </w:r>
            <w:r w:rsidR="00573049" w:rsidRPr="009059B3">
              <w:rPr>
                <w:rFonts w:ascii="Times New Roman" w:eastAsia="Times New Roman" w:hAnsi="Times New Roman" w:cs="Times New Roman"/>
                <w:color w:val="auto"/>
              </w:rPr>
              <w:t>.</w:t>
            </w:r>
            <w:r w:rsidR="00573049" w:rsidRPr="00573049">
              <w:rPr>
                <w:rFonts w:ascii="Times New Roman" w:eastAsia="Times New Roman" w:hAnsi="Times New Roman" w:cs="Times New Roman"/>
                <w:color w:val="auto"/>
              </w:rPr>
              <w:t xml:space="preserve"> </w:t>
            </w:r>
          </w:p>
          <w:p w14:paraId="1B108922" w14:textId="449EAC8E" w:rsidR="00573049" w:rsidRDefault="009059B3" w:rsidP="00573049">
            <w:pPr>
              <w:pStyle w:val="Default"/>
              <w:spacing w:after="60"/>
              <w:jc w:val="both"/>
              <w:rPr>
                <w:rFonts w:ascii="Times New Roman" w:eastAsia="Times New Roman" w:hAnsi="Times New Roman" w:cs="Times New Roman"/>
                <w:color w:val="auto"/>
              </w:rPr>
            </w:pPr>
            <w:r>
              <w:rPr>
                <w:rFonts w:ascii="Times New Roman" w:eastAsia="Times New Roman" w:hAnsi="Times New Roman" w:cs="Times New Roman"/>
                <w:color w:val="auto"/>
              </w:rPr>
              <w:t>A</w:t>
            </w:r>
            <w:r w:rsidR="00130C79" w:rsidRPr="00130C79">
              <w:rPr>
                <w:rFonts w:ascii="Times New Roman" w:eastAsia="Times New Roman" w:hAnsi="Times New Roman" w:cs="Times New Roman"/>
                <w:color w:val="auto"/>
              </w:rPr>
              <w:t>ttiecībā par atbalsta apvienošanu saistībā ar citu atbalstu</w:t>
            </w:r>
            <w:r>
              <w:rPr>
                <w:rFonts w:ascii="Times New Roman" w:eastAsia="Times New Roman" w:hAnsi="Times New Roman" w:cs="Times New Roman"/>
                <w:color w:val="auto"/>
              </w:rPr>
              <w:t xml:space="preserve"> </w:t>
            </w:r>
            <w:r w:rsidR="00130C79" w:rsidRPr="00130C79">
              <w:rPr>
                <w:rFonts w:ascii="Times New Roman" w:eastAsia="Times New Roman" w:hAnsi="Times New Roman" w:cs="Times New Roman"/>
                <w:color w:val="auto"/>
              </w:rPr>
              <w:t xml:space="preserve">-  šo </w:t>
            </w:r>
            <w:r>
              <w:rPr>
                <w:rFonts w:ascii="Times New Roman" w:eastAsia="Times New Roman" w:hAnsi="Times New Roman" w:cs="Times New Roman"/>
                <w:color w:val="auto"/>
              </w:rPr>
              <w:t>MK Noteikumu projekta</w:t>
            </w:r>
            <w:r w:rsidR="00130C79" w:rsidRPr="00130C79">
              <w:rPr>
                <w:rFonts w:ascii="Times New Roman" w:eastAsia="Times New Roman" w:hAnsi="Times New Roman" w:cs="Times New Roman"/>
                <w:color w:val="auto"/>
              </w:rPr>
              <w:t xml:space="preserve">  ietvaros sniegto atbalstu drīkst apvienot ar atbalstu par vienām un tām pašām attiecināmajām izmaksām, kas sniegts citā atbalsta programmā vai individuālajā atbalsta projektā, nepārsniedzot šo noteikumu 13.punktā noteikto maksimāli pieļaujamo atbalsta apjomu un  citā atbalsta programmā vai individuālajā atbalsta projektā maksimāli pieļaujamo atbalsta intensitāti, kas noteikta attiecīgajā Komisijas regulā vai nepārsniedzot noteikto maksimāli pieļaujamo atbalsta apmēru Eiropas Komisijas apstiprinātajā atbalsta programmā vai individuālajā atbalsta projektā. Šobrīd nav iespējams paredzēt visas iespējamās atbalsta apvienošanas situācijas, tāpēc katrs gadījums tiks skatīts individuāli, ņemot par pamatu MK noteikumu nosacījumus</w:t>
            </w:r>
            <w:r w:rsidR="00ED66F5">
              <w:rPr>
                <w:rFonts w:ascii="Times New Roman" w:eastAsia="Times New Roman" w:hAnsi="Times New Roman" w:cs="Times New Roman"/>
                <w:color w:val="auto"/>
              </w:rPr>
              <w:t xml:space="preserve"> </w:t>
            </w:r>
            <w:r w:rsidR="00ED66F5" w:rsidRPr="00ED66F5">
              <w:rPr>
                <w:rFonts w:ascii="Times New Roman" w:eastAsia="Times New Roman" w:hAnsi="Times New Roman" w:cs="Times New Roman"/>
                <w:color w:val="auto"/>
              </w:rPr>
              <w:t>un EK lēmumā noteikto</w:t>
            </w:r>
            <w:r w:rsidR="00130C79" w:rsidRPr="00130C79">
              <w:rPr>
                <w:rFonts w:ascii="Times New Roman" w:eastAsia="Times New Roman" w:hAnsi="Times New Roman" w:cs="Times New Roman"/>
                <w:color w:val="auto"/>
              </w:rPr>
              <w:t>, saskaņā ar kuriem tiks sniegts otrs atbalsts</w:t>
            </w:r>
            <w:r w:rsidR="00274E8B">
              <w:rPr>
                <w:rFonts w:ascii="Times New Roman" w:eastAsia="Times New Roman" w:hAnsi="Times New Roman" w:cs="Times New Roman"/>
                <w:color w:val="auto"/>
              </w:rPr>
              <w:t>. Dokumentācija no komersanta tiks pieprasīta individuāli, atbilstoši katram gadījumam, lai pārliecinātos par atbalsta kumulācijas esamību un attiecināmajām izmaksām.</w:t>
            </w:r>
          </w:p>
          <w:p w14:paraId="7AB624B3" w14:textId="7D8857C0" w:rsidR="0075462B" w:rsidRPr="00C921F5" w:rsidRDefault="0075462B" w:rsidP="00AB7C59">
            <w:pPr>
              <w:pStyle w:val="Default"/>
              <w:spacing w:after="60"/>
              <w:jc w:val="both"/>
              <w:rPr>
                <w:rFonts w:ascii="Times New Roman" w:eastAsia="Times New Roman" w:hAnsi="Times New Roman" w:cs="Times New Roman"/>
                <w:color w:val="auto"/>
              </w:rPr>
            </w:pPr>
            <w:r w:rsidRPr="00C921F5">
              <w:rPr>
                <w:rFonts w:ascii="Times New Roman" w:eastAsia="Times New Roman" w:hAnsi="Times New Roman" w:cs="Times New Roman"/>
                <w:color w:val="auto"/>
              </w:rPr>
              <w:t xml:space="preserve">Neraugoties uz Covid-19 ietekmi, </w:t>
            </w:r>
            <w:r w:rsidR="00F86C74" w:rsidRPr="00C921F5">
              <w:rPr>
                <w:rFonts w:ascii="Times New Roman" w:eastAsia="Times New Roman" w:hAnsi="Times New Roman" w:cs="Times New Roman"/>
                <w:color w:val="auto"/>
              </w:rPr>
              <w:t xml:space="preserve">garantijas </w:t>
            </w:r>
            <w:r w:rsidRPr="00C921F5">
              <w:rPr>
                <w:rFonts w:ascii="Times New Roman" w:eastAsia="Times New Roman" w:hAnsi="Times New Roman" w:cs="Times New Roman"/>
                <w:color w:val="auto"/>
              </w:rPr>
              <w:t xml:space="preserve"> tiks sniegt</w:t>
            </w:r>
            <w:r w:rsidR="00F86C74" w:rsidRPr="00C921F5">
              <w:rPr>
                <w:rFonts w:ascii="Times New Roman" w:eastAsia="Times New Roman" w:hAnsi="Times New Roman" w:cs="Times New Roman"/>
                <w:color w:val="auto"/>
              </w:rPr>
              <w:t>as</w:t>
            </w:r>
            <w:r w:rsidRPr="00C921F5">
              <w:rPr>
                <w:rFonts w:ascii="Times New Roman" w:eastAsia="Times New Roman" w:hAnsi="Times New Roman" w:cs="Times New Roman"/>
                <w:color w:val="auto"/>
              </w:rPr>
              <w:t xml:space="preserve">  dzīvotspējīgu projektu realizēšanai</w:t>
            </w:r>
            <w:r w:rsidR="00AB7C59" w:rsidRPr="00C921F5">
              <w:rPr>
                <w:rFonts w:ascii="Times New Roman" w:eastAsia="Times New Roman" w:hAnsi="Times New Roman" w:cs="Times New Roman"/>
                <w:color w:val="auto"/>
              </w:rPr>
              <w:t xml:space="preserve"> </w:t>
            </w:r>
            <w:r w:rsidR="009059B3">
              <w:rPr>
                <w:rFonts w:ascii="Times New Roman" w:eastAsia="Times New Roman" w:hAnsi="Times New Roman" w:cs="Times New Roman"/>
                <w:color w:val="auto"/>
              </w:rPr>
              <w:t>–</w:t>
            </w:r>
            <w:r w:rsidR="00AB7C59" w:rsidRPr="00C921F5">
              <w:rPr>
                <w:rFonts w:ascii="Times New Roman" w:eastAsia="Times New Roman" w:hAnsi="Times New Roman" w:cs="Times New Roman"/>
                <w:color w:val="auto"/>
              </w:rPr>
              <w:t xml:space="preserve"> </w:t>
            </w:r>
            <w:r w:rsidRPr="00C921F5">
              <w:rPr>
                <w:rFonts w:ascii="Times New Roman" w:eastAsia="Times New Roman" w:hAnsi="Times New Roman" w:cs="Times New Roman"/>
                <w:color w:val="auto"/>
              </w:rPr>
              <w:t xml:space="preserve"> </w:t>
            </w:r>
            <w:r w:rsidR="00AB7C59" w:rsidRPr="00C921F5">
              <w:rPr>
                <w:rFonts w:ascii="Times New Roman" w:eastAsia="Times New Roman" w:hAnsi="Times New Roman" w:cs="Times New Roman"/>
                <w:color w:val="auto"/>
              </w:rPr>
              <w:t>biznesa plānu komersantam būs pierāda jauna finansējuma piesaistes vajadzību konkurētspējas atjaunošanai, saglabāšanai un veicināšanai, t.sk., izvērtējot Covid-19 vīrusa izplatības ietekmi un tā sekas; savukārt esošiem finanšu pakalpojumiem ar biznesa plānu komersants pierāda, ka Covid-19 vīrusa izplatības sekas ir atstājušas ietekmi uz komersant</w:t>
            </w:r>
            <w:r w:rsidR="00416547" w:rsidRPr="00C921F5">
              <w:rPr>
                <w:rFonts w:ascii="Times New Roman" w:eastAsia="Times New Roman" w:hAnsi="Times New Roman" w:cs="Times New Roman"/>
                <w:color w:val="auto"/>
              </w:rPr>
              <w:t>u.</w:t>
            </w:r>
          </w:p>
          <w:p w14:paraId="629A7241" w14:textId="780C5836" w:rsidR="00AB7C59" w:rsidRPr="00C921F5" w:rsidRDefault="00AB7C59" w:rsidP="00AB7C59">
            <w:pPr>
              <w:pStyle w:val="Default"/>
              <w:spacing w:after="60"/>
              <w:jc w:val="both"/>
              <w:rPr>
                <w:rFonts w:ascii="Times New Roman" w:hAnsi="Times New Roman" w:cs="Times New Roman"/>
              </w:rPr>
            </w:pPr>
            <w:r w:rsidRPr="00C921F5">
              <w:rPr>
                <w:rFonts w:ascii="Times New Roman" w:hAnsi="Times New Roman" w:cs="Times New Roman"/>
              </w:rPr>
              <w:t>Esošiem finanšu pakalpojumiem kredītiestādei ir jāatliek pamatsummas maksājums vismaz par 12 mēnešiem un/vai jāpagarina šo finanšu pakalpojumu līgumu darbības termiņu vismaz par 12 mēnešiem.</w:t>
            </w:r>
          </w:p>
          <w:p w14:paraId="4DC6BC8F" w14:textId="45948628" w:rsidR="00AB7C59" w:rsidRPr="00C921F5" w:rsidRDefault="00AB7C59" w:rsidP="00AB7C59">
            <w:pPr>
              <w:pStyle w:val="Default"/>
              <w:spacing w:after="60"/>
              <w:jc w:val="both"/>
              <w:rPr>
                <w:rFonts w:ascii="Times New Roman" w:eastAsia="Calibri" w:hAnsi="Times New Roman" w:cs="Times New Roman"/>
                <w:color w:val="auto"/>
              </w:rPr>
            </w:pPr>
            <w:r w:rsidRPr="00C921F5">
              <w:rPr>
                <w:rFonts w:ascii="Times New Roman" w:hAnsi="Times New Roman" w:cs="Times New Roman"/>
              </w:rPr>
              <w:t>Plānots, ka ar šo instrumentu tiks atbalstīti apt</w:t>
            </w:r>
            <w:r w:rsidR="00527164" w:rsidRPr="00C921F5">
              <w:rPr>
                <w:rFonts w:ascii="Times New Roman" w:hAnsi="Times New Roman" w:cs="Times New Roman"/>
              </w:rPr>
              <w:t xml:space="preserve">uveni 25 komersanti, piesaistot </w:t>
            </w:r>
            <w:r w:rsidRPr="00C921F5">
              <w:rPr>
                <w:rFonts w:ascii="Times New Roman" w:hAnsi="Times New Roman" w:cs="Times New Roman"/>
              </w:rPr>
              <w:t xml:space="preserve"> banku finanšu pakalpojum</w:t>
            </w:r>
            <w:r w:rsidR="00527164" w:rsidRPr="00C921F5">
              <w:rPr>
                <w:rFonts w:ascii="Times New Roman" w:hAnsi="Times New Roman" w:cs="Times New Roman"/>
              </w:rPr>
              <w:t>us</w:t>
            </w:r>
            <w:r w:rsidRPr="00C921F5">
              <w:rPr>
                <w:rFonts w:ascii="Times New Roman" w:hAnsi="Times New Roman" w:cs="Times New Roman"/>
              </w:rPr>
              <w:t xml:space="preserve"> indikatīvi 450 </w:t>
            </w:r>
            <w:r w:rsidR="003D0F93" w:rsidRPr="00C921F5">
              <w:rPr>
                <w:rFonts w:ascii="Times New Roman" w:hAnsi="Times New Roman" w:cs="Times New Roman"/>
              </w:rPr>
              <w:t>miljonu euro</w:t>
            </w:r>
            <w:r w:rsidRPr="00C921F5">
              <w:rPr>
                <w:rFonts w:ascii="Times New Roman" w:hAnsi="Times New Roman" w:cs="Times New Roman"/>
              </w:rPr>
              <w:t xml:space="preserve"> apmērā</w:t>
            </w:r>
            <w:r w:rsidR="00527164" w:rsidRPr="00C921F5">
              <w:rPr>
                <w:rFonts w:ascii="Times New Roman" w:hAnsi="Times New Roman" w:cs="Times New Roman"/>
              </w:rPr>
              <w:t>. Tādējādi tiks uzlabota Latvijas eksportējošo uzņēmumu pozīcija ārējā tirgū,  veicinot Latvijas eksporta apjomu atjaunošanos un pēc-krīzes pieaugumu. Garantijām ir p</w:t>
            </w:r>
            <w:r w:rsidRPr="00C921F5">
              <w:rPr>
                <w:rFonts w:ascii="Times New Roman" w:eastAsia="Calibri" w:hAnsi="Times New Roman" w:cs="Times New Roman"/>
                <w:color w:val="auto"/>
              </w:rPr>
              <w:t>ozitīva ietekme uz tautsaimniecības attīstību kopumā, jo, palielinoties eksportam, pieaug gan nodokļu ieņēmumi, gan palielinās nodarbināto skaits</w:t>
            </w:r>
            <w:r w:rsidR="00527164" w:rsidRPr="00C921F5">
              <w:rPr>
                <w:rFonts w:ascii="Times New Roman" w:eastAsia="Calibri" w:hAnsi="Times New Roman" w:cs="Times New Roman"/>
                <w:color w:val="auto"/>
              </w:rPr>
              <w:t>.</w:t>
            </w:r>
          </w:p>
          <w:p w14:paraId="647E9D61" w14:textId="1545A465" w:rsidR="000A5D04" w:rsidRPr="00C921F5" w:rsidRDefault="000A5D04" w:rsidP="00AB7C59">
            <w:pPr>
              <w:pStyle w:val="Default"/>
              <w:spacing w:after="60"/>
              <w:jc w:val="both"/>
              <w:rPr>
                <w:rFonts w:ascii="Times New Roman" w:eastAsia="Times New Roman" w:hAnsi="Times New Roman" w:cs="Times New Roman"/>
                <w:lang w:eastAsia="lv-LV"/>
              </w:rPr>
            </w:pPr>
            <w:r w:rsidRPr="00C921F5">
              <w:rPr>
                <w:rFonts w:ascii="Times New Roman" w:eastAsia="Times New Roman" w:hAnsi="Times New Roman" w:cs="Times New Roman"/>
                <w:bCs/>
                <w:iCs/>
              </w:rPr>
              <w:t xml:space="preserve">MK noteikumu projektā noteiktais </w:t>
            </w:r>
            <w:r w:rsidRPr="00C921F5">
              <w:rPr>
                <w:rFonts w:ascii="Times New Roman" w:hAnsi="Times New Roman" w:cs="Times New Roman"/>
              </w:rPr>
              <w:t xml:space="preserve">finansējums tiks novirzīts garantiju izsniegšanai, sabiedrības “Altum” pārvaldības </w:t>
            </w:r>
            <w:r w:rsidR="000A7E05" w:rsidRPr="00C921F5">
              <w:rPr>
                <w:rFonts w:ascii="Times New Roman" w:hAnsi="Times New Roman" w:cs="Times New Roman"/>
              </w:rPr>
              <w:t>izmaksām</w:t>
            </w:r>
            <w:r w:rsidRPr="00C921F5">
              <w:rPr>
                <w:rFonts w:ascii="Times New Roman" w:hAnsi="Times New Roman" w:cs="Times New Roman"/>
              </w:rPr>
              <w:t>, sagaidāmajiem zaudējumiem.</w:t>
            </w:r>
            <w:r w:rsidR="00DA3088" w:rsidRPr="00C921F5">
              <w:rPr>
                <w:rFonts w:ascii="Times New Roman" w:eastAsia="Times New Roman" w:hAnsi="Times New Roman" w:cs="Times New Roman"/>
                <w:lang w:eastAsia="lv-LV"/>
              </w:rPr>
              <w:t xml:space="preserve"> Ar garantiju izsniegšanu saistīto kompensāciju izmaksu un zaudējumu samazināšanas pasākumus nosaka saskaņā ar civiltiesiskajiem līgumiem, kas noslēgti starp sabiedrību </w:t>
            </w:r>
            <w:r w:rsidR="009059B3">
              <w:rPr>
                <w:rFonts w:ascii="Times New Roman" w:eastAsia="Times New Roman" w:hAnsi="Times New Roman" w:cs="Times New Roman"/>
                <w:lang w:eastAsia="lv-LV"/>
              </w:rPr>
              <w:t>“</w:t>
            </w:r>
            <w:r w:rsidR="00DA3088" w:rsidRPr="00C921F5">
              <w:rPr>
                <w:rFonts w:ascii="Times New Roman" w:eastAsia="Times New Roman" w:hAnsi="Times New Roman" w:cs="Times New Roman"/>
                <w:lang w:eastAsia="lv-LV"/>
              </w:rPr>
              <w:t>Altum</w:t>
            </w:r>
            <w:r w:rsidR="009059B3">
              <w:rPr>
                <w:rFonts w:ascii="Times New Roman" w:eastAsia="Times New Roman" w:hAnsi="Times New Roman" w:cs="Times New Roman"/>
                <w:lang w:eastAsia="lv-LV"/>
              </w:rPr>
              <w:t>”</w:t>
            </w:r>
            <w:r w:rsidR="00DA3088" w:rsidRPr="00C921F5">
              <w:rPr>
                <w:rFonts w:ascii="Times New Roman" w:eastAsia="Times New Roman" w:hAnsi="Times New Roman" w:cs="Times New Roman"/>
                <w:lang w:eastAsia="lv-LV"/>
              </w:rPr>
              <w:t xml:space="preserve"> un kredītiestādi vai tās meitas sabiedrību, kura reģistrēta Latvijā un ir tiesīga sniegt finanšu pakalpojumus Latvijā. Zaudējumi, ievērojot garantijas apmēru, tiek segti proporcionāli starp kredītiestādi un sabiedrību </w:t>
            </w:r>
            <w:r w:rsidR="009059B3">
              <w:rPr>
                <w:rFonts w:ascii="Times New Roman" w:eastAsia="Times New Roman" w:hAnsi="Times New Roman" w:cs="Times New Roman"/>
                <w:lang w:eastAsia="lv-LV"/>
              </w:rPr>
              <w:t>“</w:t>
            </w:r>
            <w:r w:rsidR="00DA3088" w:rsidRPr="00C921F5">
              <w:rPr>
                <w:rFonts w:ascii="Times New Roman" w:eastAsia="Times New Roman" w:hAnsi="Times New Roman" w:cs="Times New Roman"/>
                <w:lang w:eastAsia="lv-LV"/>
              </w:rPr>
              <w:t>Altum”.</w:t>
            </w:r>
          </w:p>
          <w:p w14:paraId="7C6F6E34" w14:textId="4BEA3B5F" w:rsidR="00D863D0" w:rsidRDefault="00D863D0" w:rsidP="00EB4B7B">
            <w:pPr>
              <w:jc w:val="both"/>
              <w:rPr>
                <w:rFonts w:eastAsiaTheme="minorHAnsi"/>
                <w:color w:val="000000"/>
                <w:sz w:val="24"/>
                <w:szCs w:val="24"/>
                <w:lang w:val="lv-LV"/>
              </w:rPr>
            </w:pPr>
            <w:r w:rsidRPr="00C921F5">
              <w:rPr>
                <w:rFonts w:eastAsiaTheme="minorHAnsi"/>
                <w:color w:val="000000"/>
                <w:sz w:val="24"/>
                <w:szCs w:val="24"/>
                <w:lang w:val="lv-LV"/>
              </w:rPr>
              <w:t xml:space="preserve">Programmas īstenošanai paredzēts valsts budžeta finansējums ir līdz </w:t>
            </w:r>
            <w:r w:rsidRPr="00C921F5">
              <w:rPr>
                <w:rFonts w:eastAsia="Times New Roman"/>
                <w:sz w:val="24"/>
                <w:szCs w:val="24"/>
                <w:lang w:val="lv-LV" w:eastAsia="lv-LV"/>
              </w:rPr>
              <w:t xml:space="preserve"> 40 000 000 euro. Valsts budžeta finansējumam </w:t>
            </w:r>
            <w:r w:rsidRPr="00C921F5">
              <w:rPr>
                <w:rFonts w:eastAsiaTheme="minorHAnsi"/>
                <w:color w:val="000000"/>
                <w:sz w:val="24"/>
                <w:szCs w:val="24"/>
                <w:lang w:val="lv-LV"/>
              </w:rPr>
              <w:t xml:space="preserve"> būs piemērojams </w:t>
            </w:r>
            <w:r w:rsidR="00D852A4" w:rsidRPr="00D852A4">
              <w:rPr>
                <w:color w:val="000000"/>
                <w:sz w:val="24"/>
                <w:szCs w:val="24"/>
                <w:lang w:val="lv-LV"/>
              </w:rPr>
              <w:t>Covid-</w:t>
            </w:r>
            <w:r w:rsidR="00D852A4" w:rsidRPr="00D852A4">
              <w:rPr>
                <w:color w:val="000000"/>
                <w:sz w:val="24"/>
                <w:szCs w:val="24"/>
                <w:lang w:val="lv-LV"/>
              </w:rPr>
              <w:lastRenderedPageBreak/>
              <w:t>19 infekcijas izplatības seku pārvarēšanas likuma 25. un 31</w:t>
            </w:r>
            <w:r w:rsidR="00D852A4" w:rsidRPr="00D852A4">
              <w:rPr>
                <w:sz w:val="24"/>
                <w:szCs w:val="24"/>
                <w:lang w:val="lv-LV"/>
              </w:rPr>
              <w:t>. pant</w:t>
            </w:r>
            <w:r w:rsidR="00D852A4">
              <w:rPr>
                <w:sz w:val="24"/>
                <w:szCs w:val="24"/>
                <w:lang w:val="lv-LV"/>
              </w:rPr>
              <w:t>s</w:t>
            </w:r>
            <w:r w:rsidRPr="00C921F5">
              <w:rPr>
                <w:rFonts w:eastAsiaTheme="minorHAnsi"/>
                <w:color w:val="000000"/>
                <w:sz w:val="24"/>
                <w:szCs w:val="24"/>
                <w:lang w:val="lv-LV"/>
              </w:rPr>
              <w:t>: Finanšu ministrs pēc tam, kad ir pieņemts Ministru kabineta lēmums par rezerves kapitāla palielināšanu akciju sabiedrībai "Attīstības finanšu institūcija Altum" krīzes garantiju programmas finansēšanai, palielina apropriāciju Ekonomikas ministrijai resursiem no dotācijas no vispārējiem ieņēmumiem ieskaitīšanai akciju sabiedrības "Attīstības finanšu institūcija Altum" rezerves kapitālā Ministru kabineta noteiktajā kārtībā un apjomā krīzes garantiju programmas finansēšanai</w:t>
            </w:r>
            <w:r w:rsidR="00D852A4" w:rsidRPr="00D852A4">
              <w:rPr>
                <w:color w:val="000000" w:themeColor="text1"/>
                <w:sz w:val="24"/>
                <w:szCs w:val="24"/>
                <w:lang w:val="lv-LV"/>
              </w:rPr>
              <w:t xml:space="preserve">, </w:t>
            </w:r>
            <w:r w:rsidR="00D852A4" w:rsidRPr="00D852A4">
              <w:rPr>
                <w:color w:val="000000"/>
                <w:sz w:val="24"/>
                <w:szCs w:val="24"/>
                <w:lang w:val="lv-LV"/>
              </w:rPr>
              <w:t>ja Saeimas Budžeta un finanšu (nodokļu) komisija piecu darbdienu laikā no attiecīgās informācijas saņemšanas dienas nav iebildusi pret apropriācijas izmaiņām.</w:t>
            </w:r>
            <w:r w:rsidRPr="00C921F5">
              <w:rPr>
                <w:rFonts w:eastAsiaTheme="minorHAnsi"/>
                <w:color w:val="000000"/>
                <w:sz w:val="24"/>
                <w:szCs w:val="24"/>
                <w:lang w:val="lv-LV"/>
              </w:rPr>
              <w:t xml:space="preserve"> Minētais tiks noteikts protokola lēmumā. Programmas ietvaros veiktais valsts budžeta ieguldījums sabiedrībā Altum nepārsniegs Eiropas Komisijas 2015</w:t>
            </w:r>
            <w:r w:rsidR="005A3681">
              <w:rPr>
                <w:rFonts w:eastAsiaTheme="minorHAnsi"/>
                <w:color w:val="000000"/>
                <w:sz w:val="24"/>
                <w:szCs w:val="24"/>
                <w:lang w:val="lv-LV"/>
              </w:rPr>
              <w:t>.gada 9.jūnija</w:t>
            </w:r>
            <w:r w:rsidRPr="00C921F5">
              <w:rPr>
                <w:rFonts w:eastAsiaTheme="minorHAnsi"/>
                <w:color w:val="000000"/>
                <w:sz w:val="24"/>
                <w:szCs w:val="24"/>
                <w:lang w:val="lv-LV"/>
              </w:rPr>
              <w:t xml:space="preserve"> lēmumā “Par valsts atbalstu SA.36904 (2014/N) noteikto ieguldījuma apjomu</w:t>
            </w:r>
            <w:r w:rsidR="00573049">
              <w:rPr>
                <w:rFonts w:eastAsiaTheme="minorHAnsi"/>
                <w:color w:val="000000"/>
                <w:sz w:val="24"/>
                <w:szCs w:val="24"/>
                <w:lang w:val="lv-LV"/>
              </w:rPr>
              <w:t>, kas norādīts lēmuma 121.punktā</w:t>
            </w:r>
            <w:r w:rsidRPr="00C921F5">
              <w:rPr>
                <w:rFonts w:eastAsiaTheme="minorHAnsi"/>
                <w:color w:val="000000"/>
                <w:sz w:val="24"/>
                <w:szCs w:val="24"/>
                <w:lang w:val="lv-LV"/>
              </w:rPr>
              <w:t>.</w:t>
            </w:r>
          </w:p>
          <w:p w14:paraId="3B0CBDA6" w14:textId="693B006E" w:rsidR="00E231F4" w:rsidRDefault="00E231F4" w:rsidP="00EB4B7B">
            <w:pPr>
              <w:jc w:val="both"/>
              <w:rPr>
                <w:rFonts w:eastAsiaTheme="minorHAnsi"/>
                <w:color w:val="000000"/>
                <w:sz w:val="24"/>
                <w:szCs w:val="24"/>
                <w:lang w:val="lv-LV"/>
              </w:rPr>
            </w:pPr>
            <w:r>
              <w:rPr>
                <w:rFonts w:eastAsiaTheme="minorHAnsi"/>
                <w:color w:val="000000"/>
                <w:sz w:val="24"/>
                <w:szCs w:val="24"/>
                <w:lang w:val="lv-LV"/>
              </w:rPr>
              <w:t xml:space="preserve">MK noteikumu projekts ir izstrādāts </w:t>
            </w:r>
            <w:r w:rsidRPr="00946DE1">
              <w:rPr>
                <w:rFonts w:eastAsiaTheme="minorHAnsi"/>
                <w:color w:val="000000"/>
                <w:sz w:val="24"/>
                <w:szCs w:val="24"/>
                <w:lang w:val="lv-LV"/>
              </w:rPr>
              <w:t xml:space="preserve">saskaņā ar </w:t>
            </w:r>
            <w:r w:rsidRPr="00FA4414">
              <w:rPr>
                <w:rFonts w:eastAsia="Times New Roman"/>
                <w:iCs/>
                <w:sz w:val="24"/>
                <w:szCs w:val="24"/>
                <w:lang w:val="lv-LV"/>
              </w:rPr>
              <w:t>apstiprināt</w:t>
            </w:r>
            <w:r>
              <w:rPr>
                <w:rFonts w:eastAsia="Times New Roman"/>
                <w:iCs/>
                <w:sz w:val="24"/>
                <w:szCs w:val="24"/>
                <w:lang w:val="lv-LV"/>
              </w:rPr>
              <w:t>o</w:t>
            </w:r>
            <w:r w:rsidRPr="00FA4414">
              <w:rPr>
                <w:rFonts w:eastAsia="Times New Roman"/>
                <w:iCs/>
                <w:sz w:val="24"/>
                <w:szCs w:val="24"/>
                <w:lang w:val="lv-LV"/>
              </w:rPr>
              <w:t xml:space="preserve"> </w:t>
            </w:r>
            <w:r w:rsidRPr="00FA4414">
              <w:rPr>
                <w:sz w:val="24"/>
                <w:szCs w:val="24"/>
                <w:lang w:val="lv-LV"/>
              </w:rPr>
              <w:t>Pagaidu shēmu valsts atbalsta pasākumiem ekonomikas atbalstam Covid-19 uzliesmojuma laikā (C (2020) 1863, ar grozījumiem 2020.gada 3.aprīlī (C(2020) 2215</w:t>
            </w:r>
            <w:r w:rsidR="009C7844">
              <w:rPr>
                <w:sz w:val="24"/>
                <w:szCs w:val="24"/>
                <w:lang w:val="lv-LV"/>
              </w:rPr>
              <w:t xml:space="preserve">, </w:t>
            </w:r>
            <w:r w:rsidRPr="00FA4414">
              <w:rPr>
                <w:sz w:val="24"/>
                <w:szCs w:val="24"/>
                <w:lang w:val="lv-LV"/>
              </w:rPr>
              <w:t xml:space="preserve"> 2020.gada 8.maijā C(2020) 3156</w:t>
            </w:r>
            <w:r w:rsidR="009C7844">
              <w:rPr>
                <w:sz w:val="24"/>
                <w:szCs w:val="24"/>
                <w:lang w:val="lv-LV"/>
              </w:rPr>
              <w:t xml:space="preserve"> un 2020.gada 29.jūnijā C (2020) 4509</w:t>
            </w:r>
            <w:r w:rsidRPr="00FA4414">
              <w:rPr>
                <w:sz w:val="24"/>
                <w:szCs w:val="24"/>
                <w:lang w:val="lv-LV"/>
              </w:rPr>
              <w:t xml:space="preserve"> (</w:t>
            </w:r>
            <w:r w:rsidRPr="00FA4414">
              <w:rPr>
                <w:i/>
                <w:iCs/>
                <w:sz w:val="24"/>
                <w:szCs w:val="24"/>
                <w:lang w:val="en-US"/>
              </w:rPr>
              <w:t>Communication from the Commission temporary framework for state aid measures to support the economy in the current Covid-10 outbreak</w:t>
            </w:r>
            <w:r w:rsidRPr="00FA4414">
              <w:rPr>
                <w:sz w:val="24"/>
                <w:szCs w:val="24"/>
                <w:lang w:val="lv-LV"/>
              </w:rPr>
              <w:t>)</w:t>
            </w:r>
            <w:r w:rsidRPr="00946DE1">
              <w:rPr>
                <w:rFonts w:eastAsiaTheme="minorHAnsi"/>
                <w:color w:val="000000"/>
                <w:sz w:val="24"/>
                <w:szCs w:val="24"/>
                <w:lang w:val="lv-LV"/>
              </w:rPr>
              <w:t>, par ko ir veikta paziņošana Eiropas Komisijai</w:t>
            </w:r>
            <w:r>
              <w:rPr>
                <w:rFonts w:eastAsiaTheme="minorHAnsi"/>
                <w:color w:val="000000"/>
                <w:sz w:val="24"/>
                <w:szCs w:val="24"/>
                <w:lang w:val="lv-LV"/>
              </w:rPr>
              <w:t xml:space="preserve"> par atsevišķiem izņēmumiem no Pagaidu regulējuma.</w:t>
            </w:r>
          </w:p>
          <w:p w14:paraId="3E58E708" w14:textId="6153AE26" w:rsidR="005A3681" w:rsidRDefault="005A3681" w:rsidP="00EB4B7B">
            <w:pPr>
              <w:jc w:val="both"/>
              <w:rPr>
                <w:rFonts w:eastAsiaTheme="minorHAnsi"/>
                <w:color w:val="000000"/>
                <w:sz w:val="24"/>
                <w:szCs w:val="24"/>
                <w:lang w:val="lv-LV"/>
              </w:rPr>
            </w:pPr>
            <w:r w:rsidRPr="00A40310">
              <w:rPr>
                <w:rFonts w:eastAsiaTheme="minorHAnsi"/>
                <w:color w:val="000000"/>
                <w:sz w:val="24"/>
                <w:szCs w:val="24"/>
                <w:lang w:val="lv-LV"/>
              </w:rPr>
              <w:t xml:space="preserve">MK Noteikumu projekts un tajā paredzētais valsts atbalsts </w:t>
            </w:r>
            <w:r w:rsidR="008B76DE" w:rsidRPr="00A40310">
              <w:rPr>
                <w:rFonts w:eastAsiaTheme="minorHAnsi"/>
                <w:color w:val="000000"/>
                <w:sz w:val="24"/>
                <w:szCs w:val="24"/>
                <w:lang w:val="lv-LV"/>
              </w:rPr>
              <w:t>stāsies spēkā pēc tā saskaņošanas</w:t>
            </w:r>
            <w:r w:rsidRPr="00A40310">
              <w:rPr>
                <w:rFonts w:eastAsiaTheme="minorHAnsi"/>
                <w:color w:val="000000"/>
                <w:sz w:val="24"/>
                <w:szCs w:val="24"/>
                <w:lang w:val="lv-LV"/>
              </w:rPr>
              <w:t xml:space="preserve"> ar Eiropas Komisiju</w:t>
            </w:r>
            <w:r w:rsidR="00A40310" w:rsidRPr="00A40310">
              <w:rPr>
                <w:rFonts w:eastAsiaTheme="minorHAnsi"/>
                <w:color w:val="000000"/>
                <w:sz w:val="24"/>
                <w:szCs w:val="24"/>
                <w:lang w:val="lv-LV"/>
              </w:rPr>
              <w:t xml:space="preserve"> (</w:t>
            </w:r>
            <w:r w:rsidR="00FD70B8">
              <w:rPr>
                <w:rFonts w:eastAsiaTheme="minorHAnsi"/>
                <w:color w:val="000000"/>
                <w:sz w:val="24"/>
                <w:szCs w:val="24"/>
                <w:lang w:val="lv-LV"/>
              </w:rPr>
              <w:t xml:space="preserve">nepieciešams saņemt </w:t>
            </w:r>
            <w:r w:rsidR="00FD70B8" w:rsidRPr="00A40310">
              <w:rPr>
                <w:rFonts w:eastAsiaTheme="minorHAnsi"/>
                <w:color w:val="000000"/>
                <w:sz w:val="24"/>
                <w:szCs w:val="24"/>
                <w:lang w:val="lv-LV"/>
              </w:rPr>
              <w:t xml:space="preserve">Eiropas </w:t>
            </w:r>
            <w:r w:rsidR="00FD70B8">
              <w:rPr>
                <w:rFonts w:eastAsiaTheme="minorHAnsi"/>
                <w:color w:val="000000"/>
                <w:sz w:val="24"/>
                <w:szCs w:val="24"/>
                <w:lang w:val="lv-LV"/>
              </w:rPr>
              <w:t xml:space="preserve">Komisijas </w:t>
            </w:r>
            <w:r w:rsidR="00A40310" w:rsidRPr="00A40310">
              <w:rPr>
                <w:sz w:val="24"/>
                <w:szCs w:val="24"/>
                <w:lang w:val="lv-LV"/>
              </w:rPr>
              <w:t>lēmum</w:t>
            </w:r>
            <w:r w:rsidR="00FD70B8">
              <w:rPr>
                <w:sz w:val="24"/>
                <w:szCs w:val="24"/>
                <w:lang w:val="lv-LV"/>
              </w:rPr>
              <w:t>u</w:t>
            </w:r>
            <w:r w:rsidR="00A40310" w:rsidRPr="00A40310">
              <w:rPr>
                <w:sz w:val="24"/>
                <w:szCs w:val="24"/>
                <w:lang w:val="lv-LV"/>
              </w:rPr>
              <w:t xml:space="preserve"> par grozījumiem valsts atbalsta lietā SA.57655</w:t>
            </w:r>
            <w:r w:rsidR="00A40310">
              <w:rPr>
                <w:lang w:val="lv-LV"/>
              </w:rPr>
              <w:t>)</w:t>
            </w:r>
            <w:r w:rsidRPr="003C1ADF">
              <w:rPr>
                <w:rFonts w:eastAsiaTheme="minorHAnsi"/>
                <w:color w:val="000000" w:themeColor="text1"/>
                <w:sz w:val="24"/>
                <w:szCs w:val="24"/>
                <w:lang w:val="lv-LV"/>
              </w:rPr>
              <w:t xml:space="preserve">. </w:t>
            </w:r>
          </w:p>
          <w:p w14:paraId="09F04E06" w14:textId="0187FCA1" w:rsidR="005A3681" w:rsidRPr="0068688D" w:rsidRDefault="005A3681" w:rsidP="00EB4B7B">
            <w:pPr>
              <w:jc w:val="both"/>
              <w:rPr>
                <w:rFonts w:eastAsiaTheme="minorHAnsi"/>
                <w:color w:val="000000"/>
                <w:sz w:val="24"/>
                <w:szCs w:val="24"/>
                <w:lang w:val="lv-LV"/>
              </w:rPr>
            </w:pPr>
            <w:r w:rsidRPr="005A3681">
              <w:rPr>
                <w:rFonts w:eastAsia="Times New Roman"/>
                <w:color w:val="000000" w:themeColor="text1"/>
                <w:sz w:val="24"/>
                <w:szCs w:val="24"/>
                <w:lang w:val="lv-LV" w:eastAsia="lv-LV"/>
              </w:rPr>
              <w:t>Saskaņā</w:t>
            </w:r>
            <w:r>
              <w:rPr>
                <w:rFonts w:eastAsia="Times New Roman"/>
                <w:color w:val="000000" w:themeColor="text1"/>
                <w:sz w:val="24"/>
                <w:szCs w:val="24"/>
                <w:lang w:val="lv-LV" w:eastAsia="lv-LV"/>
              </w:rPr>
              <w:t xml:space="preserve"> ar </w:t>
            </w:r>
            <w:r>
              <w:rPr>
                <w:rFonts w:eastAsiaTheme="minorHAnsi"/>
                <w:color w:val="000000"/>
                <w:sz w:val="24"/>
                <w:szCs w:val="24"/>
                <w:lang w:val="lv-LV"/>
              </w:rPr>
              <w:t>MK Noteikumu projekts s</w:t>
            </w:r>
            <w:r w:rsidRPr="005A3681">
              <w:rPr>
                <w:rFonts w:eastAsia="Times New Roman"/>
                <w:color w:val="000000" w:themeColor="text1"/>
                <w:sz w:val="24"/>
                <w:szCs w:val="24"/>
                <w:lang w:val="lv-LV" w:eastAsia="lv-LV"/>
              </w:rPr>
              <w:t>abiedrība "Altum" pieņem garantiju pieteikumus līdz 2020.gada 20.decembrim</w:t>
            </w:r>
            <w:r>
              <w:rPr>
                <w:rFonts w:eastAsia="Times New Roman"/>
                <w:color w:val="000000" w:themeColor="text1"/>
                <w:sz w:val="24"/>
                <w:szCs w:val="24"/>
                <w:lang w:val="lv-LV" w:eastAsia="lv-LV"/>
              </w:rPr>
              <w:t xml:space="preserve"> un </w:t>
            </w:r>
            <w:r w:rsidRPr="005A3681">
              <w:rPr>
                <w:rFonts w:eastAsia="Times New Roman"/>
                <w:color w:val="000000" w:themeColor="text1"/>
                <w:sz w:val="24"/>
                <w:szCs w:val="24"/>
                <w:lang w:val="lv-LV" w:eastAsia="lv-LV"/>
              </w:rPr>
              <w:t>pieņem lēmumu par garantiju, t.sk., iespējamo garantijas pagarinājumu, līdz 2020. gada 31. decembrim</w:t>
            </w:r>
            <w:r w:rsidR="0068688D">
              <w:rPr>
                <w:sz w:val="24"/>
                <w:szCs w:val="24"/>
                <w:lang w:val="lv-LV"/>
              </w:rPr>
              <w:t>.</w:t>
            </w:r>
          </w:p>
        </w:tc>
      </w:tr>
      <w:tr w:rsidR="00844176" w:rsidRPr="00C921F5" w14:paraId="41041CF1" w14:textId="77777777" w:rsidTr="00240921">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C921F5" w:rsidRDefault="00557B17" w:rsidP="00B043DE">
            <w:pPr>
              <w:contextualSpacing/>
              <w:rPr>
                <w:rFonts w:eastAsia="Times New Roman"/>
                <w:sz w:val="24"/>
                <w:szCs w:val="24"/>
                <w:lang w:val="lv-LV" w:eastAsia="lv-LV"/>
              </w:rPr>
            </w:pPr>
            <w:r w:rsidRPr="00C921F5">
              <w:rPr>
                <w:sz w:val="24"/>
                <w:szCs w:val="24"/>
                <w:lang w:val="lv-LV"/>
              </w:rPr>
              <w:t>Projekta izstrādē iesaistītās institūcijas un publiskas personas kapitālsabiedrības</w:t>
            </w:r>
          </w:p>
        </w:tc>
        <w:tc>
          <w:tcPr>
            <w:tcW w:w="7207" w:type="dxa"/>
            <w:tcBorders>
              <w:top w:val="outset" w:sz="6" w:space="0" w:color="414142"/>
              <w:left w:val="outset" w:sz="6" w:space="0" w:color="414142"/>
              <w:bottom w:val="outset" w:sz="6" w:space="0" w:color="414142"/>
              <w:right w:val="outset" w:sz="6" w:space="0" w:color="414142"/>
            </w:tcBorders>
            <w:hideMark/>
          </w:tcPr>
          <w:p w14:paraId="1C1732C9" w14:textId="18F487D9" w:rsidR="00844176" w:rsidRPr="00C921F5" w:rsidRDefault="00CE0AC5" w:rsidP="00B043DE">
            <w:pPr>
              <w:ind w:left="-31"/>
              <w:contextualSpacing/>
              <w:rPr>
                <w:rFonts w:eastAsia="Times New Roman"/>
                <w:sz w:val="24"/>
                <w:szCs w:val="24"/>
                <w:lang w:val="lv-LV" w:eastAsia="lv-LV"/>
              </w:rPr>
            </w:pPr>
            <w:r w:rsidRPr="00C921F5">
              <w:rPr>
                <w:sz w:val="24"/>
                <w:szCs w:val="24"/>
                <w:lang w:val="lv-LV"/>
              </w:rPr>
              <w:t>E</w:t>
            </w:r>
            <w:r w:rsidR="00547ACF" w:rsidRPr="00C921F5">
              <w:rPr>
                <w:sz w:val="24"/>
                <w:szCs w:val="24"/>
                <w:lang w:val="lv-LV"/>
              </w:rPr>
              <w:t>konomikas ministrija</w:t>
            </w:r>
            <w:r w:rsidRPr="00C921F5">
              <w:rPr>
                <w:sz w:val="24"/>
                <w:szCs w:val="24"/>
                <w:lang w:val="lv-LV"/>
              </w:rPr>
              <w:t xml:space="preserve">, </w:t>
            </w:r>
            <w:r w:rsidR="00547ACF" w:rsidRPr="00C921F5">
              <w:rPr>
                <w:sz w:val="24"/>
                <w:szCs w:val="24"/>
                <w:lang w:val="lv-LV"/>
              </w:rPr>
              <w:t>sabiedrība “Altum”</w:t>
            </w:r>
            <w:r w:rsidR="00B641CF">
              <w:rPr>
                <w:sz w:val="24"/>
                <w:szCs w:val="24"/>
                <w:lang w:val="lv-LV"/>
              </w:rPr>
              <w:t>.</w:t>
            </w:r>
          </w:p>
        </w:tc>
      </w:tr>
      <w:tr w:rsidR="00844176" w:rsidRPr="00C921F5" w14:paraId="3C98D228" w14:textId="77777777" w:rsidTr="00240921">
        <w:tc>
          <w:tcPr>
            <w:tcW w:w="294"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Cita informācija</w:t>
            </w:r>
          </w:p>
        </w:tc>
        <w:tc>
          <w:tcPr>
            <w:tcW w:w="720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 xml:space="preserve">Nav </w:t>
            </w:r>
          </w:p>
        </w:tc>
      </w:tr>
    </w:tbl>
    <w:p w14:paraId="00447F19" w14:textId="3BFE4D51" w:rsidR="009A00EB" w:rsidRPr="00C921F5" w:rsidRDefault="009A00EB" w:rsidP="00B043DE">
      <w:pPr>
        <w:contextualSpacing/>
        <w:rPr>
          <w:rFonts w:eastAsia="Times New Roman"/>
          <w:sz w:val="24"/>
          <w:szCs w:val="24"/>
          <w:lang w:val="lv-LV" w:eastAsia="lv-LV"/>
        </w:rPr>
      </w:pPr>
    </w:p>
    <w:tbl>
      <w:tblPr>
        <w:tblW w:w="935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379"/>
      </w:tblGrid>
      <w:tr w:rsidR="00844176" w:rsidRPr="00A1427D" w14:paraId="5271E387" w14:textId="77777777" w:rsidTr="00FA4414">
        <w:trPr>
          <w:trHeight w:val="555"/>
        </w:trPr>
        <w:tc>
          <w:tcPr>
            <w:tcW w:w="9351"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C921F5" w:rsidRDefault="009A00EB" w:rsidP="00B043DE">
            <w:pPr>
              <w:contextualSpacing/>
              <w:jc w:val="center"/>
              <w:rPr>
                <w:rFonts w:eastAsia="Times New Roman"/>
                <w:sz w:val="24"/>
                <w:szCs w:val="24"/>
                <w:lang w:val="lv-LV" w:eastAsia="lv-LV"/>
              </w:rPr>
            </w:pPr>
            <w:r w:rsidRPr="00C921F5">
              <w:rPr>
                <w:rFonts w:eastAsia="Times New Roman"/>
                <w:b/>
                <w:bCs/>
                <w:sz w:val="24"/>
                <w:szCs w:val="24"/>
                <w:lang w:val="lv-LV" w:eastAsia="lv-LV"/>
              </w:rPr>
              <w:t>II. Tiesību akta projekta ietekme uz sabiedrību, tautsaimniecības attīstību un administratīvo slogu</w:t>
            </w:r>
          </w:p>
        </w:tc>
      </w:tr>
      <w:tr w:rsidR="00A76C0A" w:rsidRPr="00BC6663" w14:paraId="7F8630C6" w14:textId="77777777" w:rsidTr="00FA441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 xml:space="preserve">Sabiedrības </w:t>
            </w:r>
            <w:proofErr w:type="spellStart"/>
            <w:r w:rsidRPr="00C921F5">
              <w:rPr>
                <w:rFonts w:eastAsia="Times New Roman"/>
                <w:sz w:val="24"/>
                <w:szCs w:val="24"/>
                <w:lang w:val="lv-LV" w:eastAsia="lv-LV"/>
              </w:rPr>
              <w:t>mērķgrupas</w:t>
            </w:r>
            <w:proofErr w:type="spellEnd"/>
            <w:r w:rsidRPr="00C921F5">
              <w:rPr>
                <w:rFonts w:eastAsia="Times New Roman"/>
                <w:sz w:val="24"/>
                <w:szCs w:val="24"/>
                <w:lang w:val="lv-LV" w:eastAsia="lv-LV"/>
              </w:rPr>
              <w:t>, kuras tiesiskais regulējums ietekmē vai varētu ietekmēt</w:t>
            </w:r>
          </w:p>
        </w:tc>
        <w:tc>
          <w:tcPr>
            <w:tcW w:w="6379" w:type="dxa"/>
            <w:tcBorders>
              <w:top w:val="single" w:sz="4" w:space="0" w:color="auto"/>
              <w:left w:val="outset" w:sz="6" w:space="0" w:color="414142"/>
              <w:bottom w:val="outset" w:sz="6" w:space="0" w:color="414142"/>
              <w:right w:val="outset" w:sz="6" w:space="0" w:color="414142"/>
            </w:tcBorders>
            <w:hideMark/>
          </w:tcPr>
          <w:p w14:paraId="3D68FB87" w14:textId="3C847D1F" w:rsidR="009A00EB" w:rsidRPr="00C921F5" w:rsidRDefault="009A00EB" w:rsidP="00B043DE">
            <w:pPr>
              <w:ind w:right="201"/>
              <w:contextualSpacing/>
              <w:jc w:val="both"/>
              <w:rPr>
                <w:sz w:val="24"/>
                <w:szCs w:val="24"/>
                <w:lang w:val="lv-LV"/>
              </w:rPr>
            </w:pPr>
            <w:r w:rsidRPr="00C921F5">
              <w:rPr>
                <w:sz w:val="24"/>
                <w:szCs w:val="24"/>
                <w:lang w:val="lv-LV"/>
              </w:rPr>
              <w:t xml:space="preserve">Latvijā reģistrēti </w:t>
            </w:r>
            <w:r w:rsidR="00D167C5" w:rsidRPr="00C921F5">
              <w:rPr>
                <w:sz w:val="24"/>
                <w:szCs w:val="24"/>
                <w:lang w:val="lv-LV"/>
              </w:rPr>
              <w:t>lielie komersanti</w:t>
            </w:r>
            <w:r w:rsidRPr="00C921F5">
              <w:rPr>
                <w:sz w:val="24"/>
                <w:szCs w:val="24"/>
                <w:lang w:val="lv-LV"/>
              </w:rPr>
              <w:t>, sabiedrība “Altum”.</w:t>
            </w:r>
            <w:r w:rsidR="00840A7F">
              <w:rPr>
                <w:sz w:val="24"/>
                <w:szCs w:val="24"/>
                <w:lang w:val="lv-LV"/>
              </w:rPr>
              <w:t xml:space="preserve"> Indikatīvi</w:t>
            </w:r>
            <w:r w:rsidR="003F0484">
              <w:rPr>
                <w:sz w:val="24"/>
                <w:szCs w:val="24"/>
                <w:lang w:val="lv-LV"/>
              </w:rPr>
              <w:t>,</w:t>
            </w:r>
            <w:r w:rsidR="00840A7F">
              <w:rPr>
                <w:sz w:val="24"/>
                <w:szCs w:val="24"/>
                <w:lang w:val="lv-LV"/>
              </w:rPr>
              <w:t xml:space="preserve"> tie būs </w:t>
            </w:r>
            <w:r w:rsidR="00E231F4">
              <w:rPr>
                <w:sz w:val="24"/>
                <w:szCs w:val="24"/>
                <w:lang w:val="lv-LV"/>
              </w:rPr>
              <w:t>25</w:t>
            </w:r>
            <w:r w:rsidR="00840A7F">
              <w:rPr>
                <w:sz w:val="24"/>
                <w:szCs w:val="24"/>
                <w:lang w:val="lv-LV"/>
              </w:rPr>
              <w:t xml:space="preserve"> lielie </w:t>
            </w:r>
            <w:r w:rsidR="00FD70B8">
              <w:rPr>
                <w:sz w:val="24"/>
                <w:szCs w:val="24"/>
                <w:lang w:val="lv-LV"/>
              </w:rPr>
              <w:t>komersanti</w:t>
            </w:r>
            <w:r w:rsidR="00840A7F">
              <w:rPr>
                <w:sz w:val="24"/>
                <w:szCs w:val="24"/>
                <w:lang w:val="lv-LV"/>
              </w:rPr>
              <w:t>, kas saņems atbalstu.</w:t>
            </w:r>
          </w:p>
        </w:tc>
      </w:tr>
      <w:tr w:rsidR="00A76C0A" w:rsidRPr="00C921F5" w14:paraId="718E705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Tiesiskā regulējuma ietekme uz tautsaimniecību un administratīvo slogu</w:t>
            </w:r>
          </w:p>
        </w:tc>
        <w:tc>
          <w:tcPr>
            <w:tcW w:w="6379" w:type="dxa"/>
            <w:tcBorders>
              <w:top w:val="outset" w:sz="6" w:space="0" w:color="414142"/>
              <w:left w:val="outset" w:sz="6" w:space="0" w:color="414142"/>
              <w:bottom w:val="outset" w:sz="6" w:space="0" w:color="414142"/>
              <w:right w:val="outset" w:sz="6" w:space="0" w:color="414142"/>
            </w:tcBorders>
            <w:hideMark/>
          </w:tcPr>
          <w:p w14:paraId="33918B01" w14:textId="0464D626" w:rsidR="009A00EB" w:rsidRPr="00C921F5" w:rsidRDefault="003D0F93" w:rsidP="00B043DE">
            <w:pPr>
              <w:pStyle w:val="BodyText"/>
              <w:ind w:right="201"/>
              <w:contextualSpacing/>
              <w:rPr>
                <w:rFonts w:eastAsia="Calibri"/>
                <w:sz w:val="24"/>
                <w:szCs w:val="24"/>
                <w:lang w:eastAsia="en-US"/>
              </w:rPr>
            </w:pPr>
            <w:r w:rsidRPr="00C921F5">
              <w:rPr>
                <w:iCs/>
                <w:sz w:val="24"/>
                <w:szCs w:val="24"/>
              </w:rPr>
              <w:t>MK Noteikumu projekts</w:t>
            </w:r>
            <w:r w:rsidRPr="00C921F5" w:rsidDel="003D0F93">
              <w:rPr>
                <w:rFonts w:eastAsia="Calibri"/>
                <w:sz w:val="24"/>
                <w:szCs w:val="24"/>
                <w:lang w:eastAsia="en-US"/>
              </w:rPr>
              <w:t xml:space="preserve"> </w:t>
            </w:r>
            <w:r w:rsidR="007061B6" w:rsidRPr="00C921F5">
              <w:rPr>
                <w:rFonts w:eastAsia="Calibri"/>
                <w:sz w:val="24"/>
                <w:szCs w:val="24"/>
                <w:lang w:eastAsia="en-US"/>
              </w:rPr>
              <w:t>šo jomu neskar</w:t>
            </w:r>
            <w:r w:rsidR="00AC105D">
              <w:rPr>
                <w:rFonts w:eastAsia="Calibri"/>
                <w:sz w:val="24"/>
                <w:szCs w:val="24"/>
                <w:lang w:eastAsia="en-US"/>
              </w:rPr>
              <w:t>.</w:t>
            </w:r>
          </w:p>
        </w:tc>
      </w:tr>
      <w:tr w:rsidR="00A76C0A" w:rsidRPr="00C921F5" w14:paraId="6AF18C8D" w14:textId="77777777" w:rsidTr="00FA441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Administratīvo izmaksu monetārs novērtējums</w:t>
            </w:r>
          </w:p>
        </w:tc>
        <w:tc>
          <w:tcPr>
            <w:tcW w:w="6379" w:type="dxa"/>
            <w:tcBorders>
              <w:top w:val="outset" w:sz="6" w:space="0" w:color="414142"/>
              <w:left w:val="outset" w:sz="6" w:space="0" w:color="414142"/>
              <w:bottom w:val="outset" w:sz="6" w:space="0" w:color="414142"/>
              <w:right w:val="outset" w:sz="6" w:space="0" w:color="414142"/>
            </w:tcBorders>
            <w:hideMark/>
          </w:tcPr>
          <w:p w14:paraId="1C2C4F79" w14:textId="2C5A5850" w:rsidR="009A00EB" w:rsidRPr="00C921F5" w:rsidRDefault="003D0F93" w:rsidP="00B043DE">
            <w:pPr>
              <w:pStyle w:val="BodyText"/>
              <w:ind w:right="201"/>
              <w:contextualSpacing/>
              <w:rPr>
                <w:rFonts w:eastAsia="Calibri"/>
                <w:sz w:val="24"/>
                <w:szCs w:val="24"/>
                <w:lang w:eastAsia="en-US"/>
              </w:rPr>
            </w:pPr>
            <w:r w:rsidRPr="00C921F5">
              <w:rPr>
                <w:iCs/>
                <w:sz w:val="24"/>
                <w:szCs w:val="24"/>
              </w:rPr>
              <w:t>MK Noteikumu projekts</w:t>
            </w:r>
            <w:r w:rsidRPr="00C921F5" w:rsidDel="003D0F93">
              <w:rPr>
                <w:rFonts w:eastAsia="Calibri"/>
                <w:sz w:val="24"/>
                <w:szCs w:val="24"/>
                <w:lang w:eastAsia="en-US"/>
              </w:rPr>
              <w:t xml:space="preserve"> </w:t>
            </w:r>
            <w:r w:rsidR="009A00EB" w:rsidRPr="00C921F5">
              <w:rPr>
                <w:rFonts w:eastAsia="Calibri"/>
                <w:sz w:val="24"/>
                <w:szCs w:val="24"/>
                <w:lang w:eastAsia="en-US"/>
              </w:rPr>
              <w:t>šo jomu neskar</w:t>
            </w:r>
          </w:p>
        </w:tc>
      </w:tr>
      <w:tr w:rsidR="00A76C0A" w:rsidRPr="00C921F5" w14:paraId="259E0982" w14:textId="77777777" w:rsidTr="00FA4414">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Atbilstības izmaksu monetārs novērtējums</w:t>
            </w:r>
          </w:p>
        </w:tc>
        <w:tc>
          <w:tcPr>
            <w:tcW w:w="6379" w:type="dxa"/>
            <w:tcBorders>
              <w:top w:val="outset" w:sz="6" w:space="0" w:color="auto"/>
              <w:left w:val="outset" w:sz="6" w:space="0" w:color="auto"/>
              <w:bottom w:val="outset" w:sz="6" w:space="0" w:color="auto"/>
              <w:right w:val="outset" w:sz="6" w:space="0" w:color="auto"/>
            </w:tcBorders>
          </w:tcPr>
          <w:p w14:paraId="7C60B8CA" w14:textId="20FAC90F" w:rsidR="009A00EB" w:rsidRPr="00C921F5" w:rsidRDefault="003D0F93" w:rsidP="00B043DE">
            <w:pPr>
              <w:pStyle w:val="BodyText"/>
              <w:ind w:right="201"/>
              <w:contextualSpacing/>
              <w:rPr>
                <w:rFonts w:eastAsia="Calibri"/>
                <w:sz w:val="24"/>
                <w:szCs w:val="24"/>
                <w:lang w:eastAsia="en-US"/>
              </w:rPr>
            </w:pPr>
            <w:r w:rsidRPr="00C921F5">
              <w:rPr>
                <w:iCs/>
                <w:sz w:val="24"/>
                <w:szCs w:val="24"/>
              </w:rPr>
              <w:t>MK Noteikumu projekts</w:t>
            </w:r>
            <w:r w:rsidRPr="00C921F5" w:rsidDel="003D0F93">
              <w:rPr>
                <w:rFonts w:eastAsia="Calibri"/>
                <w:sz w:val="24"/>
                <w:szCs w:val="24"/>
                <w:lang w:eastAsia="en-US"/>
              </w:rPr>
              <w:t xml:space="preserve"> </w:t>
            </w:r>
            <w:r w:rsidR="009A00EB" w:rsidRPr="00C921F5">
              <w:rPr>
                <w:rFonts w:eastAsia="Calibri"/>
                <w:sz w:val="24"/>
                <w:szCs w:val="24"/>
                <w:lang w:eastAsia="en-US"/>
              </w:rPr>
              <w:t>šo jomu neskar</w:t>
            </w:r>
          </w:p>
        </w:tc>
      </w:tr>
      <w:tr w:rsidR="00A76C0A" w:rsidRPr="00C921F5" w14:paraId="14FCA979" w14:textId="77777777" w:rsidTr="00FA441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lastRenderedPageBreak/>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C921F5" w:rsidRDefault="009A00EB" w:rsidP="00B043DE">
            <w:pPr>
              <w:contextualSpacing/>
              <w:rPr>
                <w:rFonts w:eastAsia="Times New Roman"/>
                <w:sz w:val="24"/>
                <w:szCs w:val="24"/>
                <w:lang w:val="lv-LV" w:eastAsia="lv-LV"/>
              </w:rPr>
            </w:pPr>
            <w:r w:rsidRPr="00C921F5">
              <w:rPr>
                <w:rFonts w:eastAsia="Times New Roman"/>
                <w:sz w:val="24"/>
                <w:szCs w:val="24"/>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C921F5" w:rsidRDefault="009A00EB" w:rsidP="00B043DE">
            <w:pPr>
              <w:ind w:right="201"/>
              <w:contextualSpacing/>
              <w:jc w:val="both"/>
              <w:rPr>
                <w:sz w:val="24"/>
                <w:szCs w:val="24"/>
                <w:lang w:val="lv-LV"/>
              </w:rPr>
            </w:pPr>
            <w:r w:rsidRPr="00C921F5">
              <w:rPr>
                <w:sz w:val="24"/>
                <w:szCs w:val="24"/>
                <w:lang w:val="lv-LV"/>
              </w:rPr>
              <w:t>Nav</w:t>
            </w:r>
          </w:p>
        </w:tc>
      </w:tr>
    </w:tbl>
    <w:p w14:paraId="57F14BC5" w14:textId="001CFD96" w:rsidR="00844176" w:rsidRPr="00C921F5" w:rsidRDefault="00844176" w:rsidP="00B043DE">
      <w:pPr>
        <w:contextualSpacing/>
        <w:rPr>
          <w:rFonts w:eastAsia="Times New Roman"/>
          <w:sz w:val="24"/>
          <w:szCs w:val="24"/>
          <w:lang w:val="lv-LV" w:eastAsia="lv-LV"/>
        </w:rPr>
      </w:pPr>
    </w:p>
    <w:tbl>
      <w:tblPr>
        <w:tblW w:w="934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1335"/>
        <w:gridCol w:w="1215"/>
        <w:gridCol w:w="1314"/>
        <w:gridCol w:w="803"/>
        <w:gridCol w:w="1088"/>
        <w:gridCol w:w="883"/>
        <w:gridCol w:w="1088"/>
        <w:gridCol w:w="1204"/>
      </w:tblGrid>
      <w:tr w:rsidR="00BD1C32" w:rsidRPr="00A1427D" w14:paraId="433EAFD8" w14:textId="77777777" w:rsidTr="0043788C">
        <w:trPr>
          <w:trHeight w:val="249"/>
        </w:trPr>
        <w:tc>
          <w:tcPr>
            <w:tcW w:w="9348" w:type="dxa"/>
            <w:gridSpan w:val="9"/>
            <w:tcBorders>
              <w:top w:val="single" w:sz="4" w:space="0" w:color="auto"/>
              <w:left w:val="single" w:sz="4" w:space="0" w:color="auto"/>
              <w:bottom w:val="single" w:sz="4" w:space="0" w:color="auto"/>
              <w:right w:val="single" w:sz="4" w:space="0" w:color="auto"/>
            </w:tcBorders>
            <w:shd w:val="clear" w:color="auto" w:fill="auto"/>
          </w:tcPr>
          <w:p w14:paraId="3CEBF5BA" w14:textId="77777777" w:rsidR="00BD1C32" w:rsidRPr="00C921F5" w:rsidRDefault="00BD1C32" w:rsidP="001B6AC0">
            <w:pPr>
              <w:contextualSpacing/>
              <w:rPr>
                <w:rFonts w:eastAsia="Times New Roman"/>
                <w:b/>
                <w:bCs/>
                <w:sz w:val="24"/>
                <w:szCs w:val="24"/>
                <w:lang w:val="lv-LV" w:eastAsia="lv-LV"/>
              </w:rPr>
            </w:pPr>
            <w:r w:rsidRPr="00C921F5">
              <w:rPr>
                <w:rFonts w:eastAsia="Times New Roman"/>
                <w:b/>
                <w:bCs/>
                <w:sz w:val="24"/>
                <w:szCs w:val="24"/>
                <w:lang w:val="lv-LV" w:eastAsia="lv-LV"/>
              </w:rPr>
              <w:t>III. Tiesību akta projekta ietekme uz valsts budžetu un pašvaldību budžetiem</w:t>
            </w:r>
          </w:p>
        </w:tc>
      </w:tr>
      <w:tr w:rsidR="00BD1C32" w:rsidRPr="00C921F5" w14:paraId="76941E64"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CD20D" w14:textId="77777777" w:rsidR="00BD1C32" w:rsidRPr="00C921F5" w:rsidRDefault="00BD1C32" w:rsidP="001B6AC0">
            <w:pPr>
              <w:jc w:val="center"/>
              <w:rPr>
                <w:bCs/>
                <w:sz w:val="24"/>
                <w:szCs w:val="24"/>
                <w:lang w:val="lv-LV"/>
              </w:rPr>
            </w:pPr>
            <w:r w:rsidRPr="00C921F5">
              <w:rPr>
                <w:bCs/>
                <w:sz w:val="24"/>
                <w:szCs w:val="24"/>
                <w:lang w:val="lv-LV"/>
              </w:rPr>
              <w:t>Rādītāji</w:t>
            </w:r>
          </w:p>
        </w:tc>
        <w:tc>
          <w:tcPr>
            <w:tcW w:w="252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31BBB" w14:textId="2EAE534D" w:rsidR="00BD1C32" w:rsidRPr="00C921F5" w:rsidRDefault="0046742A" w:rsidP="001B6AC0">
            <w:pPr>
              <w:jc w:val="center"/>
              <w:rPr>
                <w:bCs/>
                <w:sz w:val="24"/>
                <w:szCs w:val="24"/>
                <w:lang w:val="lv-LV"/>
              </w:rPr>
            </w:pPr>
            <w:r w:rsidRPr="00C921F5">
              <w:rPr>
                <w:bCs/>
                <w:sz w:val="24"/>
                <w:szCs w:val="24"/>
                <w:lang w:val="lv-LV"/>
              </w:rPr>
              <w:t>2020.</w:t>
            </w:r>
            <w:r w:rsidR="00BD1C32" w:rsidRPr="00C921F5">
              <w:rPr>
                <w:bCs/>
                <w:sz w:val="24"/>
                <w:szCs w:val="24"/>
                <w:lang w:val="lv-LV"/>
              </w:rPr>
              <w:t>gads</w:t>
            </w:r>
          </w:p>
        </w:tc>
        <w:tc>
          <w:tcPr>
            <w:tcW w:w="506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BBB0F" w14:textId="77777777" w:rsidR="00BD1C32" w:rsidRPr="00C921F5" w:rsidRDefault="00BD1C32" w:rsidP="001B6AC0">
            <w:pPr>
              <w:jc w:val="center"/>
              <w:rPr>
                <w:sz w:val="24"/>
                <w:szCs w:val="24"/>
                <w:lang w:val="lv-LV"/>
              </w:rPr>
            </w:pPr>
            <w:r w:rsidRPr="00C921F5">
              <w:rPr>
                <w:sz w:val="24"/>
                <w:szCs w:val="24"/>
                <w:lang w:val="lv-LV"/>
              </w:rPr>
              <w:t>Turpmākie trīs gadi (</w:t>
            </w:r>
            <w:r w:rsidRPr="00C921F5">
              <w:rPr>
                <w:i/>
                <w:iCs/>
                <w:sz w:val="24"/>
                <w:szCs w:val="24"/>
                <w:lang w:val="lv-LV"/>
              </w:rPr>
              <w:t>euro</w:t>
            </w:r>
            <w:r w:rsidRPr="00C921F5">
              <w:rPr>
                <w:sz w:val="24"/>
                <w:szCs w:val="24"/>
                <w:lang w:val="lv-LV"/>
              </w:rPr>
              <w:t>)</w:t>
            </w:r>
          </w:p>
        </w:tc>
      </w:tr>
      <w:tr w:rsidR="00BD1C32" w:rsidRPr="00C921F5" w14:paraId="29003C68"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53" w:type="dxa"/>
            <w:gridSpan w:val="2"/>
            <w:vMerge/>
            <w:vAlign w:val="center"/>
            <w:hideMark/>
          </w:tcPr>
          <w:p w14:paraId="2B5ECA68" w14:textId="77777777" w:rsidR="00BD1C32" w:rsidRPr="00C921F5" w:rsidRDefault="00BD1C32" w:rsidP="001B6AC0">
            <w:pPr>
              <w:jc w:val="center"/>
              <w:rPr>
                <w:bCs/>
                <w:sz w:val="24"/>
                <w:szCs w:val="24"/>
                <w:lang w:val="lv-LV"/>
              </w:rPr>
            </w:pPr>
          </w:p>
        </w:tc>
        <w:tc>
          <w:tcPr>
            <w:tcW w:w="2529" w:type="dxa"/>
            <w:gridSpan w:val="2"/>
            <w:vMerge/>
            <w:vAlign w:val="center"/>
            <w:hideMark/>
          </w:tcPr>
          <w:p w14:paraId="6E87B6CB" w14:textId="77777777" w:rsidR="00BD1C32" w:rsidRPr="00C921F5" w:rsidRDefault="00BD1C32" w:rsidP="001B6AC0">
            <w:pPr>
              <w:jc w:val="center"/>
              <w:rPr>
                <w:bCs/>
                <w:sz w:val="24"/>
                <w:szCs w:val="24"/>
                <w:lang w:val="lv-LV"/>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C80BB" w14:textId="05DFC763" w:rsidR="00BD1C32" w:rsidRPr="00C921F5" w:rsidRDefault="0046742A" w:rsidP="001B6AC0">
            <w:pPr>
              <w:jc w:val="center"/>
              <w:rPr>
                <w:bCs/>
                <w:sz w:val="24"/>
                <w:szCs w:val="24"/>
                <w:lang w:val="lv-LV"/>
              </w:rPr>
            </w:pPr>
            <w:r w:rsidRPr="00C921F5">
              <w:rPr>
                <w:bCs/>
                <w:sz w:val="24"/>
                <w:szCs w:val="24"/>
                <w:lang w:val="lv-LV"/>
              </w:rPr>
              <w:t>2021</w:t>
            </w:r>
          </w:p>
        </w:tc>
        <w:tc>
          <w:tcPr>
            <w:tcW w:w="19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370DC" w14:textId="318BE427" w:rsidR="00BD1C32" w:rsidRPr="00C921F5" w:rsidRDefault="0046742A" w:rsidP="001B6AC0">
            <w:pPr>
              <w:jc w:val="center"/>
              <w:rPr>
                <w:bCs/>
                <w:sz w:val="24"/>
                <w:szCs w:val="24"/>
                <w:lang w:val="lv-LV"/>
              </w:rPr>
            </w:pPr>
            <w:r w:rsidRPr="00C921F5">
              <w:rPr>
                <w:bCs/>
                <w:sz w:val="24"/>
                <w:szCs w:val="24"/>
                <w:lang w:val="lv-LV"/>
              </w:rPr>
              <w:t>2022</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D631E" w14:textId="175F7B1F" w:rsidR="00BD1C32" w:rsidRPr="00C921F5" w:rsidRDefault="0046742A" w:rsidP="001B6AC0">
            <w:pPr>
              <w:jc w:val="center"/>
              <w:rPr>
                <w:bCs/>
                <w:sz w:val="24"/>
                <w:szCs w:val="24"/>
                <w:lang w:val="lv-LV"/>
              </w:rPr>
            </w:pPr>
            <w:r w:rsidRPr="00C921F5">
              <w:rPr>
                <w:bCs/>
                <w:sz w:val="24"/>
                <w:szCs w:val="24"/>
                <w:lang w:val="lv-LV"/>
              </w:rPr>
              <w:t>2023</w:t>
            </w:r>
          </w:p>
        </w:tc>
      </w:tr>
      <w:tr w:rsidR="00BD1C32" w:rsidRPr="00C921F5" w14:paraId="0EFE290D"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53" w:type="dxa"/>
            <w:gridSpan w:val="2"/>
            <w:vMerge/>
            <w:vAlign w:val="center"/>
            <w:hideMark/>
          </w:tcPr>
          <w:p w14:paraId="091A38B4" w14:textId="77777777" w:rsidR="00BD1C32" w:rsidRPr="00C921F5" w:rsidRDefault="00BD1C32" w:rsidP="001B6AC0">
            <w:pPr>
              <w:jc w:val="center"/>
              <w:rPr>
                <w:b/>
                <w:bCs/>
                <w:sz w:val="24"/>
                <w:szCs w:val="24"/>
                <w:lang w:val="lv-LV"/>
              </w:rPr>
            </w:pP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FDF97A" w14:textId="77777777" w:rsidR="00BD1C32" w:rsidRPr="00C921F5" w:rsidRDefault="00BD1C32" w:rsidP="001B6AC0">
            <w:pPr>
              <w:jc w:val="center"/>
              <w:rPr>
                <w:sz w:val="24"/>
                <w:szCs w:val="24"/>
                <w:lang w:val="lv-LV"/>
              </w:rPr>
            </w:pPr>
            <w:r w:rsidRPr="00C921F5">
              <w:rPr>
                <w:sz w:val="24"/>
                <w:szCs w:val="24"/>
                <w:lang w:val="lv-LV"/>
              </w:rPr>
              <w:t>saskaņā ar valsts budžetu kārtējam gadam</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89DFB" w14:textId="77777777" w:rsidR="00BD1C32" w:rsidRPr="00C921F5" w:rsidRDefault="00BD1C32" w:rsidP="001B6AC0">
            <w:pPr>
              <w:jc w:val="center"/>
              <w:rPr>
                <w:sz w:val="24"/>
                <w:szCs w:val="24"/>
                <w:lang w:val="lv-LV"/>
              </w:rPr>
            </w:pPr>
            <w:r w:rsidRPr="00C921F5">
              <w:rPr>
                <w:sz w:val="24"/>
                <w:szCs w:val="24"/>
                <w:lang w:val="lv-LV"/>
              </w:rPr>
              <w:t>izmaiņas kārtējā gadā, salīdzinot ar valsts budžetu kārtējam gadam</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165CD" w14:textId="77777777" w:rsidR="00BD1C32" w:rsidRPr="00C921F5" w:rsidRDefault="00BD1C32" w:rsidP="001B6AC0">
            <w:pPr>
              <w:jc w:val="center"/>
              <w:rPr>
                <w:sz w:val="24"/>
                <w:szCs w:val="24"/>
                <w:lang w:val="lv-LV"/>
              </w:rPr>
            </w:pPr>
            <w:r w:rsidRPr="00C921F5">
              <w:rPr>
                <w:sz w:val="24"/>
                <w:szCs w:val="24"/>
                <w:lang w:val="lv-LV"/>
              </w:rPr>
              <w:t>saskaņā ar vidēja termiņa budžeta ietvaru</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B251E" w14:textId="44F8AF89" w:rsidR="00BD1C32" w:rsidRPr="00C921F5" w:rsidRDefault="00BD1C32" w:rsidP="003A3887">
            <w:pPr>
              <w:jc w:val="center"/>
              <w:rPr>
                <w:sz w:val="24"/>
                <w:szCs w:val="24"/>
                <w:lang w:val="lv-LV"/>
              </w:rPr>
            </w:pPr>
            <w:r w:rsidRPr="00C921F5">
              <w:rPr>
                <w:sz w:val="24"/>
                <w:szCs w:val="24"/>
                <w:lang w:val="lv-LV"/>
              </w:rPr>
              <w:t xml:space="preserve">izmaiņas, salīdzinot ar vidēja termiņa budžeta ietvaru </w:t>
            </w:r>
            <w:r w:rsidR="003A3887" w:rsidRPr="00C921F5">
              <w:rPr>
                <w:sz w:val="24"/>
                <w:szCs w:val="24"/>
                <w:lang w:val="lv-LV"/>
              </w:rPr>
              <w:t xml:space="preserve">2021. </w:t>
            </w:r>
            <w:r w:rsidRPr="00C921F5">
              <w:rPr>
                <w:sz w:val="24"/>
                <w:szCs w:val="24"/>
                <w:lang w:val="lv-LV"/>
              </w:rPr>
              <w:t>gadam</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BB9DA" w14:textId="77777777" w:rsidR="00BD1C32" w:rsidRPr="00C921F5" w:rsidRDefault="00BD1C32" w:rsidP="001B6AC0">
            <w:pPr>
              <w:jc w:val="center"/>
              <w:rPr>
                <w:sz w:val="24"/>
                <w:szCs w:val="24"/>
                <w:lang w:val="lv-LV"/>
              </w:rPr>
            </w:pPr>
            <w:r w:rsidRPr="00C921F5">
              <w:rPr>
                <w:sz w:val="24"/>
                <w:szCs w:val="24"/>
                <w:lang w:val="lv-LV"/>
              </w:rPr>
              <w:t>saskaņā ar vidēja termiņa budžeta ietvaru</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5C4C0" w14:textId="1373003A" w:rsidR="00BD1C32" w:rsidRPr="00C921F5" w:rsidRDefault="00BD1C32" w:rsidP="003A3887">
            <w:pPr>
              <w:jc w:val="center"/>
              <w:rPr>
                <w:sz w:val="24"/>
                <w:szCs w:val="24"/>
                <w:lang w:val="lv-LV"/>
              </w:rPr>
            </w:pPr>
            <w:r w:rsidRPr="00C921F5">
              <w:rPr>
                <w:sz w:val="24"/>
                <w:szCs w:val="24"/>
                <w:lang w:val="lv-LV"/>
              </w:rPr>
              <w:t xml:space="preserve">izmaiņas, salīdzinot ar vidēja termiņa budžeta ietvaru </w:t>
            </w:r>
            <w:r w:rsidR="003A3887" w:rsidRPr="00C921F5">
              <w:rPr>
                <w:sz w:val="24"/>
                <w:szCs w:val="24"/>
                <w:lang w:val="lv-LV"/>
              </w:rPr>
              <w:t xml:space="preserve">2022. </w:t>
            </w:r>
            <w:r w:rsidRPr="00C921F5">
              <w:rPr>
                <w:sz w:val="24"/>
                <w:szCs w:val="24"/>
                <w:lang w:val="lv-LV"/>
              </w:rPr>
              <w:t>gadam</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9CA9A" w14:textId="3DDC6DC3" w:rsidR="00BD1C32" w:rsidRPr="00C921F5" w:rsidRDefault="00BD1C32" w:rsidP="003A3887">
            <w:pPr>
              <w:jc w:val="center"/>
              <w:rPr>
                <w:sz w:val="24"/>
                <w:szCs w:val="24"/>
                <w:lang w:val="lv-LV"/>
              </w:rPr>
            </w:pPr>
            <w:r w:rsidRPr="00C921F5">
              <w:rPr>
                <w:sz w:val="24"/>
                <w:szCs w:val="24"/>
                <w:lang w:val="lv-LV"/>
              </w:rPr>
              <w:t xml:space="preserve">izmaiņas, salīdzinot ar vidēja termiņa budžeta ietvaru </w:t>
            </w:r>
            <w:r w:rsidRPr="00C921F5">
              <w:rPr>
                <w:sz w:val="24"/>
                <w:szCs w:val="24"/>
                <w:lang w:val="lv-LV"/>
              </w:rPr>
              <w:br/>
            </w:r>
            <w:r w:rsidR="003A3887" w:rsidRPr="00C921F5">
              <w:rPr>
                <w:sz w:val="24"/>
                <w:szCs w:val="24"/>
                <w:lang w:val="lv-LV"/>
              </w:rPr>
              <w:t xml:space="preserve">2022. </w:t>
            </w:r>
            <w:r w:rsidRPr="00C921F5">
              <w:rPr>
                <w:sz w:val="24"/>
                <w:szCs w:val="24"/>
                <w:lang w:val="lv-LV"/>
              </w:rPr>
              <w:t>gadam</w:t>
            </w:r>
          </w:p>
        </w:tc>
      </w:tr>
      <w:tr w:rsidR="00BD1C32" w:rsidRPr="00C921F5" w14:paraId="589AAC77"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7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9868D" w14:textId="77777777" w:rsidR="00BD1C32" w:rsidRPr="00C921F5" w:rsidRDefault="00BD1C32" w:rsidP="001B6AC0">
            <w:pPr>
              <w:jc w:val="center"/>
              <w:rPr>
                <w:sz w:val="24"/>
                <w:szCs w:val="24"/>
                <w:lang w:val="lv-LV"/>
              </w:rPr>
            </w:pPr>
            <w:r w:rsidRPr="00C921F5">
              <w:rPr>
                <w:sz w:val="24"/>
                <w:szCs w:val="24"/>
                <w:lang w:val="lv-LV"/>
              </w:rPr>
              <w:t>1</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BBD38" w14:textId="77777777" w:rsidR="00BD1C32" w:rsidRPr="00C921F5" w:rsidRDefault="00BD1C32" w:rsidP="001B6AC0">
            <w:pPr>
              <w:jc w:val="center"/>
              <w:rPr>
                <w:sz w:val="24"/>
                <w:szCs w:val="24"/>
                <w:lang w:val="lv-LV"/>
              </w:rPr>
            </w:pPr>
            <w:r w:rsidRPr="00C921F5">
              <w:rPr>
                <w:sz w:val="24"/>
                <w:szCs w:val="24"/>
                <w:lang w:val="lv-LV"/>
              </w:rPr>
              <w:t>2</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6D9B2" w14:textId="77777777" w:rsidR="00BD1C32" w:rsidRPr="00C921F5" w:rsidRDefault="00BD1C32" w:rsidP="001B6AC0">
            <w:pPr>
              <w:jc w:val="center"/>
              <w:rPr>
                <w:sz w:val="24"/>
                <w:szCs w:val="24"/>
                <w:lang w:val="lv-LV"/>
              </w:rPr>
            </w:pPr>
            <w:r w:rsidRPr="00C921F5">
              <w:rPr>
                <w:sz w:val="24"/>
                <w:szCs w:val="24"/>
                <w:lang w:val="lv-LV"/>
              </w:rPr>
              <w:t>3</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A5F07" w14:textId="77777777" w:rsidR="00BD1C32" w:rsidRPr="00C921F5" w:rsidRDefault="00BD1C32" w:rsidP="001B6AC0">
            <w:pPr>
              <w:jc w:val="center"/>
              <w:rPr>
                <w:sz w:val="24"/>
                <w:szCs w:val="24"/>
                <w:lang w:val="lv-LV"/>
              </w:rPr>
            </w:pPr>
            <w:r w:rsidRPr="00C921F5">
              <w:rPr>
                <w:sz w:val="24"/>
                <w:szCs w:val="24"/>
                <w:lang w:val="lv-LV"/>
              </w:rPr>
              <w:t>4</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C4F76" w14:textId="77777777" w:rsidR="00BD1C32" w:rsidRPr="00C921F5" w:rsidRDefault="00BD1C32" w:rsidP="001B6AC0">
            <w:pPr>
              <w:jc w:val="center"/>
              <w:rPr>
                <w:sz w:val="24"/>
                <w:szCs w:val="24"/>
                <w:lang w:val="lv-LV"/>
              </w:rPr>
            </w:pPr>
            <w:r w:rsidRPr="00C921F5">
              <w:rPr>
                <w:sz w:val="24"/>
                <w:szCs w:val="24"/>
                <w:lang w:val="lv-LV"/>
              </w:rPr>
              <w:t>5</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11306" w14:textId="77777777" w:rsidR="00BD1C32" w:rsidRPr="00C921F5" w:rsidRDefault="00BD1C32" w:rsidP="001B6AC0">
            <w:pPr>
              <w:jc w:val="center"/>
              <w:rPr>
                <w:sz w:val="24"/>
                <w:szCs w:val="24"/>
                <w:lang w:val="lv-LV"/>
              </w:rPr>
            </w:pPr>
            <w:r w:rsidRPr="00C921F5">
              <w:rPr>
                <w:sz w:val="24"/>
                <w:szCs w:val="24"/>
                <w:lang w:val="lv-LV"/>
              </w:rPr>
              <w:t>6</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39DA8" w14:textId="77777777" w:rsidR="00BD1C32" w:rsidRPr="00C921F5" w:rsidRDefault="00BD1C32" w:rsidP="001B6AC0">
            <w:pPr>
              <w:jc w:val="center"/>
              <w:rPr>
                <w:sz w:val="24"/>
                <w:szCs w:val="24"/>
                <w:lang w:val="lv-LV"/>
              </w:rPr>
            </w:pPr>
            <w:r w:rsidRPr="00C921F5">
              <w:rPr>
                <w:sz w:val="24"/>
                <w:szCs w:val="24"/>
                <w:lang w:val="lv-LV"/>
              </w:rPr>
              <w:t>7</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03ECA7" w14:textId="77777777" w:rsidR="00BD1C32" w:rsidRPr="00C921F5" w:rsidRDefault="00BD1C32" w:rsidP="001B6AC0">
            <w:pPr>
              <w:jc w:val="center"/>
              <w:rPr>
                <w:sz w:val="24"/>
                <w:szCs w:val="24"/>
                <w:lang w:val="lv-LV"/>
              </w:rPr>
            </w:pPr>
            <w:r w:rsidRPr="00C921F5">
              <w:rPr>
                <w:sz w:val="24"/>
                <w:szCs w:val="24"/>
                <w:lang w:val="lv-LV"/>
              </w:rPr>
              <w:t>8</w:t>
            </w:r>
          </w:p>
        </w:tc>
      </w:tr>
      <w:tr w:rsidR="00BD1C32" w:rsidRPr="00C921F5" w14:paraId="2181116B"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73D5A" w14:textId="77777777" w:rsidR="00BD1C32" w:rsidRPr="00C921F5" w:rsidRDefault="00BD1C32" w:rsidP="001B6AC0">
            <w:pPr>
              <w:rPr>
                <w:sz w:val="24"/>
                <w:szCs w:val="24"/>
                <w:lang w:val="lv-LV"/>
              </w:rPr>
            </w:pPr>
            <w:r w:rsidRPr="00C921F5">
              <w:rPr>
                <w:sz w:val="24"/>
                <w:szCs w:val="24"/>
                <w:lang w:val="lv-LV"/>
              </w:rPr>
              <w:t>1. Budžeta ieņēmumi</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983A8"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C9554" w14:textId="77777777" w:rsidR="00BD1C32" w:rsidRPr="00C921F5" w:rsidRDefault="00BD1C32" w:rsidP="001B6AC0">
            <w:pPr>
              <w:jc w:val="center"/>
              <w:rPr>
                <w:sz w:val="24"/>
                <w:szCs w:val="24"/>
                <w:lang w:val="lv-LV"/>
              </w:rPr>
            </w:pPr>
            <w:r w:rsidRPr="00C921F5">
              <w:rPr>
                <w:sz w:val="24"/>
                <w:szCs w:val="24"/>
                <w:lang w:val="lv-LV"/>
              </w:rPr>
              <w:t>0</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9946E"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FFC6E"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3D1D7"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602B1"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D21520" w14:textId="77777777" w:rsidR="00BD1C32" w:rsidRPr="00C921F5" w:rsidRDefault="00BD1C32" w:rsidP="001B6AC0">
            <w:pPr>
              <w:jc w:val="center"/>
              <w:rPr>
                <w:sz w:val="24"/>
                <w:szCs w:val="24"/>
                <w:lang w:val="lv-LV"/>
              </w:rPr>
            </w:pPr>
            <w:r w:rsidRPr="00C921F5">
              <w:rPr>
                <w:sz w:val="24"/>
                <w:szCs w:val="24"/>
                <w:lang w:val="lv-LV"/>
              </w:rPr>
              <w:t>0</w:t>
            </w:r>
          </w:p>
        </w:tc>
      </w:tr>
      <w:tr w:rsidR="0046742A" w:rsidRPr="00C921F5" w14:paraId="28B06CA5"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90FE9F" w14:textId="130D75EF" w:rsidR="0046742A" w:rsidRPr="00C921F5" w:rsidRDefault="0046742A" w:rsidP="0046742A">
            <w:pPr>
              <w:rPr>
                <w:sz w:val="24"/>
                <w:szCs w:val="24"/>
                <w:lang w:val="lv-LV"/>
              </w:rPr>
            </w:pPr>
            <w:r w:rsidRPr="00C921F5">
              <w:rPr>
                <w:sz w:val="24"/>
                <w:szCs w:val="24"/>
                <w:lang w:val="lv-LV"/>
              </w:rPr>
              <w:t>1.1. valsts pamatbudžets</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4DABA" w14:textId="06720621" w:rsidR="0046742A" w:rsidRPr="00C921F5" w:rsidRDefault="0046742A" w:rsidP="0046742A">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7D78D" w14:textId="42C25925" w:rsidR="0046742A" w:rsidRPr="00C921F5" w:rsidRDefault="0046742A" w:rsidP="0046742A">
            <w:pPr>
              <w:jc w:val="center"/>
              <w:rPr>
                <w:sz w:val="24"/>
                <w:szCs w:val="24"/>
                <w:lang w:val="lv-LV"/>
              </w:rPr>
            </w:pPr>
            <w:r w:rsidRPr="00C921F5">
              <w:rPr>
                <w:sz w:val="24"/>
                <w:szCs w:val="24"/>
                <w:lang w:val="lv-LV"/>
              </w:rPr>
              <w:t>0</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52F16" w14:textId="47E54B54" w:rsidR="0046742A" w:rsidRPr="00C921F5" w:rsidRDefault="0046742A" w:rsidP="0046742A">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C4A4A" w14:textId="4287C0E3" w:rsidR="0046742A" w:rsidRPr="00C921F5" w:rsidRDefault="0046742A" w:rsidP="0046742A">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AD6EB" w14:textId="6CFFA977" w:rsidR="0046742A" w:rsidRPr="00C921F5" w:rsidRDefault="0046742A" w:rsidP="0046742A">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3CDA2" w14:textId="271534BD" w:rsidR="0046742A" w:rsidRPr="00C921F5" w:rsidRDefault="0046742A" w:rsidP="0046742A">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4BF02" w14:textId="73950FE6" w:rsidR="0046742A" w:rsidRPr="00C921F5" w:rsidRDefault="0046742A" w:rsidP="0046742A">
            <w:pPr>
              <w:jc w:val="center"/>
              <w:rPr>
                <w:sz w:val="24"/>
                <w:szCs w:val="24"/>
                <w:lang w:val="lv-LV"/>
              </w:rPr>
            </w:pPr>
            <w:r w:rsidRPr="00C921F5">
              <w:rPr>
                <w:sz w:val="24"/>
                <w:szCs w:val="24"/>
                <w:lang w:val="lv-LV"/>
              </w:rPr>
              <w:t>0</w:t>
            </w:r>
          </w:p>
        </w:tc>
      </w:tr>
      <w:tr w:rsidR="0046742A" w:rsidRPr="00C921F5" w14:paraId="65AD8C5B"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86524B" w14:textId="388FD135" w:rsidR="0046742A" w:rsidRPr="00C921F5" w:rsidRDefault="0046742A" w:rsidP="0046742A">
            <w:pPr>
              <w:rPr>
                <w:sz w:val="24"/>
                <w:szCs w:val="24"/>
                <w:lang w:val="lv-LV"/>
              </w:rPr>
            </w:pPr>
            <w:r w:rsidRPr="00C921F5">
              <w:rPr>
                <w:sz w:val="24"/>
                <w:szCs w:val="24"/>
                <w:lang w:val="lv-LV"/>
              </w:rPr>
              <w:t>1.2. valsts speciālais budžets</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FC896" w14:textId="0059B267" w:rsidR="0046742A" w:rsidRPr="00C921F5" w:rsidRDefault="0046742A" w:rsidP="0046742A">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14:paraId="177C4942" w14:textId="77777777" w:rsidR="0046742A" w:rsidRPr="00C921F5" w:rsidRDefault="0046742A" w:rsidP="0046742A">
            <w:pPr>
              <w:jc w:val="center"/>
              <w:rPr>
                <w:sz w:val="24"/>
                <w:szCs w:val="24"/>
                <w:lang w:val="lv-LV"/>
              </w:rPr>
            </w:pPr>
          </w:p>
          <w:p w14:paraId="0C8EE4F5" w14:textId="3C4E00AA" w:rsidR="0046742A" w:rsidRPr="00C921F5" w:rsidRDefault="0046742A" w:rsidP="0046742A">
            <w:pPr>
              <w:jc w:val="center"/>
              <w:rPr>
                <w:sz w:val="24"/>
                <w:szCs w:val="24"/>
                <w:lang w:val="lv-LV"/>
              </w:rPr>
            </w:pPr>
            <w:r w:rsidRPr="00C921F5">
              <w:rPr>
                <w:sz w:val="24"/>
                <w:szCs w:val="24"/>
                <w:lang w:val="lv-LV"/>
              </w:rPr>
              <w:t>0</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242E6" w14:textId="6E306007" w:rsidR="0046742A" w:rsidRPr="00C921F5" w:rsidRDefault="0046742A" w:rsidP="0046742A">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D5EBA" w14:textId="50E0D309" w:rsidR="0046742A" w:rsidRPr="00C921F5" w:rsidRDefault="0046742A" w:rsidP="0046742A">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7D1FF" w14:textId="5C0CDD8E" w:rsidR="0046742A" w:rsidRPr="00C921F5" w:rsidRDefault="0046742A" w:rsidP="0046742A">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007F8" w14:textId="749C6FE4" w:rsidR="0046742A" w:rsidRPr="00C921F5" w:rsidRDefault="0046742A" w:rsidP="0046742A">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70E3" w14:textId="307D7FD4" w:rsidR="0046742A" w:rsidRPr="00C921F5" w:rsidRDefault="0046742A" w:rsidP="0046742A">
            <w:pPr>
              <w:jc w:val="center"/>
              <w:rPr>
                <w:sz w:val="24"/>
                <w:szCs w:val="24"/>
                <w:lang w:val="lv-LV"/>
              </w:rPr>
            </w:pPr>
            <w:r w:rsidRPr="00C921F5">
              <w:rPr>
                <w:sz w:val="24"/>
                <w:szCs w:val="24"/>
                <w:lang w:val="lv-LV"/>
              </w:rPr>
              <w:t>0</w:t>
            </w:r>
          </w:p>
        </w:tc>
      </w:tr>
      <w:tr w:rsidR="0046742A" w:rsidRPr="00C921F5" w14:paraId="10B564F7"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90490B" w14:textId="599DC78C" w:rsidR="0046742A" w:rsidRPr="00C921F5" w:rsidRDefault="0046742A" w:rsidP="0046742A">
            <w:pPr>
              <w:rPr>
                <w:sz w:val="24"/>
                <w:szCs w:val="24"/>
                <w:lang w:val="lv-LV"/>
              </w:rPr>
            </w:pPr>
            <w:r w:rsidRPr="00C921F5">
              <w:rPr>
                <w:sz w:val="24"/>
                <w:szCs w:val="24"/>
                <w:lang w:val="lv-LV"/>
              </w:rPr>
              <w:t>1.1. valsts pamatbudžets</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F05CF" w14:textId="14FD3668" w:rsidR="0046742A" w:rsidRPr="00C921F5" w:rsidRDefault="0046742A" w:rsidP="0046742A">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EB5BC" w14:textId="7B6712ED" w:rsidR="0046742A" w:rsidRPr="00C921F5" w:rsidRDefault="0046742A" w:rsidP="0046742A">
            <w:pPr>
              <w:jc w:val="center"/>
              <w:rPr>
                <w:sz w:val="24"/>
                <w:szCs w:val="24"/>
                <w:lang w:val="lv-LV"/>
              </w:rPr>
            </w:pPr>
            <w:r w:rsidRPr="00C921F5">
              <w:rPr>
                <w:sz w:val="24"/>
                <w:szCs w:val="24"/>
                <w:lang w:val="lv-LV"/>
              </w:rPr>
              <w:t>0</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B77A" w14:textId="5BDDEC49" w:rsidR="0046742A" w:rsidRPr="00C921F5" w:rsidRDefault="0046742A" w:rsidP="0046742A">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1966A" w14:textId="6BBE9F88" w:rsidR="0046742A" w:rsidRPr="00C921F5" w:rsidRDefault="0046742A" w:rsidP="0046742A">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44B35" w14:textId="0AFB1DA5" w:rsidR="0046742A" w:rsidRPr="00C921F5" w:rsidRDefault="0046742A" w:rsidP="0046742A">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5FCE7" w14:textId="5EACF285" w:rsidR="0046742A" w:rsidRPr="00C921F5" w:rsidRDefault="0046742A" w:rsidP="0046742A">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42326" w14:textId="2BE0BF45" w:rsidR="0046742A" w:rsidRPr="00C921F5" w:rsidRDefault="0046742A" w:rsidP="0046742A">
            <w:pPr>
              <w:jc w:val="center"/>
              <w:rPr>
                <w:sz w:val="24"/>
                <w:szCs w:val="24"/>
                <w:lang w:val="lv-LV"/>
              </w:rPr>
            </w:pPr>
            <w:r w:rsidRPr="00C921F5">
              <w:rPr>
                <w:sz w:val="24"/>
                <w:szCs w:val="24"/>
                <w:lang w:val="lv-LV"/>
              </w:rPr>
              <w:t>0</w:t>
            </w:r>
          </w:p>
        </w:tc>
      </w:tr>
      <w:tr w:rsidR="00BD1C32" w:rsidRPr="00C921F5" w14:paraId="3B7965E6"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85F076" w14:textId="77777777" w:rsidR="00BD1C32" w:rsidRPr="00C921F5" w:rsidRDefault="00BD1C32" w:rsidP="001B6AC0">
            <w:pPr>
              <w:rPr>
                <w:sz w:val="24"/>
                <w:szCs w:val="24"/>
                <w:lang w:val="lv-LV"/>
              </w:rPr>
            </w:pPr>
            <w:r w:rsidRPr="00C921F5">
              <w:rPr>
                <w:sz w:val="24"/>
                <w:szCs w:val="24"/>
                <w:lang w:val="lv-LV"/>
              </w:rPr>
              <w:t>2. Budžeta izdevumi</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E0B9"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C472" w14:textId="4719A3D6" w:rsidR="00BD1C32" w:rsidRPr="00C921F5" w:rsidRDefault="00BD1C32" w:rsidP="001B6AC0">
            <w:pPr>
              <w:jc w:val="center"/>
              <w:rPr>
                <w:sz w:val="24"/>
                <w:szCs w:val="24"/>
                <w:lang w:val="lv-LV"/>
              </w:rPr>
            </w:pPr>
            <w:r w:rsidRPr="00C921F5">
              <w:rPr>
                <w:sz w:val="24"/>
                <w:szCs w:val="24"/>
                <w:lang w:val="lv-LV"/>
              </w:rPr>
              <w:t xml:space="preserve">40 000 000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7F579"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103AD"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6D9F2"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3C113"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2DD87"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629F829F"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470AF0" w14:textId="77777777" w:rsidR="00BD1C32" w:rsidRPr="00C921F5" w:rsidRDefault="00BD1C32" w:rsidP="001B6AC0">
            <w:pPr>
              <w:rPr>
                <w:sz w:val="24"/>
                <w:szCs w:val="24"/>
                <w:lang w:val="lv-LV"/>
              </w:rPr>
            </w:pPr>
            <w:r w:rsidRPr="00C921F5">
              <w:rPr>
                <w:sz w:val="24"/>
                <w:szCs w:val="24"/>
                <w:lang w:val="lv-LV"/>
              </w:rPr>
              <w:t>2.1. valsts pamatbudžets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B5F9F"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026B6" w14:textId="7C42876D" w:rsidR="00BD1C32" w:rsidRPr="00C921F5" w:rsidRDefault="00BD1C32" w:rsidP="001B6AC0">
            <w:pPr>
              <w:jc w:val="center"/>
              <w:rPr>
                <w:sz w:val="24"/>
                <w:szCs w:val="24"/>
                <w:lang w:val="lv-LV"/>
              </w:rPr>
            </w:pPr>
            <w:r w:rsidRPr="00C921F5">
              <w:rPr>
                <w:sz w:val="24"/>
                <w:szCs w:val="24"/>
                <w:lang w:val="lv-LV"/>
              </w:rPr>
              <w:t xml:space="preserve">40 000 000 </w:t>
            </w:r>
          </w:p>
          <w:p w14:paraId="25A9E6B1" w14:textId="77777777" w:rsidR="00BD1C32" w:rsidRPr="00C921F5" w:rsidRDefault="00BD1C32" w:rsidP="001B6AC0">
            <w:pPr>
              <w:jc w:val="center"/>
              <w:rPr>
                <w:sz w:val="24"/>
                <w:szCs w:val="24"/>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3CE39"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B23D7"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E5B8"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BA2ED"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4B32"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7B991E17"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62F637" w14:textId="77777777" w:rsidR="00BD1C32" w:rsidRPr="00C921F5" w:rsidRDefault="00BD1C32" w:rsidP="001B6AC0">
            <w:pPr>
              <w:rPr>
                <w:sz w:val="24"/>
                <w:szCs w:val="24"/>
                <w:lang w:val="lv-LV"/>
              </w:rPr>
            </w:pPr>
            <w:r w:rsidRPr="00C921F5">
              <w:rPr>
                <w:sz w:val="24"/>
                <w:szCs w:val="24"/>
                <w:lang w:val="lv-LV"/>
              </w:rPr>
              <w:t>2.2. valsts speciālais budžets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C5767"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BF77" w14:textId="77777777" w:rsidR="00BD1C32" w:rsidRPr="00C921F5" w:rsidRDefault="00BD1C32" w:rsidP="001B6AC0">
            <w:pPr>
              <w:jc w:val="center"/>
              <w:rPr>
                <w:sz w:val="24"/>
                <w:szCs w:val="24"/>
                <w:lang w:val="lv-LV"/>
              </w:rPr>
            </w:pPr>
            <w:r w:rsidRPr="00C921F5">
              <w:rPr>
                <w:sz w:val="24"/>
                <w:szCs w:val="24"/>
                <w:lang w:val="lv-LV"/>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B2926"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6674"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54D33"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F8E4C"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2BB52"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4303E706"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44860" w14:textId="77777777" w:rsidR="00BD1C32" w:rsidRPr="00C921F5" w:rsidRDefault="00BD1C32" w:rsidP="001B6AC0">
            <w:pPr>
              <w:rPr>
                <w:sz w:val="24"/>
                <w:szCs w:val="24"/>
                <w:lang w:val="lv-LV"/>
              </w:rPr>
            </w:pPr>
            <w:r w:rsidRPr="00C921F5">
              <w:rPr>
                <w:sz w:val="24"/>
                <w:szCs w:val="24"/>
                <w:lang w:val="lv-LV"/>
              </w:rPr>
              <w:t>2.3. pašvaldību budžets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953A1"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A2FA4" w14:textId="77777777" w:rsidR="00BD1C32" w:rsidRPr="00C921F5" w:rsidRDefault="00BD1C32" w:rsidP="001B6AC0">
            <w:pPr>
              <w:jc w:val="center"/>
              <w:rPr>
                <w:sz w:val="24"/>
                <w:szCs w:val="24"/>
                <w:lang w:val="lv-LV"/>
              </w:rPr>
            </w:pPr>
            <w:r w:rsidRPr="00C921F5">
              <w:rPr>
                <w:sz w:val="24"/>
                <w:szCs w:val="24"/>
                <w:lang w:val="lv-LV"/>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6C7D"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8BCF3"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58F8"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FFC0"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6AE6"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042BA0EC"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C2B97C" w14:textId="77777777" w:rsidR="00BD1C32" w:rsidRPr="00C921F5" w:rsidRDefault="00BD1C32" w:rsidP="001B6AC0">
            <w:pPr>
              <w:rPr>
                <w:sz w:val="24"/>
                <w:szCs w:val="24"/>
                <w:lang w:val="lv-LV"/>
              </w:rPr>
            </w:pPr>
            <w:r w:rsidRPr="00C921F5">
              <w:rPr>
                <w:sz w:val="24"/>
                <w:szCs w:val="24"/>
                <w:lang w:val="lv-LV"/>
              </w:rPr>
              <w:t>3. Finansiālā ietekme</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27787"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059B2" w14:textId="03AD4C1E" w:rsidR="00BD1C32" w:rsidRPr="00C921F5" w:rsidRDefault="00BD1C32" w:rsidP="001B6AC0">
            <w:pPr>
              <w:jc w:val="center"/>
              <w:rPr>
                <w:sz w:val="24"/>
                <w:szCs w:val="24"/>
                <w:lang w:val="lv-LV"/>
              </w:rPr>
            </w:pPr>
            <w:r w:rsidRPr="00C921F5">
              <w:rPr>
                <w:sz w:val="24"/>
                <w:szCs w:val="24"/>
                <w:lang w:val="lv-LV"/>
              </w:rPr>
              <w:t xml:space="preserve">-40 000 000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F1D5"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34F13"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4573"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1370"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C6E2D"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694819AB"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C938DB" w14:textId="77777777" w:rsidR="00BD1C32" w:rsidRPr="00C921F5" w:rsidRDefault="00BD1C32" w:rsidP="001B6AC0">
            <w:pPr>
              <w:rPr>
                <w:sz w:val="24"/>
                <w:szCs w:val="24"/>
                <w:lang w:val="lv-LV"/>
              </w:rPr>
            </w:pPr>
            <w:r w:rsidRPr="00C921F5">
              <w:rPr>
                <w:sz w:val="24"/>
                <w:szCs w:val="24"/>
                <w:lang w:val="lv-LV"/>
              </w:rPr>
              <w:t>3.1. valsts pamatbudžets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6E918"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93F20" w14:textId="31D3A06F" w:rsidR="00BD1C32" w:rsidRPr="00C921F5" w:rsidRDefault="00BD1C32" w:rsidP="001B6AC0">
            <w:pPr>
              <w:jc w:val="center"/>
              <w:rPr>
                <w:sz w:val="24"/>
                <w:szCs w:val="24"/>
                <w:lang w:val="lv-LV"/>
              </w:rPr>
            </w:pPr>
            <w:r w:rsidRPr="00C921F5">
              <w:rPr>
                <w:sz w:val="24"/>
                <w:szCs w:val="24"/>
                <w:lang w:val="lv-LV"/>
              </w:rPr>
              <w:t xml:space="preserve">-40 000 000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75669"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E54B"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B3E57"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967A"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09E5D"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4BF66E60"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0DA4B1" w14:textId="77777777" w:rsidR="00BD1C32" w:rsidRPr="00C921F5" w:rsidRDefault="00BD1C32" w:rsidP="001B6AC0">
            <w:pPr>
              <w:rPr>
                <w:sz w:val="24"/>
                <w:szCs w:val="24"/>
                <w:lang w:val="lv-LV"/>
              </w:rPr>
            </w:pPr>
            <w:r w:rsidRPr="00C921F5">
              <w:rPr>
                <w:sz w:val="24"/>
                <w:szCs w:val="24"/>
                <w:lang w:val="lv-LV"/>
              </w:rPr>
              <w:t>3.2. speciālais budžets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DF89"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35E51" w14:textId="77777777" w:rsidR="00BD1C32" w:rsidRPr="00C921F5" w:rsidRDefault="00BD1C32" w:rsidP="001B6AC0">
            <w:pPr>
              <w:jc w:val="center"/>
              <w:rPr>
                <w:sz w:val="24"/>
                <w:szCs w:val="24"/>
                <w:lang w:val="lv-LV"/>
              </w:rPr>
            </w:pPr>
            <w:r w:rsidRPr="00C921F5">
              <w:rPr>
                <w:sz w:val="24"/>
                <w:szCs w:val="24"/>
                <w:lang w:val="lv-LV"/>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61135"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F88A"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1C19D"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D8B10"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CB55D"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65FEE592"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F53E8D" w14:textId="77777777" w:rsidR="00BD1C32" w:rsidRPr="00C921F5" w:rsidRDefault="00BD1C32" w:rsidP="001B6AC0">
            <w:pPr>
              <w:rPr>
                <w:sz w:val="24"/>
                <w:szCs w:val="24"/>
                <w:lang w:val="lv-LV"/>
              </w:rPr>
            </w:pPr>
            <w:r w:rsidRPr="00C921F5">
              <w:rPr>
                <w:sz w:val="24"/>
                <w:szCs w:val="24"/>
                <w:lang w:val="lv-LV"/>
              </w:rPr>
              <w:t>3.3. pašvaldību budžets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D93B9"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D448" w14:textId="77777777" w:rsidR="00BD1C32" w:rsidRPr="00C921F5" w:rsidRDefault="00BD1C32" w:rsidP="001B6AC0">
            <w:pPr>
              <w:jc w:val="center"/>
              <w:rPr>
                <w:sz w:val="24"/>
                <w:szCs w:val="24"/>
                <w:lang w:val="lv-LV"/>
              </w:rPr>
            </w:pPr>
            <w:r w:rsidRPr="00C921F5">
              <w:rPr>
                <w:sz w:val="24"/>
                <w:szCs w:val="24"/>
                <w:lang w:val="lv-LV"/>
              </w:rPr>
              <w:t>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4B136"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F4366"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97A4"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B4486"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8944"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767EC778"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B9F325" w14:textId="77777777" w:rsidR="00BD1C32" w:rsidRPr="00C921F5" w:rsidRDefault="00BD1C32" w:rsidP="001B6AC0">
            <w:pPr>
              <w:rPr>
                <w:sz w:val="24"/>
                <w:szCs w:val="24"/>
                <w:lang w:val="lv-LV"/>
              </w:rPr>
            </w:pPr>
            <w:r w:rsidRPr="00C921F5">
              <w:rPr>
                <w:sz w:val="24"/>
                <w:szCs w:val="24"/>
                <w:lang w:val="lv-LV"/>
              </w:rPr>
              <w:lastRenderedPageBreak/>
              <w:t>4. Finanšu līdzekļi papildu izdevumu finansēšanai (kompensējošu izdevumu samazinājumu norāda ar "+" zīmi)</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BBDE"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FD01" w14:textId="597A4EB7" w:rsidR="00BD1C32" w:rsidRPr="00C921F5" w:rsidRDefault="003C1ADF" w:rsidP="001B6AC0">
            <w:pPr>
              <w:jc w:val="center"/>
              <w:rPr>
                <w:sz w:val="24"/>
                <w:szCs w:val="24"/>
                <w:lang w:val="lv-LV"/>
              </w:rPr>
            </w:pPr>
            <w:r>
              <w:rPr>
                <w:sz w:val="24"/>
                <w:szCs w:val="24"/>
                <w:lang w:val="lv-LV"/>
              </w:rPr>
              <w:t>+</w:t>
            </w:r>
            <w:r w:rsidR="003B5CB2" w:rsidRPr="00C921F5">
              <w:rPr>
                <w:sz w:val="24"/>
                <w:szCs w:val="24"/>
                <w:lang w:val="lv-LV"/>
              </w:rPr>
              <w:t>40 000 000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E289"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D6D12" w14:textId="77777777" w:rsidR="00BD1C32" w:rsidRPr="00C921F5" w:rsidRDefault="00BD1C32" w:rsidP="001B6AC0">
            <w:pPr>
              <w:jc w:val="center"/>
              <w:rPr>
                <w:sz w:val="24"/>
                <w:szCs w:val="24"/>
                <w:lang w:val="lv-LV"/>
              </w:rPr>
            </w:pPr>
            <w:r w:rsidRPr="00C921F5">
              <w:rPr>
                <w:sz w:val="24"/>
                <w:szCs w:val="24"/>
                <w:lang w:val="lv-LV"/>
              </w:rPr>
              <w:t>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3A6F"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8792"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1BE4F"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702E5864"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74093" w14:textId="77777777" w:rsidR="00BD1C32" w:rsidRPr="00C921F5" w:rsidRDefault="00BD1C32" w:rsidP="001B6AC0">
            <w:pPr>
              <w:rPr>
                <w:sz w:val="24"/>
                <w:szCs w:val="24"/>
                <w:lang w:val="lv-LV"/>
              </w:rPr>
            </w:pPr>
            <w:r w:rsidRPr="00C921F5">
              <w:rPr>
                <w:sz w:val="24"/>
                <w:szCs w:val="24"/>
                <w:lang w:val="lv-LV"/>
              </w:rPr>
              <w:t>5. Precizēta finansiālā ietekme</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53C84" w14:textId="77777777" w:rsidR="00BD1C32" w:rsidRPr="00C921F5" w:rsidRDefault="00BD1C32" w:rsidP="001B6AC0">
            <w:pPr>
              <w:jc w:val="center"/>
              <w:rPr>
                <w:sz w:val="24"/>
                <w:szCs w:val="24"/>
                <w:lang w:val="lv-LV"/>
              </w:rPr>
            </w:pPr>
            <w:r w:rsidRPr="00C921F5">
              <w:rPr>
                <w:sz w:val="24"/>
                <w:szCs w:val="24"/>
                <w:lang w:val="lv-LV"/>
              </w:rPr>
              <w:t>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F6A31" w14:textId="2D293EF5" w:rsidR="00BD1C32" w:rsidRPr="00C921F5" w:rsidRDefault="003B5CB2" w:rsidP="001B6AC0">
            <w:pPr>
              <w:jc w:val="center"/>
              <w:rPr>
                <w:sz w:val="24"/>
                <w:szCs w:val="24"/>
                <w:lang w:val="lv-LV"/>
              </w:rPr>
            </w:pPr>
            <w:r>
              <w:rPr>
                <w:sz w:val="24"/>
                <w:szCs w:val="24"/>
                <w:lang w:val="lv-LV"/>
              </w:rPr>
              <w:t>0</w:t>
            </w:r>
            <w:r w:rsidR="00BD1C32" w:rsidRPr="00C921F5">
              <w:rPr>
                <w:sz w:val="24"/>
                <w:szCs w:val="24"/>
                <w:lang w:val="lv-LV"/>
              </w:rPr>
              <w:t xml:space="preserve"> </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9DCA0"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1C5A9" w14:textId="77777777" w:rsidR="00BD1C32" w:rsidRPr="00C921F5" w:rsidRDefault="00BD1C32" w:rsidP="001B6AC0">
            <w:pPr>
              <w:jc w:val="center"/>
              <w:rPr>
                <w:sz w:val="24"/>
                <w:szCs w:val="24"/>
                <w:lang w:val="lv-LV"/>
              </w:rPr>
            </w:pPr>
            <w:r w:rsidRPr="00C921F5">
              <w:rPr>
                <w:sz w:val="24"/>
                <w:szCs w:val="24"/>
                <w:lang w:val="lv-LV"/>
              </w:rPr>
              <w:t>0</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8AE93" w14:textId="77777777" w:rsidR="00BD1C32" w:rsidRPr="00C921F5" w:rsidRDefault="00BD1C32" w:rsidP="001B6AC0">
            <w:pPr>
              <w:jc w:val="center"/>
              <w:rPr>
                <w:sz w:val="24"/>
                <w:szCs w:val="24"/>
                <w:lang w:val="lv-LV"/>
              </w:rPr>
            </w:pPr>
            <w:r w:rsidRPr="00C921F5">
              <w:rPr>
                <w:sz w:val="24"/>
                <w:szCs w:val="24"/>
                <w:lang w:val="lv-LV"/>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1080"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C2D5"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188696A6"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01ED90" w14:textId="77777777" w:rsidR="00BD1C32" w:rsidRPr="00C921F5" w:rsidRDefault="00BD1C32" w:rsidP="001B6AC0">
            <w:pPr>
              <w:rPr>
                <w:sz w:val="24"/>
                <w:szCs w:val="24"/>
                <w:lang w:val="lv-LV"/>
              </w:rPr>
            </w:pPr>
            <w:r w:rsidRPr="00C921F5">
              <w:rPr>
                <w:sz w:val="24"/>
                <w:szCs w:val="24"/>
                <w:lang w:val="lv-LV"/>
              </w:rPr>
              <w:t>5.1. valsts pamatbudžets</w:t>
            </w:r>
          </w:p>
        </w:tc>
        <w:tc>
          <w:tcPr>
            <w:tcW w:w="1215" w:type="dxa"/>
            <w:vMerge/>
            <w:vAlign w:val="center"/>
            <w:hideMark/>
          </w:tcPr>
          <w:p w14:paraId="0E038342" w14:textId="77777777" w:rsidR="00BD1C32" w:rsidRPr="00C921F5" w:rsidRDefault="00BD1C32" w:rsidP="001B6AC0">
            <w:pPr>
              <w:jc w:val="center"/>
              <w:rPr>
                <w:sz w:val="24"/>
                <w:szCs w:val="24"/>
                <w:lang w:val="lv-LV"/>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F3B91" w14:textId="7D7A7EE5" w:rsidR="00BD1C32" w:rsidRPr="00C921F5" w:rsidRDefault="003B5CB2" w:rsidP="001B6AC0">
            <w:pPr>
              <w:jc w:val="center"/>
              <w:rPr>
                <w:sz w:val="24"/>
                <w:szCs w:val="24"/>
                <w:lang w:val="lv-LV"/>
              </w:rPr>
            </w:pPr>
            <w:r>
              <w:rPr>
                <w:sz w:val="24"/>
                <w:szCs w:val="24"/>
                <w:lang w:val="lv-LV"/>
              </w:rPr>
              <w:t>0</w:t>
            </w:r>
            <w:r w:rsidR="00BD1C32" w:rsidRPr="00C921F5">
              <w:rPr>
                <w:sz w:val="24"/>
                <w:szCs w:val="24"/>
                <w:lang w:val="lv-LV"/>
              </w:rPr>
              <w:t xml:space="preserve"> </w:t>
            </w:r>
          </w:p>
        </w:tc>
        <w:tc>
          <w:tcPr>
            <w:tcW w:w="803" w:type="dxa"/>
            <w:vMerge/>
            <w:vAlign w:val="center"/>
            <w:hideMark/>
          </w:tcPr>
          <w:p w14:paraId="242CF32F" w14:textId="77777777" w:rsidR="00BD1C32" w:rsidRPr="00C921F5" w:rsidRDefault="00BD1C32" w:rsidP="001B6AC0">
            <w:pPr>
              <w:jc w:val="center"/>
              <w:rPr>
                <w:sz w:val="24"/>
                <w:szCs w:val="24"/>
                <w:lang w:val="lv-LV"/>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0CD1" w14:textId="77777777" w:rsidR="00BD1C32" w:rsidRPr="00C921F5" w:rsidRDefault="00BD1C32" w:rsidP="001B6AC0">
            <w:pPr>
              <w:jc w:val="center"/>
              <w:rPr>
                <w:sz w:val="24"/>
                <w:szCs w:val="24"/>
                <w:lang w:val="lv-LV"/>
              </w:rPr>
            </w:pPr>
            <w:r w:rsidRPr="00C921F5">
              <w:rPr>
                <w:sz w:val="24"/>
                <w:szCs w:val="24"/>
                <w:lang w:val="lv-LV"/>
              </w:rPr>
              <w:t>0</w:t>
            </w:r>
          </w:p>
        </w:tc>
        <w:tc>
          <w:tcPr>
            <w:tcW w:w="883" w:type="dxa"/>
            <w:vMerge/>
            <w:vAlign w:val="center"/>
            <w:hideMark/>
          </w:tcPr>
          <w:p w14:paraId="444A975A" w14:textId="77777777" w:rsidR="00BD1C32" w:rsidRPr="00C921F5" w:rsidRDefault="00BD1C32" w:rsidP="001B6AC0">
            <w:pPr>
              <w:jc w:val="center"/>
              <w:rPr>
                <w:sz w:val="24"/>
                <w:szCs w:val="24"/>
                <w:lang w:val="lv-LV"/>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210C"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C2E5"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556D0E75"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4E0E68" w14:textId="77777777" w:rsidR="00BD1C32" w:rsidRPr="00C921F5" w:rsidRDefault="00BD1C32" w:rsidP="001B6AC0">
            <w:pPr>
              <w:rPr>
                <w:sz w:val="24"/>
                <w:szCs w:val="24"/>
                <w:lang w:val="lv-LV"/>
              </w:rPr>
            </w:pPr>
            <w:r w:rsidRPr="00C921F5">
              <w:rPr>
                <w:sz w:val="24"/>
                <w:szCs w:val="24"/>
                <w:lang w:val="lv-LV"/>
              </w:rPr>
              <w:t>5.2. speciālais budžets</w:t>
            </w:r>
          </w:p>
        </w:tc>
        <w:tc>
          <w:tcPr>
            <w:tcW w:w="1215" w:type="dxa"/>
            <w:vMerge/>
            <w:vAlign w:val="center"/>
            <w:hideMark/>
          </w:tcPr>
          <w:p w14:paraId="138B9D27" w14:textId="77777777" w:rsidR="00BD1C32" w:rsidRPr="00C921F5" w:rsidRDefault="00BD1C32" w:rsidP="001B6AC0">
            <w:pPr>
              <w:jc w:val="center"/>
              <w:rPr>
                <w:sz w:val="24"/>
                <w:szCs w:val="24"/>
                <w:lang w:val="lv-LV"/>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88DE6" w14:textId="77777777" w:rsidR="00BD1C32" w:rsidRPr="00C921F5" w:rsidRDefault="00BD1C32" w:rsidP="001B6AC0">
            <w:pPr>
              <w:jc w:val="center"/>
              <w:rPr>
                <w:sz w:val="24"/>
                <w:szCs w:val="24"/>
                <w:lang w:val="lv-LV"/>
              </w:rPr>
            </w:pPr>
            <w:r w:rsidRPr="00C921F5">
              <w:rPr>
                <w:sz w:val="24"/>
                <w:szCs w:val="24"/>
                <w:lang w:val="lv-LV"/>
              </w:rPr>
              <w:t>0</w:t>
            </w:r>
          </w:p>
        </w:tc>
        <w:tc>
          <w:tcPr>
            <w:tcW w:w="803" w:type="dxa"/>
            <w:vMerge/>
            <w:vAlign w:val="center"/>
            <w:hideMark/>
          </w:tcPr>
          <w:p w14:paraId="3F089B41" w14:textId="77777777" w:rsidR="00BD1C32" w:rsidRPr="00C921F5" w:rsidRDefault="00BD1C32" w:rsidP="001B6AC0">
            <w:pPr>
              <w:jc w:val="center"/>
              <w:rPr>
                <w:sz w:val="24"/>
                <w:szCs w:val="24"/>
                <w:lang w:val="lv-LV"/>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8D944" w14:textId="77777777" w:rsidR="00BD1C32" w:rsidRPr="00C921F5" w:rsidRDefault="00BD1C32" w:rsidP="001B6AC0">
            <w:pPr>
              <w:jc w:val="center"/>
              <w:rPr>
                <w:sz w:val="24"/>
                <w:szCs w:val="24"/>
                <w:lang w:val="lv-LV"/>
              </w:rPr>
            </w:pPr>
            <w:r w:rsidRPr="00C921F5">
              <w:rPr>
                <w:sz w:val="24"/>
                <w:szCs w:val="24"/>
                <w:lang w:val="lv-LV"/>
              </w:rPr>
              <w:t>0</w:t>
            </w:r>
          </w:p>
        </w:tc>
        <w:tc>
          <w:tcPr>
            <w:tcW w:w="883" w:type="dxa"/>
            <w:vMerge/>
            <w:vAlign w:val="center"/>
            <w:hideMark/>
          </w:tcPr>
          <w:p w14:paraId="47F3D893" w14:textId="77777777" w:rsidR="00BD1C32" w:rsidRPr="00C921F5" w:rsidRDefault="00BD1C32" w:rsidP="001B6AC0">
            <w:pPr>
              <w:jc w:val="center"/>
              <w:rPr>
                <w:sz w:val="24"/>
                <w:szCs w:val="24"/>
                <w:lang w:val="lv-LV"/>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5531"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9382E"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C921F5" w14:paraId="07A5C739"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D07EDC" w14:textId="77777777" w:rsidR="00BD1C32" w:rsidRPr="00C921F5" w:rsidRDefault="00BD1C32" w:rsidP="001B6AC0">
            <w:pPr>
              <w:rPr>
                <w:sz w:val="24"/>
                <w:szCs w:val="24"/>
                <w:lang w:val="lv-LV"/>
              </w:rPr>
            </w:pPr>
            <w:r w:rsidRPr="00C921F5">
              <w:rPr>
                <w:sz w:val="24"/>
                <w:szCs w:val="24"/>
                <w:lang w:val="lv-LV"/>
              </w:rPr>
              <w:t>5.3. pašvaldību budžets</w:t>
            </w:r>
          </w:p>
        </w:tc>
        <w:tc>
          <w:tcPr>
            <w:tcW w:w="1215" w:type="dxa"/>
            <w:vMerge/>
            <w:vAlign w:val="center"/>
            <w:hideMark/>
          </w:tcPr>
          <w:p w14:paraId="009FAE65" w14:textId="77777777" w:rsidR="00BD1C32" w:rsidRPr="00C921F5" w:rsidRDefault="00BD1C32" w:rsidP="001B6AC0">
            <w:pPr>
              <w:jc w:val="center"/>
              <w:rPr>
                <w:sz w:val="24"/>
                <w:szCs w:val="24"/>
                <w:lang w:val="lv-LV"/>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FE75" w14:textId="77777777" w:rsidR="00BD1C32" w:rsidRPr="00C921F5" w:rsidRDefault="00BD1C32" w:rsidP="001B6AC0">
            <w:pPr>
              <w:jc w:val="center"/>
              <w:rPr>
                <w:sz w:val="24"/>
                <w:szCs w:val="24"/>
                <w:lang w:val="lv-LV"/>
              </w:rPr>
            </w:pPr>
            <w:r w:rsidRPr="00C921F5">
              <w:rPr>
                <w:sz w:val="24"/>
                <w:szCs w:val="24"/>
                <w:lang w:val="lv-LV"/>
              </w:rPr>
              <w:t>0</w:t>
            </w:r>
          </w:p>
        </w:tc>
        <w:tc>
          <w:tcPr>
            <w:tcW w:w="803" w:type="dxa"/>
            <w:vMerge/>
            <w:vAlign w:val="center"/>
            <w:hideMark/>
          </w:tcPr>
          <w:p w14:paraId="46BB96F6" w14:textId="77777777" w:rsidR="00BD1C32" w:rsidRPr="00C921F5" w:rsidRDefault="00BD1C32" w:rsidP="001B6AC0">
            <w:pPr>
              <w:jc w:val="center"/>
              <w:rPr>
                <w:sz w:val="24"/>
                <w:szCs w:val="24"/>
                <w:lang w:val="lv-LV"/>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3326" w14:textId="77777777" w:rsidR="00BD1C32" w:rsidRPr="00C921F5" w:rsidRDefault="00BD1C32" w:rsidP="001B6AC0">
            <w:pPr>
              <w:jc w:val="center"/>
              <w:rPr>
                <w:sz w:val="24"/>
                <w:szCs w:val="24"/>
                <w:lang w:val="lv-LV"/>
              </w:rPr>
            </w:pPr>
            <w:r w:rsidRPr="00C921F5">
              <w:rPr>
                <w:sz w:val="24"/>
                <w:szCs w:val="24"/>
                <w:lang w:val="lv-LV"/>
              </w:rPr>
              <w:t>0</w:t>
            </w:r>
          </w:p>
        </w:tc>
        <w:tc>
          <w:tcPr>
            <w:tcW w:w="883" w:type="dxa"/>
            <w:vMerge/>
            <w:vAlign w:val="center"/>
            <w:hideMark/>
          </w:tcPr>
          <w:p w14:paraId="4E05F772" w14:textId="77777777" w:rsidR="00BD1C32" w:rsidRPr="00C921F5" w:rsidRDefault="00BD1C32" w:rsidP="001B6AC0">
            <w:pPr>
              <w:jc w:val="center"/>
              <w:rPr>
                <w:sz w:val="24"/>
                <w:szCs w:val="24"/>
                <w:lang w:val="lv-LV"/>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2A48F" w14:textId="77777777" w:rsidR="00BD1C32" w:rsidRPr="00C921F5" w:rsidRDefault="00BD1C32" w:rsidP="001B6AC0">
            <w:pPr>
              <w:jc w:val="center"/>
              <w:rPr>
                <w:sz w:val="24"/>
                <w:szCs w:val="24"/>
                <w:lang w:val="lv-LV"/>
              </w:rPr>
            </w:pPr>
            <w:r w:rsidRPr="00C921F5">
              <w:rPr>
                <w:sz w:val="24"/>
                <w:szCs w:val="24"/>
                <w:lang w:val="lv-LV"/>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FDB1D" w14:textId="77777777" w:rsidR="00BD1C32" w:rsidRPr="00C921F5" w:rsidRDefault="00BD1C32" w:rsidP="001B6AC0">
            <w:pPr>
              <w:jc w:val="center"/>
              <w:rPr>
                <w:sz w:val="24"/>
                <w:szCs w:val="24"/>
                <w:lang w:val="lv-LV"/>
              </w:rPr>
            </w:pPr>
            <w:r w:rsidRPr="00C921F5">
              <w:rPr>
                <w:sz w:val="24"/>
                <w:szCs w:val="24"/>
                <w:lang w:val="lv-LV"/>
              </w:rPr>
              <w:t>0</w:t>
            </w:r>
          </w:p>
        </w:tc>
      </w:tr>
      <w:tr w:rsidR="00BD1C32" w:rsidRPr="00A1427D" w14:paraId="70794CCC"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D88775" w14:textId="77777777" w:rsidR="00BD1C32" w:rsidRPr="00C921F5" w:rsidRDefault="00BD1C32" w:rsidP="001B6AC0">
            <w:pPr>
              <w:rPr>
                <w:sz w:val="24"/>
                <w:szCs w:val="24"/>
                <w:lang w:val="lv-LV"/>
              </w:rPr>
            </w:pPr>
            <w:r w:rsidRPr="00C921F5">
              <w:rPr>
                <w:sz w:val="24"/>
                <w:szCs w:val="24"/>
                <w:lang w:val="lv-LV"/>
              </w:rPr>
              <w:t>6. Detalizēts ieņēmumu un izdevumu aprēķins (ja nepieciešams, detalizētu ieņēmumu un izdevumu aprēķinu var pievienot anotācijas pielikumā)</w:t>
            </w:r>
          </w:p>
        </w:tc>
        <w:tc>
          <w:tcPr>
            <w:tcW w:w="75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3EBC6" w14:textId="4C6BB0A0" w:rsidR="0046742A" w:rsidRPr="00C921F5" w:rsidRDefault="0046742A" w:rsidP="0046742A">
            <w:pPr>
              <w:shd w:val="clear" w:color="auto" w:fill="FFFFFF"/>
              <w:contextualSpacing/>
              <w:jc w:val="both"/>
              <w:rPr>
                <w:rFonts w:eastAsia="Times New Roman"/>
                <w:color w:val="000000"/>
                <w:sz w:val="24"/>
                <w:szCs w:val="24"/>
                <w:lang w:val="lv-LV"/>
              </w:rPr>
            </w:pPr>
            <w:r w:rsidRPr="00C921F5">
              <w:rPr>
                <w:rFonts w:eastAsia="Times New Roman"/>
                <w:color w:val="000000"/>
                <w:sz w:val="24"/>
                <w:szCs w:val="24"/>
                <w:lang w:val="lv-LV"/>
              </w:rPr>
              <w:t xml:space="preserve">Finansējums 40 000 000 </w:t>
            </w:r>
            <w:r w:rsidRPr="00C921F5">
              <w:rPr>
                <w:rFonts w:eastAsia="Times New Roman"/>
                <w:i/>
                <w:iCs/>
                <w:color w:val="000000"/>
                <w:sz w:val="24"/>
                <w:szCs w:val="24"/>
                <w:lang w:val="lv-LV"/>
              </w:rPr>
              <w:t xml:space="preserve">euro </w:t>
            </w:r>
            <w:r w:rsidRPr="00C921F5">
              <w:rPr>
                <w:rFonts w:eastAsia="Times New Roman"/>
                <w:color w:val="000000"/>
                <w:sz w:val="24"/>
                <w:szCs w:val="24"/>
                <w:lang w:val="lv-LV"/>
              </w:rPr>
              <w:t>apmērā tiks nodrošināts, Finanšu ministrijai palielinot  Ekonomikas ministrijai resursus no dotācijas no vispārējiem</w:t>
            </w:r>
            <w:r w:rsidRPr="00C921F5">
              <w:rPr>
                <w:sz w:val="24"/>
                <w:szCs w:val="24"/>
                <w:lang w:val="lv-LV"/>
              </w:rPr>
              <w:t xml:space="preserve"> </w:t>
            </w:r>
            <w:r w:rsidRPr="00C921F5">
              <w:rPr>
                <w:rFonts w:eastAsia="Times New Roman"/>
                <w:color w:val="000000"/>
                <w:sz w:val="24"/>
                <w:szCs w:val="24"/>
                <w:lang w:val="lv-LV"/>
              </w:rPr>
              <w:t xml:space="preserve">ieņēmumiem, kas tiks ieskaitīti akciju sabiedrības “Altum”  rezerves kapitālā </w:t>
            </w:r>
            <w:r w:rsidR="003A3887" w:rsidRPr="00C921F5">
              <w:rPr>
                <w:rFonts w:eastAsia="Times New Roman"/>
                <w:color w:val="000000"/>
                <w:sz w:val="24"/>
                <w:szCs w:val="24"/>
                <w:lang w:val="lv-LV"/>
              </w:rPr>
              <w:t xml:space="preserve">krīzes garantiju </w:t>
            </w:r>
            <w:r w:rsidRPr="00C921F5">
              <w:rPr>
                <w:rFonts w:eastAsia="Times New Roman"/>
                <w:color w:val="000000"/>
                <w:sz w:val="24"/>
                <w:szCs w:val="24"/>
                <w:lang w:val="lv-LV"/>
              </w:rPr>
              <w:t xml:space="preserve"> programmas finansēšanai.</w:t>
            </w:r>
          </w:p>
          <w:p w14:paraId="76D184B8" w14:textId="3F171B46" w:rsidR="00BD1C32" w:rsidRPr="00C921F5" w:rsidRDefault="00BD1C32" w:rsidP="001B6AC0">
            <w:pPr>
              <w:jc w:val="both"/>
              <w:rPr>
                <w:rFonts w:eastAsia="Times New Roman"/>
                <w:sz w:val="24"/>
                <w:szCs w:val="24"/>
                <w:lang w:val="lv-LV" w:eastAsia="lv-LV"/>
              </w:rPr>
            </w:pPr>
            <w:r w:rsidRPr="00C921F5">
              <w:rPr>
                <w:rFonts w:eastAsia="Times New Roman"/>
                <w:sz w:val="24"/>
                <w:szCs w:val="24"/>
                <w:lang w:val="lv-LV" w:eastAsia="lv-LV"/>
              </w:rPr>
              <w:t xml:space="preserve">Programmas finansējums tiks novirzīts sabiedrības “Altum” pārvaldības izmaksām un sagaidāmajiem kredītriska zaudējumiem, sabiedrības “Altum” izdevumu kompensācijai </w:t>
            </w:r>
            <w:r w:rsidR="006F681A" w:rsidRPr="00C921F5">
              <w:rPr>
                <w:rFonts w:eastAsia="Times New Roman"/>
                <w:sz w:val="24"/>
                <w:szCs w:val="24"/>
                <w:lang w:val="lv-LV" w:eastAsia="lv-LV"/>
              </w:rPr>
              <w:t xml:space="preserve">garantiju </w:t>
            </w:r>
            <w:r w:rsidRPr="00C921F5">
              <w:rPr>
                <w:rFonts w:eastAsia="Times New Roman"/>
                <w:sz w:val="24"/>
                <w:szCs w:val="24"/>
                <w:lang w:val="lv-LV" w:eastAsia="lv-LV"/>
              </w:rPr>
              <w:t>vērtības samazinājuma gadījumiem.</w:t>
            </w:r>
            <w:r w:rsidR="006342EF" w:rsidRPr="00C921F5">
              <w:rPr>
                <w:rFonts w:eastAsia="Times New Roman"/>
                <w:sz w:val="24"/>
                <w:szCs w:val="24"/>
                <w:lang w:val="lv-LV" w:eastAsia="lv-LV"/>
              </w:rPr>
              <w:t xml:space="preserve"> </w:t>
            </w:r>
          </w:p>
          <w:p w14:paraId="5EDD725D" w14:textId="77777777" w:rsidR="00BD1C32" w:rsidRPr="00C921F5" w:rsidRDefault="00BD1C32" w:rsidP="001B6AC0">
            <w:pPr>
              <w:jc w:val="center"/>
              <w:rPr>
                <w:sz w:val="24"/>
                <w:szCs w:val="24"/>
                <w:lang w:val="lv-LV"/>
              </w:rPr>
            </w:pPr>
          </w:p>
        </w:tc>
      </w:tr>
      <w:tr w:rsidR="00BD1C32" w:rsidRPr="00C921F5" w14:paraId="19EF41AC"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842757" w14:textId="77777777" w:rsidR="00BD1C32" w:rsidRPr="00C921F5" w:rsidRDefault="00BD1C32" w:rsidP="001B6AC0">
            <w:pPr>
              <w:rPr>
                <w:sz w:val="24"/>
                <w:szCs w:val="24"/>
                <w:lang w:val="lv-LV"/>
              </w:rPr>
            </w:pPr>
            <w:r w:rsidRPr="00C921F5">
              <w:rPr>
                <w:sz w:val="24"/>
                <w:szCs w:val="24"/>
                <w:lang w:val="lv-LV"/>
              </w:rPr>
              <w:t>6.1. detalizēts ieņēmumu aprēķins</w:t>
            </w:r>
          </w:p>
        </w:tc>
        <w:tc>
          <w:tcPr>
            <w:tcW w:w="7595" w:type="dxa"/>
            <w:gridSpan w:val="7"/>
            <w:vMerge/>
            <w:vAlign w:val="center"/>
            <w:hideMark/>
          </w:tcPr>
          <w:p w14:paraId="00E630EA" w14:textId="77777777" w:rsidR="00BD1C32" w:rsidRPr="00C921F5" w:rsidRDefault="00BD1C32" w:rsidP="001B6AC0">
            <w:pPr>
              <w:jc w:val="center"/>
              <w:rPr>
                <w:sz w:val="24"/>
                <w:szCs w:val="24"/>
                <w:lang w:val="lv-LV"/>
              </w:rPr>
            </w:pPr>
          </w:p>
        </w:tc>
      </w:tr>
      <w:tr w:rsidR="00BD1C32" w:rsidRPr="00C921F5" w14:paraId="113E81DC"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B733F6" w14:textId="77777777" w:rsidR="00BD1C32" w:rsidRPr="00C921F5" w:rsidRDefault="00BD1C32" w:rsidP="001B6AC0">
            <w:pPr>
              <w:rPr>
                <w:sz w:val="24"/>
                <w:szCs w:val="24"/>
                <w:lang w:val="lv-LV"/>
              </w:rPr>
            </w:pPr>
            <w:r w:rsidRPr="00C921F5">
              <w:rPr>
                <w:sz w:val="24"/>
                <w:szCs w:val="24"/>
                <w:lang w:val="lv-LV"/>
              </w:rPr>
              <w:t>6.2. detalizēts izdevumu aprēķins</w:t>
            </w:r>
          </w:p>
        </w:tc>
        <w:tc>
          <w:tcPr>
            <w:tcW w:w="7595" w:type="dxa"/>
            <w:gridSpan w:val="7"/>
            <w:vMerge/>
            <w:vAlign w:val="center"/>
            <w:hideMark/>
          </w:tcPr>
          <w:p w14:paraId="3151267E" w14:textId="77777777" w:rsidR="00BD1C32" w:rsidRPr="00C921F5" w:rsidRDefault="00BD1C32" w:rsidP="001B6AC0">
            <w:pPr>
              <w:jc w:val="center"/>
              <w:rPr>
                <w:sz w:val="24"/>
                <w:szCs w:val="24"/>
                <w:lang w:val="lv-LV"/>
              </w:rPr>
            </w:pPr>
          </w:p>
        </w:tc>
      </w:tr>
      <w:tr w:rsidR="00BD1C32" w:rsidRPr="00C921F5" w14:paraId="69D9C02E"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089B18" w14:textId="77777777" w:rsidR="00BD1C32" w:rsidRPr="00C921F5" w:rsidRDefault="00BD1C32" w:rsidP="001B6AC0">
            <w:pPr>
              <w:rPr>
                <w:sz w:val="24"/>
                <w:szCs w:val="24"/>
                <w:lang w:val="lv-LV"/>
              </w:rPr>
            </w:pPr>
            <w:r w:rsidRPr="00C921F5">
              <w:rPr>
                <w:sz w:val="24"/>
                <w:szCs w:val="24"/>
                <w:lang w:val="lv-LV"/>
              </w:rPr>
              <w:t>7. Amata vietu skaita izmaiņas</w:t>
            </w:r>
          </w:p>
        </w:tc>
        <w:tc>
          <w:tcPr>
            <w:tcW w:w="75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3332B276" w14:textId="07BAF11F" w:rsidR="00BD1C32" w:rsidRPr="00C921F5" w:rsidRDefault="003D0F93" w:rsidP="001B6AC0">
            <w:pPr>
              <w:jc w:val="both"/>
              <w:rPr>
                <w:rFonts w:eastAsia="Times New Roman"/>
                <w:sz w:val="24"/>
                <w:szCs w:val="24"/>
                <w:lang w:val="lv-LV" w:eastAsia="lv-LV"/>
              </w:rPr>
            </w:pPr>
            <w:r w:rsidRPr="00C921F5">
              <w:rPr>
                <w:rFonts w:eastAsia="Times New Roman"/>
                <w:iCs/>
                <w:sz w:val="24"/>
                <w:szCs w:val="24"/>
                <w:lang w:val="lv-LV"/>
              </w:rPr>
              <w:t>MK Noteikumu projekts</w:t>
            </w:r>
            <w:r w:rsidRPr="00C921F5" w:rsidDel="003D0F93">
              <w:rPr>
                <w:rFonts w:eastAsia="Times New Roman"/>
                <w:sz w:val="24"/>
                <w:szCs w:val="24"/>
                <w:lang w:val="lv-LV" w:eastAsia="lv-LV"/>
              </w:rPr>
              <w:t xml:space="preserve"> </w:t>
            </w:r>
            <w:r w:rsidR="00BD1C32" w:rsidRPr="00C921F5">
              <w:rPr>
                <w:rFonts w:eastAsia="Times New Roman"/>
                <w:sz w:val="24"/>
                <w:szCs w:val="24"/>
                <w:lang w:val="lv-LV" w:eastAsia="lv-LV"/>
              </w:rPr>
              <w:t>šo jomu neskar.</w:t>
            </w:r>
          </w:p>
          <w:p w14:paraId="3AF526AE" w14:textId="77777777" w:rsidR="00BD1C32" w:rsidRPr="00C921F5" w:rsidRDefault="00BD1C32" w:rsidP="001B6AC0">
            <w:pPr>
              <w:rPr>
                <w:sz w:val="24"/>
                <w:szCs w:val="24"/>
                <w:lang w:val="lv-LV"/>
              </w:rPr>
            </w:pPr>
          </w:p>
        </w:tc>
      </w:tr>
      <w:tr w:rsidR="00BD1C32" w:rsidRPr="00A1427D" w14:paraId="49DBB7FD" w14:textId="77777777" w:rsidTr="0009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AE9A7F" w14:textId="77777777" w:rsidR="00BD1C32" w:rsidRPr="00C921F5" w:rsidRDefault="00BD1C32" w:rsidP="001B6AC0">
            <w:pPr>
              <w:rPr>
                <w:sz w:val="24"/>
                <w:szCs w:val="24"/>
                <w:lang w:val="lv-LV"/>
              </w:rPr>
            </w:pPr>
            <w:r w:rsidRPr="00C921F5">
              <w:rPr>
                <w:sz w:val="24"/>
                <w:szCs w:val="24"/>
                <w:lang w:val="lv-LV"/>
              </w:rPr>
              <w:t>8. Cita informācija</w:t>
            </w:r>
          </w:p>
        </w:tc>
        <w:tc>
          <w:tcPr>
            <w:tcW w:w="75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4022ECC8" w14:textId="77777777" w:rsidR="00CA130E" w:rsidRDefault="008540A7" w:rsidP="00792559">
            <w:pPr>
              <w:jc w:val="both"/>
              <w:rPr>
                <w:rFonts w:eastAsia="Times New Roman"/>
                <w:iCs/>
                <w:color w:val="000000" w:themeColor="text1"/>
                <w:sz w:val="24"/>
                <w:szCs w:val="24"/>
                <w:lang w:val="lv-LV"/>
              </w:rPr>
            </w:pPr>
            <w:r w:rsidRPr="008540A7">
              <w:rPr>
                <w:color w:val="000000" w:themeColor="text1"/>
                <w:sz w:val="24"/>
                <w:szCs w:val="24"/>
                <w:lang w:val="lv-LV"/>
              </w:rPr>
              <w:t xml:space="preserve">Ņemot vērā, ka MK Noteikumu projekts paredz palielināt sabiedrības “Altum” rezerves kapitālu krīzes garantiju programmas finansēšanai par 40 milj. </w:t>
            </w:r>
            <w:r w:rsidRPr="008540A7">
              <w:rPr>
                <w:i/>
                <w:iCs/>
                <w:color w:val="000000" w:themeColor="text1"/>
                <w:sz w:val="24"/>
                <w:szCs w:val="24"/>
                <w:lang w:val="lv-LV"/>
              </w:rPr>
              <w:t>euro</w:t>
            </w:r>
            <w:r w:rsidRPr="008540A7">
              <w:rPr>
                <w:color w:val="000000" w:themeColor="text1"/>
                <w:sz w:val="24"/>
                <w:szCs w:val="24"/>
                <w:lang w:val="lv-LV"/>
              </w:rPr>
              <w:t>, minētā summa ir uzskaitāma par papildu vispārējās valdības budžeta izdevumiem 2020.gadā</w:t>
            </w:r>
            <w:r w:rsidR="00792559" w:rsidRPr="008540A7">
              <w:rPr>
                <w:rFonts w:eastAsia="Times New Roman"/>
                <w:iCs/>
                <w:color w:val="000000" w:themeColor="text1"/>
                <w:sz w:val="24"/>
                <w:szCs w:val="24"/>
                <w:lang w:val="lv-LV"/>
              </w:rPr>
              <w:t>.</w:t>
            </w:r>
          </w:p>
          <w:p w14:paraId="340F4BCD" w14:textId="505E19B6" w:rsidR="003C1ADF" w:rsidRPr="008540A7" w:rsidRDefault="003C1ADF" w:rsidP="00792559">
            <w:pPr>
              <w:jc w:val="both"/>
              <w:rPr>
                <w:rFonts w:eastAsia="Times New Roman"/>
                <w:iCs/>
                <w:sz w:val="24"/>
                <w:szCs w:val="24"/>
                <w:lang w:val="lv-LV"/>
              </w:rPr>
            </w:pPr>
            <w:r w:rsidRPr="001859B6">
              <w:rPr>
                <w:color w:val="000000" w:themeColor="text1"/>
                <w:sz w:val="24"/>
                <w:szCs w:val="24"/>
                <w:lang w:val="lv-LV"/>
              </w:rPr>
              <w:t>Nepieciešamais</w:t>
            </w:r>
            <w:r w:rsidR="00507B6D">
              <w:rPr>
                <w:color w:val="000000" w:themeColor="text1"/>
                <w:sz w:val="24"/>
                <w:szCs w:val="24"/>
                <w:lang w:val="lv-LV"/>
              </w:rPr>
              <w:t xml:space="preserve"> finansējums tiks</w:t>
            </w:r>
            <w:r w:rsidRPr="001859B6">
              <w:rPr>
                <w:color w:val="000000" w:themeColor="text1"/>
                <w:sz w:val="24"/>
                <w:szCs w:val="24"/>
                <w:lang w:val="lv-LV"/>
              </w:rPr>
              <w:t xml:space="preserve"> nodrošināts no informatīvā ziņojuma “Par pasākumiem Covid-19 krīzes pārvarēšanai un e</w:t>
            </w:r>
            <w:r>
              <w:rPr>
                <w:color w:val="000000" w:themeColor="text1"/>
                <w:sz w:val="24"/>
                <w:szCs w:val="24"/>
                <w:lang w:val="lv-LV"/>
              </w:rPr>
              <w:t xml:space="preserve">konomikas atlabšanai” (MK </w:t>
            </w:r>
            <w:r w:rsidRPr="001859B6">
              <w:rPr>
                <w:color w:val="000000" w:themeColor="text1"/>
                <w:sz w:val="24"/>
                <w:szCs w:val="24"/>
                <w:lang w:val="lv-LV"/>
              </w:rPr>
              <w:t>2020.gada 2.jūnija sēdes protokola Nr.38, 49.§) pielikumā pasākumam “Finanšu instruments lielo komersantu atbalstam (ALTUM)” paredzētā finansējuma</w:t>
            </w:r>
            <w:r>
              <w:rPr>
                <w:color w:val="000000" w:themeColor="text1"/>
                <w:sz w:val="24"/>
                <w:szCs w:val="24"/>
                <w:lang w:val="lv-LV"/>
              </w:rPr>
              <w:t>.</w:t>
            </w:r>
          </w:p>
        </w:tc>
      </w:tr>
      <w:tr w:rsidR="0043788C" w:rsidRPr="00A1427D" w14:paraId="524EDC85" w14:textId="77777777" w:rsidTr="0043788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348" w:type="dxa"/>
            <w:gridSpan w:val="9"/>
            <w:tcBorders>
              <w:top w:val="outset" w:sz="6" w:space="0" w:color="414142"/>
              <w:left w:val="outset" w:sz="6" w:space="0" w:color="414142"/>
              <w:bottom w:val="outset" w:sz="6" w:space="0" w:color="414142"/>
              <w:right w:val="outset" w:sz="6" w:space="0" w:color="414142"/>
            </w:tcBorders>
            <w:hideMark/>
          </w:tcPr>
          <w:p w14:paraId="6949E123" w14:textId="7D0C2AE1" w:rsidR="0043788C" w:rsidRPr="0009743E" w:rsidRDefault="0043788C" w:rsidP="002F4637">
            <w:pPr>
              <w:contextualSpacing/>
              <w:jc w:val="center"/>
              <w:rPr>
                <w:rFonts w:eastAsia="Times New Roman"/>
                <w:sz w:val="24"/>
                <w:szCs w:val="24"/>
                <w:lang w:val="lv-LV" w:eastAsia="lv-LV"/>
              </w:rPr>
            </w:pPr>
            <w:r w:rsidRPr="0009743E">
              <w:rPr>
                <w:b/>
                <w:sz w:val="24"/>
                <w:szCs w:val="24"/>
                <w:lang w:val="lv-LV"/>
              </w:rPr>
              <w:t xml:space="preserve">IV. </w:t>
            </w:r>
            <w:r w:rsidR="0009743E" w:rsidRPr="0009743E">
              <w:rPr>
                <w:b/>
                <w:bCs/>
                <w:color w:val="414142"/>
                <w:sz w:val="24"/>
                <w:szCs w:val="24"/>
                <w:shd w:val="clear" w:color="auto" w:fill="FFFFFF"/>
                <w:lang w:val="lv-LV"/>
              </w:rPr>
              <w:t>Tiesību akta projekta ietekme uz spēkā esošo tiesību normu sistēmu</w:t>
            </w:r>
          </w:p>
        </w:tc>
      </w:tr>
      <w:tr w:rsidR="0009743E" w:rsidRPr="00C921F5" w14:paraId="06690703" w14:textId="77777777" w:rsidTr="0009743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348" w:type="dxa"/>
            <w:gridSpan w:val="9"/>
            <w:tcBorders>
              <w:top w:val="outset" w:sz="6" w:space="0" w:color="414142"/>
              <w:left w:val="outset" w:sz="6" w:space="0" w:color="414142"/>
              <w:bottom w:val="outset" w:sz="6" w:space="0" w:color="414142"/>
              <w:right w:val="outset" w:sz="6" w:space="0" w:color="414142"/>
            </w:tcBorders>
          </w:tcPr>
          <w:p w14:paraId="7FF21DAA" w14:textId="7FE04B89" w:rsidR="0009743E" w:rsidRPr="0009743E" w:rsidRDefault="0009743E" w:rsidP="0009743E">
            <w:pPr>
              <w:pStyle w:val="ListParagraph"/>
              <w:ind w:left="105"/>
              <w:jc w:val="center"/>
              <w:rPr>
                <w:sz w:val="24"/>
                <w:szCs w:val="24"/>
                <w:lang w:val="lv-LV"/>
              </w:rPr>
            </w:pPr>
            <w:r w:rsidRPr="0009743E">
              <w:rPr>
                <w:color w:val="414142"/>
                <w:sz w:val="24"/>
                <w:szCs w:val="24"/>
                <w:shd w:val="clear" w:color="auto" w:fill="FFFFFF"/>
                <w:lang w:val="lv-LV"/>
              </w:rPr>
              <w:t>Projekts šo jomu neskar</w:t>
            </w:r>
          </w:p>
        </w:tc>
      </w:tr>
      <w:tr w:rsidR="00844176" w:rsidRPr="00C921F5" w14:paraId="07C3ABEE" w14:textId="77777777" w:rsidTr="0043788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348" w:type="dxa"/>
            <w:gridSpan w:val="9"/>
            <w:tcBorders>
              <w:top w:val="outset" w:sz="6" w:space="0" w:color="414142"/>
              <w:left w:val="outset" w:sz="6" w:space="0" w:color="414142"/>
              <w:bottom w:val="outset" w:sz="6" w:space="0" w:color="414142"/>
              <w:right w:val="outset" w:sz="6" w:space="0" w:color="414142"/>
            </w:tcBorders>
            <w:hideMark/>
          </w:tcPr>
          <w:p w14:paraId="6901DE8D" w14:textId="77777777" w:rsidR="00844176" w:rsidRPr="0009743E" w:rsidRDefault="00844176" w:rsidP="00B043DE">
            <w:pPr>
              <w:contextualSpacing/>
              <w:jc w:val="center"/>
              <w:rPr>
                <w:rFonts w:eastAsia="Times New Roman"/>
                <w:sz w:val="24"/>
                <w:szCs w:val="24"/>
                <w:lang w:val="lv-LV" w:eastAsia="lv-LV"/>
              </w:rPr>
            </w:pPr>
            <w:r w:rsidRPr="0009743E">
              <w:rPr>
                <w:b/>
                <w:sz w:val="24"/>
                <w:szCs w:val="24"/>
                <w:lang w:val="lv-LV"/>
              </w:rPr>
              <w:lastRenderedPageBreak/>
              <w:t>V. Tiesību akta projekta atbilstība Latvijas Republikas starptautiskajām saistībām</w:t>
            </w:r>
          </w:p>
        </w:tc>
      </w:tr>
      <w:tr w:rsidR="006F4B13" w:rsidRPr="00C921F5" w14:paraId="17F7F902" w14:textId="77777777" w:rsidTr="0009743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418" w:type="dxa"/>
            <w:tcBorders>
              <w:top w:val="outset" w:sz="6" w:space="0" w:color="414142"/>
              <w:left w:val="outset" w:sz="6" w:space="0" w:color="414142"/>
              <w:bottom w:val="outset" w:sz="6" w:space="0" w:color="414142"/>
              <w:right w:val="outset" w:sz="6" w:space="0" w:color="414142"/>
            </w:tcBorders>
            <w:hideMark/>
          </w:tcPr>
          <w:p w14:paraId="78A781BB" w14:textId="77777777" w:rsidR="006F4B13" w:rsidRPr="00C921F5" w:rsidRDefault="006F4B13" w:rsidP="00B043DE">
            <w:pPr>
              <w:contextualSpacing/>
              <w:rPr>
                <w:rFonts w:eastAsia="Times New Roman"/>
                <w:sz w:val="24"/>
                <w:szCs w:val="24"/>
                <w:lang w:val="lv-LV" w:eastAsia="lv-LV"/>
              </w:rPr>
            </w:pPr>
            <w:r w:rsidRPr="00C921F5">
              <w:rPr>
                <w:rFonts w:eastAsia="Times New Roman"/>
                <w:sz w:val="24"/>
                <w:szCs w:val="24"/>
                <w:lang w:val="lv-LV" w:eastAsia="lv-LV"/>
              </w:rPr>
              <w:t>1.</w:t>
            </w:r>
          </w:p>
        </w:tc>
        <w:tc>
          <w:tcPr>
            <w:tcW w:w="2550" w:type="dxa"/>
            <w:gridSpan w:val="2"/>
            <w:tcBorders>
              <w:top w:val="outset" w:sz="6" w:space="0" w:color="414142"/>
              <w:left w:val="outset" w:sz="6" w:space="0" w:color="414142"/>
              <w:bottom w:val="outset" w:sz="6" w:space="0" w:color="414142"/>
              <w:right w:val="outset" w:sz="6" w:space="0" w:color="414142"/>
            </w:tcBorders>
            <w:hideMark/>
          </w:tcPr>
          <w:p w14:paraId="4D28CC95" w14:textId="77777777" w:rsidR="006F4B13" w:rsidRPr="00C921F5" w:rsidRDefault="006F4B13" w:rsidP="00B043DE">
            <w:pPr>
              <w:contextualSpacing/>
              <w:jc w:val="both"/>
              <w:rPr>
                <w:rFonts w:eastAsia="Times New Roman"/>
                <w:sz w:val="24"/>
                <w:szCs w:val="24"/>
                <w:lang w:val="lv-LV" w:eastAsia="lv-LV"/>
              </w:rPr>
            </w:pPr>
            <w:r w:rsidRPr="00C921F5">
              <w:rPr>
                <w:rFonts w:eastAsia="Times New Roman"/>
                <w:sz w:val="24"/>
                <w:szCs w:val="24"/>
                <w:lang w:val="lv-LV" w:eastAsia="lv-LV"/>
              </w:rPr>
              <w:t>Saistības pret Eiropas Savienību</w:t>
            </w:r>
          </w:p>
        </w:tc>
        <w:tc>
          <w:tcPr>
            <w:tcW w:w="6380" w:type="dxa"/>
            <w:gridSpan w:val="6"/>
            <w:tcBorders>
              <w:top w:val="outset" w:sz="6" w:space="0" w:color="414142"/>
              <w:left w:val="outset" w:sz="6" w:space="0" w:color="414142"/>
              <w:bottom w:val="outset" w:sz="6" w:space="0" w:color="414142"/>
              <w:right w:val="outset" w:sz="6" w:space="0" w:color="414142"/>
            </w:tcBorders>
            <w:hideMark/>
          </w:tcPr>
          <w:p w14:paraId="7ED6CAE4" w14:textId="517FF94F" w:rsidR="00B56674" w:rsidRPr="00FA4414" w:rsidRDefault="00B56674" w:rsidP="00527164">
            <w:pPr>
              <w:pStyle w:val="ListParagraph"/>
              <w:ind w:left="105"/>
              <w:jc w:val="both"/>
              <w:rPr>
                <w:rFonts w:eastAsia="Times New Roman"/>
                <w:sz w:val="24"/>
                <w:szCs w:val="24"/>
                <w:lang w:val="lv-LV" w:eastAsia="lv-LV"/>
              </w:rPr>
            </w:pPr>
            <w:r w:rsidRPr="00FA4414">
              <w:rPr>
                <w:rFonts w:eastAsia="Times New Roman"/>
                <w:sz w:val="24"/>
                <w:szCs w:val="24"/>
                <w:lang w:val="lv-LV" w:eastAsia="lv-LV"/>
              </w:rPr>
              <w:t xml:space="preserve">Komisijas </w:t>
            </w:r>
            <w:r w:rsidR="00AC105D" w:rsidRPr="00FA4414">
              <w:rPr>
                <w:rFonts w:eastAsia="Times New Roman"/>
                <w:sz w:val="24"/>
                <w:szCs w:val="24"/>
                <w:lang w:val="lv-LV" w:eastAsia="lv-LV"/>
              </w:rPr>
              <w:t>R</w:t>
            </w:r>
            <w:r w:rsidRPr="00FA4414">
              <w:rPr>
                <w:rFonts w:eastAsia="Times New Roman"/>
                <w:sz w:val="24"/>
                <w:szCs w:val="24"/>
                <w:lang w:val="lv-LV" w:eastAsia="lv-LV"/>
              </w:rPr>
              <w:t>egula Nr. 651/2014</w:t>
            </w:r>
            <w:r w:rsidR="00AC105D" w:rsidRPr="00FA4414">
              <w:rPr>
                <w:rFonts w:eastAsia="Times New Roman"/>
                <w:sz w:val="24"/>
                <w:szCs w:val="24"/>
                <w:lang w:val="lv-LV" w:eastAsia="lv-LV"/>
              </w:rPr>
              <w:t>.</w:t>
            </w:r>
          </w:p>
          <w:p w14:paraId="490B42CB" w14:textId="0EB3E3AF" w:rsidR="00B56674" w:rsidRPr="00FA4414" w:rsidRDefault="00B56674" w:rsidP="00527164">
            <w:pPr>
              <w:pStyle w:val="ListParagraph"/>
              <w:ind w:left="105"/>
              <w:jc w:val="both"/>
              <w:rPr>
                <w:rFonts w:eastAsia="Times New Roman"/>
                <w:sz w:val="24"/>
                <w:szCs w:val="24"/>
                <w:lang w:val="lv-LV" w:eastAsia="lv-LV"/>
              </w:rPr>
            </w:pPr>
            <w:r w:rsidRPr="00FA4414">
              <w:rPr>
                <w:rFonts w:eastAsia="Times New Roman"/>
                <w:sz w:val="24"/>
                <w:szCs w:val="24"/>
                <w:lang w:val="lv-LV" w:eastAsia="lv-LV"/>
              </w:rPr>
              <w:t xml:space="preserve">Komisijas 2014. gada 25. jūnija Regulas Nr.  702/2014, ar kuru konkrētas atbalsta kategorijas lauksaimniecības un mežsaimniecības nozarē un lauku apvidos atzīst par saderīgām ar iekšējo tirgu, piemērojot Līguma par Eiropas Savienības darbību 107. un 108. pantu (turpmāk – Komisijas </w:t>
            </w:r>
            <w:r w:rsidR="00AA71C4" w:rsidRPr="00FA4414">
              <w:rPr>
                <w:rFonts w:eastAsia="Times New Roman"/>
                <w:sz w:val="24"/>
                <w:szCs w:val="24"/>
                <w:lang w:val="lv-LV" w:eastAsia="lv-LV"/>
              </w:rPr>
              <w:t>R</w:t>
            </w:r>
            <w:r w:rsidRPr="00FA4414">
              <w:rPr>
                <w:rFonts w:eastAsia="Times New Roman"/>
                <w:sz w:val="24"/>
                <w:szCs w:val="24"/>
                <w:lang w:val="lv-LV" w:eastAsia="lv-LV"/>
              </w:rPr>
              <w:t>egula Nr.702/2014);</w:t>
            </w:r>
          </w:p>
          <w:p w14:paraId="7845995E" w14:textId="476A1641" w:rsidR="00C67534" w:rsidRPr="00FA4414" w:rsidRDefault="00C67534" w:rsidP="00C67534">
            <w:pPr>
              <w:pStyle w:val="ListParagraph"/>
              <w:ind w:left="105"/>
              <w:jc w:val="both"/>
              <w:rPr>
                <w:color w:val="000000" w:themeColor="text1"/>
                <w:sz w:val="24"/>
                <w:szCs w:val="24"/>
                <w:shd w:val="clear" w:color="auto" w:fill="FFFFFF"/>
                <w:lang w:val="lv-LV"/>
              </w:rPr>
            </w:pPr>
            <w:r w:rsidRPr="00FA4414">
              <w:rPr>
                <w:color w:val="000000" w:themeColor="text1"/>
                <w:sz w:val="24"/>
                <w:szCs w:val="24"/>
                <w:shd w:val="clear" w:color="auto" w:fill="FFFFFF"/>
                <w:lang w:val="lv-LV"/>
              </w:rPr>
              <w:t>Komisijas 2014.gada 16.decembra Regula (ES) Nr. </w:t>
            </w:r>
            <w:r w:rsidR="000C6026">
              <w:fldChar w:fldCharType="begin"/>
            </w:r>
            <w:r w:rsidR="000C6026">
              <w:instrText xml:space="preserve"> HYPERLINK "http://eur-lex.europa.eu/eli/reg/2014/1388/oj/?locale=LV" \t "_blank" </w:instrText>
            </w:r>
            <w:r w:rsidR="000C6026">
              <w:fldChar w:fldCharType="separate"/>
            </w:r>
            <w:r w:rsidRPr="00FA4414">
              <w:rPr>
                <w:rStyle w:val="Hyperlink"/>
                <w:color w:val="000000" w:themeColor="text1"/>
                <w:sz w:val="24"/>
                <w:szCs w:val="24"/>
                <w:shd w:val="clear" w:color="auto" w:fill="FFFFFF"/>
                <w:lang w:val="lv-LV"/>
              </w:rPr>
              <w:t>1388/2014</w:t>
            </w:r>
            <w:r w:rsidR="000C6026">
              <w:rPr>
                <w:rStyle w:val="Hyperlink"/>
                <w:color w:val="000000" w:themeColor="text1"/>
                <w:sz w:val="24"/>
                <w:szCs w:val="24"/>
                <w:shd w:val="clear" w:color="auto" w:fill="FFFFFF"/>
                <w:lang w:val="lv-LV"/>
              </w:rPr>
              <w:fldChar w:fldCharType="end"/>
            </w:r>
            <w:r w:rsidRPr="00FA4414">
              <w:rPr>
                <w:color w:val="000000" w:themeColor="text1"/>
                <w:sz w:val="24"/>
                <w:szCs w:val="24"/>
                <w:shd w:val="clear" w:color="auto" w:fill="FFFFFF"/>
                <w:lang w:val="lv-LV"/>
              </w:rPr>
              <w:t>, ar ko konkrētas atbalsta kategorijas uzņēmumiem, kuri nodarbojas ar zvejas un akvakultūras produktu ražošanu, apstrādi un tirdzniecību, atzīst par saderīgām ar iekšējo tirgu, piemērojot Līguma par Eiropas Savienības darbību 107. un 108. pantu (Eiropas Savienības Oficiālais Vēstnesis, 2014. gada 24. decembris, Nr. L 369) (turpmāk – Komisijas regula Nr. </w:t>
            </w:r>
            <w:r w:rsidR="000C6026">
              <w:fldChar w:fldCharType="begin"/>
            </w:r>
            <w:r w:rsidR="000C6026" w:rsidRPr="00A1427D">
              <w:rPr>
                <w:lang w:val="lv-LV"/>
              </w:rPr>
              <w:instrText xml:space="preserve"> HYPERLINK "http://eur-lex.europa.eu/eli/reg/2014/1388/oj/?locale=LV" \t "_blank" </w:instrText>
            </w:r>
            <w:r w:rsidR="000C6026">
              <w:fldChar w:fldCharType="separate"/>
            </w:r>
            <w:r w:rsidRPr="00FA4414">
              <w:rPr>
                <w:rStyle w:val="Hyperlink"/>
                <w:color w:val="000000" w:themeColor="text1"/>
                <w:sz w:val="24"/>
                <w:szCs w:val="24"/>
                <w:shd w:val="clear" w:color="auto" w:fill="FFFFFF"/>
                <w:lang w:val="lv-LV"/>
              </w:rPr>
              <w:t>1388/2014</w:t>
            </w:r>
            <w:r w:rsidR="000C6026">
              <w:rPr>
                <w:rStyle w:val="Hyperlink"/>
                <w:color w:val="000000" w:themeColor="text1"/>
                <w:sz w:val="24"/>
                <w:szCs w:val="24"/>
                <w:shd w:val="clear" w:color="auto" w:fill="FFFFFF"/>
                <w:lang w:val="lv-LV"/>
              </w:rPr>
              <w:fldChar w:fldCharType="end"/>
            </w:r>
            <w:r w:rsidRPr="00FA4414">
              <w:rPr>
                <w:color w:val="000000" w:themeColor="text1"/>
                <w:sz w:val="24"/>
                <w:szCs w:val="24"/>
                <w:shd w:val="clear" w:color="auto" w:fill="FFFFFF"/>
                <w:lang w:val="lv-LV"/>
              </w:rPr>
              <w:t>;</w:t>
            </w:r>
          </w:p>
          <w:p w14:paraId="2119B41F" w14:textId="72A48E20" w:rsidR="00C67534" w:rsidRPr="00FA4414" w:rsidRDefault="00C67534" w:rsidP="00C67534">
            <w:pPr>
              <w:pStyle w:val="ListParagraph"/>
              <w:ind w:left="105"/>
              <w:jc w:val="both"/>
              <w:rPr>
                <w:rFonts w:eastAsia="Times New Roman"/>
                <w:iCs/>
                <w:sz w:val="24"/>
                <w:szCs w:val="24"/>
                <w:lang w:val="lv-LV"/>
              </w:rPr>
            </w:pPr>
            <w:r w:rsidRPr="00FA4414">
              <w:rPr>
                <w:rFonts w:eastAsia="Times New Roman"/>
                <w:iCs/>
                <w:sz w:val="24"/>
                <w:szCs w:val="24"/>
                <w:lang w:val="lv-LV"/>
              </w:rPr>
              <w:t>-</w:t>
            </w:r>
            <w:r w:rsidRPr="00FA4414">
              <w:rPr>
                <w:rFonts w:eastAsia="Times New Roman"/>
                <w:color w:val="000000" w:themeColor="text1"/>
                <w:sz w:val="24"/>
                <w:szCs w:val="24"/>
                <w:lang w:val="lv-LV" w:eastAsia="lv-LV"/>
              </w:rPr>
              <w:t xml:space="preserve">Komisijas 2004. gada 21. aprīļa Regula Nr. 794/2004, ar ko īsteno Padomes Regulu </w:t>
            </w:r>
            <w:hyperlink r:id="rId8" w:tgtFrame="_blank" w:history="1">
              <w:r w:rsidRPr="00FA4414">
                <w:rPr>
                  <w:rStyle w:val="Hyperlink"/>
                  <w:rFonts w:eastAsia="Times New Roman"/>
                  <w:color w:val="000000" w:themeColor="text1"/>
                  <w:sz w:val="24"/>
                  <w:szCs w:val="24"/>
                  <w:lang w:val="lv-LV" w:eastAsia="lv-LV"/>
                </w:rPr>
                <w:t>2015/1589</w:t>
              </w:r>
            </w:hyperlink>
            <w:r w:rsidRPr="00FA4414">
              <w:rPr>
                <w:rFonts w:eastAsia="Times New Roman"/>
                <w:color w:val="000000" w:themeColor="text1"/>
                <w:sz w:val="24"/>
                <w:szCs w:val="24"/>
                <w:lang w:val="lv-LV" w:eastAsia="lv-LV"/>
              </w:rPr>
              <w:t>, ar ko nosaka sīki izstrādātus noteikumus Līguma par Eiropas Savienības darbību </w:t>
            </w:r>
            <w:hyperlink r:id="rId9" w:anchor="p108" w:history="1">
              <w:r w:rsidRPr="00FA4414">
                <w:rPr>
                  <w:rStyle w:val="Hyperlink"/>
                  <w:rFonts w:eastAsia="Times New Roman"/>
                  <w:color w:val="000000" w:themeColor="text1"/>
                  <w:sz w:val="24"/>
                  <w:szCs w:val="24"/>
                  <w:lang w:val="lv-LV" w:eastAsia="lv-LV"/>
                </w:rPr>
                <w:t>108. panta</w:t>
              </w:r>
            </w:hyperlink>
            <w:r w:rsidRPr="00FA4414">
              <w:rPr>
                <w:rFonts w:eastAsia="Times New Roman"/>
                <w:color w:val="000000" w:themeColor="text1"/>
                <w:sz w:val="24"/>
                <w:szCs w:val="24"/>
                <w:lang w:val="lv-LV" w:eastAsia="lv-LV"/>
              </w:rPr>
              <w:t> piemērošanai (turpmāk – Komisijas regula Nr. 794/2004);</w:t>
            </w:r>
          </w:p>
          <w:p w14:paraId="1E031C81" w14:textId="178C79B2" w:rsidR="00BE786E" w:rsidRPr="00FA4414" w:rsidRDefault="00B043DE" w:rsidP="00527164">
            <w:pPr>
              <w:pStyle w:val="ListParagraph"/>
              <w:ind w:left="105"/>
              <w:jc w:val="both"/>
              <w:rPr>
                <w:sz w:val="24"/>
                <w:szCs w:val="24"/>
                <w:lang w:val="lv-LV"/>
              </w:rPr>
            </w:pPr>
            <w:r w:rsidRPr="00FA4414">
              <w:rPr>
                <w:rFonts w:eastAsia="Times New Roman"/>
                <w:iCs/>
                <w:sz w:val="24"/>
                <w:szCs w:val="24"/>
                <w:lang w:val="lv-LV"/>
              </w:rPr>
              <w:t xml:space="preserve">2020.gada 19.marta Eiropas Komisijas apstiprinātā </w:t>
            </w:r>
            <w:r w:rsidRPr="00FA4414">
              <w:rPr>
                <w:sz w:val="24"/>
                <w:szCs w:val="24"/>
                <w:lang w:val="lv-LV"/>
              </w:rPr>
              <w:t>Pagaidu shēmu valsts atbalsta pasākumiem ekonomikas atbalstam Covid-19 uzliesmojuma laikā</w:t>
            </w:r>
            <w:r w:rsidR="00527164" w:rsidRPr="00FA4414">
              <w:rPr>
                <w:sz w:val="24"/>
                <w:szCs w:val="24"/>
                <w:lang w:val="lv-LV"/>
              </w:rPr>
              <w:t xml:space="preserve"> (C (2020) 1863, ar grozījumiem </w:t>
            </w:r>
            <w:r w:rsidR="00AC105D" w:rsidRPr="00FA4414">
              <w:rPr>
                <w:sz w:val="24"/>
                <w:szCs w:val="24"/>
                <w:lang w:val="lv-LV"/>
              </w:rPr>
              <w:t xml:space="preserve">2020.gada </w:t>
            </w:r>
            <w:r w:rsidR="00527164" w:rsidRPr="00FA4414">
              <w:rPr>
                <w:sz w:val="24"/>
                <w:szCs w:val="24"/>
                <w:lang w:val="lv-LV"/>
              </w:rPr>
              <w:t>3.aprīlī (C(2020) 2215</w:t>
            </w:r>
            <w:r w:rsidR="009C7844">
              <w:rPr>
                <w:sz w:val="24"/>
                <w:szCs w:val="24"/>
                <w:lang w:val="lv-LV"/>
              </w:rPr>
              <w:t>,</w:t>
            </w:r>
            <w:r w:rsidR="00527164" w:rsidRPr="00FA4414">
              <w:rPr>
                <w:sz w:val="24"/>
                <w:szCs w:val="24"/>
                <w:lang w:val="lv-LV"/>
              </w:rPr>
              <w:t xml:space="preserve"> </w:t>
            </w:r>
            <w:r w:rsidR="00AC105D" w:rsidRPr="00FA4414">
              <w:rPr>
                <w:sz w:val="24"/>
                <w:szCs w:val="24"/>
                <w:lang w:val="lv-LV"/>
              </w:rPr>
              <w:t xml:space="preserve">2020.gada </w:t>
            </w:r>
            <w:r w:rsidR="00527164" w:rsidRPr="00FA4414">
              <w:rPr>
                <w:sz w:val="24"/>
                <w:szCs w:val="24"/>
                <w:lang w:val="lv-LV"/>
              </w:rPr>
              <w:t xml:space="preserve">8.maijā C(2020) 3156 </w:t>
            </w:r>
            <w:r w:rsidR="009C7844">
              <w:rPr>
                <w:sz w:val="24"/>
                <w:szCs w:val="24"/>
                <w:lang w:val="lv-LV"/>
              </w:rPr>
              <w:t>un 2020.gada 29.jūnijā C (2020) 4509</w:t>
            </w:r>
            <w:r w:rsidR="00527164" w:rsidRPr="00FA4414">
              <w:rPr>
                <w:sz w:val="24"/>
                <w:szCs w:val="24"/>
                <w:lang w:val="lv-LV"/>
              </w:rPr>
              <w:t xml:space="preserve">  (</w:t>
            </w:r>
            <w:r w:rsidR="00527164" w:rsidRPr="00FA4414">
              <w:rPr>
                <w:i/>
                <w:iCs/>
                <w:sz w:val="24"/>
                <w:szCs w:val="24"/>
                <w:lang w:val="en-US"/>
              </w:rPr>
              <w:t>Communication from the Commission temporary framework for state aid measures to support the economy in the current Covid-10 outbreak</w:t>
            </w:r>
            <w:r w:rsidR="00527164" w:rsidRPr="00FA4414">
              <w:rPr>
                <w:sz w:val="24"/>
                <w:szCs w:val="24"/>
                <w:lang w:val="lv-LV"/>
              </w:rPr>
              <w:t xml:space="preserve">) </w:t>
            </w:r>
            <w:r w:rsidR="00BE786E" w:rsidRPr="00FA4414">
              <w:rPr>
                <w:sz w:val="24"/>
                <w:szCs w:val="24"/>
                <w:lang w:val="lv-LV"/>
              </w:rPr>
              <w:t>(turpmāk – Komisijas paziņojums).</w:t>
            </w:r>
          </w:p>
          <w:p w14:paraId="313D4E77" w14:textId="78065F8D" w:rsidR="00527164" w:rsidRPr="00FA4414" w:rsidRDefault="00527164" w:rsidP="00527164">
            <w:pPr>
              <w:pStyle w:val="ListParagraph"/>
              <w:ind w:left="105"/>
              <w:jc w:val="both"/>
              <w:rPr>
                <w:sz w:val="24"/>
                <w:szCs w:val="24"/>
                <w:lang w:val="lv-LV"/>
              </w:rPr>
            </w:pPr>
          </w:p>
        </w:tc>
      </w:tr>
      <w:tr w:rsidR="006F4B13" w:rsidRPr="00C921F5" w14:paraId="2BF33DFD" w14:textId="77777777" w:rsidTr="0009743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418" w:type="dxa"/>
            <w:tcBorders>
              <w:top w:val="outset" w:sz="6" w:space="0" w:color="414142"/>
              <w:left w:val="outset" w:sz="6" w:space="0" w:color="414142"/>
              <w:bottom w:val="outset" w:sz="6" w:space="0" w:color="414142"/>
              <w:right w:val="outset" w:sz="6" w:space="0" w:color="414142"/>
            </w:tcBorders>
            <w:hideMark/>
          </w:tcPr>
          <w:p w14:paraId="1F188A09" w14:textId="77777777" w:rsidR="006F4B13" w:rsidRPr="00C921F5" w:rsidRDefault="006F4B13" w:rsidP="00B043DE">
            <w:pPr>
              <w:contextualSpacing/>
              <w:rPr>
                <w:rFonts w:eastAsia="Times New Roman"/>
                <w:sz w:val="24"/>
                <w:szCs w:val="24"/>
                <w:lang w:val="lv-LV" w:eastAsia="lv-LV"/>
              </w:rPr>
            </w:pPr>
            <w:r w:rsidRPr="00C921F5">
              <w:rPr>
                <w:rFonts w:eastAsia="Times New Roman"/>
                <w:sz w:val="24"/>
                <w:szCs w:val="24"/>
                <w:lang w:val="lv-LV" w:eastAsia="lv-LV"/>
              </w:rPr>
              <w:t>2.</w:t>
            </w:r>
          </w:p>
        </w:tc>
        <w:tc>
          <w:tcPr>
            <w:tcW w:w="2550" w:type="dxa"/>
            <w:gridSpan w:val="2"/>
            <w:tcBorders>
              <w:top w:val="outset" w:sz="6" w:space="0" w:color="414142"/>
              <w:left w:val="outset" w:sz="6" w:space="0" w:color="414142"/>
              <w:bottom w:val="outset" w:sz="6" w:space="0" w:color="414142"/>
              <w:right w:val="outset" w:sz="6" w:space="0" w:color="414142"/>
            </w:tcBorders>
            <w:hideMark/>
          </w:tcPr>
          <w:p w14:paraId="0B74399D" w14:textId="77777777" w:rsidR="006F4B13" w:rsidRPr="00C921F5" w:rsidRDefault="006F4B13" w:rsidP="00B043DE">
            <w:pPr>
              <w:contextualSpacing/>
              <w:jc w:val="both"/>
              <w:rPr>
                <w:rFonts w:eastAsia="Times New Roman"/>
                <w:sz w:val="24"/>
                <w:szCs w:val="24"/>
                <w:lang w:val="lv-LV" w:eastAsia="lv-LV"/>
              </w:rPr>
            </w:pPr>
            <w:r w:rsidRPr="00C921F5">
              <w:rPr>
                <w:rFonts w:eastAsia="Times New Roman"/>
                <w:sz w:val="24"/>
                <w:szCs w:val="24"/>
                <w:lang w:val="lv-LV" w:eastAsia="lv-LV"/>
              </w:rPr>
              <w:t>Citas starptautiskās saistības</w:t>
            </w:r>
          </w:p>
        </w:tc>
        <w:tc>
          <w:tcPr>
            <w:tcW w:w="6380" w:type="dxa"/>
            <w:gridSpan w:val="6"/>
            <w:tcBorders>
              <w:top w:val="outset" w:sz="6" w:space="0" w:color="414142"/>
              <w:left w:val="outset" w:sz="6" w:space="0" w:color="414142"/>
              <w:bottom w:val="outset" w:sz="6" w:space="0" w:color="414142"/>
              <w:right w:val="outset" w:sz="6" w:space="0" w:color="414142"/>
            </w:tcBorders>
            <w:hideMark/>
          </w:tcPr>
          <w:p w14:paraId="04D2F44F" w14:textId="1B204823" w:rsidR="006F4B13" w:rsidRPr="00C921F5" w:rsidRDefault="006F4B13" w:rsidP="00B043DE">
            <w:pPr>
              <w:contextualSpacing/>
              <w:jc w:val="both"/>
              <w:rPr>
                <w:rFonts w:eastAsia="Times New Roman"/>
                <w:sz w:val="24"/>
                <w:szCs w:val="24"/>
                <w:lang w:val="lv-LV" w:eastAsia="lv-LV"/>
              </w:rPr>
            </w:pPr>
            <w:r w:rsidRPr="00C921F5">
              <w:rPr>
                <w:rFonts w:eastAsia="Times New Roman"/>
                <w:sz w:val="24"/>
                <w:szCs w:val="24"/>
                <w:lang w:val="lv-LV" w:eastAsia="lv-LV"/>
              </w:rPr>
              <w:t>Projekts šo jomu neskar</w:t>
            </w:r>
            <w:r w:rsidR="0099282E" w:rsidRPr="00C921F5">
              <w:rPr>
                <w:rFonts w:eastAsia="Times New Roman"/>
                <w:sz w:val="24"/>
                <w:szCs w:val="24"/>
                <w:lang w:val="lv-LV" w:eastAsia="lv-LV"/>
              </w:rPr>
              <w:t>.</w:t>
            </w:r>
          </w:p>
        </w:tc>
      </w:tr>
      <w:tr w:rsidR="006F4B13" w:rsidRPr="00C921F5" w14:paraId="64229F4B" w14:textId="77777777" w:rsidTr="0009743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418" w:type="dxa"/>
            <w:tcBorders>
              <w:top w:val="outset" w:sz="6" w:space="0" w:color="414142"/>
              <w:left w:val="outset" w:sz="6" w:space="0" w:color="414142"/>
              <w:bottom w:val="outset" w:sz="6" w:space="0" w:color="414142"/>
              <w:right w:val="outset" w:sz="6" w:space="0" w:color="414142"/>
            </w:tcBorders>
            <w:hideMark/>
          </w:tcPr>
          <w:p w14:paraId="2D9DCABC" w14:textId="77777777" w:rsidR="006F4B13" w:rsidRPr="00C921F5" w:rsidRDefault="006F4B13" w:rsidP="00B043DE">
            <w:pPr>
              <w:contextualSpacing/>
              <w:rPr>
                <w:rFonts w:eastAsia="Times New Roman"/>
                <w:sz w:val="24"/>
                <w:szCs w:val="24"/>
                <w:lang w:val="lv-LV" w:eastAsia="lv-LV"/>
              </w:rPr>
            </w:pPr>
            <w:r w:rsidRPr="00C921F5">
              <w:rPr>
                <w:rFonts w:eastAsia="Times New Roman"/>
                <w:sz w:val="24"/>
                <w:szCs w:val="24"/>
                <w:lang w:val="lv-LV" w:eastAsia="lv-LV"/>
              </w:rPr>
              <w:t>3.</w:t>
            </w:r>
          </w:p>
        </w:tc>
        <w:tc>
          <w:tcPr>
            <w:tcW w:w="2550" w:type="dxa"/>
            <w:gridSpan w:val="2"/>
            <w:tcBorders>
              <w:top w:val="outset" w:sz="6" w:space="0" w:color="414142"/>
              <w:left w:val="outset" w:sz="6" w:space="0" w:color="414142"/>
              <w:bottom w:val="outset" w:sz="6" w:space="0" w:color="414142"/>
              <w:right w:val="outset" w:sz="6" w:space="0" w:color="414142"/>
            </w:tcBorders>
            <w:hideMark/>
          </w:tcPr>
          <w:p w14:paraId="19774E23" w14:textId="77777777" w:rsidR="006F4B13" w:rsidRPr="00C921F5" w:rsidRDefault="006F4B13" w:rsidP="00B043DE">
            <w:pPr>
              <w:contextualSpacing/>
              <w:jc w:val="both"/>
              <w:rPr>
                <w:rFonts w:eastAsia="Times New Roman"/>
                <w:sz w:val="24"/>
                <w:szCs w:val="24"/>
                <w:lang w:val="lv-LV" w:eastAsia="lv-LV"/>
              </w:rPr>
            </w:pPr>
            <w:r w:rsidRPr="00C921F5">
              <w:rPr>
                <w:rFonts w:eastAsia="Times New Roman"/>
                <w:sz w:val="24"/>
                <w:szCs w:val="24"/>
                <w:lang w:val="lv-LV" w:eastAsia="lv-LV"/>
              </w:rPr>
              <w:t>Cita informācija</w:t>
            </w:r>
          </w:p>
        </w:tc>
        <w:tc>
          <w:tcPr>
            <w:tcW w:w="6380" w:type="dxa"/>
            <w:gridSpan w:val="6"/>
            <w:tcBorders>
              <w:top w:val="outset" w:sz="6" w:space="0" w:color="414142"/>
              <w:left w:val="outset" w:sz="6" w:space="0" w:color="414142"/>
              <w:bottom w:val="outset" w:sz="6" w:space="0" w:color="414142"/>
              <w:right w:val="outset" w:sz="6" w:space="0" w:color="414142"/>
            </w:tcBorders>
            <w:hideMark/>
          </w:tcPr>
          <w:p w14:paraId="10FD6544" w14:textId="16C3A3F5" w:rsidR="006F4B13" w:rsidRPr="00C921F5" w:rsidRDefault="006F4B13" w:rsidP="00B043DE">
            <w:pPr>
              <w:contextualSpacing/>
              <w:jc w:val="both"/>
              <w:rPr>
                <w:rFonts w:eastAsia="Times New Roman"/>
                <w:sz w:val="24"/>
                <w:szCs w:val="24"/>
                <w:lang w:val="lv-LV" w:eastAsia="lv-LV"/>
              </w:rPr>
            </w:pPr>
            <w:r w:rsidRPr="00C921F5">
              <w:rPr>
                <w:rFonts w:eastAsia="Times New Roman"/>
                <w:sz w:val="24"/>
                <w:szCs w:val="24"/>
                <w:lang w:val="lv-LV" w:eastAsia="lv-LV"/>
              </w:rPr>
              <w:t>Nav</w:t>
            </w:r>
          </w:p>
        </w:tc>
      </w:tr>
    </w:tbl>
    <w:p w14:paraId="1F45E5ED" w14:textId="3E0D1E21" w:rsidR="00844176" w:rsidRPr="00C921F5" w:rsidRDefault="00844176" w:rsidP="00B043DE">
      <w:pPr>
        <w:contextualSpacing/>
        <w:rPr>
          <w:sz w:val="24"/>
          <w:szCs w:val="24"/>
          <w:lang w:val="lv-LV"/>
        </w:rPr>
      </w:pPr>
    </w:p>
    <w:tbl>
      <w:tblPr>
        <w:tblW w:w="516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27"/>
        <w:gridCol w:w="1778"/>
        <w:gridCol w:w="2227"/>
        <w:gridCol w:w="2516"/>
      </w:tblGrid>
      <w:tr w:rsidR="00A5551D" w:rsidRPr="00A1427D" w14:paraId="212A0171" w14:textId="77777777" w:rsidTr="00FA4414">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C921F5" w:rsidRDefault="00A5551D" w:rsidP="00B043DE">
            <w:pPr>
              <w:jc w:val="center"/>
              <w:rPr>
                <w:rFonts w:eastAsia="Times New Roman"/>
                <w:b/>
                <w:bCs/>
                <w:color w:val="414142"/>
                <w:sz w:val="24"/>
                <w:szCs w:val="24"/>
                <w:lang w:val="lv-LV" w:eastAsia="lv-LV"/>
              </w:rPr>
            </w:pPr>
            <w:r w:rsidRPr="00C921F5">
              <w:rPr>
                <w:rFonts w:eastAsia="Times New Roman"/>
                <w:b/>
                <w:bCs/>
                <w:color w:val="414142"/>
                <w:sz w:val="24"/>
                <w:szCs w:val="24"/>
                <w:lang w:val="lv-LV" w:eastAsia="lv-LV"/>
              </w:rPr>
              <w:t>1. tabula</w:t>
            </w:r>
            <w:r w:rsidRPr="00C921F5">
              <w:rPr>
                <w:rFonts w:eastAsia="Times New Roman"/>
                <w:b/>
                <w:bCs/>
                <w:color w:val="414142"/>
                <w:sz w:val="24"/>
                <w:szCs w:val="24"/>
                <w:lang w:val="lv-LV" w:eastAsia="lv-LV"/>
              </w:rPr>
              <w:br/>
              <w:t>Tiesību akta projekta atbilstība ES tiesību aktiem</w:t>
            </w:r>
          </w:p>
        </w:tc>
      </w:tr>
      <w:tr w:rsidR="00A5551D" w:rsidRPr="00C921F5" w14:paraId="63717CEB"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C921F5" w:rsidRDefault="00A5551D" w:rsidP="00B043DE">
            <w:pPr>
              <w:rPr>
                <w:rFonts w:eastAsia="Times New Roman"/>
                <w:color w:val="414142"/>
                <w:sz w:val="24"/>
                <w:szCs w:val="24"/>
                <w:lang w:val="lv-LV" w:eastAsia="lv-LV"/>
              </w:rPr>
            </w:pPr>
            <w:r w:rsidRPr="00C921F5">
              <w:rPr>
                <w:rFonts w:eastAsia="Times New Roman"/>
                <w:color w:val="414142"/>
                <w:sz w:val="24"/>
                <w:szCs w:val="24"/>
                <w:lang w:val="lv-LV" w:eastAsia="lv-LV"/>
              </w:rPr>
              <w:t>Attiecīgā ES tiesību akta datums, numurs un nosaukums</w:t>
            </w:r>
          </w:p>
        </w:tc>
        <w:tc>
          <w:tcPr>
            <w:tcW w:w="348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C921F5" w:rsidRDefault="0099282E" w:rsidP="00B043DE">
            <w:pPr>
              <w:pStyle w:val="naiskr"/>
              <w:spacing w:before="0" w:after="0"/>
              <w:jc w:val="both"/>
              <w:rPr>
                <w:color w:val="414142"/>
              </w:rPr>
            </w:pPr>
            <w:r w:rsidRPr="00C921F5">
              <w:rPr>
                <w:color w:val="414142"/>
              </w:rPr>
              <w:t>Ar Noteikumu projektu tiek ieviestas šādas Eiropas Savienības tiesību aktu prasības:</w:t>
            </w:r>
          </w:p>
          <w:p w14:paraId="69A40115" w14:textId="44BDFBDB" w:rsidR="00AC105D" w:rsidRDefault="00AC105D" w:rsidP="00C67534">
            <w:pPr>
              <w:pStyle w:val="naiskr"/>
              <w:numPr>
                <w:ilvl w:val="0"/>
                <w:numId w:val="3"/>
              </w:numPr>
              <w:spacing w:before="0" w:after="0"/>
              <w:jc w:val="both"/>
            </w:pPr>
            <w:r w:rsidRPr="00C921F5">
              <w:t>Komisijas paziņojums.</w:t>
            </w:r>
          </w:p>
          <w:p w14:paraId="281B0D72" w14:textId="2361195C" w:rsidR="008F40FA" w:rsidRDefault="001B6AC0" w:rsidP="00C67534">
            <w:pPr>
              <w:pStyle w:val="naiskr"/>
              <w:numPr>
                <w:ilvl w:val="0"/>
                <w:numId w:val="3"/>
              </w:numPr>
              <w:spacing w:before="0" w:after="0"/>
              <w:jc w:val="both"/>
            </w:pPr>
            <w:r w:rsidRPr="00C921F5">
              <w:t xml:space="preserve">Komisijas </w:t>
            </w:r>
            <w:r w:rsidR="00AA71C4">
              <w:t>R</w:t>
            </w:r>
            <w:r w:rsidR="008F40FA">
              <w:t>egula Nr. </w:t>
            </w:r>
            <w:r w:rsidR="008F40FA" w:rsidRPr="00AC105D">
              <w:t>651/2014</w:t>
            </w:r>
            <w:r w:rsidR="008F40FA">
              <w:t>;</w:t>
            </w:r>
          </w:p>
          <w:p w14:paraId="13941DF6" w14:textId="03FE4728" w:rsidR="001B6AC0" w:rsidRPr="001B6AC0" w:rsidRDefault="001B6AC0" w:rsidP="00C67534">
            <w:pPr>
              <w:pStyle w:val="naiskr"/>
              <w:numPr>
                <w:ilvl w:val="0"/>
                <w:numId w:val="3"/>
              </w:numPr>
              <w:spacing w:before="0" w:after="0"/>
              <w:jc w:val="both"/>
              <w:rPr>
                <w:color w:val="000000"/>
                <w:lang w:eastAsia="en-US"/>
              </w:rPr>
            </w:pPr>
            <w:r w:rsidRPr="00C921F5">
              <w:t xml:space="preserve">Komisijas </w:t>
            </w:r>
            <w:r w:rsidR="00AA71C4">
              <w:t>R</w:t>
            </w:r>
            <w:r w:rsidR="008F40FA">
              <w:t>egula Nr. 702/2014</w:t>
            </w:r>
            <w:r>
              <w:t>;</w:t>
            </w:r>
          </w:p>
          <w:p w14:paraId="3BF72D9A" w14:textId="77777777" w:rsidR="00C67534" w:rsidRPr="00C67534" w:rsidRDefault="001B6AC0" w:rsidP="00C67534">
            <w:pPr>
              <w:pStyle w:val="naiskr"/>
              <w:numPr>
                <w:ilvl w:val="0"/>
                <w:numId w:val="3"/>
              </w:numPr>
              <w:spacing w:before="0" w:after="0"/>
              <w:jc w:val="both"/>
              <w:rPr>
                <w:color w:val="000000"/>
                <w:lang w:eastAsia="en-US"/>
              </w:rPr>
            </w:pPr>
            <w:r w:rsidRPr="001B6AC0">
              <w:rPr>
                <w:color w:val="000000" w:themeColor="text1"/>
              </w:rPr>
              <w:t>Komisijas Regula Nr. 794/2004</w:t>
            </w:r>
            <w:r w:rsidR="00C67534">
              <w:rPr>
                <w:color w:val="000000" w:themeColor="text1"/>
              </w:rPr>
              <w:t>;</w:t>
            </w:r>
          </w:p>
          <w:p w14:paraId="31C58836" w14:textId="2B16B0AA" w:rsidR="008F40FA" w:rsidRPr="00C67534" w:rsidRDefault="00C67534" w:rsidP="00C67534">
            <w:pPr>
              <w:pStyle w:val="naiskr"/>
              <w:numPr>
                <w:ilvl w:val="0"/>
                <w:numId w:val="3"/>
              </w:numPr>
              <w:spacing w:before="0" w:after="0"/>
              <w:jc w:val="both"/>
              <w:rPr>
                <w:color w:val="000000"/>
                <w:lang w:eastAsia="en-US"/>
              </w:rPr>
            </w:pPr>
            <w:r>
              <w:rPr>
                <w:color w:val="000000" w:themeColor="text1"/>
              </w:rPr>
              <w:t>Komisijas Regula Nr. 1388/2014</w:t>
            </w:r>
            <w:r w:rsidR="008F40FA">
              <w:t>.</w:t>
            </w:r>
          </w:p>
          <w:p w14:paraId="27AE43F3" w14:textId="0F6E4A9F" w:rsidR="008B0720" w:rsidRPr="00C921F5" w:rsidRDefault="008B0720" w:rsidP="00B043DE">
            <w:pPr>
              <w:pStyle w:val="naiskr"/>
              <w:spacing w:before="0" w:after="0"/>
              <w:jc w:val="both"/>
              <w:rPr>
                <w:color w:val="000000"/>
                <w:lang w:eastAsia="en-US"/>
              </w:rPr>
            </w:pPr>
          </w:p>
        </w:tc>
      </w:tr>
      <w:tr w:rsidR="00A5551D" w:rsidRPr="00C921F5" w14:paraId="6EDB5B7C" w14:textId="77777777" w:rsidTr="00FA4414">
        <w:tc>
          <w:tcPr>
            <w:tcW w:w="151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C921F5" w:rsidRDefault="00A5551D" w:rsidP="00B043DE">
            <w:pPr>
              <w:jc w:val="center"/>
              <w:rPr>
                <w:rFonts w:eastAsia="Times New Roman"/>
                <w:color w:val="414142"/>
                <w:sz w:val="24"/>
                <w:szCs w:val="24"/>
                <w:lang w:val="lv-LV" w:eastAsia="lv-LV"/>
              </w:rPr>
            </w:pPr>
            <w:r w:rsidRPr="00C921F5">
              <w:rPr>
                <w:rFonts w:eastAsia="Times New Roman"/>
                <w:color w:val="414142"/>
                <w:sz w:val="24"/>
                <w:szCs w:val="24"/>
                <w:lang w:val="lv-LV" w:eastAsia="lv-LV"/>
              </w:rPr>
              <w:t>A</w:t>
            </w:r>
          </w:p>
        </w:tc>
        <w:tc>
          <w:tcPr>
            <w:tcW w:w="9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C921F5" w:rsidRDefault="00A5551D" w:rsidP="00B043DE">
            <w:pPr>
              <w:jc w:val="center"/>
              <w:rPr>
                <w:rFonts w:eastAsia="Times New Roman"/>
                <w:color w:val="414142"/>
                <w:sz w:val="24"/>
                <w:szCs w:val="24"/>
                <w:lang w:val="lv-LV" w:eastAsia="lv-LV"/>
              </w:rPr>
            </w:pPr>
            <w:r w:rsidRPr="00C921F5">
              <w:rPr>
                <w:rFonts w:eastAsia="Times New Roman"/>
                <w:color w:val="414142"/>
                <w:sz w:val="24"/>
                <w:szCs w:val="24"/>
                <w:lang w:val="lv-LV" w:eastAsia="lv-LV"/>
              </w:rPr>
              <w:t>B</w:t>
            </w:r>
          </w:p>
        </w:tc>
        <w:tc>
          <w:tcPr>
            <w:tcW w:w="11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C921F5" w:rsidRDefault="00A5551D" w:rsidP="00B043DE">
            <w:pPr>
              <w:jc w:val="center"/>
              <w:rPr>
                <w:rFonts w:eastAsia="Times New Roman"/>
                <w:color w:val="414142"/>
                <w:sz w:val="24"/>
                <w:szCs w:val="24"/>
                <w:lang w:val="lv-LV" w:eastAsia="lv-LV"/>
              </w:rPr>
            </w:pPr>
            <w:r w:rsidRPr="00C921F5">
              <w:rPr>
                <w:rFonts w:eastAsia="Times New Roman"/>
                <w:color w:val="414142"/>
                <w:sz w:val="24"/>
                <w:szCs w:val="24"/>
                <w:lang w:val="lv-LV" w:eastAsia="lv-LV"/>
              </w:rPr>
              <w:t>C</w:t>
            </w:r>
          </w:p>
        </w:tc>
        <w:tc>
          <w:tcPr>
            <w:tcW w:w="134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C921F5" w:rsidRDefault="00A5551D" w:rsidP="00B043DE">
            <w:pPr>
              <w:jc w:val="center"/>
              <w:rPr>
                <w:rFonts w:eastAsia="Times New Roman"/>
                <w:color w:val="414142"/>
                <w:sz w:val="24"/>
                <w:szCs w:val="24"/>
                <w:lang w:val="lv-LV" w:eastAsia="lv-LV"/>
              </w:rPr>
            </w:pPr>
            <w:r w:rsidRPr="00C921F5">
              <w:rPr>
                <w:rFonts w:eastAsia="Times New Roman"/>
                <w:color w:val="414142"/>
                <w:sz w:val="24"/>
                <w:szCs w:val="24"/>
                <w:lang w:val="lv-LV" w:eastAsia="lv-LV"/>
              </w:rPr>
              <w:t>D</w:t>
            </w:r>
          </w:p>
        </w:tc>
      </w:tr>
      <w:tr w:rsidR="007C1585" w:rsidRPr="00C921F5" w14:paraId="59CBDEF3"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0D221642" w14:textId="6E0C77BB" w:rsidR="007C1585" w:rsidRDefault="00AA71C4" w:rsidP="007C1585">
            <w:pPr>
              <w:rPr>
                <w:i/>
                <w:iCs/>
                <w:color w:val="000000"/>
                <w:sz w:val="24"/>
                <w:szCs w:val="24"/>
                <w:lang w:val="lv-LV"/>
              </w:rPr>
            </w:pPr>
            <w:proofErr w:type="spellStart"/>
            <w:r w:rsidRPr="00130C79">
              <w:rPr>
                <w:rFonts w:eastAsia="Times New Roman"/>
                <w:i/>
                <w:iCs/>
                <w:sz w:val="24"/>
                <w:szCs w:val="24"/>
                <w:lang w:eastAsia="lv-LV"/>
              </w:rPr>
              <w:t>Komisijas</w:t>
            </w:r>
            <w:proofErr w:type="spellEnd"/>
            <w:r w:rsidRPr="00130C79">
              <w:rPr>
                <w:rFonts w:eastAsia="Times New Roman"/>
                <w:i/>
                <w:iCs/>
                <w:sz w:val="24"/>
                <w:szCs w:val="24"/>
                <w:lang w:eastAsia="lv-LV"/>
              </w:rPr>
              <w:t xml:space="preserve"> </w:t>
            </w:r>
            <w:proofErr w:type="spellStart"/>
            <w:r w:rsidRPr="00130C79">
              <w:rPr>
                <w:rFonts w:eastAsia="Times New Roman"/>
                <w:i/>
                <w:iCs/>
                <w:sz w:val="24"/>
                <w:szCs w:val="24"/>
                <w:lang w:eastAsia="lv-LV"/>
              </w:rPr>
              <w:t>Regulas</w:t>
            </w:r>
            <w:proofErr w:type="spellEnd"/>
            <w:r w:rsidRPr="00C921F5">
              <w:rPr>
                <w:i/>
                <w:iCs/>
                <w:color w:val="000000"/>
                <w:sz w:val="24"/>
                <w:szCs w:val="24"/>
                <w:lang w:val="lv-LV"/>
              </w:rPr>
              <w:t xml:space="preserve"> </w:t>
            </w:r>
            <w:r w:rsidR="007C1585" w:rsidRPr="00C921F5">
              <w:rPr>
                <w:i/>
                <w:iCs/>
                <w:color w:val="000000"/>
                <w:sz w:val="24"/>
                <w:szCs w:val="24"/>
                <w:lang w:val="lv-LV"/>
              </w:rPr>
              <w:t xml:space="preserve">Nr. 651/2014 2.panta 24.punkts; </w:t>
            </w:r>
          </w:p>
          <w:p w14:paraId="7542AD4A" w14:textId="7211E999" w:rsidR="00C67534" w:rsidRPr="00C921F5" w:rsidRDefault="00C67534" w:rsidP="007C1585">
            <w:pPr>
              <w:rPr>
                <w:i/>
                <w:iCs/>
                <w:color w:val="000000"/>
                <w:sz w:val="24"/>
                <w:szCs w:val="24"/>
                <w:lang w:val="lv-LV"/>
              </w:rPr>
            </w:pP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19FED5DD" w14:textId="48DE492E" w:rsidR="007C1585" w:rsidRPr="00C921F5" w:rsidRDefault="007C1585" w:rsidP="007C1585">
            <w:pPr>
              <w:rPr>
                <w:i/>
                <w:iCs/>
                <w:color w:val="000000"/>
                <w:sz w:val="24"/>
                <w:szCs w:val="24"/>
                <w:lang w:val="lv-LV"/>
              </w:rPr>
            </w:pPr>
            <w:r w:rsidRPr="00C921F5">
              <w:rPr>
                <w:i/>
                <w:iCs/>
                <w:color w:val="000000"/>
                <w:sz w:val="24"/>
                <w:szCs w:val="24"/>
                <w:lang w:val="lv-LV"/>
              </w:rPr>
              <w:t>Noteikumu projekta 4.</w:t>
            </w:r>
            <w:r w:rsidR="00AC105D">
              <w:rPr>
                <w:i/>
                <w:iCs/>
                <w:color w:val="000000"/>
                <w:sz w:val="24"/>
                <w:szCs w:val="24"/>
                <w:lang w:val="lv-LV"/>
              </w:rPr>
              <w:t>3.1</w:t>
            </w:r>
            <w:r w:rsidRPr="00C921F5">
              <w:rPr>
                <w:i/>
                <w:iCs/>
                <w:color w:val="000000"/>
                <w:sz w:val="24"/>
                <w:szCs w:val="24"/>
                <w:lang w:val="lv-LV"/>
              </w:rPr>
              <w:t xml:space="preserve">. </w:t>
            </w:r>
            <w:r w:rsidR="002F4637">
              <w:rPr>
                <w:i/>
                <w:iCs/>
                <w:color w:val="000000"/>
                <w:sz w:val="24"/>
                <w:szCs w:val="24"/>
                <w:lang w:val="lv-LV"/>
              </w:rPr>
              <w:t>1.</w:t>
            </w:r>
            <w:r w:rsidRPr="00C921F5">
              <w:rPr>
                <w:i/>
                <w:iCs/>
                <w:color w:val="000000"/>
                <w:sz w:val="24"/>
                <w:szCs w:val="24"/>
                <w:lang w:val="lv-LV"/>
              </w:rPr>
              <w:t>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605F3B00" w14:textId="3846F96C" w:rsidR="007C1585" w:rsidRPr="00C921F5" w:rsidRDefault="007C1585" w:rsidP="007C1585">
            <w:pPr>
              <w:rPr>
                <w:i/>
                <w:iCs/>
                <w:color w:val="000000"/>
                <w:sz w:val="24"/>
                <w:szCs w:val="24"/>
                <w:lang w:val="lv-LV"/>
              </w:rPr>
            </w:pPr>
            <w:r w:rsidRPr="00C921F5">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40676649" w14:textId="15DB6739" w:rsidR="007C1585" w:rsidRPr="00C921F5" w:rsidRDefault="007C1585" w:rsidP="007C1585">
            <w:pPr>
              <w:rPr>
                <w:i/>
                <w:iCs/>
                <w:color w:val="000000"/>
                <w:sz w:val="24"/>
                <w:szCs w:val="24"/>
                <w:lang w:val="lv-LV"/>
              </w:rPr>
            </w:pPr>
            <w:r w:rsidRPr="00C921F5">
              <w:rPr>
                <w:i/>
                <w:iCs/>
                <w:color w:val="000000"/>
                <w:sz w:val="24"/>
                <w:szCs w:val="24"/>
                <w:lang w:val="lv-LV"/>
              </w:rPr>
              <w:t>Neparedz stingrākas prasības.</w:t>
            </w:r>
          </w:p>
        </w:tc>
      </w:tr>
      <w:tr w:rsidR="002F4637" w:rsidRPr="00C921F5" w14:paraId="1709A9A2"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2ACB5200" w14:textId="158863FB" w:rsidR="002F4637" w:rsidRPr="00130C79" w:rsidRDefault="002F4637" w:rsidP="002F4637">
            <w:pPr>
              <w:rPr>
                <w:rFonts w:eastAsia="Times New Roman"/>
                <w:i/>
                <w:iCs/>
                <w:sz w:val="24"/>
                <w:szCs w:val="24"/>
                <w:lang w:eastAsia="lv-LV"/>
              </w:rPr>
            </w:pPr>
            <w:proofErr w:type="spellStart"/>
            <w:r w:rsidRPr="00130C79">
              <w:rPr>
                <w:rFonts w:eastAsia="Times New Roman"/>
                <w:i/>
                <w:iCs/>
                <w:sz w:val="24"/>
                <w:szCs w:val="24"/>
                <w:lang w:eastAsia="lv-LV"/>
              </w:rPr>
              <w:t>Komisijas</w:t>
            </w:r>
            <w:proofErr w:type="spellEnd"/>
            <w:r w:rsidRPr="00130C79">
              <w:rPr>
                <w:rFonts w:eastAsia="Times New Roman"/>
                <w:i/>
                <w:iCs/>
                <w:sz w:val="24"/>
                <w:szCs w:val="24"/>
                <w:lang w:eastAsia="lv-LV"/>
              </w:rPr>
              <w:t xml:space="preserve"> </w:t>
            </w:r>
            <w:proofErr w:type="spellStart"/>
            <w:r w:rsidRPr="00130C79">
              <w:rPr>
                <w:rFonts w:eastAsia="Times New Roman"/>
                <w:i/>
                <w:iCs/>
                <w:sz w:val="24"/>
                <w:szCs w:val="24"/>
                <w:lang w:eastAsia="lv-LV"/>
              </w:rPr>
              <w:t>Regulas</w:t>
            </w:r>
            <w:proofErr w:type="spellEnd"/>
            <w:r w:rsidRPr="00C921F5">
              <w:rPr>
                <w:i/>
                <w:iCs/>
                <w:color w:val="000000"/>
                <w:sz w:val="24"/>
                <w:szCs w:val="24"/>
                <w:lang w:val="lv-LV"/>
              </w:rPr>
              <w:t xml:space="preserve"> Nr.702/2014 </w:t>
            </w:r>
            <w:proofErr w:type="gramStart"/>
            <w:r w:rsidRPr="00C921F5">
              <w:rPr>
                <w:i/>
                <w:iCs/>
                <w:color w:val="000000"/>
                <w:sz w:val="24"/>
                <w:szCs w:val="24"/>
                <w:lang w:val="lv-LV"/>
              </w:rPr>
              <w:t>2.panta</w:t>
            </w:r>
            <w:proofErr w:type="gramEnd"/>
            <w:r w:rsidRPr="00C921F5">
              <w:rPr>
                <w:i/>
                <w:iCs/>
                <w:color w:val="000000"/>
                <w:sz w:val="24"/>
                <w:szCs w:val="24"/>
                <w:lang w:val="lv-LV"/>
              </w:rPr>
              <w:t xml:space="preserve"> 26.punkts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551588A4" w14:textId="57621846" w:rsidR="002F4637" w:rsidRDefault="002F4637" w:rsidP="002F4637">
            <w:pPr>
              <w:rPr>
                <w:i/>
                <w:iCs/>
                <w:color w:val="000000"/>
                <w:sz w:val="24"/>
                <w:szCs w:val="24"/>
                <w:lang w:val="lv-LV"/>
              </w:rPr>
            </w:pPr>
            <w:r w:rsidRPr="00C921F5">
              <w:rPr>
                <w:i/>
                <w:iCs/>
                <w:color w:val="000000"/>
                <w:sz w:val="24"/>
                <w:szCs w:val="24"/>
                <w:lang w:val="lv-LV"/>
              </w:rPr>
              <w:t>Noteikumu projekta 4.</w:t>
            </w:r>
            <w:r>
              <w:rPr>
                <w:i/>
                <w:iCs/>
                <w:color w:val="000000"/>
                <w:sz w:val="24"/>
                <w:szCs w:val="24"/>
                <w:lang w:val="lv-LV"/>
              </w:rPr>
              <w:t>3.1</w:t>
            </w:r>
            <w:r w:rsidRPr="00C921F5">
              <w:rPr>
                <w:i/>
                <w:iCs/>
                <w:color w:val="000000"/>
                <w:sz w:val="24"/>
                <w:szCs w:val="24"/>
                <w:lang w:val="lv-LV"/>
              </w:rPr>
              <w:t xml:space="preserve">. </w:t>
            </w:r>
            <w:r>
              <w:rPr>
                <w:i/>
                <w:iCs/>
                <w:color w:val="000000"/>
                <w:sz w:val="24"/>
                <w:szCs w:val="24"/>
                <w:lang w:val="lv-LV"/>
              </w:rPr>
              <w:t>2.</w:t>
            </w:r>
            <w:r w:rsidRPr="00C921F5">
              <w:rPr>
                <w:i/>
                <w:iCs/>
                <w:color w:val="000000"/>
                <w:sz w:val="24"/>
                <w:szCs w:val="24"/>
                <w:lang w:val="lv-LV"/>
              </w:rPr>
              <w:t>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3627E6BA" w14:textId="63C721FF" w:rsidR="002F4637" w:rsidRDefault="002F4637" w:rsidP="002F4637">
            <w:pPr>
              <w:rPr>
                <w:i/>
                <w:iCs/>
                <w:color w:val="000000"/>
                <w:sz w:val="24"/>
                <w:szCs w:val="24"/>
                <w:lang w:val="lv-LV"/>
              </w:rPr>
            </w:pPr>
            <w:r w:rsidRPr="00C921F5">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33CB3DAB" w14:textId="697010EC" w:rsidR="002F4637" w:rsidRDefault="002F4637" w:rsidP="002F4637">
            <w:pPr>
              <w:rPr>
                <w:i/>
                <w:iCs/>
                <w:color w:val="000000"/>
                <w:sz w:val="24"/>
                <w:szCs w:val="24"/>
                <w:lang w:val="lv-LV"/>
              </w:rPr>
            </w:pPr>
            <w:r w:rsidRPr="00C921F5">
              <w:rPr>
                <w:i/>
                <w:iCs/>
                <w:color w:val="000000"/>
                <w:sz w:val="24"/>
                <w:szCs w:val="24"/>
                <w:lang w:val="lv-LV"/>
              </w:rPr>
              <w:t>Neparedz stingrākas prasības.</w:t>
            </w:r>
          </w:p>
        </w:tc>
      </w:tr>
      <w:tr w:rsidR="002F4637" w:rsidRPr="00C921F5" w14:paraId="1D110D1B"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29B5BD6C" w14:textId="048F0119" w:rsidR="002F4637" w:rsidRPr="00130C79" w:rsidRDefault="002F4637" w:rsidP="002F4637">
            <w:pPr>
              <w:rPr>
                <w:rFonts w:eastAsia="Times New Roman"/>
                <w:i/>
                <w:iCs/>
                <w:sz w:val="24"/>
                <w:szCs w:val="24"/>
                <w:lang w:eastAsia="lv-LV"/>
              </w:rPr>
            </w:pPr>
            <w:r>
              <w:rPr>
                <w:i/>
                <w:iCs/>
                <w:color w:val="000000"/>
                <w:sz w:val="24"/>
                <w:szCs w:val="24"/>
                <w:lang w:val="lv-LV"/>
              </w:rPr>
              <w:lastRenderedPageBreak/>
              <w:t xml:space="preserve">Komisijas Regulas Nr.1388/2014 </w:t>
            </w:r>
            <w:r>
              <w:rPr>
                <w:rFonts w:eastAsia="Times New Roman"/>
                <w:i/>
                <w:iCs/>
                <w:color w:val="000000" w:themeColor="text1"/>
                <w:sz w:val="24"/>
                <w:szCs w:val="24"/>
                <w:lang w:eastAsia="lv-LV"/>
              </w:rPr>
              <w:t>1.pielikuma 2.panta  1.punkts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3C30A004" w14:textId="661095C9" w:rsidR="002F4637" w:rsidRDefault="002F4637" w:rsidP="002F4637">
            <w:pPr>
              <w:rPr>
                <w:i/>
                <w:iCs/>
                <w:color w:val="000000"/>
                <w:sz w:val="24"/>
                <w:szCs w:val="24"/>
                <w:lang w:val="lv-LV"/>
              </w:rPr>
            </w:pPr>
            <w:r w:rsidRPr="00C921F5">
              <w:rPr>
                <w:i/>
                <w:iCs/>
                <w:color w:val="000000"/>
                <w:sz w:val="24"/>
                <w:szCs w:val="24"/>
                <w:lang w:val="lv-LV"/>
              </w:rPr>
              <w:t>Noteikumu projekta 4.</w:t>
            </w:r>
            <w:r>
              <w:rPr>
                <w:i/>
                <w:iCs/>
                <w:color w:val="000000"/>
                <w:sz w:val="24"/>
                <w:szCs w:val="24"/>
                <w:lang w:val="lv-LV"/>
              </w:rPr>
              <w:t>3.1</w:t>
            </w:r>
            <w:r w:rsidRPr="00C921F5">
              <w:rPr>
                <w:i/>
                <w:iCs/>
                <w:color w:val="000000"/>
                <w:sz w:val="24"/>
                <w:szCs w:val="24"/>
                <w:lang w:val="lv-LV"/>
              </w:rPr>
              <w:t xml:space="preserve">. </w:t>
            </w:r>
            <w:r>
              <w:rPr>
                <w:i/>
                <w:iCs/>
                <w:color w:val="000000"/>
                <w:sz w:val="24"/>
                <w:szCs w:val="24"/>
                <w:lang w:val="lv-LV"/>
              </w:rPr>
              <w:t>3.</w:t>
            </w:r>
            <w:r w:rsidRPr="00C921F5">
              <w:rPr>
                <w:i/>
                <w:iCs/>
                <w:color w:val="000000"/>
                <w:sz w:val="24"/>
                <w:szCs w:val="24"/>
                <w:lang w:val="lv-LV"/>
              </w:rPr>
              <w:t>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307793BE" w14:textId="3A0D9E29" w:rsidR="002F4637" w:rsidRDefault="002F4637" w:rsidP="002F4637">
            <w:pPr>
              <w:rPr>
                <w:i/>
                <w:iCs/>
                <w:color w:val="000000"/>
                <w:sz w:val="24"/>
                <w:szCs w:val="24"/>
                <w:lang w:val="lv-LV"/>
              </w:rPr>
            </w:pPr>
            <w:r w:rsidRPr="00C921F5">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766BB524" w14:textId="377950A7" w:rsidR="002F4637" w:rsidRDefault="002F4637" w:rsidP="002F4637">
            <w:pPr>
              <w:rPr>
                <w:i/>
                <w:iCs/>
                <w:color w:val="000000"/>
                <w:sz w:val="24"/>
                <w:szCs w:val="24"/>
                <w:lang w:val="lv-LV"/>
              </w:rPr>
            </w:pPr>
            <w:r w:rsidRPr="00C921F5">
              <w:rPr>
                <w:i/>
                <w:iCs/>
                <w:color w:val="000000"/>
                <w:sz w:val="24"/>
                <w:szCs w:val="24"/>
                <w:lang w:val="lv-LV"/>
              </w:rPr>
              <w:t>Neparedz stingrākas prasības.</w:t>
            </w:r>
          </w:p>
        </w:tc>
      </w:tr>
      <w:tr w:rsidR="002F4637" w:rsidRPr="00C921F5" w14:paraId="348FABC7"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52D0D285" w14:textId="77777777" w:rsidR="002F4637" w:rsidRDefault="002F4637" w:rsidP="002F4637">
            <w:pPr>
              <w:rPr>
                <w:rFonts w:eastAsia="Times New Roman"/>
                <w:i/>
                <w:iCs/>
                <w:sz w:val="24"/>
                <w:szCs w:val="24"/>
                <w:lang w:eastAsia="lv-LV"/>
              </w:rPr>
            </w:pPr>
            <w:proofErr w:type="spellStart"/>
            <w:r w:rsidRPr="00130C79">
              <w:rPr>
                <w:rFonts w:eastAsia="Times New Roman"/>
                <w:i/>
                <w:iCs/>
                <w:sz w:val="24"/>
                <w:szCs w:val="24"/>
                <w:lang w:eastAsia="lv-LV"/>
              </w:rPr>
              <w:t>Komisijas</w:t>
            </w:r>
            <w:proofErr w:type="spellEnd"/>
            <w:r w:rsidRPr="00130C79">
              <w:rPr>
                <w:rFonts w:eastAsia="Times New Roman"/>
                <w:i/>
                <w:iCs/>
                <w:sz w:val="24"/>
                <w:szCs w:val="24"/>
                <w:lang w:eastAsia="lv-LV"/>
              </w:rPr>
              <w:t xml:space="preserve"> </w:t>
            </w:r>
            <w:proofErr w:type="spellStart"/>
            <w:r w:rsidRPr="00130C79">
              <w:rPr>
                <w:rFonts w:eastAsia="Times New Roman"/>
                <w:i/>
                <w:iCs/>
                <w:sz w:val="24"/>
                <w:szCs w:val="24"/>
                <w:lang w:eastAsia="lv-LV"/>
              </w:rPr>
              <w:t>Regulas</w:t>
            </w:r>
            <w:proofErr w:type="spellEnd"/>
            <w:r w:rsidRPr="00130C79">
              <w:rPr>
                <w:rFonts w:eastAsia="Times New Roman"/>
                <w:i/>
                <w:iCs/>
                <w:sz w:val="24"/>
                <w:szCs w:val="24"/>
                <w:lang w:eastAsia="lv-LV"/>
              </w:rPr>
              <w:t xml:space="preserve"> Nr.651/2014 </w:t>
            </w:r>
            <w:proofErr w:type="gramStart"/>
            <w:r w:rsidRPr="00130C79">
              <w:rPr>
                <w:rFonts w:eastAsia="Times New Roman"/>
                <w:i/>
                <w:iCs/>
                <w:sz w:val="24"/>
                <w:szCs w:val="24"/>
                <w:lang w:eastAsia="lv-LV"/>
              </w:rPr>
              <w:t>1.pielikum</w:t>
            </w:r>
            <w:r>
              <w:rPr>
                <w:rFonts w:eastAsia="Times New Roman"/>
                <w:i/>
                <w:iCs/>
                <w:sz w:val="24"/>
                <w:szCs w:val="24"/>
                <w:lang w:eastAsia="lv-LV"/>
              </w:rPr>
              <w:t>a</w:t>
            </w:r>
            <w:proofErr w:type="gramEnd"/>
            <w:r w:rsidRPr="00130C79">
              <w:rPr>
                <w:rFonts w:eastAsia="Times New Roman"/>
                <w:i/>
                <w:iCs/>
                <w:sz w:val="24"/>
                <w:szCs w:val="24"/>
                <w:lang w:eastAsia="lv-LV"/>
              </w:rPr>
              <w:t xml:space="preserve"> 2,panta </w:t>
            </w:r>
            <w:r>
              <w:rPr>
                <w:rFonts w:eastAsia="Times New Roman"/>
                <w:i/>
                <w:iCs/>
                <w:sz w:val="24"/>
                <w:szCs w:val="24"/>
                <w:lang w:eastAsia="lv-LV"/>
              </w:rPr>
              <w:t>1</w:t>
            </w:r>
            <w:r w:rsidRPr="00130C79">
              <w:rPr>
                <w:rFonts w:eastAsia="Times New Roman"/>
                <w:i/>
                <w:iCs/>
                <w:sz w:val="24"/>
                <w:szCs w:val="24"/>
                <w:lang w:eastAsia="lv-LV"/>
              </w:rPr>
              <w:t>.</w:t>
            </w:r>
            <w:r>
              <w:rPr>
                <w:rFonts w:eastAsia="Times New Roman"/>
                <w:i/>
                <w:iCs/>
                <w:sz w:val="24"/>
                <w:szCs w:val="24"/>
                <w:lang w:eastAsia="lv-LV"/>
              </w:rPr>
              <w:t>punkts un 2.punkts;</w:t>
            </w:r>
          </w:p>
          <w:p w14:paraId="013BDEBB" w14:textId="77777777" w:rsidR="002F4637" w:rsidRPr="00130C79" w:rsidRDefault="002F4637" w:rsidP="002F4637">
            <w:pPr>
              <w:rPr>
                <w:rFonts w:eastAsia="Times New Roman"/>
                <w:i/>
                <w:iCs/>
                <w:sz w:val="24"/>
                <w:szCs w:val="24"/>
                <w:lang w:eastAsia="lv-LV"/>
              </w:rPr>
            </w:pP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70DC5930" w14:textId="6F80F58B" w:rsidR="002F4637" w:rsidRDefault="002F4637" w:rsidP="002F4637">
            <w:pPr>
              <w:rPr>
                <w:i/>
                <w:iCs/>
                <w:color w:val="000000"/>
                <w:sz w:val="24"/>
                <w:szCs w:val="24"/>
                <w:lang w:val="lv-LV"/>
              </w:rPr>
            </w:pPr>
            <w:r>
              <w:rPr>
                <w:i/>
                <w:iCs/>
                <w:color w:val="000000"/>
                <w:sz w:val="24"/>
                <w:szCs w:val="24"/>
                <w:lang w:val="lv-LV"/>
              </w:rPr>
              <w:t>Noteikumu projekta 4.3.2.1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50567B8D" w14:textId="6D123F28" w:rsidR="002F4637" w:rsidRDefault="002F4637" w:rsidP="002F4637">
            <w:pPr>
              <w:rPr>
                <w:i/>
                <w:iCs/>
                <w:color w:val="000000"/>
                <w:sz w:val="24"/>
                <w:szCs w:val="24"/>
                <w:lang w:val="lv-LV"/>
              </w:rPr>
            </w:pPr>
            <w:r>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20CEB202" w14:textId="5CB41C69" w:rsidR="002F4637" w:rsidRDefault="002F4637" w:rsidP="002F4637">
            <w:pPr>
              <w:rPr>
                <w:i/>
                <w:iCs/>
                <w:color w:val="000000"/>
                <w:sz w:val="24"/>
                <w:szCs w:val="24"/>
                <w:lang w:val="lv-LV"/>
              </w:rPr>
            </w:pPr>
            <w:r>
              <w:rPr>
                <w:i/>
                <w:iCs/>
                <w:color w:val="000000"/>
                <w:sz w:val="24"/>
                <w:szCs w:val="24"/>
                <w:lang w:val="lv-LV"/>
              </w:rPr>
              <w:t>Neparedz stingrākas prasības.</w:t>
            </w:r>
          </w:p>
        </w:tc>
      </w:tr>
      <w:tr w:rsidR="002F4637" w:rsidRPr="00C921F5" w14:paraId="2199F5EC"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73B4FAB5" w14:textId="77777777" w:rsidR="002F4637" w:rsidRDefault="002F4637" w:rsidP="002F4637">
            <w:pPr>
              <w:rPr>
                <w:rFonts w:eastAsia="Times New Roman"/>
                <w:i/>
                <w:iCs/>
                <w:sz w:val="24"/>
                <w:szCs w:val="24"/>
                <w:lang w:eastAsia="lv-LV"/>
              </w:rPr>
            </w:pPr>
            <w:proofErr w:type="spellStart"/>
            <w:r w:rsidRPr="00130C79">
              <w:rPr>
                <w:rFonts w:eastAsia="Times New Roman"/>
                <w:i/>
                <w:iCs/>
                <w:sz w:val="24"/>
                <w:szCs w:val="24"/>
                <w:lang w:eastAsia="lv-LV"/>
              </w:rPr>
              <w:t>Komisijas</w:t>
            </w:r>
            <w:proofErr w:type="spellEnd"/>
            <w:r w:rsidRPr="00130C79">
              <w:rPr>
                <w:rFonts w:eastAsia="Times New Roman"/>
                <w:i/>
                <w:iCs/>
                <w:sz w:val="24"/>
                <w:szCs w:val="24"/>
                <w:lang w:eastAsia="lv-LV"/>
              </w:rPr>
              <w:t xml:space="preserve"> </w:t>
            </w:r>
            <w:proofErr w:type="spellStart"/>
            <w:r w:rsidRPr="00130C79">
              <w:rPr>
                <w:rFonts w:eastAsia="Times New Roman"/>
                <w:i/>
                <w:iCs/>
                <w:sz w:val="24"/>
                <w:szCs w:val="24"/>
                <w:lang w:eastAsia="lv-LV"/>
              </w:rPr>
              <w:t>Regulas</w:t>
            </w:r>
            <w:proofErr w:type="spellEnd"/>
            <w:r w:rsidRPr="00C921F5">
              <w:rPr>
                <w:i/>
                <w:iCs/>
                <w:color w:val="000000"/>
                <w:sz w:val="24"/>
                <w:szCs w:val="24"/>
                <w:lang w:val="lv-LV"/>
              </w:rPr>
              <w:t xml:space="preserve"> Nr.702/2014</w:t>
            </w:r>
            <w:r>
              <w:rPr>
                <w:i/>
                <w:iCs/>
                <w:color w:val="000000"/>
                <w:sz w:val="24"/>
                <w:szCs w:val="24"/>
                <w:lang w:val="lv-LV"/>
              </w:rPr>
              <w:t xml:space="preserve"> </w:t>
            </w:r>
            <w:proofErr w:type="gramStart"/>
            <w:r w:rsidRPr="00130C79">
              <w:rPr>
                <w:rFonts w:eastAsia="Times New Roman"/>
                <w:i/>
                <w:iCs/>
                <w:sz w:val="24"/>
                <w:szCs w:val="24"/>
                <w:lang w:eastAsia="lv-LV"/>
              </w:rPr>
              <w:t>1.pielikum</w:t>
            </w:r>
            <w:r>
              <w:rPr>
                <w:rFonts w:eastAsia="Times New Roman"/>
                <w:i/>
                <w:iCs/>
                <w:sz w:val="24"/>
                <w:szCs w:val="24"/>
                <w:lang w:eastAsia="lv-LV"/>
              </w:rPr>
              <w:t>a</w:t>
            </w:r>
            <w:proofErr w:type="gramEnd"/>
            <w:r w:rsidRPr="00130C79">
              <w:rPr>
                <w:rFonts w:eastAsia="Times New Roman"/>
                <w:i/>
                <w:iCs/>
                <w:sz w:val="24"/>
                <w:szCs w:val="24"/>
                <w:lang w:eastAsia="lv-LV"/>
              </w:rPr>
              <w:t xml:space="preserve"> 2,panta </w:t>
            </w:r>
            <w:r>
              <w:rPr>
                <w:rFonts w:eastAsia="Times New Roman"/>
                <w:i/>
                <w:iCs/>
                <w:sz w:val="24"/>
                <w:szCs w:val="24"/>
                <w:lang w:eastAsia="lv-LV"/>
              </w:rPr>
              <w:t xml:space="preserve">1.un </w:t>
            </w:r>
            <w:r w:rsidRPr="00130C79">
              <w:rPr>
                <w:rFonts w:eastAsia="Times New Roman"/>
                <w:i/>
                <w:iCs/>
                <w:sz w:val="24"/>
                <w:szCs w:val="24"/>
                <w:lang w:eastAsia="lv-LV"/>
              </w:rPr>
              <w:t>2.</w:t>
            </w:r>
            <w:r>
              <w:rPr>
                <w:rFonts w:eastAsia="Times New Roman"/>
                <w:i/>
                <w:iCs/>
                <w:sz w:val="24"/>
                <w:szCs w:val="24"/>
                <w:lang w:eastAsia="lv-LV"/>
              </w:rPr>
              <w:t>punkts;</w:t>
            </w:r>
          </w:p>
          <w:p w14:paraId="5B16342E" w14:textId="77777777" w:rsidR="002F4637" w:rsidRPr="00130C79" w:rsidRDefault="002F4637" w:rsidP="002F4637">
            <w:pPr>
              <w:rPr>
                <w:rFonts w:eastAsia="Times New Roman"/>
                <w:i/>
                <w:iCs/>
                <w:sz w:val="24"/>
                <w:szCs w:val="24"/>
                <w:lang w:eastAsia="lv-LV"/>
              </w:rPr>
            </w:pP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7DDCAA90" w14:textId="08BD3DC2" w:rsidR="002F4637" w:rsidRDefault="002F4637" w:rsidP="002F4637">
            <w:pPr>
              <w:rPr>
                <w:i/>
                <w:iCs/>
                <w:color w:val="000000"/>
                <w:sz w:val="24"/>
                <w:szCs w:val="24"/>
                <w:lang w:val="lv-LV"/>
              </w:rPr>
            </w:pPr>
            <w:r>
              <w:rPr>
                <w:i/>
                <w:iCs/>
                <w:color w:val="000000"/>
                <w:sz w:val="24"/>
                <w:szCs w:val="24"/>
                <w:lang w:val="lv-LV"/>
              </w:rPr>
              <w:t>Noteikumu projekta 4.3.2.2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15885F0F" w14:textId="6B6B72BA" w:rsidR="002F4637" w:rsidRDefault="002F4637" w:rsidP="002F4637">
            <w:pPr>
              <w:rPr>
                <w:i/>
                <w:iCs/>
                <w:color w:val="000000"/>
                <w:sz w:val="24"/>
                <w:szCs w:val="24"/>
                <w:lang w:val="lv-LV"/>
              </w:rPr>
            </w:pPr>
            <w:r>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2BB388F5" w14:textId="141D30E6" w:rsidR="002F4637" w:rsidRDefault="002F4637" w:rsidP="002F4637">
            <w:pPr>
              <w:rPr>
                <w:i/>
                <w:iCs/>
                <w:color w:val="000000"/>
                <w:sz w:val="24"/>
                <w:szCs w:val="24"/>
                <w:lang w:val="lv-LV"/>
              </w:rPr>
            </w:pPr>
            <w:r>
              <w:rPr>
                <w:i/>
                <w:iCs/>
                <w:color w:val="000000"/>
                <w:sz w:val="24"/>
                <w:szCs w:val="24"/>
                <w:lang w:val="lv-LV"/>
              </w:rPr>
              <w:t>Neparedz stingrākas prasības.</w:t>
            </w:r>
          </w:p>
        </w:tc>
      </w:tr>
      <w:tr w:rsidR="002F4637" w:rsidRPr="00C921F5" w14:paraId="33343D9F"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4F3D980F" w14:textId="449233BF" w:rsidR="002F4637" w:rsidRPr="00130C79" w:rsidRDefault="002F4637" w:rsidP="002F4637">
            <w:pPr>
              <w:rPr>
                <w:i/>
                <w:iCs/>
                <w:color w:val="000000"/>
                <w:sz w:val="24"/>
                <w:szCs w:val="24"/>
                <w:lang w:val="lv-LV"/>
              </w:rPr>
            </w:pPr>
            <w:proofErr w:type="spellStart"/>
            <w:r>
              <w:rPr>
                <w:i/>
                <w:iCs/>
                <w:color w:val="000000" w:themeColor="text1"/>
                <w:sz w:val="24"/>
                <w:szCs w:val="24"/>
                <w:shd w:val="clear" w:color="auto" w:fill="FFFFFF"/>
              </w:rPr>
              <w:t>Komisijas</w:t>
            </w:r>
            <w:proofErr w:type="spellEnd"/>
            <w:r>
              <w:rPr>
                <w:i/>
                <w:iCs/>
                <w:color w:val="000000" w:themeColor="text1"/>
                <w:sz w:val="24"/>
                <w:szCs w:val="24"/>
                <w:shd w:val="clear" w:color="auto" w:fill="FFFFFF"/>
              </w:rPr>
              <w:t xml:space="preserve"> </w:t>
            </w:r>
            <w:proofErr w:type="spellStart"/>
            <w:r>
              <w:rPr>
                <w:i/>
                <w:iCs/>
                <w:color w:val="000000" w:themeColor="text1"/>
                <w:sz w:val="24"/>
                <w:szCs w:val="24"/>
                <w:shd w:val="clear" w:color="auto" w:fill="FFFFFF"/>
              </w:rPr>
              <w:t>Regulas</w:t>
            </w:r>
            <w:proofErr w:type="spellEnd"/>
            <w:r>
              <w:rPr>
                <w:i/>
                <w:iCs/>
                <w:color w:val="000000" w:themeColor="text1"/>
                <w:sz w:val="24"/>
                <w:szCs w:val="24"/>
                <w:shd w:val="clear" w:color="auto" w:fill="FFFFFF"/>
              </w:rPr>
              <w:t xml:space="preserve"> Nr. </w:t>
            </w:r>
            <w:hyperlink r:id="rId10" w:tgtFrame="_blank" w:history="1">
              <w:r>
                <w:rPr>
                  <w:rStyle w:val="Hyperlink"/>
                  <w:i/>
                  <w:iCs/>
                  <w:color w:val="000000" w:themeColor="text1"/>
                  <w:sz w:val="24"/>
                  <w:szCs w:val="24"/>
                  <w:shd w:val="clear" w:color="auto" w:fill="FFFFFF"/>
                </w:rPr>
                <w:t>1388/2014</w:t>
              </w:r>
            </w:hyperlink>
            <w:r>
              <w:rPr>
                <w:i/>
                <w:iCs/>
                <w:color w:val="000000" w:themeColor="text1"/>
                <w:sz w:val="24"/>
                <w:szCs w:val="24"/>
                <w:shd w:val="clear" w:color="auto" w:fill="FFFFFF"/>
              </w:rPr>
              <w:t xml:space="preserve"> </w:t>
            </w:r>
            <w:r>
              <w:rPr>
                <w:rFonts w:eastAsia="Times New Roman"/>
                <w:i/>
                <w:iCs/>
                <w:color w:val="000000" w:themeColor="text1"/>
                <w:sz w:val="24"/>
                <w:szCs w:val="24"/>
                <w:lang w:eastAsia="lv-LV"/>
              </w:rPr>
              <w:t xml:space="preserve"> 1.pielikuma </w:t>
            </w:r>
            <w:proofErr w:type="gramStart"/>
            <w:r>
              <w:rPr>
                <w:rFonts w:eastAsia="Times New Roman"/>
                <w:i/>
                <w:iCs/>
                <w:color w:val="000000" w:themeColor="text1"/>
                <w:sz w:val="24"/>
                <w:szCs w:val="24"/>
                <w:lang w:eastAsia="lv-LV"/>
              </w:rPr>
              <w:t>2.panta</w:t>
            </w:r>
            <w:proofErr w:type="gramEnd"/>
            <w:r>
              <w:rPr>
                <w:rFonts w:eastAsia="Times New Roman"/>
                <w:i/>
                <w:iCs/>
                <w:color w:val="000000" w:themeColor="text1"/>
                <w:sz w:val="24"/>
                <w:szCs w:val="24"/>
                <w:lang w:eastAsia="lv-LV"/>
              </w:rPr>
              <w:t xml:space="preserve"> 1.un 2.punkts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8FF5B7B" w14:textId="5E42F336" w:rsidR="002F4637" w:rsidRPr="00C921F5" w:rsidRDefault="002F4637" w:rsidP="002F4637">
            <w:pPr>
              <w:rPr>
                <w:i/>
                <w:iCs/>
                <w:color w:val="000000"/>
                <w:sz w:val="24"/>
                <w:szCs w:val="24"/>
                <w:lang w:val="lv-LV"/>
              </w:rPr>
            </w:pPr>
            <w:r>
              <w:rPr>
                <w:i/>
                <w:iCs/>
                <w:color w:val="000000"/>
                <w:sz w:val="24"/>
                <w:szCs w:val="24"/>
                <w:lang w:val="lv-LV"/>
              </w:rPr>
              <w:t>Noteikumu projekta 4.3.2.3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476543F7" w14:textId="497950BC" w:rsidR="002F4637" w:rsidRPr="00C921F5" w:rsidRDefault="002F4637" w:rsidP="002F4637">
            <w:pPr>
              <w:rPr>
                <w:i/>
                <w:iCs/>
                <w:color w:val="000000"/>
                <w:sz w:val="24"/>
                <w:szCs w:val="24"/>
                <w:lang w:val="lv-LV"/>
              </w:rPr>
            </w:pPr>
            <w:r>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12ED431C" w14:textId="2C22A332" w:rsidR="002F4637" w:rsidRPr="00C921F5" w:rsidRDefault="002F4637" w:rsidP="002F4637">
            <w:pPr>
              <w:rPr>
                <w:i/>
                <w:iCs/>
                <w:color w:val="000000"/>
                <w:sz w:val="24"/>
                <w:szCs w:val="24"/>
                <w:lang w:val="lv-LV"/>
              </w:rPr>
            </w:pPr>
            <w:r>
              <w:rPr>
                <w:i/>
                <w:iCs/>
                <w:color w:val="000000"/>
                <w:sz w:val="24"/>
                <w:szCs w:val="24"/>
                <w:lang w:val="lv-LV"/>
              </w:rPr>
              <w:t>Neparedz stingrākas prasības.</w:t>
            </w:r>
          </w:p>
        </w:tc>
      </w:tr>
      <w:tr w:rsidR="002F4637" w:rsidRPr="00C921F5" w14:paraId="28EB89B8"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09E15F15" w14:textId="77777777" w:rsidR="002F4637" w:rsidRDefault="002F4637" w:rsidP="002F4637">
            <w:pPr>
              <w:rPr>
                <w:i/>
                <w:iCs/>
                <w:color w:val="000000"/>
                <w:sz w:val="24"/>
                <w:szCs w:val="24"/>
                <w:lang w:val="lv-LV"/>
              </w:rPr>
            </w:pPr>
            <w:r w:rsidRPr="00AC105D">
              <w:rPr>
                <w:i/>
                <w:iCs/>
                <w:color w:val="000000"/>
                <w:sz w:val="24"/>
                <w:szCs w:val="24"/>
                <w:lang w:val="lv-LV"/>
              </w:rPr>
              <w:t xml:space="preserve">Komisijas </w:t>
            </w:r>
            <w:r>
              <w:rPr>
                <w:i/>
                <w:iCs/>
                <w:color w:val="000000"/>
                <w:sz w:val="24"/>
                <w:szCs w:val="24"/>
                <w:lang w:val="lv-LV"/>
              </w:rPr>
              <w:t>R</w:t>
            </w:r>
            <w:r w:rsidRPr="00AC105D">
              <w:rPr>
                <w:i/>
                <w:iCs/>
                <w:color w:val="000000"/>
                <w:sz w:val="24"/>
                <w:szCs w:val="24"/>
                <w:lang w:val="lv-LV"/>
              </w:rPr>
              <w:t xml:space="preserve">egulas </w:t>
            </w:r>
            <w:hyperlink r:id="rId11" w:tgtFrame="_blank" w:history="1">
              <w:r w:rsidRPr="00AC105D">
                <w:rPr>
                  <w:rStyle w:val="Hyperlink"/>
                  <w:i/>
                  <w:iCs/>
                  <w:color w:val="000000"/>
                  <w:sz w:val="24"/>
                  <w:szCs w:val="24"/>
                  <w:u w:val="none"/>
                  <w:lang w:val="lv-LV"/>
                </w:rPr>
                <w:t>651/2014</w:t>
              </w:r>
            </w:hyperlink>
            <w:r w:rsidRPr="00AC105D">
              <w:rPr>
                <w:i/>
                <w:iCs/>
                <w:color w:val="000000"/>
                <w:sz w:val="24"/>
                <w:szCs w:val="24"/>
                <w:lang w:val="lv-LV"/>
              </w:rPr>
              <w:t xml:space="preserve"> 1. pielikuma 3. panta 3. punkts; </w:t>
            </w:r>
            <w:proofErr w:type="spellStart"/>
            <w:r w:rsidRPr="00130C79">
              <w:rPr>
                <w:rFonts w:eastAsia="Times New Roman"/>
                <w:i/>
                <w:iCs/>
                <w:sz w:val="24"/>
                <w:szCs w:val="24"/>
                <w:lang w:eastAsia="lv-LV"/>
              </w:rPr>
              <w:t>Komisijas</w:t>
            </w:r>
            <w:proofErr w:type="spellEnd"/>
            <w:r w:rsidRPr="00130C79">
              <w:rPr>
                <w:rFonts w:eastAsia="Times New Roman"/>
                <w:i/>
                <w:iCs/>
                <w:sz w:val="24"/>
                <w:szCs w:val="24"/>
                <w:lang w:eastAsia="lv-LV"/>
              </w:rPr>
              <w:t xml:space="preserve"> </w:t>
            </w:r>
            <w:proofErr w:type="spellStart"/>
            <w:r w:rsidRPr="00130C79">
              <w:rPr>
                <w:rFonts w:eastAsia="Times New Roman"/>
                <w:i/>
                <w:iCs/>
                <w:sz w:val="24"/>
                <w:szCs w:val="24"/>
                <w:lang w:eastAsia="lv-LV"/>
              </w:rPr>
              <w:t>Regulas</w:t>
            </w:r>
            <w:proofErr w:type="spellEnd"/>
            <w:r w:rsidRPr="00AC105D">
              <w:rPr>
                <w:i/>
                <w:iCs/>
                <w:color w:val="000000"/>
                <w:sz w:val="24"/>
                <w:szCs w:val="24"/>
                <w:lang w:val="lv-LV"/>
              </w:rPr>
              <w:t xml:space="preserve"> Nr. </w:t>
            </w:r>
            <w:r w:rsidR="000C6026">
              <w:fldChar w:fldCharType="begin"/>
            </w:r>
            <w:r w:rsidR="000C6026">
              <w:instrText xml:space="preserve"> HYPERLINK "http://eur-lex.europa.eu/eli/reg/2014/702/oj/?locale=LV" \t "_blank" </w:instrText>
            </w:r>
            <w:r w:rsidR="000C6026">
              <w:fldChar w:fldCharType="separate"/>
            </w:r>
            <w:r w:rsidRPr="00AC105D">
              <w:rPr>
                <w:rStyle w:val="Hyperlink"/>
                <w:i/>
                <w:iCs/>
                <w:color w:val="000000"/>
                <w:sz w:val="24"/>
                <w:szCs w:val="24"/>
                <w:u w:val="none"/>
                <w:lang w:val="lv-LV"/>
              </w:rPr>
              <w:t>702/2014</w:t>
            </w:r>
            <w:r w:rsidR="000C6026">
              <w:rPr>
                <w:rStyle w:val="Hyperlink"/>
                <w:i/>
                <w:iCs/>
                <w:color w:val="000000"/>
                <w:sz w:val="24"/>
                <w:szCs w:val="24"/>
                <w:u w:val="none"/>
                <w:lang w:val="lv-LV"/>
              </w:rPr>
              <w:fldChar w:fldCharType="end"/>
            </w:r>
            <w:r w:rsidRPr="00AC105D">
              <w:rPr>
                <w:i/>
                <w:iCs/>
                <w:color w:val="000000"/>
                <w:sz w:val="24"/>
                <w:szCs w:val="24"/>
                <w:lang w:val="lv-LV"/>
              </w:rPr>
              <w:t> 1. pielikuma 3. panta 3. punkts</w:t>
            </w:r>
            <w:r>
              <w:rPr>
                <w:i/>
                <w:iCs/>
                <w:color w:val="000000"/>
                <w:sz w:val="24"/>
                <w:szCs w:val="24"/>
                <w:lang w:val="lv-LV"/>
              </w:rPr>
              <w:t>;</w:t>
            </w:r>
          </w:p>
          <w:p w14:paraId="17C93A86" w14:textId="0C10DB0E" w:rsidR="002F4637" w:rsidRPr="00AC105D" w:rsidRDefault="002F4637" w:rsidP="002F4637">
            <w:pPr>
              <w:rPr>
                <w:rFonts w:eastAsia="Times New Roman"/>
                <w:i/>
                <w:iCs/>
                <w:sz w:val="24"/>
                <w:szCs w:val="24"/>
                <w:lang w:val="lv-LV" w:eastAsia="lv-LV"/>
              </w:rPr>
            </w:pPr>
            <w:proofErr w:type="spellStart"/>
            <w:r>
              <w:rPr>
                <w:i/>
                <w:iCs/>
                <w:color w:val="000000" w:themeColor="text1"/>
                <w:sz w:val="24"/>
                <w:szCs w:val="24"/>
                <w:shd w:val="clear" w:color="auto" w:fill="FFFFFF"/>
              </w:rPr>
              <w:t>Komisijas</w:t>
            </w:r>
            <w:proofErr w:type="spellEnd"/>
            <w:r>
              <w:rPr>
                <w:i/>
                <w:iCs/>
                <w:color w:val="000000" w:themeColor="text1"/>
                <w:sz w:val="24"/>
                <w:szCs w:val="24"/>
                <w:shd w:val="clear" w:color="auto" w:fill="FFFFFF"/>
              </w:rPr>
              <w:t xml:space="preserve"> </w:t>
            </w:r>
            <w:proofErr w:type="spellStart"/>
            <w:r w:rsidRPr="00130C79">
              <w:rPr>
                <w:rFonts w:eastAsia="Times New Roman"/>
                <w:i/>
                <w:iCs/>
                <w:sz w:val="24"/>
                <w:szCs w:val="24"/>
                <w:lang w:eastAsia="lv-LV"/>
              </w:rPr>
              <w:t>Regulas</w:t>
            </w:r>
            <w:proofErr w:type="spellEnd"/>
            <w:r w:rsidRPr="00C921F5">
              <w:rPr>
                <w:i/>
                <w:iCs/>
                <w:color w:val="000000"/>
                <w:sz w:val="24"/>
                <w:szCs w:val="24"/>
                <w:lang w:val="lv-LV"/>
              </w:rPr>
              <w:t xml:space="preserve"> </w:t>
            </w:r>
            <w:r>
              <w:rPr>
                <w:i/>
                <w:iCs/>
                <w:color w:val="000000" w:themeColor="text1"/>
                <w:sz w:val="24"/>
                <w:szCs w:val="24"/>
                <w:shd w:val="clear" w:color="auto" w:fill="FFFFFF"/>
              </w:rPr>
              <w:t>Nr. </w:t>
            </w:r>
            <w:hyperlink r:id="rId12" w:tgtFrame="_blank" w:history="1">
              <w:r>
                <w:rPr>
                  <w:rStyle w:val="Hyperlink"/>
                  <w:i/>
                  <w:iCs/>
                  <w:color w:val="000000" w:themeColor="text1"/>
                  <w:sz w:val="24"/>
                  <w:szCs w:val="24"/>
                  <w:shd w:val="clear" w:color="auto" w:fill="FFFFFF"/>
                </w:rPr>
                <w:t>1388/2014</w:t>
              </w:r>
            </w:hyperlink>
            <w:r>
              <w:rPr>
                <w:i/>
                <w:iCs/>
                <w:color w:val="000000" w:themeColor="text1"/>
                <w:sz w:val="24"/>
                <w:szCs w:val="24"/>
                <w:shd w:val="clear" w:color="auto" w:fill="FFFFFF"/>
              </w:rPr>
              <w:t xml:space="preserve"> </w:t>
            </w:r>
            <w:r>
              <w:rPr>
                <w:i/>
                <w:iCs/>
                <w:color w:val="000000"/>
                <w:sz w:val="24"/>
                <w:szCs w:val="24"/>
                <w:lang w:val="lv-LV"/>
              </w:rPr>
              <w:t>1. pielikuma 3. panta 3. punkts</w:t>
            </w:r>
            <w:r>
              <w:rPr>
                <w:i/>
                <w:iCs/>
                <w:color w:val="000000" w:themeColor="text1"/>
                <w:sz w:val="24"/>
                <w:szCs w:val="24"/>
                <w:shd w:val="clear" w:color="auto" w:fill="FFFFFF"/>
              </w:rPr>
              <w:t xml:space="preserve"> </w:t>
            </w:r>
            <w:r>
              <w:rPr>
                <w:rFonts w:eastAsia="Times New Roman"/>
                <w:i/>
                <w:iCs/>
                <w:color w:val="000000" w:themeColor="text1"/>
                <w:sz w:val="24"/>
                <w:szCs w:val="24"/>
                <w:lang w:eastAsia="lv-LV"/>
              </w:rPr>
              <w:t xml:space="preserve"> </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1DD6D86F" w14:textId="1C79A5A0" w:rsidR="002F4637" w:rsidRPr="00C921F5" w:rsidRDefault="002F4637" w:rsidP="002F4637">
            <w:pPr>
              <w:rPr>
                <w:i/>
                <w:iCs/>
                <w:color w:val="000000"/>
                <w:sz w:val="24"/>
                <w:szCs w:val="24"/>
                <w:lang w:val="lv-LV"/>
              </w:rPr>
            </w:pPr>
            <w:r>
              <w:rPr>
                <w:i/>
                <w:iCs/>
                <w:color w:val="000000"/>
                <w:sz w:val="24"/>
                <w:szCs w:val="24"/>
                <w:lang w:val="lv-LV"/>
              </w:rPr>
              <w:t>Noteikumu projekta 5.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5639E52D" w14:textId="01D39E01" w:rsidR="002F4637" w:rsidRPr="00C921F5" w:rsidRDefault="002F4637" w:rsidP="002F4637">
            <w:pPr>
              <w:rPr>
                <w:i/>
                <w:iCs/>
                <w:color w:val="000000"/>
                <w:sz w:val="24"/>
                <w:szCs w:val="24"/>
                <w:lang w:val="lv-LV"/>
              </w:rPr>
            </w:pPr>
            <w:r>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0619DACC" w14:textId="2E614CA7" w:rsidR="002F4637" w:rsidRPr="00C921F5" w:rsidRDefault="002F4637" w:rsidP="002F4637">
            <w:pPr>
              <w:rPr>
                <w:i/>
                <w:iCs/>
                <w:color w:val="000000"/>
                <w:sz w:val="24"/>
                <w:szCs w:val="24"/>
                <w:lang w:val="lv-LV"/>
              </w:rPr>
            </w:pPr>
            <w:r>
              <w:rPr>
                <w:i/>
                <w:iCs/>
                <w:color w:val="000000"/>
                <w:sz w:val="24"/>
                <w:szCs w:val="24"/>
                <w:lang w:val="lv-LV"/>
              </w:rPr>
              <w:t>Neparedz stingrākas prasības.</w:t>
            </w:r>
          </w:p>
        </w:tc>
      </w:tr>
      <w:tr w:rsidR="002F4637" w:rsidRPr="00C921F5" w14:paraId="6F7EBEBC"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4AED62F1" w14:textId="16BA99D5" w:rsidR="002F4637" w:rsidRPr="00AA71C4" w:rsidRDefault="002F4637" w:rsidP="002F4637">
            <w:pPr>
              <w:rPr>
                <w:rFonts w:eastAsia="Times New Roman"/>
                <w:i/>
                <w:iCs/>
                <w:sz w:val="24"/>
                <w:szCs w:val="24"/>
                <w:lang w:val="lv-LV" w:eastAsia="lv-LV"/>
              </w:rPr>
            </w:pPr>
            <w:r w:rsidRPr="00AA71C4">
              <w:rPr>
                <w:i/>
                <w:iCs/>
                <w:color w:val="000000"/>
                <w:sz w:val="24"/>
                <w:szCs w:val="24"/>
                <w:lang w:val="lv-LV"/>
              </w:rPr>
              <w:t>Komisijas paziņojuma 25.punkta g)</w:t>
            </w:r>
            <w:r>
              <w:rPr>
                <w:i/>
                <w:iCs/>
                <w:color w:val="000000"/>
                <w:sz w:val="24"/>
                <w:szCs w:val="24"/>
                <w:lang w:val="lv-LV"/>
              </w:rPr>
              <w:t xml:space="preserve"> </w:t>
            </w:r>
            <w:r w:rsidRPr="00AA71C4">
              <w:rPr>
                <w:i/>
                <w:iCs/>
                <w:color w:val="000000"/>
                <w:sz w:val="24"/>
                <w:szCs w:val="24"/>
                <w:lang w:val="lv-LV"/>
              </w:rPr>
              <w:t>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FF99BCF" w14:textId="37AA15BC" w:rsidR="002F4637" w:rsidRPr="00C921F5" w:rsidRDefault="002F4637" w:rsidP="002F4637">
            <w:pPr>
              <w:rPr>
                <w:i/>
                <w:iCs/>
                <w:color w:val="000000"/>
                <w:sz w:val="24"/>
                <w:szCs w:val="24"/>
                <w:lang w:val="lv-LV"/>
              </w:rPr>
            </w:pPr>
            <w:r>
              <w:rPr>
                <w:i/>
                <w:iCs/>
                <w:color w:val="000000"/>
                <w:sz w:val="24"/>
                <w:szCs w:val="24"/>
                <w:lang w:val="lv-LV"/>
              </w:rPr>
              <w:t>Noteikumu projekta 8.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75DB0905" w14:textId="7B38812B" w:rsidR="002F4637" w:rsidRPr="00C921F5" w:rsidRDefault="002F4637" w:rsidP="002F4637">
            <w:pPr>
              <w:rPr>
                <w:i/>
                <w:iCs/>
                <w:color w:val="000000"/>
                <w:sz w:val="24"/>
                <w:szCs w:val="24"/>
                <w:lang w:val="lv-LV"/>
              </w:rPr>
            </w:pPr>
            <w:r>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6EF60730" w14:textId="41C0417D" w:rsidR="002F4637" w:rsidRPr="00C921F5" w:rsidRDefault="002F4637" w:rsidP="002F4637">
            <w:pPr>
              <w:rPr>
                <w:i/>
                <w:iCs/>
                <w:color w:val="000000"/>
                <w:sz w:val="24"/>
                <w:szCs w:val="24"/>
                <w:lang w:val="lv-LV"/>
              </w:rPr>
            </w:pPr>
            <w:r>
              <w:rPr>
                <w:i/>
                <w:iCs/>
                <w:color w:val="000000"/>
                <w:sz w:val="24"/>
                <w:szCs w:val="24"/>
                <w:lang w:val="lv-LV"/>
              </w:rPr>
              <w:t>Neparedz stingrākas prasības.</w:t>
            </w:r>
          </w:p>
        </w:tc>
      </w:tr>
      <w:tr w:rsidR="002F4637" w:rsidRPr="00C921F5" w14:paraId="2882AF25"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55C7B2F1" w14:textId="4C38345E" w:rsidR="002F4637" w:rsidRPr="00AA71C4" w:rsidRDefault="002F4637" w:rsidP="002F4637">
            <w:pPr>
              <w:rPr>
                <w:rFonts w:eastAsia="Times New Roman"/>
                <w:i/>
                <w:iCs/>
                <w:sz w:val="24"/>
                <w:szCs w:val="24"/>
                <w:lang w:val="lv-LV" w:eastAsia="lv-LV"/>
              </w:rPr>
            </w:pPr>
            <w:r w:rsidRPr="00AA71C4">
              <w:rPr>
                <w:i/>
                <w:iCs/>
                <w:color w:val="000000"/>
                <w:sz w:val="24"/>
                <w:szCs w:val="24"/>
                <w:lang w:val="lv-LV"/>
              </w:rPr>
              <w:t>Komisijas paziņojuma 25.punkta f) i)punkts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6928ABF4" w14:textId="59514408" w:rsidR="002F4637" w:rsidRPr="00C921F5" w:rsidRDefault="002F4637" w:rsidP="002F4637">
            <w:pPr>
              <w:rPr>
                <w:i/>
                <w:iCs/>
                <w:color w:val="000000"/>
                <w:sz w:val="24"/>
                <w:szCs w:val="24"/>
                <w:lang w:val="lv-LV"/>
              </w:rPr>
            </w:pPr>
            <w:r>
              <w:rPr>
                <w:i/>
                <w:iCs/>
                <w:color w:val="000000"/>
                <w:sz w:val="24"/>
                <w:szCs w:val="24"/>
                <w:lang w:val="lv-LV"/>
              </w:rPr>
              <w:t>Noteikumu projekta 12.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585998C4" w14:textId="1DABD2E1" w:rsidR="002F4637" w:rsidRPr="00C921F5" w:rsidRDefault="002F4637" w:rsidP="002F4637">
            <w:pPr>
              <w:rPr>
                <w:i/>
                <w:iCs/>
                <w:color w:val="000000"/>
                <w:sz w:val="24"/>
                <w:szCs w:val="24"/>
                <w:lang w:val="lv-LV"/>
              </w:rPr>
            </w:pPr>
            <w:r>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00466AFA" w14:textId="63C5D1C3" w:rsidR="002F4637" w:rsidRPr="00C921F5" w:rsidRDefault="002F4637" w:rsidP="002F4637">
            <w:pPr>
              <w:rPr>
                <w:i/>
                <w:iCs/>
                <w:color w:val="000000"/>
                <w:sz w:val="24"/>
                <w:szCs w:val="24"/>
                <w:lang w:val="lv-LV"/>
              </w:rPr>
            </w:pPr>
            <w:r>
              <w:rPr>
                <w:i/>
                <w:iCs/>
                <w:color w:val="000000"/>
                <w:sz w:val="24"/>
                <w:szCs w:val="24"/>
                <w:lang w:val="lv-LV"/>
              </w:rPr>
              <w:t>Neparedz stingrākas prasības.</w:t>
            </w:r>
          </w:p>
        </w:tc>
      </w:tr>
      <w:tr w:rsidR="002F4637" w:rsidRPr="00C921F5" w14:paraId="7CEFA717"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7B88502C" w14:textId="53EE766D" w:rsidR="002F4637" w:rsidRPr="00AA71C4" w:rsidRDefault="002F4637" w:rsidP="002F4637">
            <w:pPr>
              <w:rPr>
                <w:rFonts w:eastAsia="Times New Roman"/>
                <w:i/>
                <w:iCs/>
                <w:sz w:val="24"/>
                <w:szCs w:val="24"/>
                <w:lang w:val="lv-LV" w:eastAsia="lv-LV"/>
              </w:rPr>
            </w:pPr>
            <w:r w:rsidRPr="00AA71C4">
              <w:rPr>
                <w:i/>
                <w:iCs/>
                <w:color w:val="000000"/>
                <w:sz w:val="24"/>
                <w:szCs w:val="24"/>
                <w:lang w:val="lv-LV"/>
              </w:rPr>
              <w:t>Komisijas paziņojuma 25.punkta d ii))punkts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377899A7" w14:textId="376E3CED" w:rsidR="002F4637" w:rsidRPr="00C921F5" w:rsidRDefault="002F4637" w:rsidP="002F4637">
            <w:pPr>
              <w:rPr>
                <w:i/>
                <w:iCs/>
                <w:color w:val="000000"/>
                <w:sz w:val="24"/>
                <w:szCs w:val="24"/>
                <w:lang w:val="lv-LV"/>
              </w:rPr>
            </w:pPr>
            <w:r w:rsidRPr="000A4B5A">
              <w:rPr>
                <w:i/>
                <w:iCs/>
                <w:color w:val="000000"/>
                <w:sz w:val="24"/>
                <w:szCs w:val="24"/>
                <w:lang w:val="lv-LV"/>
              </w:rPr>
              <w:t>Noteikumu projekta 13</w:t>
            </w:r>
            <w:r>
              <w:rPr>
                <w:i/>
                <w:iCs/>
                <w:color w:val="000000"/>
                <w:sz w:val="24"/>
                <w:szCs w:val="24"/>
                <w:lang w:val="lv-LV"/>
              </w:rPr>
              <w:t xml:space="preserve">. </w:t>
            </w:r>
            <w:r w:rsidRPr="000A4B5A">
              <w:rPr>
                <w:i/>
                <w:iCs/>
                <w:color w:val="000000"/>
                <w:sz w:val="24"/>
                <w:szCs w:val="24"/>
                <w:lang w:val="lv-LV"/>
              </w:rPr>
              <w:t>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28AB6446" w14:textId="47FBC87F" w:rsidR="002F4637" w:rsidRPr="00C921F5" w:rsidRDefault="002F4637" w:rsidP="002F4637">
            <w:pPr>
              <w:rPr>
                <w:i/>
                <w:iCs/>
                <w:color w:val="000000"/>
                <w:sz w:val="24"/>
                <w:szCs w:val="24"/>
                <w:lang w:val="lv-LV"/>
              </w:rPr>
            </w:pPr>
            <w:r w:rsidRPr="00871540">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5232ABA4" w14:textId="214788C7" w:rsidR="002F4637" w:rsidRPr="00C921F5" w:rsidRDefault="002F4637" w:rsidP="002F4637">
            <w:pPr>
              <w:rPr>
                <w:i/>
                <w:iCs/>
                <w:color w:val="000000"/>
                <w:sz w:val="24"/>
                <w:szCs w:val="24"/>
                <w:lang w:val="lv-LV"/>
              </w:rPr>
            </w:pPr>
            <w:r w:rsidRPr="00871540">
              <w:rPr>
                <w:i/>
                <w:iCs/>
                <w:color w:val="000000"/>
                <w:sz w:val="24"/>
                <w:szCs w:val="24"/>
                <w:lang w:val="lv-LV"/>
              </w:rPr>
              <w:t>Neparedz stingrākas prasības.</w:t>
            </w:r>
          </w:p>
        </w:tc>
      </w:tr>
      <w:tr w:rsidR="002F4637" w:rsidRPr="00C921F5" w14:paraId="78C5C424"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41FEF9FF" w14:textId="4EA401DE" w:rsidR="002F4637" w:rsidRPr="00AA71C4" w:rsidRDefault="002F4637" w:rsidP="002F4637">
            <w:pPr>
              <w:rPr>
                <w:i/>
                <w:iCs/>
                <w:color w:val="000000"/>
                <w:sz w:val="24"/>
                <w:szCs w:val="24"/>
                <w:lang w:val="lv-LV"/>
              </w:rPr>
            </w:pPr>
            <w:r w:rsidRPr="00AA71C4">
              <w:rPr>
                <w:i/>
                <w:iCs/>
                <w:color w:val="000000"/>
                <w:sz w:val="24"/>
                <w:szCs w:val="24"/>
                <w:lang w:val="lv-LV"/>
              </w:rPr>
              <w:t xml:space="preserve">Komisijas paziņojuma 25.punkta </w:t>
            </w:r>
            <w:r>
              <w:rPr>
                <w:i/>
                <w:iCs/>
                <w:color w:val="000000"/>
                <w:sz w:val="24"/>
                <w:szCs w:val="24"/>
                <w:lang w:val="lv-LV"/>
              </w:rPr>
              <w:t>f</w:t>
            </w:r>
            <w:r w:rsidRPr="00AA71C4">
              <w:rPr>
                <w:i/>
                <w:iCs/>
                <w:color w:val="000000"/>
                <w:sz w:val="24"/>
                <w:szCs w:val="24"/>
                <w:lang w:val="lv-LV"/>
              </w:rPr>
              <w:t>) 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6DC9846D" w14:textId="04E8702D" w:rsidR="002F4637" w:rsidRDefault="002F4637" w:rsidP="002F4637">
            <w:pPr>
              <w:rPr>
                <w:i/>
                <w:iCs/>
                <w:color w:val="000000"/>
                <w:sz w:val="24"/>
                <w:szCs w:val="24"/>
                <w:lang w:val="lv-LV"/>
              </w:rPr>
            </w:pPr>
            <w:r>
              <w:rPr>
                <w:i/>
                <w:iCs/>
                <w:color w:val="000000"/>
                <w:sz w:val="24"/>
                <w:szCs w:val="24"/>
                <w:lang w:val="lv-LV"/>
              </w:rPr>
              <w:t>Noteikumu projekta 14.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66EA2CCD" w14:textId="64242F9C" w:rsidR="002F4637" w:rsidRDefault="002F4637" w:rsidP="002F4637">
            <w:pPr>
              <w:rPr>
                <w:i/>
                <w:iCs/>
                <w:color w:val="000000"/>
                <w:sz w:val="24"/>
                <w:szCs w:val="24"/>
                <w:lang w:val="lv-LV"/>
              </w:rPr>
            </w:pPr>
            <w:r>
              <w:rPr>
                <w:i/>
                <w:iCs/>
                <w:color w:val="000000"/>
                <w:sz w:val="24"/>
                <w:szCs w:val="24"/>
                <w:lang w:val="lv-LV"/>
              </w:rPr>
              <w:t>Ieviests daļēji</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40C5A132" w14:textId="5B435587" w:rsidR="002F4637" w:rsidRDefault="002F4637" w:rsidP="002F4637">
            <w:pPr>
              <w:rPr>
                <w:i/>
                <w:iCs/>
                <w:color w:val="000000"/>
                <w:sz w:val="24"/>
                <w:szCs w:val="24"/>
                <w:lang w:val="lv-LV"/>
              </w:rPr>
            </w:pPr>
            <w:r>
              <w:rPr>
                <w:i/>
                <w:iCs/>
                <w:color w:val="000000"/>
                <w:sz w:val="24"/>
                <w:szCs w:val="24"/>
                <w:lang w:val="lv-LV"/>
              </w:rPr>
              <w:t>Paredz labvēlīgākus nosacījumus</w:t>
            </w:r>
          </w:p>
        </w:tc>
      </w:tr>
      <w:tr w:rsidR="002F4637" w:rsidRPr="00C921F5" w14:paraId="5E086542"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56029622" w14:textId="4134FE6D" w:rsidR="002F4637" w:rsidRPr="00AA71C4" w:rsidRDefault="002F4637" w:rsidP="002F4637">
            <w:pPr>
              <w:rPr>
                <w:i/>
                <w:iCs/>
                <w:color w:val="000000"/>
                <w:sz w:val="24"/>
                <w:szCs w:val="24"/>
                <w:lang w:val="lv-LV"/>
              </w:rPr>
            </w:pPr>
            <w:r w:rsidRPr="00AA71C4">
              <w:rPr>
                <w:i/>
                <w:iCs/>
                <w:color w:val="000000"/>
                <w:sz w:val="24"/>
                <w:szCs w:val="24"/>
                <w:lang w:val="lv-LV"/>
              </w:rPr>
              <w:t xml:space="preserve">Komisijas paziņojuma 25.punkta </w:t>
            </w:r>
            <w:r>
              <w:rPr>
                <w:i/>
                <w:iCs/>
                <w:color w:val="000000"/>
                <w:sz w:val="24"/>
                <w:szCs w:val="24"/>
                <w:lang w:val="lv-LV"/>
              </w:rPr>
              <w:t>a</w:t>
            </w:r>
            <w:r w:rsidRPr="00AA71C4">
              <w:rPr>
                <w:i/>
                <w:iCs/>
                <w:color w:val="000000"/>
                <w:sz w:val="24"/>
                <w:szCs w:val="24"/>
                <w:lang w:val="lv-LV"/>
              </w:rPr>
              <w:t>) 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3C467656" w14:textId="5BE0EF25" w:rsidR="002F4637" w:rsidRDefault="002F4637" w:rsidP="002F4637">
            <w:pPr>
              <w:rPr>
                <w:i/>
                <w:iCs/>
                <w:color w:val="000000"/>
                <w:sz w:val="24"/>
                <w:szCs w:val="24"/>
                <w:lang w:val="lv-LV"/>
              </w:rPr>
            </w:pPr>
            <w:r>
              <w:rPr>
                <w:i/>
                <w:iCs/>
                <w:color w:val="000000"/>
                <w:sz w:val="24"/>
                <w:szCs w:val="24"/>
                <w:lang w:val="lv-LV"/>
              </w:rPr>
              <w:t>Noteikumu projekta 15.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76368EDD" w14:textId="60836C6B" w:rsidR="002F4637" w:rsidRDefault="002F4637" w:rsidP="002F4637">
            <w:pPr>
              <w:rPr>
                <w:i/>
                <w:iCs/>
                <w:color w:val="000000"/>
                <w:sz w:val="24"/>
                <w:szCs w:val="24"/>
                <w:lang w:val="lv-LV"/>
              </w:rPr>
            </w:pPr>
            <w:r>
              <w:rPr>
                <w:i/>
                <w:iCs/>
                <w:color w:val="000000"/>
                <w:sz w:val="24"/>
                <w:szCs w:val="24"/>
                <w:lang w:val="lv-LV"/>
              </w:rPr>
              <w:t>Ieviests daļēji</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2613BB62" w14:textId="23E9B281" w:rsidR="002F4637" w:rsidRDefault="002F4637" w:rsidP="002F4637">
            <w:pPr>
              <w:rPr>
                <w:i/>
                <w:iCs/>
                <w:color w:val="000000"/>
                <w:sz w:val="24"/>
                <w:szCs w:val="24"/>
                <w:lang w:val="lv-LV"/>
              </w:rPr>
            </w:pPr>
            <w:r>
              <w:rPr>
                <w:i/>
                <w:iCs/>
                <w:color w:val="000000"/>
                <w:sz w:val="24"/>
                <w:szCs w:val="24"/>
                <w:lang w:val="lv-LV"/>
              </w:rPr>
              <w:t>.Paredz labvēlīgākus nosacījumus</w:t>
            </w:r>
          </w:p>
        </w:tc>
      </w:tr>
      <w:tr w:rsidR="002F4637" w:rsidRPr="00C921F5" w14:paraId="5DA18C38"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642C038B" w14:textId="724AEE42" w:rsidR="002F4637" w:rsidRPr="00AA71C4" w:rsidRDefault="002F4637" w:rsidP="002F4637">
            <w:pPr>
              <w:rPr>
                <w:rFonts w:eastAsia="Times New Roman"/>
                <w:i/>
                <w:iCs/>
                <w:sz w:val="24"/>
                <w:szCs w:val="24"/>
                <w:lang w:eastAsia="lv-LV"/>
              </w:rPr>
            </w:pPr>
            <w:proofErr w:type="spellStart"/>
            <w:r w:rsidRPr="00AA71C4">
              <w:rPr>
                <w:rFonts w:eastAsia="Times New Roman"/>
                <w:i/>
                <w:iCs/>
                <w:sz w:val="24"/>
                <w:szCs w:val="24"/>
                <w:lang w:eastAsia="lv-LV"/>
              </w:rPr>
              <w:t>Komisijas</w:t>
            </w:r>
            <w:proofErr w:type="spellEnd"/>
            <w:r w:rsidRPr="00AA71C4">
              <w:rPr>
                <w:rFonts w:eastAsia="Times New Roman"/>
                <w:i/>
                <w:iCs/>
                <w:sz w:val="24"/>
                <w:szCs w:val="24"/>
                <w:lang w:eastAsia="lv-LV"/>
              </w:rPr>
              <w:t xml:space="preserve"> </w:t>
            </w:r>
            <w:proofErr w:type="spellStart"/>
            <w:r w:rsidRPr="00130C79">
              <w:rPr>
                <w:rFonts w:eastAsia="Times New Roman"/>
                <w:i/>
                <w:iCs/>
                <w:sz w:val="24"/>
                <w:szCs w:val="24"/>
                <w:lang w:eastAsia="lv-LV"/>
              </w:rPr>
              <w:t>Regulas</w:t>
            </w:r>
            <w:proofErr w:type="spellEnd"/>
            <w:r w:rsidRPr="00C921F5">
              <w:rPr>
                <w:i/>
                <w:iCs/>
                <w:color w:val="000000"/>
                <w:sz w:val="24"/>
                <w:szCs w:val="24"/>
                <w:lang w:val="lv-LV"/>
              </w:rPr>
              <w:t xml:space="preserve"> </w:t>
            </w:r>
            <w:r w:rsidRPr="00AA71C4">
              <w:rPr>
                <w:rFonts w:eastAsia="Times New Roman"/>
                <w:i/>
                <w:iCs/>
                <w:sz w:val="24"/>
                <w:szCs w:val="24"/>
                <w:lang w:eastAsia="lv-LV"/>
              </w:rPr>
              <w:t xml:space="preserve">Nr. 651/2014 </w:t>
            </w:r>
            <w:proofErr w:type="gramStart"/>
            <w:r w:rsidRPr="00AA71C4">
              <w:rPr>
                <w:rFonts w:eastAsia="Times New Roman"/>
                <w:i/>
                <w:iCs/>
                <w:sz w:val="24"/>
                <w:szCs w:val="24"/>
                <w:lang w:eastAsia="lv-LV"/>
              </w:rPr>
              <w:t>2.panta</w:t>
            </w:r>
            <w:proofErr w:type="gramEnd"/>
            <w:r w:rsidRPr="00AA71C4">
              <w:rPr>
                <w:rFonts w:eastAsia="Times New Roman"/>
                <w:i/>
                <w:iCs/>
                <w:sz w:val="24"/>
                <w:szCs w:val="24"/>
                <w:lang w:eastAsia="lv-LV"/>
              </w:rPr>
              <w:t xml:space="preserve"> 18.punkts</w:t>
            </w:r>
          </w:p>
          <w:p w14:paraId="3B274AFC" w14:textId="26393C6E" w:rsidR="002F4637" w:rsidRPr="000A6486" w:rsidRDefault="002F4637" w:rsidP="002F4637">
            <w:pPr>
              <w:rPr>
                <w:rFonts w:eastAsia="Times New Roman"/>
                <w:i/>
                <w:iCs/>
                <w:sz w:val="24"/>
                <w:szCs w:val="24"/>
                <w:lang w:val="lv-LV" w:eastAsia="lv-LV"/>
              </w:rPr>
            </w:pPr>
            <w:r w:rsidRPr="00AA71C4">
              <w:rPr>
                <w:i/>
                <w:iCs/>
                <w:color w:val="000000"/>
                <w:sz w:val="24"/>
                <w:szCs w:val="24"/>
                <w:lang w:val="lv-LV"/>
              </w:rPr>
              <w:t xml:space="preserve">Komisijas paziņojuma </w:t>
            </w:r>
            <w:r>
              <w:rPr>
                <w:i/>
                <w:iCs/>
                <w:color w:val="000000"/>
                <w:sz w:val="24"/>
                <w:szCs w:val="24"/>
                <w:lang w:val="lv-LV"/>
              </w:rPr>
              <w:t xml:space="preserve">25 </w:t>
            </w:r>
            <w:proofErr w:type="spellStart"/>
            <w:r>
              <w:rPr>
                <w:i/>
                <w:iCs/>
                <w:color w:val="000000"/>
                <w:sz w:val="24"/>
                <w:szCs w:val="24"/>
                <w:lang w:val="lv-LV"/>
              </w:rPr>
              <w:t>h.apakš</w:t>
            </w:r>
            <w:r w:rsidRPr="00AA71C4">
              <w:rPr>
                <w:i/>
                <w:iCs/>
                <w:color w:val="000000"/>
                <w:sz w:val="24"/>
                <w:szCs w:val="24"/>
                <w:lang w:val="lv-LV"/>
              </w:rPr>
              <w:t>punkts</w:t>
            </w:r>
            <w:proofErr w:type="spellEnd"/>
            <w:r w:rsidR="009C7844">
              <w:rPr>
                <w:i/>
                <w:iCs/>
                <w:color w:val="000000"/>
                <w:sz w:val="24"/>
                <w:szCs w:val="24"/>
                <w:lang w:val="lv-LV"/>
              </w:rPr>
              <w:t xml:space="preserve">; Komisijas </w:t>
            </w:r>
            <w:r w:rsidR="009C7844" w:rsidRPr="009C7844">
              <w:rPr>
                <w:i/>
                <w:iCs/>
                <w:color w:val="000000"/>
                <w:sz w:val="24"/>
                <w:szCs w:val="24"/>
                <w:lang w:val="lv-LV"/>
              </w:rPr>
              <w:t>Regulas Nr.702/2014 2.panta 14.punkt</w:t>
            </w:r>
            <w:r w:rsidR="009C7844">
              <w:rPr>
                <w:i/>
                <w:iCs/>
                <w:color w:val="000000"/>
                <w:sz w:val="24"/>
                <w:szCs w:val="24"/>
                <w:lang w:val="lv-LV"/>
              </w:rPr>
              <w:t>s</w:t>
            </w:r>
            <w:r w:rsidR="009C7844" w:rsidRPr="009C7844">
              <w:rPr>
                <w:i/>
                <w:iCs/>
                <w:color w:val="000000"/>
                <w:sz w:val="24"/>
                <w:szCs w:val="24"/>
                <w:lang w:val="lv-LV"/>
              </w:rPr>
              <w:t xml:space="preserve"> </w:t>
            </w:r>
            <w:r w:rsidR="009C7844">
              <w:rPr>
                <w:i/>
                <w:iCs/>
                <w:color w:val="000000"/>
                <w:sz w:val="24"/>
                <w:szCs w:val="24"/>
                <w:lang w:val="lv-LV"/>
              </w:rPr>
              <w:t xml:space="preserve">un Komisijas </w:t>
            </w:r>
            <w:r w:rsidR="009C7844" w:rsidRPr="009C7844">
              <w:rPr>
                <w:i/>
                <w:iCs/>
                <w:color w:val="000000"/>
                <w:sz w:val="24"/>
                <w:szCs w:val="24"/>
                <w:lang w:val="lv-LV"/>
              </w:rPr>
              <w:t xml:space="preserve"> Regulas Nr.1388/2014 3.panta 8.punkt</w:t>
            </w:r>
            <w:r w:rsidR="00453FC4">
              <w:rPr>
                <w:i/>
                <w:iCs/>
                <w:color w:val="000000"/>
                <w:sz w:val="24"/>
                <w:szCs w:val="24"/>
                <w:lang w:val="lv-LV"/>
              </w:rPr>
              <w: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6D747DE3" w14:textId="27F32AD9" w:rsidR="002F4637" w:rsidRPr="000A6486" w:rsidRDefault="002F4637" w:rsidP="002F4637">
            <w:pPr>
              <w:rPr>
                <w:i/>
                <w:iCs/>
                <w:color w:val="000000"/>
                <w:sz w:val="24"/>
                <w:szCs w:val="24"/>
                <w:lang w:val="lv-LV"/>
              </w:rPr>
            </w:pPr>
            <w:r>
              <w:rPr>
                <w:i/>
                <w:iCs/>
                <w:color w:val="000000"/>
                <w:sz w:val="24"/>
                <w:szCs w:val="24"/>
                <w:lang w:val="lv-LV"/>
              </w:rPr>
              <w:t>Noteikumu projekta 18.2.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290E4D3A" w14:textId="00EBB7D2" w:rsidR="002F4637" w:rsidRPr="000A6486" w:rsidRDefault="002F4637" w:rsidP="002F4637">
            <w:pPr>
              <w:rPr>
                <w:i/>
                <w:iCs/>
                <w:color w:val="000000"/>
                <w:sz w:val="24"/>
                <w:szCs w:val="24"/>
                <w:lang w:val="lv-LV"/>
              </w:rPr>
            </w:pPr>
            <w:r>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24B562F1" w14:textId="6DF7AFAE" w:rsidR="002F4637" w:rsidRPr="000A6486" w:rsidRDefault="002F4637" w:rsidP="002F4637">
            <w:pPr>
              <w:rPr>
                <w:i/>
                <w:iCs/>
                <w:color w:val="000000"/>
                <w:sz w:val="24"/>
                <w:szCs w:val="24"/>
                <w:lang w:val="lv-LV"/>
              </w:rPr>
            </w:pPr>
            <w:r>
              <w:rPr>
                <w:i/>
                <w:iCs/>
                <w:color w:val="000000"/>
                <w:sz w:val="24"/>
                <w:szCs w:val="24"/>
                <w:lang w:val="lv-LV"/>
              </w:rPr>
              <w:t>Neparedz stingrākas prasības.</w:t>
            </w:r>
          </w:p>
        </w:tc>
      </w:tr>
      <w:tr w:rsidR="002F4637" w:rsidRPr="00C921F5" w14:paraId="17E0E3D7"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354523D3" w14:textId="77777777" w:rsidR="002F4637" w:rsidRDefault="002F4637" w:rsidP="002F4637">
            <w:pPr>
              <w:rPr>
                <w:rFonts w:eastAsia="Times New Roman"/>
                <w:i/>
                <w:iCs/>
                <w:color w:val="000000" w:themeColor="text1"/>
                <w:sz w:val="24"/>
                <w:szCs w:val="24"/>
                <w:lang w:val="lv-LV" w:eastAsia="lv-LV"/>
              </w:rPr>
            </w:pPr>
            <w:proofErr w:type="spellStart"/>
            <w:r w:rsidRPr="00130C79">
              <w:rPr>
                <w:rFonts w:eastAsia="Times New Roman"/>
                <w:i/>
                <w:iCs/>
                <w:sz w:val="24"/>
                <w:szCs w:val="24"/>
                <w:lang w:eastAsia="lv-LV"/>
              </w:rPr>
              <w:lastRenderedPageBreak/>
              <w:t>Komisijas</w:t>
            </w:r>
            <w:proofErr w:type="spellEnd"/>
            <w:r w:rsidRPr="00130C79">
              <w:rPr>
                <w:rFonts w:eastAsia="Times New Roman"/>
                <w:i/>
                <w:iCs/>
                <w:sz w:val="24"/>
                <w:szCs w:val="24"/>
                <w:lang w:eastAsia="lv-LV"/>
              </w:rPr>
              <w:t xml:space="preserve"> </w:t>
            </w:r>
            <w:proofErr w:type="spellStart"/>
            <w:r w:rsidRPr="00130C79">
              <w:rPr>
                <w:rFonts w:eastAsia="Times New Roman"/>
                <w:i/>
                <w:iCs/>
                <w:sz w:val="24"/>
                <w:szCs w:val="24"/>
                <w:lang w:eastAsia="lv-LV"/>
              </w:rPr>
              <w:t>Regulas</w:t>
            </w:r>
            <w:proofErr w:type="spellEnd"/>
            <w:r w:rsidRPr="00AA71C4">
              <w:rPr>
                <w:rFonts w:eastAsia="Times New Roman"/>
                <w:i/>
                <w:iCs/>
                <w:color w:val="000000" w:themeColor="text1"/>
                <w:sz w:val="24"/>
                <w:szCs w:val="24"/>
                <w:lang w:val="lv-LV" w:eastAsia="lv-LV"/>
              </w:rPr>
              <w:t xml:space="preserve"> Nr. </w:t>
            </w:r>
            <w:hyperlink r:id="rId13" w:tgtFrame="_blank" w:history="1">
              <w:r w:rsidRPr="00AA71C4">
                <w:rPr>
                  <w:rFonts w:eastAsia="Times New Roman"/>
                  <w:i/>
                  <w:iCs/>
                  <w:color w:val="000000" w:themeColor="text1"/>
                  <w:sz w:val="24"/>
                  <w:szCs w:val="24"/>
                  <w:lang w:val="lv-LV" w:eastAsia="lv-LV"/>
                </w:rPr>
                <w:t>651/2014</w:t>
              </w:r>
            </w:hyperlink>
            <w:r w:rsidRPr="00AA71C4">
              <w:rPr>
                <w:rFonts w:eastAsia="Times New Roman"/>
                <w:i/>
                <w:iCs/>
                <w:color w:val="000000" w:themeColor="text1"/>
                <w:sz w:val="24"/>
                <w:szCs w:val="24"/>
                <w:lang w:val="lv-LV" w:eastAsia="lv-LV"/>
              </w:rPr>
              <w:t> 9. panta 1. punkta "c" apakšpunkts un 4. punkts</w:t>
            </w:r>
            <w:r>
              <w:rPr>
                <w:rFonts w:eastAsia="Times New Roman"/>
                <w:i/>
                <w:iCs/>
                <w:color w:val="000000" w:themeColor="text1"/>
                <w:sz w:val="24"/>
                <w:szCs w:val="24"/>
                <w:lang w:val="lv-LV" w:eastAsia="lv-LV"/>
              </w:rPr>
              <w:t>;</w:t>
            </w:r>
          </w:p>
          <w:p w14:paraId="23858BF1" w14:textId="77777777" w:rsidR="002F4637" w:rsidRDefault="002F4637" w:rsidP="002F4637">
            <w:pPr>
              <w:rPr>
                <w:i/>
                <w:iCs/>
                <w:color w:val="000000"/>
                <w:sz w:val="24"/>
                <w:szCs w:val="24"/>
                <w:lang w:val="lv-LV"/>
              </w:rPr>
            </w:pPr>
            <w:r>
              <w:rPr>
                <w:i/>
                <w:iCs/>
                <w:color w:val="000000"/>
                <w:sz w:val="24"/>
                <w:szCs w:val="24"/>
                <w:lang w:val="lv-LV"/>
              </w:rPr>
              <w:t>Komisijas paziņojuma 86.punkts</w:t>
            </w:r>
            <w:r w:rsidR="009C7844">
              <w:rPr>
                <w:i/>
                <w:iCs/>
                <w:color w:val="000000"/>
                <w:sz w:val="24"/>
                <w:szCs w:val="24"/>
                <w:lang w:val="lv-LV"/>
              </w:rPr>
              <w:t xml:space="preserve">; </w:t>
            </w:r>
          </w:p>
          <w:p w14:paraId="09348D3F" w14:textId="4031C857" w:rsidR="009C7844" w:rsidRPr="00AA71C4" w:rsidRDefault="009C7844" w:rsidP="002F4637">
            <w:pPr>
              <w:rPr>
                <w:i/>
                <w:iCs/>
                <w:color w:val="000000"/>
                <w:sz w:val="24"/>
                <w:szCs w:val="24"/>
                <w:highlight w:val="yellow"/>
                <w:lang w:val="lv-LV"/>
              </w:rPr>
            </w:pPr>
            <w:r w:rsidRPr="009C7844">
              <w:rPr>
                <w:i/>
                <w:iCs/>
                <w:color w:val="000000"/>
                <w:sz w:val="24"/>
                <w:szCs w:val="24"/>
                <w:lang w:val="lv-LV"/>
              </w:rPr>
              <w:t>Komisijas Regulas Nr.702/2014 9. panta 2. punkta "c" apakšpunkt</w:t>
            </w:r>
            <w:r>
              <w:rPr>
                <w:i/>
                <w:iCs/>
                <w:color w:val="000000"/>
                <w:sz w:val="24"/>
                <w:szCs w:val="24"/>
                <w:lang w:val="lv-LV"/>
              </w:rPr>
              <w:t>s</w:t>
            </w:r>
            <w:r w:rsidRPr="009C7844">
              <w:rPr>
                <w:i/>
                <w:iCs/>
                <w:color w:val="000000"/>
                <w:sz w:val="24"/>
                <w:szCs w:val="24"/>
                <w:lang w:val="lv-LV"/>
              </w:rPr>
              <w:t xml:space="preserve"> un 4. punk</w:t>
            </w:r>
            <w:r>
              <w:rPr>
                <w:i/>
                <w:iCs/>
                <w:color w:val="000000"/>
                <w:sz w:val="24"/>
                <w:szCs w:val="24"/>
                <w:lang w:val="lv-LV"/>
              </w:rPr>
              <w:t>ts</w:t>
            </w:r>
            <w:r w:rsidRPr="009C7844">
              <w:rPr>
                <w:i/>
                <w:iCs/>
                <w:color w:val="000000"/>
                <w:sz w:val="24"/>
                <w:szCs w:val="24"/>
                <w:lang w:val="lv-LV"/>
              </w:rPr>
              <w:t xml:space="preserve"> vai Komisijas Regulas Nr.1388/2014 9. panta 1. punkta "c" apakšpunkt</w:t>
            </w:r>
            <w:r>
              <w:rPr>
                <w:i/>
                <w:iCs/>
                <w:color w:val="000000"/>
                <w:sz w:val="24"/>
                <w:szCs w:val="24"/>
                <w:lang w:val="lv-LV"/>
              </w:rPr>
              <w:t>s</w:t>
            </w:r>
            <w:r w:rsidRPr="009C7844">
              <w:rPr>
                <w:i/>
                <w:iCs/>
                <w:color w:val="000000"/>
                <w:sz w:val="24"/>
                <w:szCs w:val="24"/>
                <w:lang w:val="lv-LV"/>
              </w:rPr>
              <w:t xml:space="preserve"> un 3. punkt</w:t>
            </w:r>
            <w:r>
              <w:rPr>
                <w:i/>
                <w:iCs/>
                <w:color w:val="000000"/>
                <w:sz w:val="24"/>
                <w:szCs w:val="24"/>
                <w:lang w:val="lv-LV"/>
              </w:rPr>
              <w: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401B5678" w14:textId="5D6C2DA9" w:rsidR="002F4637" w:rsidRPr="000A6486" w:rsidRDefault="002F4637" w:rsidP="002F4637">
            <w:pPr>
              <w:rPr>
                <w:i/>
                <w:iCs/>
                <w:color w:val="000000"/>
                <w:sz w:val="24"/>
                <w:szCs w:val="24"/>
                <w:highlight w:val="yellow"/>
                <w:lang w:val="lv-LV"/>
              </w:rPr>
            </w:pPr>
            <w:r w:rsidRPr="000A6486">
              <w:rPr>
                <w:i/>
                <w:iCs/>
                <w:color w:val="000000"/>
                <w:sz w:val="24"/>
                <w:szCs w:val="24"/>
                <w:lang w:val="lv-LV"/>
              </w:rPr>
              <w:t xml:space="preserve">Noteikumu projekta </w:t>
            </w:r>
            <w:r>
              <w:rPr>
                <w:i/>
                <w:iCs/>
                <w:color w:val="000000"/>
                <w:sz w:val="24"/>
                <w:szCs w:val="24"/>
                <w:lang w:val="lv-LV"/>
              </w:rPr>
              <w:t>19</w:t>
            </w:r>
            <w:r w:rsidRPr="000A6486">
              <w:rPr>
                <w:i/>
                <w:iCs/>
                <w:color w:val="000000"/>
                <w:sz w:val="24"/>
                <w:szCs w:val="24"/>
                <w:lang w:val="lv-LV"/>
              </w:rPr>
              <w:t>.1 apakšpunkts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73D1165A" w14:textId="62E6F45D" w:rsidR="002F4637" w:rsidRPr="000A6486" w:rsidRDefault="002F4637" w:rsidP="002F4637">
            <w:pPr>
              <w:rPr>
                <w:i/>
                <w:iCs/>
                <w:color w:val="000000"/>
                <w:sz w:val="24"/>
                <w:szCs w:val="24"/>
                <w:lang w:val="lv-LV"/>
              </w:rPr>
            </w:pPr>
            <w:r w:rsidRPr="000A6486">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375375F4" w14:textId="513983BA" w:rsidR="002F4637" w:rsidRPr="000A6486" w:rsidRDefault="002F4637" w:rsidP="002F4637">
            <w:pPr>
              <w:rPr>
                <w:i/>
                <w:iCs/>
                <w:color w:val="000000"/>
                <w:sz w:val="24"/>
                <w:szCs w:val="24"/>
                <w:lang w:val="lv-LV"/>
              </w:rPr>
            </w:pPr>
            <w:r w:rsidRPr="000A6486">
              <w:rPr>
                <w:i/>
                <w:iCs/>
                <w:color w:val="000000"/>
                <w:sz w:val="24"/>
                <w:szCs w:val="24"/>
                <w:lang w:val="lv-LV"/>
              </w:rPr>
              <w:t>Neparedz stingrākas prasības.</w:t>
            </w:r>
          </w:p>
        </w:tc>
      </w:tr>
      <w:tr w:rsidR="002F4637" w:rsidRPr="00C921F5" w14:paraId="63EFA927"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76D64957" w14:textId="2CBBAC41" w:rsidR="002F4637" w:rsidRPr="00130C79" w:rsidRDefault="002F4637" w:rsidP="002F4637">
            <w:pPr>
              <w:rPr>
                <w:rFonts w:eastAsia="Times New Roman"/>
                <w:i/>
                <w:iCs/>
                <w:sz w:val="24"/>
                <w:szCs w:val="24"/>
                <w:lang w:eastAsia="lv-LV"/>
              </w:rPr>
            </w:pPr>
            <w:r>
              <w:rPr>
                <w:i/>
                <w:iCs/>
                <w:color w:val="000000"/>
                <w:sz w:val="24"/>
                <w:szCs w:val="24"/>
                <w:lang w:val="lv-LV"/>
              </w:rPr>
              <w:t>Komisijas paziņojuma 89.punkts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15C88F69" w14:textId="22396BAC" w:rsidR="002F4637" w:rsidRPr="000A6486" w:rsidRDefault="002F4637" w:rsidP="002F4637">
            <w:pPr>
              <w:rPr>
                <w:i/>
                <w:iCs/>
                <w:color w:val="000000"/>
                <w:sz w:val="24"/>
                <w:szCs w:val="24"/>
                <w:lang w:val="lv-LV"/>
              </w:rPr>
            </w:pPr>
            <w:r>
              <w:rPr>
                <w:i/>
                <w:iCs/>
                <w:color w:val="000000"/>
                <w:sz w:val="24"/>
                <w:szCs w:val="24"/>
                <w:lang w:val="lv-LV"/>
              </w:rPr>
              <w:t>Noteikumu projekta 19.2. apakšpunkts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4A326BE9" w14:textId="4DA01FFC" w:rsidR="002F4637" w:rsidRPr="000A6486" w:rsidRDefault="002F4637" w:rsidP="002F4637">
            <w:pPr>
              <w:rPr>
                <w:i/>
                <w:iCs/>
                <w:color w:val="000000"/>
                <w:sz w:val="24"/>
                <w:szCs w:val="24"/>
                <w:lang w:val="lv-LV"/>
              </w:rPr>
            </w:pPr>
            <w:r>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0B62AF67" w14:textId="12F7EB54" w:rsidR="002F4637" w:rsidRPr="000A6486" w:rsidRDefault="002F4637" w:rsidP="002F4637">
            <w:pPr>
              <w:rPr>
                <w:i/>
                <w:iCs/>
                <w:color w:val="000000"/>
                <w:sz w:val="24"/>
                <w:szCs w:val="24"/>
                <w:lang w:val="lv-LV"/>
              </w:rPr>
            </w:pPr>
            <w:r>
              <w:rPr>
                <w:i/>
                <w:iCs/>
                <w:color w:val="000000"/>
                <w:sz w:val="24"/>
                <w:szCs w:val="24"/>
                <w:lang w:val="lv-LV"/>
              </w:rPr>
              <w:t>Neparedz stingrākas prasības.</w:t>
            </w:r>
          </w:p>
        </w:tc>
      </w:tr>
      <w:tr w:rsidR="002F4637" w:rsidRPr="00C921F5" w14:paraId="7F7ED287"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1456BDC2" w14:textId="26CE97F4" w:rsidR="002F4637" w:rsidRPr="000A6486" w:rsidRDefault="002F4637" w:rsidP="002F4637">
            <w:pPr>
              <w:rPr>
                <w:i/>
                <w:iCs/>
                <w:color w:val="000000"/>
                <w:sz w:val="24"/>
                <w:szCs w:val="24"/>
                <w:lang w:val="lv-LV"/>
              </w:rPr>
            </w:pPr>
            <w:r w:rsidRPr="000A6486">
              <w:rPr>
                <w:i/>
                <w:iCs/>
                <w:color w:val="000000"/>
                <w:sz w:val="24"/>
                <w:szCs w:val="24"/>
                <w:lang w:val="lv-LV"/>
              </w:rPr>
              <w:t xml:space="preserve">Komisijas paziņojuma </w:t>
            </w:r>
            <w:r>
              <w:rPr>
                <w:i/>
                <w:iCs/>
                <w:color w:val="000000"/>
                <w:sz w:val="24"/>
                <w:szCs w:val="24"/>
                <w:lang w:val="lv-LV"/>
              </w:rPr>
              <w:t>24</w:t>
            </w:r>
            <w:r w:rsidRPr="000A6486">
              <w:rPr>
                <w:i/>
                <w:iCs/>
                <w:color w:val="000000"/>
                <w:sz w:val="24"/>
                <w:szCs w:val="24"/>
                <w:lang w:val="lv-LV"/>
              </w:rPr>
              <w:t xml:space="preserve">.punkta a)punkts </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5EBA7372" w14:textId="33446BB3" w:rsidR="002F4637" w:rsidRPr="000A6486" w:rsidRDefault="002F4637" w:rsidP="002F4637">
            <w:pPr>
              <w:rPr>
                <w:i/>
                <w:iCs/>
                <w:color w:val="000000"/>
                <w:sz w:val="24"/>
                <w:szCs w:val="24"/>
                <w:lang w:val="lv-LV"/>
              </w:rPr>
            </w:pPr>
            <w:r w:rsidRPr="000A6486">
              <w:rPr>
                <w:i/>
                <w:iCs/>
                <w:color w:val="000000"/>
                <w:sz w:val="24"/>
                <w:szCs w:val="24"/>
                <w:lang w:val="lv-LV"/>
              </w:rPr>
              <w:t>Noteikumu projekta 2</w:t>
            </w:r>
            <w:r>
              <w:rPr>
                <w:i/>
                <w:iCs/>
                <w:color w:val="000000"/>
                <w:sz w:val="24"/>
                <w:szCs w:val="24"/>
                <w:lang w:val="lv-LV"/>
              </w:rPr>
              <w:t>0</w:t>
            </w:r>
            <w:r w:rsidRPr="000A6486">
              <w:rPr>
                <w:i/>
                <w:iCs/>
                <w:color w:val="000000"/>
                <w:sz w:val="24"/>
                <w:szCs w:val="24"/>
                <w:lang w:val="lv-LV"/>
              </w:rPr>
              <w:t>.</w:t>
            </w:r>
            <w:r>
              <w:rPr>
                <w:i/>
                <w:iCs/>
                <w:color w:val="000000"/>
                <w:sz w:val="24"/>
                <w:szCs w:val="24"/>
                <w:lang w:val="lv-LV"/>
              </w:rPr>
              <w:t xml:space="preserve"> un 21.</w:t>
            </w:r>
            <w:r w:rsidRPr="000A6486">
              <w:rPr>
                <w:i/>
                <w:iCs/>
                <w:color w:val="000000"/>
                <w:sz w:val="24"/>
                <w:szCs w:val="24"/>
                <w:lang w:val="lv-LV"/>
              </w:rPr>
              <w:t xml:space="preserve">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31EBD08E" w14:textId="73BB8830" w:rsidR="002F4637" w:rsidRPr="000A6486" w:rsidRDefault="002F4637" w:rsidP="002F4637">
            <w:pPr>
              <w:rPr>
                <w:i/>
                <w:iCs/>
                <w:color w:val="000000"/>
                <w:sz w:val="24"/>
                <w:szCs w:val="24"/>
                <w:lang w:val="lv-LV"/>
              </w:rPr>
            </w:pPr>
            <w:r w:rsidRPr="000A6486">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3EAC9FE4" w14:textId="7C6487CE" w:rsidR="002F4637" w:rsidRPr="000A6486" w:rsidRDefault="002F4637" w:rsidP="002F4637">
            <w:pPr>
              <w:rPr>
                <w:i/>
                <w:iCs/>
                <w:color w:val="000000"/>
                <w:sz w:val="24"/>
                <w:szCs w:val="24"/>
                <w:lang w:val="lv-LV"/>
              </w:rPr>
            </w:pPr>
            <w:r w:rsidRPr="000A6486">
              <w:rPr>
                <w:i/>
                <w:iCs/>
                <w:color w:val="000000"/>
                <w:sz w:val="24"/>
                <w:szCs w:val="24"/>
                <w:lang w:val="lv-LV"/>
              </w:rPr>
              <w:t>Neparedz stingrākas prasības.</w:t>
            </w:r>
          </w:p>
        </w:tc>
      </w:tr>
      <w:tr w:rsidR="002F4637" w:rsidRPr="00C921F5" w14:paraId="1F727632"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4CA1EB7A" w14:textId="044925BB" w:rsidR="002F4637" w:rsidRPr="000A6486" w:rsidRDefault="002F4637" w:rsidP="002F4637">
            <w:pPr>
              <w:rPr>
                <w:i/>
                <w:iCs/>
                <w:color w:val="000000"/>
                <w:sz w:val="24"/>
                <w:szCs w:val="24"/>
                <w:highlight w:val="yellow"/>
                <w:lang w:val="lv-LV"/>
              </w:rPr>
            </w:pPr>
            <w:proofErr w:type="spellStart"/>
            <w:r w:rsidRPr="00130C79">
              <w:rPr>
                <w:rFonts w:eastAsia="Times New Roman"/>
                <w:i/>
                <w:iCs/>
                <w:sz w:val="24"/>
                <w:szCs w:val="24"/>
                <w:lang w:eastAsia="lv-LV"/>
              </w:rPr>
              <w:t>Komisijas</w:t>
            </w:r>
            <w:proofErr w:type="spellEnd"/>
            <w:r w:rsidRPr="00130C79">
              <w:rPr>
                <w:rFonts w:eastAsia="Times New Roman"/>
                <w:i/>
                <w:iCs/>
                <w:sz w:val="24"/>
                <w:szCs w:val="24"/>
                <w:lang w:eastAsia="lv-LV"/>
              </w:rPr>
              <w:t xml:space="preserve"> </w:t>
            </w:r>
            <w:proofErr w:type="spellStart"/>
            <w:r w:rsidRPr="00130C79">
              <w:rPr>
                <w:rFonts w:eastAsia="Times New Roman"/>
                <w:i/>
                <w:iCs/>
                <w:sz w:val="24"/>
                <w:szCs w:val="24"/>
                <w:lang w:eastAsia="lv-LV"/>
              </w:rPr>
              <w:t>Regulas</w:t>
            </w:r>
            <w:proofErr w:type="spellEnd"/>
            <w:r w:rsidRPr="000A6486">
              <w:rPr>
                <w:rFonts w:eastAsia="Times New Roman"/>
                <w:i/>
                <w:iCs/>
                <w:color w:val="000000" w:themeColor="text1"/>
                <w:sz w:val="24"/>
                <w:szCs w:val="24"/>
                <w:lang w:val="lv-LV" w:eastAsia="lv-LV"/>
              </w:rPr>
              <w:t xml:space="preserve"> Nr. 794/2004 10., 11. pants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7AD37432" w14:textId="7E1124D2" w:rsidR="002F4637" w:rsidRPr="000A6486" w:rsidRDefault="002F4637" w:rsidP="002F4637">
            <w:pPr>
              <w:rPr>
                <w:i/>
                <w:iCs/>
                <w:color w:val="000000"/>
                <w:sz w:val="24"/>
                <w:szCs w:val="24"/>
                <w:highlight w:val="yellow"/>
                <w:lang w:val="lv-LV"/>
              </w:rPr>
            </w:pPr>
            <w:r w:rsidRPr="000A6486">
              <w:rPr>
                <w:i/>
                <w:iCs/>
                <w:color w:val="000000"/>
                <w:sz w:val="24"/>
                <w:szCs w:val="24"/>
                <w:lang w:val="lv-LV"/>
              </w:rPr>
              <w:t>Noteikumu projekta 2</w:t>
            </w:r>
            <w:r>
              <w:rPr>
                <w:i/>
                <w:iCs/>
                <w:color w:val="000000"/>
                <w:sz w:val="24"/>
                <w:szCs w:val="24"/>
                <w:lang w:val="lv-LV"/>
              </w:rPr>
              <w:t>3</w:t>
            </w:r>
            <w:r w:rsidRPr="000A6486">
              <w:rPr>
                <w:i/>
                <w:iCs/>
                <w:color w:val="000000"/>
                <w:sz w:val="24"/>
                <w:szCs w:val="24"/>
                <w:lang w:val="lv-LV"/>
              </w:rPr>
              <w:t>.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1D1D89F1" w14:textId="124EB90A" w:rsidR="002F4637" w:rsidRPr="000A6486" w:rsidRDefault="002F4637" w:rsidP="002F4637">
            <w:pPr>
              <w:rPr>
                <w:i/>
                <w:iCs/>
                <w:color w:val="000000"/>
                <w:sz w:val="24"/>
                <w:szCs w:val="24"/>
                <w:lang w:val="lv-LV"/>
              </w:rPr>
            </w:pPr>
            <w:r w:rsidRPr="000A6486">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1141AC0F" w14:textId="114F3EEA" w:rsidR="002F4637" w:rsidRPr="000A6486" w:rsidRDefault="002F4637" w:rsidP="002F4637">
            <w:pPr>
              <w:rPr>
                <w:i/>
                <w:iCs/>
                <w:color w:val="000000"/>
                <w:sz w:val="24"/>
                <w:szCs w:val="24"/>
                <w:lang w:val="lv-LV"/>
              </w:rPr>
            </w:pPr>
            <w:r w:rsidRPr="000A6486">
              <w:rPr>
                <w:i/>
                <w:iCs/>
                <w:color w:val="000000"/>
                <w:sz w:val="24"/>
                <w:szCs w:val="24"/>
                <w:lang w:val="lv-LV"/>
              </w:rPr>
              <w:t>Neparedz stingrākas prasības.</w:t>
            </w:r>
          </w:p>
        </w:tc>
      </w:tr>
      <w:tr w:rsidR="002F4637" w:rsidRPr="00C921F5" w14:paraId="69FE80A2"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531A35F5" w14:textId="6DFF382A" w:rsidR="002F4637" w:rsidRPr="000A6486" w:rsidRDefault="002F4637" w:rsidP="002F4637">
            <w:pPr>
              <w:rPr>
                <w:i/>
                <w:iCs/>
                <w:color w:val="000000"/>
                <w:sz w:val="24"/>
                <w:szCs w:val="24"/>
                <w:highlight w:val="yellow"/>
                <w:lang w:val="lv-LV"/>
              </w:rPr>
            </w:pPr>
            <w:r w:rsidRPr="000A6486">
              <w:rPr>
                <w:i/>
                <w:iCs/>
                <w:color w:val="000000"/>
                <w:sz w:val="24"/>
                <w:szCs w:val="24"/>
                <w:lang w:val="lv-LV"/>
              </w:rPr>
              <w:t>Komisijas paziņojuma</w:t>
            </w:r>
            <w:r>
              <w:rPr>
                <w:i/>
                <w:iCs/>
                <w:color w:val="000000"/>
                <w:sz w:val="24"/>
                <w:szCs w:val="24"/>
                <w:lang w:val="lv-LV"/>
              </w:rPr>
              <w:t xml:space="preserve"> 87. un 88.</w:t>
            </w:r>
            <w:r w:rsidRPr="000A6486">
              <w:rPr>
                <w:i/>
                <w:iCs/>
                <w:color w:val="000000"/>
                <w:sz w:val="24"/>
                <w:szCs w:val="24"/>
                <w:lang w:val="lv-LV"/>
              </w:rPr>
              <w:t>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2F94E7F3" w14:textId="5B9CAA0D" w:rsidR="002F4637" w:rsidRPr="000A6486" w:rsidRDefault="002F4637" w:rsidP="002F4637">
            <w:pPr>
              <w:rPr>
                <w:i/>
                <w:iCs/>
                <w:color w:val="000000"/>
                <w:sz w:val="24"/>
                <w:szCs w:val="24"/>
                <w:lang w:val="lv-LV"/>
              </w:rPr>
            </w:pPr>
            <w:r w:rsidRPr="000A6486">
              <w:rPr>
                <w:i/>
                <w:iCs/>
                <w:color w:val="000000"/>
                <w:sz w:val="24"/>
                <w:szCs w:val="24"/>
                <w:lang w:val="lv-LV"/>
              </w:rPr>
              <w:t>Noteikumu projekta 2</w:t>
            </w:r>
            <w:r>
              <w:rPr>
                <w:i/>
                <w:iCs/>
                <w:color w:val="000000"/>
                <w:sz w:val="24"/>
                <w:szCs w:val="24"/>
                <w:lang w:val="lv-LV"/>
              </w:rPr>
              <w:t xml:space="preserve">4. </w:t>
            </w:r>
            <w:r w:rsidRPr="000A6486">
              <w:rPr>
                <w:i/>
                <w:iCs/>
                <w:color w:val="000000"/>
                <w:sz w:val="24"/>
                <w:szCs w:val="24"/>
                <w:lang w:val="lv-LV"/>
              </w:rPr>
              <w:t>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7E9316FC" w14:textId="0FAFB797" w:rsidR="002F4637" w:rsidRPr="000A6486" w:rsidRDefault="002F4637" w:rsidP="002F4637">
            <w:pPr>
              <w:rPr>
                <w:i/>
                <w:iCs/>
                <w:color w:val="000000"/>
                <w:sz w:val="24"/>
                <w:szCs w:val="24"/>
                <w:lang w:val="lv-LV"/>
              </w:rPr>
            </w:pPr>
            <w:r w:rsidRPr="000A6486">
              <w:rPr>
                <w:i/>
                <w:iCs/>
                <w:color w:val="000000"/>
                <w:sz w:val="24"/>
                <w:szCs w:val="24"/>
                <w:lang w:val="lv-LV"/>
              </w:rPr>
              <w:t>Ieviests pilnībā</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6BE5CD36" w14:textId="4B672B4E" w:rsidR="002F4637" w:rsidRPr="000A6486" w:rsidRDefault="002F4637" w:rsidP="002F4637">
            <w:pPr>
              <w:rPr>
                <w:i/>
                <w:iCs/>
                <w:color w:val="000000"/>
                <w:sz w:val="24"/>
                <w:szCs w:val="24"/>
                <w:lang w:val="lv-LV"/>
              </w:rPr>
            </w:pPr>
            <w:r w:rsidRPr="000A6486">
              <w:rPr>
                <w:i/>
                <w:iCs/>
                <w:color w:val="000000"/>
                <w:sz w:val="24"/>
                <w:szCs w:val="24"/>
                <w:lang w:val="lv-LV"/>
              </w:rPr>
              <w:t>Neparedz stingrākas prasības.</w:t>
            </w:r>
          </w:p>
        </w:tc>
      </w:tr>
      <w:tr w:rsidR="002F4637" w:rsidRPr="00C921F5" w14:paraId="2CC73AFD" w14:textId="77777777" w:rsidTr="00FA4414">
        <w:tc>
          <w:tcPr>
            <w:tcW w:w="1512" w:type="pct"/>
            <w:tcBorders>
              <w:top w:val="single" w:sz="4" w:space="0" w:color="auto"/>
              <w:left w:val="outset" w:sz="6" w:space="0" w:color="414142"/>
              <w:bottom w:val="single" w:sz="4" w:space="0" w:color="auto"/>
              <w:right w:val="outset" w:sz="6" w:space="0" w:color="414142"/>
            </w:tcBorders>
            <w:shd w:val="clear" w:color="auto" w:fill="FFFFFF"/>
          </w:tcPr>
          <w:p w14:paraId="65ABA508" w14:textId="0E2A9324" w:rsidR="002F4637" w:rsidRPr="000A6486" w:rsidRDefault="002F4637" w:rsidP="002F4637">
            <w:pPr>
              <w:rPr>
                <w:rFonts w:eastAsia="Times New Roman"/>
                <w:i/>
                <w:iCs/>
                <w:sz w:val="24"/>
                <w:szCs w:val="24"/>
                <w:highlight w:val="yellow"/>
                <w:lang w:val="lv-LV" w:eastAsia="lv-LV"/>
              </w:rPr>
            </w:pPr>
            <w:r w:rsidRPr="000A6486">
              <w:rPr>
                <w:i/>
                <w:iCs/>
                <w:color w:val="000000"/>
                <w:sz w:val="24"/>
                <w:szCs w:val="24"/>
                <w:lang w:val="lv-LV"/>
              </w:rPr>
              <w:t xml:space="preserve">Komisijas paziņojuma </w:t>
            </w:r>
            <w:r>
              <w:rPr>
                <w:i/>
                <w:iCs/>
                <w:color w:val="000000"/>
                <w:sz w:val="24"/>
                <w:szCs w:val="24"/>
                <w:lang w:val="lv-LV"/>
              </w:rPr>
              <w:t>25</w:t>
            </w:r>
            <w:r w:rsidRPr="000A6486">
              <w:rPr>
                <w:i/>
                <w:iCs/>
                <w:color w:val="000000"/>
                <w:sz w:val="24"/>
                <w:szCs w:val="24"/>
                <w:lang w:val="lv-LV"/>
              </w:rPr>
              <w:t xml:space="preserve">.punkta </w:t>
            </w:r>
            <w:r>
              <w:rPr>
                <w:i/>
                <w:iCs/>
                <w:color w:val="000000"/>
                <w:sz w:val="24"/>
                <w:szCs w:val="24"/>
                <w:lang w:val="lv-LV"/>
              </w:rPr>
              <w:t>c) un h</w:t>
            </w:r>
            <w:r w:rsidRPr="000A6486">
              <w:rPr>
                <w:i/>
                <w:iCs/>
                <w:color w:val="000000"/>
                <w:sz w:val="24"/>
                <w:szCs w:val="24"/>
                <w:lang w:val="lv-LV"/>
              </w:rPr>
              <w:t>)punkts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4E704A5" w14:textId="19CB80D3" w:rsidR="002F4637" w:rsidRPr="000A6486" w:rsidRDefault="002F4637" w:rsidP="002F4637">
            <w:pPr>
              <w:rPr>
                <w:i/>
                <w:iCs/>
                <w:color w:val="000000"/>
                <w:sz w:val="24"/>
                <w:szCs w:val="24"/>
                <w:lang w:val="lv-LV"/>
              </w:rPr>
            </w:pPr>
            <w:r w:rsidRPr="000A6486">
              <w:rPr>
                <w:i/>
                <w:iCs/>
                <w:color w:val="000000"/>
                <w:sz w:val="24"/>
                <w:szCs w:val="24"/>
                <w:lang w:val="lv-LV"/>
              </w:rPr>
              <w:t>Noteikumu projekta 2</w:t>
            </w:r>
            <w:r w:rsidR="004309D9">
              <w:rPr>
                <w:i/>
                <w:iCs/>
                <w:color w:val="000000"/>
                <w:sz w:val="24"/>
                <w:szCs w:val="24"/>
                <w:lang w:val="lv-LV"/>
              </w:rPr>
              <w:t>7</w:t>
            </w:r>
            <w:r>
              <w:rPr>
                <w:i/>
                <w:iCs/>
                <w:color w:val="000000"/>
                <w:sz w:val="24"/>
                <w:szCs w:val="24"/>
                <w:lang w:val="lv-LV"/>
              </w:rPr>
              <w:t>.</w:t>
            </w:r>
            <w:r w:rsidRPr="000A6486">
              <w:rPr>
                <w:i/>
                <w:iCs/>
                <w:color w:val="000000"/>
                <w:sz w:val="24"/>
                <w:szCs w:val="24"/>
                <w:lang w:val="lv-LV"/>
              </w:rPr>
              <w:t xml:space="preserve"> punkts</w:t>
            </w:r>
          </w:p>
        </w:tc>
        <w:tc>
          <w:tcPr>
            <w:tcW w:w="1191" w:type="pct"/>
            <w:tcBorders>
              <w:top w:val="single" w:sz="4" w:space="0" w:color="auto"/>
              <w:left w:val="single" w:sz="4" w:space="0" w:color="auto"/>
              <w:bottom w:val="single" w:sz="4" w:space="0" w:color="auto"/>
              <w:right w:val="single" w:sz="4" w:space="0" w:color="auto"/>
            </w:tcBorders>
            <w:shd w:val="clear" w:color="auto" w:fill="auto"/>
          </w:tcPr>
          <w:p w14:paraId="2DA9CE29" w14:textId="6FCE9926" w:rsidR="002F4637" w:rsidRPr="000A6486" w:rsidRDefault="002F4637" w:rsidP="002F4637">
            <w:pPr>
              <w:rPr>
                <w:i/>
                <w:iCs/>
                <w:color w:val="000000"/>
                <w:sz w:val="24"/>
                <w:szCs w:val="24"/>
                <w:lang w:val="lv-LV"/>
              </w:rPr>
            </w:pPr>
            <w:r>
              <w:rPr>
                <w:i/>
                <w:iCs/>
                <w:color w:val="000000"/>
                <w:sz w:val="24"/>
                <w:szCs w:val="24"/>
                <w:lang w:val="lv-LV"/>
              </w:rPr>
              <w:t>Ieviests daļēji</w:t>
            </w:r>
          </w:p>
        </w:tc>
        <w:tc>
          <w:tcPr>
            <w:tcW w:w="1346" w:type="pct"/>
            <w:tcBorders>
              <w:top w:val="single" w:sz="4" w:space="0" w:color="auto"/>
              <w:left w:val="single" w:sz="4" w:space="0" w:color="auto"/>
              <w:bottom w:val="single" w:sz="4" w:space="0" w:color="auto"/>
              <w:right w:val="single" w:sz="4" w:space="0" w:color="auto"/>
            </w:tcBorders>
            <w:shd w:val="clear" w:color="auto" w:fill="auto"/>
          </w:tcPr>
          <w:p w14:paraId="6656D8C7" w14:textId="2E4C6B07" w:rsidR="002F4637" w:rsidRPr="000A6486" w:rsidRDefault="002F4637" w:rsidP="002F4637">
            <w:pPr>
              <w:rPr>
                <w:i/>
                <w:iCs/>
                <w:color w:val="000000"/>
                <w:sz w:val="24"/>
                <w:szCs w:val="24"/>
                <w:lang w:val="lv-LV"/>
              </w:rPr>
            </w:pPr>
            <w:r>
              <w:rPr>
                <w:i/>
                <w:iCs/>
                <w:color w:val="000000"/>
                <w:sz w:val="24"/>
                <w:szCs w:val="24"/>
                <w:lang w:val="lv-LV"/>
              </w:rPr>
              <w:t>Paredz labvēlīgākus nosacījumus</w:t>
            </w:r>
          </w:p>
        </w:tc>
      </w:tr>
      <w:tr w:rsidR="002F4637" w:rsidRPr="00C921F5" w14:paraId="2FF190C6" w14:textId="77777777" w:rsidTr="00FA4414">
        <w:tc>
          <w:tcPr>
            <w:tcW w:w="1512"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2F4637" w:rsidRPr="00130C79" w:rsidRDefault="002F4637" w:rsidP="002F4637">
            <w:pPr>
              <w:rPr>
                <w:rFonts w:eastAsia="Times New Roman"/>
                <w:color w:val="414142"/>
                <w:sz w:val="24"/>
                <w:szCs w:val="24"/>
                <w:lang w:val="lv-LV" w:eastAsia="lv-LV"/>
              </w:rPr>
            </w:pPr>
            <w:r w:rsidRPr="00130C79">
              <w:rPr>
                <w:rFonts w:eastAsia="Times New Roman"/>
                <w:color w:val="414142"/>
                <w:sz w:val="24"/>
                <w:szCs w:val="24"/>
                <w:lang w:val="lv-LV" w:eastAsia="lv-LV"/>
              </w:rPr>
              <w:t>Kā ir izmantota ES tiesību aktā paredzētā rīcības brīvība dalībvalstij pārņemt vai ieviest noteiktas ES tiesību akta normas? Kādēļ?</w:t>
            </w:r>
          </w:p>
        </w:tc>
        <w:tc>
          <w:tcPr>
            <w:tcW w:w="3488" w:type="pct"/>
            <w:gridSpan w:val="3"/>
            <w:tcBorders>
              <w:top w:val="single" w:sz="4" w:space="0" w:color="auto"/>
              <w:left w:val="single" w:sz="4" w:space="0" w:color="auto"/>
              <w:bottom w:val="single" w:sz="4" w:space="0" w:color="auto"/>
              <w:right w:val="single" w:sz="4" w:space="0" w:color="auto"/>
            </w:tcBorders>
            <w:hideMark/>
          </w:tcPr>
          <w:p w14:paraId="2C32B25E" w14:textId="77777777" w:rsidR="002F4637" w:rsidRPr="00C921F5" w:rsidRDefault="002F4637" w:rsidP="002F4637">
            <w:pPr>
              <w:rPr>
                <w:rFonts w:eastAsia="Times New Roman"/>
                <w:color w:val="414142"/>
                <w:sz w:val="24"/>
                <w:szCs w:val="24"/>
                <w:lang w:val="lv-LV" w:eastAsia="lv-LV"/>
              </w:rPr>
            </w:pPr>
            <w:r w:rsidRPr="00C921F5">
              <w:rPr>
                <w:rFonts w:eastAsia="Times New Roman"/>
                <w:sz w:val="24"/>
                <w:szCs w:val="24"/>
                <w:lang w:val="lv-LV"/>
              </w:rPr>
              <w:t>Projekts šo jomu neskar.</w:t>
            </w:r>
          </w:p>
        </w:tc>
      </w:tr>
      <w:tr w:rsidR="002F4637" w:rsidRPr="00C921F5" w14:paraId="380F5C9A"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2F4637" w:rsidRPr="00C921F5" w:rsidRDefault="002F4637" w:rsidP="002F4637">
            <w:pPr>
              <w:rPr>
                <w:rFonts w:eastAsia="Times New Roman"/>
                <w:color w:val="414142"/>
                <w:sz w:val="24"/>
                <w:szCs w:val="24"/>
                <w:lang w:val="lv-LV" w:eastAsia="lv-LV"/>
              </w:rPr>
            </w:pPr>
            <w:r w:rsidRPr="00C921F5">
              <w:rPr>
                <w:rFonts w:eastAsia="Times New Roman"/>
                <w:color w:val="414142"/>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3"/>
            <w:tcBorders>
              <w:top w:val="single" w:sz="4" w:space="0" w:color="auto"/>
              <w:left w:val="single" w:sz="4" w:space="0" w:color="auto"/>
              <w:bottom w:val="single" w:sz="4" w:space="0" w:color="auto"/>
              <w:right w:val="single" w:sz="4" w:space="0" w:color="auto"/>
            </w:tcBorders>
            <w:hideMark/>
          </w:tcPr>
          <w:p w14:paraId="32245CF8" w14:textId="77777777" w:rsidR="002F4637" w:rsidRPr="00C921F5" w:rsidRDefault="002F4637" w:rsidP="002F4637">
            <w:pPr>
              <w:rPr>
                <w:rFonts w:eastAsia="Times New Roman"/>
                <w:color w:val="414142"/>
                <w:sz w:val="24"/>
                <w:szCs w:val="24"/>
                <w:lang w:val="lv-LV" w:eastAsia="lv-LV"/>
              </w:rPr>
            </w:pPr>
            <w:r w:rsidRPr="00C921F5">
              <w:rPr>
                <w:rFonts w:eastAsia="Times New Roman"/>
                <w:sz w:val="24"/>
                <w:szCs w:val="24"/>
                <w:lang w:val="lv-LV"/>
              </w:rPr>
              <w:t>Projekts šo jomu neskar.</w:t>
            </w:r>
          </w:p>
        </w:tc>
      </w:tr>
      <w:tr w:rsidR="002F4637" w:rsidRPr="00C921F5" w14:paraId="21014EF5" w14:textId="77777777" w:rsidTr="00FA4414">
        <w:tc>
          <w:tcPr>
            <w:tcW w:w="1512"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2F4637" w:rsidRPr="00C921F5" w:rsidRDefault="002F4637" w:rsidP="002F4637">
            <w:pPr>
              <w:rPr>
                <w:rFonts w:eastAsia="Times New Roman"/>
                <w:color w:val="414142"/>
                <w:sz w:val="24"/>
                <w:szCs w:val="24"/>
                <w:lang w:val="lv-LV" w:eastAsia="lv-LV"/>
              </w:rPr>
            </w:pPr>
            <w:r w:rsidRPr="00C921F5">
              <w:rPr>
                <w:rFonts w:eastAsia="Times New Roman"/>
                <w:color w:val="414142"/>
                <w:sz w:val="24"/>
                <w:szCs w:val="24"/>
                <w:lang w:val="lv-LV" w:eastAsia="lv-LV"/>
              </w:rPr>
              <w:t>Cita informācija</w:t>
            </w:r>
          </w:p>
        </w:tc>
        <w:tc>
          <w:tcPr>
            <w:tcW w:w="3488" w:type="pct"/>
            <w:gridSpan w:val="3"/>
            <w:tcBorders>
              <w:top w:val="single" w:sz="4" w:space="0" w:color="auto"/>
              <w:left w:val="single" w:sz="4" w:space="0" w:color="auto"/>
              <w:bottom w:val="single" w:sz="4" w:space="0" w:color="auto"/>
              <w:right w:val="single" w:sz="4" w:space="0" w:color="auto"/>
            </w:tcBorders>
            <w:hideMark/>
          </w:tcPr>
          <w:p w14:paraId="4AF12ABC" w14:textId="77777777" w:rsidR="002F4637" w:rsidRPr="00C921F5" w:rsidRDefault="002F4637" w:rsidP="002F4637">
            <w:pPr>
              <w:rPr>
                <w:rFonts w:eastAsia="Times New Roman"/>
                <w:color w:val="414142"/>
                <w:sz w:val="24"/>
                <w:szCs w:val="24"/>
                <w:lang w:val="lv-LV" w:eastAsia="lv-LV"/>
              </w:rPr>
            </w:pPr>
            <w:r w:rsidRPr="00C921F5">
              <w:rPr>
                <w:color w:val="000000"/>
                <w:sz w:val="24"/>
                <w:szCs w:val="24"/>
                <w:lang w:val="lv-LV"/>
              </w:rPr>
              <w:t>Nav.</w:t>
            </w:r>
          </w:p>
        </w:tc>
      </w:tr>
    </w:tbl>
    <w:p w14:paraId="75F8D6BE" w14:textId="77777777" w:rsidR="00A5551D" w:rsidRPr="00C921F5" w:rsidRDefault="00A5551D" w:rsidP="00B043DE">
      <w:pPr>
        <w:contextualSpacing/>
        <w:rPr>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379"/>
      </w:tblGrid>
      <w:tr w:rsidR="006F4B13" w:rsidRPr="00A1427D" w14:paraId="7EEC0F00" w14:textId="77777777" w:rsidTr="00240921">
        <w:trPr>
          <w:trHeight w:val="421"/>
        </w:trPr>
        <w:tc>
          <w:tcPr>
            <w:tcW w:w="9356" w:type="dxa"/>
            <w:gridSpan w:val="3"/>
            <w:tcBorders>
              <w:top w:val="single" w:sz="2" w:space="0" w:color="auto"/>
            </w:tcBorders>
            <w:vAlign w:val="center"/>
          </w:tcPr>
          <w:p w14:paraId="7BCCE7F8" w14:textId="77777777" w:rsidR="006F4B13" w:rsidRPr="00C921F5" w:rsidRDefault="006F4B13" w:rsidP="00B043DE">
            <w:pPr>
              <w:ind w:left="57" w:right="57"/>
              <w:contextualSpacing/>
              <w:jc w:val="center"/>
              <w:rPr>
                <w:rFonts w:eastAsia="Times New Roman"/>
                <w:sz w:val="24"/>
                <w:szCs w:val="24"/>
                <w:lang w:val="lv-LV"/>
              </w:rPr>
            </w:pPr>
            <w:r w:rsidRPr="00C921F5">
              <w:rPr>
                <w:rFonts w:eastAsia="Times New Roman"/>
                <w:b/>
                <w:sz w:val="24"/>
                <w:szCs w:val="24"/>
                <w:lang w:val="lv-LV"/>
              </w:rPr>
              <w:t>VI. Sabiedrības līdzdalība un komunikācijas aktivitātes</w:t>
            </w:r>
          </w:p>
        </w:tc>
      </w:tr>
      <w:tr w:rsidR="006F4B13" w:rsidRPr="0017661A" w14:paraId="6FEF54FD" w14:textId="77777777" w:rsidTr="00240921">
        <w:trPr>
          <w:trHeight w:val="553"/>
        </w:trPr>
        <w:tc>
          <w:tcPr>
            <w:tcW w:w="312" w:type="dxa"/>
          </w:tcPr>
          <w:p w14:paraId="41086138" w14:textId="77777777" w:rsidR="006F4B13" w:rsidRPr="00C921F5" w:rsidRDefault="006F4B13" w:rsidP="00B043DE">
            <w:pPr>
              <w:ind w:left="57" w:right="57"/>
              <w:contextualSpacing/>
              <w:jc w:val="both"/>
              <w:rPr>
                <w:sz w:val="24"/>
                <w:szCs w:val="24"/>
                <w:lang w:val="lv-LV"/>
              </w:rPr>
            </w:pPr>
            <w:r w:rsidRPr="00C921F5">
              <w:rPr>
                <w:sz w:val="24"/>
                <w:szCs w:val="24"/>
                <w:lang w:val="lv-LV"/>
              </w:rPr>
              <w:lastRenderedPageBreak/>
              <w:t>1.</w:t>
            </w:r>
          </w:p>
        </w:tc>
        <w:tc>
          <w:tcPr>
            <w:tcW w:w="2665" w:type="dxa"/>
          </w:tcPr>
          <w:p w14:paraId="798682AC" w14:textId="77777777" w:rsidR="006F4B13" w:rsidRPr="00C921F5" w:rsidRDefault="006F4B13" w:rsidP="00B043DE">
            <w:pPr>
              <w:tabs>
                <w:tab w:val="left" w:pos="170"/>
              </w:tabs>
              <w:ind w:left="57" w:right="57"/>
              <w:contextualSpacing/>
              <w:rPr>
                <w:rFonts w:eastAsia="PMingLiU"/>
                <w:sz w:val="24"/>
                <w:szCs w:val="24"/>
                <w:lang w:val="lv-LV" w:eastAsia="ja-JP"/>
              </w:rPr>
            </w:pPr>
            <w:r w:rsidRPr="00C921F5">
              <w:rPr>
                <w:rFonts w:eastAsia="PMingLiU"/>
                <w:sz w:val="24"/>
                <w:szCs w:val="24"/>
                <w:lang w:val="lv-LV" w:eastAsia="ja-JP"/>
              </w:rPr>
              <w:t>Plānotās sabiedrības līdzdalības un komunikācijas aktivitātes saistībā ar projektu</w:t>
            </w:r>
          </w:p>
        </w:tc>
        <w:tc>
          <w:tcPr>
            <w:tcW w:w="6379" w:type="dxa"/>
          </w:tcPr>
          <w:p w14:paraId="5A60AED3" w14:textId="175D270B" w:rsidR="00D27E4D" w:rsidRPr="00C921F5" w:rsidRDefault="009C030C" w:rsidP="00B043DE">
            <w:pPr>
              <w:shd w:val="clear" w:color="auto" w:fill="FFFFFF"/>
              <w:ind w:right="113"/>
              <w:contextualSpacing/>
              <w:jc w:val="both"/>
              <w:rPr>
                <w:rFonts w:eastAsia="PMingLiU"/>
                <w:sz w:val="24"/>
                <w:szCs w:val="24"/>
                <w:lang w:val="lv-LV" w:eastAsia="ja-JP"/>
              </w:rPr>
            </w:pPr>
            <w:r w:rsidRPr="00C921F5">
              <w:rPr>
                <w:rFonts w:eastAsia="PMingLiU"/>
                <w:sz w:val="24"/>
                <w:szCs w:val="24"/>
                <w:lang w:val="lv-LV" w:eastAsia="ja-JP"/>
              </w:rPr>
              <w:t>S</w:t>
            </w:r>
            <w:r w:rsidR="001C70CC" w:rsidRPr="00C921F5">
              <w:rPr>
                <w:rFonts w:eastAsia="PMingLiU"/>
                <w:sz w:val="24"/>
                <w:szCs w:val="24"/>
                <w:lang w:val="lv-LV" w:eastAsia="ja-JP"/>
              </w:rPr>
              <w:t xml:space="preserve">abiedrības līdzdalība </w:t>
            </w:r>
            <w:r w:rsidR="00D27E4D" w:rsidRPr="00C921F5">
              <w:rPr>
                <w:rFonts w:eastAsia="PMingLiU"/>
                <w:sz w:val="24"/>
                <w:szCs w:val="24"/>
                <w:lang w:val="lv-LV" w:eastAsia="ja-JP"/>
              </w:rPr>
              <w:t xml:space="preserve">ir nodrošināta </w:t>
            </w:r>
            <w:r w:rsidR="003D0F93" w:rsidRPr="00C921F5">
              <w:rPr>
                <w:rFonts w:eastAsia="PMingLiU"/>
                <w:sz w:val="24"/>
                <w:szCs w:val="24"/>
                <w:lang w:val="lv-LV" w:eastAsia="ja-JP"/>
              </w:rPr>
              <w:t>2020.</w:t>
            </w:r>
            <w:r w:rsidR="00B63C0B" w:rsidRPr="00C921F5">
              <w:rPr>
                <w:rFonts w:eastAsia="PMingLiU"/>
                <w:sz w:val="24"/>
                <w:szCs w:val="24"/>
                <w:lang w:val="lv-LV" w:eastAsia="ja-JP"/>
              </w:rPr>
              <w:t xml:space="preserve">gada </w:t>
            </w:r>
            <w:r w:rsidR="003D0F93" w:rsidRPr="00C921F5">
              <w:rPr>
                <w:rFonts w:eastAsia="PMingLiU"/>
                <w:sz w:val="24"/>
                <w:szCs w:val="24"/>
                <w:lang w:val="lv-LV" w:eastAsia="ja-JP"/>
              </w:rPr>
              <w:t>11.maija</w:t>
            </w:r>
            <w:r w:rsidR="00D27E4D" w:rsidRPr="00C921F5">
              <w:rPr>
                <w:rFonts w:eastAsia="PMingLiU"/>
                <w:sz w:val="24"/>
                <w:szCs w:val="24"/>
                <w:lang w:val="lv-LV" w:eastAsia="ja-JP"/>
              </w:rPr>
              <w:t xml:space="preserve">. krīzes vadības grupas ietvaros apspriežot </w:t>
            </w:r>
            <w:r w:rsidR="003D0F93" w:rsidRPr="00C921F5">
              <w:rPr>
                <w:rFonts w:eastAsia="Times New Roman"/>
                <w:iCs/>
                <w:sz w:val="24"/>
                <w:szCs w:val="24"/>
                <w:lang w:val="lv-LV"/>
              </w:rPr>
              <w:t>MK Noteikumu projekts</w:t>
            </w:r>
            <w:r w:rsidR="003D0F93" w:rsidRPr="00C921F5" w:rsidDel="003D0F93">
              <w:rPr>
                <w:rFonts w:eastAsia="PMingLiU"/>
                <w:sz w:val="24"/>
                <w:szCs w:val="24"/>
                <w:lang w:val="lv-LV" w:eastAsia="ja-JP"/>
              </w:rPr>
              <w:t xml:space="preserve"> </w:t>
            </w:r>
            <w:r w:rsidR="00D27E4D" w:rsidRPr="00C921F5">
              <w:rPr>
                <w:rFonts w:eastAsia="PMingLiU"/>
                <w:sz w:val="24"/>
                <w:szCs w:val="24"/>
                <w:lang w:val="lv-LV" w:eastAsia="ja-JP"/>
              </w:rPr>
              <w:t xml:space="preserve">projektu ar </w:t>
            </w:r>
            <w:r w:rsidR="00FD70B8">
              <w:rPr>
                <w:rFonts w:eastAsia="PMingLiU"/>
                <w:sz w:val="24"/>
                <w:szCs w:val="24"/>
                <w:lang w:val="lv-LV" w:eastAsia="ja-JP"/>
              </w:rPr>
              <w:t>komersantiem</w:t>
            </w:r>
            <w:r w:rsidR="00D27E4D" w:rsidRPr="00C921F5">
              <w:rPr>
                <w:rFonts w:eastAsia="PMingLiU"/>
                <w:sz w:val="24"/>
                <w:szCs w:val="24"/>
                <w:lang w:val="lv-LV" w:eastAsia="ja-JP"/>
              </w:rPr>
              <w:t>.</w:t>
            </w:r>
          </w:p>
          <w:p w14:paraId="384FFED0" w14:textId="4F3C71E1" w:rsidR="00D27E4D" w:rsidRPr="00C921F5" w:rsidRDefault="0017661A" w:rsidP="00B043DE">
            <w:pPr>
              <w:shd w:val="clear" w:color="auto" w:fill="FFFFFF"/>
              <w:ind w:right="113"/>
              <w:contextualSpacing/>
              <w:jc w:val="both"/>
              <w:rPr>
                <w:rFonts w:eastAsia="PMingLiU"/>
                <w:sz w:val="24"/>
                <w:szCs w:val="24"/>
                <w:highlight w:val="yellow"/>
                <w:lang w:val="lv-LV" w:eastAsia="ja-JP"/>
              </w:rPr>
            </w:pPr>
            <w:r>
              <w:rPr>
                <w:rFonts w:eastAsia="PMingLiU"/>
                <w:sz w:val="24"/>
                <w:szCs w:val="24"/>
                <w:lang w:val="lv-LV" w:eastAsia="ja-JP"/>
              </w:rPr>
              <w:t>MK N</w:t>
            </w:r>
            <w:r w:rsidR="00D27E4D" w:rsidRPr="00C921F5">
              <w:rPr>
                <w:rFonts w:eastAsia="PMingLiU"/>
                <w:sz w:val="24"/>
                <w:szCs w:val="24"/>
                <w:lang w:val="lv-LV" w:eastAsia="ja-JP"/>
              </w:rPr>
              <w:t>oteikum</w:t>
            </w:r>
            <w:r>
              <w:rPr>
                <w:rFonts w:eastAsia="PMingLiU"/>
                <w:sz w:val="24"/>
                <w:szCs w:val="24"/>
                <w:lang w:val="lv-LV" w:eastAsia="ja-JP"/>
              </w:rPr>
              <w:t>u projektā</w:t>
            </w:r>
            <w:r w:rsidR="00D27E4D" w:rsidRPr="00C921F5">
              <w:rPr>
                <w:rFonts w:eastAsia="PMingLiU"/>
                <w:sz w:val="24"/>
                <w:szCs w:val="24"/>
                <w:lang w:val="lv-LV" w:eastAsia="ja-JP"/>
              </w:rPr>
              <w:t xml:space="preserve"> ietvertie nosacījumi ir pārrunāti ar Finanšu nozares asociāciju.</w:t>
            </w:r>
          </w:p>
        </w:tc>
      </w:tr>
      <w:tr w:rsidR="006F4B13" w:rsidRPr="00C921F5" w14:paraId="3F5FD1CD" w14:textId="77777777" w:rsidTr="00240921">
        <w:trPr>
          <w:trHeight w:val="339"/>
        </w:trPr>
        <w:tc>
          <w:tcPr>
            <w:tcW w:w="312" w:type="dxa"/>
          </w:tcPr>
          <w:p w14:paraId="4B9C6F89" w14:textId="77777777" w:rsidR="006F4B13" w:rsidRPr="00C921F5" w:rsidRDefault="006F4B13" w:rsidP="00B043DE">
            <w:pPr>
              <w:ind w:left="57" w:right="57"/>
              <w:contextualSpacing/>
              <w:jc w:val="both"/>
              <w:rPr>
                <w:sz w:val="24"/>
                <w:szCs w:val="24"/>
                <w:lang w:val="lv-LV"/>
              </w:rPr>
            </w:pPr>
            <w:r w:rsidRPr="00C921F5">
              <w:rPr>
                <w:sz w:val="24"/>
                <w:szCs w:val="24"/>
                <w:lang w:val="lv-LV"/>
              </w:rPr>
              <w:t>2.</w:t>
            </w:r>
          </w:p>
        </w:tc>
        <w:tc>
          <w:tcPr>
            <w:tcW w:w="2665" w:type="dxa"/>
          </w:tcPr>
          <w:p w14:paraId="4B6FBDE6" w14:textId="77777777" w:rsidR="006F4B13" w:rsidRPr="00C921F5" w:rsidRDefault="006F4B13" w:rsidP="00B043DE">
            <w:pPr>
              <w:ind w:left="57" w:right="57"/>
              <w:contextualSpacing/>
              <w:rPr>
                <w:rFonts w:eastAsia="PMingLiU"/>
                <w:sz w:val="24"/>
                <w:szCs w:val="24"/>
                <w:lang w:val="lv-LV" w:eastAsia="ja-JP"/>
              </w:rPr>
            </w:pPr>
            <w:r w:rsidRPr="00C921F5">
              <w:rPr>
                <w:rFonts w:eastAsia="PMingLiU"/>
                <w:sz w:val="24"/>
                <w:szCs w:val="24"/>
                <w:lang w:val="lv-LV" w:eastAsia="ja-JP"/>
              </w:rPr>
              <w:t>Sabiedrības līdzdalība projekta izstrādē</w:t>
            </w:r>
          </w:p>
        </w:tc>
        <w:tc>
          <w:tcPr>
            <w:tcW w:w="6379" w:type="dxa"/>
          </w:tcPr>
          <w:p w14:paraId="18D5064F" w14:textId="7CEB3654" w:rsidR="006F4B13" w:rsidRPr="00C921F5" w:rsidRDefault="006F4B13" w:rsidP="00B043DE">
            <w:pPr>
              <w:shd w:val="clear" w:color="auto" w:fill="FFFFFF"/>
              <w:ind w:left="57" w:right="113"/>
              <w:contextualSpacing/>
              <w:jc w:val="both"/>
              <w:rPr>
                <w:rFonts w:eastAsia="PMingLiU"/>
                <w:sz w:val="24"/>
                <w:szCs w:val="24"/>
                <w:shd w:val="clear" w:color="auto" w:fill="FFFFFF"/>
                <w:lang w:val="lv-LV" w:eastAsia="ja-JP"/>
              </w:rPr>
            </w:pPr>
          </w:p>
        </w:tc>
      </w:tr>
      <w:tr w:rsidR="006F4B13" w:rsidRPr="00C921F5" w14:paraId="0F937EA3" w14:textId="77777777" w:rsidTr="00240921">
        <w:trPr>
          <w:trHeight w:val="476"/>
        </w:trPr>
        <w:tc>
          <w:tcPr>
            <w:tcW w:w="312" w:type="dxa"/>
          </w:tcPr>
          <w:p w14:paraId="5A007BCA" w14:textId="77777777" w:rsidR="006F4B13" w:rsidRPr="00C921F5" w:rsidRDefault="006F4B13" w:rsidP="00B043DE">
            <w:pPr>
              <w:ind w:left="57" w:right="57"/>
              <w:contextualSpacing/>
              <w:jc w:val="both"/>
              <w:rPr>
                <w:sz w:val="24"/>
                <w:szCs w:val="24"/>
                <w:lang w:val="lv-LV"/>
              </w:rPr>
            </w:pPr>
            <w:r w:rsidRPr="00C921F5">
              <w:rPr>
                <w:sz w:val="24"/>
                <w:szCs w:val="24"/>
                <w:lang w:val="lv-LV"/>
              </w:rPr>
              <w:t>3.</w:t>
            </w:r>
          </w:p>
        </w:tc>
        <w:tc>
          <w:tcPr>
            <w:tcW w:w="2665" w:type="dxa"/>
          </w:tcPr>
          <w:p w14:paraId="5F99D7D0" w14:textId="77777777" w:rsidR="006F4B13" w:rsidRPr="00C921F5" w:rsidRDefault="006F4B13" w:rsidP="00B043DE">
            <w:pPr>
              <w:ind w:left="57" w:right="57"/>
              <w:contextualSpacing/>
              <w:rPr>
                <w:rFonts w:eastAsia="PMingLiU"/>
                <w:sz w:val="24"/>
                <w:szCs w:val="24"/>
                <w:lang w:val="lv-LV" w:eastAsia="ja-JP"/>
              </w:rPr>
            </w:pPr>
            <w:r w:rsidRPr="00C921F5">
              <w:rPr>
                <w:rFonts w:eastAsia="PMingLiU"/>
                <w:sz w:val="24"/>
                <w:szCs w:val="24"/>
                <w:lang w:val="lv-LV" w:eastAsia="ja-JP"/>
              </w:rPr>
              <w:t>Sabiedrības līdzdalības rezultāti</w:t>
            </w:r>
          </w:p>
        </w:tc>
        <w:tc>
          <w:tcPr>
            <w:tcW w:w="6379" w:type="dxa"/>
          </w:tcPr>
          <w:p w14:paraId="2BF921D4" w14:textId="6D400666" w:rsidR="006F4B13" w:rsidRPr="00C921F5" w:rsidRDefault="006F4B13" w:rsidP="00B043DE">
            <w:pPr>
              <w:shd w:val="clear" w:color="auto" w:fill="FFFFFF"/>
              <w:ind w:left="57" w:right="113"/>
              <w:contextualSpacing/>
              <w:jc w:val="both"/>
              <w:rPr>
                <w:rFonts w:eastAsia="PMingLiU"/>
                <w:sz w:val="24"/>
                <w:szCs w:val="24"/>
                <w:shd w:val="clear" w:color="auto" w:fill="FFFFFF"/>
                <w:lang w:val="lv-LV" w:eastAsia="ja-JP"/>
              </w:rPr>
            </w:pPr>
            <w:r w:rsidRPr="00C921F5">
              <w:rPr>
                <w:rFonts w:eastAsia="PMingLiU"/>
                <w:sz w:val="24"/>
                <w:szCs w:val="24"/>
                <w:shd w:val="clear" w:color="auto" w:fill="FFFFFF"/>
                <w:lang w:val="lv-LV" w:eastAsia="ja-JP"/>
              </w:rPr>
              <w:t>Nav</w:t>
            </w:r>
          </w:p>
        </w:tc>
      </w:tr>
      <w:tr w:rsidR="006F4B13" w:rsidRPr="00C921F5" w14:paraId="13638F96" w14:textId="77777777" w:rsidTr="00240921">
        <w:trPr>
          <w:trHeight w:val="205"/>
        </w:trPr>
        <w:tc>
          <w:tcPr>
            <w:tcW w:w="312" w:type="dxa"/>
          </w:tcPr>
          <w:p w14:paraId="286DE4AB" w14:textId="77777777" w:rsidR="006F4B13" w:rsidRPr="00C921F5" w:rsidRDefault="006F4B13" w:rsidP="00B043DE">
            <w:pPr>
              <w:ind w:left="57" w:right="57"/>
              <w:contextualSpacing/>
              <w:jc w:val="both"/>
              <w:rPr>
                <w:sz w:val="24"/>
                <w:szCs w:val="24"/>
                <w:lang w:val="lv-LV"/>
              </w:rPr>
            </w:pPr>
            <w:r w:rsidRPr="00C921F5">
              <w:rPr>
                <w:sz w:val="24"/>
                <w:szCs w:val="24"/>
                <w:lang w:val="lv-LV"/>
              </w:rPr>
              <w:t>4.</w:t>
            </w:r>
          </w:p>
        </w:tc>
        <w:tc>
          <w:tcPr>
            <w:tcW w:w="2665" w:type="dxa"/>
          </w:tcPr>
          <w:p w14:paraId="1AEA4978" w14:textId="77777777" w:rsidR="006F4B13" w:rsidRPr="00C921F5" w:rsidRDefault="006F4B13" w:rsidP="00B043DE">
            <w:pPr>
              <w:ind w:left="57" w:right="57"/>
              <w:contextualSpacing/>
              <w:rPr>
                <w:rFonts w:eastAsia="PMingLiU"/>
                <w:sz w:val="24"/>
                <w:szCs w:val="24"/>
                <w:lang w:val="lv-LV" w:eastAsia="ja-JP"/>
              </w:rPr>
            </w:pPr>
            <w:r w:rsidRPr="00C921F5">
              <w:rPr>
                <w:rFonts w:eastAsia="PMingLiU"/>
                <w:sz w:val="24"/>
                <w:szCs w:val="24"/>
                <w:lang w:val="lv-LV" w:eastAsia="ja-JP"/>
              </w:rPr>
              <w:t>Cita informācija</w:t>
            </w:r>
          </w:p>
        </w:tc>
        <w:tc>
          <w:tcPr>
            <w:tcW w:w="6379" w:type="dxa"/>
          </w:tcPr>
          <w:p w14:paraId="29112FCD" w14:textId="5927F71D" w:rsidR="006F4B13" w:rsidRPr="00C921F5" w:rsidRDefault="006F4B13" w:rsidP="00B043DE">
            <w:pPr>
              <w:ind w:left="57" w:right="113"/>
              <w:contextualSpacing/>
              <w:jc w:val="both"/>
              <w:rPr>
                <w:rFonts w:eastAsia="PMingLiU"/>
                <w:sz w:val="24"/>
                <w:szCs w:val="24"/>
                <w:lang w:val="lv-LV" w:eastAsia="ja-JP"/>
              </w:rPr>
            </w:pPr>
            <w:r w:rsidRPr="00C921F5">
              <w:rPr>
                <w:rFonts w:eastAsia="PMingLiU"/>
                <w:sz w:val="24"/>
                <w:szCs w:val="24"/>
                <w:lang w:val="lv-LV" w:eastAsia="ja-JP"/>
              </w:rPr>
              <w:t>Nav</w:t>
            </w:r>
          </w:p>
        </w:tc>
      </w:tr>
    </w:tbl>
    <w:p w14:paraId="07B85D36" w14:textId="1E6EF1D8" w:rsidR="00844176" w:rsidRPr="00C921F5" w:rsidRDefault="00844176" w:rsidP="00B043DE">
      <w:pPr>
        <w:contextualSpacing/>
        <w:rPr>
          <w:rFonts w:eastAsia="Times New Roman"/>
          <w:sz w:val="24"/>
          <w:szCs w:val="24"/>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379"/>
      </w:tblGrid>
      <w:tr w:rsidR="00844176" w:rsidRPr="00A1427D" w14:paraId="72278BCA" w14:textId="77777777" w:rsidTr="00240921">
        <w:trPr>
          <w:trHeight w:val="375"/>
        </w:trPr>
        <w:tc>
          <w:tcPr>
            <w:tcW w:w="9348"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921F5" w:rsidRDefault="00844176" w:rsidP="00B043DE">
            <w:pPr>
              <w:ind w:firstLine="300"/>
              <w:jc w:val="center"/>
              <w:rPr>
                <w:rFonts w:eastAsia="Times New Roman"/>
                <w:sz w:val="24"/>
                <w:szCs w:val="24"/>
                <w:lang w:val="lv-LV" w:eastAsia="lv-LV"/>
              </w:rPr>
            </w:pPr>
            <w:r w:rsidRPr="00C921F5">
              <w:rPr>
                <w:b/>
                <w:sz w:val="24"/>
                <w:szCs w:val="24"/>
                <w:lang w:val="lv-LV"/>
              </w:rPr>
              <w:t>VII. Tiesību akta projekta izpildes nodrošināšana un tās ietekme uz institūcijām</w:t>
            </w:r>
          </w:p>
        </w:tc>
      </w:tr>
      <w:tr w:rsidR="00844176" w:rsidRPr="00C921F5" w14:paraId="3BE578E7" w14:textId="77777777" w:rsidTr="00240921">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921F5" w:rsidRDefault="00844176" w:rsidP="00B043DE">
            <w:pPr>
              <w:ind w:right="112"/>
              <w:contextualSpacing/>
              <w:jc w:val="both"/>
              <w:rPr>
                <w:sz w:val="24"/>
                <w:szCs w:val="24"/>
                <w:lang w:val="lv-LV"/>
              </w:rPr>
            </w:pPr>
            <w:r w:rsidRPr="00C921F5">
              <w:rPr>
                <w:sz w:val="24"/>
                <w:szCs w:val="24"/>
                <w:lang w:val="lv-LV"/>
              </w:rPr>
              <w:t>Projekta izpildē iesaistītās institūcijas</w:t>
            </w:r>
          </w:p>
        </w:tc>
        <w:tc>
          <w:tcPr>
            <w:tcW w:w="6379"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C921F5" w:rsidRDefault="00844176" w:rsidP="00B043DE">
            <w:pPr>
              <w:ind w:left="82" w:right="161"/>
              <w:contextualSpacing/>
              <w:jc w:val="both"/>
              <w:rPr>
                <w:sz w:val="24"/>
                <w:szCs w:val="24"/>
                <w:lang w:val="lv-LV"/>
              </w:rPr>
            </w:pPr>
            <w:r w:rsidRPr="00C921F5">
              <w:rPr>
                <w:sz w:val="24"/>
                <w:szCs w:val="24"/>
                <w:lang w:val="lv-LV"/>
              </w:rPr>
              <w:t>E</w:t>
            </w:r>
            <w:r w:rsidR="00733C32" w:rsidRPr="00C921F5">
              <w:rPr>
                <w:sz w:val="24"/>
                <w:szCs w:val="24"/>
                <w:lang w:val="lv-LV"/>
              </w:rPr>
              <w:t>konomikas ministrija</w:t>
            </w:r>
            <w:r w:rsidR="0074545C" w:rsidRPr="00C921F5">
              <w:rPr>
                <w:sz w:val="24"/>
                <w:szCs w:val="24"/>
                <w:lang w:val="lv-LV"/>
              </w:rPr>
              <w:t>, sabiedrība</w:t>
            </w:r>
            <w:r w:rsidR="00733C32" w:rsidRPr="00C921F5">
              <w:rPr>
                <w:sz w:val="24"/>
                <w:szCs w:val="24"/>
                <w:lang w:val="lv-LV"/>
              </w:rPr>
              <w:t xml:space="preserve"> “Altum”</w:t>
            </w:r>
          </w:p>
        </w:tc>
      </w:tr>
      <w:tr w:rsidR="00844176" w:rsidRPr="00A1427D" w14:paraId="2CF2C3EA" w14:textId="77777777" w:rsidTr="00240921">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921F5" w:rsidRDefault="00844176" w:rsidP="00B043DE">
            <w:pPr>
              <w:ind w:right="112"/>
              <w:contextualSpacing/>
              <w:jc w:val="both"/>
              <w:rPr>
                <w:sz w:val="24"/>
                <w:szCs w:val="24"/>
                <w:lang w:val="lv-LV"/>
              </w:rPr>
            </w:pPr>
            <w:r w:rsidRPr="00C921F5">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379" w:type="dxa"/>
            <w:tcBorders>
              <w:top w:val="outset" w:sz="6" w:space="0" w:color="414142"/>
              <w:left w:val="outset" w:sz="6" w:space="0" w:color="414142"/>
              <w:bottom w:val="outset" w:sz="6" w:space="0" w:color="414142"/>
              <w:right w:val="outset" w:sz="6" w:space="0" w:color="414142"/>
            </w:tcBorders>
            <w:hideMark/>
          </w:tcPr>
          <w:p w14:paraId="5F5A7977" w14:textId="4E3A62E5" w:rsidR="00844176" w:rsidRPr="00C921F5" w:rsidRDefault="003D0F93" w:rsidP="00B043DE">
            <w:pPr>
              <w:ind w:left="82" w:right="161"/>
              <w:contextualSpacing/>
              <w:jc w:val="both"/>
              <w:rPr>
                <w:sz w:val="24"/>
                <w:szCs w:val="24"/>
                <w:lang w:val="lv-LV"/>
              </w:rPr>
            </w:pPr>
            <w:r w:rsidRPr="00C921F5">
              <w:rPr>
                <w:rFonts w:eastAsia="Times New Roman"/>
                <w:iCs/>
                <w:sz w:val="24"/>
                <w:szCs w:val="24"/>
                <w:lang w:val="lv-LV"/>
              </w:rPr>
              <w:t>MK Noteikumu projekts</w:t>
            </w:r>
            <w:r w:rsidRPr="00C921F5" w:rsidDel="003D0F93">
              <w:rPr>
                <w:sz w:val="24"/>
                <w:szCs w:val="24"/>
                <w:lang w:val="lv-LV"/>
              </w:rPr>
              <w:t xml:space="preserve"> </w:t>
            </w:r>
            <w:r w:rsidR="00733C32" w:rsidRPr="00C921F5">
              <w:rPr>
                <w:sz w:val="24"/>
                <w:szCs w:val="24"/>
                <w:lang w:val="lv-LV"/>
              </w:rPr>
              <w:t>izpilde tiks nodrošināta Ekonomikas ministrijas</w:t>
            </w:r>
            <w:r w:rsidR="00844176" w:rsidRPr="00C921F5">
              <w:rPr>
                <w:sz w:val="24"/>
                <w:szCs w:val="24"/>
                <w:lang w:val="lv-LV"/>
              </w:rPr>
              <w:t xml:space="preserve"> un </w:t>
            </w:r>
            <w:r w:rsidR="0074545C" w:rsidRPr="00C921F5">
              <w:rPr>
                <w:sz w:val="24"/>
                <w:szCs w:val="24"/>
                <w:lang w:val="lv-LV"/>
              </w:rPr>
              <w:t>akciju sabiedrības</w:t>
            </w:r>
            <w:r w:rsidR="00733C32" w:rsidRPr="00C921F5">
              <w:rPr>
                <w:sz w:val="24"/>
                <w:szCs w:val="24"/>
                <w:lang w:val="lv-LV"/>
              </w:rPr>
              <w:t xml:space="preserve"> “Altum” </w:t>
            </w:r>
            <w:r w:rsidR="00844176" w:rsidRPr="00C921F5">
              <w:rPr>
                <w:sz w:val="24"/>
                <w:szCs w:val="24"/>
                <w:lang w:val="lv-LV"/>
              </w:rPr>
              <w:t xml:space="preserve">esošo funkciju </w:t>
            </w:r>
            <w:r w:rsidR="002B7681" w:rsidRPr="00C921F5">
              <w:rPr>
                <w:sz w:val="24"/>
                <w:szCs w:val="24"/>
                <w:lang w:val="lv-LV"/>
              </w:rPr>
              <w:t xml:space="preserve">un cilvēkresursu </w:t>
            </w:r>
            <w:r w:rsidR="00844176" w:rsidRPr="00C921F5">
              <w:rPr>
                <w:sz w:val="24"/>
                <w:szCs w:val="24"/>
                <w:lang w:val="lv-LV"/>
              </w:rPr>
              <w:t>ietvaros</w:t>
            </w:r>
            <w:r w:rsidR="002B7681" w:rsidRPr="00C921F5">
              <w:rPr>
                <w:sz w:val="24"/>
                <w:szCs w:val="24"/>
                <w:lang w:val="lv-LV"/>
              </w:rPr>
              <w:t>, kā arī nav paredzēta jaunu institūciju izveide, esošu institūciju likvidācija vai reorganizācija</w:t>
            </w:r>
            <w:r w:rsidR="00844176" w:rsidRPr="00C921F5">
              <w:rPr>
                <w:sz w:val="24"/>
                <w:szCs w:val="24"/>
                <w:lang w:val="lv-LV"/>
              </w:rPr>
              <w:t>.</w:t>
            </w:r>
          </w:p>
        </w:tc>
      </w:tr>
      <w:tr w:rsidR="00844176" w:rsidRPr="00C921F5" w14:paraId="2EBACAF6" w14:textId="77777777" w:rsidTr="00240921">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921F5" w:rsidRDefault="00844176" w:rsidP="00B043DE">
            <w:pPr>
              <w:contextualSpacing/>
              <w:rPr>
                <w:rFonts w:eastAsia="Times New Roman"/>
                <w:sz w:val="24"/>
                <w:szCs w:val="24"/>
                <w:lang w:val="lv-LV" w:eastAsia="lv-LV"/>
              </w:rPr>
            </w:pPr>
            <w:r w:rsidRPr="00C921F5">
              <w:rPr>
                <w:sz w:val="24"/>
                <w:szCs w:val="24"/>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921F5" w:rsidRDefault="00844176" w:rsidP="00B043DE">
            <w:pPr>
              <w:contextualSpacing/>
              <w:jc w:val="both"/>
              <w:rPr>
                <w:rFonts w:eastAsia="Times New Roman"/>
                <w:sz w:val="24"/>
                <w:szCs w:val="24"/>
                <w:lang w:val="lv-LV" w:eastAsia="lv-LV"/>
              </w:rPr>
            </w:pPr>
            <w:r w:rsidRPr="00C921F5">
              <w:rPr>
                <w:rFonts w:eastAsia="Times New Roman"/>
                <w:sz w:val="24"/>
                <w:szCs w:val="24"/>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921F5" w:rsidRDefault="00844176" w:rsidP="00B043DE">
            <w:pPr>
              <w:contextualSpacing/>
              <w:jc w:val="both"/>
              <w:rPr>
                <w:rFonts w:eastAsia="Times New Roman"/>
                <w:sz w:val="24"/>
                <w:szCs w:val="24"/>
                <w:lang w:val="lv-LV" w:eastAsia="lv-LV"/>
              </w:rPr>
            </w:pPr>
            <w:r w:rsidRPr="00C921F5">
              <w:rPr>
                <w:rFonts w:eastAsia="Times New Roman"/>
                <w:sz w:val="24"/>
                <w:szCs w:val="24"/>
                <w:lang w:val="lv-LV" w:eastAsia="lv-LV"/>
              </w:rPr>
              <w:t>Nav</w:t>
            </w:r>
          </w:p>
        </w:tc>
      </w:tr>
    </w:tbl>
    <w:p w14:paraId="44C4F269" w14:textId="77777777" w:rsidR="00FA4414" w:rsidRDefault="00FA4414" w:rsidP="00B043DE">
      <w:pPr>
        <w:contextualSpacing/>
        <w:jc w:val="both"/>
        <w:rPr>
          <w:rFonts w:eastAsia="Times New Roman"/>
          <w:iCs/>
          <w:sz w:val="24"/>
          <w:szCs w:val="24"/>
          <w:lang w:val="lv-LV"/>
        </w:rPr>
      </w:pPr>
    </w:p>
    <w:p w14:paraId="3C97E095" w14:textId="77777777" w:rsidR="00FA4414" w:rsidRDefault="00FA4414" w:rsidP="003D0F93">
      <w:pPr>
        <w:ind w:firstLine="709"/>
        <w:jc w:val="both"/>
        <w:rPr>
          <w:sz w:val="24"/>
          <w:szCs w:val="24"/>
          <w:lang w:val="lv-LV"/>
        </w:rPr>
      </w:pPr>
    </w:p>
    <w:p w14:paraId="67755341" w14:textId="7FA01E99" w:rsidR="003D0F93" w:rsidRPr="0043788C" w:rsidRDefault="003D0F93" w:rsidP="003D0F93">
      <w:pPr>
        <w:ind w:firstLine="709"/>
        <w:jc w:val="both"/>
        <w:rPr>
          <w:b/>
          <w:bCs/>
          <w:sz w:val="24"/>
          <w:szCs w:val="24"/>
          <w:lang w:val="lv-LV"/>
        </w:rPr>
      </w:pPr>
      <w:r w:rsidRPr="0043788C">
        <w:rPr>
          <w:b/>
          <w:bCs/>
          <w:sz w:val="24"/>
          <w:szCs w:val="24"/>
          <w:lang w:val="lv-LV"/>
        </w:rPr>
        <w:t>Ekonomikas ministrs</w:t>
      </w:r>
      <w:r w:rsidRPr="0043788C">
        <w:rPr>
          <w:b/>
          <w:bCs/>
          <w:sz w:val="24"/>
          <w:szCs w:val="24"/>
          <w:lang w:val="lv-LV"/>
        </w:rPr>
        <w:tab/>
      </w:r>
      <w:r w:rsidRPr="0043788C">
        <w:rPr>
          <w:b/>
          <w:bCs/>
          <w:sz w:val="24"/>
          <w:szCs w:val="24"/>
          <w:lang w:val="lv-LV"/>
        </w:rPr>
        <w:tab/>
      </w:r>
      <w:r w:rsidRPr="0043788C">
        <w:rPr>
          <w:b/>
          <w:bCs/>
          <w:sz w:val="24"/>
          <w:szCs w:val="24"/>
          <w:lang w:val="lv-LV"/>
        </w:rPr>
        <w:tab/>
      </w:r>
      <w:r w:rsidRPr="0043788C">
        <w:rPr>
          <w:b/>
          <w:bCs/>
          <w:sz w:val="24"/>
          <w:szCs w:val="24"/>
          <w:lang w:val="lv-LV"/>
        </w:rPr>
        <w:tab/>
      </w:r>
      <w:r w:rsidRPr="0043788C">
        <w:rPr>
          <w:b/>
          <w:bCs/>
          <w:sz w:val="24"/>
          <w:szCs w:val="24"/>
          <w:lang w:val="lv-LV"/>
        </w:rPr>
        <w:tab/>
        <w:t xml:space="preserve">Jānis </w:t>
      </w:r>
      <w:proofErr w:type="spellStart"/>
      <w:r w:rsidRPr="0043788C">
        <w:rPr>
          <w:b/>
          <w:bCs/>
          <w:sz w:val="24"/>
          <w:szCs w:val="24"/>
          <w:lang w:val="lv-LV"/>
        </w:rPr>
        <w:t>Vitenbergs</w:t>
      </w:r>
      <w:proofErr w:type="spellEnd"/>
    </w:p>
    <w:p w14:paraId="094450C6" w14:textId="77777777" w:rsidR="00FA4414" w:rsidRPr="0043788C" w:rsidRDefault="003D0F93" w:rsidP="00BB1455">
      <w:pPr>
        <w:rPr>
          <w:b/>
          <w:bCs/>
          <w:sz w:val="24"/>
          <w:szCs w:val="24"/>
          <w:lang w:val="lv-LV"/>
        </w:rPr>
      </w:pPr>
      <w:r w:rsidRPr="0043788C">
        <w:rPr>
          <w:b/>
          <w:bCs/>
          <w:sz w:val="24"/>
          <w:szCs w:val="24"/>
          <w:lang w:val="lv-LV"/>
        </w:rPr>
        <w:tab/>
      </w:r>
    </w:p>
    <w:p w14:paraId="27C10C4D" w14:textId="77777777" w:rsidR="00FA4414" w:rsidRPr="0043788C" w:rsidRDefault="00FA4414" w:rsidP="00BB1455">
      <w:pPr>
        <w:rPr>
          <w:b/>
          <w:bCs/>
          <w:sz w:val="24"/>
          <w:szCs w:val="24"/>
          <w:lang w:val="lv-LV"/>
        </w:rPr>
      </w:pPr>
    </w:p>
    <w:p w14:paraId="41146CA6" w14:textId="77777777" w:rsidR="00FA4414" w:rsidRPr="0043788C" w:rsidRDefault="00FA4414" w:rsidP="00BB1455">
      <w:pPr>
        <w:rPr>
          <w:b/>
          <w:bCs/>
          <w:sz w:val="24"/>
          <w:szCs w:val="24"/>
          <w:lang w:val="lv-LV"/>
        </w:rPr>
      </w:pPr>
    </w:p>
    <w:p w14:paraId="7EA4A4E0" w14:textId="3401B89F" w:rsidR="003D0F93" w:rsidRPr="0043788C" w:rsidRDefault="003D0F93" w:rsidP="00FA4414">
      <w:pPr>
        <w:ind w:firstLine="709"/>
        <w:rPr>
          <w:b/>
          <w:bCs/>
          <w:sz w:val="24"/>
          <w:szCs w:val="24"/>
          <w:lang w:val="lv-LV"/>
        </w:rPr>
      </w:pPr>
      <w:r w:rsidRPr="0043788C">
        <w:rPr>
          <w:b/>
          <w:bCs/>
          <w:sz w:val="24"/>
          <w:szCs w:val="24"/>
          <w:lang w:val="lv-LV"/>
        </w:rPr>
        <w:t>Vīza:</w:t>
      </w:r>
    </w:p>
    <w:p w14:paraId="32F48691" w14:textId="1B03DA18" w:rsidR="00A1427D" w:rsidRDefault="003D0F93" w:rsidP="00893716">
      <w:pPr>
        <w:tabs>
          <w:tab w:val="left" w:pos="6237"/>
        </w:tabs>
        <w:ind w:firstLine="720"/>
        <w:contextualSpacing/>
        <w:rPr>
          <w:b/>
          <w:bCs/>
          <w:sz w:val="24"/>
          <w:szCs w:val="24"/>
          <w:lang w:val="lv-LV"/>
        </w:rPr>
      </w:pPr>
      <w:bookmarkStart w:id="6" w:name="_GoBack"/>
      <w:r w:rsidRPr="0043788C">
        <w:rPr>
          <w:b/>
          <w:bCs/>
          <w:sz w:val="24"/>
          <w:szCs w:val="24"/>
          <w:lang w:val="lv-LV"/>
        </w:rPr>
        <w:t xml:space="preserve">Valsts </w:t>
      </w:r>
      <w:r w:rsidR="00BB1455" w:rsidRPr="0043788C">
        <w:rPr>
          <w:b/>
          <w:bCs/>
          <w:sz w:val="24"/>
          <w:szCs w:val="24"/>
          <w:lang w:val="lv-LV"/>
        </w:rPr>
        <w:t>sekretār</w:t>
      </w:r>
      <w:r w:rsidR="00A1427D">
        <w:rPr>
          <w:b/>
          <w:bCs/>
          <w:sz w:val="24"/>
          <w:szCs w:val="24"/>
          <w:lang w:val="lv-LV"/>
        </w:rPr>
        <w:t xml:space="preserve">a vietā – </w:t>
      </w:r>
    </w:p>
    <w:p w14:paraId="3BBE9E2B" w14:textId="48D91380" w:rsidR="003D0F93" w:rsidRPr="0043788C" w:rsidRDefault="00A1427D" w:rsidP="00893716">
      <w:pPr>
        <w:tabs>
          <w:tab w:val="left" w:pos="6237"/>
        </w:tabs>
        <w:ind w:firstLine="720"/>
        <w:contextualSpacing/>
        <w:rPr>
          <w:b/>
          <w:bCs/>
          <w:sz w:val="24"/>
          <w:szCs w:val="24"/>
          <w:lang w:val="lv-LV"/>
        </w:rPr>
      </w:pPr>
      <w:r>
        <w:rPr>
          <w:b/>
          <w:bCs/>
          <w:sz w:val="24"/>
          <w:szCs w:val="24"/>
          <w:lang w:val="lv-LV"/>
        </w:rPr>
        <w:t>Valsts sekretāra vietniece</w:t>
      </w:r>
      <w:r w:rsidR="00893716">
        <w:rPr>
          <w:b/>
          <w:bCs/>
          <w:sz w:val="24"/>
          <w:szCs w:val="24"/>
          <w:lang w:val="lv-LV"/>
        </w:rPr>
        <w:tab/>
      </w:r>
      <w:r w:rsidR="00893716">
        <w:rPr>
          <w:b/>
          <w:bCs/>
          <w:sz w:val="24"/>
          <w:szCs w:val="24"/>
          <w:lang w:val="lv-LV"/>
        </w:rPr>
        <w:tab/>
      </w:r>
      <w:r>
        <w:rPr>
          <w:b/>
          <w:bCs/>
          <w:sz w:val="24"/>
          <w:szCs w:val="24"/>
          <w:lang w:val="lv-LV"/>
        </w:rPr>
        <w:t>Zaiga Liepiņa</w:t>
      </w:r>
    </w:p>
    <w:bookmarkEnd w:id="6"/>
    <w:p w14:paraId="0B7FC0B1" w14:textId="7DF5496B" w:rsidR="003D0F93" w:rsidRPr="00C921F5" w:rsidRDefault="003D0F93" w:rsidP="00BB1455">
      <w:pPr>
        <w:tabs>
          <w:tab w:val="left" w:pos="6840"/>
        </w:tabs>
        <w:jc w:val="both"/>
        <w:rPr>
          <w:sz w:val="24"/>
          <w:szCs w:val="24"/>
          <w:lang w:val="lv-LV"/>
        </w:rPr>
      </w:pPr>
      <w:r w:rsidRPr="00C921F5">
        <w:rPr>
          <w:sz w:val="24"/>
          <w:szCs w:val="24"/>
          <w:lang w:val="lv-LV"/>
        </w:rPr>
        <w:tab/>
      </w:r>
    </w:p>
    <w:sectPr w:rsidR="003D0F93" w:rsidRPr="00C921F5" w:rsidSect="006064F8">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F10A" w14:textId="77777777" w:rsidR="000C6026" w:rsidRDefault="000C6026" w:rsidP="006B2FEF">
      <w:r>
        <w:separator/>
      </w:r>
    </w:p>
  </w:endnote>
  <w:endnote w:type="continuationSeparator" w:id="0">
    <w:p w14:paraId="773E7CA9" w14:textId="77777777" w:rsidR="000C6026" w:rsidRDefault="000C6026" w:rsidP="006B2FEF">
      <w:r>
        <w:continuationSeparator/>
      </w:r>
    </w:p>
  </w:endnote>
  <w:endnote w:type="continuationNotice" w:id="1">
    <w:p w14:paraId="6B3FE1E2" w14:textId="77777777" w:rsidR="000C6026" w:rsidRDefault="000C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E883" w14:textId="77777777" w:rsidR="00EB7104" w:rsidRDefault="00EB7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4F74" w14:textId="04525624" w:rsidR="002F4637" w:rsidRPr="00893716" w:rsidRDefault="002F4637" w:rsidP="00893716">
    <w:pPr>
      <w:pStyle w:val="Footer"/>
      <w:jc w:val="both"/>
      <w:rPr>
        <w:lang w:val="lv-LV"/>
      </w:rPr>
    </w:pPr>
    <w:r w:rsidRPr="0014051E">
      <w:rPr>
        <w:lang w:val="lv-LV"/>
      </w:rPr>
      <w:t>EM</w:t>
    </w:r>
    <w:r>
      <w:rPr>
        <w:lang w:val="lv-LV"/>
      </w:rPr>
      <w:t>An</w:t>
    </w:r>
    <w:r w:rsidRPr="0014051E">
      <w:rPr>
        <w:lang w:val="lv-LV"/>
      </w:rPr>
      <w:t>ot_</w:t>
    </w:r>
    <w:r>
      <w:rPr>
        <w:lang w:val="lv-LV"/>
      </w:rPr>
      <w:t>0</w:t>
    </w:r>
    <w:r w:rsidR="00EB7104">
      <w:rPr>
        <w:lang w:val="lv-LV"/>
      </w:rPr>
      <w:t>9</w:t>
    </w:r>
    <w:r>
      <w:rPr>
        <w:lang w:val="lv-LV"/>
      </w:rPr>
      <w:t>07</w:t>
    </w:r>
    <w:r w:rsidRPr="0014051E">
      <w:rPr>
        <w:lang w:val="lv-LV"/>
      </w:rPr>
      <w:t>20_LielGarant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B8FB" w14:textId="07F63AF0" w:rsidR="002F4637" w:rsidRPr="0014051E" w:rsidRDefault="002F4637" w:rsidP="0014051E">
    <w:pPr>
      <w:pStyle w:val="Footer"/>
      <w:jc w:val="both"/>
      <w:rPr>
        <w:lang w:val="lv-LV"/>
      </w:rPr>
    </w:pPr>
    <w:r w:rsidRPr="0014051E">
      <w:rPr>
        <w:lang w:val="lv-LV"/>
      </w:rPr>
      <w:t>EM</w:t>
    </w:r>
    <w:r>
      <w:rPr>
        <w:lang w:val="lv-LV"/>
      </w:rPr>
      <w:t>An</w:t>
    </w:r>
    <w:r w:rsidRPr="0014051E">
      <w:rPr>
        <w:lang w:val="lv-LV"/>
      </w:rPr>
      <w:t>ot_</w:t>
    </w:r>
    <w:r>
      <w:rPr>
        <w:lang w:val="lv-LV"/>
      </w:rPr>
      <w:t>0</w:t>
    </w:r>
    <w:r w:rsidR="00EB7104">
      <w:rPr>
        <w:lang w:val="lv-LV"/>
      </w:rPr>
      <w:t>9</w:t>
    </w:r>
    <w:r>
      <w:rPr>
        <w:lang w:val="lv-LV"/>
      </w:rPr>
      <w:t>07</w:t>
    </w:r>
    <w:r w:rsidRPr="0014051E">
      <w:rPr>
        <w:lang w:val="lv-LV"/>
      </w:rPr>
      <w:t>20_LielGarant</w:t>
    </w:r>
  </w:p>
  <w:p w14:paraId="2658AF59" w14:textId="77777777" w:rsidR="002F4637" w:rsidRDefault="002F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9A83" w14:textId="77777777" w:rsidR="000C6026" w:rsidRDefault="000C6026" w:rsidP="006B2FEF">
      <w:r>
        <w:separator/>
      </w:r>
    </w:p>
  </w:footnote>
  <w:footnote w:type="continuationSeparator" w:id="0">
    <w:p w14:paraId="24ACA880" w14:textId="77777777" w:rsidR="000C6026" w:rsidRDefault="000C6026" w:rsidP="006B2FEF">
      <w:r>
        <w:continuationSeparator/>
      </w:r>
    </w:p>
  </w:footnote>
  <w:footnote w:type="continuationNotice" w:id="1">
    <w:p w14:paraId="52484DFE" w14:textId="77777777" w:rsidR="000C6026" w:rsidRDefault="000C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E9FE" w14:textId="77777777" w:rsidR="00EB7104" w:rsidRDefault="00EB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01F41646" w:rsidR="002F4637" w:rsidRPr="005A1518" w:rsidRDefault="002F4637"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07B6D">
          <w:rPr>
            <w:noProof/>
            <w:sz w:val="24"/>
            <w:szCs w:val="24"/>
          </w:rPr>
          <w:t>11</w:t>
        </w:r>
        <w:r w:rsidRPr="00B014C2">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FA2D" w14:textId="77777777" w:rsidR="00EB7104" w:rsidRDefault="00EB7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8"/>
  </w:num>
  <w:num w:numId="7">
    <w:abstractNumId w:val="7"/>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B9C"/>
    <w:rsid w:val="000058AA"/>
    <w:rsid w:val="0000653D"/>
    <w:rsid w:val="00007491"/>
    <w:rsid w:val="0001048C"/>
    <w:rsid w:val="00013B61"/>
    <w:rsid w:val="00014B9F"/>
    <w:rsid w:val="00016159"/>
    <w:rsid w:val="0002003C"/>
    <w:rsid w:val="000231D2"/>
    <w:rsid w:val="000240CA"/>
    <w:rsid w:val="00024ACB"/>
    <w:rsid w:val="00024D9D"/>
    <w:rsid w:val="00024EF9"/>
    <w:rsid w:val="0002596F"/>
    <w:rsid w:val="00026CEC"/>
    <w:rsid w:val="00026F18"/>
    <w:rsid w:val="0003012D"/>
    <w:rsid w:val="00030B7E"/>
    <w:rsid w:val="0003245D"/>
    <w:rsid w:val="00032471"/>
    <w:rsid w:val="0003265E"/>
    <w:rsid w:val="00033F5A"/>
    <w:rsid w:val="00035C7B"/>
    <w:rsid w:val="000430AC"/>
    <w:rsid w:val="0004380E"/>
    <w:rsid w:val="00044683"/>
    <w:rsid w:val="00044743"/>
    <w:rsid w:val="00045B58"/>
    <w:rsid w:val="00045F86"/>
    <w:rsid w:val="00047095"/>
    <w:rsid w:val="00047962"/>
    <w:rsid w:val="000527A4"/>
    <w:rsid w:val="00061CA5"/>
    <w:rsid w:val="000665BC"/>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9743E"/>
    <w:rsid w:val="000A0059"/>
    <w:rsid w:val="000A14E3"/>
    <w:rsid w:val="000A3654"/>
    <w:rsid w:val="000A37C3"/>
    <w:rsid w:val="000A38DA"/>
    <w:rsid w:val="000A44CE"/>
    <w:rsid w:val="000A4B5A"/>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6026"/>
    <w:rsid w:val="000C7F31"/>
    <w:rsid w:val="000D2474"/>
    <w:rsid w:val="000D3D56"/>
    <w:rsid w:val="000D3D65"/>
    <w:rsid w:val="000D43D9"/>
    <w:rsid w:val="000D74B9"/>
    <w:rsid w:val="000E257B"/>
    <w:rsid w:val="000E53C3"/>
    <w:rsid w:val="000E56F8"/>
    <w:rsid w:val="000E5DD2"/>
    <w:rsid w:val="000E63F3"/>
    <w:rsid w:val="000F0A62"/>
    <w:rsid w:val="000F0E0E"/>
    <w:rsid w:val="000F25D2"/>
    <w:rsid w:val="000F2EA7"/>
    <w:rsid w:val="000F4230"/>
    <w:rsid w:val="001001F5"/>
    <w:rsid w:val="00102922"/>
    <w:rsid w:val="00102B0D"/>
    <w:rsid w:val="00102B1D"/>
    <w:rsid w:val="00104BDD"/>
    <w:rsid w:val="00105A7C"/>
    <w:rsid w:val="00105D17"/>
    <w:rsid w:val="00110128"/>
    <w:rsid w:val="001133E7"/>
    <w:rsid w:val="0011606F"/>
    <w:rsid w:val="0012177A"/>
    <w:rsid w:val="0012624C"/>
    <w:rsid w:val="0013024B"/>
    <w:rsid w:val="00130C79"/>
    <w:rsid w:val="00131C9F"/>
    <w:rsid w:val="00137388"/>
    <w:rsid w:val="00137F96"/>
    <w:rsid w:val="0014051E"/>
    <w:rsid w:val="00142C3C"/>
    <w:rsid w:val="00143BB6"/>
    <w:rsid w:val="00144D8A"/>
    <w:rsid w:val="00145366"/>
    <w:rsid w:val="00146697"/>
    <w:rsid w:val="00146D17"/>
    <w:rsid w:val="00151BBD"/>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61A"/>
    <w:rsid w:val="00176AB2"/>
    <w:rsid w:val="00177250"/>
    <w:rsid w:val="00177882"/>
    <w:rsid w:val="00177C69"/>
    <w:rsid w:val="00180E2B"/>
    <w:rsid w:val="00183B65"/>
    <w:rsid w:val="00183C0A"/>
    <w:rsid w:val="00186A4D"/>
    <w:rsid w:val="001870A9"/>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2CC8"/>
    <w:rsid w:val="001B6AC0"/>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2EC9"/>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582E"/>
    <w:rsid w:val="00237115"/>
    <w:rsid w:val="00237878"/>
    <w:rsid w:val="00240921"/>
    <w:rsid w:val="002438ED"/>
    <w:rsid w:val="00244A9E"/>
    <w:rsid w:val="00246849"/>
    <w:rsid w:val="00247A0B"/>
    <w:rsid w:val="00250127"/>
    <w:rsid w:val="0025023B"/>
    <w:rsid w:val="00252EEF"/>
    <w:rsid w:val="00253B6C"/>
    <w:rsid w:val="00254651"/>
    <w:rsid w:val="00254901"/>
    <w:rsid w:val="00254AB5"/>
    <w:rsid w:val="0025543B"/>
    <w:rsid w:val="00255BAC"/>
    <w:rsid w:val="0025654B"/>
    <w:rsid w:val="00257981"/>
    <w:rsid w:val="002601C7"/>
    <w:rsid w:val="00261B97"/>
    <w:rsid w:val="002651EA"/>
    <w:rsid w:val="0027369F"/>
    <w:rsid w:val="00273700"/>
    <w:rsid w:val="00273B21"/>
    <w:rsid w:val="00274E8B"/>
    <w:rsid w:val="00277D9D"/>
    <w:rsid w:val="00281C0B"/>
    <w:rsid w:val="00282251"/>
    <w:rsid w:val="0028288E"/>
    <w:rsid w:val="00290EE2"/>
    <w:rsid w:val="00292062"/>
    <w:rsid w:val="002932D2"/>
    <w:rsid w:val="00294593"/>
    <w:rsid w:val="00294DDB"/>
    <w:rsid w:val="00294DF3"/>
    <w:rsid w:val="002957B7"/>
    <w:rsid w:val="002965D2"/>
    <w:rsid w:val="002A0435"/>
    <w:rsid w:val="002A0BC1"/>
    <w:rsid w:val="002A166A"/>
    <w:rsid w:val="002A1AA4"/>
    <w:rsid w:val="002A2C52"/>
    <w:rsid w:val="002A3287"/>
    <w:rsid w:val="002A3EC2"/>
    <w:rsid w:val="002A6400"/>
    <w:rsid w:val="002B071C"/>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21A8"/>
    <w:rsid w:val="002F4637"/>
    <w:rsid w:val="002F5587"/>
    <w:rsid w:val="002F5FB0"/>
    <w:rsid w:val="002F741D"/>
    <w:rsid w:val="00300B84"/>
    <w:rsid w:val="00301A6D"/>
    <w:rsid w:val="0030247A"/>
    <w:rsid w:val="00303955"/>
    <w:rsid w:val="00303F18"/>
    <w:rsid w:val="00304810"/>
    <w:rsid w:val="003048C5"/>
    <w:rsid w:val="003055C3"/>
    <w:rsid w:val="003061FB"/>
    <w:rsid w:val="00306270"/>
    <w:rsid w:val="0031008A"/>
    <w:rsid w:val="00310924"/>
    <w:rsid w:val="0031259B"/>
    <w:rsid w:val="00312B9D"/>
    <w:rsid w:val="00314298"/>
    <w:rsid w:val="0031471E"/>
    <w:rsid w:val="003155FC"/>
    <w:rsid w:val="003176D3"/>
    <w:rsid w:val="00320B22"/>
    <w:rsid w:val="003228DE"/>
    <w:rsid w:val="00323C8A"/>
    <w:rsid w:val="00326096"/>
    <w:rsid w:val="00326AE5"/>
    <w:rsid w:val="00330421"/>
    <w:rsid w:val="0033237E"/>
    <w:rsid w:val="003334FB"/>
    <w:rsid w:val="003344E7"/>
    <w:rsid w:val="0033779C"/>
    <w:rsid w:val="00337AC6"/>
    <w:rsid w:val="00340020"/>
    <w:rsid w:val="00343A18"/>
    <w:rsid w:val="0034476B"/>
    <w:rsid w:val="00346913"/>
    <w:rsid w:val="003469B5"/>
    <w:rsid w:val="00346CE0"/>
    <w:rsid w:val="00354ABE"/>
    <w:rsid w:val="00356492"/>
    <w:rsid w:val="00357C6C"/>
    <w:rsid w:val="00360657"/>
    <w:rsid w:val="00361EDD"/>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6B4"/>
    <w:rsid w:val="00392998"/>
    <w:rsid w:val="00393026"/>
    <w:rsid w:val="0039319E"/>
    <w:rsid w:val="00393E8A"/>
    <w:rsid w:val="003949F0"/>
    <w:rsid w:val="00395460"/>
    <w:rsid w:val="00396152"/>
    <w:rsid w:val="003962D9"/>
    <w:rsid w:val="003972B8"/>
    <w:rsid w:val="00397D0E"/>
    <w:rsid w:val="003A1D77"/>
    <w:rsid w:val="003A24AD"/>
    <w:rsid w:val="003A2C91"/>
    <w:rsid w:val="003A3887"/>
    <w:rsid w:val="003A3B51"/>
    <w:rsid w:val="003A40AD"/>
    <w:rsid w:val="003A66B2"/>
    <w:rsid w:val="003A6A32"/>
    <w:rsid w:val="003A6B7C"/>
    <w:rsid w:val="003A7D7E"/>
    <w:rsid w:val="003B1693"/>
    <w:rsid w:val="003B32EC"/>
    <w:rsid w:val="003B3488"/>
    <w:rsid w:val="003B42F1"/>
    <w:rsid w:val="003B5CB2"/>
    <w:rsid w:val="003B5E55"/>
    <w:rsid w:val="003B5F6A"/>
    <w:rsid w:val="003B623A"/>
    <w:rsid w:val="003B63BE"/>
    <w:rsid w:val="003B7B62"/>
    <w:rsid w:val="003C06E9"/>
    <w:rsid w:val="003C072B"/>
    <w:rsid w:val="003C1ADF"/>
    <w:rsid w:val="003C3D3D"/>
    <w:rsid w:val="003C5836"/>
    <w:rsid w:val="003C585E"/>
    <w:rsid w:val="003C7796"/>
    <w:rsid w:val="003D0189"/>
    <w:rsid w:val="003D0448"/>
    <w:rsid w:val="003D0D82"/>
    <w:rsid w:val="003D0F93"/>
    <w:rsid w:val="003D0FB7"/>
    <w:rsid w:val="003D1A86"/>
    <w:rsid w:val="003D3252"/>
    <w:rsid w:val="003D3CA2"/>
    <w:rsid w:val="003D3E7E"/>
    <w:rsid w:val="003D72E9"/>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0484"/>
    <w:rsid w:val="003F288B"/>
    <w:rsid w:val="003F2AC0"/>
    <w:rsid w:val="003F2B20"/>
    <w:rsid w:val="003F2C34"/>
    <w:rsid w:val="003F2DF0"/>
    <w:rsid w:val="003F30FC"/>
    <w:rsid w:val="003F4281"/>
    <w:rsid w:val="003F45CD"/>
    <w:rsid w:val="003F4CC7"/>
    <w:rsid w:val="003F7C94"/>
    <w:rsid w:val="00401397"/>
    <w:rsid w:val="004038BC"/>
    <w:rsid w:val="00405DEC"/>
    <w:rsid w:val="00406AE2"/>
    <w:rsid w:val="0041036A"/>
    <w:rsid w:val="0041316A"/>
    <w:rsid w:val="004158F6"/>
    <w:rsid w:val="00415A66"/>
    <w:rsid w:val="00416547"/>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9D9"/>
    <w:rsid w:val="00430F61"/>
    <w:rsid w:val="00431019"/>
    <w:rsid w:val="00433EC2"/>
    <w:rsid w:val="00434856"/>
    <w:rsid w:val="00434CD9"/>
    <w:rsid w:val="004352F7"/>
    <w:rsid w:val="0043554A"/>
    <w:rsid w:val="0043619D"/>
    <w:rsid w:val="004362D3"/>
    <w:rsid w:val="0043788C"/>
    <w:rsid w:val="00442A8B"/>
    <w:rsid w:val="00442D1E"/>
    <w:rsid w:val="00443016"/>
    <w:rsid w:val="00444344"/>
    <w:rsid w:val="00445945"/>
    <w:rsid w:val="00450691"/>
    <w:rsid w:val="00450D9C"/>
    <w:rsid w:val="00452140"/>
    <w:rsid w:val="00453BB3"/>
    <w:rsid w:val="00453FC4"/>
    <w:rsid w:val="004545A3"/>
    <w:rsid w:val="00454695"/>
    <w:rsid w:val="0045479C"/>
    <w:rsid w:val="004569B2"/>
    <w:rsid w:val="00457427"/>
    <w:rsid w:val="00457C1C"/>
    <w:rsid w:val="004619FE"/>
    <w:rsid w:val="00462679"/>
    <w:rsid w:val="00463574"/>
    <w:rsid w:val="00464762"/>
    <w:rsid w:val="004666F3"/>
    <w:rsid w:val="00467343"/>
    <w:rsid w:val="0046742A"/>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2EE3"/>
    <w:rsid w:val="004A4356"/>
    <w:rsid w:val="004A5EEF"/>
    <w:rsid w:val="004B0B1D"/>
    <w:rsid w:val="004B3711"/>
    <w:rsid w:val="004B3C41"/>
    <w:rsid w:val="004B61CF"/>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E1476"/>
    <w:rsid w:val="004E4946"/>
    <w:rsid w:val="004E5D38"/>
    <w:rsid w:val="004E603B"/>
    <w:rsid w:val="004E626B"/>
    <w:rsid w:val="004E6C7D"/>
    <w:rsid w:val="004F13BD"/>
    <w:rsid w:val="004F478F"/>
    <w:rsid w:val="00501246"/>
    <w:rsid w:val="0050230D"/>
    <w:rsid w:val="0050364D"/>
    <w:rsid w:val="00503D17"/>
    <w:rsid w:val="00504D00"/>
    <w:rsid w:val="00504D6E"/>
    <w:rsid w:val="00507B6D"/>
    <w:rsid w:val="005116FB"/>
    <w:rsid w:val="0051378F"/>
    <w:rsid w:val="00514B75"/>
    <w:rsid w:val="00515D44"/>
    <w:rsid w:val="00523C60"/>
    <w:rsid w:val="00527164"/>
    <w:rsid w:val="00531AFF"/>
    <w:rsid w:val="00532875"/>
    <w:rsid w:val="00534305"/>
    <w:rsid w:val="00535A41"/>
    <w:rsid w:val="0053691B"/>
    <w:rsid w:val="00537FF8"/>
    <w:rsid w:val="00542913"/>
    <w:rsid w:val="0054467E"/>
    <w:rsid w:val="005464E6"/>
    <w:rsid w:val="0054693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91838"/>
    <w:rsid w:val="00592809"/>
    <w:rsid w:val="00593343"/>
    <w:rsid w:val="00594A83"/>
    <w:rsid w:val="005A0C78"/>
    <w:rsid w:val="005A1518"/>
    <w:rsid w:val="005A3681"/>
    <w:rsid w:val="005A4807"/>
    <w:rsid w:val="005A5A80"/>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15783"/>
    <w:rsid w:val="006231D7"/>
    <w:rsid w:val="006235E9"/>
    <w:rsid w:val="00624A71"/>
    <w:rsid w:val="00626031"/>
    <w:rsid w:val="00630C6C"/>
    <w:rsid w:val="00630ED2"/>
    <w:rsid w:val="00631935"/>
    <w:rsid w:val="006342EF"/>
    <w:rsid w:val="00635C2C"/>
    <w:rsid w:val="00636B91"/>
    <w:rsid w:val="006373FF"/>
    <w:rsid w:val="00637833"/>
    <w:rsid w:val="00641AC4"/>
    <w:rsid w:val="00646A6F"/>
    <w:rsid w:val="0065132D"/>
    <w:rsid w:val="00653397"/>
    <w:rsid w:val="006535C3"/>
    <w:rsid w:val="006553CD"/>
    <w:rsid w:val="006559F5"/>
    <w:rsid w:val="00655F4E"/>
    <w:rsid w:val="0065752A"/>
    <w:rsid w:val="00661782"/>
    <w:rsid w:val="00662C11"/>
    <w:rsid w:val="0066570F"/>
    <w:rsid w:val="00672822"/>
    <w:rsid w:val="006729D2"/>
    <w:rsid w:val="00673B07"/>
    <w:rsid w:val="00673BC6"/>
    <w:rsid w:val="006775B3"/>
    <w:rsid w:val="006815C5"/>
    <w:rsid w:val="00684808"/>
    <w:rsid w:val="0068483E"/>
    <w:rsid w:val="0068688D"/>
    <w:rsid w:val="00687967"/>
    <w:rsid w:val="00690F72"/>
    <w:rsid w:val="0069237F"/>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2082"/>
    <w:rsid w:val="006E3BE5"/>
    <w:rsid w:val="006E5D5B"/>
    <w:rsid w:val="006E67BA"/>
    <w:rsid w:val="006F2362"/>
    <w:rsid w:val="006F47EB"/>
    <w:rsid w:val="006F4B13"/>
    <w:rsid w:val="006F4DE9"/>
    <w:rsid w:val="006F61B5"/>
    <w:rsid w:val="006F681A"/>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232C"/>
    <w:rsid w:val="007262F0"/>
    <w:rsid w:val="00726398"/>
    <w:rsid w:val="00727BE9"/>
    <w:rsid w:val="007314F1"/>
    <w:rsid w:val="00731BE9"/>
    <w:rsid w:val="00731E2B"/>
    <w:rsid w:val="00733C32"/>
    <w:rsid w:val="00735C7B"/>
    <w:rsid w:val="007366D2"/>
    <w:rsid w:val="007420D7"/>
    <w:rsid w:val="0074545C"/>
    <w:rsid w:val="00745C4D"/>
    <w:rsid w:val="0074742D"/>
    <w:rsid w:val="00752DBC"/>
    <w:rsid w:val="00753FF4"/>
    <w:rsid w:val="0075411D"/>
    <w:rsid w:val="0075462B"/>
    <w:rsid w:val="00755531"/>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4B70"/>
    <w:rsid w:val="0077534E"/>
    <w:rsid w:val="00777133"/>
    <w:rsid w:val="0077733C"/>
    <w:rsid w:val="0078045E"/>
    <w:rsid w:val="00780B70"/>
    <w:rsid w:val="00782502"/>
    <w:rsid w:val="007827A4"/>
    <w:rsid w:val="00782847"/>
    <w:rsid w:val="00783777"/>
    <w:rsid w:val="00783D20"/>
    <w:rsid w:val="00785232"/>
    <w:rsid w:val="0078549A"/>
    <w:rsid w:val="007862D0"/>
    <w:rsid w:val="00791D8D"/>
    <w:rsid w:val="0079247D"/>
    <w:rsid w:val="00792559"/>
    <w:rsid w:val="00794F2D"/>
    <w:rsid w:val="007954D3"/>
    <w:rsid w:val="00796159"/>
    <w:rsid w:val="00797AAD"/>
    <w:rsid w:val="007A2F02"/>
    <w:rsid w:val="007A5127"/>
    <w:rsid w:val="007A5C51"/>
    <w:rsid w:val="007A7245"/>
    <w:rsid w:val="007B25FF"/>
    <w:rsid w:val="007B2A03"/>
    <w:rsid w:val="007B41D7"/>
    <w:rsid w:val="007B671D"/>
    <w:rsid w:val="007B70B5"/>
    <w:rsid w:val="007C0DB7"/>
    <w:rsid w:val="007C1585"/>
    <w:rsid w:val="007C1A7D"/>
    <w:rsid w:val="007C1F6C"/>
    <w:rsid w:val="007C4094"/>
    <w:rsid w:val="007C45C5"/>
    <w:rsid w:val="007C608D"/>
    <w:rsid w:val="007D1EA6"/>
    <w:rsid w:val="007D29EC"/>
    <w:rsid w:val="007D50AE"/>
    <w:rsid w:val="007D516C"/>
    <w:rsid w:val="007E1EA6"/>
    <w:rsid w:val="007E2FDE"/>
    <w:rsid w:val="007E4C1F"/>
    <w:rsid w:val="007E50CC"/>
    <w:rsid w:val="007E6491"/>
    <w:rsid w:val="007E6851"/>
    <w:rsid w:val="007E6943"/>
    <w:rsid w:val="007E6E32"/>
    <w:rsid w:val="007F0204"/>
    <w:rsid w:val="007F11B0"/>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1A5D"/>
    <w:rsid w:val="00831DB4"/>
    <w:rsid w:val="00832D85"/>
    <w:rsid w:val="008365EC"/>
    <w:rsid w:val="00837390"/>
    <w:rsid w:val="00840A7F"/>
    <w:rsid w:val="00840A8F"/>
    <w:rsid w:val="00844176"/>
    <w:rsid w:val="00844A32"/>
    <w:rsid w:val="00846A9D"/>
    <w:rsid w:val="008503CA"/>
    <w:rsid w:val="008513A9"/>
    <w:rsid w:val="00852BA6"/>
    <w:rsid w:val="0085308E"/>
    <w:rsid w:val="0085318D"/>
    <w:rsid w:val="008540A7"/>
    <w:rsid w:val="0085557F"/>
    <w:rsid w:val="008565FB"/>
    <w:rsid w:val="008577FA"/>
    <w:rsid w:val="00862580"/>
    <w:rsid w:val="00862834"/>
    <w:rsid w:val="00870E97"/>
    <w:rsid w:val="00871516"/>
    <w:rsid w:val="00871540"/>
    <w:rsid w:val="00871E2F"/>
    <w:rsid w:val="00876284"/>
    <w:rsid w:val="008764DD"/>
    <w:rsid w:val="00877499"/>
    <w:rsid w:val="008814E9"/>
    <w:rsid w:val="00883C37"/>
    <w:rsid w:val="008841EB"/>
    <w:rsid w:val="008854B0"/>
    <w:rsid w:val="0088688D"/>
    <w:rsid w:val="008910B2"/>
    <w:rsid w:val="00891622"/>
    <w:rsid w:val="00891C00"/>
    <w:rsid w:val="008921BE"/>
    <w:rsid w:val="00893716"/>
    <w:rsid w:val="008954FB"/>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B76DE"/>
    <w:rsid w:val="008C01BC"/>
    <w:rsid w:val="008C1990"/>
    <w:rsid w:val="008C4728"/>
    <w:rsid w:val="008C7959"/>
    <w:rsid w:val="008C7CA6"/>
    <w:rsid w:val="008D3653"/>
    <w:rsid w:val="008D4F09"/>
    <w:rsid w:val="008D539E"/>
    <w:rsid w:val="008D65D5"/>
    <w:rsid w:val="008D75EB"/>
    <w:rsid w:val="008D7F23"/>
    <w:rsid w:val="008E12FB"/>
    <w:rsid w:val="008E1F57"/>
    <w:rsid w:val="008E5D85"/>
    <w:rsid w:val="008E751B"/>
    <w:rsid w:val="008F40FA"/>
    <w:rsid w:val="008F5CF9"/>
    <w:rsid w:val="00900C33"/>
    <w:rsid w:val="0090193D"/>
    <w:rsid w:val="009034C7"/>
    <w:rsid w:val="009059B3"/>
    <w:rsid w:val="00906ABE"/>
    <w:rsid w:val="00907D1C"/>
    <w:rsid w:val="00907DD7"/>
    <w:rsid w:val="00910BBC"/>
    <w:rsid w:val="0091182D"/>
    <w:rsid w:val="00911DA2"/>
    <w:rsid w:val="009120EC"/>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349E"/>
    <w:rsid w:val="00954428"/>
    <w:rsid w:val="00954541"/>
    <w:rsid w:val="00954C0F"/>
    <w:rsid w:val="00956218"/>
    <w:rsid w:val="00956C4B"/>
    <w:rsid w:val="00957E64"/>
    <w:rsid w:val="00961605"/>
    <w:rsid w:val="009620C5"/>
    <w:rsid w:val="00963C88"/>
    <w:rsid w:val="00965995"/>
    <w:rsid w:val="00966814"/>
    <w:rsid w:val="00970D58"/>
    <w:rsid w:val="00973167"/>
    <w:rsid w:val="00980174"/>
    <w:rsid w:val="00981A42"/>
    <w:rsid w:val="00985A6C"/>
    <w:rsid w:val="0098604D"/>
    <w:rsid w:val="009921E3"/>
    <w:rsid w:val="0099282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49B9"/>
    <w:rsid w:val="009C5640"/>
    <w:rsid w:val="009C7844"/>
    <w:rsid w:val="009C7F6E"/>
    <w:rsid w:val="009D0A96"/>
    <w:rsid w:val="009D1051"/>
    <w:rsid w:val="009D2037"/>
    <w:rsid w:val="009D3F87"/>
    <w:rsid w:val="009D43B2"/>
    <w:rsid w:val="009E03F3"/>
    <w:rsid w:val="009E5C84"/>
    <w:rsid w:val="009F0FC9"/>
    <w:rsid w:val="009F1A7E"/>
    <w:rsid w:val="00A03E32"/>
    <w:rsid w:val="00A075B0"/>
    <w:rsid w:val="00A11259"/>
    <w:rsid w:val="00A12B76"/>
    <w:rsid w:val="00A13FC8"/>
    <w:rsid w:val="00A1427D"/>
    <w:rsid w:val="00A14369"/>
    <w:rsid w:val="00A154D5"/>
    <w:rsid w:val="00A2067E"/>
    <w:rsid w:val="00A20B99"/>
    <w:rsid w:val="00A21F19"/>
    <w:rsid w:val="00A220C4"/>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0310"/>
    <w:rsid w:val="00A41FB2"/>
    <w:rsid w:val="00A43105"/>
    <w:rsid w:val="00A43A02"/>
    <w:rsid w:val="00A468F1"/>
    <w:rsid w:val="00A471D7"/>
    <w:rsid w:val="00A50812"/>
    <w:rsid w:val="00A541ED"/>
    <w:rsid w:val="00A5551D"/>
    <w:rsid w:val="00A562DC"/>
    <w:rsid w:val="00A56E9B"/>
    <w:rsid w:val="00A56F27"/>
    <w:rsid w:val="00A57518"/>
    <w:rsid w:val="00A60C80"/>
    <w:rsid w:val="00A62D53"/>
    <w:rsid w:val="00A656FE"/>
    <w:rsid w:val="00A66F1F"/>
    <w:rsid w:val="00A71824"/>
    <w:rsid w:val="00A718EE"/>
    <w:rsid w:val="00A73448"/>
    <w:rsid w:val="00A74203"/>
    <w:rsid w:val="00A76C0A"/>
    <w:rsid w:val="00A82313"/>
    <w:rsid w:val="00A86F1C"/>
    <w:rsid w:val="00A87100"/>
    <w:rsid w:val="00A90911"/>
    <w:rsid w:val="00A9174A"/>
    <w:rsid w:val="00A91F1E"/>
    <w:rsid w:val="00A92A07"/>
    <w:rsid w:val="00A93054"/>
    <w:rsid w:val="00A94B68"/>
    <w:rsid w:val="00A969CC"/>
    <w:rsid w:val="00A96C8D"/>
    <w:rsid w:val="00A9708B"/>
    <w:rsid w:val="00AA34A6"/>
    <w:rsid w:val="00AA3A72"/>
    <w:rsid w:val="00AA45BA"/>
    <w:rsid w:val="00AA5F4F"/>
    <w:rsid w:val="00AA6E88"/>
    <w:rsid w:val="00AA71C4"/>
    <w:rsid w:val="00AB3EB4"/>
    <w:rsid w:val="00AB4677"/>
    <w:rsid w:val="00AB6AE8"/>
    <w:rsid w:val="00AB7C59"/>
    <w:rsid w:val="00AC105D"/>
    <w:rsid w:val="00AC16D2"/>
    <w:rsid w:val="00AC24BD"/>
    <w:rsid w:val="00AC5779"/>
    <w:rsid w:val="00AC6178"/>
    <w:rsid w:val="00AD3D79"/>
    <w:rsid w:val="00AD48AA"/>
    <w:rsid w:val="00AD5B91"/>
    <w:rsid w:val="00AD5C75"/>
    <w:rsid w:val="00AD6AEF"/>
    <w:rsid w:val="00AE0055"/>
    <w:rsid w:val="00AE091D"/>
    <w:rsid w:val="00AE3B88"/>
    <w:rsid w:val="00AE4C8F"/>
    <w:rsid w:val="00AE5675"/>
    <w:rsid w:val="00AE57EC"/>
    <w:rsid w:val="00AE64F9"/>
    <w:rsid w:val="00AF1C04"/>
    <w:rsid w:val="00AF21BE"/>
    <w:rsid w:val="00AF2547"/>
    <w:rsid w:val="00AF254A"/>
    <w:rsid w:val="00AF36C9"/>
    <w:rsid w:val="00AF5DF5"/>
    <w:rsid w:val="00AF755E"/>
    <w:rsid w:val="00B0174E"/>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27E25"/>
    <w:rsid w:val="00B300C7"/>
    <w:rsid w:val="00B30CFE"/>
    <w:rsid w:val="00B31DDF"/>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674"/>
    <w:rsid w:val="00B56A48"/>
    <w:rsid w:val="00B56B47"/>
    <w:rsid w:val="00B618A9"/>
    <w:rsid w:val="00B621AF"/>
    <w:rsid w:val="00B63C0B"/>
    <w:rsid w:val="00B641CF"/>
    <w:rsid w:val="00B652FE"/>
    <w:rsid w:val="00B65A0A"/>
    <w:rsid w:val="00B65CF6"/>
    <w:rsid w:val="00B700CC"/>
    <w:rsid w:val="00B72365"/>
    <w:rsid w:val="00B74B38"/>
    <w:rsid w:val="00B762A0"/>
    <w:rsid w:val="00B77E56"/>
    <w:rsid w:val="00B80371"/>
    <w:rsid w:val="00B8269F"/>
    <w:rsid w:val="00B835B4"/>
    <w:rsid w:val="00B837AE"/>
    <w:rsid w:val="00B83EED"/>
    <w:rsid w:val="00B85597"/>
    <w:rsid w:val="00B85A89"/>
    <w:rsid w:val="00B868AD"/>
    <w:rsid w:val="00B86DD0"/>
    <w:rsid w:val="00B91B04"/>
    <w:rsid w:val="00B9742D"/>
    <w:rsid w:val="00BA131A"/>
    <w:rsid w:val="00BA2274"/>
    <w:rsid w:val="00BA31BC"/>
    <w:rsid w:val="00BB0042"/>
    <w:rsid w:val="00BB0BAA"/>
    <w:rsid w:val="00BB1455"/>
    <w:rsid w:val="00BB1EA2"/>
    <w:rsid w:val="00BB480B"/>
    <w:rsid w:val="00BB4E62"/>
    <w:rsid w:val="00BB55EA"/>
    <w:rsid w:val="00BB6326"/>
    <w:rsid w:val="00BB7389"/>
    <w:rsid w:val="00BB7D03"/>
    <w:rsid w:val="00BC31E7"/>
    <w:rsid w:val="00BC37E0"/>
    <w:rsid w:val="00BC38A7"/>
    <w:rsid w:val="00BC578E"/>
    <w:rsid w:val="00BC608E"/>
    <w:rsid w:val="00BC6663"/>
    <w:rsid w:val="00BC69DC"/>
    <w:rsid w:val="00BC7045"/>
    <w:rsid w:val="00BD07F2"/>
    <w:rsid w:val="00BD1C32"/>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600E"/>
    <w:rsid w:val="00C07585"/>
    <w:rsid w:val="00C11685"/>
    <w:rsid w:val="00C1189F"/>
    <w:rsid w:val="00C11F32"/>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6F77"/>
    <w:rsid w:val="00C271E6"/>
    <w:rsid w:val="00C27354"/>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0883"/>
    <w:rsid w:val="00C62D9D"/>
    <w:rsid w:val="00C6333E"/>
    <w:rsid w:val="00C633A8"/>
    <w:rsid w:val="00C64DE5"/>
    <w:rsid w:val="00C65AAE"/>
    <w:rsid w:val="00C66A4D"/>
    <w:rsid w:val="00C67534"/>
    <w:rsid w:val="00C7141D"/>
    <w:rsid w:val="00C72945"/>
    <w:rsid w:val="00C74D5C"/>
    <w:rsid w:val="00C75E3A"/>
    <w:rsid w:val="00C77378"/>
    <w:rsid w:val="00C77C68"/>
    <w:rsid w:val="00C82E0E"/>
    <w:rsid w:val="00C85115"/>
    <w:rsid w:val="00C86896"/>
    <w:rsid w:val="00C86AE5"/>
    <w:rsid w:val="00C921F5"/>
    <w:rsid w:val="00C933DE"/>
    <w:rsid w:val="00C95D2F"/>
    <w:rsid w:val="00CA082C"/>
    <w:rsid w:val="00CA0BCB"/>
    <w:rsid w:val="00CA119A"/>
    <w:rsid w:val="00CA130E"/>
    <w:rsid w:val="00CA373F"/>
    <w:rsid w:val="00CB237D"/>
    <w:rsid w:val="00CB2A80"/>
    <w:rsid w:val="00CB2F00"/>
    <w:rsid w:val="00CB48BB"/>
    <w:rsid w:val="00CB5A26"/>
    <w:rsid w:val="00CB6AC4"/>
    <w:rsid w:val="00CC10D3"/>
    <w:rsid w:val="00CC2DAC"/>
    <w:rsid w:val="00CC4858"/>
    <w:rsid w:val="00CD00B0"/>
    <w:rsid w:val="00CD1C12"/>
    <w:rsid w:val="00CD1D66"/>
    <w:rsid w:val="00CD1F7F"/>
    <w:rsid w:val="00CD2774"/>
    <w:rsid w:val="00CD57A7"/>
    <w:rsid w:val="00CD5FCA"/>
    <w:rsid w:val="00CD7CCA"/>
    <w:rsid w:val="00CE0AC5"/>
    <w:rsid w:val="00CE1DD6"/>
    <w:rsid w:val="00CE261F"/>
    <w:rsid w:val="00CE35E1"/>
    <w:rsid w:val="00CE5541"/>
    <w:rsid w:val="00CE5C53"/>
    <w:rsid w:val="00CE6143"/>
    <w:rsid w:val="00CF0573"/>
    <w:rsid w:val="00CF4607"/>
    <w:rsid w:val="00CF49BB"/>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7C5"/>
    <w:rsid w:val="00D16C33"/>
    <w:rsid w:val="00D177EA"/>
    <w:rsid w:val="00D20CC5"/>
    <w:rsid w:val="00D217AC"/>
    <w:rsid w:val="00D27E4D"/>
    <w:rsid w:val="00D31BE1"/>
    <w:rsid w:val="00D35B96"/>
    <w:rsid w:val="00D35CE6"/>
    <w:rsid w:val="00D37973"/>
    <w:rsid w:val="00D40EAC"/>
    <w:rsid w:val="00D41F46"/>
    <w:rsid w:val="00D4222D"/>
    <w:rsid w:val="00D42754"/>
    <w:rsid w:val="00D455A4"/>
    <w:rsid w:val="00D51DD0"/>
    <w:rsid w:val="00D5265D"/>
    <w:rsid w:val="00D60415"/>
    <w:rsid w:val="00D613AD"/>
    <w:rsid w:val="00D62E09"/>
    <w:rsid w:val="00D64101"/>
    <w:rsid w:val="00D64FFD"/>
    <w:rsid w:val="00D671F5"/>
    <w:rsid w:val="00D67CE9"/>
    <w:rsid w:val="00D67F89"/>
    <w:rsid w:val="00D70AAA"/>
    <w:rsid w:val="00D7105E"/>
    <w:rsid w:val="00D710DA"/>
    <w:rsid w:val="00D71684"/>
    <w:rsid w:val="00D72D32"/>
    <w:rsid w:val="00D7671C"/>
    <w:rsid w:val="00D767E6"/>
    <w:rsid w:val="00D76D7C"/>
    <w:rsid w:val="00D77A0C"/>
    <w:rsid w:val="00D8131B"/>
    <w:rsid w:val="00D81D94"/>
    <w:rsid w:val="00D8420C"/>
    <w:rsid w:val="00D84DE0"/>
    <w:rsid w:val="00D852A4"/>
    <w:rsid w:val="00D85764"/>
    <w:rsid w:val="00D863D0"/>
    <w:rsid w:val="00D90CAE"/>
    <w:rsid w:val="00D93580"/>
    <w:rsid w:val="00D96FBA"/>
    <w:rsid w:val="00D97622"/>
    <w:rsid w:val="00DA1B53"/>
    <w:rsid w:val="00DA1FCE"/>
    <w:rsid w:val="00DA239C"/>
    <w:rsid w:val="00DA3088"/>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26B"/>
    <w:rsid w:val="00DD23E0"/>
    <w:rsid w:val="00DD2637"/>
    <w:rsid w:val="00DD2F35"/>
    <w:rsid w:val="00DD696D"/>
    <w:rsid w:val="00DD7872"/>
    <w:rsid w:val="00DE0896"/>
    <w:rsid w:val="00DE0AD5"/>
    <w:rsid w:val="00DE592E"/>
    <w:rsid w:val="00DE7E62"/>
    <w:rsid w:val="00DF1C2B"/>
    <w:rsid w:val="00DF2F6B"/>
    <w:rsid w:val="00DF3993"/>
    <w:rsid w:val="00DF3FFB"/>
    <w:rsid w:val="00DF6E16"/>
    <w:rsid w:val="00E00218"/>
    <w:rsid w:val="00E018E1"/>
    <w:rsid w:val="00E0333C"/>
    <w:rsid w:val="00E0484E"/>
    <w:rsid w:val="00E07AC4"/>
    <w:rsid w:val="00E10305"/>
    <w:rsid w:val="00E105CB"/>
    <w:rsid w:val="00E1062C"/>
    <w:rsid w:val="00E1136D"/>
    <w:rsid w:val="00E116BA"/>
    <w:rsid w:val="00E11D27"/>
    <w:rsid w:val="00E11D29"/>
    <w:rsid w:val="00E140A6"/>
    <w:rsid w:val="00E15447"/>
    <w:rsid w:val="00E15B7B"/>
    <w:rsid w:val="00E20773"/>
    <w:rsid w:val="00E2107F"/>
    <w:rsid w:val="00E23059"/>
    <w:rsid w:val="00E231E0"/>
    <w:rsid w:val="00E231F4"/>
    <w:rsid w:val="00E30352"/>
    <w:rsid w:val="00E32516"/>
    <w:rsid w:val="00E33146"/>
    <w:rsid w:val="00E374D1"/>
    <w:rsid w:val="00E3772B"/>
    <w:rsid w:val="00E37F50"/>
    <w:rsid w:val="00E40942"/>
    <w:rsid w:val="00E50D80"/>
    <w:rsid w:val="00E50E6F"/>
    <w:rsid w:val="00E51035"/>
    <w:rsid w:val="00E53438"/>
    <w:rsid w:val="00E539B3"/>
    <w:rsid w:val="00E55EC8"/>
    <w:rsid w:val="00E56469"/>
    <w:rsid w:val="00E56D02"/>
    <w:rsid w:val="00E57209"/>
    <w:rsid w:val="00E5727D"/>
    <w:rsid w:val="00E57FAB"/>
    <w:rsid w:val="00E670D3"/>
    <w:rsid w:val="00E713A7"/>
    <w:rsid w:val="00E72404"/>
    <w:rsid w:val="00E73990"/>
    <w:rsid w:val="00E74A15"/>
    <w:rsid w:val="00E7567F"/>
    <w:rsid w:val="00E81F3E"/>
    <w:rsid w:val="00E85807"/>
    <w:rsid w:val="00E86211"/>
    <w:rsid w:val="00E86ACB"/>
    <w:rsid w:val="00E87A2C"/>
    <w:rsid w:val="00E900E0"/>
    <w:rsid w:val="00E90628"/>
    <w:rsid w:val="00E9122B"/>
    <w:rsid w:val="00E93CFE"/>
    <w:rsid w:val="00E953B9"/>
    <w:rsid w:val="00EA0D43"/>
    <w:rsid w:val="00EA0EBB"/>
    <w:rsid w:val="00EA1619"/>
    <w:rsid w:val="00EA49CE"/>
    <w:rsid w:val="00EA4CBA"/>
    <w:rsid w:val="00EA6CD3"/>
    <w:rsid w:val="00EA7EDF"/>
    <w:rsid w:val="00EB184B"/>
    <w:rsid w:val="00EB27FB"/>
    <w:rsid w:val="00EB4B7B"/>
    <w:rsid w:val="00EB7104"/>
    <w:rsid w:val="00EC03E6"/>
    <w:rsid w:val="00EC218F"/>
    <w:rsid w:val="00EC5935"/>
    <w:rsid w:val="00ED053C"/>
    <w:rsid w:val="00ED0911"/>
    <w:rsid w:val="00ED0A46"/>
    <w:rsid w:val="00ED18C9"/>
    <w:rsid w:val="00ED2979"/>
    <w:rsid w:val="00ED377A"/>
    <w:rsid w:val="00ED39FF"/>
    <w:rsid w:val="00ED4255"/>
    <w:rsid w:val="00ED5CF7"/>
    <w:rsid w:val="00ED603E"/>
    <w:rsid w:val="00ED66F5"/>
    <w:rsid w:val="00EE44FE"/>
    <w:rsid w:val="00EE4A54"/>
    <w:rsid w:val="00EE4C51"/>
    <w:rsid w:val="00EE61BD"/>
    <w:rsid w:val="00EE7BA0"/>
    <w:rsid w:val="00EF17FD"/>
    <w:rsid w:val="00EF2591"/>
    <w:rsid w:val="00EF2696"/>
    <w:rsid w:val="00EF55B6"/>
    <w:rsid w:val="00F00E88"/>
    <w:rsid w:val="00F01691"/>
    <w:rsid w:val="00F019FA"/>
    <w:rsid w:val="00F02EB7"/>
    <w:rsid w:val="00F03FAA"/>
    <w:rsid w:val="00F0662E"/>
    <w:rsid w:val="00F066C5"/>
    <w:rsid w:val="00F06F21"/>
    <w:rsid w:val="00F1504D"/>
    <w:rsid w:val="00F15773"/>
    <w:rsid w:val="00F1588A"/>
    <w:rsid w:val="00F205D5"/>
    <w:rsid w:val="00F23C9C"/>
    <w:rsid w:val="00F25C34"/>
    <w:rsid w:val="00F2652E"/>
    <w:rsid w:val="00F26830"/>
    <w:rsid w:val="00F27363"/>
    <w:rsid w:val="00F2791C"/>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44CAF"/>
    <w:rsid w:val="00F51164"/>
    <w:rsid w:val="00F53042"/>
    <w:rsid w:val="00F5311D"/>
    <w:rsid w:val="00F53217"/>
    <w:rsid w:val="00F53508"/>
    <w:rsid w:val="00F53B91"/>
    <w:rsid w:val="00F53CDF"/>
    <w:rsid w:val="00F542FA"/>
    <w:rsid w:val="00F5586F"/>
    <w:rsid w:val="00F626F8"/>
    <w:rsid w:val="00F64D33"/>
    <w:rsid w:val="00F652EB"/>
    <w:rsid w:val="00F669EB"/>
    <w:rsid w:val="00F66C35"/>
    <w:rsid w:val="00F70443"/>
    <w:rsid w:val="00F7097D"/>
    <w:rsid w:val="00F716EF"/>
    <w:rsid w:val="00F7299C"/>
    <w:rsid w:val="00F77D50"/>
    <w:rsid w:val="00F81A0A"/>
    <w:rsid w:val="00F831CE"/>
    <w:rsid w:val="00F838F0"/>
    <w:rsid w:val="00F858D1"/>
    <w:rsid w:val="00F85A24"/>
    <w:rsid w:val="00F86C74"/>
    <w:rsid w:val="00F9016C"/>
    <w:rsid w:val="00F929ED"/>
    <w:rsid w:val="00F9305D"/>
    <w:rsid w:val="00F94D89"/>
    <w:rsid w:val="00F9522F"/>
    <w:rsid w:val="00F96902"/>
    <w:rsid w:val="00FA2346"/>
    <w:rsid w:val="00FA37DC"/>
    <w:rsid w:val="00FA3AB1"/>
    <w:rsid w:val="00FA3B62"/>
    <w:rsid w:val="00FA4038"/>
    <w:rsid w:val="00FA4414"/>
    <w:rsid w:val="00FA4EC5"/>
    <w:rsid w:val="00FA5EE1"/>
    <w:rsid w:val="00FB1472"/>
    <w:rsid w:val="00FC3C5A"/>
    <w:rsid w:val="00FC3C7A"/>
    <w:rsid w:val="00FC4BE9"/>
    <w:rsid w:val="00FC6839"/>
    <w:rsid w:val="00FC6FCC"/>
    <w:rsid w:val="00FD01FC"/>
    <w:rsid w:val="00FD061B"/>
    <w:rsid w:val="00FD31D4"/>
    <w:rsid w:val="00FD5F34"/>
    <w:rsid w:val="00FD5FEF"/>
    <w:rsid w:val="00FD6027"/>
    <w:rsid w:val="00FD70B8"/>
    <w:rsid w:val="00FE2D33"/>
    <w:rsid w:val="00FE3D8C"/>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5/1589/oj/?locale=LV" TargetMode="External"/><Relationship Id="rId13" Type="http://schemas.openxmlformats.org/officeDocument/2006/relationships/hyperlink" Target="http://eur-lex.europa.eu/eli/reg/2014/651/oj/?locale=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1388/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reg/2014/1388/oj/?locale=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likumi.lv/ta/id/31337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DCD3-823C-4844-B8E4-A42033F1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16485</Words>
  <Characters>9397</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22</cp:revision>
  <cp:lastPrinted>2020-05-15T11:33:00Z</cp:lastPrinted>
  <dcterms:created xsi:type="dcterms:W3CDTF">2020-07-08T10:30:00Z</dcterms:created>
  <dcterms:modified xsi:type="dcterms:W3CDTF">2020-07-10T07:32:00Z</dcterms:modified>
</cp:coreProperties>
</file>