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75FE6" w14:textId="77777777" w:rsidR="00371654" w:rsidRDefault="00371654"/>
    <w:tbl>
      <w:tblPr>
        <w:tblW w:w="5000" w:type="pct"/>
        <w:tblCellMar>
          <w:top w:w="30" w:type="dxa"/>
          <w:left w:w="30" w:type="dxa"/>
          <w:bottom w:w="30" w:type="dxa"/>
          <w:right w:w="30" w:type="dxa"/>
        </w:tblCellMar>
        <w:tblLook w:val="04A0" w:firstRow="1" w:lastRow="0" w:firstColumn="1" w:lastColumn="0" w:noHBand="0" w:noVBand="1"/>
      </w:tblPr>
      <w:tblGrid>
        <w:gridCol w:w="14003"/>
      </w:tblGrid>
      <w:tr w:rsidR="00517294" w:rsidRPr="005B6DEE" w14:paraId="3D46A36E" w14:textId="77777777" w:rsidTr="00A07CC6">
        <w:trPr>
          <w:trHeight w:val="150"/>
        </w:trPr>
        <w:tc>
          <w:tcPr>
            <w:tcW w:w="0" w:type="auto"/>
            <w:tcBorders>
              <w:top w:val="nil"/>
              <w:left w:val="nil"/>
              <w:bottom w:val="single" w:sz="6" w:space="0" w:color="414142"/>
              <w:right w:val="nil"/>
            </w:tcBorders>
            <w:hideMark/>
          </w:tcPr>
          <w:p w14:paraId="7CE25FF2" w14:textId="4711A124" w:rsidR="00371654" w:rsidRDefault="005B6DEE" w:rsidP="00371654">
            <w:pPr>
              <w:jc w:val="center"/>
              <w:rPr>
                <w:rFonts w:eastAsia="Times New Roman" w:cs="Times New Roman"/>
                <w:b/>
                <w:bCs/>
                <w:szCs w:val="24"/>
                <w:lang w:eastAsia="lv-LV"/>
              </w:rPr>
            </w:pPr>
            <w:bookmarkStart w:id="0" w:name="680646"/>
            <w:bookmarkStart w:id="1" w:name="n-680646"/>
            <w:bookmarkEnd w:id="0"/>
            <w:bookmarkEnd w:id="1"/>
            <w:r w:rsidRPr="000C5377">
              <w:rPr>
                <w:rFonts w:eastAsia="Times New Roman" w:cs="Times New Roman"/>
                <w:b/>
                <w:bCs/>
                <w:szCs w:val="24"/>
                <w:lang w:eastAsia="lv-LV"/>
              </w:rPr>
              <w:t>Izziņa par atzinumos sniegtajiem iebildumiem</w:t>
            </w:r>
            <w:r w:rsidR="0038346A" w:rsidRPr="000C5377">
              <w:rPr>
                <w:rFonts w:eastAsia="Times New Roman" w:cs="Times New Roman"/>
                <w:b/>
                <w:bCs/>
                <w:szCs w:val="24"/>
                <w:lang w:eastAsia="lv-LV"/>
              </w:rPr>
              <w:t xml:space="preserve"> </w:t>
            </w:r>
          </w:p>
          <w:p w14:paraId="3A1E73A0" w14:textId="155EA554" w:rsidR="00C259D7" w:rsidRPr="00BA7F77" w:rsidRDefault="00275606" w:rsidP="00371654">
            <w:pPr>
              <w:jc w:val="center"/>
              <w:rPr>
                <w:rFonts w:cs="Times New Roman"/>
                <w:b/>
                <w:szCs w:val="24"/>
              </w:rPr>
            </w:pPr>
            <w:r>
              <w:rPr>
                <w:rFonts w:eastAsia="Times New Roman" w:cs="Times New Roman"/>
                <w:b/>
                <w:bCs/>
                <w:szCs w:val="24"/>
                <w:lang w:eastAsia="lv-LV"/>
              </w:rPr>
              <w:t xml:space="preserve">Ministru kabineta </w:t>
            </w:r>
            <w:r>
              <w:rPr>
                <w:b/>
                <w:szCs w:val="24"/>
              </w:rPr>
              <w:t xml:space="preserve">noteikumu </w:t>
            </w:r>
            <w:r w:rsidR="00120A31" w:rsidRPr="000C5377">
              <w:rPr>
                <w:b/>
                <w:szCs w:val="24"/>
              </w:rPr>
              <w:t>projekt</w:t>
            </w:r>
            <w:r w:rsidR="00371654">
              <w:rPr>
                <w:b/>
                <w:szCs w:val="24"/>
              </w:rPr>
              <w:t>am</w:t>
            </w:r>
            <w:r w:rsidR="00120A31" w:rsidRPr="000C5377">
              <w:rPr>
                <w:b/>
                <w:szCs w:val="24"/>
              </w:rPr>
              <w:t xml:space="preserve"> </w:t>
            </w:r>
            <w:r w:rsidR="00120A31" w:rsidRPr="000C5377">
              <w:rPr>
                <w:b/>
                <w:bCs/>
                <w:szCs w:val="24"/>
              </w:rPr>
              <w:t>"</w:t>
            </w:r>
            <w:r w:rsidR="00BA7F77" w:rsidRPr="00BA7F77">
              <w:rPr>
                <w:rFonts w:cs="Times New Roman"/>
                <w:b/>
                <w:szCs w:val="24"/>
              </w:rPr>
              <w:t>Saimnieciskā gada pārskata sagatavošanas kārtība</w:t>
            </w:r>
            <w:r w:rsidR="00120A31" w:rsidRPr="000C5377">
              <w:rPr>
                <w:rStyle w:val="Strong"/>
                <w:b w:val="0"/>
                <w:bCs w:val="0"/>
                <w:szCs w:val="24"/>
              </w:rPr>
              <w:t>"</w:t>
            </w:r>
          </w:p>
        </w:tc>
      </w:tr>
      <w:tr w:rsidR="00517294" w:rsidRPr="005B6DEE" w14:paraId="310A5174" w14:textId="77777777" w:rsidTr="00A07CC6">
        <w:tc>
          <w:tcPr>
            <w:tcW w:w="0" w:type="auto"/>
            <w:tcBorders>
              <w:top w:val="single" w:sz="6" w:space="0" w:color="414142"/>
              <w:left w:val="nil"/>
              <w:bottom w:val="nil"/>
              <w:right w:val="nil"/>
            </w:tcBorders>
            <w:hideMark/>
          </w:tcPr>
          <w:p w14:paraId="59F898CA"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(dokumenta veids un nosaukums)</w:t>
            </w:r>
          </w:p>
        </w:tc>
      </w:tr>
    </w:tbl>
    <w:p w14:paraId="73E3A156" w14:textId="77777777" w:rsidR="005B6DEE" w:rsidRPr="000C5377" w:rsidRDefault="005B6DEE" w:rsidP="005B6DEE">
      <w:pPr>
        <w:shd w:val="clear" w:color="auto" w:fill="FFFFFF"/>
        <w:spacing w:before="100" w:beforeAutospacing="1" w:after="100" w:afterAutospacing="1" w:line="293" w:lineRule="atLeast"/>
        <w:ind w:firstLine="300"/>
        <w:jc w:val="center"/>
        <w:rPr>
          <w:rFonts w:eastAsia="Times New Roman" w:cs="Times New Roman"/>
          <w:b/>
          <w:bCs/>
          <w:szCs w:val="24"/>
          <w:lang w:eastAsia="lv-LV"/>
        </w:rPr>
      </w:pPr>
      <w:r w:rsidRPr="000C5377">
        <w:rPr>
          <w:rFonts w:eastAsia="Times New Roman" w:cs="Times New Roman"/>
          <w:b/>
          <w:bCs/>
          <w:szCs w:val="24"/>
          <w:lang w:eastAsia="lv-LV"/>
        </w:rPr>
        <w:t>I. Jautājumi, par kuriem saskaņošanā vienošanās nav panākta</w:t>
      </w:r>
    </w:p>
    <w:tbl>
      <w:tblPr>
        <w:tblW w:w="497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2705"/>
        <w:gridCol w:w="3106"/>
        <w:gridCol w:w="2722"/>
        <w:gridCol w:w="2421"/>
        <w:gridCol w:w="2415"/>
      </w:tblGrid>
      <w:tr w:rsidR="00AE557C" w:rsidRPr="005B6DEE" w14:paraId="6EF0C069" w14:textId="77777777" w:rsidTr="007568FA">
        <w:trPr>
          <w:trHeight w:val="1019"/>
          <w:tblHeader/>
        </w:trPr>
        <w:tc>
          <w:tcPr>
            <w:tcW w:w="201" w:type="pct"/>
            <w:tcBorders>
              <w:top w:val="outset" w:sz="6" w:space="0" w:color="414142"/>
              <w:left w:val="outset" w:sz="6" w:space="0" w:color="414142"/>
              <w:bottom w:val="outset" w:sz="6" w:space="0" w:color="414142"/>
              <w:right w:val="outset" w:sz="6" w:space="0" w:color="414142"/>
            </w:tcBorders>
            <w:noWrap/>
            <w:vAlign w:val="center"/>
            <w:hideMark/>
          </w:tcPr>
          <w:p w14:paraId="7EB1440B"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Nr.p.k.</w:t>
            </w:r>
          </w:p>
        </w:tc>
        <w:tc>
          <w:tcPr>
            <w:tcW w:w="971" w:type="pct"/>
            <w:tcBorders>
              <w:top w:val="outset" w:sz="6" w:space="0" w:color="414142"/>
              <w:left w:val="outset" w:sz="6" w:space="0" w:color="414142"/>
              <w:bottom w:val="outset" w:sz="6" w:space="0" w:color="414142"/>
              <w:right w:val="outset" w:sz="6" w:space="0" w:color="414142"/>
            </w:tcBorders>
            <w:vAlign w:val="center"/>
            <w:hideMark/>
          </w:tcPr>
          <w:p w14:paraId="718C5819"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Saskaņošanai nosūtītā projekta redakcija (konkrēta punkta (panta) redakcija)</w:t>
            </w:r>
          </w:p>
        </w:tc>
        <w:tc>
          <w:tcPr>
            <w:tcW w:w="1115" w:type="pct"/>
            <w:tcBorders>
              <w:top w:val="outset" w:sz="6" w:space="0" w:color="414142"/>
              <w:left w:val="outset" w:sz="6" w:space="0" w:color="414142"/>
              <w:bottom w:val="outset" w:sz="6" w:space="0" w:color="414142"/>
              <w:right w:val="outset" w:sz="6" w:space="0" w:color="414142"/>
            </w:tcBorders>
            <w:vAlign w:val="center"/>
            <w:hideMark/>
          </w:tcPr>
          <w:p w14:paraId="301CABE6"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Atzinumā norādītais ministrijas (citas institūcijas) iebildums, kā arī saskaņošanā papildus izteiktais iebildums par projekta konkrēto punktu (pantu)</w:t>
            </w:r>
          </w:p>
        </w:tc>
        <w:tc>
          <w:tcPr>
            <w:tcW w:w="977" w:type="pct"/>
            <w:tcBorders>
              <w:top w:val="outset" w:sz="6" w:space="0" w:color="414142"/>
              <w:left w:val="outset" w:sz="6" w:space="0" w:color="414142"/>
              <w:bottom w:val="outset" w:sz="6" w:space="0" w:color="414142"/>
              <w:right w:val="outset" w:sz="6" w:space="0" w:color="414142"/>
            </w:tcBorders>
            <w:vAlign w:val="center"/>
            <w:hideMark/>
          </w:tcPr>
          <w:p w14:paraId="56FB50EC"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Atbildīgās ministrijas pamatojums iebilduma noraidījumam</w:t>
            </w:r>
          </w:p>
        </w:tc>
        <w:tc>
          <w:tcPr>
            <w:tcW w:w="869" w:type="pct"/>
            <w:tcBorders>
              <w:top w:val="outset" w:sz="6" w:space="0" w:color="414142"/>
              <w:left w:val="outset" w:sz="6" w:space="0" w:color="414142"/>
              <w:bottom w:val="outset" w:sz="6" w:space="0" w:color="414142"/>
              <w:right w:val="outset" w:sz="6" w:space="0" w:color="414142"/>
            </w:tcBorders>
            <w:vAlign w:val="center"/>
            <w:hideMark/>
          </w:tcPr>
          <w:p w14:paraId="025C5AAF"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Atzinuma sniedzēja uzturētais iebildums, ja tas atšķiras no atzinumā norādītā iebilduma pamatojuma</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2C0FA319" w14:textId="77777777" w:rsidR="005B6DEE" w:rsidRPr="0027586F" w:rsidRDefault="005B6DEE" w:rsidP="00A07CC6">
            <w:pPr>
              <w:jc w:val="center"/>
              <w:rPr>
                <w:rFonts w:eastAsia="Times New Roman" w:cs="Times New Roman"/>
                <w:sz w:val="20"/>
                <w:szCs w:val="20"/>
                <w:lang w:eastAsia="lv-LV"/>
              </w:rPr>
            </w:pPr>
            <w:r w:rsidRPr="0027586F">
              <w:rPr>
                <w:rFonts w:eastAsia="Times New Roman" w:cs="Times New Roman"/>
                <w:sz w:val="20"/>
                <w:szCs w:val="20"/>
                <w:lang w:eastAsia="lv-LV"/>
              </w:rPr>
              <w:t>Projekta attiecīgā punkta (panta) galīgā redakcija</w:t>
            </w:r>
          </w:p>
        </w:tc>
      </w:tr>
      <w:tr w:rsidR="00AE557C" w:rsidRPr="005B6DEE" w14:paraId="7EDD31E9" w14:textId="77777777" w:rsidTr="007568FA">
        <w:trPr>
          <w:tblHeader/>
        </w:trPr>
        <w:tc>
          <w:tcPr>
            <w:tcW w:w="201" w:type="pct"/>
            <w:tcBorders>
              <w:top w:val="outset" w:sz="6" w:space="0" w:color="414142"/>
              <w:left w:val="outset" w:sz="6" w:space="0" w:color="414142"/>
              <w:bottom w:val="outset" w:sz="6" w:space="0" w:color="414142"/>
              <w:right w:val="outset" w:sz="6" w:space="0" w:color="414142"/>
            </w:tcBorders>
            <w:hideMark/>
          </w:tcPr>
          <w:p w14:paraId="2512742E"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1</w:t>
            </w:r>
          </w:p>
        </w:tc>
        <w:tc>
          <w:tcPr>
            <w:tcW w:w="971" w:type="pct"/>
            <w:tcBorders>
              <w:top w:val="outset" w:sz="6" w:space="0" w:color="414142"/>
              <w:left w:val="outset" w:sz="6" w:space="0" w:color="414142"/>
              <w:bottom w:val="outset" w:sz="6" w:space="0" w:color="414142"/>
              <w:right w:val="outset" w:sz="6" w:space="0" w:color="414142"/>
            </w:tcBorders>
            <w:hideMark/>
          </w:tcPr>
          <w:p w14:paraId="4FFFE240"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2</w:t>
            </w:r>
          </w:p>
        </w:tc>
        <w:tc>
          <w:tcPr>
            <w:tcW w:w="1115" w:type="pct"/>
            <w:tcBorders>
              <w:top w:val="outset" w:sz="6" w:space="0" w:color="414142"/>
              <w:left w:val="outset" w:sz="6" w:space="0" w:color="414142"/>
              <w:bottom w:val="outset" w:sz="6" w:space="0" w:color="414142"/>
              <w:right w:val="outset" w:sz="6" w:space="0" w:color="414142"/>
            </w:tcBorders>
            <w:hideMark/>
          </w:tcPr>
          <w:p w14:paraId="26978D6A"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3</w:t>
            </w:r>
          </w:p>
        </w:tc>
        <w:tc>
          <w:tcPr>
            <w:tcW w:w="977" w:type="pct"/>
            <w:tcBorders>
              <w:top w:val="outset" w:sz="6" w:space="0" w:color="414142"/>
              <w:left w:val="outset" w:sz="6" w:space="0" w:color="414142"/>
              <w:bottom w:val="outset" w:sz="6" w:space="0" w:color="414142"/>
              <w:right w:val="outset" w:sz="6" w:space="0" w:color="414142"/>
            </w:tcBorders>
            <w:hideMark/>
          </w:tcPr>
          <w:p w14:paraId="1F18DF05"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4</w:t>
            </w:r>
          </w:p>
        </w:tc>
        <w:tc>
          <w:tcPr>
            <w:tcW w:w="869" w:type="pct"/>
            <w:tcBorders>
              <w:top w:val="outset" w:sz="6" w:space="0" w:color="414142"/>
              <w:left w:val="outset" w:sz="6" w:space="0" w:color="414142"/>
              <w:bottom w:val="outset" w:sz="6" w:space="0" w:color="414142"/>
              <w:right w:val="outset" w:sz="6" w:space="0" w:color="414142"/>
            </w:tcBorders>
            <w:hideMark/>
          </w:tcPr>
          <w:p w14:paraId="18308F8C" w14:textId="77777777" w:rsidR="005B6DEE" w:rsidRPr="005B6DEE" w:rsidRDefault="005B6DEE" w:rsidP="00A07CC6">
            <w:pPr>
              <w:jc w:val="center"/>
              <w:rPr>
                <w:rFonts w:eastAsia="Times New Roman" w:cs="Times New Roman"/>
                <w:sz w:val="20"/>
                <w:szCs w:val="20"/>
                <w:lang w:eastAsia="lv-LV"/>
              </w:rPr>
            </w:pPr>
            <w:r w:rsidRPr="005B6DEE">
              <w:rPr>
                <w:rFonts w:eastAsia="Times New Roman" w:cs="Times New Roman"/>
                <w:sz w:val="20"/>
                <w:szCs w:val="20"/>
                <w:lang w:eastAsia="lv-LV"/>
              </w:rPr>
              <w:t>5</w:t>
            </w:r>
          </w:p>
        </w:tc>
        <w:tc>
          <w:tcPr>
            <w:tcW w:w="867" w:type="pct"/>
            <w:tcBorders>
              <w:top w:val="outset" w:sz="6" w:space="0" w:color="414142"/>
              <w:left w:val="outset" w:sz="6" w:space="0" w:color="414142"/>
              <w:bottom w:val="outset" w:sz="6" w:space="0" w:color="414142"/>
              <w:right w:val="outset" w:sz="6" w:space="0" w:color="414142"/>
            </w:tcBorders>
            <w:hideMark/>
          </w:tcPr>
          <w:p w14:paraId="19FFA156" w14:textId="77777777" w:rsidR="005B6DEE" w:rsidRPr="0027586F" w:rsidRDefault="005B6DEE" w:rsidP="00A07CC6">
            <w:pPr>
              <w:jc w:val="center"/>
              <w:rPr>
                <w:rFonts w:eastAsia="Times New Roman" w:cs="Times New Roman"/>
                <w:sz w:val="20"/>
                <w:szCs w:val="20"/>
                <w:lang w:eastAsia="lv-LV"/>
              </w:rPr>
            </w:pPr>
            <w:r w:rsidRPr="0027586F">
              <w:rPr>
                <w:rFonts w:eastAsia="Times New Roman" w:cs="Times New Roman"/>
                <w:sz w:val="20"/>
                <w:szCs w:val="20"/>
                <w:lang w:eastAsia="lv-LV"/>
              </w:rPr>
              <w:t>6</w:t>
            </w:r>
          </w:p>
        </w:tc>
      </w:tr>
      <w:tr w:rsidR="00F72E69" w:rsidRPr="005B6DEE" w14:paraId="62C34A3D" w14:textId="77777777" w:rsidTr="001B61A3">
        <w:tc>
          <w:tcPr>
            <w:tcW w:w="201" w:type="pct"/>
            <w:tcBorders>
              <w:top w:val="outset" w:sz="6" w:space="0" w:color="414142"/>
              <w:left w:val="outset" w:sz="6" w:space="0" w:color="414142"/>
              <w:bottom w:val="outset" w:sz="6" w:space="0" w:color="414142"/>
              <w:right w:val="outset" w:sz="6" w:space="0" w:color="414142"/>
            </w:tcBorders>
          </w:tcPr>
          <w:p w14:paraId="30D274FE" w14:textId="7AAD1163" w:rsidR="00F72E69" w:rsidRDefault="001B61A3" w:rsidP="001B61A3">
            <w:pPr>
              <w:jc w:val="center"/>
              <w:rPr>
                <w:rFonts w:eastAsia="Times New Roman" w:cs="Times New Roman"/>
                <w:szCs w:val="24"/>
                <w:lang w:eastAsia="lv-LV"/>
              </w:rPr>
            </w:pPr>
            <w:r>
              <w:rPr>
                <w:rFonts w:eastAsia="Times New Roman" w:cs="Times New Roman"/>
                <w:szCs w:val="24"/>
                <w:lang w:eastAsia="lv-LV"/>
              </w:rPr>
              <w:t>x</w:t>
            </w:r>
          </w:p>
        </w:tc>
        <w:tc>
          <w:tcPr>
            <w:tcW w:w="971" w:type="pct"/>
            <w:tcBorders>
              <w:top w:val="outset" w:sz="6" w:space="0" w:color="414142"/>
              <w:left w:val="outset" w:sz="6" w:space="0" w:color="414142"/>
              <w:bottom w:val="outset" w:sz="6" w:space="0" w:color="414142"/>
              <w:right w:val="outset" w:sz="6" w:space="0" w:color="414142"/>
            </w:tcBorders>
          </w:tcPr>
          <w:p w14:paraId="14DEEE92" w14:textId="6CA8D80A" w:rsidR="00F72E69" w:rsidRDefault="001B61A3" w:rsidP="001B61A3">
            <w:pPr>
              <w:jc w:val="center"/>
              <w:rPr>
                <w:rFonts w:eastAsia="Times New Roman" w:cs="Times New Roman"/>
                <w:sz w:val="20"/>
                <w:szCs w:val="20"/>
                <w:lang w:eastAsia="lv-LV"/>
              </w:rPr>
            </w:pPr>
            <w:r>
              <w:rPr>
                <w:rFonts w:eastAsia="Times New Roman" w:cs="Times New Roman"/>
                <w:sz w:val="20"/>
                <w:szCs w:val="20"/>
                <w:lang w:eastAsia="lv-LV"/>
              </w:rPr>
              <w:t>x</w:t>
            </w:r>
          </w:p>
        </w:tc>
        <w:tc>
          <w:tcPr>
            <w:tcW w:w="1115" w:type="pct"/>
            <w:tcBorders>
              <w:top w:val="outset" w:sz="6" w:space="0" w:color="414142"/>
              <w:left w:val="outset" w:sz="6" w:space="0" w:color="414142"/>
              <w:bottom w:val="outset" w:sz="6" w:space="0" w:color="414142"/>
              <w:right w:val="outset" w:sz="6" w:space="0" w:color="414142"/>
            </w:tcBorders>
          </w:tcPr>
          <w:p w14:paraId="477316A7" w14:textId="171AAD2B" w:rsidR="00F72E69" w:rsidRPr="003925DB" w:rsidRDefault="001B61A3" w:rsidP="001B61A3">
            <w:pPr>
              <w:tabs>
                <w:tab w:val="left" w:pos="0"/>
                <w:tab w:val="left" w:pos="709"/>
                <w:tab w:val="left" w:pos="993"/>
              </w:tabs>
              <w:suppressAutoHyphens/>
              <w:jc w:val="center"/>
              <w:outlineLvl w:val="3"/>
              <w:rPr>
                <w:rFonts w:cs="Times New Roman"/>
                <w:sz w:val="20"/>
                <w:szCs w:val="24"/>
              </w:rPr>
            </w:pPr>
            <w:r>
              <w:rPr>
                <w:rFonts w:cs="Times New Roman"/>
                <w:sz w:val="20"/>
                <w:szCs w:val="24"/>
              </w:rPr>
              <w:t>x</w:t>
            </w:r>
          </w:p>
        </w:tc>
        <w:tc>
          <w:tcPr>
            <w:tcW w:w="977" w:type="pct"/>
            <w:tcBorders>
              <w:top w:val="outset" w:sz="6" w:space="0" w:color="414142"/>
              <w:left w:val="outset" w:sz="6" w:space="0" w:color="414142"/>
              <w:bottom w:val="outset" w:sz="6" w:space="0" w:color="414142"/>
              <w:right w:val="outset" w:sz="6" w:space="0" w:color="414142"/>
            </w:tcBorders>
          </w:tcPr>
          <w:p w14:paraId="2538E6AD" w14:textId="2C8E39A3" w:rsidR="00F72E69" w:rsidRPr="00EB51F0" w:rsidRDefault="001B61A3" w:rsidP="001B61A3">
            <w:pPr>
              <w:jc w:val="center"/>
              <w:rPr>
                <w:rFonts w:eastAsia="Times New Roman" w:cs="Times New Roman"/>
                <w:b/>
                <w:sz w:val="20"/>
                <w:szCs w:val="20"/>
                <w:lang w:eastAsia="lv-LV"/>
              </w:rPr>
            </w:pPr>
            <w:r>
              <w:rPr>
                <w:rFonts w:eastAsia="Times New Roman" w:cs="Times New Roman"/>
                <w:b/>
                <w:sz w:val="20"/>
                <w:szCs w:val="20"/>
                <w:lang w:eastAsia="lv-LV"/>
              </w:rPr>
              <w:t>x</w:t>
            </w:r>
          </w:p>
        </w:tc>
        <w:tc>
          <w:tcPr>
            <w:tcW w:w="869" w:type="pct"/>
            <w:tcBorders>
              <w:top w:val="outset" w:sz="6" w:space="0" w:color="414142"/>
              <w:left w:val="outset" w:sz="6" w:space="0" w:color="414142"/>
              <w:bottom w:val="outset" w:sz="6" w:space="0" w:color="414142"/>
              <w:right w:val="outset" w:sz="6" w:space="0" w:color="414142"/>
            </w:tcBorders>
            <w:shd w:val="clear" w:color="auto" w:fill="auto"/>
          </w:tcPr>
          <w:p w14:paraId="12F644CE" w14:textId="008B92D1" w:rsidR="00F72E69" w:rsidRPr="004C5097" w:rsidRDefault="001B61A3" w:rsidP="001B61A3">
            <w:pPr>
              <w:jc w:val="center"/>
              <w:rPr>
                <w:rFonts w:eastAsia="Times New Roman" w:cs="Times New Roman"/>
                <w:sz w:val="20"/>
                <w:szCs w:val="20"/>
                <w:highlight w:val="yellow"/>
                <w:lang w:eastAsia="lv-LV"/>
              </w:rPr>
            </w:pPr>
            <w:r w:rsidRPr="001B61A3">
              <w:rPr>
                <w:rFonts w:eastAsia="Times New Roman" w:cs="Times New Roman"/>
                <w:sz w:val="20"/>
                <w:szCs w:val="20"/>
                <w:lang w:eastAsia="lv-LV"/>
              </w:rPr>
              <w:t>x</w:t>
            </w:r>
          </w:p>
        </w:tc>
        <w:tc>
          <w:tcPr>
            <w:tcW w:w="867" w:type="pct"/>
            <w:tcBorders>
              <w:top w:val="outset" w:sz="6" w:space="0" w:color="414142"/>
              <w:left w:val="outset" w:sz="6" w:space="0" w:color="414142"/>
              <w:bottom w:val="outset" w:sz="6" w:space="0" w:color="414142"/>
              <w:right w:val="outset" w:sz="6" w:space="0" w:color="414142"/>
            </w:tcBorders>
          </w:tcPr>
          <w:p w14:paraId="0CBA5108" w14:textId="5B4F941A" w:rsidR="00F72E69" w:rsidRDefault="001B61A3" w:rsidP="001B61A3">
            <w:pPr>
              <w:jc w:val="center"/>
              <w:rPr>
                <w:rFonts w:eastAsia="Times New Roman" w:cs="Times New Roman"/>
                <w:sz w:val="20"/>
                <w:szCs w:val="20"/>
                <w:lang w:eastAsia="lv-LV"/>
              </w:rPr>
            </w:pPr>
            <w:r>
              <w:rPr>
                <w:rFonts w:eastAsia="Times New Roman" w:cs="Times New Roman"/>
                <w:sz w:val="20"/>
                <w:szCs w:val="20"/>
                <w:lang w:eastAsia="lv-LV"/>
              </w:rPr>
              <w:t>x</w:t>
            </w:r>
          </w:p>
        </w:tc>
      </w:tr>
    </w:tbl>
    <w:p w14:paraId="21C4BB14" w14:textId="1E173DE1" w:rsidR="005B6DEE" w:rsidRPr="005B6DEE" w:rsidRDefault="005B6DEE" w:rsidP="00725E65">
      <w:pPr>
        <w:shd w:val="clear" w:color="auto" w:fill="FFFFFF"/>
        <w:spacing w:line="293" w:lineRule="atLeast"/>
        <w:rPr>
          <w:rFonts w:eastAsia="Times New Roman" w:cs="Times New Roman"/>
          <w:b/>
          <w:bCs/>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091"/>
        <w:gridCol w:w="8912"/>
      </w:tblGrid>
      <w:tr w:rsidR="00517294" w:rsidRPr="0055023B" w14:paraId="1FFE3643" w14:textId="77777777" w:rsidTr="001522FE">
        <w:tc>
          <w:tcPr>
            <w:tcW w:w="1818" w:type="pct"/>
            <w:tcBorders>
              <w:top w:val="nil"/>
              <w:left w:val="nil"/>
              <w:bottom w:val="nil"/>
              <w:right w:val="nil"/>
            </w:tcBorders>
            <w:noWrap/>
            <w:vAlign w:val="bottom"/>
            <w:hideMark/>
          </w:tcPr>
          <w:p w14:paraId="58018843" w14:textId="77777777" w:rsidR="00371654" w:rsidRDefault="00371654" w:rsidP="005B6DEE">
            <w:pPr>
              <w:rPr>
                <w:rFonts w:eastAsia="Times New Roman" w:cs="Times New Roman"/>
                <w:szCs w:val="24"/>
                <w:lang w:eastAsia="lv-LV"/>
              </w:rPr>
            </w:pPr>
          </w:p>
          <w:p w14:paraId="1349AA83" w14:textId="3E518253" w:rsidR="005B6DEE" w:rsidRPr="00725E65" w:rsidRDefault="005B6DEE" w:rsidP="005B6DEE">
            <w:pPr>
              <w:rPr>
                <w:rFonts w:eastAsia="Times New Roman" w:cs="Times New Roman"/>
                <w:szCs w:val="24"/>
                <w:lang w:eastAsia="lv-LV"/>
              </w:rPr>
            </w:pPr>
            <w:r w:rsidRPr="00725E65">
              <w:rPr>
                <w:rFonts w:eastAsia="Times New Roman" w:cs="Times New Roman"/>
                <w:szCs w:val="24"/>
                <w:lang w:eastAsia="lv-LV"/>
              </w:rPr>
              <w:t>Datums</w:t>
            </w:r>
          </w:p>
        </w:tc>
        <w:tc>
          <w:tcPr>
            <w:tcW w:w="3182" w:type="pct"/>
            <w:tcBorders>
              <w:top w:val="nil"/>
              <w:left w:val="nil"/>
              <w:bottom w:val="single" w:sz="6" w:space="0" w:color="414142"/>
              <w:right w:val="nil"/>
            </w:tcBorders>
            <w:hideMark/>
          </w:tcPr>
          <w:p w14:paraId="4583D041" w14:textId="77777777" w:rsidR="00015328" w:rsidRDefault="00015328" w:rsidP="001522FE">
            <w:pPr>
              <w:rPr>
                <w:rFonts w:eastAsia="Times New Roman" w:cs="Times New Roman"/>
                <w:szCs w:val="24"/>
                <w:lang w:eastAsia="lv-LV"/>
              </w:rPr>
            </w:pPr>
          </w:p>
          <w:p w14:paraId="328CA7E2" w14:textId="4292699B" w:rsidR="001522FE" w:rsidRDefault="001522FE" w:rsidP="001522FE">
            <w:pPr>
              <w:rPr>
                <w:rFonts w:eastAsia="Times New Roman" w:cs="Times New Roman"/>
                <w:szCs w:val="24"/>
                <w:lang w:eastAsia="lv-LV"/>
              </w:rPr>
            </w:pPr>
            <w:r>
              <w:rPr>
                <w:rFonts w:eastAsia="Times New Roman" w:cs="Times New Roman"/>
                <w:szCs w:val="24"/>
                <w:lang w:eastAsia="lv-LV"/>
              </w:rPr>
              <w:t xml:space="preserve">Sanāksme </w:t>
            </w:r>
            <w:r w:rsidR="00015328">
              <w:rPr>
                <w:rFonts w:eastAsia="Times New Roman" w:cs="Times New Roman"/>
                <w:szCs w:val="24"/>
                <w:lang w:eastAsia="lv-LV"/>
              </w:rPr>
              <w:t>2020.gada 22.maijā</w:t>
            </w:r>
            <w:r>
              <w:rPr>
                <w:rFonts w:eastAsia="Times New Roman" w:cs="Times New Roman"/>
                <w:szCs w:val="24"/>
                <w:lang w:eastAsia="lv-LV"/>
              </w:rPr>
              <w:t xml:space="preserve"> </w:t>
            </w:r>
          </w:p>
          <w:p w14:paraId="0C1F1891" w14:textId="34B583C3" w:rsidR="005B6DEE" w:rsidRPr="00725E65" w:rsidRDefault="001522FE" w:rsidP="001522FE">
            <w:pPr>
              <w:rPr>
                <w:rFonts w:eastAsia="Times New Roman" w:cs="Times New Roman"/>
                <w:szCs w:val="24"/>
                <w:lang w:eastAsia="lv-LV"/>
              </w:rPr>
            </w:pPr>
            <w:r>
              <w:rPr>
                <w:rFonts w:eastAsia="Times New Roman" w:cs="Times New Roman"/>
                <w:szCs w:val="24"/>
                <w:lang w:eastAsia="lv-LV"/>
              </w:rPr>
              <w:t>(</w:t>
            </w:r>
            <w:r w:rsidRPr="004913A3">
              <w:rPr>
                <w:u w:val="single"/>
              </w:rPr>
              <w:t>Sanāksme sakarā ar valdības izsludināto ārkārtējo situāciju valsts teritorijā no 13.03</w:t>
            </w:r>
            <w:r>
              <w:rPr>
                <w:u w:val="single"/>
              </w:rPr>
              <w:t>.-09.06.2020. notiek attālināti)</w:t>
            </w:r>
          </w:p>
        </w:tc>
      </w:tr>
      <w:tr w:rsidR="00517294" w:rsidRPr="0055023B" w14:paraId="0F2ECDF6" w14:textId="77777777" w:rsidTr="001522FE">
        <w:trPr>
          <w:trHeight w:val="300"/>
        </w:trPr>
        <w:tc>
          <w:tcPr>
            <w:tcW w:w="1818" w:type="pct"/>
            <w:tcBorders>
              <w:top w:val="nil"/>
              <w:left w:val="nil"/>
              <w:bottom w:val="nil"/>
              <w:right w:val="nil"/>
            </w:tcBorders>
            <w:noWrap/>
            <w:vAlign w:val="bottom"/>
            <w:hideMark/>
          </w:tcPr>
          <w:p w14:paraId="76747C08" w14:textId="77777777" w:rsidR="005B6DEE" w:rsidRPr="00725E65" w:rsidRDefault="005B6DEE" w:rsidP="005B6DEE">
            <w:pPr>
              <w:rPr>
                <w:rFonts w:eastAsia="Times New Roman" w:cs="Times New Roman"/>
                <w:szCs w:val="24"/>
                <w:lang w:eastAsia="lv-LV"/>
              </w:rPr>
            </w:pPr>
            <w:r w:rsidRPr="00725E65">
              <w:rPr>
                <w:rFonts w:eastAsia="Times New Roman" w:cs="Times New Roman"/>
                <w:szCs w:val="24"/>
                <w:lang w:eastAsia="lv-LV"/>
              </w:rPr>
              <w:t> </w:t>
            </w:r>
          </w:p>
        </w:tc>
        <w:tc>
          <w:tcPr>
            <w:tcW w:w="3182" w:type="pct"/>
            <w:tcBorders>
              <w:top w:val="single" w:sz="6" w:space="0" w:color="414142"/>
              <w:left w:val="nil"/>
              <w:bottom w:val="nil"/>
              <w:right w:val="nil"/>
            </w:tcBorders>
            <w:hideMark/>
          </w:tcPr>
          <w:p w14:paraId="6DC73AFC" w14:textId="77777777" w:rsidR="005B6DEE" w:rsidRPr="00725E65" w:rsidRDefault="005B6DEE" w:rsidP="005B6DEE">
            <w:pPr>
              <w:rPr>
                <w:rFonts w:eastAsia="Times New Roman" w:cs="Times New Roman"/>
                <w:szCs w:val="24"/>
                <w:lang w:eastAsia="lv-LV"/>
              </w:rPr>
            </w:pPr>
            <w:r w:rsidRPr="00725E65">
              <w:rPr>
                <w:rFonts w:eastAsia="Times New Roman" w:cs="Times New Roman"/>
                <w:szCs w:val="24"/>
                <w:lang w:eastAsia="lv-LV"/>
              </w:rPr>
              <w:t> </w:t>
            </w:r>
          </w:p>
        </w:tc>
      </w:tr>
      <w:tr w:rsidR="00517294" w:rsidRPr="0055023B" w14:paraId="7D9B3D26" w14:textId="77777777" w:rsidTr="001522FE">
        <w:tc>
          <w:tcPr>
            <w:tcW w:w="1818" w:type="pct"/>
            <w:tcBorders>
              <w:top w:val="nil"/>
              <w:left w:val="nil"/>
              <w:bottom w:val="nil"/>
              <w:right w:val="nil"/>
            </w:tcBorders>
            <w:noWrap/>
            <w:vAlign w:val="bottom"/>
            <w:hideMark/>
          </w:tcPr>
          <w:p w14:paraId="11A005F3" w14:textId="77777777" w:rsidR="005B6DEE" w:rsidRPr="00725E65" w:rsidRDefault="005B6DEE" w:rsidP="005B6DEE">
            <w:pPr>
              <w:rPr>
                <w:rFonts w:eastAsia="Times New Roman" w:cs="Times New Roman"/>
                <w:szCs w:val="24"/>
                <w:lang w:eastAsia="lv-LV"/>
              </w:rPr>
            </w:pPr>
            <w:r w:rsidRPr="00725E65">
              <w:rPr>
                <w:rFonts w:eastAsia="Times New Roman" w:cs="Times New Roman"/>
                <w:szCs w:val="24"/>
                <w:lang w:eastAsia="lv-LV"/>
              </w:rPr>
              <w:t>Saskaņošanas dalībnieki</w:t>
            </w:r>
          </w:p>
        </w:tc>
        <w:tc>
          <w:tcPr>
            <w:tcW w:w="3182" w:type="pct"/>
            <w:tcBorders>
              <w:top w:val="nil"/>
              <w:left w:val="nil"/>
              <w:bottom w:val="single" w:sz="6" w:space="0" w:color="414142"/>
              <w:right w:val="nil"/>
            </w:tcBorders>
            <w:hideMark/>
          </w:tcPr>
          <w:p w14:paraId="4310FBDE" w14:textId="7C23D0C9" w:rsidR="005B6DEE" w:rsidRPr="00725E65" w:rsidRDefault="009460FB" w:rsidP="00A06CB0">
            <w:pPr>
              <w:rPr>
                <w:rFonts w:eastAsia="Times New Roman" w:cs="Times New Roman"/>
                <w:szCs w:val="24"/>
                <w:lang w:eastAsia="lv-LV"/>
              </w:rPr>
            </w:pPr>
            <w:r>
              <w:rPr>
                <w:rFonts w:eastAsia="Times New Roman" w:cs="Times New Roman"/>
                <w:szCs w:val="24"/>
                <w:lang w:eastAsia="lv-LV"/>
              </w:rPr>
              <w:t>Tieslietu ministrija, Latvijas Republikas</w:t>
            </w:r>
            <w:r w:rsidR="00DA63D3">
              <w:rPr>
                <w:rFonts w:eastAsia="Times New Roman" w:cs="Times New Roman"/>
                <w:szCs w:val="24"/>
                <w:lang w:eastAsia="lv-LV"/>
              </w:rPr>
              <w:t xml:space="preserve"> </w:t>
            </w:r>
            <w:r>
              <w:rPr>
                <w:rFonts w:eastAsia="Times New Roman" w:cs="Times New Roman"/>
                <w:szCs w:val="24"/>
                <w:lang w:eastAsia="lv-LV"/>
              </w:rPr>
              <w:t>Valsts kontrole</w:t>
            </w:r>
            <w:r w:rsidR="00015328">
              <w:rPr>
                <w:rFonts w:eastAsia="Times New Roman" w:cs="Times New Roman"/>
                <w:szCs w:val="24"/>
                <w:lang w:eastAsia="lv-LV"/>
              </w:rPr>
              <w:t>, Latvijas Banka</w:t>
            </w:r>
            <w:r w:rsidR="00A06CB0">
              <w:rPr>
                <w:rFonts w:eastAsia="Times New Roman" w:cs="Times New Roman"/>
                <w:szCs w:val="24"/>
                <w:lang w:eastAsia="lv-LV"/>
              </w:rPr>
              <w:t xml:space="preserve">  </w:t>
            </w:r>
          </w:p>
        </w:tc>
      </w:tr>
      <w:tr w:rsidR="00517294" w:rsidRPr="0055023B" w14:paraId="09CA1AD8" w14:textId="77777777" w:rsidTr="001522FE">
        <w:trPr>
          <w:trHeight w:val="300"/>
        </w:trPr>
        <w:tc>
          <w:tcPr>
            <w:tcW w:w="1818" w:type="pct"/>
            <w:tcBorders>
              <w:top w:val="nil"/>
              <w:left w:val="nil"/>
              <w:bottom w:val="nil"/>
              <w:right w:val="nil"/>
            </w:tcBorders>
            <w:hideMark/>
          </w:tcPr>
          <w:p w14:paraId="4785E246" w14:textId="77777777" w:rsidR="005B6DEE" w:rsidRPr="00725E65" w:rsidRDefault="005B6DEE" w:rsidP="005B6DEE">
            <w:pPr>
              <w:rPr>
                <w:rFonts w:eastAsia="Times New Roman" w:cs="Times New Roman"/>
                <w:szCs w:val="24"/>
                <w:lang w:eastAsia="lv-LV"/>
              </w:rPr>
            </w:pPr>
            <w:r w:rsidRPr="00725E65">
              <w:rPr>
                <w:rFonts w:eastAsia="Times New Roman" w:cs="Times New Roman"/>
                <w:szCs w:val="24"/>
                <w:lang w:eastAsia="lv-LV"/>
              </w:rPr>
              <w:t>  </w:t>
            </w:r>
          </w:p>
        </w:tc>
        <w:tc>
          <w:tcPr>
            <w:tcW w:w="3182" w:type="pct"/>
            <w:tcBorders>
              <w:top w:val="single" w:sz="6" w:space="0" w:color="414142"/>
              <w:left w:val="nil"/>
              <w:bottom w:val="single" w:sz="6" w:space="0" w:color="414142"/>
              <w:right w:val="nil"/>
            </w:tcBorders>
            <w:hideMark/>
          </w:tcPr>
          <w:p w14:paraId="764680DA" w14:textId="77777777" w:rsidR="005B6DEE" w:rsidRPr="00725E65" w:rsidRDefault="005B6DEE" w:rsidP="005B6DEE">
            <w:pPr>
              <w:rPr>
                <w:rFonts w:eastAsia="Times New Roman" w:cs="Times New Roman"/>
                <w:szCs w:val="24"/>
                <w:lang w:eastAsia="lv-LV"/>
              </w:rPr>
            </w:pPr>
            <w:r w:rsidRPr="00725E65">
              <w:rPr>
                <w:rFonts w:eastAsia="Times New Roman" w:cs="Times New Roman"/>
                <w:szCs w:val="24"/>
                <w:lang w:eastAsia="lv-LV"/>
              </w:rPr>
              <w:t> </w:t>
            </w:r>
          </w:p>
        </w:tc>
      </w:tr>
    </w:tbl>
    <w:p w14:paraId="57B5D6B8" w14:textId="77777777" w:rsidR="005B6DEE" w:rsidRPr="00725E65" w:rsidRDefault="005B6DEE" w:rsidP="005B6DEE">
      <w:pPr>
        <w:shd w:val="clear" w:color="auto" w:fill="FFFFFF"/>
        <w:rPr>
          <w:rFonts w:eastAsia="Times New Roman" w:cs="Times New Roman"/>
          <w:vanish/>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145"/>
        <w:gridCol w:w="8858"/>
      </w:tblGrid>
      <w:tr w:rsidR="00517294" w:rsidRPr="0055023B" w14:paraId="2FD1EF9E" w14:textId="77777777" w:rsidTr="00C20E28">
        <w:trPr>
          <w:trHeight w:val="300"/>
        </w:trPr>
        <w:tc>
          <w:tcPr>
            <w:tcW w:w="1837" w:type="pct"/>
            <w:tcBorders>
              <w:top w:val="nil"/>
              <w:left w:val="nil"/>
              <w:bottom w:val="nil"/>
              <w:right w:val="nil"/>
            </w:tcBorders>
            <w:vAlign w:val="bottom"/>
            <w:hideMark/>
          </w:tcPr>
          <w:p w14:paraId="75FB32C6" w14:textId="77777777" w:rsidR="005B6DEE" w:rsidRPr="00725E65" w:rsidRDefault="005B6DEE" w:rsidP="005B6DEE">
            <w:pPr>
              <w:rPr>
                <w:rFonts w:eastAsia="Times New Roman" w:cs="Times New Roman"/>
                <w:szCs w:val="24"/>
                <w:lang w:eastAsia="lv-LV"/>
              </w:rPr>
            </w:pPr>
            <w:r w:rsidRPr="00725E65">
              <w:rPr>
                <w:rFonts w:eastAsia="Times New Roman" w:cs="Times New Roman"/>
                <w:szCs w:val="24"/>
                <w:lang w:eastAsia="lv-LV"/>
              </w:rPr>
              <w:t>Saskaņošanas dalībnieki izskatīja šādu ministriju (citu institūciju) iebildumus</w:t>
            </w:r>
          </w:p>
        </w:tc>
        <w:tc>
          <w:tcPr>
            <w:tcW w:w="3163" w:type="pct"/>
            <w:tcBorders>
              <w:top w:val="nil"/>
              <w:left w:val="nil"/>
              <w:bottom w:val="single" w:sz="6" w:space="0" w:color="414142"/>
              <w:right w:val="nil"/>
            </w:tcBorders>
            <w:hideMark/>
          </w:tcPr>
          <w:p w14:paraId="40D7BF47" w14:textId="6E04CBC3" w:rsidR="005B6DEE" w:rsidRPr="00725E65" w:rsidRDefault="004111E1" w:rsidP="00DA63D3">
            <w:pPr>
              <w:rPr>
                <w:rFonts w:eastAsia="Times New Roman" w:cs="Times New Roman"/>
                <w:szCs w:val="24"/>
                <w:lang w:eastAsia="lv-LV"/>
              </w:rPr>
            </w:pPr>
            <w:r w:rsidRPr="004111E1">
              <w:rPr>
                <w:rFonts w:eastAsia="Times New Roman" w:cs="Times New Roman"/>
                <w:szCs w:val="24"/>
                <w:lang w:eastAsia="lv-LV"/>
              </w:rPr>
              <w:t>Latvijas Republikas</w:t>
            </w:r>
            <w:r w:rsidR="00DA63D3">
              <w:rPr>
                <w:rFonts w:eastAsia="Times New Roman" w:cs="Times New Roman"/>
                <w:szCs w:val="24"/>
                <w:lang w:eastAsia="lv-LV"/>
              </w:rPr>
              <w:t xml:space="preserve"> </w:t>
            </w:r>
            <w:r w:rsidRPr="004111E1">
              <w:rPr>
                <w:rFonts w:eastAsia="Times New Roman" w:cs="Times New Roman"/>
                <w:szCs w:val="24"/>
                <w:lang w:eastAsia="lv-LV"/>
              </w:rPr>
              <w:t>Valsts kontrole</w:t>
            </w:r>
            <w:r w:rsidR="00A06CB0">
              <w:rPr>
                <w:rFonts w:eastAsia="Times New Roman" w:cs="Times New Roman"/>
                <w:szCs w:val="24"/>
                <w:lang w:eastAsia="lv-LV"/>
              </w:rPr>
              <w:t>s un Tieslietu ministrijas</w:t>
            </w:r>
          </w:p>
        </w:tc>
      </w:tr>
      <w:tr w:rsidR="00517294" w:rsidRPr="005B6DEE" w14:paraId="23A02845" w14:textId="77777777" w:rsidTr="005B6DEE">
        <w:trPr>
          <w:trHeight w:val="300"/>
        </w:trPr>
        <w:tc>
          <w:tcPr>
            <w:tcW w:w="0" w:type="auto"/>
            <w:gridSpan w:val="2"/>
            <w:tcBorders>
              <w:top w:val="nil"/>
              <w:left w:val="nil"/>
              <w:bottom w:val="nil"/>
              <w:right w:val="nil"/>
            </w:tcBorders>
            <w:vAlign w:val="bottom"/>
            <w:hideMark/>
          </w:tcPr>
          <w:p w14:paraId="5EF622C1"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5023B" w14:paraId="557741DF" w14:textId="77777777" w:rsidTr="00C20E28">
        <w:trPr>
          <w:trHeight w:val="300"/>
        </w:trPr>
        <w:tc>
          <w:tcPr>
            <w:tcW w:w="1837" w:type="pct"/>
            <w:tcBorders>
              <w:top w:val="nil"/>
              <w:left w:val="nil"/>
              <w:bottom w:val="nil"/>
              <w:right w:val="nil"/>
            </w:tcBorders>
            <w:vAlign w:val="bottom"/>
            <w:hideMark/>
          </w:tcPr>
          <w:p w14:paraId="5235B6F5" w14:textId="77777777" w:rsidR="005B6DEE" w:rsidRPr="00725E65" w:rsidRDefault="005B6DEE" w:rsidP="005B6DEE">
            <w:pPr>
              <w:rPr>
                <w:rFonts w:eastAsia="Times New Roman" w:cs="Times New Roman"/>
                <w:szCs w:val="24"/>
                <w:lang w:eastAsia="lv-LV"/>
              </w:rPr>
            </w:pPr>
            <w:r w:rsidRPr="00725E65">
              <w:rPr>
                <w:rFonts w:eastAsia="Times New Roman" w:cs="Times New Roman"/>
                <w:szCs w:val="24"/>
                <w:lang w:eastAsia="lv-LV"/>
              </w:rPr>
              <w:t>Ministrijas (citas institūcijas), kuras nav ieraduš</w:t>
            </w:r>
            <w:bookmarkStart w:id="2" w:name="_GoBack"/>
            <w:bookmarkEnd w:id="2"/>
            <w:r w:rsidRPr="00725E65">
              <w:rPr>
                <w:rFonts w:eastAsia="Times New Roman" w:cs="Times New Roman"/>
                <w:szCs w:val="24"/>
                <w:lang w:eastAsia="lv-LV"/>
              </w:rPr>
              <w:t>ās uz sanāksmi vai kuras nav atbildējušas uz uzaicinājumu piedalīties elektroniskajā saskaņošanā</w:t>
            </w:r>
          </w:p>
        </w:tc>
        <w:tc>
          <w:tcPr>
            <w:tcW w:w="3163" w:type="pct"/>
            <w:tcBorders>
              <w:top w:val="nil"/>
              <w:left w:val="nil"/>
              <w:bottom w:val="single" w:sz="6" w:space="0" w:color="414142"/>
              <w:right w:val="nil"/>
            </w:tcBorders>
            <w:hideMark/>
          </w:tcPr>
          <w:p w14:paraId="558006EA" w14:textId="77777777" w:rsidR="005B6DEE" w:rsidRPr="00C20E28" w:rsidRDefault="005B6DEE" w:rsidP="003135FE">
            <w:pPr>
              <w:rPr>
                <w:rFonts w:eastAsia="Times New Roman" w:cs="Times New Roman"/>
                <w:szCs w:val="24"/>
                <w:lang w:eastAsia="lv-LV"/>
              </w:rPr>
            </w:pPr>
          </w:p>
          <w:p w14:paraId="13A7BDB7" w14:textId="77777777" w:rsidR="00015328" w:rsidRPr="00C20E28" w:rsidRDefault="00015328" w:rsidP="003135FE">
            <w:pPr>
              <w:rPr>
                <w:rFonts w:eastAsia="Times New Roman" w:cs="Times New Roman"/>
                <w:szCs w:val="24"/>
                <w:lang w:eastAsia="lv-LV"/>
              </w:rPr>
            </w:pPr>
          </w:p>
          <w:p w14:paraId="71B8B150" w14:textId="30320870" w:rsidR="00015328" w:rsidRPr="00C20E28" w:rsidRDefault="00015328" w:rsidP="00C20E28">
            <w:pPr>
              <w:rPr>
                <w:rFonts w:eastAsia="Times New Roman" w:cs="Times New Roman"/>
                <w:szCs w:val="24"/>
                <w:lang w:eastAsia="lv-LV"/>
              </w:rPr>
            </w:pPr>
            <w:r w:rsidRPr="00C20E28">
              <w:rPr>
                <w:rFonts w:eastAsia="Times New Roman" w:cs="Times New Roman"/>
                <w:szCs w:val="24"/>
                <w:lang w:eastAsia="lv-LV"/>
              </w:rPr>
              <w:t>Ekonomikas ministrija</w:t>
            </w:r>
            <w:r w:rsidR="006C021E" w:rsidRPr="00C20E28">
              <w:rPr>
                <w:rFonts w:eastAsia="Times New Roman" w:cs="Times New Roman"/>
                <w:szCs w:val="24"/>
                <w:lang w:eastAsia="lv-LV"/>
              </w:rPr>
              <w:t xml:space="preserve"> (sniedza atzinumu par MK noteikumu projektu pēc izsludināšanas VSS</w:t>
            </w:r>
            <w:r w:rsidR="00B9524E">
              <w:rPr>
                <w:rFonts w:eastAsia="Times New Roman" w:cs="Times New Roman"/>
                <w:szCs w:val="24"/>
                <w:lang w:eastAsia="lv-LV"/>
              </w:rPr>
              <w:t xml:space="preserve">, elektroniskā saskaņošanā </w:t>
            </w:r>
            <w:r w:rsidR="00C20E28">
              <w:rPr>
                <w:rFonts w:eastAsia="Times New Roman" w:cs="Times New Roman"/>
                <w:szCs w:val="24"/>
                <w:lang w:eastAsia="lv-LV"/>
              </w:rPr>
              <w:t xml:space="preserve">nesniedza atzinumu </w:t>
            </w:r>
            <w:r w:rsidR="00B9524E">
              <w:rPr>
                <w:rFonts w:eastAsia="Times New Roman" w:cs="Times New Roman"/>
                <w:szCs w:val="24"/>
                <w:lang w:eastAsia="lv-LV"/>
              </w:rPr>
              <w:t>un starpinstitūciju sanāksmē nepiedalījās</w:t>
            </w:r>
            <w:r w:rsidR="006C021E" w:rsidRPr="00C20E28">
              <w:rPr>
                <w:rFonts w:eastAsia="Times New Roman" w:cs="Times New Roman"/>
                <w:szCs w:val="24"/>
                <w:lang w:eastAsia="lv-LV"/>
              </w:rPr>
              <w:t>)</w:t>
            </w:r>
            <w:r w:rsidR="00A06CB0" w:rsidRPr="00C20E28">
              <w:rPr>
                <w:rFonts w:eastAsia="Times New Roman" w:cs="Times New Roman"/>
                <w:szCs w:val="24"/>
                <w:lang w:eastAsia="lv-LV"/>
              </w:rPr>
              <w:t xml:space="preserve">, </w:t>
            </w:r>
          </w:p>
        </w:tc>
      </w:tr>
      <w:tr w:rsidR="00517294" w:rsidRPr="0055023B" w14:paraId="1676221D" w14:textId="77777777" w:rsidTr="00C20E28">
        <w:trPr>
          <w:trHeight w:val="300"/>
        </w:trPr>
        <w:tc>
          <w:tcPr>
            <w:tcW w:w="1837" w:type="pct"/>
            <w:tcBorders>
              <w:top w:val="nil"/>
              <w:left w:val="nil"/>
              <w:bottom w:val="nil"/>
              <w:right w:val="nil"/>
            </w:tcBorders>
            <w:vAlign w:val="bottom"/>
            <w:hideMark/>
          </w:tcPr>
          <w:p w14:paraId="5B26F2EF" w14:textId="77777777" w:rsidR="005B6DEE" w:rsidRPr="00725E65" w:rsidRDefault="005B6DEE" w:rsidP="005B6DEE">
            <w:pPr>
              <w:rPr>
                <w:rFonts w:eastAsia="Times New Roman" w:cs="Times New Roman"/>
                <w:szCs w:val="24"/>
                <w:lang w:eastAsia="lv-LV"/>
              </w:rPr>
            </w:pPr>
            <w:r w:rsidRPr="00725E65">
              <w:rPr>
                <w:rFonts w:eastAsia="Times New Roman" w:cs="Times New Roman"/>
                <w:szCs w:val="24"/>
                <w:lang w:eastAsia="lv-LV"/>
              </w:rPr>
              <w:t>  </w:t>
            </w:r>
          </w:p>
        </w:tc>
        <w:tc>
          <w:tcPr>
            <w:tcW w:w="3163" w:type="pct"/>
            <w:tcBorders>
              <w:top w:val="single" w:sz="6" w:space="0" w:color="414142"/>
              <w:left w:val="nil"/>
              <w:bottom w:val="single" w:sz="6" w:space="0" w:color="414142"/>
              <w:right w:val="nil"/>
            </w:tcBorders>
            <w:hideMark/>
          </w:tcPr>
          <w:p w14:paraId="00429C63" w14:textId="050D9F57" w:rsidR="005B6DEE" w:rsidRPr="00C20E28" w:rsidRDefault="00B9524E" w:rsidP="00C20E28">
            <w:pPr>
              <w:rPr>
                <w:rFonts w:eastAsia="Times New Roman" w:cs="Times New Roman"/>
                <w:szCs w:val="24"/>
                <w:lang w:eastAsia="lv-LV"/>
              </w:rPr>
            </w:pPr>
            <w:r w:rsidRPr="00C20E28">
              <w:rPr>
                <w:rFonts w:eastAsia="Times New Roman" w:cs="Times New Roman"/>
                <w:szCs w:val="24"/>
                <w:lang w:eastAsia="lv-LV"/>
              </w:rPr>
              <w:t xml:space="preserve">Latvijas  Darba devēju konfederācija (sniedza atzinumu par MK noteikumu projektu pirms tā iesniegšanas Ministru kabinetam), </w:t>
            </w:r>
          </w:p>
        </w:tc>
      </w:tr>
      <w:tr w:rsidR="00517294" w:rsidRPr="005B6DEE" w14:paraId="279DE9B7" w14:textId="77777777" w:rsidTr="00C20E28">
        <w:trPr>
          <w:trHeight w:val="300"/>
        </w:trPr>
        <w:tc>
          <w:tcPr>
            <w:tcW w:w="1837" w:type="pct"/>
            <w:tcBorders>
              <w:top w:val="nil"/>
              <w:left w:val="nil"/>
              <w:bottom w:val="nil"/>
              <w:right w:val="nil"/>
            </w:tcBorders>
            <w:hideMark/>
          </w:tcPr>
          <w:p w14:paraId="4D076317"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lastRenderedPageBreak/>
              <w:t>  </w:t>
            </w:r>
          </w:p>
        </w:tc>
        <w:tc>
          <w:tcPr>
            <w:tcW w:w="3163" w:type="pct"/>
            <w:tcBorders>
              <w:top w:val="single" w:sz="6" w:space="0" w:color="414142"/>
              <w:left w:val="nil"/>
              <w:bottom w:val="single" w:sz="6" w:space="0" w:color="414142"/>
              <w:right w:val="nil"/>
            </w:tcBorders>
            <w:hideMark/>
          </w:tcPr>
          <w:p w14:paraId="2F71462D" w14:textId="3082958B" w:rsidR="005B6DEE" w:rsidRPr="00C20E28" w:rsidRDefault="00B9524E" w:rsidP="005B6DEE">
            <w:pPr>
              <w:rPr>
                <w:rFonts w:eastAsia="Times New Roman" w:cs="Times New Roman"/>
                <w:szCs w:val="24"/>
                <w:lang w:eastAsia="lv-LV"/>
              </w:rPr>
            </w:pPr>
            <w:r w:rsidRPr="00C20E28">
              <w:rPr>
                <w:rFonts w:eastAsia="Times New Roman" w:cs="Times New Roman"/>
                <w:szCs w:val="24"/>
                <w:lang w:eastAsia="lv-LV"/>
              </w:rPr>
              <w:t>Latvijas tirdzniecības un rūpniecības kamera (nesniedza atzinumu)</w:t>
            </w:r>
          </w:p>
        </w:tc>
      </w:tr>
    </w:tbl>
    <w:p w14:paraId="0561CD91" w14:textId="77777777" w:rsidR="005B6DEE" w:rsidRPr="000C5377" w:rsidRDefault="005B6DEE" w:rsidP="005B6DEE">
      <w:pPr>
        <w:shd w:val="clear" w:color="auto" w:fill="FFFFFF"/>
        <w:spacing w:before="100" w:beforeAutospacing="1" w:after="100" w:afterAutospacing="1" w:line="293" w:lineRule="atLeast"/>
        <w:ind w:firstLine="300"/>
        <w:jc w:val="center"/>
        <w:rPr>
          <w:rFonts w:eastAsia="Times New Roman" w:cs="Times New Roman"/>
          <w:b/>
          <w:bCs/>
          <w:szCs w:val="24"/>
          <w:lang w:eastAsia="lv-LV"/>
        </w:rPr>
      </w:pPr>
      <w:r w:rsidRPr="000C5377">
        <w:rPr>
          <w:rFonts w:eastAsia="Times New Roman" w:cs="Times New Roman"/>
          <w:b/>
          <w:bCs/>
          <w:szCs w:val="24"/>
          <w:lang w:eastAsia="lv-LV"/>
        </w:rPr>
        <w:t>II. Jautājumi, par kuriem saskaņošanā vienošanās ir panākta</w:t>
      </w:r>
    </w:p>
    <w:tbl>
      <w:tblPr>
        <w:tblW w:w="481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80"/>
        <w:gridCol w:w="2868"/>
        <w:gridCol w:w="4666"/>
        <w:gridCol w:w="2407"/>
        <w:gridCol w:w="2857"/>
      </w:tblGrid>
      <w:tr w:rsidR="001C3E5E" w:rsidRPr="005B6DEE" w14:paraId="6981C268" w14:textId="77777777" w:rsidTr="00D61746">
        <w:trPr>
          <w:tblHeader/>
        </w:trPr>
        <w:tc>
          <w:tcPr>
            <w:tcW w:w="252" w:type="pct"/>
            <w:tcBorders>
              <w:top w:val="outset" w:sz="6" w:space="0" w:color="414142"/>
              <w:left w:val="outset" w:sz="6" w:space="0" w:color="414142"/>
              <w:bottom w:val="outset" w:sz="6" w:space="0" w:color="414142"/>
              <w:right w:val="outset" w:sz="6" w:space="0" w:color="414142"/>
            </w:tcBorders>
            <w:noWrap/>
            <w:vAlign w:val="center"/>
            <w:hideMark/>
          </w:tcPr>
          <w:p w14:paraId="1417DB9E"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Nr.p.k.</w:t>
            </w:r>
          </w:p>
        </w:tc>
        <w:tc>
          <w:tcPr>
            <w:tcW w:w="1064" w:type="pct"/>
            <w:tcBorders>
              <w:top w:val="outset" w:sz="6" w:space="0" w:color="414142"/>
              <w:left w:val="outset" w:sz="6" w:space="0" w:color="414142"/>
              <w:bottom w:val="outset" w:sz="6" w:space="0" w:color="414142"/>
              <w:right w:val="outset" w:sz="6" w:space="0" w:color="414142"/>
            </w:tcBorders>
            <w:vAlign w:val="center"/>
            <w:hideMark/>
          </w:tcPr>
          <w:p w14:paraId="7250E8C1"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Saskaņošanai nosūtītā projekta redakcija (konkrēta punkta (panta) redakcija)</w:t>
            </w:r>
          </w:p>
        </w:tc>
        <w:tc>
          <w:tcPr>
            <w:tcW w:w="1731" w:type="pct"/>
            <w:tcBorders>
              <w:top w:val="outset" w:sz="6" w:space="0" w:color="414142"/>
              <w:left w:val="outset" w:sz="6" w:space="0" w:color="414142"/>
              <w:bottom w:val="outset" w:sz="6" w:space="0" w:color="414142"/>
              <w:right w:val="outset" w:sz="6" w:space="0" w:color="414142"/>
            </w:tcBorders>
            <w:vAlign w:val="center"/>
            <w:hideMark/>
          </w:tcPr>
          <w:p w14:paraId="24FE2256"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Atzinumā norādītais ministrijas (citas institūcijas) iebildums, kā arī saskaņošanā papildus izteiktais iebildums par projekta konkrēto punktu (pantu)</w:t>
            </w:r>
          </w:p>
        </w:tc>
        <w:tc>
          <w:tcPr>
            <w:tcW w:w="893" w:type="pct"/>
            <w:tcBorders>
              <w:top w:val="outset" w:sz="6" w:space="0" w:color="414142"/>
              <w:left w:val="outset" w:sz="6" w:space="0" w:color="414142"/>
              <w:bottom w:val="outset" w:sz="6" w:space="0" w:color="414142"/>
              <w:right w:val="outset" w:sz="6" w:space="0" w:color="414142"/>
            </w:tcBorders>
            <w:vAlign w:val="center"/>
            <w:hideMark/>
          </w:tcPr>
          <w:p w14:paraId="4477F836"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Atbildīgās ministrijas norāde par to, ka iebildums ir ņemts vērā, vai informācija par saskaņošanā panākto alternatīvo risinājumu</w:t>
            </w:r>
          </w:p>
        </w:tc>
        <w:tc>
          <w:tcPr>
            <w:tcW w:w="1060" w:type="pct"/>
            <w:tcBorders>
              <w:top w:val="outset" w:sz="6" w:space="0" w:color="414142"/>
              <w:left w:val="outset" w:sz="6" w:space="0" w:color="414142"/>
              <w:bottom w:val="outset" w:sz="6" w:space="0" w:color="414142"/>
              <w:right w:val="outset" w:sz="6" w:space="0" w:color="414142"/>
            </w:tcBorders>
            <w:vAlign w:val="center"/>
            <w:hideMark/>
          </w:tcPr>
          <w:p w14:paraId="497A0795"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Projekta attiecīgā punkta (panta) galīgā redakcija</w:t>
            </w:r>
          </w:p>
        </w:tc>
      </w:tr>
      <w:tr w:rsidR="001C3E5E" w:rsidRPr="005B6DEE" w14:paraId="2CD90BCC" w14:textId="77777777" w:rsidTr="00D61746">
        <w:trPr>
          <w:tblHeader/>
        </w:trPr>
        <w:tc>
          <w:tcPr>
            <w:tcW w:w="252" w:type="pct"/>
            <w:tcBorders>
              <w:top w:val="outset" w:sz="6" w:space="0" w:color="414142"/>
              <w:left w:val="outset" w:sz="6" w:space="0" w:color="414142"/>
              <w:bottom w:val="outset" w:sz="6" w:space="0" w:color="414142"/>
              <w:right w:val="outset" w:sz="6" w:space="0" w:color="414142"/>
            </w:tcBorders>
            <w:hideMark/>
          </w:tcPr>
          <w:p w14:paraId="320C0379"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1</w:t>
            </w:r>
          </w:p>
        </w:tc>
        <w:tc>
          <w:tcPr>
            <w:tcW w:w="1064" w:type="pct"/>
            <w:tcBorders>
              <w:top w:val="outset" w:sz="6" w:space="0" w:color="414142"/>
              <w:left w:val="outset" w:sz="6" w:space="0" w:color="414142"/>
              <w:bottom w:val="outset" w:sz="6" w:space="0" w:color="414142"/>
              <w:right w:val="outset" w:sz="6" w:space="0" w:color="414142"/>
            </w:tcBorders>
            <w:hideMark/>
          </w:tcPr>
          <w:p w14:paraId="11EDFDD2" w14:textId="77777777" w:rsidR="001C3E5E" w:rsidRPr="008A4EDB" w:rsidRDefault="001C3E5E" w:rsidP="005B6DEE">
            <w:pPr>
              <w:jc w:val="center"/>
              <w:rPr>
                <w:rFonts w:eastAsia="Times New Roman" w:cs="Times New Roman"/>
                <w:sz w:val="20"/>
                <w:szCs w:val="20"/>
                <w:lang w:val="en-US" w:eastAsia="lv-LV"/>
              </w:rPr>
            </w:pPr>
            <w:r w:rsidRPr="005B6DEE">
              <w:rPr>
                <w:rFonts w:eastAsia="Times New Roman" w:cs="Times New Roman"/>
                <w:sz w:val="20"/>
                <w:szCs w:val="20"/>
                <w:lang w:eastAsia="lv-LV"/>
              </w:rPr>
              <w:t>2</w:t>
            </w:r>
          </w:p>
        </w:tc>
        <w:tc>
          <w:tcPr>
            <w:tcW w:w="1731" w:type="pct"/>
            <w:tcBorders>
              <w:top w:val="outset" w:sz="6" w:space="0" w:color="414142"/>
              <w:left w:val="outset" w:sz="6" w:space="0" w:color="414142"/>
              <w:bottom w:val="outset" w:sz="6" w:space="0" w:color="414142"/>
              <w:right w:val="outset" w:sz="6" w:space="0" w:color="414142"/>
            </w:tcBorders>
            <w:hideMark/>
          </w:tcPr>
          <w:p w14:paraId="722F11FD"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3</w:t>
            </w:r>
          </w:p>
        </w:tc>
        <w:tc>
          <w:tcPr>
            <w:tcW w:w="893" w:type="pct"/>
            <w:tcBorders>
              <w:top w:val="outset" w:sz="6" w:space="0" w:color="414142"/>
              <w:left w:val="outset" w:sz="6" w:space="0" w:color="414142"/>
              <w:bottom w:val="outset" w:sz="6" w:space="0" w:color="414142"/>
              <w:right w:val="outset" w:sz="6" w:space="0" w:color="414142"/>
            </w:tcBorders>
            <w:hideMark/>
          </w:tcPr>
          <w:p w14:paraId="12D219AA"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4</w:t>
            </w:r>
          </w:p>
        </w:tc>
        <w:tc>
          <w:tcPr>
            <w:tcW w:w="1060" w:type="pct"/>
            <w:tcBorders>
              <w:top w:val="outset" w:sz="6" w:space="0" w:color="414142"/>
              <w:left w:val="outset" w:sz="6" w:space="0" w:color="414142"/>
              <w:bottom w:val="outset" w:sz="6" w:space="0" w:color="414142"/>
              <w:right w:val="outset" w:sz="6" w:space="0" w:color="414142"/>
            </w:tcBorders>
            <w:hideMark/>
          </w:tcPr>
          <w:p w14:paraId="212F40E3" w14:textId="77777777" w:rsidR="001C3E5E" w:rsidRPr="005B6DEE" w:rsidRDefault="001C3E5E" w:rsidP="005B6DEE">
            <w:pPr>
              <w:jc w:val="center"/>
              <w:rPr>
                <w:rFonts w:eastAsia="Times New Roman" w:cs="Times New Roman"/>
                <w:sz w:val="20"/>
                <w:szCs w:val="20"/>
                <w:lang w:eastAsia="lv-LV"/>
              </w:rPr>
            </w:pPr>
            <w:r w:rsidRPr="005B6DEE">
              <w:rPr>
                <w:rFonts w:eastAsia="Times New Roman" w:cs="Times New Roman"/>
                <w:sz w:val="20"/>
                <w:szCs w:val="20"/>
                <w:lang w:eastAsia="lv-LV"/>
              </w:rPr>
              <w:t>5</w:t>
            </w:r>
          </w:p>
        </w:tc>
      </w:tr>
      <w:tr w:rsidR="00AD0266" w:rsidRPr="005B6DEE" w14:paraId="508DD8F3" w14:textId="77777777" w:rsidTr="00D61746">
        <w:tc>
          <w:tcPr>
            <w:tcW w:w="252" w:type="pct"/>
            <w:tcBorders>
              <w:top w:val="outset" w:sz="6" w:space="0" w:color="414142"/>
              <w:left w:val="outset" w:sz="6" w:space="0" w:color="414142"/>
              <w:bottom w:val="outset" w:sz="6" w:space="0" w:color="414142"/>
              <w:right w:val="outset" w:sz="6" w:space="0" w:color="414142"/>
            </w:tcBorders>
          </w:tcPr>
          <w:p w14:paraId="595C67F8" w14:textId="0ED71077" w:rsidR="00AD0266" w:rsidRPr="005B6DEE" w:rsidRDefault="00536150" w:rsidP="005B6DEE">
            <w:pPr>
              <w:jc w:val="center"/>
              <w:rPr>
                <w:rFonts w:eastAsia="Times New Roman" w:cs="Times New Roman"/>
                <w:sz w:val="20"/>
                <w:szCs w:val="20"/>
                <w:lang w:eastAsia="lv-LV"/>
              </w:rPr>
            </w:pPr>
            <w:r>
              <w:rPr>
                <w:rFonts w:eastAsia="Times New Roman" w:cs="Times New Roman"/>
                <w:sz w:val="20"/>
                <w:szCs w:val="20"/>
                <w:lang w:eastAsia="lv-LV"/>
              </w:rPr>
              <w:t>1.</w:t>
            </w:r>
          </w:p>
        </w:tc>
        <w:tc>
          <w:tcPr>
            <w:tcW w:w="1064" w:type="pct"/>
            <w:tcBorders>
              <w:top w:val="outset" w:sz="6" w:space="0" w:color="414142"/>
              <w:left w:val="outset" w:sz="6" w:space="0" w:color="414142"/>
              <w:bottom w:val="outset" w:sz="6" w:space="0" w:color="414142"/>
              <w:right w:val="outset" w:sz="6" w:space="0" w:color="414142"/>
            </w:tcBorders>
          </w:tcPr>
          <w:p w14:paraId="0732EE3F"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w:t>
            </w:r>
            <w:r w:rsidRPr="003C2290">
              <w:rPr>
                <w:rFonts w:eastAsia="Times New Roman" w:cs="Times New Roman"/>
                <w:sz w:val="20"/>
                <w:szCs w:val="20"/>
                <w:lang w:eastAsia="lv-LV"/>
              </w:rPr>
              <w:tab/>
              <w:t>Noteikumos lietoti šādi termini:</w:t>
            </w:r>
          </w:p>
          <w:p w14:paraId="47EA9C89"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w:t>
            </w:r>
            <w:r w:rsidRPr="003C2290">
              <w:rPr>
                <w:rFonts w:eastAsia="Times New Roman" w:cs="Times New Roman"/>
                <w:sz w:val="20"/>
                <w:szCs w:val="20"/>
                <w:lang w:eastAsia="lv-LV"/>
              </w:rPr>
              <w:tab/>
              <w:t>bilances datums – pārskata gada pēdējā kalendārā diena jeb 31.decembris. Bilances datums šo noteikumu izpratnē ir pārskata datums;</w:t>
            </w:r>
          </w:p>
          <w:p w14:paraId="0E840FB6"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2.2.</w:t>
            </w:r>
            <w:r w:rsidRPr="003C2290">
              <w:rPr>
                <w:rFonts w:eastAsia="Times New Roman" w:cs="Times New Roman"/>
                <w:sz w:val="20"/>
                <w:szCs w:val="20"/>
                <w:lang w:eastAsia="lv-LV"/>
              </w:rPr>
              <w:tab/>
              <w:t>būtiskuma līmenis – absolūta vai relatīva vērtība, sākot ar kuru finanšu pārskatā sniegtā informācija var ietekmēt finanšu pārskata lietotāju viedokli un pieņemtos lēmumus par valsts budžeta un pašvaldību budžetu finansiālo darbību. Būtiskums ir atkarīgs no attiecīgā posteņa vai kļūdas lieluma un rakstura, ņemot vērā informācijas nesniegšanas vai nepareizās norādīšanas konkrētos apstākļus;</w:t>
            </w:r>
          </w:p>
          <w:p w14:paraId="7B5B67B8"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2.3.</w:t>
            </w:r>
            <w:r w:rsidRPr="003C2290">
              <w:rPr>
                <w:rFonts w:eastAsia="Times New Roman" w:cs="Times New Roman"/>
                <w:sz w:val="20"/>
                <w:szCs w:val="20"/>
                <w:lang w:eastAsia="lv-LV"/>
              </w:rPr>
              <w:tab/>
              <w:t>darbības turpināšanas princips – pārskata sagatavošanas princips, saskaņā ar kuru pārskatā aktīvus un saistības norāda, pieņemot, ka valsts un pašvaldības darbosies vai funkciju nodrošinās arī turpmāk;</w:t>
            </w:r>
          </w:p>
          <w:p w14:paraId="7CA6FD4B"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2.4.</w:t>
            </w:r>
            <w:r w:rsidRPr="003C2290">
              <w:rPr>
                <w:rFonts w:eastAsia="Times New Roman" w:cs="Times New Roman"/>
                <w:sz w:val="20"/>
                <w:szCs w:val="20"/>
                <w:lang w:eastAsia="lv-LV"/>
              </w:rPr>
              <w:tab/>
              <w:t>datums, kad pārskats apstiprināts publiskošanai – datums, kurā Valsts kontrole sniedz atzinumu par pārskata sagatavošanas pareizību;</w:t>
            </w:r>
          </w:p>
          <w:p w14:paraId="2D502567"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2.5.</w:t>
            </w:r>
            <w:r w:rsidRPr="003C2290">
              <w:rPr>
                <w:rFonts w:eastAsia="Times New Roman" w:cs="Times New Roman"/>
                <w:sz w:val="20"/>
                <w:szCs w:val="20"/>
                <w:lang w:eastAsia="lv-LV"/>
              </w:rPr>
              <w:tab/>
              <w:t>ikgadējais pārskats – pārskats par valsts budžeta finanšu uzskaiti un pārskats par Valsts ieņēmumu dienesta administrētiem nodokļiem, nodevām un citiem tā administrētiem uz valsts budžetu attiecināmiem maksājumiem (turpmāk arī – gada pārskats);</w:t>
            </w:r>
          </w:p>
          <w:p w14:paraId="76B79D55"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2.6.</w:t>
            </w:r>
            <w:r w:rsidRPr="003C2290">
              <w:rPr>
                <w:rFonts w:eastAsia="Times New Roman" w:cs="Times New Roman"/>
                <w:sz w:val="20"/>
                <w:szCs w:val="20"/>
                <w:lang w:eastAsia="lv-LV"/>
              </w:rPr>
              <w:tab/>
              <w:t>konsolidētais finansiālās darbības pārskats – pārskats par ieņēmumiem un izdevumiem, kas radušies pārskatā konsolidēto vienību darbības rezultātā pārskata periodā;</w:t>
            </w:r>
          </w:p>
          <w:p w14:paraId="7D1BB991"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2.7.</w:t>
            </w:r>
            <w:r w:rsidRPr="003C2290">
              <w:rPr>
                <w:rFonts w:eastAsia="Times New Roman" w:cs="Times New Roman"/>
                <w:sz w:val="20"/>
                <w:szCs w:val="20"/>
                <w:lang w:eastAsia="lv-LV"/>
              </w:rPr>
              <w:tab/>
              <w:t>konsolidētais gada pārskats – ministriju, centrālo valsts budžeta iestāžu (turpmāk – ministriju) un pašvaldību gada pārskats, kas sagatavots kā vienas vienības gada pārskats, kurā apkopota informācija par vairākām konsolidācijā iesaistītām iestādēm, izslēdzot konsolidācijā iesaistīto iestāžu savstarpējos darījumus un atlikumus;</w:t>
            </w:r>
          </w:p>
          <w:p w14:paraId="2BAADAE6"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2.8.</w:t>
            </w:r>
            <w:r w:rsidRPr="003C2290">
              <w:rPr>
                <w:rFonts w:eastAsia="Times New Roman" w:cs="Times New Roman"/>
                <w:sz w:val="20"/>
                <w:szCs w:val="20"/>
                <w:lang w:eastAsia="lv-LV"/>
              </w:rPr>
              <w:tab/>
              <w:t>konsolidētais naudas plūsmas pārskats – pārskats, kas sniedz informāciju par pārskatā konsolidēto vienību  ienākošo naudas plūsmu avotiem un par posteņiem, kuros pārskata periodā izmaksāti naudas līdzekļi, kā arī par naudas atlikumu pārskata datumā;</w:t>
            </w:r>
          </w:p>
          <w:p w14:paraId="549C80B2"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2.9.</w:t>
            </w:r>
            <w:r w:rsidRPr="003C2290">
              <w:rPr>
                <w:rFonts w:eastAsia="Times New Roman" w:cs="Times New Roman"/>
                <w:sz w:val="20"/>
                <w:szCs w:val="20"/>
                <w:lang w:eastAsia="lv-LV"/>
              </w:rPr>
              <w:tab/>
              <w:t>kredītrisks – risks, ka finanšu instrumenta darījuma partneris radīs valsts vai pašvaldību budžetiem finanšu zaudējumus, nespējot izpildīt saistības;</w:t>
            </w:r>
          </w:p>
          <w:p w14:paraId="13021006"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2.10.</w:t>
            </w:r>
            <w:r w:rsidRPr="003C2290">
              <w:rPr>
                <w:rFonts w:eastAsia="Times New Roman" w:cs="Times New Roman"/>
                <w:sz w:val="20"/>
                <w:szCs w:val="20"/>
                <w:lang w:eastAsia="lv-LV"/>
              </w:rPr>
              <w:tab/>
              <w:t>koriģējošs notikums pēc bilances datuma – notikums, kas sniedz pierādījumus par apstākļiem, kas pastāvējuši bilances datumā un attiecas uz pārskata gadu;</w:t>
            </w:r>
          </w:p>
          <w:p w14:paraId="512D641C"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2.11.</w:t>
            </w:r>
            <w:r w:rsidRPr="003C2290">
              <w:rPr>
                <w:rFonts w:eastAsia="Times New Roman" w:cs="Times New Roman"/>
                <w:sz w:val="20"/>
                <w:szCs w:val="20"/>
                <w:lang w:eastAsia="lv-LV"/>
              </w:rPr>
              <w:tab/>
              <w:t>likviditātes risks – risks, ka valsts vai pašvaldību budžetiem radīsies grūtības izpildīt finanšu saistības, par kurām norēķinās ar naudas līdzekļiem vai citiem finanšu aktīviem;</w:t>
            </w:r>
          </w:p>
          <w:p w14:paraId="55666D46"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2.12.</w:t>
            </w:r>
            <w:r w:rsidRPr="003C2290">
              <w:rPr>
                <w:rFonts w:eastAsia="Times New Roman" w:cs="Times New Roman"/>
                <w:sz w:val="20"/>
                <w:szCs w:val="20"/>
                <w:lang w:eastAsia="lv-LV"/>
              </w:rPr>
              <w:tab/>
              <w:t>naudas plūsmas princips – grāmatvedības uzskaites princips, saskaņā ar kuru darījumus un citus notikumus atzīst tad, kad samaksā vai saņem naudu par tiem;</w:t>
            </w:r>
          </w:p>
          <w:p w14:paraId="557AEDDF"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2.13.</w:t>
            </w:r>
            <w:r w:rsidRPr="003C2290">
              <w:rPr>
                <w:rFonts w:eastAsia="Times New Roman" w:cs="Times New Roman"/>
                <w:sz w:val="20"/>
                <w:szCs w:val="20"/>
                <w:lang w:eastAsia="lv-LV"/>
              </w:rPr>
              <w:tab/>
              <w:t>nerevidēts pārskats – pārskats, par kuru nav sniegts Valsts kontroles atzinums;</w:t>
            </w:r>
          </w:p>
          <w:p w14:paraId="68045CE0"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2.14.</w:t>
            </w:r>
            <w:r w:rsidRPr="003C2290">
              <w:rPr>
                <w:rFonts w:eastAsia="Times New Roman" w:cs="Times New Roman"/>
                <w:sz w:val="20"/>
                <w:szCs w:val="20"/>
                <w:lang w:eastAsia="lv-LV"/>
              </w:rPr>
              <w:tab/>
              <w:t>notikums pēc bilances datuma – labvēlīgs notikums (piemēram, aktīvu vērtības pieaugums vai saistību summas samazinājums) vai nelabvēlīgs notikums (piemēram, radušās vai paredzamās izmaksas vai zaudējumi, aktīvu vērtības samazinājums vai saistību summas palielināšanās), kas notiek laikposmā starp bilances datumu un datumu, kad pārskatu apstiprina publiskošanai;</w:t>
            </w:r>
          </w:p>
          <w:p w14:paraId="0A6BE78D"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2.15.</w:t>
            </w:r>
            <w:r w:rsidRPr="003C2290">
              <w:rPr>
                <w:rFonts w:eastAsia="Times New Roman" w:cs="Times New Roman"/>
                <w:sz w:val="20"/>
                <w:szCs w:val="20"/>
                <w:lang w:eastAsia="lv-LV"/>
              </w:rPr>
              <w:tab/>
              <w:t>nekoriģējošs notikums pēc bilances datuma – notikums, kas liecina par apstākļiem, kas radušies pēc bilances datuma, neattiecas uz pārskata gadu, bet nākotnē varētu būtiski ietekmēt valsts budžeta un pašvaldību budžetu finanšu rādītājus (piemēram, aktīvus, saistības, budžeta izpildes rezultātu);</w:t>
            </w:r>
          </w:p>
          <w:p w14:paraId="689ECE75"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2.16.</w:t>
            </w:r>
            <w:r w:rsidRPr="003C2290">
              <w:rPr>
                <w:rFonts w:eastAsia="Times New Roman" w:cs="Times New Roman"/>
                <w:sz w:val="20"/>
                <w:szCs w:val="20"/>
                <w:lang w:eastAsia="lv-LV"/>
              </w:rPr>
              <w:tab/>
              <w:t>neto aktīvi ir starpība starp pārskatā uzrādītajiem konsolidēto vienību kopējiem aktīviem un kopējām saistībām un uzkrājumiem;</w:t>
            </w:r>
          </w:p>
          <w:p w14:paraId="2F634E39"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2.17.</w:t>
            </w:r>
            <w:r w:rsidRPr="003C2290">
              <w:rPr>
                <w:rFonts w:eastAsia="Times New Roman" w:cs="Times New Roman"/>
                <w:sz w:val="20"/>
                <w:szCs w:val="20"/>
                <w:lang w:eastAsia="lv-LV"/>
              </w:rPr>
              <w:tab/>
              <w:t>pārskata periods – laikposms, par kuru sagatavo pārskatu. Gada pārskata periods aptver saimniecisko gadu;</w:t>
            </w:r>
          </w:p>
          <w:p w14:paraId="0FBCB3E1"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2.18.</w:t>
            </w:r>
            <w:r w:rsidRPr="003C2290">
              <w:rPr>
                <w:rFonts w:eastAsia="Times New Roman" w:cs="Times New Roman"/>
                <w:sz w:val="20"/>
                <w:szCs w:val="20"/>
                <w:lang w:eastAsia="lv-LV"/>
              </w:rPr>
              <w:tab/>
              <w:t>revidēts pārskats – pārskats, par kuru sniegts Valsts kontroles atzinums – bez iebildēm vai ar iebildēm vai negatīvs atzinums vai atteikums sniegt atzinumu;</w:t>
            </w:r>
          </w:p>
          <w:p w14:paraId="554D8A0A" w14:textId="77777777" w:rsidR="003C2290" w:rsidRPr="003C2290"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2.19.</w:t>
            </w:r>
            <w:r w:rsidRPr="003C2290">
              <w:rPr>
                <w:rFonts w:eastAsia="Times New Roman" w:cs="Times New Roman"/>
                <w:sz w:val="20"/>
                <w:szCs w:val="20"/>
                <w:lang w:eastAsia="lv-LV"/>
              </w:rPr>
              <w:tab/>
              <w:t>salīdzināmā informācija – informācija par iepriekšējo pārskata periodu, kuru sniedz par visiem gada pārskatā iekļautajiem posteņiem;</w:t>
            </w:r>
          </w:p>
          <w:p w14:paraId="490D8004" w14:textId="1AB59087" w:rsidR="00AD0266" w:rsidRPr="005B6DEE" w:rsidRDefault="003C2290" w:rsidP="00947EE9">
            <w:pPr>
              <w:jc w:val="both"/>
              <w:rPr>
                <w:rFonts w:eastAsia="Times New Roman" w:cs="Times New Roman"/>
                <w:sz w:val="20"/>
                <w:szCs w:val="20"/>
                <w:lang w:eastAsia="lv-LV"/>
              </w:rPr>
            </w:pPr>
            <w:r w:rsidRPr="003C2290">
              <w:rPr>
                <w:rFonts w:eastAsia="Times New Roman" w:cs="Times New Roman"/>
                <w:sz w:val="20"/>
                <w:szCs w:val="20"/>
                <w:lang w:eastAsia="lv-LV"/>
              </w:rPr>
              <w:t>2.20.</w:t>
            </w:r>
            <w:r w:rsidRPr="003C2290">
              <w:rPr>
                <w:rFonts w:eastAsia="Times New Roman" w:cs="Times New Roman"/>
                <w:sz w:val="20"/>
                <w:szCs w:val="20"/>
                <w:lang w:eastAsia="lv-LV"/>
              </w:rPr>
              <w:tab/>
              <w:t>valsts konsolidētā grāmatvedības bilance – pārskats par finansiālo stāvokli, kas noteiktā datumā parāda pārskatā konsolidēto vienību aktīvu, saistību un pašu kapitāla apmēru.</w:t>
            </w:r>
          </w:p>
        </w:tc>
        <w:tc>
          <w:tcPr>
            <w:tcW w:w="1731" w:type="pct"/>
            <w:tcBorders>
              <w:top w:val="outset" w:sz="6" w:space="0" w:color="414142"/>
              <w:left w:val="outset" w:sz="6" w:space="0" w:color="414142"/>
              <w:bottom w:val="outset" w:sz="6" w:space="0" w:color="414142"/>
              <w:right w:val="outset" w:sz="6" w:space="0" w:color="414142"/>
            </w:tcBorders>
          </w:tcPr>
          <w:p w14:paraId="4C2CCC5F" w14:textId="77777777" w:rsidR="00AD0266" w:rsidRPr="00F6361E" w:rsidRDefault="00AD0266" w:rsidP="00947EE9">
            <w:pPr>
              <w:tabs>
                <w:tab w:val="left" w:pos="0"/>
                <w:tab w:val="left" w:pos="709"/>
                <w:tab w:val="left" w:pos="993"/>
              </w:tabs>
              <w:suppressAutoHyphens/>
              <w:jc w:val="both"/>
              <w:outlineLvl w:val="3"/>
              <w:rPr>
                <w:rFonts w:cs="Times New Roman"/>
                <w:sz w:val="20"/>
                <w:szCs w:val="24"/>
              </w:rPr>
            </w:pPr>
            <w:r w:rsidRPr="00F6361E">
              <w:rPr>
                <w:rFonts w:cs="Times New Roman"/>
                <w:sz w:val="20"/>
                <w:szCs w:val="24"/>
              </w:rPr>
              <w:t>Tieslietu ministrija</w:t>
            </w:r>
          </w:p>
          <w:p w14:paraId="7FD0FFDD" w14:textId="77777777" w:rsidR="00AD0266" w:rsidRPr="00F6361E" w:rsidRDefault="00AD0266" w:rsidP="00947EE9">
            <w:pPr>
              <w:tabs>
                <w:tab w:val="left" w:pos="0"/>
                <w:tab w:val="left" w:pos="709"/>
                <w:tab w:val="left" w:pos="993"/>
              </w:tabs>
              <w:suppressAutoHyphens/>
              <w:jc w:val="both"/>
              <w:outlineLvl w:val="3"/>
              <w:rPr>
                <w:rFonts w:cs="Times New Roman"/>
                <w:sz w:val="20"/>
                <w:szCs w:val="24"/>
              </w:rPr>
            </w:pPr>
            <w:r w:rsidRPr="00F6361E">
              <w:rPr>
                <w:rFonts w:cs="Times New Roman"/>
                <w:sz w:val="20"/>
                <w:szCs w:val="24"/>
              </w:rPr>
              <w:t>2.</w:t>
            </w:r>
            <w:r w:rsidRPr="00F6361E">
              <w:rPr>
                <w:rFonts w:cs="Times New Roman"/>
                <w:sz w:val="20"/>
                <w:szCs w:val="24"/>
              </w:rPr>
              <w:tab/>
              <w:t>Saskaņā ar Ministru kabineta 2009. gada 3. februāra noteikumu Nr. 108 "Normatīvo aktu projektu sagatavošanas noteikumi" (turpmāk – MK noteikumi Nr. 108) 121. punktu noteikumu projektā terminus skaidro, lai konkretizētu terminā izteiktā jēdziena izpratnes robežas, ja termins nav skaidrots vai lietots augstāka juridiskā spēka normatīvajā aktā.</w:t>
            </w:r>
          </w:p>
          <w:p w14:paraId="0FF4BB46" w14:textId="77777777" w:rsidR="00AD0266" w:rsidRPr="00F6361E" w:rsidRDefault="00AD0266" w:rsidP="00947EE9">
            <w:pPr>
              <w:tabs>
                <w:tab w:val="left" w:pos="0"/>
                <w:tab w:val="left" w:pos="709"/>
                <w:tab w:val="left" w:pos="993"/>
              </w:tabs>
              <w:suppressAutoHyphens/>
              <w:jc w:val="both"/>
              <w:outlineLvl w:val="3"/>
              <w:rPr>
                <w:rFonts w:cs="Times New Roman"/>
                <w:sz w:val="20"/>
                <w:szCs w:val="24"/>
              </w:rPr>
            </w:pPr>
            <w:r w:rsidRPr="00F6361E">
              <w:rPr>
                <w:rFonts w:cs="Times New Roman"/>
                <w:sz w:val="20"/>
                <w:szCs w:val="24"/>
              </w:rPr>
              <w:t>Vēršam uzmanību, ka noteikumu projekta 2. punktā ir sniegti skaidrojumi tādiem terminiem, kas tiek lietoti Likumā par budžetu un finanšu vadību un likumā "Par grāmatvedību" (piemēram, bilances datums, konsolidētais gada pārskats, valsts konsolidētā grāmatvedības bilance, ikgadējais pārskats).</w:t>
            </w:r>
          </w:p>
          <w:p w14:paraId="25F4FB03" w14:textId="3AC114D1" w:rsidR="00AD0266" w:rsidRPr="00F6361E" w:rsidRDefault="00AD0266" w:rsidP="00947EE9">
            <w:pPr>
              <w:tabs>
                <w:tab w:val="left" w:pos="0"/>
                <w:tab w:val="left" w:pos="709"/>
                <w:tab w:val="left" w:pos="993"/>
              </w:tabs>
              <w:suppressAutoHyphens/>
              <w:jc w:val="both"/>
              <w:outlineLvl w:val="3"/>
              <w:rPr>
                <w:rFonts w:cs="Times New Roman"/>
                <w:sz w:val="20"/>
                <w:szCs w:val="24"/>
              </w:rPr>
            </w:pPr>
            <w:r w:rsidRPr="00F6361E">
              <w:rPr>
                <w:rFonts w:cs="Times New Roman"/>
                <w:sz w:val="20"/>
                <w:szCs w:val="24"/>
              </w:rPr>
              <w:t>Ņemot vērā minēto, lūdzam precizēt noteikumu projektu, izvairoties no tādu terminu skaidrošanas, kas ir skaidroti vai lietoti likumā.</w:t>
            </w:r>
          </w:p>
        </w:tc>
        <w:tc>
          <w:tcPr>
            <w:tcW w:w="893" w:type="pct"/>
            <w:tcBorders>
              <w:top w:val="outset" w:sz="6" w:space="0" w:color="414142"/>
              <w:left w:val="outset" w:sz="6" w:space="0" w:color="414142"/>
              <w:bottom w:val="outset" w:sz="6" w:space="0" w:color="414142"/>
              <w:right w:val="outset" w:sz="6" w:space="0" w:color="414142"/>
            </w:tcBorders>
          </w:tcPr>
          <w:p w14:paraId="6E450FC2" w14:textId="4AD0176E" w:rsidR="003F6986" w:rsidRPr="00904B67" w:rsidRDefault="00536150" w:rsidP="00947EE9">
            <w:pPr>
              <w:jc w:val="both"/>
              <w:rPr>
                <w:rFonts w:eastAsia="Times New Roman" w:cs="Times New Roman"/>
                <w:b/>
                <w:sz w:val="20"/>
                <w:szCs w:val="20"/>
                <w:lang w:eastAsia="lv-LV"/>
              </w:rPr>
            </w:pPr>
            <w:r>
              <w:rPr>
                <w:rFonts w:eastAsia="Times New Roman" w:cs="Times New Roman"/>
                <w:b/>
                <w:sz w:val="20"/>
                <w:szCs w:val="20"/>
                <w:lang w:eastAsia="lv-LV"/>
              </w:rPr>
              <w:t>Ņ</w:t>
            </w:r>
            <w:r w:rsidR="003F6986" w:rsidRPr="00AE7EFD">
              <w:rPr>
                <w:rFonts w:eastAsia="Times New Roman" w:cs="Times New Roman"/>
                <w:b/>
                <w:sz w:val="20"/>
                <w:szCs w:val="20"/>
                <w:lang w:eastAsia="lv-LV"/>
              </w:rPr>
              <w:t>emts vērā.</w:t>
            </w:r>
          </w:p>
          <w:p w14:paraId="2522C5C1" w14:textId="77777777" w:rsidR="00536150" w:rsidRDefault="00326405" w:rsidP="00947EE9">
            <w:pPr>
              <w:jc w:val="both"/>
              <w:rPr>
                <w:rFonts w:eastAsia="Times New Roman" w:cs="Times New Roman"/>
                <w:sz w:val="20"/>
                <w:szCs w:val="20"/>
                <w:lang w:eastAsia="lv-LV"/>
              </w:rPr>
            </w:pPr>
            <w:r w:rsidRPr="00904B67">
              <w:rPr>
                <w:rFonts w:eastAsia="Times New Roman" w:cs="Times New Roman"/>
                <w:sz w:val="20"/>
                <w:szCs w:val="20"/>
                <w:lang w:eastAsia="lv-LV"/>
              </w:rPr>
              <w:t xml:space="preserve">2.1.apakšpunktā </w:t>
            </w:r>
            <w:r w:rsidR="00307CEF" w:rsidRPr="00904B67">
              <w:rPr>
                <w:rFonts w:eastAsia="Times New Roman" w:cs="Times New Roman"/>
                <w:sz w:val="20"/>
                <w:szCs w:val="20"/>
                <w:lang w:eastAsia="lv-LV"/>
              </w:rPr>
              <w:t>svītrots otrais teikums</w:t>
            </w:r>
            <w:r w:rsidR="00852C60">
              <w:rPr>
                <w:rFonts w:eastAsia="Times New Roman" w:cs="Times New Roman"/>
                <w:sz w:val="20"/>
                <w:szCs w:val="20"/>
                <w:lang w:eastAsia="lv-LV"/>
              </w:rPr>
              <w:t>, vienlaikus saglabājot ter</w:t>
            </w:r>
            <w:r w:rsidR="00F03BEA">
              <w:rPr>
                <w:rFonts w:eastAsia="Times New Roman" w:cs="Times New Roman"/>
                <w:sz w:val="20"/>
                <w:szCs w:val="20"/>
                <w:lang w:eastAsia="lv-LV"/>
              </w:rPr>
              <w:t>minu, jo tas nav  lietots likumā</w:t>
            </w:r>
            <w:r w:rsidR="00852C60">
              <w:rPr>
                <w:rFonts w:eastAsia="Times New Roman" w:cs="Times New Roman"/>
                <w:sz w:val="20"/>
                <w:szCs w:val="20"/>
                <w:lang w:eastAsia="lv-LV"/>
              </w:rPr>
              <w:t xml:space="preserve"> “Par grāmatvedību”</w:t>
            </w:r>
            <w:r w:rsidR="00F03BEA">
              <w:rPr>
                <w:rFonts w:eastAsia="Times New Roman" w:cs="Times New Roman"/>
                <w:sz w:val="20"/>
                <w:szCs w:val="20"/>
                <w:lang w:eastAsia="lv-LV"/>
              </w:rPr>
              <w:t xml:space="preserve"> vai Likumā par budžetu un finanšu vadību.</w:t>
            </w:r>
            <w:r w:rsidR="00852C60">
              <w:rPr>
                <w:rFonts w:eastAsia="Times New Roman" w:cs="Times New Roman"/>
                <w:sz w:val="20"/>
                <w:szCs w:val="20"/>
                <w:lang w:eastAsia="lv-LV"/>
              </w:rPr>
              <w:t xml:space="preserve"> </w:t>
            </w:r>
            <w:r w:rsidR="00307CEF" w:rsidRPr="00904B67">
              <w:rPr>
                <w:rFonts w:eastAsia="Times New Roman" w:cs="Times New Roman"/>
                <w:sz w:val="20"/>
                <w:szCs w:val="20"/>
                <w:lang w:eastAsia="lv-LV"/>
              </w:rPr>
              <w:t xml:space="preserve"> </w:t>
            </w:r>
          </w:p>
          <w:p w14:paraId="7A304D72" w14:textId="28F39EE0" w:rsidR="00326405" w:rsidRDefault="00307CEF" w:rsidP="00947EE9">
            <w:pPr>
              <w:jc w:val="both"/>
              <w:rPr>
                <w:rFonts w:eastAsia="Times New Roman" w:cs="Times New Roman"/>
                <w:sz w:val="20"/>
                <w:szCs w:val="20"/>
                <w:lang w:eastAsia="lv-LV"/>
              </w:rPr>
            </w:pPr>
            <w:r w:rsidRPr="00904B67">
              <w:rPr>
                <w:rFonts w:eastAsia="Times New Roman" w:cs="Times New Roman"/>
                <w:sz w:val="20"/>
                <w:szCs w:val="20"/>
                <w:lang w:eastAsia="lv-LV"/>
              </w:rPr>
              <w:t>Svītrots 2.3.apakšpunkts</w:t>
            </w:r>
            <w:r w:rsidR="00904B67">
              <w:rPr>
                <w:rFonts w:eastAsia="Times New Roman" w:cs="Times New Roman"/>
                <w:sz w:val="20"/>
                <w:szCs w:val="20"/>
                <w:lang w:eastAsia="lv-LV"/>
              </w:rPr>
              <w:t>, jo noteikumu</w:t>
            </w:r>
            <w:r w:rsidRPr="00904B67">
              <w:rPr>
                <w:rFonts w:eastAsia="Times New Roman" w:cs="Times New Roman"/>
                <w:sz w:val="20"/>
                <w:szCs w:val="20"/>
                <w:lang w:eastAsia="lv-LV"/>
              </w:rPr>
              <w:t xml:space="preserve"> </w:t>
            </w:r>
            <w:r w:rsidR="00904B67">
              <w:rPr>
                <w:rFonts w:eastAsia="Times New Roman" w:cs="Times New Roman"/>
                <w:sz w:val="20"/>
                <w:szCs w:val="20"/>
                <w:lang w:eastAsia="lv-LV"/>
              </w:rPr>
              <w:t>projekta 10.punktā noteikts, ka p</w:t>
            </w:r>
            <w:r w:rsidR="00904B67" w:rsidRPr="00904B67">
              <w:rPr>
                <w:rFonts w:eastAsia="Times New Roman" w:cs="Times New Roman"/>
                <w:sz w:val="20"/>
                <w:szCs w:val="20"/>
                <w:lang w:eastAsia="lv-LV"/>
              </w:rPr>
              <w:t>ārskatu sagatavo atbilstoši normatīvajos aktos budžeta, grāmatvedības, t.sk. budžeta iestāžu grāmatvedības uzskaites un budžeta iestāžu gada pārskatu sagatavošanas jomā noteiktajiem pamatprincipiem</w:t>
            </w:r>
            <w:r w:rsidR="00904B67">
              <w:rPr>
                <w:rFonts w:eastAsia="Times New Roman" w:cs="Times New Roman"/>
                <w:sz w:val="20"/>
                <w:szCs w:val="20"/>
                <w:lang w:eastAsia="lv-LV"/>
              </w:rPr>
              <w:t>.</w:t>
            </w:r>
          </w:p>
          <w:p w14:paraId="711B8B32" w14:textId="4326C503" w:rsidR="00904B67" w:rsidRDefault="00904B67" w:rsidP="00947EE9">
            <w:pPr>
              <w:jc w:val="both"/>
              <w:rPr>
                <w:rFonts w:cs="Times New Roman"/>
                <w:sz w:val="20"/>
                <w:szCs w:val="20"/>
              </w:rPr>
            </w:pPr>
            <w:r>
              <w:rPr>
                <w:rFonts w:eastAsia="Times New Roman" w:cs="Times New Roman"/>
                <w:sz w:val="20"/>
                <w:szCs w:val="20"/>
                <w:lang w:eastAsia="lv-LV"/>
              </w:rPr>
              <w:t xml:space="preserve">Izslēgts 2.5. apakšpunkts, jo termins “ikgadējais pārskats” skaidrots Likma par budžetu </w:t>
            </w:r>
            <w:r w:rsidRPr="00904B67">
              <w:rPr>
                <w:rFonts w:eastAsia="Times New Roman" w:cs="Times New Roman"/>
                <w:sz w:val="20"/>
                <w:szCs w:val="20"/>
                <w:lang w:eastAsia="lv-LV"/>
              </w:rPr>
              <w:t xml:space="preserve">un finanšu vadību 30.panta </w:t>
            </w:r>
            <w:r w:rsidRPr="00904B67">
              <w:rPr>
                <w:rFonts w:cs="Times New Roman"/>
                <w:sz w:val="20"/>
                <w:szCs w:val="20"/>
              </w:rPr>
              <w:t>(1</w:t>
            </w:r>
            <w:r w:rsidRPr="00904B67">
              <w:rPr>
                <w:rFonts w:cs="Times New Roman"/>
                <w:sz w:val="20"/>
                <w:szCs w:val="20"/>
                <w:vertAlign w:val="superscript"/>
              </w:rPr>
              <w:t>1</w:t>
            </w:r>
            <w:r w:rsidRPr="00904B67">
              <w:rPr>
                <w:rFonts w:cs="Times New Roman"/>
                <w:sz w:val="20"/>
                <w:szCs w:val="20"/>
              </w:rPr>
              <w:t>)daļā.</w:t>
            </w:r>
          </w:p>
          <w:p w14:paraId="1C5F94CD" w14:textId="13EEBE12" w:rsidR="00904B67" w:rsidRDefault="00904B67" w:rsidP="00947EE9">
            <w:pPr>
              <w:jc w:val="both"/>
              <w:rPr>
                <w:rFonts w:cs="Times New Roman"/>
                <w:sz w:val="20"/>
                <w:szCs w:val="20"/>
              </w:rPr>
            </w:pPr>
            <w:r>
              <w:rPr>
                <w:rFonts w:cs="Times New Roman"/>
                <w:sz w:val="20"/>
                <w:szCs w:val="20"/>
              </w:rPr>
              <w:t xml:space="preserve">Svītrots </w:t>
            </w:r>
            <w:r w:rsidRPr="00904B67">
              <w:rPr>
                <w:rFonts w:cs="Times New Roman"/>
                <w:sz w:val="20"/>
                <w:szCs w:val="20"/>
              </w:rPr>
              <w:t>2.7.</w:t>
            </w:r>
            <w:r>
              <w:rPr>
                <w:rFonts w:cs="Times New Roman"/>
                <w:sz w:val="20"/>
                <w:szCs w:val="20"/>
              </w:rPr>
              <w:t>apakšpunkts, jo termins</w:t>
            </w:r>
            <w:r w:rsidRPr="00904B67">
              <w:rPr>
                <w:rFonts w:cs="Times New Roman"/>
                <w:sz w:val="20"/>
                <w:szCs w:val="20"/>
              </w:rPr>
              <w:tab/>
            </w:r>
            <w:r>
              <w:rPr>
                <w:rFonts w:cs="Times New Roman"/>
                <w:sz w:val="20"/>
                <w:szCs w:val="20"/>
              </w:rPr>
              <w:t>“</w:t>
            </w:r>
            <w:r w:rsidRPr="00904B67">
              <w:rPr>
                <w:rFonts w:cs="Times New Roman"/>
                <w:sz w:val="20"/>
                <w:szCs w:val="20"/>
              </w:rPr>
              <w:t>konsolidētais gada pārskats</w:t>
            </w:r>
            <w:r>
              <w:rPr>
                <w:rFonts w:cs="Times New Roman"/>
                <w:sz w:val="20"/>
                <w:szCs w:val="20"/>
              </w:rPr>
              <w:t xml:space="preserve">” </w:t>
            </w:r>
            <w:r w:rsidR="00B95079">
              <w:rPr>
                <w:rFonts w:cs="Times New Roman"/>
                <w:sz w:val="20"/>
                <w:szCs w:val="20"/>
              </w:rPr>
              <w:t xml:space="preserve">lietots atbilstoši </w:t>
            </w:r>
            <w:r>
              <w:rPr>
                <w:rFonts w:eastAsia="Times New Roman" w:cs="Times New Roman"/>
                <w:sz w:val="20"/>
                <w:szCs w:val="20"/>
                <w:lang w:eastAsia="lv-LV"/>
              </w:rPr>
              <w:t xml:space="preserve"> Lik</w:t>
            </w:r>
            <w:r w:rsidR="00B95079">
              <w:rPr>
                <w:rFonts w:eastAsia="Times New Roman" w:cs="Times New Roman"/>
                <w:sz w:val="20"/>
                <w:szCs w:val="20"/>
                <w:lang w:eastAsia="lv-LV"/>
              </w:rPr>
              <w:t>u</w:t>
            </w:r>
            <w:r>
              <w:rPr>
                <w:rFonts w:eastAsia="Times New Roman" w:cs="Times New Roman"/>
                <w:sz w:val="20"/>
                <w:szCs w:val="20"/>
                <w:lang w:eastAsia="lv-LV"/>
              </w:rPr>
              <w:t>m</w:t>
            </w:r>
            <w:r w:rsidR="00B95079">
              <w:rPr>
                <w:rFonts w:eastAsia="Times New Roman" w:cs="Times New Roman"/>
                <w:sz w:val="20"/>
                <w:szCs w:val="20"/>
                <w:lang w:eastAsia="lv-LV"/>
              </w:rPr>
              <w:t>a</w:t>
            </w:r>
            <w:r>
              <w:rPr>
                <w:rFonts w:eastAsia="Times New Roman" w:cs="Times New Roman"/>
                <w:sz w:val="20"/>
                <w:szCs w:val="20"/>
                <w:lang w:eastAsia="lv-LV"/>
              </w:rPr>
              <w:t xml:space="preserve"> par budžetu </w:t>
            </w:r>
            <w:r w:rsidRPr="00904B67">
              <w:rPr>
                <w:rFonts w:eastAsia="Times New Roman" w:cs="Times New Roman"/>
                <w:sz w:val="20"/>
                <w:szCs w:val="20"/>
                <w:lang w:eastAsia="lv-LV"/>
              </w:rPr>
              <w:t xml:space="preserve">un finanšu vadību 30.panta </w:t>
            </w:r>
            <w:r w:rsidR="00B95079">
              <w:rPr>
                <w:rFonts w:eastAsia="Times New Roman" w:cs="Times New Roman"/>
                <w:sz w:val="20"/>
                <w:szCs w:val="20"/>
                <w:lang w:eastAsia="lv-LV"/>
              </w:rPr>
              <w:t xml:space="preserve">trešajā </w:t>
            </w:r>
            <w:r w:rsidRPr="00904B67">
              <w:rPr>
                <w:rFonts w:cs="Times New Roman"/>
                <w:sz w:val="20"/>
                <w:szCs w:val="20"/>
              </w:rPr>
              <w:t>daļ</w:t>
            </w:r>
            <w:r w:rsidR="00B95079">
              <w:rPr>
                <w:rFonts w:cs="Times New Roman"/>
                <w:sz w:val="20"/>
                <w:szCs w:val="20"/>
              </w:rPr>
              <w:t>ā noteiktajam</w:t>
            </w:r>
            <w:r w:rsidRPr="00904B67">
              <w:rPr>
                <w:rFonts w:cs="Times New Roman"/>
                <w:sz w:val="20"/>
                <w:szCs w:val="20"/>
              </w:rPr>
              <w:t>.</w:t>
            </w:r>
          </w:p>
          <w:p w14:paraId="3D6DAD08" w14:textId="3ED19B37" w:rsidR="00F03BEA" w:rsidRDefault="00F03BEA" w:rsidP="00947EE9">
            <w:pPr>
              <w:jc w:val="both"/>
              <w:rPr>
                <w:rFonts w:cs="Times New Roman"/>
                <w:sz w:val="20"/>
                <w:szCs w:val="20"/>
              </w:rPr>
            </w:pPr>
            <w:r>
              <w:rPr>
                <w:rFonts w:cs="Times New Roman"/>
                <w:sz w:val="20"/>
                <w:szCs w:val="20"/>
              </w:rPr>
              <w:t xml:space="preserve">Svītrots </w:t>
            </w:r>
            <w:r w:rsidRPr="00F03BEA">
              <w:rPr>
                <w:rFonts w:cs="Times New Roman"/>
                <w:sz w:val="20"/>
                <w:szCs w:val="20"/>
              </w:rPr>
              <w:t>2.15.</w:t>
            </w:r>
            <w:r>
              <w:rPr>
                <w:rFonts w:cs="Times New Roman"/>
                <w:sz w:val="20"/>
                <w:szCs w:val="20"/>
              </w:rPr>
              <w:t>apakšpunkts, jo termins ”</w:t>
            </w:r>
            <w:r w:rsidRPr="00F03BEA">
              <w:rPr>
                <w:rFonts w:cs="Times New Roman"/>
                <w:sz w:val="20"/>
                <w:szCs w:val="20"/>
              </w:rPr>
              <w:t>nekoriģējošs notikums pēc bilances datuma</w:t>
            </w:r>
            <w:r>
              <w:rPr>
                <w:rFonts w:cs="Times New Roman"/>
                <w:sz w:val="20"/>
                <w:szCs w:val="20"/>
              </w:rPr>
              <w:t>” netiek lietots noteikumu projektā.</w:t>
            </w:r>
            <w:r w:rsidRPr="00F03BEA">
              <w:rPr>
                <w:rFonts w:cs="Times New Roman"/>
                <w:sz w:val="20"/>
                <w:szCs w:val="20"/>
              </w:rPr>
              <w:tab/>
            </w:r>
          </w:p>
          <w:p w14:paraId="424E6899" w14:textId="11AC05EE" w:rsidR="00326405" w:rsidRPr="00AE7EFD" w:rsidRDefault="00326405" w:rsidP="00947EE9">
            <w:pPr>
              <w:ind w:right="84"/>
              <w:jc w:val="both"/>
              <w:rPr>
                <w:rFonts w:eastAsia="Times New Roman" w:cs="Times New Roman"/>
                <w:b/>
                <w:sz w:val="20"/>
                <w:szCs w:val="20"/>
                <w:highlight w:val="yellow"/>
                <w:lang w:eastAsia="lv-LV"/>
              </w:rPr>
            </w:pPr>
          </w:p>
        </w:tc>
        <w:tc>
          <w:tcPr>
            <w:tcW w:w="1060" w:type="pct"/>
            <w:tcBorders>
              <w:top w:val="outset" w:sz="6" w:space="0" w:color="414142"/>
              <w:left w:val="outset" w:sz="6" w:space="0" w:color="414142"/>
              <w:bottom w:val="outset" w:sz="6" w:space="0" w:color="414142"/>
              <w:right w:val="outset" w:sz="6" w:space="0" w:color="414142"/>
            </w:tcBorders>
          </w:tcPr>
          <w:p w14:paraId="1467A9AF" w14:textId="77777777" w:rsidR="00326405" w:rsidRPr="00B773E5" w:rsidRDefault="00326405" w:rsidP="00947EE9">
            <w:pPr>
              <w:pStyle w:val="ListParagraph"/>
              <w:ind w:left="0"/>
              <w:jc w:val="both"/>
              <w:rPr>
                <w:sz w:val="20"/>
                <w:szCs w:val="20"/>
              </w:rPr>
            </w:pPr>
            <w:r w:rsidRPr="00B773E5">
              <w:rPr>
                <w:sz w:val="20"/>
                <w:szCs w:val="20"/>
              </w:rPr>
              <w:t>2.</w:t>
            </w:r>
            <w:r w:rsidRPr="00B773E5">
              <w:rPr>
                <w:sz w:val="20"/>
                <w:szCs w:val="20"/>
              </w:rPr>
              <w:tab/>
              <w:t>Noteikumos lietoti šādi termini:</w:t>
            </w:r>
          </w:p>
          <w:p w14:paraId="67E56D06" w14:textId="77777777" w:rsidR="00326405" w:rsidRPr="00B773E5" w:rsidRDefault="00326405" w:rsidP="00947EE9">
            <w:pPr>
              <w:pStyle w:val="ListParagraph"/>
              <w:ind w:left="0"/>
              <w:jc w:val="both"/>
              <w:rPr>
                <w:sz w:val="20"/>
                <w:szCs w:val="20"/>
              </w:rPr>
            </w:pPr>
            <w:r w:rsidRPr="00B773E5">
              <w:rPr>
                <w:sz w:val="20"/>
                <w:szCs w:val="20"/>
              </w:rPr>
              <w:t>2.1.</w:t>
            </w:r>
            <w:r w:rsidRPr="00B773E5">
              <w:rPr>
                <w:sz w:val="20"/>
                <w:szCs w:val="20"/>
              </w:rPr>
              <w:tab/>
              <w:t>bilances datums – pārskata gada pēdējā kalendārā diena jeb 31.decembris;</w:t>
            </w:r>
          </w:p>
          <w:p w14:paraId="67945FD6" w14:textId="77777777" w:rsidR="00326405" w:rsidRPr="00B773E5" w:rsidRDefault="00326405" w:rsidP="00947EE9">
            <w:pPr>
              <w:pStyle w:val="ListParagraph"/>
              <w:ind w:left="0"/>
              <w:jc w:val="both"/>
              <w:rPr>
                <w:sz w:val="20"/>
                <w:szCs w:val="20"/>
              </w:rPr>
            </w:pPr>
            <w:r w:rsidRPr="00B773E5">
              <w:rPr>
                <w:sz w:val="20"/>
                <w:szCs w:val="20"/>
              </w:rPr>
              <w:t>2.2.</w:t>
            </w:r>
            <w:r w:rsidRPr="00B773E5">
              <w:rPr>
                <w:sz w:val="20"/>
                <w:szCs w:val="20"/>
              </w:rPr>
              <w:tab/>
              <w:t>būtiskuma līmenis – absolūta vai relatīva vērtība, sākot ar kuru finanšu pārskatā sniegtā informācija var ietekmēt finanšu pārskata lietotāju viedokli un pieņemtos lēmumus par valsts un pašvaldību finansiālo darbību un to budžetu. Būtiskums ir atkarīgs no attiecīgā posteņa vai kļūdas lieluma un rakstura, ņemot vērā informācijas nesniegšanas vai nepareizās norādīšanas konkrētos apstākļus;</w:t>
            </w:r>
          </w:p>
          <w:p w14:paraId="422D7AB8" w14:textId="77777777" w:rsidR="00326405" w:rsidRPr="00B773E5" w:rsidRDefault="00326405" w:rsidP="00947EE9">
            <w:pPr>
              <w:pStyle w:val="ListParagraph"/>
              <w:ind w:left="0"/>
              <w:jc w:val="both"/>
              <w:rPr>
                <w:sz w:val="20"/>
                <w:szCs w:val="20"/>
              </w:rPr>
            </w:pPr>
            <w:r w:rsidRPr="00B773E5">
              <w:rPr>
                <w:sz w:val="20"/>
                <w:szCs w:val="20"/>
              </w:rPr>
              <w:t>2.3.</w:t>
            </w:r>
            <w:r w:rsidRPr="00B773E5">
              <w:rPr>
                <w:sz w:val="20"/>
                <w:szCs w:val="20"/>
              </w:rPr>
              <w:tab/>
              <w:t>datums, kad pārskats apstiprināts publiskošanai – datums, kurā Valsts kontrole sniedz atzinumu par pārskata sagatavošanas pareizību;</w:t>
            </w:r>
          </w:p>
          <w:p w14:paraId="65C9C6D9" w14:textId="77777777" w:rsidR="00326405" w:rsidRPr="00B773E5" w:rsidRDefault="00326405" w:rsidP="00947EE9">
            <w:pPr>
              <w:pStyle w:val="ListParagraph"/>
              <w:ind w:left="0"/>
              <w:jc w:val="both"/>
              <w:rPr>
                <w:sz w:val="20"/>
                <w:szCs w:val="20"/>
              </w:rPr>
            </w:pPr>
            <w:r w:rsidRPr="00B773E5">
              <w:rPr>
                <w:sz w:val="20"/>
                <w:szCs w:val="20"/>
              </w:rPr>
              <w:t>2.</w:t>
            </w:r>
            <w:bookmarkStart w:id="3" w:name="_Ref33561318"/>
            <w:r w:rsidRPr="00B773E5">
              <w:rPr>
                <w:sz w:val="20"/>
                <w:szCs w:val="20"/>
              </w:rPr>
              <w:t>4.</w:t>
            </w:r>
            <w:r w:rsidRPr="00B773E5">
              <w:rPr>
                <w:sz w:val="20"/>
                <w:szCs w:val="20"/>
              </w:rPr>
              <w:tab/>
              <w:t xml:space="preserve">konsolidētais </w:t>
            </w:r>
            <w:r w:rsidRPr="00B773E5" w:rsidDel="00550C21">
              <w:rPr>
                <w:sz w:val="20"/>
                <w:szCs w:val="20"/>
              </w:rPr>
              <w:t>pārskat</w:t>
            </w:r>
            <w:r w:rsidRPr="00B773E5">
              <w:rPr>
                <w:sz w:val="20"/>
                <w:szCs w:val="20"/>
              </w:rPr>
              <w:t>s</w:t>
            </w:r>
            <w:r w:rsidRPr="00B773E5" w:rsidDel="00550C21">
              <w:rPr>
                <w:sz w:val="20"/>
                <w:szCs w:val="20"/>
              </w:rPr>
              <w:t xml:space="preserve"> par darbības finansiālajiem rezultātiem</w:t>
            </w:r>
            <w:r w:rsidRPr="00B773E5">
              <w:rPr>
                <w:sz w:val="20"/>
                <w:szCs w:val="20"/>
              </w:rPr>
              <w:t xml:space="preserve"> – pārskats par ieņēmumiem un izdevumiem, kas radušies pārskatā konsolidēto vienību darbības rezultātā pārskata periodā;</w:t>
            </w:r>
          </w:p>
          <w:p w14:paraId="08DE6327" w14:textId="77777777" w:rsidR="00326405" w:rsidRPr="00B773E5" w:rsidRDefault="00326405" w:rsidP="00947EE9">
            <w:pPr>
              <w:pStyle w:val="ListParagraph"/>
              <w:ind w:left="0"/>
              <w:jc w:val="both"/>
              <w:rPr>
                <w:sz w:val="20"/>
                <w:szCs w:val="20"/>
              </w:rPr>
            </w:pPr>
            <w:r w:rsidRPr="00B773E5">
              <w:rPr>
                <w:sz w:val="20"/>
                <w:szCs w:val="20"/>
              </w:rPr>
              <w:t>2.5.</w:t>
            </w:r>
            <w:r w:rsidRPr="00B773E5">
              <w:rPr>
                <w:sz w:val="20"/>
                <w:szCs w:val="20"/>
              </w:rPr>
              <w:tab/>
              <w:t>konsolidētais naudas plūsmas pārskats – pārskats, kas sniedz informāciju par pārskatā konsolidēto vienību ienākošo naudas plūsmu avotiem un par posteņiem, kuros pārskata periodā izmaksāti naudas līdzekļi, kā arī par naudas atlikumu bilances datumā;</w:t>
            </w:r>
          </w:p>
          <w:p w14:paraId="568E8D5B" w14:textId="77777777" w:rsidR="00326405" w:rsidRPr="00B773E5" w:rsidRDefault="00326405" w:rsidP="00947EE9">
            <w:pPr>
              <w:pStyle w:val="ListParagraph"/>
              <w:ind w:left="0"/>
              <w:jc w:val="both"/>
              <w:rPr>
                <w:sz w:val="20"/>
                <w:szCs w:val="20"/>
              </w:rPr>
            </w:pPr>
            <w:r w:rsidRPr="00B773E5">
              <w:rPr>
                <w:sz w:val="20"/>
                <w:szCs w:val="20"/>
              </w:rPr>
              <w:t>2.6.</w:t>
            </w:r>
            <w:r w:rsidRPr="00B773E5">
              <w:rPr>
                <w:sz w:val="20"/>
                <w:szCs w:val="20"/>
              </w:rPr>
              <w:tab/>
              <w:t>kredītrisks – risks, ka finanšu instrumenta darījuma partneris radīs valsts vai pašvaldību budžetiem finanšu zaudējumus, nespējot izpildīt saistības;</w:t>
            </w:r>
          </w:p>
          <w:p w14:paraId="35D1D31F" w14:textId="77777777" w:rsidR="00326405" w:rsidRPr="00B773E5" w:rsidRDefault="00326405" w:rsidP="00947EE9">
            <w:pPr>
              <w:pStyle w:val="ListParagraph"/>
              <w:ind w:left="0"/>
              <w:jc w:val="both"/>
              <w:rPr>
                <w:sz w:val="20"/>
                <w:szCs w:val="20"/>
              </w:rPr>
            </w:pPr>
            <w:r w:rsidRPr="00B773E5">
              <w:rPr>
                <w:sz w:val="20"/>
                <w:szCs w:val="20"/>
              </w:rPr>
              <w:t>2.7.</w:t>
            </w:r>
            <w:r w:rsidRPr="00B773E5">
              <w:rPr>
                <w:sz w:val="20"/>
                <w:szCs w:val="20"/>
              </w:rPr>
              <w:tab/>
              <w:t>koriģējošs notikums pēc bilances datuma – notikums, kas sniedz pierādījumus par apstākļiem, kas pastāvējuši bilances datumā un attiecas uz pārskata gadu;</w:t>
            </w:r>
          </w:p>
          <w:p w14:paraId="4D9D17CA" w14:textId="77777777" w:rsidR="00326405" w:rsidRPr="00B773E5" w:rsidRDefault="00326405" w:rsidP="00947EE9">
            <w:pPr>
              <w:pStyle w:val="ListParagraph"/>
              <w:ind w:left="0"/>
              <w:jc w:val="both"/>
              <w:rPr>
                <w:sz w:val="20"/>
                <w:szCs w:val="20"/>
              </w:rPr>
            </w:pPr>
            <w:r w:rsidRPr="00B773E5">
              <w:rPr>
                <w:sz w:val="20"/>
                <w:szCs w:val="20"/>
              </w:rPr>
              <w:t>2.8.</w:t>
            </w:r>
            <w:r w:rsidRPr="00B773E5">
              <w:rPr>
                <w:sz w:val="20"/>
                <w:szCs w:val="20"/>
              </w:rPr>
              <w:tab/>
              <w:t>likviditātes risks – risks, ka valsts vai pašvaldību budžetiem radīsies grūtības izpildīt finanšu saistības, par kurām norēķinās ar naudas līdzekļiem vai citiem finanšu aktīviem;</w:t>
            </w:r>
          </w:p>
          <w:bookmarkEnd w:id="3"/>
          <w:p w14:paraId="1EA67DD2" w14:textId="77777777" w:rsidR="00326405" w:rsidRPr="00B773E5" w:rsidRDefault="00326405" w:rsidP="00947EE9">
            <w:pPr>
              <w:pStyle w:val="ListParagraph"/>
              <w:ind w:left="0"/>
              <w:jc w:val="both"/>
              <w:rPr>
                <w:sz w:val="20"/>
                <w:szCs w:val="20"/>
              </w:rPr>
            </w:pPr>
            <w:r w:rsidRPr="00B773E5" w:rsidDel="000E0B37">
              <w:rPr>
                <w:sz w:val="20"/>
                <w:szCs w:val="20"/>
              </w:rPr>
              <w:t>2.</w:t>
            </w:r>
            <w:r w:rsidRPr="00B773E5">
              <w:rPr>
                <w:sz w:val="20"/>
                <w:szCs w:val="20"/>
              </w:rPr>
              <w:t>9.</w:t>
            </w:r>
            <w:r w:rsidRPr="00B773E5">
              <w:rPr>
                <w:sz w:val="20"/>
                <w:szCs w:val="20"/>
              </w:rPr>
              <w:tab/>
              <w:t>naudas plūsmas princips – grāmatvedības uzskaites princips, saskaņā ar kuru darījumus un citus notikumus atzīst tad, kad samaksā vai saņem naudu par tiem;</w:t>
            </w:r>
          </w:p>
          <w:p w14:paraId="7435A82B" w14:textId="77777777" w:rsidR="00326405" w:rsidRPr="00B773E5" w:rsidRDefault="00326405" w:rsidP="00947EE9">
            <w:pPr>
              <w:pStyle w:val="ListParagraph"/>
              <w:ind w:left="0"/>
              <w:jc w:val="both"/>
              <w:rPr>
                <w:sz w:val="20"/>
                <w:szCs w:val="20"/>
              </w:rPr>
            </w:pPr>
            <w:r w:rsidRPr="00B773E5">
              <w:rPr>
                <w:sz w:val="20"/>
                <w:szCs w:val="20"/>
              </w:rPr>
              <w:t>2.10. nerevidēts pārskats – pārskats, par kuru nav sniegts Valsts kontroles atzinums;</w:t>
            </w:r>
          </w:p>
          <w:p w14:paraId="49817361" w14:textId="77777777" w:rsidR="00326405" w:rsidRPr="00B773E5" w:rsidRDefault="00326405" w:rsidP="00947EE9">
            <w:pPr>
              <w:pStyle w:val="ListParagraph"/>
              <w:ind w:left="0"/>
              <w:jc w:val="both"/>
              <w:rPr>
                <w:sz w:val="20"/>
                <w:szCs w:val="20"/>
              </w:rPr>
            </w:pPr>
            <w:r w:rsidRPr="00B773E5">
              <w:rPr>
                <w:sz w:val="20"/>
                <w:szCs w:val="20"/>
              </w:rPr>
              <w:t>2.11.</w:t>
            </w:r>
            <w:r w:rsidRPr="00B773E5">
              <w:rPr>
                <w:sz w:val="20"/>
                <w:szCs w:val="20"/>
              </w:rPr>
              <w:tab/>
              <w:t>neto aktīvi – starpība starp pārskatā uzrādītajiem konsolidēto vienību kopējiem aktīviem un kopējām saistībām un uzkrājumiem;</w:t>
            </w:r>
          </w:p>
          <w:p w14:paraId="06343086" w14:textId="77777777" w:rsidR="00326405" w:rsidRPr="00B773E5" w:rsidRDefault="00326405" w:rsidP="00947EE9">
            <w:pPr>
              <w:pStyle w:val="ListParagraph"/>
              <w:ind w:left="0"/>
              <w:jc w:val="both"/>
              <w:rPr>
                <w:sz w:val="20"/>
                <w:szCs w:val="20"/>
              </w:rPr>
            </w:pPr>
            <w:r w:rsidRPr="00B773E5">
              <w:rPr>
                <w:sz w:val="20"/>
                <w:szCs w:val="20"/>
              </w:rPr>
              <w:t>2.12.</w:t>
            </w:r>
            <w:r w:rsidRPr="00B773E5">
              <w:rPr>
                <w:sz w:val="20"/>
                <w:szCs w:val="20"/>
              </w:rPr>
              <w:tab/>
              <w:t>notikums pēc bilances datuma – labvēlīgs notikums (piemēram, aktīvu vērtības pieaugums vai saistību summas samazinājums) vai nelabvēlīgs notikums (piemēram, radušās vai paredzamās izmaksas vai zaudējumi, aktīvu vērtības samazinājums vai saistību summas palielināšanās), kas notiek laikposmā starp bilances datumu un datumu, kad pārskatu apstiprina publiskošanai;</w:t>
            </w:r>
          </w:p>
          <w:p w14:paraId="1B3647D1" w14:textId="77777777" w:rsidR="007A1B70" w:rsidRPr="00B773E5" w:rsidRDefault="00326405" w:rsidP="00947EE9">
            <w:pPr>
              <w:pStyle w:val="ListParagraph"/>
              <w:ind w:left="0"/>
              <w:jc w:val="both"/>
              <w:rPr>
                <w:sz w:val="20"/>
                <w:szCs w:val="20"/>
              </w:rPr>
            </w:pPr>
            <w:r w:rsidRPr="00B773E5">
              <w:rPr>
                <w:sz w:val="20"/>
                <w:szCs w:val="20"/>
              </w:rPr>
              <w:t>2.13.</w:t>
            </w:r>
            <w:r w:rsidRPr="00B773E5">
              <w:rPr>
                <w:sz w:val="20"/>
                <w:szCs w:val="20"/>
              </w:rPr>
              <w:tab/>
            </w:r>
            <w:r w:rsidR="007A1B70" w:rsidRPr="00B773E5">
              <w:rPr>
                <w:sz w:val="20"/>
                <w:szCs w:val="20"/>
              </w:rPr>
              <w:t>pārskata periods – laikposms, par kuru sagatavo saimnieciskā gada pārskatu;</w:t>
            </w:r>
          </w:p>
          <w:p w14:paraId="0C6DED2D" w14:textId="1018567A" w:rsidR="00326405" w:rsidRPr="00B773E5" w:rsidRDefault="007A1B70" w:rsidP="00947EE9">
            <w:pPr>
              <w:pStyle w:val="ListParagraph"/>
              <w:ind w:left="0"/>
              <w:jc w:val="both"/>
              <w:rPr>
                <w:sz w:val="20"/>
                <w:szCs w:val="20"/>
              </w:rPr>
            </w:pPr>
            <w:r w:rsidRPr="00B773E5">
              <w:rPr>
                <w:sz w:val="20"/>
                <w:szCs w:val="20"/>
              </w:rPr>
              <w:t>2.14.</w:t>
            </w:r>
            <w:r w:rsidR="0085142A" w:rsidRPr="00B773E5">
              <w:rPr>
                <w:sz w:val="20"/>
                <w:szCs w:val="20"/>
              </w:rPr>
              <w:t xml:space="preserve"> </w:t>
            </w:r>
            <w:r w:rsidR="00326405" w:rsidRPr="00B773E5">
              <w:rPr>
                <w:sz w:val="20"/>
                <w:szCs w:val="20"/>
              </w:rPr>
              <w:t>revidēts pārskats – pārskats, par kuru sniegts Valsts kontroles atzinums – bez iebildēm vai ar iebildēm, vai negatīvs atzinums, vai atteikums sniegt atzinumu;</w:t>
            </w:r>
          </w:p>
          <w:p w14:paraId="7E71F327" w14:textId="70309F6D" w:rsidR="00326405" w:rsidRPr="00B773E5" w:rsidRDefault="00326405" w:rsidP="00947EE9">
            <w:pPr>
              <w:pStyle w:val="ListParagraph"/>
              <w:ind w:left="0"/>
              <w:jc w:val="both"/>
              <w:rPr>
                <w:sz w:val="20"/>
                <w:szCs w:val="20"/>
              </w:rPr>
            </w:pPr>
            <w:r w:rsidRPr="00B773E5">
              <w:rPr>
                <w:sz w:val="20"/>
                <w:szCs w:val="20"/>
              </w:rPr>
              <w:t>2.</w:t>
            </w:r>
            <w:r w:rsidR="007A1B70" w:rsidRPr="00B773E5">
              <w:rPr>
                <w:sz w:val="20"/>
                <w:szCs w:val="20"/>
              </w:rPr>
              <w:t>15</w:t>
            </w:r>
            <w:r w:rsidRPr="00B773E5">
              <w:rPr>
                <w:sz w:val="20"/>
                <w:szCs w:val="20"/>
              </w:rPr>
              <w:t>.</w:t>
            </w:r>
            <w:r w:rsidRPr="00B773E5">
              <w:rPr>
                <w:sz w:val="20"/>
                <w:szCs w:val="20"/>
              </w:rPr>
              <w:tab/>
              <w:t>valsts konsolidētā grāmatvedības bilance – pārskats par finansiālo stāvokli, kas noteiktā datumā parāda pārskatā konsolidēto vienību aktīvu, saistību un pašu kapitāla apmēru.</w:t>
            </w:r>
          </w:p>
          <w:p w14:paraId="550F8C7F" w14:textId="77777777" w:rsidR="00AD0266" w:rsidRPr="001E672A" w:rsidRDefault="00AD0266" w:rsidP="00947EE9">
            <w:pPr>
              <w:pStyle w:val="ListParagraph"/>
              <w:ind w:left="0"/>
              <w:jc w:val="both"/>
              <w:rPr>
                <w:sz w:val="20"/>
                <w:szCs w:val="20"/>
              </w:rPr>
            </w:pPr>
          </w:p>
        </w:tc>
      </w:tr>
      <w:tr w:rsidR="00AD7359" w:rsidRPr="005B6DEE" w14:paraId="05C7F1A0" w14:textId="77777777" w:rsidTr="00D61746">
        <w:tc>
          <w:tcPr>
            <w:tcW w:w="252" w:type="pct"/>
            <w:tcBorders>
              <w:top w:val="outset" w:sz="6" w:space="0" w:color="414142"/>
              <w:left w:val="outset" w:sz="6" w:space="0" w:color="414142"/>
              <w:bottom w:val="outset" w:sz="6" w:space="0" w:color="414142"/>
              <w:right w:val="outset" w:sz="6" w:space="0" w:color="414142"/>
            </w:tcBorders>
          </w:tcPr>
          <w:p w14:paraId="6E4C338F" w14:textId="3C058B29" w:rsidR="00AD7359" w:rsidRPr="005B6DEE" w:rsidRDefault="00536150" w:rsidP="005B6DEE">
            <w:pPr>
              <w:jc w:val="center"/>
              <w:rPr>
                <w:rFonts w:eastAsia="Times New Roman" w:cs="Times New Roman"/>
                <w:sz w:val="20"/>
                <w:szCs w:val="20"/>
                <w:lang w:eastAsia="lv-LV"/>
              </w:rPr>
            </w:pPr>
            <w:r>
              <w:rPr>
                <w:rFonts w:eastAsia="Times New Roman" w:cs="Times New Roman"/>
                <w:sz w:val="20"/>
                <w:szCs w:val="20"/>
                <w:lang w:eastAsia="lv-LV"/>
              </w:rPr>
              <w:t>2.</w:t>
            </w:r>
          </w:p>
        </w:tc>
        <w:tc>
          <w:tcPr>
            <w:tcW w:w="1064" w:type="pct"/>
            <w:tcBorders>
              <w:top w:val="outset" w:sz="6" w:space="0" w:color="414142"/>
              <w:left w:val="outset" w:sz="6" w:space="0" w:color="414142"/>
              <w:bottom w:val="outset" w:sz="6" w:space="0" w:color="414142"/>
              <w:right w:val="outset" w:sz="6" w:space="0" w:color="414142"/>
            </w:tcBorders>
          </w:tcPr>
          <w:p w14:paraId="182A012B" w14:textId="69264C7C" w:rsidR="003C2290" w:rsidRDefault="00423A18" w:rsidP="00947EE9">
            <w:pPr>
              <w:jc w:val="both"/>
              <w:rPr>
                <w:rFonts w:eastAsia="Times New Roman" w:cs="Times New Roman"/>
                <w:sz w:val="20"/>
                <w:szCs w:val="20"/>
                <w:lang w:eastAsia="lv-LV"/>
              </w:rPr>
            </w:pPr>
            <w:r w:rsidRPr="00423A18">
              <w:rPr>
                <w:rFonts w:eastAsia="Times New Roman" w:cs="Times New Roman"/>
                <w:sz w:val="20"/>
                <w:szCs w:val="20"/>
                <w:lang w:eastAsia="lv-LV"/>
              </w:rPr>
              <w:t xml:space="preserve">2.1. bilances datums – pārskata gada pēdējā kalendārā diena jeb 31.decembris. </w:t>
            </w:r>
            <w:r w:rsidRPr="00F15785">
              <w:rPr>
                <w:rFonts w:eastAsia="Times New Roman" w:cs="Times New Roman"/>
                <w:sz w:val="20"/>
                <w:szCs w:val="20"/>
                <w:lang w:eastAsia="lv-LV"/>
              </w:rPr>
              <w:t xml:space="preserve">Bilances datums </w:t>
            </w:r>
            <w:r w:rsidRPr="00423A18">
              <w:rPr>
                <w:rFonts w:eastAsia="Times New Roman" w:cs="Times New Roman"/>
                <w:sz w:val="20"/>
                <w:szCs w:val="20"/>
                <w:lang w:eastAsia="lv-LV"/>
              </w:rPr>
              <w:t xml:space="preserve">šo noteikumu izpratnē ir </w:t>
            </w:r>
            <w:r w:rsidRPr="00F15785">
              <w:rPr>
                <w:rFonts w:eastAsia="Times New Roman" w:cs="Times New Roman"/>
                <w:sz w:val="20"/>
                <w:szCs w:val="20"/>
                <w:lang w:eastAsia="lv-LV"/>
              </w:rPr>
              <w:t>pārskata datums</w:t>
            </w:r>
            <w:r w:rsidR="003C2290">
              <w:rPr>
                <w:rFonts w:eastAsia="Times New Roman" w:cs="Times New Roman"/>
                <w:sz w:val="20"/>
                <w:szCs w:val="20"/>
                <w:lang w:eastAsia="lv-LV"/>
              </w:rPr>
              <w:t>;</w:t>
            </w:r>
          </w:p>
          <w:p w14:paraId="7C62D47B" w14:textId="761C4047" w:rsidR="00AD7359" w:rsidRPr="005B6DEE" w:rsidRDefault="003C2290" w:rsidP="00947EE9">
            <w:pPr>
              <w:jc w:val="both"/>
              <w:rPr>
                <w:rFonts w:eastAsia="Times New Roman" w:cs="Times New Roman"/>
                <w:sz w:val="20"/>
                <w:szCs w:val="20"/>
                <w:lang w:eastAsia="lv-LV"/>
              </w:rPr>
            </w:pPr>
            <w:r w:rsidRPr="0063184F">
              <w:rPr>
                <w:rFonts w:eastAsia="Times New Roman" w:cs="Times New Roman"/>
                <w:sz w:val="20"/>
                <w:szCs w:val="20"/>
                <w:lang w:eastAsia="lv-LV"/>
              </w:rPr>
              <w:t>2.8.</w:t>
            </w:r>
            <w:r w:rsidRPr="0063184F">
              <w:rPr>
                <w:rFonts w:eastAsia="Times New Roman" w:cs="Times New Roman"/>
                <w:sz w:val="20"/>
                <w:szCs w:val="20"/>
                <w:lang w:eastAsia="lv-LV"/>
              </w:rPr>
              <w:tab/>
              <w:t xml:space="preserve">konsolidētais naudas plūsmas pārskats – pārskats, kas sniedz informāciju par pārskatā konsolidēto vienību  ienākošo naudas plūsmu avotiem un par posteņiem, kuros pārskata periodā izmaksāti naudas līdzekļi, kā arī par naudas atlikumu </w:t>
            </w:r>
            <w:r w:rsidRPr="00F15785">
              <w:rPr>
                <w:rFonts w:eastAsia="Times New Roman" w:cs="Times New Roman"/>
                <w:sz w:val="20"/>
                <w:szCs w:val="20"/>
                <w:lang w:eastAsia="lv-LV"/>
              </w:rPr>
              <w:t>pārskata datumā</w:t>
            </w:r>
          </w:p>
        </w:tc>
        <w:tc>
          <w:tcPr>
            <w:tcW w:w="1731" w:type="pct"/>
            <w:tcBorders>
              <w:top w:val="outset" w:sz="6" w:space="0" w:color="414142"/>
              <w:left w:val="outset" w:sz="6" w:space="0" w:color="414142"/>
              <w:bottom w:val="outset" w:sz="6" w:space="0" w:color="414142"/>
              <w:right w:val="outset" w:sz="6" w:space="0" w:color="414142"/>
            </w:tcBorders>
          </w:tcPr>
          <w:p w14:paraId="72178620" w14:textId="77777777" w:rsidR="00AD7359" w:rsidRPr="00204CC0" w:rsidRDefault="00AD7359" w:rsidP="00947EE9">
            <w:pPr>
              <w:tabs>
                <w:tab w:val="left" w:pos="0"/>
                <w:tab w:val="left" w:pos="709"/>
                <w:tab w:val="left" w:pos="993"/>
              </w:tabs>
              <w:suppressAutoHyphens/>
              <w:jc w:val="both"/>
              <w:outlineLvl w:val="3"/>
              <w:rPr>
                <w:rFonts w:cs="Times New Roman"/>
                <w:sz w:val="20"/>
                <w:szCs w:val="24"/>
              </w:rPr>
            </w:pPr>
            <w:r w:rsidRPr="00204CC0">
              <w:rPr>
                <w:rFonts w:cs="Times New Roman"/>
                <w:sz w:val="20"/>
                <w:szCs w:val="24"/>
              </w:rPr>
              <w:t>Tieslietu ministrija</w:t>
            </w:r>
          </w:p>
          <w:p w14:paraId="767E634C" w14:textId="38019D5E" w:rsidR="00AD7359" w:rsidRPr="00204CC0" w:rsidRDefault="00AD7359" w:rsidP="00947EE9">
            <w:pPr>
              <w:tabs>
                <w:tab w:val="left" w:pos="0"/>
                <w:tab w:val="left" w:pos="709"/>
                <w:tab w:val="left" w:pos="993"/>
              </w:tabs>
              <w:suppressAutoHyphens/>
              <w:jc w:val="both"/>
              <w:outlineLvl w:val="3"/>
              <w:rPr>
                <w:rFonts w:cs="Times New Roman"/>
                <w:sz w:val="20"/>
                <w:szCs w:val="24"/>
              </w:rPr>
            </w:pPr>
            <w:r w:rsidRPr="00204CC0">
              <w:rPr>
                <w:rFonts w:cs="Times New Roman"/>
                <w:sz w:val="20"/>
                <w:szCs w:val="24"/>
              </w:rPr>
              <w:t>3.</w:t>
            </w:r>
            <w:r w:rsidRPr="00204CC0">
              <w:rPr>
                <w:rFonts w:cs="Times New Roman"/>
                <w:sz w:val="20"/>
                <w:szCs w:val="24"/>
              </w:rPr>
              <w:tab/>
              <w:t>Noteikumu projekta 2.1. apakšpunkts paredz, ka bilances datums ir pārskata gada pēdējā kalendārā diena jeb 31. decembris. Vienlaikus noteikumu projekta 2.1. apakšpunktā paredzēts, ka bilances datums šo noteikumu izpratnē ir pārskata datums. Nav saprotams, ar kādu mērķi noteikumu projektā viena un tā paša datuma apzīmēšanai tiek lietoti 2 atšķirīgi termini. Tādēļ ierosinām precizēt projektu, lietojot tajā tikai vienu terminu (vai nu "bilances datums", vai arī "pārskata datums"), tādējādi atvieglojot tiesību normu uztveramību.</w:t>
            </w:r>
          </w:p>
        </w:tc>
        <w:tc>
          <w:tcPr>
            <w:tcW w:w="893" w:type="pct"/>
            <w:tcBorders>
              <w:top w:val="outset" w:sz="6" w:space="0" w:color="414142"/>
              <w:left w:val="outset" w:sz="6" w:space="0" w:color="414142"/>
              <w:bottom w:val="outset" w:sz="6" w:space="0" w:color="414142"/>
              <w:right w:val="outset" w:sz="6" w:space="0" w:color="414142"/>
            </w:tcBorders>
          </w:tcPr>
          <w:p w14:paraId="3CE8D88E" w14:textId="77777777" w:rsidR="005E5FC4" w:rsidRDefault="005E5FC4" w:rsidP="00947EE9">
            <w:pPr>
              <w:jc w:val="both"/>
              <w:rPr>
                <w:rFonts w:eastAsia="Times New Roman" w:cs="Times New Roman"/>
                <w:b/>
                <w:sz w:val="20"/>
                <w:szCs w:val="20"/>
                <w:lang w:eastAsia="lv-LV"/>
              </w:rPr>
            </w:pPr>
            <w:r w:rsidRPr="00935821">
              <w:rPr>
                <w:rFonts w:eastAsia="Times New Roman" w:cs="Times New Roman"/>
                <w:b/>
                <w:sz w:val="20"/>
                <w:szCs w:val="20"/>
                <w:lang w:eastAsia="lv-LV"/>
              </w:rPr>
              <w:t>Ņemts vērā</w:t>
            </w:r>
          </w:p>
          <w:p w14:paraId="69B45B1C" w14:textId="7226A95E" w:rsidR="003C2290" w:rsidRPr="005B6DEE" w:rsidRDefault="0063184F" w:rsidP="00947EE9">
            <w:pPr>
              <w:jc w:val="both"/>
              <w:rPr>
                <w:rFonts w:eastAsia="Times New Roman" w:cs="Times New Roman"/>
                <w:sz w:val="20"/>
                <w:szCs w:val="20"/>
                <w:lang w:eastAsia="lv-LV"/>
              </w:rPr>
            </w:pPr>
            <w:r w:rsidRPr="0063184F">
              <w:rPr>
                <w:rFonts w:eastAsia="Times New Roman" w:cs="Times New Roman"/>
                <w:sz w:val="20"/>
                <w:szCs w:val="20"/>
                <w:lang w:eastAsia="lv-LV"/>
              </w:rPr>
              <w:t xml:space="preserve">Precizēts 2.1.apakšpunkts, vienlaikus </w:t>
            </w:r>
            <w:r w:rsidR="00CF1821">
              <w:rPr>
                <w:rFonts w:eastAsia="Times New Roman" w:cs="Times New Roman"/>
                <w:sz w:val="20"/>
                <w:szCs w:val="20"/>
                <w:lang w:eastAsia="lv-LV"/>
              </w:rPr>
              <w:t xml:space="preserve">attiecīgi arī </w:t>
            </w:r>
            <w:r w:rsidRPr="0063184F">
              <w:rPr>
                <w:rFonts w:eastAsia="Times New Roman" w:cs="Times New Roman"/>
                <w:sz w:val="20"/>
                <w:szCs w:val="20"/>
                <w:lang w:eastAsia="lv-LV"/>
              </w:rPr>
              <w:t>p</w:t>
            </w:r>
            <w:r w:rsidR="00E2118D" w:rsidRPr="0063184F">
              <w:rPr>
                <w:rFonts w:eastAsia="Times New Roman" w:cs="Times New Roman"/>
                <w:sz w:val="20"/>
                <w:szCs w:val="20"/>
                <w:lang w:eastAsia="lv-LV"/>
              </w:rPr>
              <w:t>recizē</w:t>
            </w:r>
            <w:r w:rsidRPr="0063184F">
              <w:rPr>
                <w:rFonts w:eastAsia="Times New Roman" w:cs="Times New Roman"/>
                <w:sz w:val="20"/>
                <w:szCs w:val="20"/>
                <w:lang w:eastAsia="lv-LV"/>
              </w:rPr>
              <w:t>jot</w:t>
            </w:r>
            <w:r w:rsidR="00E2118D" w:rsidRPr="0063184F">
              <w:rPr>
                <w:rFonts w:eastAsia="Times New Roman" w:cs="Times New Roman"/>
                <w:sz w:val="20"/>
                <w:szCs w:val="20"/>
                <w:lang w:eastAsia="lv-LV"/>
              </w:rPr>
              <w:t xml:space="preserve"> 2.8.apakšpunkt</w:t>
            </w:r>
            <w:r w:rsidRPr="0063184F">
              <w:rPr>
                <w:rFonts w:eastAsia="Times New Roman" w:cs="Times New Roman"/>
                <w:sz w:val="20"/>
                <w:szCs w:val="20"/>
                <w:lang w:eastAsia="lv-LV"/>
              </w:rPr>
              <w:t>u</w:t>
            </w:r>
            <w:r w:rsidR="00E2118D" w:rsidRPr="0063184F">
              <w:rPr>
                <w:rFonts w:eastAsia="Times New Roman" w:cs="Times New Roman"/>
                <w:sz w:val="20"/>
                <w:szCs w:val="20"/>
                <w:lang w:eastAsia="lv-LV"/>
              </w:rPr>
              <w:t>.</w:t>
            </w:r>
          </w:p>
        </w:tc>
        <w:tc>
          <w:tcPr>
            <w:tcW w:w="1060" w:type="pct"/>
            <w:tcBorders>
              <w:top w:val="outset" w:sz="6" w:space="0" w:color="414142"/>
              <w:left w:val="outset" w:sz="6" w:space="0" w:color="414142"/>
              <w:bottom w:val="outset" w:sz="6" w:space="0" w:color="414142"/>
              <w:right w:val="outset" w:sz="6" w:space="0" w:color="414142"/>
            </w:tcBorders>
          </w:tcPr>
          <w:p w14:paraId="45CE6346" w14:textId="390D5387" w:rsidR="00D17DC7" w:rsidRPr="00B773E5" w:rsidRDefault="0063184F" w:rsidP="00947EE9">
            <w:pPr>
              <w:jc w:val="both"/>
              <w:rPr>
                <w:sz w:val="20"/>
                <w:szCs w:val="20"/>
              </w:rPr>
            </w:pPr>
            <w:r w:rsidRPr="00B773E5">
              <w:rPr>
                <w:sz w:val="20"/>
                <w:szCs w:val="20"/>
              </w:rPr>
              <w:t>2.1.</w:t>
            </w:r>
            <w:r w:rsidRPr="00B773E5">
              <w:rPr>
                <w:sz w:val="20"/>
                <w:szCs w:val="20"/>
              </w:rPr>
              <w:tab/>
              <w:t>bilances datums – pārskata gada pēdējā kalendārā diena jeb 31.decembris;</w:t>
            </w:r>
          </w:p>
          <w:p w14:paraId="3A4BFD67" w14:textId="668FB851" w:rsidR="007A1B70" w:rsidRPr="00B773E5" w:rsidRDefault="005E6932" w:rsidP="00947EE9">
            <w:pPr>
              <w:jc w:val="both"/>
              <w:rPr>
                <w:rFonts w:eastAsia="Times New Roman" w:cs="Times New Roman"/>
                <w:sz w:val="20"/>
                <w:szCs w:val="20"/>
                <w:lang w:eastAsia="lv-LV"/>
              </w:rPr>
            </w:pPr>
            <w:r w:rsidRPr="00B773E5">
              <w:rPr>
                <w:rFonts w:eastAsia="Times New Roman" w:cs="Times New Roman"/>
                <w:sz w:val="20"/>
                <w:szCs w:val="20"/>
                <w:lang w:eastAsia="lv-LV"/>
              </w:rPr>
              <w:t>2.</w:t>
            </w:r>
            <w:r w:rsidR="00536150" w:rsidRPr="00B773E5">
              <w:rPr>
                <w:rFonts w:eastAsia="Times New Roman" w:cs="Times New Roman"/>
                <w:sz w:val="20"/>
                <w:szCs w:val="20"/>
                <w:lang w:eastAsia="lv-LV"/>
              </w:rPr>
              <w:t>5</w:t>
            </w:r>
            <w:r w:rsidRPr="00B773E5">
              <w:rPr>
                <w:rFonts w:eastAsia="Times New Roman" w:cs="Times New Roman"/>
                <w:sz w:val="20"/>
                <w:szCs w:val="20"/>
                <w:lang w:eastAsia="lv-LV"/>
              </w:rPr>
              <w:t>.</w:t>
            </w:r>
            <w:r w:rsidRPr="00B773E5">
              <w:rPr>
                <w:rFonts w:eastAsia="Times New Roman" w:cs="Times New Roman"/>
                <w:sz w:val="20"/>
                <w:szCs w:val="20"/>
                <w:lang w:eastAsia="lv-LV"/>
              </w:rPr>
              <w:tab/>
              <w:t>konsolidētais naudas plūsmas pārskats – pārskats, kas sniedz informāciju par pārskatā konsolidēto vienību ienākošo naudas plūsmu avotiem un par posteņiem, kuros pārskata periodā izmaksāti naudas līdzekļi, kā arī par naudas atlikumu bilances datumā;</w:t>
            </w:r>
          </w:p>
          <w:p w14:paraId="47182ECB" w14:textId="7C7F4A22" w:rsidR="00AD7359" w:rsidRPr="00B773E5" w:rsidRDefault="00AD7359" w:rsidP="00947EE9">
            <w:pPr>
              <w:jc w:val="both"/>
              <w:rPr>
                <w:rFonts w:eastAsia="Times New Roman" w:cs="Times New Roman"/>
                <w:sz w:val="20"/>
                <w:szCs w:val="20"/>
                <w:lang w:eastAsia="lv-LV"/>
              </w:rPr>
            </w:pPr>
          </w:p>
        </w:tc>
      </w:tr>
      <w:tr w:rsidR="0063184F" w:rsidRPr="005B6DEE" w14:paraId="6ACFEF3C" w14:textId="77777777" w:rsidTr="00D61746">
        <w:trPr>
          <w:trHeight w:val="300"/>
        </w:trPr>
        <w:tc>
          <w:tcPr>
            <w:tcW w:w="252" w:type="pct"/>
            <w:tcBorders>
              <w:top w:val="outset" w:sz="6" w:space="0" w:color="414142"/>
              <w:left w:val="outset" w:sz="6" w:space="0" w:color="414142"/>
              <w:bottom w:val="outset" w:sz="6" w:space="0" w:color="414142"/>
              <w:right w:val="outset" w:sz="6" w:space="0" w:color="414142"/>
            </w:tcBorders>
          </w:tcPr>
          <w:p w14:paraId="2C3C7AE1" w14:textId="1646D60B" w:rsidR="0063184F" w:rsidRPr="00263BE9" w:rsidRDefault="00C56062" w:rsidP="0063184F">
            <w:pPr>
              <w:jc w:val="center"/>
              <w:rPr>
                <w:rFonts w:eastAsia="Times New Roman" w:cs="Times New Roman"/>
                <w:szCs w:val="24"/>
                <w:lang w:eastAsia="lv-LV"/>
              </w:rPr>
            </w:pPr>
            <w:r w:rsidRPr="00C56062">
              <w:rPr>
                <w:rFonts w:eastAsia="Times New Roman" w:cs="Times New Roman"/>
                <w:sz w:val="20"/>
                <w:szCs w:val="24"/>
                <w:lang w:eastAsia="lv-LV"/>
              </w:rPr>
              <w:t>3.</w:t>
            </w:r>
          </w:p>
        </w:tc>
        <w:tc>
          <w:tcPr>
            <w:tcW w:w="1064" w:type="pct"/>
            <w:tcBorders>
              <w:top w:val="outset" w:sz="6" w:space="0" w:color="414142"/>
              <w:left w:val="outset" w:sz="6" w:space="0" w:color="414142"/>
              <w:bottom w:val="outset" w:sz="6" w:space="0" w:color="414142"/>
              <w:right w:val="outset" w:sz="6" w:space="0" w:color="414142"/>
            </w:tcBorders>
          </w:tcPr>
          <w:p w14:paraId="02FA38A4" w14:textId="5F8BEF3C" w:rsidR="00D17DC7" w:rsidRPr="00B575A7" w:rsidRDefault="0063184F" w:rsidP="00947EE9">
            <w:pPr>
              <w:ind w:right="63"/>
              <w:jc w:val="both"/>
              <w:rPr>
                <w:rFonts w:eastAsia="Times New Roman" w:cs="Times New Roman"/>
                <w:sz w:val="20"/>
                <w:szCs w:val="20"/>
                <w:lang w:eastAsia="lv-LV"/>
              </w:rPr>
            </w:pPr>
            <w:r w:rsidRPr="00B575A7">
              <w:rPr>
                <w:rFonts w:eastAsia="Times New Roman" w:cs="Times New Roman"/>
                <w:sz w:val="20"/>
                <w:szCs w:val="24"/>
                <w:lang w:eastAsia="lv-LV"/>
              </w:rPr>
              <w:t xml:space="preserve">2.7. </w:t>
            </w:r>
            <w:r w:rsidRPr="00F15785">
              <w:rPr>
                <w:rFonts w:eastAsia="Times New Roman" w:cs="Times New Roman"/>
                <w:sz w:val="20"/>
                <w:szCs w:val="24"/>
                <w:lang w:eastAsia="lv-LV"/>
              </w:rPr>
              <w:t xml:space="preserve">konsolidētais gada pārskats </w:t>
            </w:r>
            <w:r w:rsidRPr="00B575A7">
              <w:rPr>
                <w:rFonts w:eastAsia="Times New Roman" w:cs="Times New Roman"/>
                <w:sz w:val="20"/>
                <w:szCs w:val="24"/>
                <w:lang w:eastAsia="lv-LV"/>
              </w:rPr>
              <w:t>– ministriju, centrālo valsts budžeta iestāžu (turpmāk – ministriju) un pašvaldību gada pārskats, kas sagatavots kā vienas vienības gada pārskats, kurā apkopota informācija par vairākām konsolidācijā iesaistītām iestādēm, izslēdzot konsolidācijā iesaistīto iestāžu savstarpējos darījumus un atlikumus;</w:t>
            </w:r>
            <w:r w:rsidR="00D17DC7" w:rsidRPr="00B575A7">
              <w:rPr>
                <w:rFonts w:eastAsia="Times New Roman" w:cs="Times New Roman"/>
                <w:sz w:val="20"/>
                <w:szCs w:val="20"/>
                <w:lang w:eastAsia="lv-LV"/>
              </w:rPr>
              <w:t xml:space="preserve"> </w:t>
            </w:r>
          </w:p>
          <w:p w14:paraId="2742E29B" w14:textId="28BC531E" w:rsidR="0063184F" w:rsidRPr="00B575A7" w:rsidRDefault="0063184F" w:rsidP="00947EE9">
            <w:pPr>
              <w:ind w:right="63"/>
              <w:jc w:val="both"/>
              <w:rPr>
                <w:rFonts w:eastAsia="Times New Roman" w:cs="Times New Roman"/>
                <w:sz w:val="20"/>
                <w:szCs w:val="20"/>
                <w:lang w:eastAsia="lv-LV"/>
              </w:rPr>
            </w:pPr>
          </w:p>
        </w:tc>
        <w:tc>
          <w:tcPr>
            <w:tcW w:w="1731" w:type="pct"/>
            <w:tcBorders>
              <w:top w:val="outset" w:sz="6" w:space="0" w:color="414142"/>
              <w:left w:val="outset" w:sz="6" w:space="0" w:color="414142"/>
              <w:bottom w:val="outset" w:sz="6" w:space="0" w:color="414142"/>
              <w:right w:val="outset" w:sz="6" w:space="0" w:color="414142"/>
            </w:tcBorders>
          </w:tcPr>
          <w:p w14:paraId="4BFC181E" w14:textId="77777777" w:rsidR="0063184F" w:rsidRPr="00204CC0" w:rsidRDefault="0063184F" w:rsidP="00947EE9">
            <w:pPr>
              <w:pStyle w:val="ListParagraph"/>
              <w:ind w:left="0"/>
              <w:jc w:val="both"/>
              <w:rPr>
                <w:sz w:val="20"/>
                <w:szCs w:val="20"/>
              </w:rPr>
            </w:pPr>
            <w:r w:rsidRPr="00204CC0">
              <w:rPr>
                <w:sz w:val="20"/>
                <w:szCs w:val="20"/>
              </w:rPr>
              <w:t>Valsts kontrole:</w:t>
            </w:r>
          </w:p>
          <w:p w14:paraId="21361F80" w14:textId="77777777" w:rsidR="0063184F" w:rsidRPr="00204CC0" w:rsidRDefault="0063184F" w:rsidP="00947EE9">
            <w:pPr>
              <w:jc w:val="both"/>
              <w:rPr>
                <w:rFonts w:eastAsia="Times New Roman" w:cs="Times New Roman"/>
                <w:sz w:val="20"/>
                <w:szCs w:val="20"/>
                <w:lang w:eastAsia="lv-LV"/>
              </w:rPr>
            </w:pPr>
            <w:r w:rsidRPr="00204CC0">
              <w:rPr>
                <w:rFonts w:eastAsia="Times New Roman" w:cs="Times New Roman"/>
                <w:sz w:val="20"/>
                <w:szCs w:val="20"/>
                <w:lang w:eastAsia="lv-LV"/>
              </w:rPr>
              <w:t xml:space="preserve"> [1.2]  No Projekta 2.7.apakšpunktā sniegtā termina konsolidētais gada pārskats skaidrojuma nav saprotams, vai ar šo terminu ir domāts valsts konsolidētā gada pārskata (saimnieciskā gada pārskats) skaidrojums (šajā gadījumā skaidrojums nav pilnīgs) vai  skaidrotais termins attiecas uz saimnieciskā gada pārskatā iekļauto vienību konsolidētajiem pārskatiem (šajā gadījumā nav saprotams, kāpēc šis termins tiek skaidrots Projektā, turklāt skaidrojums atšķiras no budžeta iestāžu grāmatvedības uzskaites un budžeta iestāžu gada pārskatu sagatavošanas jomā noteiktā konsolidētā gada pārskata skaidrojuma). Vienlaikus Projekta 2.6., 2.8., 2.20.apakšpunktā minētie terminu skaidrojumi ir veidoti, lietojot atšķirīgu terminoloģiju un attiecas uz valsts konsolidēto pārskatu (saimnieciskā gada pārskats).</w:t>
            </w:r>
          </w:p>
        </w:tc>
        <w:tc>
          <w:tcPr>
            <w:tcW w:w="893" w:type="pct"/>
            <w:tcBorders>
              <w:top w:val="outset" w:sz="6" w:space="0" w:color="414142"/>
              <w:left w:val="outset" w:sz="6" w:space="0" w:color="414142"/>
              <w:bottom w:val="outset" w:sz="6" w:space="0" w:color="414142"/>
              <w:right w:val="outset" w:sz="6" w:space="0" w:color="414142"/>
            </w:tcBorders>
          </w:tcPr>
          <w:p w14:paraId="78D56DBE" w14:textId="45354F35" w:rsidR="0063184F" w:rsidRDefault="0063184F" w:rsidP="00947EE9">
            <w:pPr>
              <w:jc w:val="both"/>
              <w:rPr>
                <w:rFonts w:eastAsia="Times New Roman" w:cs="Times New Roman"/>
                <w:b/>
                <w:sz w:val="20"/>
                <w:szCs w:val="20"/>
                <w:lang w:eastAsia="lv-LV"/>
              </w:rPr>
            </w:pPr>
            <w:r w:rsidRPr="00204CC0">
              <w:rPr>
                <w:rFonts w:eastAsia="Times New Roman" w:cs="Times New Roman"/>
                <w:b/>
                <w:sz w:val="20"/>
                <w:szCs w:val="20"/>
                <w:lang w:eastAsia="lv-LV"/>
              </w:rPr>
              <w:t>Ņemts vērā</w:t>
            </w:r>
          </w:p>
          <w:p w14:paraId="292C74F4" w14:textId="1C2C295E" w:rsidR="00D17DC7" w:rsidRPr="00D17DC7" w:rsidRDefault="00D17DC7" w:rsidP="00947EE9">
            <w:pPr>
              <w:jc w:val="both"/>
              <w:rPr>
                <w:rFonts w:eastAsia="Times New Roman" w:cs="Times New Roman"/>
                <w:sz w:val="20"/>
                <w:szCs w:val="20"/>
                <w:lang w:eastAsia="lv-LV"/>
              </w:rPr>
            </w:pPr>
            <w:r w:rsidRPr="00D17DC7">
              <w:rPr>
                <w:rFonts w:eastAsia="Times New Roman" w:cs="Times New Roman"/>
                <w:sz w:val="20"/>
                <w:szCs w:val="20"/>
                <w:lang w:eastAsia="lv-LV"/>
              </w:rPr>
              <w:t>Izslēgts 2.7.apakšpunkts</w:t>
            </w:r>
          </w:p>
          <w:p w14:paraId="34633ADB" w14:textId="77CFF1A1" w:rsidR="0063184F" w:rsidRPr="00204CC0" w:rsidRDefault="0063184F" w:rsidP="00947EE9">
            <w:pPr>
              <w:jc w:val="both"/>
              <w:rPr>
                <w:rFonts w:eastAsia="Times New Roman" w:cs="Times New Roman"/>
                <w:sz w:val="20"/>
                <w:szCs w:val="20"/>
                <w:lang w:eastAsia="lv-LV"/>
              </w:rPr>
            </w:pPr>
          </w:p>
        </w:tc>
        <w:tc>
          <w:tcPr>
            <w:tcW w:w="1060" w:type="pct"/>
            <w:tcBorders>
              <w:top w:val="outset" w:sz="6" w:space="0" w:color="414142"/>
              <w:left w:val="outset" w:sz="6" w:space="0" w:color="414142"/>
              <w:bottom w:val="outset" w:sz="6" w:space="0" w:color="414142"/>
              <w:right w:val="outset" w:sz="6" w:space="0" w:color="414142"/>
            </w:tcBorders>
          </w:tcPr>
          <w:p w14:paraId="5DD5B6BA" w14:textId="384DBE7B" w:rsidR="0063184F" w:rsidRPr="00B069AB" w:rsidRDefault="00BF7FC8" w:rsidP="00947EE9">
            <w:pPr>
              <w:jc w:val="both"/>
              <w:rPr>
                <w:rFonts w:eastAsia="Times New Roman" w:cs="Times New Roman"/>
                <w:sz w:val="20"/>
                <w:szCs w:val="20"/>
                <w:lang w:eastAsia="lv-LV"/>
              </w:rPr>
            </w:pPr>
            <w:r>
              <w:rPr>
                <w:rFonts w:eastAsia="Times New Roman" w:cs="Times New Roman"/>
                <w:sz w:val="20"/>
                <w:szCs w:val="20"/>
                <w:lang w:eastAsia="lv-LV"/>
              </w:rPr>
              <w:t>x</w:t>
            </w:r>
          </w:p>
        </w:tc>
      </w:tr>
      <w:tr w:rsidR="0063184F" w:rsidRPr="005B6DEE" w14:paraId="3EEC088C" w14:textId="77777777" w:rsidTr="00D61746">
        <w:tc>
          <w:tcPr>
            <w:tcW w:w="252" w:type="pct"/>
            <w:tcBorders>
              <w:top w:val="outset" w:sz="6" w:space="0" w:color="414142"/>
              <w:left w:val="outset" w:sz="6" w:space="0" w:color="414142"/>
              <w:bottom w:val="outset" w:sz="6" w:space="0" w:color="414142"/>
              <w:right w:val="outset" w:sz="6" w:space="0" w:color="414142"/>
            </w:tcBorders>
          </w:tcPr>
          <w:p w14:paraId="1BAACE95" w14:textId="167596E6" w:rsidR="0063184F" w:rsidRPr="005B6DEE" w:rsidRDefault="00C56062" w:rsidP="0063184F">
            <w:pPr>
              <w:jc w:val="center"/>
              <w:rPr>
                <w:rFonts w:eastAsia="Times New Roman" w:cs="Times New Roman"/>
                <w:sz w:val="20"/>
                <w:szCs w:val="20"/>
                <w:lang w:eastAsia="lv-LV"/>
              </w:rPr>
            </w:pPr>
            <w:r>
              <w:rPr>
                <w:rFonts w:eastAsia="Times New Roman" w:cs="Times New Roman"/>
                <w:sz w:val="20"/>
                <w:szCs w:val="20"/>
                <w:lang w:eastAsia="lv-LV"/>
              </w:rPr>
              <w:t>4.</w:t>
            </w:r>
          </w:p>
        </w:tc>
        <w:tc>
          <w:tcPr>
            <w:tcW w:w="1064" w:type="pct"/>
            <w:tcBorders>
              <w:top w:val="outset" w:sz="6" w:space="0" w:color="414142"/>
              <w:left w:val="outset" w:sz="6" w:space="0" w:color="414142"/>
              <w:bottom w:val="outset" w:sz="6" w:space="0" w:color="414142"/>
              <w:right w:val="outset" w:sz="6" w:space="0" w:color="414142"/>
            </w:tcBorders>
          </w:tcPr>
          <w:p w14:paraId="7FD38115" w14:textId="77777777" w:rsidR="0063184F" w:rsidRPr="00631F05" w:rsidRDefault="0063184F" w:rsidP="00947EE9">
            <w:pPr>
              <w:jc w:val="both"/>
              <w:rPr>
                <w:rFonts w:eastAsia="Times New Roman" w:cs="Times New Roman"/>
                <w:sz w:val="20"/>
                <w:szCs w:val="20"/>
                <w:lang w:eastAsia="lv-LV"/>
              </w:rPr>
            </w:pPr>
            <w:r w:rsidRPr="00631F05">
              <w:rPr>
                <w:rFonts w:eastAsia="Times New Roman" w:cs="Times New Roman"/>
                <w:sz w:val="20"/>
                <w:szCs w:val="20"/>
                <w:lang w:eastAsia="lv-LV"/>
              </w:rPr>
              <w:t xml:space="preserve">3.2. finanšu pārskata atbilstoši šo noteikumu 5.1. un 5.2.apakšpunktam </w:t>
            </w:r>
            <w:r w:rsidRPr="00F15785">
              <w:rPr>
                <w:rFonts w:eastAsia="Times New Roman" w:cs="Times New Roman"/>
                <w:sz w:val="20"/>
                <w:szCs w:val="20"/>
                <w:lang w:eastAsia="lv-LV"/>
              </w:rPr>
              <w:t>un pārskata skaidrojumiem</w:t>
            </w:r>
            <w:r w:rsidRPr="00631F05">
              <w:rPr>
                <w:rFonts w:eastAsia="Times New Roman" w:cs="Times New Roman"/>
                <w:sz w:val="20"/>
                <w:szCs w:val="20"/>
                <w:lang w:eastAsia="lv-LV"/>
              </w:rPr>
              <w:t>;</w:t>
            </w:r>
          </w:p>
          <w:p w14:paraId="700BF1AC" w14:textId="77777777" w:rsidR="0063184F" w:rsidRPr="00631F05" w:rsidRDefault="0063184F" w:rsidP="00947EE9">
            <w:pPr>
              <w:jc w:val="both"/>
              <w:rPr>
                <w:rFonts w:eastAsia="Times New Roman" w:cs="Times New Roman"/>
                <w:sz w:val="20"/>
                <w:szCs w:val="20"/>
                <w:lang w:eastAsia="lv-LV"/>
              </w:rPr>
            </w:pPr>
          </w:p>
          <w:p w14:paraId="7B10D771" w14:textId="45813253" w:rsidR="0063184F" w:rsidRDefault="0063184F" w:rsidP="00947EE9">
            <w:pPr>
              <w:jc w:val="both"/>
              <w:rPr>
                <w:rFonts w:eastAsia="Times New Roman" w:cs="Times New Roman"/>
                <w:sz w:val="20"/>
                <w:szCs w:val="20"/>
                <w:lang w:eastAsia="lv-LV"/>
              </w:rPr>
            </w:pPr>
            <w:r w:rsidRPr="00631F05">
              <w:rPr>
                <w:rFonts w:eastAsia="Times New Roman" w:cs="Times New Roman"/>
                <w:sz w:val="20"/>
                <w:szCs w:val="20"/>
                <w:lang w:eastAsia="lv-LV"/>
              </w:rPr>
              <w:t xml:space="preserve">3.3. budžetu izpildes pārskata atbilstoši šo noteikumu 6.punktam un </w:t>
            </w:r>
            <w:r w:rsidRPr="00F15785">
              <w:rPr>
                <w:rFonts w:eastAsia="Times New Roman" w:cs="Times New Roman"/>
                <w:sz w:val="20"/>
                <w:szCs w:val="20"/>
                <w:lang w:eastAsia="lv-LV"/>
              </w:rPr>
              <w:t>pārskata skaidrojumiem</w:t>
            </w:r>
            <w:r w:rsidRPr="00631F05">
              <w:rPr>
                <w:rFonts w:eastAsia="Times New Roman" w:cs="Times New Roman"/>
                <w:sz w:val="20"/>
                <w:szCs w:val="20"/>
                <w:lang w:eastAsia="lv-LV"/>
              </w:rPr>
              <w:t>.</w:t>
            </w:r>
          </w:p>
          <w:p w14:paraId="087469A8" w14:textId="77777777" w:rsidR="00CF1821" w:rsidRDefault="00CF1821" w:rsidP="00947EE9">
            <w:pPr>
              <w:jc w:val="both"/>
              <w:rPr>
                <w:rFonts w:eastAsia="Times New Roman" w:cs="Times New Roman"/>
                <w:sz w:val="20"/>
                <w:szCs w:val="20"/>
                <w:lang w:eastAsia="lv-LV"/>
              </w:rPr>
            </w:pPr>
          </w:p>
          <w:p w14:paraId="1E2F35FF" w14:textId="1E47B285" w:rsidR="0063184F" w:rsidRDefault="0063184F" w:rsidP="00947EE9">
            <w:pPr>
              <w:jc w:val="both"/>
              <w:rPr>
                <w:sz w:val="20"/>
                <w:szCs w:val="20"/>
              </w:rPr>
            </w:pPr>
            <w:r w:rsidRPr="00AD6E2F">
              <w:rPr>
                <w:sz w:val="20"/>
                <w:szCs w:val="20"/>
              </w:rPr>
              <w:t>5.1.4.4.</w:t>
            </w:r>
            <w:r w:rsidRPr="00AD6E2F">
              <w:rPr>
                <w:sz w:val="20"/>
                <w:szCs w:val="20"/>
              </w:rPr>
              <w:tab/>
              <w:t xml:space="preserve">finanšu pārskata posteņu </w:t>
            </w:r>
            <w:r w:rsidRPr="00F15785">
              <w:rPr>
                <w:sz w:val="20"/>
                <w:szCs w:val="20"/>
              </w:rPr>
              <w:t>skaidrojuma</w:t>
            </w:r>
            <w:r w:rsidRPr="00AD6E2F">
              <w:rPr>
                <w:sz w:val="20"/>
                <w:szCs w:val="20"/>
              </w:rPr>
              <w:t>;</w:t>
            </w:r>
          </w:p>
          <w:p w14:paraId="3F986472" w14:textId="22F42775" w:rsidR="0063184F" w:rsidRPr="00AD6E2F" w:rsidRDefault="0063184F" w:rsidP="00947EE9">
            <w:pPr>
              <w:jc w:val="both"/>
              <w:rPr>
                <w:sz w:val="20"/>
                <w:szCs w:val="20"/>
              </w:rPr>
            </w:pPr>
            <w:r w:rsidRPr="00AD6E2F">
              <w:rPr>
                <w:sz w:val="20"/>
                <w:szCs w:val="20"/>
              </w:rPr>
              <w:t>5.2.</w:t>
            </w:r>
            <w:r w:rsidRPr="00AD6E2F">
              <w:rPr>
                <w:sz w:val="20"/>
                <w:szCs w:val="20"/>
              </w:rPr>
              <w:tab/>
              <w:t xml:space="preserve">pārskatu par valsts konsolidēto parādu un tā pielikumu – </w:t>
            </w:r>
            <w:r w:rsidRPr="00F15785">
              <w:rPr>
                <w:sz w:val="20"/>
                <w:szCs w:val="20"/>
              </w:rPr>
              <w:t xml:space="preserve">skaidrojumu </w:t>
            </w:r>
            <w:r w:rsidRPr="00AD6E2F">
              <w:rPr>
                <w:sz w:val="20"/>
                <w:szCs w:val="20"/>
              </w:rPr>
              <w:t>par valsts konsolidēto parādu.</w:t>
            </w:r>
          </w:p>
          <w:p w14:paraId="23F8FAEC" w14:textId="77777777" w:rsidR="0063184F" w:rsidRPr="00AD6E2F" w:rsidRDefault="0063184F" w:rsidP="00947EE9">
            <w:pPr>
              <w:jc w:val="both"/>
              <w:rPr>
                <w:rFonts w:eastAsia="Times New Roman" w:cs="Times New Roman"/>
                <w:sz w:val="20"/>
                <w:szCs w:val="20"/>
                <w:lang w:eastAsia="lv-LV"/>
              </w:rPr>
            </w:pPr>
            <w:r w:rsidRPr="00AD6E2F">
              <w:rPr>
                <w:rFonts w:eastAsia="Times New Roman" w:cs="Times New Roman"/>
                <w:sz w:val="20"/>
                <w:szCs w:val="20"/>
                <w:lang w:eastAsia="lv-LV"/>
              </w:rPr>
              <w:t>6.1.</w:t>
            </w:r>
            <w:r w:rsidRPr="00AD6E2F">
              <w:rPr>
                <w:rFonts w:eastAsia="Times New Roman" w:cs="Times New Roman"/>
                <w:sz w:val="20"/>
                <w:szCs w:val="20"/>
                <w:lang w:eastAsia="lv-LV"/>
              </w:rPr>
              <w:tab/>
            </w:r>
            <w:r w:rsidRPr="00F15785">
              <w:rPr>
                <w:rFonts w:eastAsia="Times New Roman" w:cs="Times New Roman"/>
                <w:sz w:val="20"/>
                <w:szCs w:val="20"/>
                <w:lang w:eastAsia="lv-LV"/>
              </w:rPr>
              <w:t xml:space="preserve">skaidrojuma </w:t>
            </w:r>
            <w:r w:rsidRPr="00AD6E2F">
              <w:rPr>
                <w:rFonts w:eastAsia="Times New Roman" w:cs="Times New Roman"/>
                <w:sz w:val="20"/>
                <w:szCs w:val="20"/>
                <w:lang w:eastAsia="lv-LV"/>
              </w:rPr>
              <w:t>par konsolidētā kopbudžeta izpildi;</w:t>
            </w:r>
          </w:p>
          <w:p w14:paraId="6176FF6A" w14:textId="77777777" w:rsidR="0063184F" w:rsidRPr="00AD6E2F" w:rsidRDefault="0063184F" w:rsidP="00947EE9">
            <w:pPr>
              <w:jc w:val="both"/>
              <w:rPr>
                <w:rFonts w:eastAsia="Times New Roman" w:cs="Times New Roman"/>
                <w:sz w:val="20"/>
                <w:szCs w:val="20"/>
                <w:lang w:eastAsia="lv-LV"/>
              </w:rPr>
            </w:pPr>
            <w:r w:rsidRPr="00AD6E2F">
              <w:rPr>
                <w:rFonts w:eastAsia="Times New Roman" w:cs="Times New Roman"/>
                <w:sz w:val="20"/>
                <w:szCs w:val="20"/>
                <w:lang w:eastAsia="lv-LV"/>
              </w:rPr>
              <w:t>6.2.4.</w:t>
            </w:r>
            <w:r w:rsidRPr="00AD6E2F">
              <w:rPr>
                <w:rFonts w:eastAsia="Times New Roman" w:cs="Times New Roman"/>
                <w:sz w:val="20"/>
                <w:szCs w:val="20"/>
                <w:lang w:eastAsia="lv-LV"/>
              </w:rPr>
              <w:tab/>
            </w:r>
            <w:r w:rsidRPr="00F15785">
              <w:rPr>
                <w:rFonts w:eastAsia="Times New Roman" w:cs="Times New Roman"/>
                <w:sz w:val="20"/>
                <w:szCs w:val="20"/>
                <w:lang w:eastAsia="lv-LV"/>
              </w:rPr>
              <w:t xml:space="preserve">skaidrojumu </w:t>
            </w:r>
            <w:r w:rsidRPr="00AD6E2F">
              <w:rPr>
                <w:rFonts w:eastAsia="Times New Roman" w:cs="Times New Roman"/>
                <w:sz w:val="20"/>
                <w:szCs w:val="20"/>
                <w:lang w:eastAsia="lv-LV"/>
              </w:rPr>
              <w:t>par konsolidēto valsts budžeta izpildi;</w:t>
            </w:r>
          </w:p>
          <w:p w14:paraId="4B3E228F" w14:textId="346D5B4E" w:rsidR="0063184F" w:rsidRDefault="0063184F" w:rsidP="00947EE9">
            <w:pPr>
              <w:jc w:val="both"/>
              <w:rPr>
                <w:rFonts w:eastAsia="Times New Roman" w:cs="Times New Roman"/>
                <w:sz w:val="20"/>
                <w:szCs w:val="20"/>
                <w:lang w:eastAsia="lv-LV"/>
              </w:rPr>
            </w:pPr>
            <w:r w:rsidRPr="00AD6E2F">
              <w:rPr>
                <w:rFonts w:eastAsia="Times New Roman" w:cs="Times New Roman"/>
                <w:sz w:val="20"/>
                <w:szCs w:val="20"/>
                <w:lang w:eastAsia="lv-LV"/>
              </w:rPr>
              <w:t>6.3.4.</w:t>
            </w:r>
            <w:r w:rsidRPr="00AD6E2F">
              <w:rPr>
                <w:rFonts w:eastAsia="Times New Roman" w:cs="Times New Roman"/>
                <w:sz w:val="20"/>
                <w:szCs w:val="20"/>
                <w:lang w:eastAsia="lv-LV"/>
              </w:rPr>
              <w:tab/>
            </w:r>
            <w:r w:rsidRPr="00F15785">
              <w:rPr>
                <w:rFonts w:eastAsia="Times New Roman" w:cs="Times New Roman"/>
                <w:sz w:val="20"/>
                <w:szCs w:val="20"/>
                <w:lang w:eastAsia="lv-LV"/>
              </w:rPr>
              <w:t xml:space="preserve">skaidrojumu </w:t>
            </w:r>
            <w:r w:rsidRPr="00AD6E2F">
              <w:rPr>
                <w:rFonts w:eastAsia="Times New Roman" w:cs="Times New Roman"/>
                <w:sz w:val="20"/>
                <w:szCs w:val="20"/>
                <w:lang w:eastAsia="lv-LV"/>
              </w:rPr>
              <w:t>par konsolidēto pašvaldību budžeta izpildi.</w:t>
            </w:r>
          </w:p>
          <w:p w14:paraId="1CE86D6C" w14:textId="7E1ED39A" w:rsidR="0063184F" w:rsidRDefault="0063184F" w:rsidP="00947EE9">
            <w:pPr>
              <w:jc w:val="both"/>
              <w:rPr>
                <w:rFonts w:eastAsia="Times New Roman" w:cs="Times New Roman"/>
                <w:sz w:val="20"/>
                <w:szCs w:val="20"/>
                <w:lang w:eastAsia="lv-LV"/>
              </w:rPr>
            </w:pPr>
            <w:r w:rsidRPr="004B0339">
              <w:rPr>
                <w:rFonts w:eastAsia="Times New Roman" w:cs="Times New Roman"/>
                <w:sz w:val="20"/>
                <w:szCs w:val="20"/>
                <w:lang w:eastAsia="lv-LV"/>
              </w:rPr>
              <w:t>12.</w:t>
            </w:r>
            <w:r w:rsidRPr="004B0339">
              <w:rPr>
                <w:rFonts w:eastAsia="Times New Roman" w:cs="Times New Roman"/>
                <w:sz w:val="20"/>
                <w:szCs w:val="20"/>
                <w:lang w:eastAsia="lv-LV"/>
              </w:rPr>
              <w:tab/>
              <w:t xml:space="preserve">Finanšu un budžeta izpildes pārskatus, to pielikumus un </w:t>
            </w:r>
            <w:r w:rsidRPr="00F15785">
              <w:rPr>
                <w:rFonts w:eastAsia="Times New Roman" w:cs="Times New Roman"/>
                <w:sz w:val="20"/>
                <w:szCs w:val="20"/>
                <w:lang w:eastAsia="lv-LV"/>
              </w:rPr>
              <w:t xml:space="preserve">skaidrojumus </w:t>
            </w:r>
            <w:r w:rsidRPr="004B0339">
              <w:rPr>
                <w:rFonts w:eastAsia="Times New Roman" w:cs="Times New Roman"/>
                <w:sz w:val="20"/>
                <w:szCs w:val="20"/>
                <w:lang w:eastAsia="lv-LV"/>
              </w:rPr>
              <w:t>sagatavo euro valūtas vienībās.</w:t>
            </w:r>
          </w:p>
          <w:p w14:paraId="7FA8B91F" w14:textId="5FDB4838" w:rsidR="0063184F" w:rsidRDefault="0063184F" w:rsidP="00947EE9">
            <w:pPr>
              <w:jc w:val="both"/>
              <w:rPr>
                <w:rFonts w:eastAsia="Times New Roman" w:cs="Times New Roman"/>
                <w:sz w:val="20"/>
                <w:szCs w:val="20"/>
                <w:lang w:eastAsia="lv-LV"/>
              </w:rPr>
            </w:pPr>
            <w:r w:rsidRPr="0030403B">
              <w:rPr>
                <w:rFonts w:eastAsia="Times New Roman" w:cs="Times New Roman"/>
                <w:sz w:val="20"/>
                <w:szCs w:val="20"/>
                <w:lang w:eastAsia="lv-LV"/>
              </w:rPr>
              <w:t>13.2.</w:t>
            </w:r>
            <w:r w:rsidRPr="0030403B">
              <w:rPr>
                <w:rFonts w:eastAsia="Times New Roman" w:cs="Times New Roman"/>
                <w:sz w:val="20"/>
                <w:szCs w:val="20"/>
                <w:lang w:eastAsia="lv-LV"/>
              </w:rPr>
              <w:tab/>
              <w:t xml:space="preserve">pamatojoties uz Valsts kasē iesniegtajiem pārskatiem, to pielikumiem un </w:t>
            </w:r>
            <w:r w:rsidRPr="00F15785">
              <w:rPr>
                <w:rFonts w:eastAsia="Times New Roman" w:cs="Times New Roman"/>
                <w:sz w:val="20"/>
                <w:szCs w:val="20"/>
                <w:lang w:eastAsia="lv-LV"/>
              </w:rPr>
              <w:t>skaidrojumiem</w:t>
            </w:r>
            <w:r w:rsidRPr="0030403B">
              <w:rPr>
                <w:rFonts w:eastAsia="Times New Roman" w:cs="Times New Roman"/>
                <w:sz w:val="20"/>
                <w:szCs w:val="20"/>
                <w:lang w:eastAsia="lv-LV"/>
              </w:rPr>
              <w:t>, izmantojot šādus konsolidācijas veidus:</w:t>
            </w:r>
          </w:p>
          <w:p w14:paraId="5DA2F340" w14:textId="77777777" w:rsidR="0063184F" w:rsidRDefault="0063184F" w:rsidP="00947EE9">
            <w:pPr>
              <w:jc w:val="both"/>
              <w:rPr>
                <w:rFonts w:eastAsia="Times New Roman" w:cs="Times New Roman"/>
                <w:sz w:val="20"/>
                <w:szCs w:val="20"/>
                <w:lang w:eastAsia="lv-LV"/>
              </w:rPr>
            </w:pPr>
            <w:r w:rsidRPr="004B0339">
              <w:rPr>
                <w:rFonts w:eastAsia="Times New Roman" w:cs="Times New Roman"/>
                <w:sz w:val="20"/>
                <w:szCs w:val="20"/>
                <w:lang w:eastAsia="lv-LV"/>
              </w:rPr>
              <w:t>23.</w:t>
            </w:r>
            <w:r w:rsidRPr="004B0339">
              <w:rPr>
                <w:rFonts w:eastAsia="Times New Roman" w:cs="Times New Roman"/>
                <w:sz w:val="20"/>
                <w:szCs w:val="20"/>
                <w:lang w:eastAsia="lv-LV"/>
              </w:rPr>
              <w:tab/>
              <w:t xml:space="preserve">Finanšu pārskata posteņu </w:t>
            </w:r>
            <w:r w:rsidRPr="00F15785">
              <w:rPr>
                <w:rFonts w:eastAsia="Times New Roman" w:cs="Times New Roman"/>
                <w:sz w:val="20"/>
                <w:szCs w:val="20"/>
                <w:lang w:eastAsia="lv-LV"/>
              </w:rPr>
              <w:t xml:space="preserve">skaidrojumus </w:t>
            </w:r>
            <w:r w:rsidRPr="004B0339">
              <w:rPr>
                <w:rFonts w:eastAsia="Times New Roman" w:cs="Times New Roman"/>
                <w:sz w:val="20"/>
                <w:szCs w:val="20"/>
                <w:lang w:eastAsia="lv-LV"/>
              </w:rPr>
              <w:t xml:space="preserve">Valsts kase sagatavo saskaņā ar tās noteikto kārtību un apjomu, ievērojot vadlīnijās aprakstītos vispārīgos finanšu pārskatu un to </w:t>
            </w:r>
            <w:r w:rsidRPr="00F15785">
              <w:rPr>
                <w:rFonts w:eastAsia="Times New Roman" w:cs="Times New Roman"/>
                <w:sz w:val="20"/>
                <w:szCs w:val="20"/>
                <w:lang w:eastAsia="lv-LV"/>
              </w:rPr>
              <w:t xml:space="preserve">skaidrojumu </w:t>
            </w:r>
            <w:r w:rsidRPr="004B0339">
              <w:rPr>
                <w:rFonts w:eastAsia="Times New Roman" w:cs="Times New Roman"/>
                <w:sz w:val="20"/>
                <w:szCs w:val="20"/>
                <w:lang w:eastAsia="lv-LV"/>
              </w:rPr>
              <w:t>sagatavošanas pamatprincipus.</w:t>
            </w:r>
          </w:p>
          <w:p w14:paraId="1687E6B1" w14:textId="77777777" w:rsidR="0063184F" w:rsidRDefault="0063184F" w:rsidP="00947EE9">
            <w:pPr>
              <w:jc w:val="both"/>
              <w:rPr>
                <w:rFonts w:eastAsia="Times New Roman" w:cs="Times New Roman"/>
                <w:sz w:val="20"/>
                <w:szCs w:val="20"/>
                <w:lang w:eastAsia="lv-LV"/>
              </w:rPr>
            </w:pPr>
            <w:r w:rsidRPr="00457F84">
              <w:rPr>
                <w:rFonts w:eastAsia="Times New Roman" w:cs="Times New Roman"/>
                <w:sz w:val="20"/>
                <w:szCs w:val="20"/>
                <w:lang w:eastAsia="lv-LV"/>
              </w:rPr>
              <w:t>27.</w:t>
            </w:r>
            <w:r w:rsidRPr="00457F84">
              <w:rPr>
                <w:rFonts w:eastAsia="Times New Roman" w:cs="Times New Roman"/>
                <w:sz w:val="20"/>
                <w:szCs w:val="20"/>
                <w:lang w:eastAsia="lv-LV"/>
              </w:rPr>
              <w:tab/>
              <w:t xml:space="preserve">Finanšu pārskatā norāda piezīmes numuru, kurā sniegts posteņa </w:t>
            </w:r>
            <w:r w:rsidRPr="00F15785">
              <w:rPr>
                <w:rFonts w:eastAsia="Times New Roman" w:cs="Times New Roman"/>
                <w:sz w:val="20"/>
                <w:szCs w:val="20"/>
                <w:lang w:eastAsia="lv-LV"/>
              </w:rPr>
              <w:t>skaidrojums</w:t>
            </w:r>
            <w:r w:rsidRPr="00457F84">
              <w:rPr>
                <w:rFonts w:eastAsia="Times New Roman" w:cs="Times New Roman"/>
                <w:sz w:val="20"/>
                <w:szCs w:val="20"/>
                <w:lang w:eastAsia="lv-LV"/>
              </w:rPr>
              <w:t xml:space="preserve">, savukārt, ja finanšu pārskata posteņu </w:t>
            </w:r>
            <w:r w:rsidRPr="00F15785">
              <w:rPr>
                <w:rFonts w:eastAsia="Times New Roman" w:cs="Times New Roman"/>
                <w:sz w:val="20"/>
                <w:szCs w:val="20"/>
                <w:lang w:eastAsia="lv-LV"/>
              </w:rPr>
              <w:t xml:space="preserve">skaidrojums </w:t>
            </w:r>
            <w:r w:rsidRPr="00457F84">
              <w:rPr>
                <w:rFonts w:eastAsia="Times New Roman" w:cs="Times New Roman"/>
                <w:sz w:val="20"/>
                <w:szCs w:val="20"/>
                <w:lang w:eastAsia="lv-LV"/>
              </w:rPr>
              <w:t xml:space="preserve">aptver vairākus finanšu pārskata posteņus, tad pārskatā norāda visaptverošās piezīmes numuru.  </w:t>
            </w:r>
          </w:p>
          <w:p w14:paraId="616B9911" w14:textId="77777777" w:rsidR="0063184F" w:rsidRDefault="0063184F" w:rsidP="00947EE9">
            <w:pPr>
              <w:jc w:val="both"/>
              <w:rPr>
                <w:rFonts w:eastAsia="Times New Roman" w:cs="Times New Roman"/>
                <w:sz w:val="20"/>
                <w:szCs w:val="20"/>
                <w:lang w:eastAsia="lv-LV"/>
              </w:rPr>
            </w:pPr>
            <w:r w:rsidRPr="00457F84">
              <w:rPr>
                <w:rFonts w:eastAsia="Times New Roman" w:cs="Times New Roman"/>
                <w:sz w:val="20"/>
                <w:szCs w:val="20"/>
                <w:lang w:eastAsia="lv-LV"/>
              </w:rPr>
              <w:t>29.</w:t>
            </w:r>
            <w:r w:rsidRPr="00457F84">
              <w:rPr>
                <w:rFonts w:eastAsia="Times New Roman" w:cs="Times New Roman"/>
                <w:sz w:val="20"/>
                <w:szCs w:val="20"/>
                <w:lang w:eastAsia="lv-LV"/>
              </w:rPr>
              <w:tab/>
              <w:t>Finanšu pārskata pielikums sniedz skaidrojumu par pārskatos norādītajiem posteņiem vai norāda posteņu detalizētāku sadalījumu, kā arī sniedz informāciju par posteņiem, kas neatbilst normatīvajos aktos grāmatvedības uzskaites jomā noteiktajiem atzīšanas kritērijiem.</w:t>
            </w:r>
          </w:p>
          <w:p w14:paraId="2F0CA4B2" w14:textId="0EE4CF6D" w:rsidR="0063184F" w:rsidRDefault="0063184F" w:rsidP="00947EE9">
            <w:pPr>
              <w:jc w:val="both"/>
              <w:rPr>
                <w:rFonts w:eastAsia="Times New Roman" w:cs="Times New Roman"/>
                <w:sz w:val="20"/>
                <w:szCs w:val="20"/>
                <w:lang w:eastAsia="lv-LV"/>
              </w:rPr>
            </w:pPr>
            <w:r w:rsidRPr="00BC7BB7">
              <w:rPr>
                <w:rFonts w:eastAsia="Times New Roman" w:cs="Times New Roman"/>
                <w:sz w:val="20"/>
                <w:szCs w:val="20"/>
                <w:lang w:eastAsia="lv-LV"/>
              </w:rPr>
              <w:t>33.</w:t>
            </w:r>
            <w:r w:rsidRPr="00BC7BB7">
              <w:rPr>
                <w:rFonts w:eastAsia="Times New Roman" w:cs="Times New Roman"/>
                <w:sz w:val="20"/>
                <w:szCs w:val="20"/>
                <w:lang w:eastAsia="lv-LV"/>
              </w:rPr>
              <w:tab/>
              <w:t xml:space="preserve">Finanšu pārskata posteņu </w:t>
            </w:r>
            <w:r w:rsidRPr="00F15785">
              <w:rPr>
                <w:rFonts w:eastAsia="Times New Roman" w:cs="Times New Roman"/>
                <w:sz w:val="20"/>
                <w:szCs w:val="20"/>
                <w:lang w:eastAsia="lv-LV"/>
              </w:rPr>
              <w:t xml:space="preserve">skaidrojumā </w:t>
            </w:r>
            <w:r w:rsidRPr="00BC7BB7">
              <w:rPr>
                <w:rFonts w:eastAsia="Times New Roman" w:cs="Times New Roman"/>
                <w:sz w:val="20"/>
                <w:szCs w:val="20"/>
                <w:lang w:eastAsia="lv-LV"/>
              </w:rPr>
              <w:t>informāciju grupē atbilstoši finanšu pārskatā norādītajai piezīmes un visaptverošās piezīmes numuram.</w:t>
            </w:r>
          </w:p>
          <w:p w14:paraId="1B644834" w14:textId="77777777" w:rsidR="0063184F" w:rsidRPr="00AD6E2F" w:rsidRDefault="0063184F" w:rsidP="00947EE9">
            <w:pPr>
              <w:jc w:val="both"/>
              <w:rPr>
                <w:rFonts w:eastAsia="Times New Roman" w:cs="Times New Roman"/>
                <w:sz w:val="20"/>
                <w:szCs w:val="20"/>
                <w:lang w:eastAsia="lv-LV"/>
              </w:rPr>
            </w:pPr>
            <w:r w:rsidRPr="00AD6E2F">
              <w:rPr>
                <w:rFonts w:eastAsia="Times New Roman" w:cs="Times New Roman"/>
                <w:sz w:val="20"/>
                <w:szCs w:val="20"/>
                <w:lang w:eastAsia="lv-LV"/>
              </w:rPr>
              <w:t>37.</w:t>
            </w:r>
            <w:r w:rsidRPr="00AD6E2F">
              <w:rPr>
                <w:rFonts w:eastAsia="Times New Roman" w:cs="Times New Roman"/>
                <w:sz w:val="20"/>
                <w:szCs w:val="20"/>
                <w:lang w:eastAsia="lv-LV"/>
              </w:rPr>
              <w:tab/>
            </w:r>
            <w:r w:rsidRPr="00F15785">
              <w:rPr>
                <w:rFonts w:eastAsia="Times New Roman" w:cs="Times New Roman"/>
                <w:sz w:val="20"/>
                <w:szCs w:val="20"/>
                <w:lang w:eastAsia="lv-LV"/>
              </w:rPr>
              <w:t xml:space="preserve">Skaidrojumā </w:t>
            </w:r>
            <w:r w:rsidRPr="00AD6E2F">
              <w:rPr>
                <w:rFonts w:eastAsia="Times New Roman" w:cs="Times New Roman"/>
                <w:sz w:val="20"/>
                <w:szCs w:val="20"/>
                <w:lang w:eastAsia="lv-LV"/>
              </w:rPr>
              <w:t>par konsolidētā kopbudžeta izpildi, kas noteikts šo noteikumu 6.1. apakšpunktā, ietver informāciju par pārskata datu struktūru un salīdzināmo informāciju un budžeta klasifikācijas principiem.</w:t>
            </w:r>
          </w:p>
          <w:p w14:paraId="7AF6376D" w14:textId="69B954EE" w:rsidR="0063184F" w:rsidRDefault="0063184F" w:rsidP="00947EE9">
            <w:pPr>
              <w:jc w:val="both"/>
              <w:rPr>
                <w:rFonts w:eastAsia="Times New Roman" w:cs="Times New Roman"/>
                <w:sz w:val="20"/>
                <w:szCs w:val="20"/>
                <w:lang w:eastAsia="lv-LV"/>
              </w:rPr>
            </w:pPr>
            <w:r w:rsidRPr="00AD6E2F">
              <w:rPr>
                <w:rFonts w:eastAsia="Times New Roman" w:cs="Times New Roman"/>
                <w:sz w:val="20"/>
                <w:szCs w:val="20"/>
                <w:lang w:eastAsia="lv-LV"/>
              </w:rPr>
              <w:t>38.</w:t>
            </w:r>
            <w:r w:rsidRPr="00AD6E2F">
              <w:rPr>
                <w:rFonts w:eastAsia="Times New Roman" w:cs="Times New Roman"/>
                <w:sz w:val="20"/>
                <w:szCs w:val="20"/>
                <w:lang w:eastAsia="lv-LV"/>
              </w:rPr>
              <w:tab/>
            </w:r>
            <w:r w:rsidRPr="00F15785">
              <w:rPr>
                <w:rFonts w:eastAsia="Times New Roman" w:cs="Times New Roman"/>
                <w:sz w:val="20"/>
                <w:szCs w:val="20"/>
                <w:lang w:eastAsia="lv-LV"/>
              </w:rPr>
              <w:t xml:space="preserve">Skaidrojumā </w:t>
            </w:r>
            <w:r w:rsidRPr="00AD6E2F">
              <w:rPr>
                <w:rFonts w:eastAsia="Times New Roman" w:cs="Times New Roman"/>
                <w:sz w:val="20"/>
                <w:szCs w:val="20"/>
                <w:lang w:eastAsia="lv-LV"/>
              </w:rPr>
              <w:t>par valsts vai pašvaldību konsolidētā budžeta izpildi, kas noteikts šo noteikumu 6.2.4. un 6.3.4.apakšpunktā, sniedz informāciju par budžeta izstrādāšanas un klasifikācijas principiem un ietver informāciju par nozīmīgāko posteņu izmaiņām un notikumiem, kas ir ietekmējušas izmaiņas. Informāciju sagatavo arī pa budžeta veidiem.</w:t>
            </w:r>
          </w:p>
          <w:p w14:paraId="02C3F357" w14:textId="2CBFCB28" w:rsidR="0063184F" w:rsidRPr="005B6DEE" w:rsidRDefault="0063184F" w:rsidP="00947EE9">
            <w:pPr>
              <w:jc w:val="both"/>
              <w:rPr>
                <w:rFonts w:eastAsia="Times New Roman" w:cs="Times New Roman"/>
                <w:sz w:val="20"/>
                <w:szCs w:val="20"/>
                <w:lang w:eastAsia="lv-LV"/>
              </w:rPr>
            </w:pPr>
            <w:r w:rsidRPr="00AD6E2F">
              <w:rPr>
                <w:rFonts w:eastAsia="Times New Roman" w:cs="Times New Roman"/>
                <w:sz w:val="20"/>
                <w:szCs w:val="20"/>
                <w:lang w:eastAsia="lv-LV"/>
              </w:rPr>
              <w:t>40.</w:t>
            </w:r>
            <w:r w:rsidRPr="00AD6E2F">
              <w:rPr>
                <w:rFonts w:eastAsia="Times New Roman" w:cs="Times New Roman"/>
                <w:sz w:val="20"/>
                <w:szCs w:val="20"/>
                <w:lang w:eastAsia="lv-LV"/>
              </w:rPr>
              <w:tab/>
            </w:r>
            <w:r w:rsidRPr="00F15785">
              <w:rPr>
                <w:rFonts w:eastAsia="Times New Roman" w:cs="Times New Roman"/>
                <w:sz w:val="20"/>
                <w:szCs w:val="20"/>
                <w:lang w:eastAsia="lv-LV"/>
              </w:rPr>
              <w:t xml:space="preserve">Skaidrojumā </w:t>
            </w:r>
            <w:r w:rsidRPr="00AD6E2F">
              <w:rPr>
                <w:rFonts w:eastAsia="Times New Roman" w:cs="Times New Roman"/>
                <w:sz w:val="20"/>
                <w:szCs w:val="20"/>
                <w:lang w:eastAsia="lv-LV"/>
              </w:rPr>
              <w:t>par valsts konsolidēto parādu iekļauj informāciju par valsts parādu un par pašvaldību parādu atbilstoši parāda kategorijām un parāda salīdzinošo datu analīzi par pārskata gadu un iepriekšējiem pārskata gadiem.</w:t>
            </w:r>
          </w:p>
        </w:tc>
        <w:tc>
          <w:tcPr>
            <w:tcW w:w="1731" w:type="pct"/>
            <w:tcBorders>
              <w:top w:val="outset" w:sz="6" w:space="0" w:color="414142"/>
              <w:left w:val="outset" w:sz="6" w:space="0" w:color="414142"/>
              <w:bottom w:val="outset" w:sz="6" w:space="0" w:color="414142"/>
              <w:right w:val="outset" w:sz="6" w:space="0" w:color="414142"/>
            </w:tcBorders>
          </w:tcPr>
          <w:p w14:paraId="3B1267F7" w14:textId="77777777" w:rsidR="0063184F" w:rsidRPr="00204CC0" w:rsidRDefault="0063184F" w:rsidP="00947EE9">
            <w:pPr>
              <w:tabs>
                <w:tab w:val="left" w:pos="0"/>
                <w:tab w:val="left" w:pos="709"/>
                <w:tab w:val="left" w:pos="993"/>
              </w:tabs>
              <w:suppressAutoHyphens/>
              <w:jc w:val="both"/>
              <w:outlineLvl w:val="3"/>
              <w:rPr>
                <w:rFonts w:cs="Times New Roman"/>
                <w:sz w:val="20"/>
                <w:szCs w:val="24"/>
              </w:rPr>
            </w:pPr>
            <w:r w:rsidRPr="00204CC0">
              <w:rPr>
                <w:rFonts w:cs="Times New Roman"/>
                <w:sz w:val="20"/>
                <w:szCs w:val="24"/>
              </w:rPr>
              <w:t>Tieslietu ministrija</w:t>
            </w:r>
          </w:p>
          <w:p w14:paraId="2F58F4A2" w14:textId="77777777" w:rsidR="0063184F" w:rsidRPr="00204CC0" w:rsidRDefault="0063184F" w:rsidP="00947EE9">
            <w:pPr>
              <w:tabs>
                <w:tab w:val="left" w:pos="0"/>
                <w:tab w:val="left" w:pos="709"/>
                <w:tab w:val="left" w:pos="993"/>
              </w:tabs>
              <w:suppressAutoHyphens/>
              <w:jc w:val="both"/>
              <w:outlineLvl w:val="3"/>
              <w:rPr>
                <w:rFonts w:cs="Times New Roman"/>
                <w:sz w:val="20"/>
                <w:szCs w:val="24"/>
              </w:rPr>
            </w:pPr>
            <w:r w:rsidRPr="00204CC0">
              <w:rPr>
                <w:rFonts w:cs="Times New Roman"/>
                <w:sz w:val="20"/>
                <w:szCs w:val="24"/>
              </w:rPr>
              <w:t>4.</w:t>
            </w:r>
            <w:r w:rsidRPr="00204CC0">
              <w:rPr>
                <w:rFonts w:cs="Times New Roman"/>
                <w:sz w:val="20"/>
                <w:szCs w:val="24"/>
              </w:rPr>
              <w:tab/>
              <w:t>Noteikumu projekta 3.2. un 3.3. apakšpunkts paredz, ka saimnieciskā gada pārskats kā vienots kopums sastāv no finanšu pārskata atbilstoši šo noteikumu 5.1. un 5.2. apakšpunktam un pārskata skaidrojumiem, kā arī budžetu izpildes pārskata atbilstoši šo noteikumu 6. punktam un pārskata skaidrojumiem.</w:t>
            </w:r>
          </w:p>
          <w:p w14:paraId="02ADC931" w14:textId="77777777" w:rsidR="0063184F" w:rsidRPr="00204CC0" w:rsidRDefault="0063184F" w:rsidP="00947EE9">
            <w:pPr>
              <w:tabs>
                <w:tab w:val="left" w:pos="0"/>
                <w:tab w:val="left" w:pos="709"/>
                <w:tab w:val="left" w:pos="993"/>
              </w:tabs>
              <w:suppressAutoHyphens/>
              <w:jc w:val="both"/>
              <w:outlineLvl w:val="3"/>
              <w:rPr>
                <w:rFonts w:cs="Times New Roman"/>
                <w:sz w:val="20"/>
                <w:szCs w:val="24"/>
              </w:rPr>
            </w:pPr>
            <w:r w:rsidRPr="00204CC0">
              <w:rPr>
                <w:rFonts w:cs="Times New Roman"/>
                <w:sz w:val="20"/>
                <w:szCs w:val="24"/>
              </w:rPr>
              <w:t>Izstrādājot Ministru kabineta noteikumus, to saturam jāatbilst likumā noteiktajam pilnvarojumam. Ministru kabineta noteikumu saturs nedrīkst būt ne šaurāks, ne plašāks par likumā noteikto pilnvarojumu. Vēršam uzmanību, ka Likuma par budžetu un finanšu vadību 31. panta otrajā daļā nav ietverts pilnvarojums Ministru kabinetam noteikt, ka Finanšu ministrijai, sagatavojot saimnieciskā gada pārskatu, tajā ir jāietver arī attiecīgo pārskatu skaidrojumi.</w:t>
            </w:r>
          </w:p>
          <w:p w14:paraId="325AEF7A" w14:textId="600C0436" w:rsidR="0063184F" w:rsidRPr="00204CC0" w:rsidRDefault="0063184F" w:rsidP="00947EE9">
            <w:pPr>
              <w:tabs>
                <w:tab w:val="left" w:pos="0"/>
                <w:tab w:val="left" w:pos="709"/>
                <w:tab w:val="left" w:pos="993"/>
              </w:tabs>
              <w:suppressAutoHyphens/>
              <w:jc w:val="both"/>
              <w:outlineLvl w:val="3"/>
              <w:rPr>
                <w:rFonts w:cs="Times New Roman"/>
                <w:sz w:val="20"/>
                <w:szCs w:val="24"/>
              </w:rPr>
            </w:pPr>
            <w:r w:rsidRPr="00204CC0">
              <w:rPr>
                <w:rFonts w:cs="Times New Roman"/>
                <w:sz w:val="20"/>
                <w:szCs w:val="24"/>
              </w:rPr>
              <w:t>Ņemot vērā minēto, lūdzam precizēt noteikumu projekta 3.2. un 3.3. apakšpunktu attiecībā uz pārskata skaidrojumiem vai anotāciju, sniedzot tajā pamatojumu par šāda regulējuma nepieciešamību un atbilstību Likuma par budžetu un finanšu vadību 31. panta otrajā daļā ietvertā pilnvarojuma mērķim. Minētais attiecas arī uz noteikumu projekta 12., 23., 27., 29., 33., 37., 38. un 40. punktu, kā arī 5.1.4.4., 5.2., 6.1., 6.2.4., 6.3.4. un 13.2. apakšpunktu.</w:t>
            </w:r>
          </w:p>
        </w:tc>
        <w:tc>
          <w:tcPr>
            <w:tcW w:w="893" w:type="pct"/>
            <w:tcBorders>
              <w:top w:val="outset" w:sz="6" w:space="0" w:color="414142"/>
              <w:left w:val="outset" w:sz="6" w:space="0" w:color="414142"/>
              <w:bottom w:val="outset" w:sz="6" w:space="0" w:color="414142"/>
              <w:right w:val="outset" w:sz="6" w:space="0" w:color="414142"/>
            </w:tcBorders>
          </w:tcPr>
          <w:p w14:paraId="6A4232D4" w14:textId="6141AA94" w:rsidR="0063184F" w:rsidRPr="00FB2938" w:rsidRDefault="00F72E69" w:rsidP="00947EE9">
            <w:pPr>
              <w:jc w:val="both"/>
              <w:rPr>
                <w:rFonts w:eastAsia="Times New Roman" w:cs="Times New Roman"/>
                <w:b/>
                <w:sz w:val="20"/>
                <w:szCs w:val="20"/>
                <w:lang w:eastAsia="lv-LV"/>
              </w:rPr>
            </w:pPr>
            <w:r>
              <w:rPr>
                <w:rFonts w:eastAsia="Times New Roman" w:cs="Times New Roman"/>
                <w:b/>
                <w:sz w:val="20"/>
                <w:szCs w:val="20"/>
                <w:lang w:eastAsia="lv-LV"/>
              </w:rPr>
              <w:t>Ņe</w:t>
            </w:r>
            <w:r w:rsidR="0063184F" w:rsidRPr="00FB2938">
              <w:rPr>
                <w:rFonts w:eastAsia="Times New Roman" w:cs="Times New Roman"/>
                <w:b/>
                <w:sz w:val="20"/>
                <w:szCs w:val="20"/>
                <w:lang w:eastAsia="lv-LV"/>
              </w:rPr>
              <w:t>mts vērā</w:t>
            </w:r>
          </w:p>
          <w:p w14:paraId="4BE8B2E0" w14:textId="3A32AE69" w:rsidR="0063184F" w:rsidRPr="003D60F9" w:rsidRDefault="0063184F" w:rsidP="00947EE9">
            <w:pPr>
              <w:jc w:val="both"/>
              <w:rPr>
                <w:rFonts w:cs="Times New Roman"/>
                <w:sz w:val="20"/>
                <w:szCs w:val="20"/>
              </w:rPr>
            </w:pPr>
            <w:r w:rsidRPr="003D60F9">
              <w:rPr>
                <w:rFonts w:eastAsia="Times New Roman" w:cs="Times New Roman"/>
                <w:sz w:val="20"/>
                <w:szCs w:val="20"/>
                <w:lang w:eastAsia="lv-LV"/>
              </w:rPr>
              <w:t xml:space="preserve">Precizēts noteikumu 3.2. un 3.3.apakšpunkts atbilstoši likuma </w:t>
            </w:r>
            <w:r w:rsidRPr="003D60F9">
              <w:rPr>
                <w:rFonts w:cs="Times New Roman"/>
                <w:sz w:val="20"/>
                <w:szCs w:val="20"/>
              </w:rPr>
              <w:t>Likuma par budžetu un finanšu vadību 31. panta otrajā daļā noteiktajam tvērumam.</w:t>
            </w:r>
          </w:p>
          <w:p w14:paraId="08A4CD94" w14:textId="719E39B4" w:rsidR="0063184F" w:rsidRDefault="0063184F" w:rsidP="00947EE9">
            <w:pPr>
              <w:jc w:val="both"/>
              <w:rPr>
                <w:rFonts w:cs="Times New Roman"/>
                <w:sz w:val="20"/>
                <w:szCs w:val="20"/>
              </w:rPr>
            </w:pPr>
            <w:r w:rsidRPr="003D60F9">
              <w:rPr>
                <w:rFonts w:cs="Times New Roman"/>
                <w:sz w:val="20"/>
                <w:szCs w:val="20"/>
              </w:rPr>
              <w:t>Precizēts noteikumu 5.1.4.4., 5.2., 6.1., 6.2.4., 6.3.4.</w:t>
            </w:r>
            <w:r>
              <w:rPr>
                <w:rFonts w:cs="Times New Roman"/>
                <w:sz w:val="20"/>
                <w:szCs w:val="20"/>
              </w:rPr>
              <w:t xml:space="preserve"> un 13.2. apakšpunkts, 23.,</w:t>
            </w:r>
            <w:r w:rsidRPr="003D60F9">
              <w:rPr>
                <w:rFonts w:cs="Times New Roman"/>
                <w:sz w:val="20"/>
                <w:szCs w:val="20"/>
              </w:rPr>
              <w:t xml:space="preserve"> 27.</w:t>
            </w:r>
            <w:r>
              <w:rPr>
                <w:rFonts w:cs="Times New Roman"/>
                <w:sz w:val="20"/>
                <w:szCs w:val="20"/>
              </w:rPr>
              <w:t>punkts</w:t>
            </w:r>
            <w:r w:rsidRPr="003D60F9">
              <w:rPr>
                <w:rFonts w:cs="Times New Roman"/>
                <w:sz w:val="20"/>
                <w:szCs w:val="20"/>
              </w:rPr>
              <w:t>, 29.</w:t>
            </w:r>
            <w:r>
              <w:rPr>
                <w:rFonts w:cs="Times New Roman"/>
                <w:sz w:val="20"/>
                <w:szCs w:val="20"/>
              </w:rPr>
              <w:t xml:space="preserve"> un 33. punkts (tos apvienojot)</w:t>
            </w:r>
            <w:r w:rsidRPr="003D60F9">
              <w:rPr>
                <w:rFonts w:cs="Times New Roman"/>
                <w:sz w:val="20"/>
                <w:szCs w:val="20"/>
              </w:rPr>
              <w:t xml:space="preserve">, 37., 38. un 40.punkts, lai nepaplašinātu Likuma par budžetu un finanšu vadību 31.panta otrajā daļā noteikto pilnvarojumu, </w:t>
            </w:r>
            <w:r w:rsidRPr="003D60F9">
              <w:rPr>
                <w:rFonts w:eastAsia="Times New Roman" w:cs="Times New Roman"/>
                <w:sz w:val="20"/>
                <w:szCs w:val="20"/>
                <w:lang w:eastAsia="lv-LV"/>
              </w:rPr>
              <w:t xml:space="preserve"> nosakot </w:t>
            </w:r>
            <w:r>
              <w:rPr>
                <w:rFonts w:eastAsia="Times New Roman" w:cs="Times New Roman"/>
                <w:sz w:val="20"/>
                <w:szCs w:val="20"/>
                <w:lang w:eastAsia="lv-LV"/>
              </w:rPr>
              <w:t xml:space="preserve">kādos </w:t>
            </w:r>
            <w:r w:rsidRPr="003D60F9">
              <w:rPr>
                <w:rFonts w:eastAsia="Times New Roman" w:cs="Times New Roman"/>
                <w:sz w:val="20"/>
                <w:szCs w:val="20"/>
                <w:lang w:eastAsia="lv-LV"/>
              </w:rPr>
              <w:t xml:space="preserve">pielikumos </w:t>
            </w:r>
            <w:r w:rsidRPr="003D60F9">
              <w:rPr>
                <w:rFonts w:cs="Times New Roman"/>
                <w:sz w:val="20"/>
                <w:szCs w:val="20"/>
              </w:rPr>
              <w:t>sniedz informāciju skaidrojumu form</w:t>
            </w:r>
            <w:r>
              <w:rPr>
                <w:rFonts w:cs="Times New Roman"/>
                <w:sz w:val="20"/>
                <w:szCs w:val="20"/>
              </w:rPr>
              <w:t>ā</w:t>
            </w:r>
            <w:r w:rsidRPr="003D60F9">
              <w:rPr>
                <w:rFonts w:cs="Times New Roman"/>
                <w:sz w:val="20"/>
                <w:szCs w:val="20"/>
              </w:rPr>
              <w:t>.</w:t>
            </w:r>
          </w:p>
          <w:p w14:paraId="65A1EEDE" w14:textId="6F197A89" w:rsidR="0063184F" w:rsidRPr="003D60F9" w:rsidRDefault="0063184F" w:rsidP="00947EE9">
            <w:pPr>
              <w:jc w:val="both"/>
              <w:rPr>
                <w:rFonts w:eastAsia="Times New Roman" w:cs="Times New Roman"/>
                <w:sz w:val="20"/>
                <w:szCs w:val="20"/>
                <w:lang w:eastAsia="lv-LV"/>
              </w:rPr>
            </w:pPr>
          </w:p>
        </w:tc>
        <w:tc>
          <w:tcPr>
            <w:tcW w:w="1060" w:type="pct"/>
            <w:tcBorders>
              <w:top w:val="outset" w:sz="6" w:space="0" w:color="414142"/>
              <w:left w:val="outset" w:sz="6" w:space="0" w:color="414142"/>
              <w:bottom w:val="outset" w:sz="6" w:space="0" w:color="414142"/>
              <w:right w:val="outset" w:sz="6" w:space="0" w:color="414142"/>
            </w:tcBorders>
          </w:tcPr>
          <w:p w14:paraId="57789FB8" w14:textId="77777777" w:rsidR="00BF7FC8" w:rsidRPr="00B773E5" w:rsidRDefault="00BF7FC8" w:rsidP="00947EE9">
            <w:pPr>
              <w:jc w:val="both"/>
              <w:rPr>
                <w:sz w:val="20"/>
                <w:szCs w:val="20"/>
              </w:rPr>
            </w:pPr>
            <w:r w:rsidRPr="00B773E5">
              <w:rPr>
                <w:sz w:val="20"/>
                <w:szCs w:val="20"/>
              </w:rPr>
              <w:t>3.2.</w:t>
            </w:r>
            <w:r w:rsidRPr="00B773E5">
              <w:rPr>
                <w:sz w:val="20"/>
                <w:szCs w:val="20"/>
              </w:rPr>
              <w:tab/>
              <w:t>finanšu informācijas atbilstoši šo noteikumu 5.1. un 5.2.apakšpunktā minētajiem pārskatiem un</w:t>
            </w:r>
            <w:r w:rsidRPr="00B773E5" w:rsidDel="00CC2A35">
              <w:rPr>
                <w:sz w:val="20"/>
                <w:szCs w:val="20"/>
              </w:rPr>
              <w:t xml:space="preserve"> </w:t>
            </w:r>
            <w:r w:rsidRPr="00B773E5">
              <w:rPr>
                <w:sz w:val="20"/>
                <w:szCs w:val="20"/>
              </w:rPr>
              <w:t>to pielikumiem (turpmāk kopā – finanšu pārskats);</w:t>
            </w:r>
          </w:p>
          <w:p w14:paraId="215310F0" w14:textId="77777777" w:rsidR="00BF7FC8" w:rsidRPr="00B773E5" w:rsidRDefault="00BF7FC8" w:rsidP="00947EE9">
            <w:pPr>
              <w:jc w:val="both"/>
              <w:rPr>
                <w:sz w:val="20"/>
                <w:szCs w:val="20"/>
              </w:rPr>
            </w:pPr>
            <w:r w:rsidRPr="00B773E5">
              <w:rPr>
                <w:sz w:val="20"/>
                <w:szCs w:val="20"/>
              </w:rPr>
              <w:t>3.3.</w:t>
            </w:r>
            <w:r w:rsidRPr="00B773E5">
              <w:rPr>
                <w:sz w:val="20"/>
                <w:szCs w:val="20"/>
              </w:rPr>
              <w:tab/>
              <w:t>informācijas par budžetu izpildi atbilstoši šo noteikumu 6.punktā minētajam pārskatam un</w:t>
            </w:r>
            <w:r w:rsidRPr="00B773E5" w:rsidDel="00CC2A35">
              <w:rPr>
                <w:sz w:val="20"/>
                <w:szCs w:val="20"/>
              </w:rPr>
              <w:t xml:space="preserve"> </w:t>
            </w:r>
            <w:r w:rsidRPr="00B773E5">
              <w:rPr>
                <w:sz w:val="20"/>
                <w:szCs w:val="20"/>
              </w:rPr>
              <w:t>tā pielikumiem.</w:t>
            </w:r>
          </w:p>
          <w:p w14:paraId="76E78499" w14:textId="77777777" w:rsidR="0063184F" w:rsidRPr="00B773E5" w:rsidRDefault="0063184F" w:rsidP="00947EE9">
            <w:pPr>
              <w:pStyle w:val="ListParagraph"/>
              <w:tabs>
                <w:tab w:val="left" w:pos="1276"/>
              </w:tabs>
              <w:ind w:left="0"/>
              <w:jc w:val="both"/>
              <w:rPr>
                <w:sz w:val="20"/>
                <w:szCs w:val="20"/>
              </w:rPr>
            </w:pPr>
          </w:p>
          <w:p w14:paraId="65E1E8AF" w14:textId="7EEA7DFD" w:rsidR="0063184F" w:rsidRPr="00B773E5" w:rsidRDefault="0063184F" w:rsidP="00947EE9">
            <w:pPr>
              <w:pStyle w:val="ListParagraph"/>
              <w:tabs>
                <w:tab w:val="left" w:pos="1701"/>
              </w:tabs>
              <w:ind w:left="0"/>
              <w:jc w:val="both"/>
              <w:rPr>
                <w:rFonts w:eastAsiaTheme="minorHAnsi" w:cstheme="minorBidi"/>
                <w:sz w:val="20"/>
                <w:szCs w:val="20"/>
                <w:lang w:eastAsia="en-US"/>
              </w:rPr>
            </w:pPr>
            <w:r w:rsidRPr="00B773E5">
              <w:rPr>
                <w:rFonts w:eastAsiaTheme="minorHAnsi" w:cstheme="minorBidi"/>
                <w:sz w:val="20"/>
                <w:szCs w:val="20"/>
                <w:lang w:eastAsia="en-US"/>
              </w:rPr>
              <w:t>5.1.4.4. finanšu pārskata posteņiem;</w:t>
            </w:r>
          </w:p>
          <w:p w14:paraId="1666644B" w14:textId="490D7DC5" w:rsidR="00BF7FC8" w:rsidRPr="00B773E5" w:rsidRDefault="00BF7FC8" w:rsidP="00947EE9">
            <w:pPr>
              <w:tabs>
                <w:tab w:val="left" w:pos="1701"/>
              </w:tabs>
              <w:jc w:val="both"/>
              <w:rPr>
                <w:sz w:val="20"/>
                <w:szCs w:val="20"/>
              </w:rPr>
            </w:pPr>
            <w:r w:rsidRPr="00B773E5">
              <w:rPr>
                <w:sz w:val="20"/>
                <w:szCs w:val="20"/>
              </w:rPr>
              <w:t>5.2. pārskatu par valsts konsolidēto parādu un tā pielikumus, kuros sniedz skaidrojumus par valsts konsolidēto parādu.</w:t>
            </w:r>
          </w:p>
          <w:p w14:paraId="1A0DCD92" w14:textId="77777777" w:rsidR="0063184F" w:rsidRPr="00B773E5" w:rsidRDefault="0063184F" w:rsidP="00947EE9">
            <w:pPr>
              <w:pStyle w:val="ListParagraph"/>
              <w:tabs>
                <w:tab w:val="left" w:pos="993"/>
              </w:tabs>
              <w:ind w:left="0" w:firstLine="709"/>
              <w:jc w:val="both"/>
              <w:rPr>
                <w:sz w:val="20"/>
                <w:szCs w:val="20"/>
              </w:rPr>
            </w:pPr>
          </w:p>
          <w:p w14:paraId="778F3728" w14:textId="129881E9" w:rsidR="00BF7FC8" w:rsidRPr="00B773E5" w:rsidRDefault="0063184F" w:rsidP="00947EE9">
            <w:pPr>
              <w:tabs>
                <w:tab w:val="left" w:pos="1418"/>
              </w:tabs>
              <w:jc w:val="both"/>
              <w:rPr>
                <w:rFonts w:cs="Times New Roman"/>
                <w:sz w:val="20"/>
                <w:szCs w:val="20"/>
              </w:rPr>
            </w:pPr>
            <w:r w:rsidRPr="00B773E5">
              <w:rPr>
                <w:rFonts w:cs="Times New Roman"/>
                <w:sz w:val="20"/>
                <w:szCs w:val="20"/>
              </w:rPr>
              <w:t>6.1.</w:t>
            </w:r>
            <w:r w:rsidR="00BF7FC8" w:rsidRPr="00B773E5">
              <w:rPr>
                <w:rFonts w:cs="Times New Roman"/>
                <w:sz w:val="20"/>
                <w:szCs w:val="20"/>
              </w:rPr>
              <w:t xml:space="preserve"> </w:t>
            </w:r>
            <w:r w:rsidRPr="00B773E5">
              <w:rPr>
                <w:rFonts w:cs="Times New Roman"/>
                <w:sz w:val="20"/>
                <w:szCs w:val="20"/>
              </w:rPr>
              <w:t>pielikuma, kurā sniedz skaidrojumu par konsolidētā kopbudžeta izpildi;</w:t>
            </w:r>
          </w:p>
          <w:p w14:paraId="1E9429B1" w14:textId="4785EAD8" w:rsidR="0063184F" w:rsidRPr="00B773E5" w:rsidRDefault="0063184F" w:rsidP="00947EE9">
            <w:pPr>
              <w:tabs>
                <w:tab w:val="left" w:pos="1418"/>
              </w:tabs>
              <w:jc w:val="both"/>
              <w:rPr>
                <w:rFonts w:cs="Times New Roman"/>
                <w:sz w:val="20"/>
                <w:szCs w:val="20"/>
              </w:rPr>
            </w:pPr>
          </w:p>
          <w:p w14:paraId="4959442B" w14:textId="5F94967D" w:rsidR="00BF7FC8" w:rsidRPr="00B773E5" w:rsidRDefault="00BF7FC8" w:rsidP="00947EE9">
            <w:pPr>
              <w:tabs>
                <w:tab w:val="left" w:pos="1418"/>
              </w:tabs>
              <w:jc w:val="both"/>
              <w:rPr>
                <w:rFonts w:cs="Times New Roman"/>
                <w:sz w:val="20"/>
                <w:szCs w:val="20"/>
              </w:rPr>
            </w:pPr>
            <w:r w:rsidRPr="00B773E5">
              <w:rPr>
                <w:rFonts w:cs="Times New Roman"/>
                <w:sz w:val="20"/>
                <w:szCs w:val="20"/>
              </w:rPr>
              <w:t>6.2.4. pielikumu, kurā sniedz skaidrojumu par konsolidēto valsts budžeta izpildi;</w:t>
            </w:r>
          </w:p>
          <w:p w14:paraId="648583F7" w14:textId="7AA34BF0" w:rsidR="00BF7FC8" w:rsidRPr="00B773E5" w:rsidRDefault="00BF7FC8" w:rsidP="00947EE9">
            <w:pPr>
              <w:tabs>
                <w:tab w:val="left" w:pos="1418"/>
              </w:tabs>
              <w:jc w:val="both"/>
              <w:rPr>
                <w:rFonts w:cs="Times New Roman"/>
                <w:sz w:val="20"/>
                <w:szCs w:val="20"/>
              </w:rPr>
            </w:pPr>
            <w:r w:rsidRPr="00B773E5">
              <w:rPr>
                <w:rFonts w:cs="Times New Roman"/>
                <w:sz w:val="20"/>
                <w:szCs w:val="20"/>
              </w:rPr>
              <w:t>6.3.4. pielikumu, kurā sniedz skaidrojumu par konsolidēto pašvaldību budžeta izpildi.</w:t>
            </w:r>
          </w:p>
          <w:p w14:paraId="6B691F47" w14:textId="77777777" w:rsidR="0063184F" w:rsidRPr="00B773E5" w:rsidRDefault="0063184F" w:rsidP="00947EE9">
            <w:pPr>
              <w:pStyle w:val="ListParagraph"/>
              <w:ind w:left="0" w:firstLine="709"/>
              <w:jc w:val="both"/>
              <w:rPr>
                <w:sz w:val="20"/>
                <w:szCs w:val="20"/>
              </w:rPr>
            </w:pPr>
          </w:p>
          <w:p w14:paraId="57C415D0" w14:textId="5CCBFA85" w:rsidR="00BF7FC8" w:rsidRPr="00B773E5" w:rsidRDefault="00BF7FC8" w:rsidP="00947EE9">
            <w:pPr>
              <w:jc w:val="both"/>
              <w:rPr>
                <w:sz w:val="20"/>
                <w:szCs w:val="20"/>
              </w:rPr>
            </w:pPr>
            <w:r w:rsidRPr="00B773E5">
              <w:rPr>
                <w:sz w:val="20"/>
                <w:szCs w:val="20"/>
              </w:rPr>
              <w:t xml:space="preserve">9. Finanšu pārskatu un informāciju par budžetu izpildi sagatavo </w:t>
            </w:r>
            <w:r w:rsidRPr="00B773E5">
              <w:rPr>
                <w:i/>
                <w:sz w:val="20"/>
                <w:szCs w:val="20"/>
              </w:rPr>
              <w:t>euro</w:t>
            </w:r>
            <w:r w:rsidRPr="00B773E5">
              <w:rPr>
                <w:sz w:val="20"/>
                <w:szCs w:val="20"/>
              </w:rPr>
              <w:t xml:space="preserve"> valūtas vienībās.</w:t>
            </w:r>
          </w:p>
          <w:p w14:paraId="61534B6C" w14:textId="77777777" w:rsidR="0063184F" w:rsidRPr="00B773E5" w:rsidRDefault="0063184F" w:rsidP="00947EE9">
            <w:pPr>
              <w:pStyle w:val="ListParagraph"/>
              <w:tabs>
                <w:tab w:val="left" w:pos="1134"/>
              </w:tabs>
              <w:ind w:left="0"/>
              <w:jc w:val="both"/>
              <w:rPr>
                <w:sz w:val="20"/>
                <w:szCs w:val="20"/>
              </w:rPr>
            </w:pPr>
          </w:p>
          <w:p w14:paraId="791FFDDE" w14:textId="5DE200C0" w:rsidR="0063184F" w:rsidRPr="00B773E5" w:rsidRDefault="00BF7FC8" w:rsidP="00947EE9">
            <w:pPr>
              <w:contextualSpacing/>
              <w:jc w:val="both"/>
              <w:rPr>
                <w:rFonts w:cs="Times New Roman"/>
                <w:sz w:val="20"/>
                <w:szCs w:val="20"/>
              </w:rPr>
            </w:pPr>
            <w:r w:rsidRPr="00B773E5">
              <w:rPr>
                <w:rFonts w:cs="Times New Roman"/>
                <w:sz w:val="20"/>
                <w:szCs w:val="20"/>
              </w:rPr>
              <w:t xml:space="preserve">10. Pārskatu sagatavo </w:t>
            </w:r>
            <w:r w:rsidR="0063184F" w:rsidRPr="00B773E5">
              <w:rPr>
                <w:rFonts w:cs="Times New Roman"/>
                <w:sz w:val="20"/>
                <w:szCs w:val="20"/>
              </w:rPr>
              <w:t>pamatojoties uz Valsts kasē iesniegtajiem pārskatiem un to pielikumiem, izmantojot šādus konsolidācijas veidus:</w:t>
            </w:r>
          </w:p>
          <w:p w14:paraId="19E87116" w14:textId="77777777" w:rsidR="0063184F" w:rsidRPr="00B773E5" w:rsidRDefault="0063184F" w:rsidP="00947EE9">
            <w:pPr>
              <w:contextualSpacing/>
              <w:jc w:val="both"/>
              <w:rPr>
                <w:rFonts w:cs="Times New Roman"/>
                <w:sz w:val="20"/>
                <w:szCs w:val="20"/>
              </w:rPr>
            </w:pPr>
          </w:p>
          <w:p w14:paraId="38A17170" w14:textId="088A547D" w:rsidR="00BF7FC8" w:rsidRPr="00B773E5" w:rsidRDefault="00BF7FC8" w:rsidP="00947EE9">
            <w:pPr>
              <w:tabs>
                <w:tab w:val="left" w:pos="1134"/>
              </w:tabs>
              <w:contextualSpacing/>
              <w:jc w:val="both"/>
              <w:rPr>
                <w:rFonts w:cs="Times New Roman"/>
                <w:sz w:val="20"/>
                <w:szCs w:val="20"/>
              </w:rPr>
            </w:pPr>
            <w:r w:rsidRPr="00B773E5">
              <w:rPr>
                <w:rFonts w:cs="Times New Roman"/>
                <w:sz w:val="20"/>
                <w:szCs w:val="20"/>
              </w:rPr>
              <w:t>24. Finanšu pārskata pielikumu, kurā sniedz skaidrojumu par finanšu pārskata posteņiem, Valsts kase sagatavo grupējot informāciju atbilstoši finanšu pārskatā norādītajam piezīmes un visaptverošās piezīmes numuram un saskaņā ar Valsts kases noteikto kārtību un apjomu, ievērojot vadlīnijās aprakstītos vispārīgos finanšu pārskatu un to pielikumu sagatavošanas pamatprincipus.</w:t>
            </w:r>
            <w:r w:rsidRPr="00B773E5" w:rsidDel="00D93EDA">
              <w:rPr>
                <w:rFonts w:cs="Times New Roman"/>
                <w:sz w:val="20"/>
                <w:szCs w:val="20"/>
              </w:rPr>
              <w:t xml:space="preserve"> </w:t>
            </w:r>
            <w:r w:rsidRPr="00B773E5">
              <w:rPr>
                <w:rFonts w:cs="Times New Roman"/>
                <w:sz w:val="20"/>
                <w:szCs w:val="20"/>
              </w:rPr>
              <w:t>Piezīmē un visaptverošā piezīmē sniedz skaidrojumu par attiecīgā posteņa vai vairāku posteņu detalizētāku sadalījumu, kā arī sniedz informāciju par posteņiem, kas neatbilst normatīvajos aktos grāmatvedības uzskaites jomā noteiktajiem atzīšanas kritērijiem.</w:t>
            </w:r>
          </w:p>
          <w:p w14:paraId="42DA09E0" w14:textId="47774B17" w:rsidR="00BF7FC8" w:rsidRPr="00B773E5" w:rsidRDefault="00BF7FC8" w:rsidP="00947EE9">
            <w:pPr>
              <w:tabs>
                <w:tab w:val="left" w:pos="1134"/>
              </w:tabs>
              <w:contextualSpacing/>
              <w:jc w:val="both"/>
              <w:rPr>
                <w:rFonts w:eastAsia="Times New Roman" w:cs="Times New Roman"/>
                <w:sz w:val="20"/>
                <w:szCs w:val="20"/>
                <w:lang w:eastAsia="lv-LV"/>
              </w:rPr>
            </w:pPr>
            <w:r w:rsidRPr="00B773E5">
              <w:rPr>
                <w:rFonts w:eastAsia="Times New Roman" w:cs="Times New Roman"/>
                <w:sz w:val="20"/>
                <w:szCs w:val="20"/>
                <w:lang w:eastAsia="lv-LV"/>
              </w:rPr>
              <w:t>20. Finanšu pārskata pielikums satur informāciju papildus tai, kas ir sniegta valsts konsolidētajā grāmatvedības bilancē, konsolidētajā pārskatā par darbības finansiālajiem rezultātiem, konsolidētajā pašu kapitāla izmaiņu pārskatā un konsolidētajā naudas plūsmas pārskatā.</w:t>
            </w:r>
          </w:p>
          <w:p w14:paraId="4F2081E7" w14:textId="06CFAF08" w:rsidR="00BF7FC8" w:rsidRPr="00B773E5" w:rsidRDefault="00BF7FC8" w:rsidP="00947EE9">
            <w:pPr>
              <w:jc w:val="both"/>
              <w:rPr>
                <w:sz w:val="20"/>
                <w:szCs w:val="20"/>
              </w:rPr>
            </w:pPr>
            <w:r w:rsidRPr="00B773E5">
              <w:rPr>
                <w:sz w:val="20"/>
                <w:szCs w:val="20"/>
              </w:rPr>
              <w:t>28. Pielikumā, kurā sniedz skaidrojumu par konsolidētā kopbudžeta izpildi, kas noteikts šo noteikumu 6.1. apakšpunktā, ietver informāciju par pārskata datu struktūru un salīdzināmo informāciju un budžeta klasifikācijas principiem.</w:t>
            </w:r>
          </w:p>
          <w:p w14:paraId="65A0AA79" w14:textId="24D162D2" w:rsidR="00BF7FC8" w:rsidRPr="00B773E5" w:rsidRDefault="00BF7FC8" w:rsidP="00947EE9">
            <w:pPr>
              <w:jc w:val="both"/>
              <w:rPr>
                <w:sz w:val="20"/>
                <w:szCs w:val="20"/>
              </w:rPr>
            </w:pPr>
            <w:r w:rsidRPr="00B773E5">
              <w:rPr>
                <w:sz w:val="20"/>
                <w:szCs w:val="20"/>
              </w:rPr>
              <w:t>29. Pielikumā, kurā sniedz skaidrojumu par valsts vai pašvaldību konsolidētā budžeta izpildi, kas noteikts šo noteikumu 6.2.4. un 6.3.4.apakšpunktā, sniedz informāciju par budžeta izstrādāšanas un klasifikācijas principiem un ietver informāciju par posteņu izmaiņām. Informāciju sagatavo arī pa budžeta veidiem.</w:t>
            </w:r>
          </w:p>
          <w:p w14:paraId="10559970" w14:textId="44ABAA53" w:rsidR="0063184F" w:rsidRPr="00B773E5" w:rsidRDefault="00BF7FC8" w:rsidP="00947EE9">
            <w:pPr>
              <w:jc w:val="both"/>
              <w:rPr>
                <w:rFonts w:eastAsia="Times New Roman" w:cs="Times New Roman"/>
                <w:sz w:val="20"/>
                <w:szCs w:val="20"/>
                <w:lang w:eastAsia="lv-LV"/>
              </w:rPr>
            </w:pPr>
            <w:r w:rsidRPr="00B773E5">
              <w:rPr>
                <w:sz w:val="20"/>
                <w:szCs w:val="20"/>
              </w:rPr>
              <w:t xml:space="preserve">31. </w:t>
            </w:r>
            <w:r w:rsidR="0063184F" w:rsidRPr="00B773E5">
              <w:rPr>
                <w:sz w:val="20"/>
                <w:szCs w:val="20"/>
              </w:rPr>
              <w:t>Pielikumā, kurā sniedz skaidrojumu par valsts konsolidēto parādu</w:t>
            </w:r>
            <w:r w:rsidRPr="00B773E5">
              <w:rPr>
                <w:sz w:val="20"/>
                <w:szCs w:val="20"/>
              </w:rPr>
              <w:t>,</w:t>
            </w:r>
            <w:r w:rsidR="0063184F" w:rsidRPr="00B773E5">
              <w:rPr>
                <w:sz w:val="20"/>
                <w:szCs w:val="20"/>
              </w:rPr>
              <w:t xml:space="preserve"> iekļauj informāciju par valsts parādu un par pašvaldību parādu atbilstoši parāda kategorijām un parāda salīdzinošo datu analīzi par pārskata gadu un iepriekšējiem pārskata gadiem.</w:t>
            </w:r>
          </w:p>
        </w:tc>
      </w:tr>
      <w:tr w:rsidR="0063184F" w:rsidRPr="005B6DEE" w14:paraId="3F7A312B" w14:textId="77777777" w:rsidTr="00A86853">
        <w:tc>
          <w:tcPr>
            <w:tcW w:w="252" w:type="pct"/>
            <w:tcBorders>
              <w:top w:val="outset" w:sz="6" w:space="0" w:color="414142"/>
              <w:left w:val="outset" w:sz="6" w:space="0" w:color="414142"/>
              <w:bottom w:val="outset" w:sz="6" w:space="0" w:color="414142"/>
              <w:right w:val="outset" w:sz="6" w:space="0" w:color="414142"/>
            </w:tcBorders>
          </w:tcPr>
          <w:p w14:paraId="5BA67E97" w14:textId="16B6711C" w:rsidR="0063184F" w:rsidRPr="005B6DEE" w:rsidRDefault="00DE437C" w:rsidP="0063184F">
            <w:pPr>
              <w:jc w:val="center"/>
              <w:rPr>
                <w:rFonts w:eastAsia="Times New Roman" w:cs="Times New Roman"/>
                <w:sz w:val="20"/>
                <w:szCs w:val="20"/>
                <w:lang w:eastAsia="lv-LV"/>
              </w:rPr>
            </w:pPr>
            <w:r>
              <w:rPr>
                <w:rFonts w:eastAsia="Times New Roman" w:cs="Times New Roman"/>
                <w:sz w:val="20"/>
                <w:szCs w:val="20"/>
                <w:lang w:eastAsia="lv-LV"/>
              </w:rPr>
              <w:t>5</w:t>
            </w:r>
            <w:r w:rsidR="00F72E69">
              <w:rPr>
                <w:rFonts w:eastAsia="Times New Roman" w:cs="Times New Roman"/>
                <w:sz w:val="20"/>
                <w:szCs w:val="20"/>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74133020" w14:textId="775AC2ED" w:rsidR="0063184F" w:rsidRPr="00B67C96" w:rsidRDefault="0063184F" w:rsidP="00947EE9">
            <w:pPr>
              <w:keepNext/>
              <w:keepLines/>
              <w:tabs>
                <w:tab w:val="left" w:pos="284"/>
              </w:tabs>
              <w:jc w:val="both"/>
              <w:outlineLvl w:val="0"/>
              <w:rPr>
                <w:rFonts w:eastAsiaTheme="majorEastAsia" w:cstheme="majorBidi"/>
                <w:sz w:val="20"/>
                <w:szCs w:val="20"/>
              </w:rPr>
            </w:pPr>
            <w:r w:rsidRPr="00B67C96">
              <w:rPr>
                <w:rFonts w:eastAsiaTheme="majorEastAsia" w:cstheme="majorBidi"/>
                <w:sz w:val="20"/>
                <w:szCs w:val="20"/>
              </w:rPr>
              <w:t>2.4.</w:t>
            </w:r>
            <w:r w:rsidRPr="00B67C96">
              <w:rPr>
                <w:rFonts w:eastAsiaTheme="majorEastAsia" w:cstheme="majorBidi"/>
                <w:sz w:val="20"/>
                <w:szCs w:val="20"/>
              </w:rPr>
              <w:tab/>
              <w:t>datums, kad pārskats apstiprināts publiskošanai – datums, kurā Valsts kontrole sniedz atzinumu par pārskata sagatavošanas pareizību;</w:t>
            </w:r>
          </w:p>
          <w:p w14:paraId="11A683B6" w14:textId="77777777" w:rsidR="0063184F" w:rsidRPr="00B67C96" w:rsidRDefault="0063184F" w:rsidP="00947EE9">
            <w:pPr>
              <w:keepNext/>
              <w:keepLines/>
              <w:tabs>
                <w:tab w:val="left" w:pos="284"/>
              </w:tabs>
              <w:spacing w:before="120" w:after="120"/>
              <w:jc w:val="both"/>
              <w:outlineLvl w:val="0"/>
              <w:rPr>
                <w:rFonts w:eastAsiaTheme="majorEastAsia" w:cstheme="majorBidi"/>
                <w:sz w:val="20"/>
                <w:szCs w:val="20"/>
              </w:rPr>
            </w:pPr>
            <w:r w:rsidRPr="00B67C96">
              <w:rPr>
                <w:rFonts w:eastAsiaTheme="majorEastAsia" w:cstheme="majorBidi"/>
                <w:sz w:val="20"/>
                <w:szCs w:val="20"/>
              </w:rPr>
              <w:t xml:space="preserve">III. Pārskata sagatavošanas termiņi, parakstīšana, apstiprināšana </w:t>
            </w:r>
            <w:r w:rsidRPr="00F15785">
              <w:rPr>
                <w:rFonts w:eastAsiaTheme="majorEastAsia" w:cstheme="majorBidi"/>
                <w:sz w:val="20"/>
                <w:szCs w:val="20"/>
              </w:rPr>
              <w:t xml:space="preserve">publicēšanai </w:t>
            </w:r>
            <w:r w:rsidRPr="00B67C96">
              <w:rPr>
                <w:rFonts w:eastAsiaTheme="majorEastAsia" w:cstheme="majorBidi"/>
                <w:sz w:val="20"/>
                <w:szCs w:val="20"/>
              </w:rPr>
              <w:t>un iesniegšana</w:t>
            </w:r>
          </w:p>
          <w:p w14:paraId="3B1D0D16" w14:textId="77777777" w:rsidR="0063184F" w:rsidRPr="001077B8" w:rsidRDefault="0063184F" w:rsidP="00947EE9">
            <w:pPr>
              <w:keepNext/>
              <w:keepLines/>
              <w:tabs>
                <w:tab w:val="left" w:pos="284"/>
              </w:tabs>
              <w:spacing w:before="120" w:after="120"/>
              <w:jc w:val="both"/>
              <w:outlineLvl w:val="0"/>
              <w:rPr>
                <w:rFonts w:eastAsia="Times New Roman" w:cs="Times New Roman"/>
                <w:sz w:val="20"/>
                <w:szCs w:val="20"/>
                <w:lang w:eastAsia="lv-LV"/>
              </w:rPr>
            </w:pPr>
            <w:r w:rsidRPr="001077B8">
              <w:rPr>
                <w:rFonts w:eastAsia="Times New Roman" w:cs="Times New Roman"/>
                <w:sz w:val="20"/>
                <w:szCs w:val="20"/>
                <w:lang w:eastAsia="lv-LV"/>
              </w:rPr>
              <w:t>9.</w:t>
            </w:r>
            <w:r w:rsidRPr="001077B8">
              <w:rPr>
                <w:rFonts w:eastAsia="Times New Roman" w:cs="Times New Roman"/>
                <w:sz w:val="20"/>
                <w:szCs w:val="20"/>
                <w:lang w:eastAsia="lv-LV"/>
              </w:rPr>
              <w:tab/>
              <w:t xml:space="preserve">Valsts kase savā tīmekļa vietnē </w:t>
            </w:r>
            <w:r w:rsidRPr="00F15785">
              <w:rPr>
                <w:rFonts w:eastAsia="Times New Roman" w:cs="Times New Roman"/>
                <w:sz w:val="20"/>
                <w:szCs w:val="20"/>
                <w:lang w:eastAsia="lv-LV"/>
              </w:rPr>
              <w:t>publicē</w:t>
            </w:r>
            <w:r w:rsidRPr="001077B8">
              <w:rPr>
                <w:rFonts w:eastAsia="Times New Roman" w:cs="Times New Roman"/>
                <w:sz w:val="20"/>
                <w:szCs w:val="20"/>
                <w:lang w:eastAsia="lv-LV"/>
              </w:rPr>
              <w:t>:</w:t>
            </w:r>
          </w:p>
          <w:p w14:paraId="648BDBD5" w14:textId="77777777" w:rsidR="0063184F" w:rsidRPr="001077B8" w:rsidRDefault="0063184F" w:rsidP="00947EE9">
            <w:pPr>
              <w:keepNext/>
              <w:keepLines/>
              <w:tabs>
                <w:tab w:val="left" w:pos="284"/>
              </w:tabs>
              <w:spacing w:before="120" w:after="120"/>
              <w:jc w:val="both"/>
              <w:outlineLvl w:val="0"/>
              <w:rPr>
                <w:rFonts w:eastAsia="Times New Roman" w:cs="Times New Roman"/>
                <w:sz w:val="20"/>
                <w:szCs w:val="20"/>
                <w:lang w:eastAsia="lv-LV"/>
              </w:rPr>
            </w:pPr>
            <w:r w:rsidRPr="001077B8">
              <w:rPr>
                <w:rFonts w:eastAsia="Times New Roman" w:cs="Times New Roman"/>
                <w:sz w:val="20"/>
                <w:szCs w:val="20"/>
                <w:lang w:eastAsia="lv-LV"/>
              </w:rPr>
              <w:t>9.1.</w:t>
            </w:r>
            <w:r w:rsidRPr="001077B8">
              <w:rPr>
                <w:rFonts w:eastAsia="Times New Roman" w:cs="Times New Roman"/>
                <w:sz w:val="20"/>
                <w:szCs w:val="20"/>
                <w:lang w:eastAsia="lv-LV"/>
              </w:rPr>
              <w:tab/>
              <w:t>nerevidētu pārskatu – trīs darba dienu laikā pēc Likumā par budžetu un finanšu vadību noteiktā termiņa par pārskata iesniegšanu Valsts kontrolē;</w:t>
            </w:r>
          </w:p>
          <w:p w14:paraId="1D535AEC" w14:textId="647D6839" w:rsidR="0063184F" w:rsidRPr="005B6DEE" w:rsidRDefault="0063184F" w:rsidP="00947EE9">
            <w:pPr>
              <w:jc w:val="both"/>
              <w:rPr>
                <w:rFonts w:eastAsia="Times New Roman" w:cs="Times New Roman"/>
                <w:sz w:val="20"/>
                <w:szCs w:val="20"/>
                <w:lang w:eastAsia="lv-LV"/>
              </w:rPr>
            </w:pPr>
            <w:r w:rsidRPr="001077B8">
              <w:rPr>
                <w:rFonts w:eastAsia="Times New Roman" w:cs="Times New Roman"/>
                <w:sz w:val="20"/>
                <w:szCs w:val="20"/>
                <w:lang w:eastAsia="lv-LV"/>
              </w:rPr>
              <w:t>9.2.</w:t>
            </w:r>
            <w:r w:rsidRPr="001077B8">
              <w:rPr>
                <w:rFonts w:eastAsia="Times New Roman" w:cs="Times New Roman"/>
                <w:sz w:val="20"/>
                <w:szCs w:val="20"/>
                <w:lang w:eastAsia="lv-LV"/>
              </w:rPr>
              <w:tab/>
              <w:t>revidētu pārskatu – trīs darba dienu laikā pēc pārskata izskatīšanas Ministru kabineta sēdē.</w:t>
            </w:r>
          </w:p>
        </w:tc>
        <w:tc>
          <w:tcPr>
            <w:tcW w:w="1731" w:type="pct"/>
            <w:tcBorders>
              <w:top w:val="outset" w:sz="6" w:space="0" w:color="414142"/>
              <w:left w:val="outset" w:sz="6" w:space="0" w:color="414142"/>
              <w:bottom w:val="outset" w:sz="6" w:space="0" w:color="414142"/>
              <w:right w:val="outset" w:sz="6" w:space="0" w:color="414142"/>
            </w:tcBorders>
          </w:tcPr>
          <w:p w14:paraId="277517D0" w14:textId="77777777" w:rsidR="0063184F" w:rsidRPr="00B67C96" w:rsidRDefault="0063184F" w:rsidP="00947EE9">
            <w:pPr>
              <w:tabs>
                <w:tab w:val="left" w:pos="0"/>
                <w:tab w:val="left" w:pos="709"/>
                <w:tab w:val="left" w:pos="993"/>
              </w:tabs>
              <w:suppressAutoHyphens/>
              <w:jc w:val="both"/>
              <w:outlineLvl w:val="3"/>
              <w:rPr>
                <w:rFonts w:cs="Times New Roman"/>
                <w:sz w:val="20"/>
                <w:szCs w:val="20"/>
              </w:rPr>
            </w:pPr>
            <w:r w:rsidRPr="00B67C96">
              <w:rPr>
                <w:rFonts w:cs="Times New Roman"/>
                <w:sz w:val="20"/>
                <w:szCs w:val="20"/>
              </w:rPr>
              <w:t>Tieslietu ministrija</w:t>
            </w:r>
          </w:p>
          <w:p w14:paraId="5C47AAE4" w14:textId="7E99D11E" w:rsidR="0063184F" w:rsidRPr="00B67C96" w:rsidRDefault="0063184F" w:rsidP="00947EE9">
            <w:pPr>
              <w:tabs>
                <w:tab w:val="left" w:pos="0"/>
                <w:tab w:val="left" w:pos="709"/>
                <w:tab w:val="left" w:pos="993"/>
              </w:tabs>
              <w:suppressAutoHyphens/>
              <w:jc w:val="both"/>
              <w:outlineLvl w:val="3"/>
              <w:rPr>
                <w:rFonts w:cs="Times New Roman"/>
                <w:sz w:val="20"/>
                <w:szCs w:val="20"/>
              </w:rPr>
            </w:pPr>
            <w:r w:rsidRPr="00B67C96">
              <w:rPr>
                <w:rFonts w:cs="Times New Roman"/>
                <w:sz w:val="20"/>
                <w:szCs w:val="20"/>
              </w:rPr>
              <w:t>5.</w:t>
            </w:r>
            <w:r w:rsidRPr="00B67C96">
              <w:rPr>
                <w:rFonts w:cs="Times New Roman"/>
                <w:sz w:val="20"/>
                <w:szCs w:val="20"/>
              </w:rPr>
              <w:tab/>
              <w:t>Izstrādājot Ministru kabineta noteikumus, to saturam jāatbilst likumā noteiktajam pilnvarojumam. Ministru kabineta noteikumu saturs nedrīkst būt ne šaurāks, ne plašāks par likumā noteikto pilnvarojumu. Tādēļ lūdzam pārskatīt noteikumu projekta III nodaļā ietverto regulējumu, jo Likuma par budžetu un finanšu vadību 31. panta otrajā daļā nav ietverts pilnvarojums Ministru kabinetam noteikt pārskata apstiprināšanas, publicēšanas un iesniegšanas kārtību.</w:t>
            </w:r>
          </w:p>
          <w:p w14:paraId="21D3D113" w14:textId="4473D308" w:rsidR="0063184F" w:rsidRPr="00B67C96" w:rsidRDefault="0063184F" w:rsidP="00947EE9">
            <w:pPr>
              <w:tabs>
                <w:tab w:val="left" w:pos="0"/>
                <w:tab w:val="left" w:pos="709"/>
                <w:tab w:val="left" w:pos="993"/>
              </w:tabs>
              <w:suppressAutoHyphens/>
              <w:jc w:val="both"/>
              <w:outlineLvl w:val="3"/>
              <w:rPr>
                <w:rFonts w:cs="Times New Roman"/>
                <w:sz w:val="20"/>
                <w:szCs w:val="20"/>
              </w:rPr>
            </w:pPr>
            <w:r w:rsidRPr="00B67C96">
              <w:rPr>
                <w:rFonts w:cs="Times New Roman"/>
                <w:sz w:val="20"/>
                <w:szCs w:val="20"/>
              </w:rPr>
              <w:t>Vienlaikus vēršam uzmanību, ka noteikumu projekta III nodaļas nosaukums neatbilst nodaļā ietvertajam regulējumam, jo tajā nav noteikta pārskata apstiprināšana publicēšanai. Līdz ar to noteikumu projekta III nodaļas nosaukums ir precizējams. Attiecīgi ir pārskatāms noteikumu projekta 2.4. apakšpunkts.</w:t>
            </w:r>
          </w:p>
        </w:tc>
        <w:tc>
          <w:tcPr>
            <w:tcW w:w="893" w:type="pct"/>
            <w:tcBorders>
              <w:top w:val="outset" w:sz="6" w:space="0" w:color="414142"/>
              <w:left w:val="outset" w:sz="6" w:space="0" w:color="414142"/>
              <w:bottom w:val="outset" w:sz="6" w:space="0" w:color="414142"/>
              <w:right w:val="outset" w:sz="6" w:space="0" w:color="414142"/>
            </w:tcBorders>
          </w:tcPr>
          <w:p w14:paraId="326DCF36" w14:textId="77777777" w:rsidR="0063184F" w:rsidRDefault="0063184F" w:rsidP="00947EE9">
            <w:pPr>
              <w:jc w:val="both"/>
              <w:rPr>
                <w:rFonts w:eastAsia="Times New Roman" w:cs="Times New Roman"/>
                <w:b/>
                <w:sz w:val="20"/>
                <w:szCs w:val="20"/>
                <w:lang w:eastAsia="lv-LV"/>
              </w:rPr>
            </w:pPr>
            <w:r w:rsidRPr="00935821">
              <w:rPr>
                <w:rFonts w:eastAsia="Times New Roman" w:cs="Times New Roman"/>
                <w:b/>
                <w:sz w:val="20"/>
                <w:szCs w:val="20"/>
                <w:lang w:eastAsia="lv-LV"/>
              </w:rPr>
              <w:t>Ņemts vērā</w:t>
            </w:r>
          </w:p>
          <w:p w14:paraId="5608885D" w14:textId="5580F8C1" w:rsidR="0063184F" w:rsidRPr="005B6DEE" w:rsidRDefault="00F72E69" w:rsidP="00947EE9">
            <w:pPr>
              <w:jc w:val="both"/>
              <w:rPr>
                <w:rFonts w:eastAsia="Times New Roman" w:cs="Times New Roman"/>
                <w:sz w:val="20"/>
                <w:szCs w:val="20"/>
                <w:lang w:eastAsia="lv-LV"/>
              </w:rPr>
            </w:pPr>
            <w:r>
              <w:rPr>
                <w:rFonts w:eastAsia="Times New Roman" w:cs="Times New Roman"/>
                <w:sz w:val="20"/>
                <w:szCs w:val="20"/>
                <w:lang w:eastAsia="lv-LV"/>
              </w:rPr>
              <w:t>Izslēgts</w:t>
            </w:r>
            <w:r w:rsidR="0063184F">
              <w:rPr>
                <w:rFonts w:eastAsia="Times New Roman" w:cs="Times New Roman"/>
                <w:sz w:val="20"/>
                <w:szCs w:val="20"/>
                <w:lang w:eastAsia="lv-LV"/>
              </w:rPr>
              <w:t xml:space="preserve"> 2.4.punkts un III.nodaļa, attiecīgi </w:t>
            </w:r>
            <w:r w:rsidR="0063184F" w:rsidRPr="000B4B34">
              <w:rPr>
                <w:rFonts w:eastAsia="Times New Roman" w:cs="Times New Roman"/>
                <w:sz w:val="20"/>
                <w:szCs w:val="20"/>
                <w:lang w:eastAsia="lv-LV"/>
              </w:rPr>
              <w:t xml:space="preserve">papildinot </w:t>
            </w:r>
            <w:r w:rsidR="00D452ED">
              <w:rPr>
                <w:rFonts w:eastAsia="Times New Roman" w:cs="Times New Roman"/>
                <w:sz w:val="20"/>
                <w:szCs w:val="20"/>
                <w:lang w:eastAsia="lv-LV"/>
              </w:rPr>
              <w:t>a</w:t>
            </w:r>
            <w:r w:rsidR="0063184F" w:rsidRPr="000B4B34">
              <w:rPr>
                <w:rFonts w:eastAsia="Times New Roman" w:cs="Times New Roman"/>
                <w:sz w:val="20"/>
                <w:szCs w:val="20"/>
                <w:lang w:eastAsia="lv-LV"/>
              </w:rPr>
              <w:t>notācij</w:t>
            </w:r>
            <w:r w:rsidR="0063184F">
              <w:rPr>
                <w:rFonts w:eastAsia="Times New Roman" w:cs="Times New Roman"/>
                <w:sz w:val="20"/>
                <w:szCs w:val="20"/>
                <w:lang w:eastAsia="lv-LV"/>
              </w:rPr>
              <w:t>u</w:t>
            </w:r>
            <w:r w:rsidR="0063184F" w:rsidRPr="000B4B34">
              <w:rPr>
                <w:rFonts w:eastAsia="Times New Roman" w:cs="Times New Roman"/>
                <w:sz w:val="20"/>
                <w:szCs w:val="20"/>
                <w:lang w:eastAsia="lv-LV"/>
              </w:rPr>
              <w:t xml:space="preserve"> </w:t>
            </w:r>
            <w:r w:rsidR="00CA7A84">
              <w:rPr>
                <w:rFonts w:eastAsia="Times New Roman" w:cs="Times New Roman"/>
                <w:sz w:val="20"/>
                <w:szCs w:val="20"/>
                <w:lang w:eastAsia="lv-LV"/>
              </w:rPr>
              <w:t xml:space="preserve">I. </w:t>
            </w:r>
            <w:r w:rsidR="0063184F">
              <w:rPr>
                <w:rFonts w:eastAsia="Times New Roman" w:cs="Times New Roman"/>
                <w:sz w:val="20"/>
                <w:szCs w:val="20"/>
                <w:lang w:eastAsia="lv-LV"/>
              </w:rPr>
              <w:t>nodaļ</w:t>
            </w:r>
            <w:r w:rsidR="00A86853">
              <w:rPr>
                <w:rFonts w:eastAsia="Times New Roman" w:cs="Times New Roman"/>
                <w:sz w:val="20"/>
                <w:szCs w:val="20"/>
                <w:lang w:eastAsia="lv-LV"/>
              </w:rPr>
              <w:t>as</w:t>
            </w:r>
            <w:r w:rsidR="0063184F" w:rsidRPr="000B4B34">
              <w:rPr>
                <w:rFonts w:eastAsia="Times New Roman" w:cs="Times New Roman"/>
                <w:sz w:val="20"/>
                <w:szCs w:val="20"/>
                <w:lang w:eastAsia="lv-LV"/>
              </w:rPr>
              <w:t xml:space="preserve"> </w:t>
            </w:r>
            <w:r w:rsidR="0063184F">
              <w:rPr>
                <w:rFonts w:eastAsia="Times New Roman" w:cs="Times New Roman"/>
                <w:sz w:val="20"/>
                <w:szCs w:val="20"/>
                <w:lang w:eastAsia="lv-LV"/>
              </w:rPr>
              <w:t>“</w:t>
            </w:r>
            <w:r w:rsidR="0063184F" w:rsidRPr="000B4B34">
              <w:rPr>
                <w:rFonts w:eastAsia="Times New Roman" w:cs="Times New Roman"/>
                <w:sz w:val="20"/>
                <w:szCs w:val="20"/>
                <w:lang w:eastAsia="lv-LV"/>
              </w:rPr>
              <w:t xml:space="preserve"> Tiesību akta projekta izstrādes nepieciešamība</w:t>
            </w:r>
            <w:r w:rsidR="0063184F">
              <w:rPr>
                <w:rFonts w:eastAsia="Times New Roman" w:cs="Times New Roman"/>
                <w:sz w:val="20"/>
                <w:szCs w:val="20"/>
                <w:lang w:eastAsia="lv-LV"/>
              </w:rPr>
              <w:t>”</w:t>
            </w:r>
            <w:r w:rsidR="0063184F" w:rsidRPr="000B4B34">
              <w:rPr>
                <w:rFonts w:eastAsia="Times New Roman" w:cs="Times New Roman"/>
                <w:sz w:val="20"/>
                <w:szCs w:val="20"/>
                <w:lang w:eastAsia="lv-LV"/>
              </w:rPr>
              <w:t xml:space="preserve"> </w:t>
            </w:r>
            <w:r w:rsidR="00D452ED">
              <w:rPr>
                <w:rFonts w:eastAsia="Times New Roman" w:cs="Times New Roman"/>
                <w:sz w:val="20"/>
                <w:szCs w:val="20"/>
                <w:lang w:eastAsia="lv-LV"/>
              </w:rPr>
              <w:t>2</w:t>
            </w:r>
            <w:r w:rsidR="0063184F" w:rsidRPr="000B4B34">
              <w:rPr>
                <w:rFonts w:eastAsia="Times New Roman" w:cs="Times New Roman"/>
                <w:sz w:val="20"/>
                <w:szCs w:val="20"/>
                <w:lang w:eastAsia="lv-LV"/>
              </w:rPr>
              <w:t>.punkt</w:t>
            </w:r>
            <w:r w:rsidR="00A86853">
              <w:rPr>
                <w:rFonts w:eastAsia="Times New Roman" w:cs="Times New Roman"/>
                <w:sz w:val="20"/>
                <w:szCs w:val="20"/>
                <w:lang w:eastAsia="lv-LV"/>
              </w:rPr>
              <w:t>u</w:t>
            </w:r>
            <w:r w:rsidR="0063184F" w:rsidRPr="000B4B34">
              <w:rPr>
                <w:rFonts w:eastAsia="Times New Roman" w:cs="Times New Roman"/>
                <w:sz w:val="20"/>
                <w:szCs w:val="20"/>
                <w:lang w:eastAsia="lv-LV"/>
              </w:rPr>
              <w:t xml:space="preserve"> “</w:t>
            </w:r>
            <w:r w:rsidR="00D452ED" w:rsidRPr="00A86853">
              <w:rPr>
                <w:rFonts w:eastAsia="Times New Roman" w:cs="Times New Roman"/>
                <w:bCs/>
                <w:sz w:val="20"/>
                <w:szCs w:val="20"/>
                <w:lang w:eastAsia="lv-LV"/>
              </w:rPr>
              <w:t>Pašreizējā situācija un problēmas, kuru risināšanai tiesību akta projekts izstrādāts, tiesiskā regulējuma mērķis un būtība</w:t>
            </w:r>
            <w:r w:rsidR="0063184F" w:rsidRPr="00A86853">
              <w:rPr>
                <w:rFonts w:eastAsia="Times New Roman" w:cs="Times New Roman"/>
                <w:sz w:val="20"/>
                <w:szCs w:val="20"/>
                <w:lang w:eastAsia="lv-LV"/>
              </w:rPr>
              <w:t>” ar informāciju</w:t>
            </w:r>
            <w:r w:rsidR="0063184F" w:rsidRPr="000B4B34">
              <w:rPr>
                <w:rFonts w:eastAsia="Times New Roman" w:cs="Times New Roman"/>
                <w:sz w:val="20"/>
                <w:szCs w:val="20"/>
                <w:lang w:eastAsia="lv-LV"/>
              </w:rPr>
              <w:t xml:space="preserve"> par p</w:t>
            </w:r>
            <w:r w:rsidR="0063184F" w:rsidRPr="000B4B34">
              <w:rPr>
                <w:rFonts w:eastAsiaTheme="majorEastAsia" w:cstheme="majorBidi"/>
                <w:sz w:val="20"/>
                <w:szCs w:val="20"/>
              </w:rPr>
              <w:t>ārskata sagat</w:t>
            </w:r>
            <w:r w:rsidR="0063184F">
              <w:rPr>
                <w:rFonts w:eastAsiaTheme="majorEastAsia" w:cstheme="majorBidi"/>
                <w:sz w:val="20"/>
                <w:szCs w:val="20"/>
              </w:rPr>
              <w:t>avošanas termiņiem, parakstīšanu</w:t>
            </w:r>
            <w:r w:rsidR="0063184F" w:rsidRPr="000B4B34">
              <w:rPr>
                <w:rFonts w:eastAsiaTheme="majorEastAsia" w:cstheme="majorBidi"/>
                <w:sz w:val="20"/>
                <w:szCs w:val="20"/>
              </w:rPr>
              <w:t>, apstiprināša</w:t>
            </w:r>
            <w:r w:rsidR="0063184F">
              <w:rPr>
                <w:rFonts w:eastAsiaTheme="majorEastAsia" w:cstheme="majorBidi"/>
                <w:sz w:val="20"/>
                <w:szCs w:val="20"/>
              </w:rPr>
              <w:t>nu</w:t>
            </w:r>
            <w:r w:rsidR="0063184F" w:rsidRPr="000B4B34">
              <w:rPr>
                <w:rFonts w:eastAsiaTheme="majorEastAsia" w:cstheme="majorBidi"/>
                <w:sz w:val="20"/>
                <w:szCs w:val="20"/>
              </w:rPr>
              <w:t xml:space="preserve"> publiskošanai un iesniegšanu Valsts kontrolei un Ministru kabinetam</w:t>
            </w:r>
            <w:r w:rsidR="0063184F">
              <w:rPr>
                <w:rFonts w:eastAsiaTheme="majorEastAsia" w:cstheme="majorBidi"/>
                <w:sz w:val="20"/>
                <w:szCs w:val="20"/>
              </w:rPr>
              <w:t>.</w:t>
            </w:r>
          </w:p>
        </w:tc>
        <w:tc>
          <w:tcPr>
            <w:tcW w:w="1060" w:type="pct"/>
            <w:tcBorders>
              <w:top w:val="outset" w:sz="6" w:space="0" w:color="414142"/>
              <w:left w:val="outset" w:sz="6" w:space="0" w:color="414142"/>
              <w:bottom w:val="outset" w:sz="6" w:space="0" w:color="414142"/>
              <w:right w:val="outset" w:sz="6" w:space="0" w:color="414142"/>
            </w:tcBorders>
          </w:tcPr>
          <w:p w14:paraId="2064360C" w14:textId="39224189" w:rsidR="0063184F" w:rsidRPr="00AE7EFD" w:rsidRDefault="00AB6835" w:rsidP="00947EE9">
            <w:pPr>
              <w:tabs>
                <w:tab w:val="left" w:pos="1418"/>
              </w:tabs>
              <w:jc w:val="both"/>
              <w:rPr>
                <w:sz w:val="20"/>
                <w:szCs w:val="20"/>
              </w:rPr>
            </w:pPr>
            <w:r>
              <w:rPr>
                <w:sz w:val="20"/>
                <w:szCs w:val="20"/>
              </w:rPr>
              <w:t>x</w:t>
            </w:r>
          </w:p>
        </w:tc>
      </w:tr>
      <w:tr w:rsidR="00015328" w:rsidRPr="005B6DEE" w14:paraId="0D3090C8" w14:textId="77777777" w:rsidTr="00A86853">
        <w:tc>
          <w:tcPr>
            <w:tcW w:w="252" w:type="pct"/>
            <w:tcBorders>
              <w:top w:val="outset" w:sz="6" w:space="0" w:color="414142"/>
              <w:left w:val="outset" w:sz="6" w:space="0" w:color="414142"/>
              <w:bottom w:val="outset" w:sz="6" w:space="0" w:color="414142"/>
              <w:right w:val="outset" w:sz="6" w:space="0" w:color="414142"/>
            </w:tcBorders>
          </w:tcPr>
          <w:p w14:paraId="7D6CDF7D" w14:textId="76986A64" w:rsidR="00015328" w:rsidRDefault="008835AB" w:rsidP="00015328">
            <w:pPr>
              <w:jc w:val="center"/>
              <w:rPr>
                <w:rFonts w:eastAsia="Times New Roman" w:cs="Times New Roman"/>
                <w:sz w:val="20"/>
                <w:szCs w:val="20"/>
                <w:lang w:eastAsia="lv-LV"/>
              </w:rPr>
            </w:pPr>
            <w:r>
              <w:rPr>
                <w:rFonts w:eastAsia="Times New Roman" w:cs="Times New Roman"/>
                <w:sz w:val="20"/>
                <w:szCs w:val="20"/>
                <w:lang w:eastAsia="lv-LV"/>
              </w:rPr>
              <w:t>6.</w:t>
            </w:r>
          </w:p>
        </w:tc>
        <w:tc>
          <w:tcPr>
            <w:tcW w:w="1064" w:type="pct"/>
            <w:tcBorders>
              <w:top w:val="outset" w:sz="6" w:space="0" w:color="414142"/>
              <w:left w:val="outset" w:sz="6" w:space="0" w:color="414142"/>
              <w:bottom w:val="outset" w:sz="6" w:space="0" w:color="414142"/>
              <w:right w:val="outset" w:sz="6" w:space="0" w:color="414142"/>
            </w:tcBorders>
          </w:tcPr>
          <w:p w14:paraId="122E27AB" w14:textId="77777777" w:rsidR="00015328" w:rsidRPr="00B67C96" w:rsidRDefault="00015328" w:rsidP="00947EE9">
            <w:pPr>
              <w:ind w:right="63"/>
              <w:jc w:val="both"/>
              <w:rPr>
                <w:sz w:val="20"/>
                <w:szCs w:val="24"/>
              </w:rPr>
            </w:pPr>
            <w:r w:rsidRPr="00B67C96">
              <w:rPr>
                <w:sz w:val="20"/>
                <w:szCs w:val="24"/>
              </w:rPr>
              <w:t>5.</w:t>
            </w:r>
            <w:r w:rsidRPr="00B67C96">
              <w:rPr>
                <w:sz w:val="20"/>
                <w:szCs w:val="24"/>
              </w:rPr>
              <w:tab/>
              <w:t>Finanšu pārskatā saskaņā ar šiem noteikumiem iekļauj:</w:t>
            </w:r>
          </w:p>
          <w:p w14:paraId="0FB473CF" w14:textId="77777777" w:rsidR="00015328" w:rsidRPr="00B67C96" w:rsidRDefault="00015328" w:rsidP="00947EE9">
            <w:pPr>
              <w:ind w:right="63"/>
              <w:jc w:val="both"/>
              <w:rPr>
                <w:sz w:val="20"/>
                <w:szCs w:val="24"/>
              </w:rPr>
            </w:pPr>
            <w:r w:rsidRPr="00B67C96">
              <w:rPr>
                <w:sz w:val="20"/>
                <w:szCs w:val="24"/>
              </w:rPr>
              <w:t>5.1.</w:t>
            </w:r>
            <w:r w:rsidRPr="00B67C96">
              <w:rPr>
                <w:sz w:val="20"/>
                <w:szCs w:val="24"/>
              </w:rPr>
              <w:tab/>
              <w:t>valsts konsolidēto grāmatvedības bilanci un tās pielikumus:</w:t>
            </w:r>
          </w:p>
          <w:p w14:paraId="18CB97E1" w14:textId="77777777" w:rsidR="00015328" w:rsidRPr="00B67C96" w:rsidRDefault="00015328" w:rsidP="00947EE9">
            <w:pPr>
              <w:ind w:right="63"/>
              <w:jc w:val="both"/>
              <w:rPr>
                <w:sz w:val="20"/>
                <w:szCs w:val="24"/>
              </w:rPr>
            </w:pPr>
            <w:r w:rsidRPr="00B67C96">
              <w:rPr>
                <w:sz w:val="20"/>
                <w:szCs w:val="24"/>
              </w:rPr>
              <w:t>5.1.1.</w:t>
            </w:r>
            <w:r w:rsidRPr="00B67C96">
              <w:rPr>
                <w:sz w:val="20"/>
                <w:szCs w:val="24"/>
              </w:rPr>
              <w:tab/>
              <w:t>konsolidēto pārskatu par darbības finansiālajiem rezultātiem;</w:t>
            </w:r>
          </w:p>
          <w:p w14:paraId="558E57BF" w14:textId="77777777" w:rsidR="00015328" w:rsidRPr="00B67C96" w:rsidRDefault="00015328" w:rsidP="00947EE9">
            <w:pPr>
              <w:ind w:right="63"/>
              <w:jc w:val="both"/>
              <w:rPr>
                <w:sz w:val="20"/>
                <w:szCs w:val="24"/>
              </w:rPr>
            </w:pPr>
            <w:r w:rsidRPr="00B67C96">
              <w:rPr>
                <w:sz w:val="20"/>
                <w:szCs w:val="24"/>
              </w:rPr>
              <w:t>5.1.2.</w:t>
            </w:r>
            <w:r w:rsidRPr="00B67C96">
              <w:rPr>
                <w:sz w:val="20"/>
                <w:szCs w:val="24"/>
              </w:rPr>
              <w:tab/>
              <w:t>konsolidēto pašu kapitāla izmaiņu pārskatu;</w:t>
            </w:r>
          </w:p>
          <w:p w14:paraId="50C91F64" w14:textId="77777777" w:rsidR="00015328" w:rsidRPr="00B67C96" w:rsidRDefault="00015328" w:rsidP="00947EE9">
            <w:pPr>
              <w:ind w:right="63"/>
              <w:jc w:val="both"/>
              <w:rPr>
                <w:sz w:val="20"/>
                <w:szCs w:val="24"/>
              </w:rPr>
            </w:pPr>
            <w:r w:rsidRPr="00B67C96">
              <w:rPr>
                <w:sz w:val="20"/>
                <w:szCs w:val="24"/>
              </w:rPr>
              <w:t>5.1.3.</w:t>
            </w:r>
            <w:r w:rsidRPr="00B67C96">
              <w:rPr>
                <w:sz w:val="20"/>
                <w:szCs w:val="24"/>
              </w:rPr>
              <w:tab/>
              <w:t>konsolidēto naudas plūsmas pārskatu;</w:t>
            </w:r>
          </w:p>
          <w:p w14:paraId="4EC61379" w14:textId="77777777" w:rsidR="00015328" w:rsidRPr="00B67C96" w:rsidRDefault="00015328" w:rsidP="00947EE9">
            <w:pPr>
              <w:ind w:right="63"/>
              <w:jc w:val="both"/>
              <w:rPr>
                <w:sz w:val="20"/>
                <w:szCs w:val="24"/>
              </w:rPr>
            </w:pPr>
            <w:r w:rsidRPr="00B67C96">
              <w:rPr>
                <w:sz w:val="20"/>
                <w:szCs w:val="24"/>
              </w:rPr>
              <w:t>5.1.4.</w:t>
            </w:r>
            <w:r w:rsidRPr="00B67C96">
              <w:rPr>
                <w:sz w:val="20"/>
                <w:szCs w:val="24"/>
              </w:rPr>
              <w:tab/>
              <w:t>finanšu pārskata pielikumu, kas sastāv no:</w:t>
            </w:r>
          </w:p>
          <w:p w14:paraId="1FE5E220" w14:textId="77777777" w:rsidR="00015328" w:rsidRPr="00B67C96" w:rsidRDefault="00015328" w:rsidP="00947EE9">
            <w:pPr>
              <w:ind w:right="63"/>
              <w:jc w:val="both"/>
              <w:rPr>
                <w:sz w:val="20"/>
                <w:szCs w:val="24"/>
              </w:rPr>
            </w:pPr>
            <w:r w:rsidRPr="00B67C96">
              <w:rPr>
                <w:sz w:val="20"/>
                <w:szCs w:val="24"/>
              </w:rPr>
              <w:t>5.1.4.1. grāmatvedības uzskaites principu apraksta;</w:t>
            </w:r>
          </w:p>
          <w:p w14:paraId="51209EF2" w14:textId="77777777" w:rsidR="00015328" w:rsidRPr="00B67C96" w:rsidRDefault="00015328" w:rsidP="00947EE9">
            <w:pPr>
              <w:ind w:right="63"/>
              <w:jc w:val="both"/>
              <w:rPr>
                <w:sz w:val="20"/>
                <w:szCs w:val="24"/>
              </w:rPr>
            </w:pPr>
            <w:r w:rsidRPr="00B67C96">
              <w:rPr>
                <w:sz w:val="20"/>
                <w:szCs w:val="24"/>
              </w:rPr>
              <w:t>5.1.4.2.</w:t>
            </w:r>
            <w:r w:rsidRPr="00B67C96">
              <w:rPr>
                <w:sz w:val="20"/>
                <w:szCs w:val="24"/>
              </w:rPr>
              <w:tab/>
              <w:t>pārskata sagatavošanas principu apraksta;</w:t>
            </w:r>
          </w:p>
          <w:p w14:paraId="6B7E8207" w14:textId="77777777" w:rsidR="00015328" w:rsidRPr="00B67C96" w:rsidRDefault="00015328" w:rsidP="00947EE9">
            <w:pPr>
              <w:ind w:right="63"/>
              <w:jc w:val="both"/>
              <w:rPr>
                <w:sz w:val="20"/>
                <w:szCs w:val="24"/>
              </w:rPr>
            </w:pPr>
            <w:r w:rsidRPr="00B67C96">
              <w:rPr>
                <w:sz w:val="20"/>
                <w:szCs w:val="24"/>
              </w:rPr>
              <w:t>5.1.4.3.</w:t>
            </w:r>
            <w:r w:rsidRPr="00B67C96">
              <w:rPr>
                <w:sz w:val="20"/>
                <w:szCs w:val="24"/>
              </w:rPr>
              <w:tab/>
              <w:t>finanšu instrumentu risku pārvaldīšanas apraksta;</w:t>
            </w:r>
          </w:p>
          <w:p w14:paraId="6F4F37C2" w14:textId="77777777" w:rsidR="00015328" w:rsidRPr="00B67C96" w:rsidRDefault="00015328" w:rsidP="00947EE9">
            <w:pPr>
              <w:ind w:right="63"/>
              <w:jc w:val="both"/>
              <w:rPr>
                <w:sz w:val="20"/>
                <w:szCs w:val="24"/>
              </w:rPr>
            </w:pPr>
            <w:r w:rsidRPr="00B67C96">
              <w:rPr>
                <w:sz w:val="20"/>
                <w:szCs w:val="24"/>
              </w:rPr>
              <w:t>5.1.4.4.</w:t>
            </w:r>
            <w:r w:rsidRPr="00B67C96">
              <w:rPr>
                <w:sz w:val="20"/>
                <w:szCs w:val="24"/>
              </w:rPr>
              <w:tab/>
              <w:t>finanšu pārskata posteņu skaidrojuma;</w:t>
            </w:r>
          </w:p>
          <w:p w14:paraId="54C6AB81" w14:textId="4D1AF900" w:rsidR="00015328" w:rsidRPr="00B67C96" w:rsidRDefault="00015328" w:rsidP="00947EE9">
            <w:pPr>
              <w:keepNext/>
              <w:keepLines/>
              <w:tabs>
                <w:tab w:val="left" w:pos="284"/>
              </w:tabs>
              <w:jc w:val="both"/>
              <w:outlineLvl w:val="0"/>
              <w:rPr>
                <w:rFonts w:eastAsiaTheme="majorEastAsia" w:cstheme="majorBidi"/>
                <w:sz w:val="20"/>
                <w:szCs w:val="20"/>
              </w:rPr>
            </w:pPr>
            <w:r w:rsidRPr="00B67C96">
              <w:rPr>
                <w:sz w:val="20"/>
                <w:szCs w:val="24"/>
              </w:rPr>
              <w:t>5.2.</w:t>
            </w:r>
            <w:r w:rsidRPr="00B67C96">
              <w:rPr>
                <w:sz w:val="20"/>
                <w:szCs w:val="24"/>
              </w:rPr>
              <w:tab/>
              <w:t>pārskatu par valsts konsolidēto parādu un tā pielikumu – skaidrojumu par valsts konsolidēto parādu.</w:t>
            </w:r>
          </w:p>
        </w:tc>
        <w:tc>
          <w:tcPr>
            <w:tcW w:w="1731" w:type="pct"/>
            <w:tcBorders>
              <w:top w:val="outset" w:sz="6" w:space="0" w:color="414142"/>
              <w:left w:val="outset" w:sz="6" w:space="0" w:color="414142"/>
              <w:bottom w:val="outset" w:sz="6" w:space="0" w:color="414142"/>
              <w:right w:val="outset" w:sz="6" w:space="0" w:color="414142"/>
            </w:tcBorders>
          </w:tcPr>
          <w:p w14:paraId="1ECF41A7" w14:textId="77777777" w:rsidR="00015328" w:rsidRPr="00B67C96" w:rsidRDefault="00015328" w:rsidP="00947EE9">
            <w:pPr>
              <w:pStyle w:val="ListParagraph"/>
              <w:ind w:left="0"/>
              <w:jc w:val="both"/>
              <w:rPr>
                <w:sz w:val="20"/>
              </w:rPr>
            </w:pPr>
            <w:r w:rsidRPr="00B67C96">
              <w:rPr>
                <w:sz w:val="20"/>
              </w:rPr>
              <w:t>Valsts kontrole:</w:t>
            </w:r>
          </w:p>
          <w:p w14:paraId="1016768B" w14:textId="77ED4869" w:rsidR="00015328" w:rsidRDefault="00015328" w:rsidP="00947EE9">
            <w:pPr>
              <w:pStyle w:val="ListParagraph"/>
              <w:tabs>
                <w:tab w:val="left" w:pos="993"/>
              </w:tabs>
              <w:ind w:left="0"/>
              <w:jc w:val="both"/>
              <w:rPr>
                <w:sz w:val="20"/>
              </w:rPr>
            </w:pPr>
            <w:r w:rsidRPr="00B67C96">
              <w:rPr>
                <w:sz w:val="20"/>
              </w:rPr>
              <w:t>[1.3] Projekta 5.punktā minētā finanšu pārskata struktūra ir atšķirīga no starptautiskajos publiskā sektora grāmatvedības standartos un normatīvajos aktos budžeta, grāmatvedības, t.sk. budžeta iestāžu grāmatvedības uzskaites un budžeta iestāžu gada pārskatu sagatavošanas jomā noteiktās finanšu pārskata struktūras.</w:t>
            </w:r>
          </w:p>
          <w:p w14:paraId="1E60F9E0" w14:textId="0DA80463" w:rsidR="00015328" w:rsidRPr="00B67C96" w:rsidRDefault="00015328" w:rsidP="00947EE9">
            <w:pPr>
              <w:pStyle w:val="ListParagraph"/>
              <w:ind w:left="0"/>
              <w:jc w:val="both"/>
              <w:rPr>
                <w:sz w:val="20"/>
              </w:rPr>
            </w:pPr>
            <w:r w:rsidRPr="00B67C96">
              <w:rPr>
                <w:sz w:val="20"/>
              </w:rPr>
              <w:t>Valsts kontrole</w:t>
            </w:r>
            <w:r>
              <w:rPr>
                <w:sz w:val="20"/>
              </w:rPr>
              <w:t xml:space="preserve"> (pēc elektroniskās saskaņošanas)</w:t>
            </w:r>
            <w:r w:rsidRPr="00B67C96">
              <w:rPr>
                <w:sz w:val="20"/>
              </w:rPr>
              <w:t>:</w:t>
            </w:r>
          </w:p>
          <w:p w14:paraId="095EBAFA" w14:textId="77777777" w:rsidR="00015328" w:rsidRPr="00D72F61" w:rsidRDefault="00015328" w:rsidP="00947EE9">
            <w:pPr>
              <w:tabs>
                <w:tab w:val="left" w:pos="0"/>
                <w:tab w:val="left" w:pos="709"/>
                <w:tab w:val="left" w:pos="993"/>
              </w:tabs>
              <w:suppressAutoHyphens/>
              <w:jc w:val="both"/>
              <w:outlineLvl w:val="3"/>
              <w:rPr>
                <w:rFonts w:cs="Times New Roman"/>
                <w:sz w:val="20"/>
                <w:szCs w:val="24"/>
              </w:rPr>
            </w:pPr>
            <w:r w:rsidRPr="00D72F61">
              <w:rPr>
                <w:rFonts w:cs="Times New Roman"/>
                <w:sz w:val="20"/>
                <w:szCs w:val="24"/>
              </w:rPr>
              <w:t xml:space="preserve">[1.1] atkārtoti norādām, ka Projektā minētais finanšu pārskata saturs atšķiras no starptautiskajos publiskā sektora grāmatvedības standartos (turpmāk – SPSGS) un budžeta iestāžu grāmatvedības uzskaites un budžeta iestāžu gada pārskatu sagatavošanas jomā noteiktā finanšu pārskata satura – Projekta 5.punktā un anotācijas pielikumā ir minēts, ka pārskats par finansiālās darbības rādītājiem, pašu kapitāla izmaiņu pārskats un naudas plūsmas pārskats ir valsts konsolidētā finanšu stāvokļa pārskata (bilances) pielikumi, savukārt atbilstoši starptautiskajiem publiskā sektora grāmatvedības standartiem iepriekš minētie pārskati nav bilances pielikumi, bet līdzvērtīgas finanšu pārskata sastāvdaļas. Finanšu pārskata sastāvs korekti ir norādīts normatīvajos aktos budžeta, grāmatvedības, t.sk. budžeta iestāžu grāmatvedības uzskaites un budžeta iestāžu gada pārskatu sagatavošanas jomā . </w:t>
            </w:r>
          </w:p>
          <w:p w14:paraId="1237CFEE" w14:textId="77777777" w:rsidR="00015328" w:rsidRPr="00D72F61" w:rsidRDefault="00015328" w:rsidP="00947EE9">
            <w:pPr>
              <w:tabs>
                <w:tab w:val="left" w:pos="0"/>
                <w:tab w:val="left" w:pos="709"/>
                <w:tab w:val="left" w:pos="993"/>
              </w:tabs>
              <w:suppressAutoHyphens/>
              <w:jc w:val="both"/>
              <w:outlineLvl w:val="3"/>
              <w:rPr>
                <w:rFonts w:cs="Times New Roman"/>
                <w:sz w:val="20"/>
                <w:szCs w:val="24"/>
              </w:rPr>
            </w:pPr>
            <w:r w:rsidRPr="00D72F61">
              <w:rPr>
                <w:rFonts w:cs="Times New Roman"/>
                <w:sz w:val="20"/>
                <w:szCs w:val="24"/>
              </w:rPr>
              <w:t xml:space="preserve">Atbilstoši Finanšu ministrijas sniegtajam skaidrojumam, kas norādīts Izziņā par atzinumos sniegtajiem iebildumiem Ministru kabineta noteikumu projektam “Saimnieciskā gada pārskata sagatavošanas kārtība”: “Noteikumu projektā paredzētai finanšu pārskatu struktūrai jāatbilst Likumā par budžetu un finanšu vadību 31. panta otrajā daļā noteiktajam deleģējumam. Anotācijas I. nodaļas “ Tiesību akta projekta izstrādes nepieciešamība” 2.punktā “Pašreizējā situācija un problēmas, kuru risināšanai tiesību akta projekts izstrādāts, tiesiskā regulējuma mērķis un būtība” (5.lp.) sniegta informācija par anotācijai pievienoto pielikumu “Pārskata struktūras salīdzinājums”, kurā sniegts salīdzinājums noteikumu projekta pārskata struktūrai, pamatojoties uz Likuma 31.panta otro daļu ar MK noteikumos Nr.344 noteikto pārskata struktūru, kas saskaņota ar starptautiskās prakses pārskatu struktūru”. Tomēr nevaram piekrist, ka, tuvinot saimnieciskā gada pārskatā uzrādīto informāciju SPSGS prasībām, tā vietā, lai precizētu Likuma par budžetu un finanšu vadību 31.panta otrajā daļā noteikto neprecīzo Saimnieciskā gada pārskata sastāvu, ir paredzēts vēl vienā tiesību aktā norādīt nekorektu finanšu pārskata sastāvu. </w:t>
            </w:r>
          </w:p>
          <w:p w14:paraId="64FFCA33" w14:textId="02309F67" w:rsidR="00015328" w:rsidRDefault="00015328" w:rsidP="00947EE9">
            <w:pPr>
              <w:pStyle w:val="ListParagraph"/>
              <w:tabs>
                <w:tab w:val="left" w:pos="993"/>
              </w:tabs>
              <w:ind w:left="0"/>
              <w:jc w:val="both"/>
              <w:rPr>
                <w:sz w:val="20"/>
              </w:rPr>
            </w:pPr>
            <w:r w:rsidRPr="00D72F61">
              <w:rPr>
                <w:sz w:val="20"/>
              </w:rPr>
              <w:t>Turklāt, ņemot vērā Projekta anotācijā norādīto, ir paredzēts sagatavot likumprojektu ,,Grozījumi Likumā par budžetu un finanšu vadību”, jo Valsts kase ir sagatavojusi un iesniegusi Finanšu ministrijai Likuma par budžetu un finanšu vadību pantu redakcijas un informāciju anotācijas skaidrojumiem, t.sk. par Likuma par budžetu un finanšu vadību 31.panta otro daļu, paredzot, ka Ministru kabinets nosaka kārtību, kādā Finanšu ministrija sagatavo un iesniedz konsolidēto saimnieciskā gada pārskatu.</w:t>
            </w:r>
          </w:p>
          <w:p w14:paraId="64AE5FAF" w14:textId="77777777" w:rsidR="00015328" w:rsidRPr="00B67C96" w:rsidRDefault="00015328" w:rsidP="00947EE9">
            <w:pPr>
              <w:tabs>
                <w:tab w:val="left" w:pos="0"/>
                <w:tab w:val="left" w:pos="709"/>
                <w:tab w:val="left" w:pos="993"/>
              </w:tabs>
              <w:suppressAutoHyphens/>
              <w:jc w:val="both"/>
              <w:outlineLvl w:val="3"/>
              <w:rPr>
                <w:rFonts w:cs="Times New Roman"/>
                <w:sz w:val="20"/>
                <w:szCs w:val="20"/>
              </w:rPr>
            </w:pPr>
          </w:p>
        </w:tc>
        <w:tc>
          <w:tcPr>
            <w:tcW w:w="893" w:type="pct"/>
            <w:tcBorders>
              <w:top w:val="outset" w:sz="6" w:space="0" w:color="414142"/>
              <w:left w:val="outset" w:sz="6" w:space="0" w:color="414142"/>
              <w:bottom w:val="outset" w:sz="6" w:space="0" w:color="414142"/>
              <w:right w:val="outset" w:sz="6" w:space="0" w:color="414142"/>
            </w:tcBorders>
          </w:tcPr>
          <w:p w14:paraId="48CE61ED" w14:textId="4788D494" w:rsidR="00015328" w:rsidRPr="00B67C96" w:rsidRDefault="00015328" w:rsidP="00947EE9">
            <w:pPr>
              <w:jc w:val="both"/>
              <w:rPr>
                <w:b/>
                <w:sz w:val="20"/>
                <w:szCs w:val="24"/>
              </w:rPr>
            </w:pPr>
            <w:r>
              <w:rPr>
                <w:b/>
                <w:sz w:val="20"/>
                <w:szCs w:val="24"/>
              </w:rPr>
              <w:t>Ņ</w:t>
            </w:r>
            <w:r w:rsidRPr="00F72E69">
              <w:rPr>
                <w:b/>
                <w:sz w:val="20"/>
                <w:szCs w:val="24"/>
              </w:rPr>
              <w:t>emts vērā</w:t>
            </w:r>
            <w:r>
              <w:rPr>
                <w:b/>
                <w:sz w:val="20"/>
                <w:szCs w:val="24"/>
              </w:rPr>
              <w:t xml:space="preserve"> (panākta vienošanās starpinsitūciju sanāksmē)</w:t>
            </w:r>
          </w:p>
          <w:p w14:paraId="308F9A1D" w14:textId="77777777" w:rsidR="00015328" w:rsidRDefault="00015328" w:rsidP="00947EE9">
            <w:pPr>
              <w:jc w:val="both"/>
              <w:rPr>
                <w:sz w:val="20"/>
              </w:rPr>
            </w:pPr>
            <w:r>
              <w:rPr>
                <w:sz w:val="20"/>
                <w:szCs w:val="24"/>
              </w:rPr>
              <w:t>Noteikumu projektā paredzētai</w:t>
            </w:r>
            <w:r w:rsidRPr="00B67C96">
              <w:rPr>
                <w:sz w:val="20"/>
                <w:szCs w:val="24"/>
              </w:rPr>
              <w:t xml:space="preserve"> finanšu pārskatu struktūra</w:t>
            </w:r>
            <w:r>
              <w:rPr>
                <w:sz w:val="20"/>
                <w:szCs w:val="24"/>
              </w:rPr>
              <w:t>i</w:t>
            </w:r>
            <w:r w:rsidRPr="00B67C96">
              <w:rPr>
                <w:sz w:val="20"/>
                <w:szCs w:val="24"/>
              </w:rPr>
              <w:t xml:space="preserve"> </w:t>
            </w:r>
            <w:r>
              <w:rPr>
                <w:sz w:val="20"/>
                <w:szCs w:val="24"/>
              </w:rPr>
              <w:t>jā</w:t>
            </w:r>
            <w:r w:rsidRPr="00B67C96">
              <w:rPr>
                <w:sz w:val="20"/>
                <w:szCs w:val="24"/>
              </w:rPr>
              <w:t xml:space="preserve">atbilst Likumā par budžetu un finanšu vadību </w:t>
            </w:r>
            <w:r w:rsidRPr="003D60F9">
              <w:rPr>
                <w:rFonts w:cs="Times New Roman"/>
                <w:sz w:val="20"/>
                <w:szCs w:val="20"/>
              </w:rPr>
              <w:t>31. panta otrajā daļā</w:t>
            </w:r>
            <w:r w:rsidRPr="00B67C96">
              <w:rPr>
                <w:sz w:val="20"/>
                <w:szCs w:val="24"/>
              </w:rPr>
              <w:t xml:space="preserve"> noteiktajam</w:t>
            </w:r>
            <w:r>
              <w:rPr>
                <w:sz w:val="20"/>
                <w:szCs w:val="24"/>
              </w:rPr>
              <w:t xml:space="preserve"> </w:t>
            </w:r>
            <w:r w:rsidRPr="00B67C96">
              <w:rPr>
                <w:sz w:val="20"/>
                <w:szCs w:val="24"/>
              </w:rPr>
              <w:t xml:space="preserve"> deleģējumam</w:t>
            </w:r>
            <w:r>
              <w:rPr>
                <w:sz w:val="20"/>
                <w:szCs w:val="24"/>
              </w:rPr>
              <w:t xml:space="preserve">. Vienlaikus noteikumu projekta 5.punktā iekļauta MK noteikumos Nr.344 </w:t>
            </w:r>
            <w:r w:rsidRPr="00B67C96">
              <w:rPr>
                <w:sz w:val="20"/>
              </w:rPr>
              <w:t>minēt</w:t>
            </w:r>
            <w:r>
              <w:rPr>
                <w:sz w:val="20"/>
              </w:rPr>
              <w:t xml:space="preserve">o finanšu pārskatu struktūra, kas nav </w:t>
            </w:r>
            <w:r w:rsidRPr="00B67C96">
              <w:rPr>
                <w:sz w:val="20"/>
              </w:rPr>
              <w:t>atšķirīga no starptautiskajos publiskā sektora</w:t>
            </w:r>
            <w:r>
              <w:rPr>
                <w:sz w:val="20"/>
              </w:rPr>
              <w:t xml:space="preserve"> </w:t>
            </w:r>
            <w:r w:rsidRPr="00B67C96">
              <w:rPr>
                <w:sz w:val="20"/>
              </w:rPr>
              <w:t>grāmatvedības standartos</w:t>
            </w:r>
            <w:r>
              <w:rPr>
                <w:sz w:val="20"/>
              </w:rPr>
              <w:t xml:space="preserve"> noteiktā.</w:t>
            </w:r>
          </w:p>
          <w:p w14:paraId="341D5D44" w14:textId="77777777" w:rsidR="00E05E03" w:rsidRDefault="00015328" w:rsidP="00947EE9">
            <w:pPr>
              <w:jc w:val="both"/>
              <w:rPr>
                <w:rFonts w:eastAsia="Times New Roman" w:cs="Times New Roman"/>
                <w:sz w:val="20"/>
                <w:szCs w:val="20"/>
                <w:lang w:eastAsia="lv-LV"/>
              </w:rPr>
            </w:pPr>
            <w:r>
              <w:rPr>
                <w:rFonts w:eastAsia="Times New Roman" w:cs="Times New Roman"/>
                <w:sz w:val="20"/>
                <w:szCs w:val="20"/>
                <w:lang w:eastAsia="lv-LV"/>
              </w:rPr>
              <w:t>Anotācijas I. nodaļas</w:t>
            </w:r>
            <w:r w:rsidRPr="000B4B34">
              <w:rPr>
                <w:rFonts w:eastAsia="Times New Roman" w:cs="Times New Roman"/>
                <w:sz w:val="20"/>
                <w:szCs w:val="20"/>
                <w:lang w:eastAsia="lv-LV"/>
              </w:rPr>
              <w:t xml:space="preserve"> </w:t>
            </w:r>
            <w:r>
              <w:rPr>
                <w:rFonts w:eastAsia="Times New Roman" w:cs="Times New Roman"/>
                <w:sz w:val="20"/>
                <w:szCs w:val="20"/>
                <w:lang w:eastAsia="lv-LV"/>
              </w:rPr>
              <w:t>“</w:t>
            </w:r>
            <w:r w:rsidRPr="000B4B34">
              <w:rPr>
                <w:rFonts w:eastAsia="Times New Roman" w:cs="Times New Roman"/>
                <w:sz w:val="20"/>
                <w:szCs w:val="20"/>
                <w:lang w:eastAsia="lv-LV"/>
              </w:rPr>
              <w:t xml:space="preserve"> Tiesību akta projekta izstrādes nepieciešamība</w:t>
            </w:r>
            <w:r>
              <w:rPr>
                <w:rFonts w:eastAsia="Times New Roman" w:cs="Times New Roman"/>
                <w:sz w:val="20"/>
                <w:szCs w:val="20"/>
                <w:lang w:eastAsia="lv-LV"/>
              </w:rPr>
              <w:t>”</w:t>
            </w:r>
            <w:r w:rsidRPr="000B4B34">
              <w:rPr>
                <w:rFonts w:eastAsia="Times New Roman" w:cs="Times New Roman"/>
                <w:sz w:val="20"/>
                <w:szCs w:val="20"/>
                <w:lang w:eastAsia="lv-LV"/>
              </w:rPr>
              <w:t xml:space="preserve"> </w:t>
            </w:r>
            <w:r>
              <w:rPr>
                <w:rFonts w:eastAsia="Times New Roman" w:cs="Times New Roman"/>
                <w:sz w:val="20"/>
                <w:szCs w:val="20"/>
                <w:lang w:eastAsia="lv-LV"/>
              </w:rPr>
              <w:t>2</w:t>
            </w:r>
            <w:r w:rsidRPr="000B4B34">
              <w:rPr>
                <w:rFonts w:eastAsia="Times New Roman" w:cs="Times New Roman"/>
                <w:sz w:val="20"/>
                <w:szCs w:val="20"/>
                <w:lang w:eastAsia="lv-LV"/>
              </w:rPr>
              <w:t>.punkt</w:t>
            </w:r>
            <w:r>
              <w:rPr>
                <w:rFonts w:eastAsia="Times New Roman" w:cs="Times New Roman"/>
                <w:sz w:val="20"/>
                <w:szCs w:val="20"/>
                <w:lang w:eastAsia="lv-LV"/>
              </w:rPr>
              <w:t>ā</w:t>
            </w:r>
            <w:r w:rsidRPr="000B4B34">
              <w:rPr>
                <w:rFonts w:eastAsia="Times New Roman" w:cs="Times New Roman"/>
                <w:sz w:val="20"/>
                <w:szCs w:val="20"/>
                <w:lang w:eastAsia="lv-LV"/>
              </w:rPr>
              <w:t xml:space="preserve"> “</w:t>
            </w:r>
            <w:r w:rsidRPr="00A86853">
              <w:rPr>
                <w:rFonts w:eastAsia="Times New Roman" w:cs="Times New Roman"/>
                <w:bCs/>
                <w:sz w:val="20"/>
                <w:szCs w:val="20"/>
                <w:lang w:eastAsia="lv-LV"/>
              </w:rPr>
              <w:t>Pašreizējā situācija un problēmas, kuru risināšanai tiesību akta projekts izstrādāts, tiesiskā regulējuma mērķis un būtība</w:t>
            </w:r>
            <w:r w:rsidRPr="00A86853">
              <w:rPr>
                <w:rFonts w:eastAsia="Times New Roman" w:cs="Times New Roman"/>
                <w:sz w:val="20"/>
                <w:szCs w:val="20"/>
                <w:lang w:eastAsia="lv-LV"/>
              </w:rPr>
              <w:t xml:space="preserve">” </w:t>
            </w:r>
            <w:r>
              <w:rPr>
                <w:rFonts w:eastAsia="Times New Roman" w:cs="Times New Roman"/>
                <w:sz w:val="20"/>
                <w:szCs w:val="20"/>
                <w:lang w:eastAsia="lv-LV"/>
              </w:rPr>
              <w:t>(5.lp.) sniegta informācija par anotācijai pievienoto pielikumu “</w:t>
            </w:r>
            <w:r w:rsidRPr="00710CED">
              <w:rPr>
                <w:rFonts w:eastAsia="Times New Roman" w:cs="Times New Roman"/>
                <w:sz w:val="20"/>
                <w:szCs w:val="20"/>
                <w:lang w:eastAsia="lv-LV"/>
              </w:rPr>
              <w:t>Pārskata struktūras salīdzinājums</w:t>
            </w:r>
            <w:r>
              <w:rPr>
                <w:rFonts w:eastAsia="Times New Roman" w:cs="Times New Roman"/>
                <w:sz w:val="20"/>
                <w:szCs w:val="20"/>
                <w:lang w:eastAsia="lv-LV"/>
              </w:rPr>
              <w:t>”,</w:t>
            </w:r>
            <w:r w:rsidRPr="00710CED">
              <w:rPr>
                <w:rFonts w:eastAsia="Times New Roman" w:cs="Times New Roman"/>
                <w:sz w:val="20"/>
                <w:szCs w:val="20"/>
                <w:lang w:eastAsia="lv-LV"/>
              </w:rPr>
              <w:t xml:space="preserve"> kurā sniegts salīdzinājums noteikumu projekta pārskata struktūrai pamatojoties uz Likuma 31.panta otro daļu ar MK noteikumos Nr.344 noteikto pārskata struktūru, kas saskaņota ar </w:t>
            </w:r>
            <w:r w:rsidRPr="009941F1">
              <w:rPr>
                <w:rFonts w:eastAsia="Times New Roman" w:cs="Times New Roman"/>
                <w:sz w:val="20"/>
                <w:szCs w:val="20"/>
                <w:lang w:eastAsia="lv-LV"/>
              </w:rPr>
              <w:t>starptautiskās prakses pārskatu struktūru</w:t>
            </w:r>
            <w:r w:rsidR="00E05E03">
              <w:rPr>
                <w:rFonts w:eastAsia="Times New Roman" w:cs="Times New Roman"/>
                <w:sz w:val="20"/>
                <w:szCs w:val="20"/>
                <w:lang w:eastAsia="lv-LV"/>
              </w:rPr>
              <w:t>.</w:t>
            </w:r>
          </w:p>
          <w:p w14:paraId="10181C49" w14:textId="53FC7B49" w:rsidR="00015328" w:rsidRPr="00B773E5" w:rsidRDefault="00E05E03" w:rsidP="00947EE9">
            <w:pPr>
              <w:jc w:val="both"/>
              <w:rPr>
                <w:rFonts w:eastAsia="Times New Roman" w:cs="Times New Roman"/>
                <w:sz w:val="20"/>
                <w:szCs w:val="20"/>
                <w:lang w:eastAsia="lv-LV"/>
              </w:rPr>
            </w:pPr>
            <w:r w:rsidRPr="00B773E5">
              <w:rPr>
                <w:rFonts w:eastAsia="Times New Roman" w:cs="Times New Roman"/>
                <w:sz w:val="20"/>
                <w:szCs w:val="20"/>
                <w:lang w:eastAsia="lv-LV"/>
              </w:rPr>
              <w:t>Sanāksmē panākta vienošanās</w:t>
            </w:r>
            <w:r w:rsidR="009941F1" w:rsidRPr="00B773E5">
              <w:rPr>
                <w:rFonts w:eastAsia="Times New Roman" w:cs="Times New Roman"/>
                <w:sz w:val="20"/>
                <w:szCs w:val="20"/>
                <w:lang w:eastAsia="lv-LV"/>
              </w:rPr>
              <w:t xml:space="preserve"> </w:t>
            </w:r>
            <w:r w:rsidRPr="00B773E5">
              <w:rPr>
                <w:rFonts w:eastAsia="Times New Roman" w:cs="Times New Roman"/>
                <w:sz w:val="20"/>
                <w:szCs w:val="20"/>
                <w:lang w:eastAsia="lv-LV"/>
              </w:rPr>
              <w:t>Anotācijas I. nodaļas “ Tiesību akta projekta izstrādes nepieciešamība” 2.punktā “</w:t>
            </w:r>
            <w:r w:rsidRPr="00B773E5">
              <w:rPr>
                <w:rFonts w:eastAsia="Times New Roman" w:cs="Times New Roman"/>
                <w:bCs/>
                <w:sz w:val="20"/>
                <w:szCs w:val="20"/>
                <w:lang w:eastAsia="lv-LV"/>
              </w:rPr>
              <w:t>Pašreizējā situācija un problēmas, kuru risināšanai tiesību akta projekts izstrādāts, tiesiskā regulējuma mērķis un būtība</w:t>
            </w:r>
            <w:r w:rsidRPr="00B773E5">
              <w:rPr>
                <w:rFonts w:eastAsia="Times New Roman" w:cs="Times New Roman"/>
                <w:sz w:val="20"/>
                <w:szCs w:val="20"/>
                <w:lang w:eastAsia="lv-LV"/>
              </w:rPr>
              <w:t xml:space="preserve">” </w:t>
            </w:r>
            <w:r w:rsidR="009941F1" w:rsidRPr="00B773E5">
              <w:rPr>
                <w:rFonts w:eastAsia="Times New Roman" w:cs="Times New Roman"/>
                <w:sz w:val="20"/>
                <w:szCs w:val="20"/>
                <w:lang w:eastAsia="lv-LV"/>
              </w:rPr>
              <w:t xml:space="preserve"> (2.-3.lp.) </w:t>
            </w:r>
            <w:r w:rsidRPr="00B773E5">
              <w:rPr>
                <w:rFonts w:eastAsia="Times New Roman" w:cs="Times New Roman"/>
                <w:sz w:val="20"/>
                <w:szCs w:val="20"/>
                <w:lang w:eastAsia="lv-LV"/>
              </w:rPr>
              <w:t xml:space="preserve">papildināt </w:t>
            </w:r>
            <w:r w:rsidR="009941F1" w:rsidRPr="00B773E5">
              <w:rPr>
                <w:rFonts w:eastAsia="Times New Roman" w:cs="Times New Roman"/>
                <w:sz w:val="20"/>
                <w:szCs w:val="20"/>
                <w:lang w:eastAsia="lv-LV"/>
              </w:rPr>
              <w:t>par Valsts kases sniegtajiem priekšlikumiem Likuma  31.panta otrās daļas grozījumiem un normatīvo regulējumu, kas izdoti uz Likuma 30.panta pirmo prim</w:t>
            </w:r>
            <w:r w:rsidR="009941F1" w:rsidRPr="00B773E5">
              <w:rPr>
                <w:rFonts w:cs="Times New Roman"/>
                <w:sz w:val="20"/>
                <w:szCs w:val="20"/>
              </w:rPr>
              <w:t xml:space="preserve"> daļa un </w:t>
            </w:r>
            <w:r w:rsidR="009941F1" w:rsidRPr="00B773E5">
              <w:rPr>
                <w:rFonts w:eastAsia="Times New Roman" w:cs="Times New Roman"/>
                <w:sz w:val="20"/>
                <w:szCs w:val="20"/>
                <w:lang w:eastAsia="lv-LV"/>
              </w:rPr>
              <w:t xml:space="preserve"> 31.panta otro daļu apvienošanu.</w:t>
            </w:r>
          </w:p>
          <w:p w14:paraId="3C331797" w14:textId="77777777" w:rsidR="00015328" w:rsidRPr="00361ACA" w:rsidRDefault="00015328" w:rsidP="00947EE9">
            <w:pPr>
              <w:jc w:val="both"/>
              <w:rPr>
                <w:sz w:val="20"/>
                <w:szCs w:val="20"/>
              </w:rPr>
            </w:pPr>
          </w:p>
          <w:p w14:paraId="1099A507" w14:textId="77777777" w:rsidR="00015328" w:rsidRPr="00935821" w:rsidRDefault="00015328" w:rsidP="00947EE9">
            <w:pPr>
              <w:jc w:val="both"/>
              <w:rPr>
                <w:rFonts w:eastAsia="Times New Roman" w:cs="Times New Roman"/>
                <w:b/>
                <w:sz w:val="20"/>
                <w:szCs w:val="20"/>
                <w:lang w:eastAsia="lv-LV"/>
              </w:rPr>
            </w:pPr>
          </w:p>
        </w:tc>
        <w:tc>
          <w:tcPr>
            <w:tcW w:w="1060" w:type="pct"/>
            <w:tcBorders>
              <w:top w:val="outset" w:sz="6" w:space="0" w:color="414142"/>
              <w:left w:val="outset" w:sz="6" w:space="0" w:color="414142"/>
              <w:bottom w:val="outset" w:sz="6" w:space="0" w:color="414142"/>
              <w:right w:val="outset" w:sz="6" w:space="0" w:color="414142"/>
            </w:tcBorders>
          </w:tcPr>
          <w:p w14:paraId="59D83F5C" w14:textId="5958F7FF" w:rsidR="00015328" w:rsidRPr="00B773E5" w:rsidRDefault="00015328" w:rsidP="00947EE9">
            <w:pPr>
              <w:jc w:val="both"/>
              <w:rPr>
                <w:sz w:val="20"/>
                <w:szCs w:val="20"/>
              </w:rPr>
            </w:pPr>
            <w:r w:rsidRPr="00B773E5">
              <w:rPr>
                <w:sz w:val="20"/>
                <w:szCs w:val="20"/>
              </w:rPr>
              <w:t>5. Finanšu pārskatā iekļauj:</w:t>
            </w:r>
          </w:p>
          <w:p w14:paraId="5803818A" w14:textId="77777777" w:rsidR="00015328" w:rsidRPr="00B773E5" w:rsidRDefault="00015328" w:rsidP="00947EE9">
            <w:pPr>
              <w:tabs>
                <w:tab w:val="left" w:pos="993"/>
              </w:tabs>
              <w:jc w:val="both"/>
              <w:rPr>
                <w:sz w:val="20"/>
                <w:szCs w:val="20"/>
              </w:rPr>
            </w:pPr>
            <w:r w:rsidRPr="00B773E5">
              <w:rPr>
                <w:sz w:val="20"/>
                <w:szCs w:val="20"/>
              </w:rPr>
              <w:t>5.1. valsts konsolidēto grāmatvedības bilanci un tās pielikumus:</w:t>
            </w:r>
          </w:p>
          <w:p w14:paraId="198D7229" w14:textId="77777777" w:rsidR="00015328" w:rsidRPr="00B773E5" w:rsidRDefault="00015328" w:rsidP="00947EE9">
            <w:pPr>
              <w:tabs>
                <w:tab w:val="left" w:pos="993"/>
              </w:tabs>
              <w:jc w:val="both"/>
              <w:rPr>
                <w:sz w:val="20"/>
                <w:szCs w:val="20"/>
              </w:rPr>
            </w:pPr>
            <w:r w:rsidRPr="00B773E5">
              <w:rPr>
                <w:sz w:val="20"/>
                <w:szCs w:val="20"/>
              </w:rPr>
              <w:t xml:space="preserve">5.1.1. konsolidēto </w:t>
            </w:r>
            <w:r w:rsidRPr="00B773E5" w:rsidDel="00550C21">
              <w:rPr>
                <w:sz w:val="20"/>
                <w:szCs w:val="20"/>
              </w:rPr>
              <w:t>pārskatu par darbības finansiālajiem rezultātiem</w:t>
            </w:r>
            <w:r w:rsidRPr="00B773E5">
              <w:rPr>
                <w:sz w:val="20"/>
                <w:szCs w:val="20"/>
              </w:rPr>
              <w:t>;</w:t>
            </w:r>
          </w:p>
          <w:p w14:paraId="62615F5E" w14:textId="77777777" w:rsidR="00015328" w:rsidRPr="00B773E5" w:rsidRDefault="00015328" w:rsidP="00947EE9">
            <w:pPr>
              <w:tabs>
                <w:tab w:val="left" w:pos="993"/>
              </w:tabs>
              <w:jc w:val="both"/>
              <w:rPr>
                <w:sz w:val="20"/>
                <w:szCs w:val="20"/>
              </w:rPr>
            </w:pPr>
            <w:r w:rsidRPr="00B773E5">
              <w:rPr>
                <w:sz w:val="20"/>
                <w:szCs w:val="20"/>
              </w:rPr>
              <w:t>5.1.2. konsolidēto pašu kapitāla izmaiņu pārskatu;</w:t>
            </w:r>
          </w:p>
          <w:p w14:paraId="4C947622" w14:textId="77777777" w:rsidR="00015328" w:rsidRPr="00B773E5" w:rsidRDefault="00015328" w:rsidP="00947EE9">
            <w:pPr>
              <w:tabs>
                <w:tab w:val="left" w:pos="993"/>
              </w:tabs>
              <w:jc w:val="both"/>
              <w:rPr>
                <w:sz w:val="20"/>
                <w:szCs w:val="20"/>
              </w:rPr>
            </w:pPr>
            <w:r w:rsidRPr="00B773E5">
              <w:rPr>
                <w:sz w:val="20"/>
                <w:szCs w:val="20"/>
              </w:rPr>
              <w:t>5.1.3. konsolidēto naudas plūsmas pārskatu;</w:t>
            </w:r>
          </w:p>
          <w:p w14:paraId="7684E026" w14:textId="77777777" w:rsidR="00015328" w:rsidRPr="00B773E5" w:rsidRDefault="00015328" w:rsidP="00947EE9">
            <w:pPr>
              <w:tabs>
                <w:tab w:val="left" w:pos="993"/>
              </w:tabs>
              <w:jc w:val="both"/>
              <w:rPr>
                <w:sz w:val="20"/>
                <w:szCs w:val="20"/>
              </w:rPr>
            </w:pPr>
            <w:r w:rsidRPr="00B773E5">
              <w:rPr>
                <w:sz w:val="20"/>
                <w:szCs w:val="20"/>
              </w:rPr>
              <w:t>5.1.4. finanšu pārskata pielikumu, kurā sniedz skaidrojumu par:</w:t>
            </w:r>
          </w:p>
          <w:p w14:paraId="6297FDED" w14:textId="77777777" w:rsidR="00015328" w:rsidRPr="00B773E5" w:rsidRDefault="00015328" w:rsidP="00947EE9">
            <w:pPr>
              <w:tabs>
                <w:tab w:val="left" w:pos="993"/>
              </w:tabs>
              <w:jc w:val="both"/>
              <w:rPr>
                <w:sz w:val="20"/>
                <w:szCs w:val="20"/>
              </w:rPr>
            </w:pPr>
            <w:r w:rsidRPr="00B773E5">
              <w:rPr>
                <w:sz w:val="20"/>
                <w:szCs w:val="20"/>
              </w:rPr>
              <w:t>5.1.4.1. grāmatvedības uzskaites principiem;</w:t>
            </w:r>
          </w:p>
          <w:p w14:paraId="7BF54B21" w14:textId="77777777" w:rsidR="00015328" w:rsidRPr="00B773E5" w:rsidRDefault="00015328" w:rsidP="00947EE9">
            <w:pPr>
              <w:tabs>
                <w:tab w:val="left" w:pos="993"/>
              </w:tabs>
              <w:jc w:val="both"/>
              <w:rPr>
                <w:sz w:val="20"/>
                <w:szCs w:val="20"/>
              </w:rPr>
            </w:pPr>
            <w:r w:rsidRPr="00B773E5">
              <w:rPr>
                <w:sz w:val="20"/>
                <w:szCs w:val="20"/>
              </w:rPr>
              <w:t>5.1.4.2. pārskata sagatavošanas principiem;</w:t>
            </w:r>
          </w:p>
          <w:p w14:paraId="0C502F9F" w14:textId="77777777" w:rsidR="00015328" w:rsidRPr="00B773E5" w:rsidRDefault="00015328" w:rsidP="00947EE9">
            <w:pPr>
              <w:tabs>
                <w:tab w:val="left" w:pos="993"/>
              </w:tabs>
              <w:jc w:val="both"/>
              <w:rPr>
                <w:sz w:val="20"/>
                <w:szCs w:val="20"/>
              </w:rPr>
            </w:pPr>
            <w:r w:rsidRPr="00B773E5">
              <w:rPr>
                <w:sz w:val="20"/>
                <w:szCs w:val="20"/>
              </w:rPr>
              <w:t>5.1.4.3. finanšu instrumentu risku pārvaldīšanu;</w:t>
            </w:r>
          </w:p>
          <w:p w14:paraId="7B3F9956" w14:textId="77777777" w:rsidR="00015328" w:rsidRPr="00B773E5" w:rsidRDefault="00015328" w:rsidP="00947EE9">
            <w:pPr>
              <w:tabs>
                <w:tab w:val="left" w:pos="993"/>
              </w:tabs>
              <w:jc w:val="both"/>
              <w:rPr>
                <w:sz w:val="20"/>
                <w:szCs w:val="20"/>
              </w:rPr>
            </w:pPr>
            <w:r w:rsidRPr="00B773E5">
              <w:rPr>
                <w:sz w:val="20"/>
                <w:szCs w:val="20"/>
              </w:rPr>
              <w:t>5.1.4.4. finanšu pārskata posteņiem;</w:t>
            </w:r>
          </w:p>
          <w:p w14:paraId="59738BDA" w14:textId="77777777" w:rsidR="009941F1" w:rsidRPr="00B773E5" w:rsidRDefault="00015328" w:rsidP="00947EE9">
            <w:pPr>
              <w:ind w:right="140"/>
              <w:jc w:val="both"/>
              <w:rPr>
                <w:rFonts w:eastAsia="Times New Roman" w:cs="Times New Roman"/>
                <w:szCs w:val="24"/>
                <w:lang w:eastAsia="lv-LV"/>
              </w:rPr>
            </w:pPr>
            <w:r w:rsidRPr="00B773E5">
              <w:rPr>
                <w:sz w:val="20"/>
                <w:szCs w:val="20"/>
              </w:rPr>
              <w:t>5.2. pārskatu par valsts konsolidēto parādu un tā pielikumus, kuros sniedz skaidrojumus par valsts konsolidēto parādu.</w:t>
            </w:r>
            <w:r w:rsidR="009941F1" w:rsidRPr="00B773E5">
              <w:rPr>
                <w:rFonts w:eastAsia="Times New Roman" w:cs="Times New Roman"/>
                <w:szCs w:val="24"/>
                <w:lang w:eastAsia="lv-LV"/>
              </w:rPr>
              <w:t xml:space="preserve"> </w:t>
            </w:r>
          </w:p>
          <w:p w14:paraId="3FF4FA8F" w14:textId="175A3BCA" w:rsidR="009941F1" w:rsidRPr="00B773E5" w:rsidRDefault="009941F1" w:rsidP="00947EE9">
            <w:pPr>
              <w:ind w:right="140"/>
              <w:jc w:val="both"/>
              <w:rPr>
                <w:rFonts w:eastAsia="Times New Roman" w:cs="Times New Roman"/>
                <w:sz w:val="20"/>
                <w:szCs w:val="20"/>
                <w:lang w:eastAsia="lv-LV"/>
              </w:rPr>
            </w:pPr>
            <w:r w:rsidRPr="00B773E5">
              <w:rPr>
                <w:rFonts w:eastAsia="Times New Roman" w:cs="Times New Roman"/>
                <w:sz w:val="20"/>
                <w:szCs w:val="20"/>
                <w:lang w:eastAsia="lv-LV"/>
              </w:rPr>
              <w:t>Anotācijas I. nodaļas “ Tiesību akta projekta izstrādes nepieciešamība” 2.punktā “</w:t>
            </w:r>
            <w:r w:rsidRPr="00B773E5">
              <w:rPr>
                <w:rFonts w:eastAsia="Times New Roman" w:cs="Times New Roman"/>
                <w:bCs/>
                <w:sz w:val="20"/>
                <w:szCs w:val="20"/>
                <w:lang w:eastAsia="lv-LV"/>
              </w:rPr>
              <w:t>Pašreizējā situācija un problēmas, kuru risināšanai tiesību akta projekts izstrādāts, tiesiskā regulējuma mērķis un būtība</w:t>
            </w:r>
            <w:r w:rsidR="00605085" w:rsidRPr="00B773E5">
              <w:rPr>
                <w:rFonts w:eastAsia="Times New Roman" w:cs="Times New Roman"/>
                <w:sz w:val="20"/>
                <w:szCs w:val="20"/>
                <w:lang w:eastAsia="lv-LV"/>
              </w:rPr>
              <w:t>”:</w:t>
            </w:r>
          </w:p>
          <w:p w14:paraId="17BB35EE" w14:textId="77777777" w:rsidR="00E05E03" w:rsidRPr="00B773E5" w:rsidRDefault="009941F1" w:rsidP="00947EE9">
            <w:pPr>
              <w:ind w:right="140" w:firstLine="403"/>
              <w:jc w:val="both"/>
              <w:rPr>
                <w:rFonts w:cs="Times New Roman"/>
                <w:sz w:val="20"/>
                <w:szCs w:val="20"/>
              </w:rPr>
            </w:pPr>
            <w:r w:rsidRPr="00B773E5">
              <w:rPr>
                <w:rFonts w:eastAsia="Times New Roman" w:cs="Times New Roman"/>
                <w:sz w:val="20"/>
                <w:szCs w:val="20"/>
                <w:lang w:eastAsia="lv-LV"/>
              </w:rPr>
              <w:t>Vienlaikus, atsaucoties uz Finanšu ministrijas iniciatīvu 2020.gadā iestādēm savlaicīgi iesniegt nepieciešamos grozījumus Likumā, Valsts kase sagatavojusi un iesniegusi Finanšu ministrijai Likuma pantu redakcijas un informāciju anotācijas skaidrojumiem, t.sk. par Likuma 31.panta otro daļu, paredzot, ka Ministru kabinets nosaka kārtību, kādā Finanšu ministrija sagatavo un iesniedz konsolidēto saimnieciskā gada pārskatu, tādējādi Likuma deleģējumā paredzēts iestrādāt normatīvo regulējumu FM sagatavotajam konsolidētajam saimnieciskā gada pārskatam, saskaņojot to ar Likuma deleģējumu, kas noteikts 30.panta pirmajā prim</w:t>
            </w:r>
            <w:r w:rsidRPr="00B773E5">
              <w:rPr>
                <w:rFonts w:cs="Times New Roman"/>
                <w:sz w:val="20"/>
                <w:szCs w:val="20"/>
              </w:rPr>
              <w:t xml:space="preserve"> daļā minētajiem subjektiem. </w:t>
            </w:r>
          </w:p>
          <w:p w14:paraId="7E14EE58" w14:textId="4EEB8B29" w:rsidR="00E05E03" w:rsidRPr="00B773E5" w:rsidRDefault="00E05E03" w:rsidP="00947EE9">
            <w:pPr>
              <w:ind w:right="140" w:firstLine="403"/>
              <w:jc w:val="both"/>
              <w:rPr>
                <w:rFonts w:eastAsia="Times New Roman" w:cs="Times New Roman"/>
                <w:sz w:val="20"/>
                <w:szCs w:val="20"/>
                <w:lang w:eastAsia="lv-LV"/>
              </w:rPr>
            </w:pPr>
            <w:r w:rsidRPr="00B773E5">
              <w:rPr>
                <w:rFonts w:eastAsia="Times New Roman" w:cs="Times New Roman"/>
                <w:sz w:val="20"/>
                <w:szCs w:val="20"/>
                <w:lang w:eastAsia="lv-LV"/>
              </w:rPr>
              <w:t>Anotācijas I. nodaļas “ Tiesību akta projekta izstrādes nepieciešamība” 2.punktā “</w:t>
            </w:r>
            <w:r w:rsidRPr="00B773E5">
              <w:rPr>
                <w:rFonts w:eastAsia="Times New Roman" w:cs="Times New Roman"/>
                <w:bCs/>
                <w:sz w:val="20"/>
                <w:szCs w:val="20"/>
                <w:lang w:eastAsia="lv-LV"/>
              </w:rPr>
              <w:t>Pašreizējā situācija un problēmas, kuru risināšanai tiesību akta projekts izstrādāts, tiesiskā regulējuma mērķis un būtība</w:t>
            </w:r>
            <w:r w:rsidRPr="00B773E5">
              <w:rPr>
                <w:rFonts w:eastAsia="Times New Roman" w:cs="Times New Roman"/>
                <w:sz w:val="20"/>
                <w:szCs w:val="20"/>
                <w:lang w:eastAsia="lv-LV"/>
              </w:rPr>
              <w:t>” (2.-3.lp.):</w:t>
            </w:r>
          </w:p>
          <w:p w14:paraId="079ECCC5" w14:textId="251A53FE" w:rsidR="009941F1" w:rsidRPr="00B773E5" w:rsidRDefault="009941F1" w:rsidP="00947EE9">
            <w:pPr>
              <w:ind w:right="140" w:firstLine="403"/>
              <w:jc w:val="both"/>
              <w:rPr>
                <w:rFonts w:cs="Times New Roman"/>
                <w:sz w:val="20"/>
                <w:szCs w:val="20"/>
              </w:rPr>
            </w:pPr>
            <w:r w:rsidRPr="00B773E5">
              <w:rPr>
                <w:rFonts w:cs="Times New Roman"/>
                <w:sz w:val="20"/>
                <w:szCs w:val="20"/>
              </w:rPr>
              <w:t xml:space="preserve">Likuma 31. panta otrā daļā netiks vairāk noteiktas normas par pārskata saturu un apjomu, sekojoši Likumā noteiktais deleģējums Ministru kabineta noteikumu izdošanai, kārtība kādā sagatavo un iesniedz konsolidēto gada pārskatu, būs saskaņots ar Likuma </w:t>
            </w:r>
            <w:r w:rsidRPr="00B773E5">
              <w:rPr>
                <w:rFonts w:eastAsia="Times New Roman" w:cs="Times New Roman"/>
                <w:sz w:val="20"/>
                <w:szCs w:val="20"/>
                <w:lang w:eastAsia="lv-LV"/>
              </w:rPr>
              <w:t>30.panta pirmajā prim</w:t>
            </w:r>
            <w:r w:rsidRPr="00B773E5">
              <w:rPr>
                <w:rFonts w:cs="Times New Roman"/>
                <w:sz w:val="20"/>
                <w:szCs w:val="20"/>
              </w:rPr>
              <w:t xml:space="preserve"> daļā noteikto un nodrošinās normatīvo regulējumu normu iekļaušanai vienos Ministru kabineta noteikumos un izslēgs normu  dublēšanu un divu normatīvo aktu izdošanu. </w:t>
            </w:r>
          </w:p>
          <w:p w14:paraId="7D755A89" w14:textId="2C533CDC" w:rsidR="00015328" w:rsidRPr="00B773E5" w:rsidRDefault="009941F1" w:rsidP="00B773E5">
            <w:pPr>
              <w:ind w:right="140" w:firstLine="403"/>
              <w:jc w:val="both"/>
              <w:rPr>
                <w:sz w:val="20"/>
                <w:szCs w:val="20"/>
              </w:rPr>
            </w:pPr>
            <w:r w:rsidRPr="00B773E5">
              <w:rPr>
                <w:rFonts w:cs="Times New Roman"/>
                <w:sz w:val="20"/>
                <w:szCs w:val="20"/>
              </w:rPr>
              <w:t xml:space="preserve">Saskaņā ar Valsts kases sniegtajiem priekšlikumiem Finanšu ministrijai par grozījumiem Likuma 31. panta otrajā daļā, t.i. deleģējumu Ministru kabinetam izdot noteikumus par kārtību, kādā Finanšu ministrija sagatavo un iesniedz konsolidēto saimnieciskā gada pārskatu, šī norma stātos spēkā 2022. gada 1. janvārī, apvienojot vienos noteikumos Likuma </w:t>
            </w:r>
            <w:r w:rsidRPr="00B773E5">
              <w:rPr>
                <w:rFonts w:eastAsia="Times New Roman" w:cs="Times New Roman"/>
                <w:sz w:val="20"/>
                <w:szCs w:val="20"/>
                <w:lang w:eastAsia="lv-LV"/>
              </w:rPr>
              <w:t>30.panta pirmajā prim</w:t>
            </w:r>
            <w:r w:rsidRPr="00B773E5">
              <w:rPr>
                <w:rFonts w:cs="Times New Roman"/>
                <w:sz w:val="20"/>
                <w:szCs w:val="20"/>
              </w:rPr>
              <w:t xml:space="preserve"> daļā (spēkā esošie MK Nr.344) un 31. panta otrajā daļā noteikto deleģējumu. Minētos noteikumus pirmo reizi piemērotu 2023.gadā sagatavojot konsolidēto saimnieciskā gada pārskatu par 2022. gadu, ņemot vērā grozījumu Likumā izsludināšanu līdz 2021. gada 1. janvārim.</w:t>
            </w:r>
          </w:p>
          <w:p w14:paraId="715CB8F5" w14:textId="0FBF8E97" w:rsidR="009941F1" w:rsidRPr="00B773E5" w:rsidRDefault="009941F1" w:rsidP="00947EE9">
            <w:pPr>
              <w:tabs>
                <w:tab w:val="left" w:pos="1418"/>
              </w:tabs>
              <w:jc w:val="both"/>
              <w:rPr>
                <w:sz w:val="20"/>
                <w:szCs w:val="20"/>
              </w:rPr>
            </w:pPr>
          </w:p>
        </w:tc>
      </w:tr>
      <w:tr w:rsidR="00015328" w:rsidRPr="005B6DEE" w14:paraId="488ECE60" w14:textId="77777777" w:rsidTr="00D61746">
        <w:tc>
          <w:tcPr>
            <w:tcW w:w="252" w:type="pct"/>
            <w:tcBorders>
              <w:top w:val="outset" w:sz="6" w:space="0" w:color="414142"/>
              <w:left w:val="outset" w:sz="6" w:space="0" w:color="414142"/>
              <w:bottom w:val="outset" w:sz="6" w:space="0" w:color="414142"/>
              <w:right w:val="outset" w:sz="6" w:space="0" w:color="414142"/>
            </w:tcBorders>
          </w:tcPr>
          <w:p w14:paraId="59633F48" w14:textId="5B0F6218" w:rsidR="00015328" w:rsidRPr="005B6DEE" w:rsidRDefault="008835AB" w:rsidP="00015328">
            <w:pPr>
              <w:jc w:val="center"/>
              <w:rPr>
                <w:rFonts w:eastAsia="Times New Roman" w:cs="Times New Roman"/>
                <w:sz w:val="20"/>
                <w:szCs w:val="20"/>
                <w:lang w:eastAsia="lv-LV"/>
              </w:rPr>
            </w:pPr>
            <w:r>
              <w:rPr>
                <w:rFonts w:eastAsia="Times New Roman" w:cs="Times New Roman"/>
                <w:sz w:val="20"/>
                <w:szCs w:val="20"/>
                <w:lang w:eastAsia="lv-LV"/>
              </w:rPr>
              <w:t>7</w:t>
            </w:r>
            <w:r w:rsidR="00015328">
              <w:rPr>
                <w:rFonts w:eastAsia="Times New Roman" w:cs="Times New Roman"/>
                <w:sz w:val="20"/>
                <w:szCs w:val="20"/>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4F7FA185" w14:textId="73D4ABE8" w:rsidR="00015328" w:rsidRPr="005B6DEE" w:rsidRDefault="00015328" w:rsidP="00947EE9">
            <w:pPr>
              <w:jc w:val="both"/>
              <w:rPr>
                <w:rFonts w:eastAsia="Times New Roman" w:cs="Times New Roman"/>
                <w:sz w:val="20"/>
                <w:szCs w:val="20"/>
                <w:lang w:eastAsia="lv-LV"/>
              </w:rPr>
            </w:pPr>
            <w:r w:rsidRPr="007E3633">
              <w:rPr>
                <w:rFonts w:eastAsia="Times New Roman" w:cs="Times New Roman"/>
                <w:sz w:val="20"/>
                <w:szCs w:val="20"/>
                <w:lang w:eastAsia="lv-LV"/>
              </w:rPr>
              <w:t>7.</w:t>
            </w:r>
            <w:r>
              <w:rPr>
                <w:rFonts w:eastAsia="Times New Roman" w:cs="Times New Roman"/>
                <w:sz w:val="20"/>
                <w:szCs w:val="20"/>
                <w:lang w:eastAsia="lv-LV"/>
              </w:rPr>
              <w:t xml:space="preserve"> </w:t>
            </w:r>
            <w:r w:rsidRPr="007E3633">
              <w:rPr>
                <w:rFonts w:eastAsia="Times New Roman" w:cs="Times New Roman"/>
                <w:sz w:val="20"/>
                <w:szCs w:val="20"/>
                <w:lang w:eastAsia="lv-LV"/>
              </w:rPr>
              <w:t>Pārskatu sagatavo un iesniedz Valsts kontrolei un Ministru kabinetam Likumā par budžetu un finanšu vadību noteiktajā termiņā.</w:t>
            </w:r>
          </w:p>
        </w:tc>
        <w:tc>
          <w:tcPr>
            <w:tcW w:w="1731" w:type="pct"/>
            <w:tcBorders>
              <w:top w:val="outset" w:sz="6" w:space="0" w:color="414142"/>
              <w:left w:val="outset" w:sz="6" w:space="0" w:color="414142"/>
              <w:bottom w:val="outset" w:sz="6" w:space="0" w:color="414142"/>
              <w:right w:val="outset" w:sz="6" w:space="0" w:color="414142"/>
            </w:tcBorders>
          </w:tcPr>
          <w:p w14:paraId="6AF0A367" w14:textId="77777777" w:rsidR="00015328" w:rsidRPr="007E3633" w:rsidRDefault="00015328" w:rsidP="00947EE9">
            <w:pPr>
              <w:tabs>
                <w:tab w:val="left" w:pos="0"/>
                <w:tab w:val="left" w:pos="709"/>
                <w:tab w:val="left" w:pos="993"/>
              </w:tabs>
              <w:suppressAutoHyphens/>
              <w:jc w:val="both"/>
              <w:outlineLvl w:val="3"/>
              <w:rPr>
                <w:rFonts w:cs="Times New Roman"/>
                <w:sz w:val="20"/>
                <w:szCs w:val="24"/>
              </w:rPr>
            </w:pPr>
            <w:r w:rsidRPr="007E3633">
              <w:rPr>
                <w:rFonts w:cs="Times New Roman"/>
                <w:sz w:val="20"/>
                <w:szCs w:val="24"/>
              </w:rPr>
              <w:t>Tieslietu ministrija</w:t>
            </w:r>
          </w:p>
          <w:p w14:paraId="2C86D078" w14:textId="7F87BC67" w:rsidR="00015328" w:rsidRPr="007E3633" w:rsidRDefault="00015328" w:rsidP="00947EE9">
            <w:pPr>
              <w:tabs>
                <w:tab w:val="left" w:pos="0"/>
                <w:tab w:val="left" w:pos="709"/>
                <w:tab w:val="left" w:pos="993"/>
              </w:tabs>
              <w:suppressAutoHyphens/>
              <w:jc w:val="both"/>
              <w:outlineLvl w:val="3"/>
              <w:rPr>
                <w:rFonts w:cs="Times New Roman"/>
                <w:sz w:val="20"/>
                <w:szCs w:val="24"/>
              </w:rPr>
            </w:pPr>
            <w:r w:rsidRPr="007E3633">
              <w:rPr>
                <w:rFonts w:cs="Times New Roman"/>
                <w:sz w:val="20"/>
                <w:szCs w:val="24"/>
              </w:rPr>
              <w:t>6.</w:t>
            </w:r>
            <w:r>
              <w:rPr>
                <w:rFonts w:cs="Times New Roman"/>
                <w:sz w:val="20"/>
                <w:szCs w:val="24"/>
              </w:rPr>
              <w:t xml:space="preserve"> </w:t>
            </w:r>
            <w:r w:rsidRPr="007E3633">
              <w:rPr>
                <w:rFonts w:cs="Times New Roman"/>
                <w:sz w:val="20"/>
                <w:szCs w:val="24"/>
              </w:rPr>
              <w:t>Noteikumu projekta 7. punkts paredz, ka pārskatu sagatavo un iesniedz Valsts kontrolei un Ministru kabinetam Likumā par budžetu un finanšu vadību noteiktajā termiņā.</w:t>
            </w:r>
          </w:p>
          <w:p w14:paraId="4AF8570C" w14:textId="77777777" w:rsidR="00015328" w:rsidRPr="007E3633" w:rsidRDefault="00015328" w:rsidP="00947EE9">
            <w:pPr>
              <w:tabs>
                <w:tab w:val="left" w:pos="0"/>
                <w:tab w:val="left" w:pos="709"/>
                <w:tab w:val="left" w:pos="993"/>
              </w:tabs>
              <w:suppressAutoHyphens/>
              <w:jc w:val="both"/>
              <w:outlineLvl w:val="3"/>
              <w:rPr>
                <w:rFonts w:cs="Times New Roman"/>
                <w:sz w:val="20"/>
                <w:szCs w:val="24"/>
              </w:rPr>
            </w:pPr>
            <w:r w:rsidRPr="007E3633">
              <w:rPr>
                <w:rFonts w:cs="Times New Roman"/>
                <w:sz w:val="20"/>
                <w:szCs w:val="24"/>
              </w:rPr>
              <w:t>Vēršam uzmanību, ka Likuma par budžetu un finanšu vadību 32. pantā ir noteikti pārskata sagatavošanas termiņi. Līdz ar to Tieslietu ministrijas ieskatā noteikumu projekta 7. punkts ir lieks (sk. atzinuma 5. iebildumu).</w:t>
            </w:r>
          </w:p>
          <w:p w14:paraId="6E644886" w14:textId="34303DD4" w:rsidR="00015328" w:rsidRPr="004111E1" w:rsidRDefault="00015328" w:rsidP="00947EE9">
            <w:pPr>
              <w:tabs>
                <w:tab w:val="left" w:pos="0"/>
                <w:tab w:val="left" w:pos="709"/>
                <w:tab w:val="left" w:pos="993"/>
              </w:tabs>
              <w:suppressAutoHyphens/>
              <w:jc w:val="both"/>
              <w:outlineLvl w:val="3"/>
              <w:rPr>
                <w:rFonts w:cs="Times New Roman"/>
                <w:szCs w:val="24"/>
              </w:rPr>
            </w:pPr>
            <w:r w:rsidRPr="007E3633">
              <w:rPr>
                <w:rFonts w:cs="Times New Roman"/>
                <w:sz w:val="20"/>
                <w:szCs w:val="24"/>
              </w:rPr>
              <w:t>Ņemot vērā minēto, lūdzam svītrot noteikumu projekta 7. punktu.</w:t>
            </w:r>
          </w:p>
        </w:tc>
        <w:tc>
          <w:tcPr>
            <w:tcW w:w="893" w:type="pct"/>
            <w:tcBorders>
              <w:top w:val="outset" w:sz="6" w:space="0" w:color="414142"/>
              <w:left w:val="outset" w:sz="6" w:space="0" w:color="414142"/>
              <w:bottom w:val="outset" w:sz="6" w:space="0" w:color="414142"/>
              <w:right w:val="outset" w:sz="6" w:space="0" w:color="414142"/>
            </w:tcBorders>
          </w:tcPr>
          <w:p w14:paraId="47524B8A" w14:textId="59529DE0" w:rsidR="00015328" w:rsidRPr="00085178" w:rsidRDefault="00015328" w:rsidP="00947EE9">
            <w:pPr>
              <w:jc w:val="both"/>
              <w:rPr>
                <w:rFonts w:eastAsia="Times New Roman" w:cs="Times New Roman"/>
                <w:b/>
                <w:sz w:val="20"/>
                <w:szCs w:val="20"/>
                <w:lang w:eastAsia="lv-LV"/>
              </w:rPr>
            </w:pPr>
            <w:r>
              <w:rPr>
                <w:rFonts w:eastAsia="Times New Roman" w:cs="Times New Roman"/>
                <w:b/>
                <w:sz w:val="20"/>
                <w:szCs w:val="20"/>
                <w:lang w:eastAsia="lv-LV"/>
              </w:rPr>
              <w:t>Ņ</w:t>
            </w:r>
            <w:r w:rsidRPr="00085178">
              <w:rPr>
                <w:rFonts w:eastAsia="Times New Roman" w:cs="Times New Roman"/>
                <w:b/>
                <w:sz w:val="20"/>
                <w:szCs w:val="20"/>
                <w:lang w:eastAsia="lv-LV"/>
              </w:rPr>
              <w:t>emts vērā</w:t>
            </w:r>
          </w:p>
          <w:p w14:paraId="183F3B63" w14:textId="113A7870" w:rsidR="00015328" w:rsidRPr="005B6DEE" w:rsidRDefault="00015328" w:rsidP="00947EE9">
            <w:pPr>
              <w:jc w:val="both"/>
              <w:rPr>
                <w:rFonts w:eastAsia="Times New Roman" w:cs="Times New Roman"/>
                <w:sz w:val="20"/>
                <w:szCs w:val="20"/>
                <w:lang w:eastAsia="lv-LV"/>
              </w:rPr>
            </w:pPr>
            <w:r>
              <w:rPr>
                <w:rFonts w:eastAsia="Times New Roman" w:cs="Times New Roman"/>
                <w:sz w:val="20"/>
                <w:szCs w:val="20"/>
                <w:lang w:eastAsia="lv-LV"/>
              </w:rPr>
              <w:t>Svītrots 7.punkts</w:t>
            </w:r>
          </w:p>
        </w:tc>
        <w:tc>
          <w:tcPr>
            <w:tcW w:w="1060" w:type="pct"/>
            <w:tcBorders>
              <w:top w:val="outset" w:sz="6" w:space="0" w:color="414142"/>
              <w:left w:val="outset" w:sz="6" w:space="0" w:color="414142"/>
              <w:bottom w:val="outset" w:sz="6" w:space="0" w:color="414142"/>
              <w:right w:val="outset" w:sz="6" w:space="0" w:color="414142"/>
            </w:tcBorders>
          </w:tcPr>
          <w:p w14:paraId="4CD5FE6F" w14:textId="71ED5E54" w:rsidR="00015328" w:rsidRPr="005B6DEE" w:rsidRDefault="00015328" w:rsidP="00947EE9">
            <w:pPr>
              <w:jc w:val="both"/>
              <w:rPr>
                <w:rFonts w:eastAsia="Times New Roman" w:cs="Times New Roman"/>
                <w:sz w:val="20"/>
                <w:szCs w:val="20"/>
                <w:lang w:eastAsia="lv-LV"/>
              </w:rPr>
            </w:pPr>
            <w:r>
              <w:rPr>
                <w:rFonts w:eastAsia="Times New Roman" w:cs="Times New Roman"/>
                <w:sz w:val="20"/>
                <w:szCs w:val="20"/>
                <w:lang w:eastAsia="lv-LV"/>
              </w:rPr>
              <w:t>x</w:t>
            </w:r>
          </w:p>
        </w:tc>
      </w:tr>
      <w:tr w:rsidR="00015328" w:rsidRPr="005B6DEE" w14:paraId="0A7434B5" w14:textId="77777777" w:rsidTr="00A86853">
        <w:tc>
          <w:tcPr>
            <w:tcW w:w="252" w:type="pct"/>
            <w:tcBorders>
              <w:top w:val="outset" w:sz="6" w:space="0" w:color="414142"/>
              <w:left w:val="outset" w:sz="6" w:space="0" w:color="414142"/>
              <w:bottom w:val="outset" w:sz="6" w:space="0" w:color="414142"/>
              <w:right w:val="outset" w:sz="6" w:space="0" w:color="414142"/>
            </w:tcBorders>
          </w:tcPr>
          <w:p w14:paraId="33F5D830" w14:textId="78332B20" w:rsidR="00015328" w:rsidRPr="005B6DEE" w:rsidRDefault="008835AB" w:rsidP="00015328">
            <w:pPr>
              <w:jc w:val="center"/>
              <w:rPr>
                <w:rFonts w:eastAsia="Times New Roman" w:cs="Times New Roman"/>
                <w:sz w:val="20"/>
                <w:szCs w:val="20"/>
                <w:lang w:eastAsia="lv-LV"/>
              </w:rPr>
            </w:pPr>
            <w:r>
              <w:rPr>
                <w:rFonts w:eastAsia="Times New Roman" w:cs="Times New Roman"/>
                <w:sz w:val="20"/>
                <w:szCs w:val="20"/>
                <w:lang w:eastAsia="lv-LV"/>
              </w:rPr>
              <w:t>8</w:t>
            </w:r>
            <w:r w:rsidR="00015328">
              <w:rPr>
                <w:rFonts w:eastAsia="Times New Roman" w:cs="Times New Roman"/>
                <w:sz w:val="20"/>
                <w:szCs w:val="20"/>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79737509" w14:textId="0100D212" w:rsidR="00015328" w:rsidRPr="005B6DEE" w:rsidRDefault="00015328" w:rsidP="00947EE9">
            <w:pPr>
              <w:jc w:val="both"/>
              <w:rPr>
                <w:rFonts w:eastAsia="Times New Roman" w:cs="Times New Roman"/>
                <w:sz w:val="20"/>
                <w:szCs w:val="20"/>
                <w:lang w:eastAsia="lv-LV"/>
              </w:rPr>
            </w:pPr>
            <w:r w:rsidRPr="001877A3">
              <w:rPr>
                <w:rFonts w:eastAsia="Times New Roman" w:cs="Times New Roman"/>
                <w:sz w:val="20"/>
                <w:szCs w:val="20"/>
                <w:lang w:eastAsia="lv-LV"/>
              </w:rPr>
              <w:t>8.</w:t>
            </w:r>
            <w:r w:rsidRPr="001877A3">
              <w:rPr>
                <w:rFonts w:eastAsia="Times New Roman" w:cs="Times New Roman"/>
                <w:sz w:val="20"/>
                <w:szCs w:val="20"/>
                <w:lang w:eastAsia="lv-LV"/>
              </w:rPr>
              <w:tab/>
              <w:t>Pārskatu sagatavo elektroniska dokumenta veidā un to paraksta finanšu ministrs un Valsts kases pārvaldnieks.</w:t>
            </w:r>
          </w:p>
        </w:tc>
        <w:tc>
          <w:tcPr>
            <w:tcW w:w="1731" w:type="pct"/>
            <w:tcBorders>
              <w:top w:val="outset" w:sz="6" w:space="0" w:color="414142"/>
              <w:left w:val="outset" w:sz="6" w:space="0" w:color="414142"/>
              <w:bottom w:val="outset" w:sz="6" w:space="0" w:color="414142"/>
              <w:right w:val="outset" w:sz="6" w:space="0" w:color="414142"/>
            </w:tcBorders>
          </w:tcPr>
          <w:p w14:paraId="43EA6FC7" w14:textId="77777777" w:rsidR="00015328" w:rsidRPr="00744426" w:rsidRDefault="00015328" w:rsidP="00947EE9">
            <w:pPr>
              <w:tabs>
                <w:tab w:val="left" w:pos="0"/>
                <w:tab w:val="left" w:pos="709"/>
                <w:tab w:val="left" w:pos="993"/>
              </w:tabs>
              <w:suppressAutoHyphens/>
              <w:jc w:val="both"/>
              <w:outlineLvl w:val="3"/>
              <w:rPr>
                <w:rFonts w:cs="Times New Roman"/>
                <w:sz w:val="20"/>
                <w:szCs w:val="24"/>
              </w:rPr>
            </w:pPr>
            <w:r w:rsidRPr="00744426">
              <w:rPr>
                <w:rFonts w:cs="Times New Roman"/>
                <w:sz w:val="20"/>
                <w:szCs w:val="24"/>
              </w:rPr>
              <w:t>Tieslietu ministrija</w:t>
            </w:r>
          </w:p>
          <w:p w14:paraId="2EB1338C" w14:textId="77777777" w:rsidR="00015328" w:rsidRPr="00744426" w:rsidRDefault="00015328" w:rsidP="00947EE9">
            <w:pPr>
              <w:tabs>
                <w:tab w:val="left" w:pos="0"/>
                <w:tab w:val="left" w:pos="709"/>
                <w:tab w:val="left" w:pos="993"/>
              </w:tabs>
              <w:suppressAutoHyphens/>
              <w:jc w:val="both"/>
              <w:outlineLvl w:val="3"/>
              <w:rPr>
                <w:rFonts w:cs="Times New Roman"/>
                <w:sz w:val="20"/>
                <w:szCs w:val="24"/>
              </w:rPr>
            </w:pPr>
            <w:r w:rsidRPr="00744426">
              <w:rPr>
                <w:rFonts w:cs="Times New Roman"/>
                <w:sz w:val="20"/>
                <w:szCs w:val="24"/>
              </w:rPr>
              <w:t>7.</w:t>
            </w:r>
            <w:r w:rsidRPr="00744426">
              <w:rPr>
                <w:rFonts w:cs="Times New Roman"/>
                <w:sz w:val="20"/>
                <w:szCs w:val="24"/>
              </w:rPr>
              <w:tab/>
              <w:t>Noteikumu projekta 8. punkts paredz, ka pārskatu sagatavo elektroniska dokumenta veidā un to paraksta finanšu ministrs un Valsts kases pārvaldnieks.</w:t>
            </w:r>
          </w:p>
          <w:p w14:paraId="5D5DE509" w14:textId="6CA26176" w:rsidR="00015328" w:rsidRPr="004111E1" w:rsidRDefault="00015328" w:rsidP="00947EE9">
            <w:pPr>
              <w:tabs>
                <w:tab w:val="left" w:pos="0"/>
              </w:tabs>
              <w:suppressAutoHyphens/>
              <w:jc w:val="both"/>
              <w:outlineLvl w:val="3"/>
              <w:rPr>
                <w:rFonts w:cs="Times New Roman"/>
                <w:szCs w:val="24"/>
              </w:rPr>
            </w:pPr>
            <w:r>
              <w:rPr>
                <w:rFonts w:cs="Times New Roman"/>
                <w:sz w:val="20"/>
                <w:szCs w:val="24"/>
              </w:rPr>
              <w:t xml:space="preserve">   </w:t>
            </w:r>
            <w:r w:rsidRPr="00744426">
              <w:rPr>
                <w:rFonts w:cs="Times New Roman"/>
                <w:sz w:val="20"/>
                <w:szCs w:val="24"/>
              </w:rPr>
              <w:t>Lūdzam precizēt noteikumu projekta anotāciju atbilstoši Ministru kabineta 2009. gada 15. decembra instrukcijas Nr. 19 "Tiesību akta projekta sākotnējās ietekmes izvērtēšanas kārtība" (turpmāk – Instrukcija Nr. 19) 14. punktam, jo tajā nav sniegts skaidrojums attiecīgā regulējuma nepieciešamībai, salīdzinot ar regulējumu Ministru kabineta 2012. gada 29. maija noteikumu Nr. 375 "Saimnieciskā gada pārskata sagatavošanas kārtība" (turpmāk – MK noteikumi Nr. 375) 19. punktā (piemēram, par pārskata parakstīšanu elektroniski un kāpēc tas ir jāparaksta arī Valsts kases pārvaldniekam).</w:t>
            </w:r>
          </w:p>
        </w:tc>
        <w:tc>
          <w:tcPr>
            <w:tcW w:w="893" w:type="pct"/>
            <w:tcBorders>
              <w:top w:val="outset" w:sz="6" w:space="0" w:color="414142"/>
              <w:left w:val="outset" w:sz="6" w:space="0" w:color="414142"/>
              <w:bottom w:val="outset" w:sz="6" w:space="0" w:color="414142"/>
              <w:right w:val="outset" w:sz="6" w:space="0" w:color="414142"/>
            </w:tcBorders>
          </w:tcPr>
          <w:p w14:paraId="0D644621" w14:textId="0F4E7675" w:rsidR="00015328" w:rsidRPr="00117390" w:rsidRDefault="00015328" w:rsidP="00947EE9">
            <w:pPr>
              <w:jc w:val="both"/>
              <w:rPr>
                <w:rFonts w:eastAsia="Times New Roman" w:cs="Times New Roman"/>
                <w:b/>
                <w:sz w:val="20"/>
                <w:szCs w:val="20"/>
                <w:lang w:eastAsia="lv-LV"/>
              </w:rPr>
            </w:pPr>
            <w:r>
              <w:rPr>
                <w:rFonts w:eastAsia="Times New Roman" w:cs="Times New Roman"/>
                <w:b/>
                <w:sz w:val="20"/>
                <w:szCs w:val="20"/>
                <w:lang w:eastAsia="lv-LV"/>
              </w:rPr>
              <w:t>Ņ</w:t>
            </w:r>
            <w:r w:rsidRPr="00117390">
              <w:rPr>
                <w:rFonts w:eastAsia="Times New Roman" w:cs="Times New Roman"/>
                <w:b/>
                <w:sz w:val="20"/>
                <w:szCs w:val="20"/>
                <w:lang w:eastAsia="lv-LV"/>
              </w:rPr>
              <w:t xml:space="preserve">emts vērā, </w:t>
            </w:r>
          </w:p>
          <w:p w14:paraId="405896B6" w14:textId="77777777" w:rsidR="00015328" w:rsidRDefault="00015328" w:rsidP="00947EE9">
            <w:pPr>
              <w:jc w:val="both"/>
              <w:rPr>
                <w:rFonts w:eastAsia="Times New Roman" w:cs="Times New Roman"/>
                <w:sz w:val="20"/>
                <w:szCs w:val="20"/>
                <w:lang w:eastAsia="lv-LV"/>
              </w:rPr>
            </w:pPr>
            <w:r>
              <w:rPr>
                <w:rFonts w:eastAsia="Times New Roman" w:cs="Times New Roman"/>
                <w:sz w:val="20"/>
                <w:szCs w:val="20"/>
                <w:lang w:eastAsia="lv-LV"/>
              </w:rPr>
              <w:t>Svītrots 8.punkts.</w:t>
            </w:r>
          </w:p>
          <w:p w14:paraId="76287364" w14:textId="399547A7" w:rsidR="00015328" w:rsidRPr="005B6DEE" w:rsidRDefault="00015328" w:rsidP="00947EE9">
            <w:pPr>
              <w:jc w:val="both"/>
              <w:rPr>
                <w:rFonts w:eastAsia="Times New Roman" w:cs="Times New Roman"/>
                <w:sz w:val="20"/>
                <w:szCs w:val="20"/>
                <w:lang w:eastAsia="lv-LV"/>
              </w:rPr>
            </w:pPr>
            <w:r w:rsidRPr="000B4B34">
              <w:rPr>
                <w:rFonts w:eastAsia="Times New Roman" w:cs="Times New Roman"/>
                <w:sz w:val="20"/>
                <w:szCs w:val="20"/>
                <w:lang w:eastAsia="lv-LV"/>
              </w:rPr>
              <w:t xml:space="preserve">Izslēgta </w:t>
            </w:r>
            <w:r>
              <w:rPr>
                <w:rFonts w:eastAsia="Times New Roman" w:cs="Times New Roman"/>
                <w:sz w:val="20"/>
                <w:szCs w:val="20"/>
                <w:lang w:eastAsia="lv-LV"/>
              </w:rPr>
              <w:t xml:space="preserve">Noteikuma projekta </w:t>
            </w:r>
            <w:r w:rsidRPr="000B4B34">
              <w:rPr>
                <w:rFonts w:eastAsia="Times New Roman" w:cs="Times New Roman"/>
                <w:sz w:val="20"/>
                <w:szCs w:val="20"/>
                <w:lang w:eastAsia="lv-LV"/>
              </w:rPr>
              <w:t>III.</w:t>
            </w:r>
            <w:r>
              <w:rPr>
                <w:rFonts w:eastAsia="Times New Roman" w:cs="Times New Roman"/>
                <w:sz w:val="20"/>
                <w:szCs w:val="20"/>
                <w:lang w:eastAsia="lv-LV"/>
              </w:rPr>
              <w:t>no</w:t>
            </w:r>
            <w:r w:rsidRPr="000B4B34">
              <w:rPr>
                <w:rFonts w:eastAsia="Times New Roman" w:cs="Times New Roman"/>
                <w:sz w:val="20"/>
                <w:szCs w:val="20"/>
                <w:lang w:eastAsia="lv-LV"/>
              </w:rPr>
              <w:t>daļa,</w:t>
            </w:r>
            <w:r>
              <w:rPr>
                <w:rFonts w:eastAsia="Times New Roman" w:cs="Times New Roman"/>
                <w:sz w:val="20"/>
                <w:szCs w:val="20"/>
                <w:lang w:eastAsia="lv-LV"/>
              </w:rPr>
              <w:t xml:space="preserve"> t.sk. 8.punkts,</w:t>
            </w:r>
            <w:r w:rsidRPr="000B4B34">
              <w:rPr>
                <w:rFonts w:eastAsia="Times New Roman" w:cs="Times New Roman"/>
                <w:sz w:val="20"/>
                <w:szCs w:val="20"/>
                <w:lang w:eastAsia="lv-LV"/>
              </w:rPr>
              <w:t xml:space="preserve"> papildinot </w:t>
            </w:r>
            <w:r>
              <w:rPr>
                <w:rFonts w:eastAsia="Times New Roman" w:cs="Times New Roman"/>
                <w:sz w:val="20"/>
                <w:szCs w:val="20"/>
                <w:lang w:eastAsia="lv-LV"/>
              </w:rPr>
              <w:t>a</w:t>
            </w:r>
            <w:r w:rsidRPr="000B4B34">
              <w:rPr>
                <w:rFonts w:eastAsia="Times New Roman" w:cs="Times New Roman"/>
                <w:sz w:val="20"/>
                <w:szCs w:val="20"/>
                <w:lang w:eastAsia="lv-LV"/>
              </w:rPr>
              <w:t>notācij</w:t>
            </w:r>
            <w:r>
              <w:rPr>
                <w:rFonts w:eastAsia="Times New Roman" w:cs="Times New Roman"/>
                <w:sz w:val="20"/>
                <w:szCs w:val="20"/>
                <w:lang w:eastAsia="lv-LV"/>
              </w:rPr>
              <w:t>as</w:t>
            </w:r>
            <w:r w:rsidRPr="000B4B34">
              <w:rPr>
                <w:rFonts w:eastAsia="Times New Roman" w:cs="Times New Roman"/>
                <w:sz w:val="20"/>
                <w:szCs w:val="20"/>
                <w:lang w:eastAsia="lv-LV"/>
              </w:rPr>
              <w:t xml:space="preserve"> </w:t>
            </w:r>
            <w:r>
              <w:rPr>
                <w:rFonts w:eastAsia="Times New Roman" w:cs="Times New Roman"/>
                <w:sz w:val="20"/>
                <w:szCs w:val="20"/>
                <w:lang w:eastAsia="lv-LV"/>
              </w:rPr>
              <w:t>I.nodaļas</w:t>
            </w:r>
            <w:r w:rsidRPr="000B4B34">
              <w:rPr>
                <w:rFonts w:eastAsia="Times New Roman" w:cs="Times New Roman"/>
                <w:sz w:val="20"/>
                <w:szCs w:val="20"/>
                <w:lang w:eastAsia="lv-LV"/>
              </w:rPr>
              <w:t xml:space="preserve"> </w:t>
            </w:r>
            <w:r>
              <w:rPr>
                <w:rFonts w:eastAsia="Times New Roman" w:cs="Times New Roman"/>
                <w:sz w:val="20"/>
                <w:szCs w:val="20"/>
                <w:lang w:eastAsia="lv-LV"/>
              </w:rPr>
              <w:t>“T</w:t>
            </w:r>
            <w:r w:rsidRPr="000B4B34">
              <w:rPr>
                <w:rFonts w:eastAsia="Times New Roman" w:cs="Times New Roman"/>
                <w:sz w:val="20"/>
                <w:szCs w:val="20"/>
                <w:lang w:eastAsia="lv-LV"/>
              </w:rPr>
              <w:t>iesību akta projekta izstrādes nepieciešamība</w:t>
            </w:r>
            <w:r>
              <w:rPr>
                <w:rFonts w:eastAsia="Times New Roman" w:cs="Times New Roman"/>
                <w:sz w:val="20"/>
                <w:szCs w:val="20"/>
                <w:lang w:eastAsia="lv-LV"/>
              </w:rPr>
              <w:t>” 2</w:t>
            </w:r>
            <w:r w:rsidRPr="000B4B34">
              <w:rPr>
                <w:rFonts w:eastAsia="Times New Roman" w:cs="Times New Roman"/>
                <w:sz w:val="20"/>
                <w:szCs w:val="20"/>
                <w:lang w:eastAsia="lv-LV"/>
              </w:rPr>
              <w:t>.punktu “</w:t>
            </w:r>
            <w:r w:rsidRPr="00D61746">
              <w:rPr>
                <w:rFonts w:eastAsia="Times New Roman" w:cs="Times New Roman"/>
                <w:bCs/>
                <w:sz w:val="20"/>
                <w:szCs w:val="20"/>
                <w:lang w:eastAsia="lv-LV"/>
              </w:rPr>
              <w:t>Pašreizējā situācija un problēmas, kuru risināšanai tiesību akta projekts izstrādāts, tiesiskā regulējuma mērķis un būtība</w:t>
            </w:r>
            <w:r w:rsidRPr="000B4B34">
              <w:rPr>
                <w:rFonts w:eastAsia="Times New Roman" w:cs="Times New Roman"/>
                <w:sz w:val="20"/>
                <w:szCs w:val="20"/>
                <w:lang w:eastAsia="lv-LV"/>
              </w:rPr>
              <w:t>” ar informāciju par p</w:t>
            </w:r>
            <w:r w:rsidRPr="000B4B34">
              <w:rPr>
                <w:rFonts w:eastAsiaTheme="majorEastAsia" w:cstheme="majorBidi"/>
                <w:sz w:val="20"/>
                <w:szCs w:val="20"/>
              </w:rPr>
              <w:t>ārskata sagat</w:t>
            </w:r>
            <w:r>
              <w:rPr>
                <w:rFonts w:eastAsiaTheme="majorEastAsia" w:cstheme="majorBidi"/>
                <w:sz w:val="20"/>
                <w:szCs w:val="20"/>
              </w:rPr>
              <w:t>avošanas termiņiem, parakstīšanu</w:t>
            </w:r>
            <w:r w:rsidRPr="000B4B34">
              <w:rPr>
                <w:rFonts w:eastAsiaTheme="majorEastAsia" w:cstheme="majorBidi"/>
                <w:sz w:val="20"/>
                <w:szCs w:val="20"/>
              </w:rPr>
              <w:t>, apstiprināša</w:t>
            </w:r>
            <w:r>
              <w:rPr>
                <w:rFonts w:eastAsiaTheme="majorEastAsia" w:cstheme="majorBidi"/>
                <w:sz w:val="20"/>
                <w:szCs w:val="20"/>
              </w:rPr>
              <w:t>nu</w:t>
            </w:r>
            <w:r w:rsidRPr="000B4B34">
              <w:rPr>
                <w:rFonts w:eastAsiaTheme="majorEastAsia" w:cstheme="majorBidi"/>
                <w:sz w:val="20"/>
                <w:szCs w:val="20"/>
              </w:rPr>
              <w:t xml:space="preserve"> publiskošanai un iesniegšanu Valsts kontrolei un Ministru kabinetam</w:t>
            </w:r>
            <w:r>
              <w:rPr>
                <w:rFonts w:eastAsiaTheme="majorEastAsia" w:cstheme="majorBidi"/>
                <w:sz w:val="20"/>
                <w:szCs w:val="20"/>
              </w:rPr>
              <w:t xml:space="preserve">, kā arī </w:t>
            </w:r>
            <w:r w:rsidRPr="004C035C">
              <w:rPr>
                <w:rFonts w:eastAsia="Times New Roman" w:cs="Times New Roman"/>
                <w:sz w:val="20"/>
                <w:szCs w:val="20"/>
                <w:lang w:eastAsia="lv-LV"/>
              </w:rPr>
              <w:t xml:space="preserve">Anotācija papildināta ar salīdzinājumu ar MK noteikumu Nr.375 </w:t>
            </w:r>
            <w:r>
              <w:rPr>
                <w:rFonts w:eastAsia="Times New Roman" w:cs="Times New Roman"/>
                <w:sz w:val="20"/>
                <w:szCs w:val="20"/>
                <w:lang w:eastAsia="lv-LV"/>
              </w:rPr>
              <w:t>19. un 20.punktu</w:t>
            </w:r>
            <w:r w:rsidRPr="004C035C">
              <w:rPr>
                <w:rFonts w:eastAsia="Times New Roman" w:cs="Times New Roman"/>
                <w:sz w:val="20"/>
                <w:szCs w:val="20"/>
                <w:lang w:eastAsia="lv-LV"/>
              </w:rPr>
              <w:t xml:space="preserve"> un skaidrojumu</w:t>
            </w:r>
            <w:r>
              <w:rPr>
                <w:rFonts w:eastAsia="Times New Roman" w:cs="Times New Roman"/>
                <w:sz w:val="20"/>
                <w:szCs w:val="20"/>
                <w:lang w:eastAsia="lv-LV"/>
              </w:rPr>
              <w:t>,</w:t>
            </w:r>
            <w:r w:rsidRPr="004C035C">
              <w:rPr>
                <w:rFonts w:eastAsia="Times New Roman" w:cs="Times New Roman"/>
                <w:sz w:val="20"/>
                <w:szCs w:val="20"/>
                <w:lang w:eastAsia="lv-LV"/>
              </w:rPr>
              <w:t xml:space="preserve"> kāpēc gada pārskats</w:t>
            </w:r>
            <w:r w:rsidRPr="004C035C">
              <w:rPr>
                <w:rFonts w:cs="Times New Roman"/>
                <w:sz w:val="20"/>
                <w:szCs w:val="24"/>
              </w:rPr>
              <w:t xml:space="preserve"> ir jāparaksta elektroniski un kāpēc to paraksta Valsts kases pārvaldnieks.</w:t>
            </w:r>
          </w:p>
        </w:tc>
        <w:tc>
          <w:tcPr>
            <w:tcW w:w="1060" w:type="pct"/>
            <w:tcBorders>
              <w:top w:val="outset" w:sz="6" w:space="0" w:color="414142"/>
              <w:left w:val="outset" w:sz="6" w:space="0" w:color="414142"/>
              <w:bottom w:val="outset" w:sz="6" w:space="0" w:color="414142"/>
              <w:right w:val="outset" w:sz="6" w:space="0" w:color="414142"/>
            </w:tcBorders>
          </w:tcPr>
          <w:p w14:paraId="08DFBD77" w14:textId="1BA419E1" w:rsidR="00015328" w:rsidRPr="005B6DEE" w:rsidRDefault="00015328" w:rsidP="00947EE9">
            <w:pPr>
              <w:jc w:val="both"/>
              <w:rPr>
                <w:rFonts w:eastAsia="Times New Roman" w:cs="Times New Roman"/>
                <w:sz w:val="20"/>
                <w:szCs w:val="20"/>
                <w:lang w:eastAsia="lv-LV"/>
              </w:rPr>
            </w:pPr>
            <w:r>
              <w:rPr>
                <w:rFonts w:eastAsia="Times New Roman" w:cs="Times New Roman"/>
                <w:sz w:val="20"/>
                <w:szCs w:val="20"/>
                <w:lang w:eastAsia="lv-LV"/>
              </w:rPr>
              <w:t>x</w:t>
            </w:r>
          </w:p>
        </w:tc>
      </w:tr>
      <w:tr w:rsidR="00015328" w:rsidRPr="005B6DEE" w14:paraId="432CD87D" w14:textId="77777777" w:rsidTr="00033FD2">
        <w:tc>
          <w:tcPr>
            <w:tcW w:w="252" w:type="pct"/>
            <w:tcBorders>
              <w:top w:val="outset" w:sz="6" w:space="0" w:color="414142"/>
              <w:left w:val="outset" w:sz="6" w:space="0" w:color="414142"/>
              <w:bottom w:val="outset" w:sz="6" w:space="0" w:color="414142"/>
              <w:right w:val="outset" w:sz="6" w:space="0" w:color="414142"/>
            </w:tcBorders>
          </w:tcPr>
          <w:p w14:paraId="59F1EBF9" w14:textId="5E0A66DB" w:rsidR="00015328" w:rsidRPr="005B6DEE" w:rsidRDefault="008835AB" w:rsidP="00015328">
            <w:pPr>
              <w:jc w:val="center"/>
              <w:rPr>
                <w:rFonts w:eastAsia="Times New Roman" w:cs="Times New Roman"/>
                <w:sz w:val="20"/>
                <w:szCs w:val="20"/>
                <w:lang w:eastAsia="lv-LV"/>
              </w:rPr>
            </w:pPr>
            <w:r>
              <w:rPr>
                <w:rFonts w:eastAsia="Times New Roman" w:cs="Times New Roman"/>
                <w:sz w:val="20"/>
                <w:szCs w:val="20"/>
                <w:lang w:eastAsia="lv-LV"/>
              </w:rPr>
              <w:t>9</w:t>
            </w:r>
            <w:r w:rsidR="00015328">
              <w:rPr>
                <w:rFonts w:eastAsia="Times New Roman" w:cs="Times New Roman"/>
                <w:sz w:val="20"/>
                <w:szCs w:val="20"/>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27D2C85A" w14:textId="77777777" w:rsidR="00015328" w:rsidRPr="001877A3" w:rsidRDefault="00015328" w:rsidP="00947EE9">
            <w:pPr>
              <w:jc w:val="both"/>
              <w:rPr>
                <w:rFonts w:eastAsia="Times New Roman" w:cs="Times New Roman"/>
                <w:sz w:val="20"/>
                <w:szCs w:val="20"/>
                <w:lang w:eastAsia="lv-LV"/>
              </w:rPr>
            </w:pPr>
            <w:r w:rsidRPr="001877A3">
              <w:rPr>
                <w:rFonts w:eastAsia="Times New Roman" w:cs="Times New Roman"/>
                <w:sz w:val="20"/>
                <w:szCs w:val="20"/>
                <w:lang w:eastAsia="lv-LV"/>
              </w:rPr>
              <w:t>9.</w:t>
            </w:r>
            <w:r w:rsidRPr="001877A3">
              <w:rPr>
                <w:rFonts w:eastAsia="Times New Roman" w:cs="Times New Roman"/>
                <w:sz w:val="20"/>
                <w:szCs w:val="20"/>
                <w:lang w:eastAsia="lv-LV"/>
              </w:rPr>
              <w:tab/>
              <w:t>Valsts kase savā tīmekļa vietnē publicē:</w:t>
            </w:r>
          </w:p>
          <w:p w14:paraId="5C5CDF5D" w14:textId="77777777" w:rsidR="00015328" w:rsidRPr="001877A3" w:rsidRDefault="00015328" w:rsidP="00947EE9">
            <w:pPr>
              <w:jc w:val="both"/>
              <w:rPr>
                <w:rFonts w:eastAsia="Times New Roman" w:cs="Times New Roman"/>
                <w:sz w:val="20"/>
                <w:szCs w:val="20"/>
                <w:lang w:eastAsia="lv-LV"/>
              </w:rPr>
            </w:pPr>
            <w:r w:rsidRPr="001877A3">
              <w:rPr>
                <w:rFonts w:eastAsia="Times New Roman" w:cs="Times New Roman"/>
                <w:sz w:val="20"/>
                <w:szCs w:val="20"/>
                <w:lang w:eastAsia="lv-LV"/>
              </w:rPr>
              <w:t>9.1.</w:t>
            </w:r>
            <w:r w:rsidRPr="001877A3">
              <w:rPr>
                <w:rFonts w:eastAsia="Times New Roman" w:cs="Times New Roman"/>
                <w:sz w:val="20"/>
                <w:szCs w:val="20"/>
                <w:lang w:eastAsia="lv-LV"/>
              </w:rPr>
              <w:tab/>
              <w:t>nerevidētu pārskatu – trīs darba dienu laikā pēc Likumā par budžetu un finanšu vadību noteiktā termiņa par pārskata iesniegšanu Valsts kontrolē;</w:t>
            </w:r>
          </w:p>
          <w:p w14:paraId="30F69F1A" w14:textId="71F1D53D" w:rsidR="00015328" w:rsidRPr="005B6DEE" w:rsidRDefault="00015328" w:rsidP="00947EE9">
            <w:pPr>
              <w:jc w:val="both"/>
              <w:rPr>
                <w:rFonts w:eastAsia="Times New Roman" w:cs="Times New Roman"/>
                <w:sz w:val="20"/>
                <w:szCs w:val="20"/>
                <w:lang w:eastAsia="lv-LV"/>
              </w:rPr>
            </w:pPr>
            <w:r w:rsidRPr="001877A3">
              <w:rPr>
                <w:rFonts w:eastAsia="Times New Roman" w:cs="Times New Roman"/>
                <w:sz w:val="20"/>
                <w:szCs w:val="20"/>
                <w:lang w:eastAsia="lv-LV"/>
              </w:rPr>
              <w:t>9.2.</w:t>
            </w:r>
            <w:r w:rsidRPr="001877A3">
              <w:rPr>
                <w:rFonts w:eastAsia="Times New Roman" w:cs="Times New Roman"/>
                <w:sz w:val="20"/>
                <w:szCs w:val="20"/>
                <w:lang w:eastAsia="lv-LV"/>
              </w:rPr>
              <w:tab/>
              <w:t>revidētu pārskatu – trīs darba dienu laikā pēc pārskata izskatīšanas Ministru kabineta sēdē.</w:t>
            </w:r>
          </w:p>
        </w:tc>
        <w:tc>
          <w:tcPr>
            <w:tcW w:w="1731" w:type="pct"/>
            <w:tcBorders>
              <w:top w:val="outset" w:sz="6" w:space="0" w:color="414142"/>
              <w:left w:val="outset" w:sz="6" w:space="0" w:color="414142"/>
              <w:bottom w:val="outset" w:sz="6" w:space="0" w:color="414142"/>
              <w:right w:val="outset" w:sz="6" w:space="0" w:color="414142"/>
            </w:tcBorders>
          </w:tcPr>
          <w:p w14:paraId="60CF3975" w14:textId="77777777" w:rsidR="00015328" w:rsidRPr="001877A3" w:rsidRDefault="00015328" w:rsidP="00947EE9">
            <w:pPr>
              <w:tabs>
                <w:tab w:val="left" w:pos="0"/>
                <w:tab w:val="left" w:pos="709"/>
                <w:tab w:val="left" w:pos="993"/>
              </w:tabs>
              <w:suppressAutoHyphens/>
              <w:jc w:val="both"/>
              <w:outlineLvl w:val="3"/>
              <w:rPr>
                <w:rFonts w:cs="Times New Roman"/>
                <w:sz w:val="20"/>
                <w:szCs w:val="24"/>
              </w:rPr>
            </w:pPr>
            <w:r w:rsidRPr="001877A3">
              <w:rPr>
                <w:rFonts w:cs="Times New Roman"/>
                <w:sz w:val="20"/>
                <w:szCs w:val="24"/>
              </w:rPr>
              <w:t>Tieslietu ministrija</w:t>
            </w:r>
          </w:p>
          <w:p w14:paraId="1D9017A9" w14:textId="6FD92B39" w:rsidR="00015328" w:rsidRPr="001877A3" w:rsidRDefault="00015328" w:rsidP="00947EE9">
            <w:pPr>
              <w:tabs>
                <w:tab w:val="left" w:pos="0"/>
                <w:tab w:val="left" w:pos="709"/>
                <w:tab w:val="left" w:pos="993"/>
              </w:tabs>
              <w:suppressAutoHyphens/>
              <w:jc w:val="both"/>
              <w:outlineLvl w:val="3"/>
              <w:rPr>
                <w:rFonts w:cs="Times New Roman"/>
                <w:sz w:val="20"/>
                <w:szCs w:val="24"/>
              </w:rPr>
            </w:pPr>
            <w:r w:rsidRPr="001877A3">
              <w:rPr>
                <w:rFonts w:cs="Times New Roman"/>
                <w:sz w:val="20"/>
                <w:szCs w:val="24"/>
              </w:rPr>
              <w:t>8.Vēršam uzmanību, ka anotācijā nav sniegts skaidrojums noteikumu projekta 9. punkta nepieciešamībai atbilstoši Instrukcijas Nr. 19 14. punktam. Vienlaikus noteikumu projekta 9. punkts neatbilst Likuma par budžetu un finanšu vadību 31. panta otrajā daļā ietvertajam pilnvarojumam (sk. atzinuma 5. iebildumu).</w:t>
            </w:r>
          </w:p>
          <w:p w14:paraId="004274A7" w14:textId="756C46F5" w:rsidR="00015328" w:rsidRPr="001877A3" w:rsidRDefault="00015328" w:rsidP="00947EE9">
            <w:pPr>
              <w:tabs>
                <w:tab w:val="left" w:pos="0"/>
                <w:tab w:val="left" w:pos="709"/>
                <w:tab w:val="left" w:pos="993"/>
              </w:tabs>
              <w:suppressAutoHyphens/>
              <w:jc w:val="both"/>
              <w:outlineLvl w:val="3"/>
              <w:rPr>
                <w:rFonts w:cs="Times New Roman"/>
                <w:sz w:val="20"/>
                <w:szCs w:val="24"/>
              </w:rPr>
            </w:pPr>
            <w:r w:rsidRPr="001877A3">
              <w:rPr>
                <w:rFonts w:cs="Times New Roman"/>
                <w:sz w:val="20"/>
                <w:szCs w:val="24"/>
              </w:rPr>
              <w:t>Ņemot vērā minēto, lūdzam precizēt noteikumu projektu.</w:t>
            </w:r>
          </w:p>
        </w:tc>
        <w:tc>
          <w:tcPr>
            <w:tcW w:w="893" w:type="pct"/>
            <w:tcBorders>
              <w:top w:val="outset" w:sz="6" w:space="0" w:color="414142"/>
              <w:left w:val="outset" w:sz="6" w:space="0" w:color="414142"/>
              <w:bottom w:val="outset" w:sz="6" w:space="0" w:color="414142"/>
              <w:right w:val="outset" w:sz="6" w:space="0" w:color="414142"/>
            </w:tcBorders>
          </w:tcPr>
          <w:p w14:paraId="3FE87266" w14:textId="77777777" w:rsidR="00015328" w:rsidRDefault="00015328" w:rsidP="00947EE9">
            <w:pPr>
              <w:jc w:val="both"/>
              <w:rPr>
                <w:rFonts w:eastAsia="Times New Roman" w:cs="Times New Roman"/>
                <w:b/>
                <w:sz w:val="20"/>
                <w:szCs w:val="20"/>
                <w:lang w:eastAsia="lv-LV"/>
              </w:rPr>
            </w:pPr>
            <w:r w:rsidRPr="00935821">
              <w:rPr>
                <w:rFonts w:eastAsia="Times New Roman" w:cs="Times New Roman"/>
                <w:b/>
                <w:sz w:val="20"/>
                <w:szCs w:val="20"/>
                <w:lang w:eastAsia="lv-LV"/>
              </w:rPr>
              <w:t>Ņemts vērā</w:t>
            </w:r>
          </w:p>
          <w:p w14:paraId="1A55C404" w14:textId="12855B0E" w:rsidR="00015328" w:rsidRDefault="00015328" w:rsidP="00947EE9">
            <w:pPr>
              <w:jc w:val="both"/>
              <w:rPr>
                <w:rFonts w:eastAsia="Times New Roman" w:cs="Times New Roman"/>
                <w:sz w:val="20"/>
                <w:szCs w:val="20"/>
                <w:lang w:eastAsia="lv-LV"/>
              </w:rPr>
            </w:pPr>
            <w:r>
              <w:rPr>
                <w:rFonts w:eastAsia="Times New Roman" w:cs="Times New Roman"/>
                <w:sz w:val="20"/>
                <w:szCs w:val="20"/>
                <w:lang w:eastAsia="lv-LV"/>
              </w:rPr>
              <w:t>Svītrots 9.punkts.</w:t>
            </w:r>
          </w:p>
          <w:p w14:paraId="124B0939" w14:textId="77777777" w:rsidR="00015328" w:rsidRDefault="00015328" w:rsidP="00947EE9">
            <w:pPr>
              <w:jc w:val="both"/>
              <w:rPr>
                <w:rFonts w:eastAsia="Times New Roman" w:cs="Times New Roman"/>
                <w:sz w:val="20"/>
                <w:szCs w:val="20"/>
                <w:lang w:eastAsia="lv-LV"/>
              </w:rPr>
            </w:pPr>
            <w:r w:rsidRPr="000B4B34">
              <w:rPr>
                <w:rFonts w:eastAsia="Times New Roman" w:cs="Times New Roman"/>
                <w:sz w:val="20"/>
                <w:szCs w:val="20"/>
                <w:lang w:eastAsia="lv-LV"/>
              </w:rPr>
              <w:t xml:space="preserve">Izslēgta </w:t>
            </w:r>
            <w:r>
              <w:rPr>
                <w:rFonts w:eastAsia="Times New Roman" w:cs="Times New Roman"/>
                <w:sz w:val="20"/>
                <w:szCs w:val="20"/>
                <w:lang w:eastAsia="lv-LV"/>
              </w:rPr>
              <w:t xml:space="preserve">Noteikuma projekta </w:t>
            </w:r>
            <w:r w:rsidRPr="000B4B34">
              <w:rPr>
                <w:rFonts w:eastAsia="Times New Roman" w:cs="Times New Roman"/>
                <w:sz w:val="20"/>
                <w:szCs w:val="20"/>
                <w:lang w:eastAsia="lv-LV"/>
              </w:rPr>
              <w:t>III.</w:t>
            </w:r>
            <w:r>
              <w:rPr>
                <w:rFonts w:eastAsia="Times New Roman" w:cs="Times New Roman"/>
                <w:sz w:val="20"/>
                <w:szCs w:val="20"/>
                <w:lang w:eastAsia="lv-LV"/>
              </w:rPr>
              <w:t>nodaļ</w:t>
            </w:r>
            <w:r w:rsidRPr="000B4B34">
              <w:rPr>
                <w:rFonts w:eastAsia="Times New Roman" w:cs="Times New Roman"/>
                <w:sz w:val="20"/>
                <w:szCs w:val="20"/>
                <w:lang w:eastAsia="lv-LV"/>
              </w:rPr>
              <w:t>a,</w:t>
            </w:r>
            <w:r>
              <w:rPr>
                <w:rFonts w:eastAsia="Times New Roman" w:cs="Times New Roman"/>
                <w:sz w:val="20"/>
                <w:szCs w:val="20"/>
                <w:lang w:eastAsia="lv-LV"/>
              </w:rPr>
              <w:t xml:space="preserve"> t.sk. 9.punkts,</w:t>
            </w:r>
            <w:r w:rsidRPr="000B4B34">
              <w:rPr>
                <w:rFonts w:eastAsia="Times New Roman" w:cs="Times New Roman"/>
                <w:sz w:val="20"/>
                <w:szCs w:val="20"/>
                <w:lang w:eastAsia="lv-LV"/>
              </w:rPr>
              <w:t xml:space="preserve"> papildinot </w:t>
            </w:r>
            <w:r>
              <w:rPr>
                <w:rFonts w:eastAsia="Times New Roman" w:cs="Times New Roman"/>
                <w:sz w:val="20"/>
                <w:szCs w:val="20"/>
                <w:lang w:eastAsia="lv-LV"/>
              </w:rPr>
              <w:t>a</w:t>
            </w:r>
            <w:r w:rsidRPr="000B4B34">
              <w:rPr>
                <w:rFonts w:eastAsia="Times New Roman" w:cs="Times New Roman"/>
                <w:sz w:val="20"/>
                <w:szCs w:val="20"/>
                <w:lang w:eastAsia="lv-LV"/>
              </w:rPr>
              <w:t>notācij</w:t>
            </w:r>
            <w:r>
              <w:rPr>
                <w:rFonts w:eastAsia="Times New Roman" w:cs="Times New Roman"/>
                <w:sz w:val="20"/>
                <w:szCs w:val="20"/>
                <w:lang w:eastAsia="lv-LV"/>
              </w:rPr>
              <w:t>as</w:t>
            </w:r>
            <w:r w:rsidRPr="000B4B34">
              <w:rPr>
                <w:rFonts w:eastAsia="Times New Roman" w:cs="Times New Roman"/>
                <w:sz w:val="20"/>
                <w:szCs w:val="20"/>
                <w:lang w:eastAsia="lv-LV"/>
              </w:rPr>
              <w:t xml:space="preserve"> </w:t>
            </w:r>
            <w:r>
              <w:rPr>
                <w:rFonts w:eastAsia="Times New Roman" w:cs="Times New Roman"/>
                <w:sz w:val="20"/>
                <w:szCs w:val="20"/>
                <w:lang w:eastAsia="lv-LV"/>
              </w:rPr>
              <w:t>I.no</w:t>
            </w:r>
            <w:r w:rsidRPr="000B4B34">
              <w:rPr>
                <w:rFonts w:eastAsia="Times New Roman" w:cs="Times New Roman"/>
                <w:sz w:val="20"/>
                <w:szCs w:val="20"/>
                <w:lang w:eastAsia="lv-LV"/>
              </w:rPr>
              <w:t>daļ</w:t>
            </w:r>
            <w:r>
              <w:rPr>
                <w:rFonts w:eastAsia="Times New Roman" w:cs="Times New Roman"/>
                <w:sz w:val="20"/>
                <w:szCs w:val="20"/>
                <w:lang w:eastAsia="lv-LV"/>
              </w:rPr>
              <w:t>as</w:t>
            </w:r>
            <w:r w:rsidRPr="000B4B34">
              <w:rPr>
                <w:rFonts w:eastAsia="Times New Roman" w:cs="Times New Roman"/>
                <w:sz w:val="20"/>
                <w:szCs w:val="20"/>
                <w:lang w:eastAsia="lv-LV"/>
              </w:rPr>
              <w:t xml:space="preserve"> </w:t>
            </w:r>
            <w:r>
              <w:rPr>
                <w:rFonts w:eastAsia="Times New Roman" w:cs="Times New Roman"/>
                <w:sz w:val="20"/>
                <w:szCs w:val="20"/>
                <w:lang w:eastAsia="lv-LV"/>
              </w:rPr>
              <w:t>“</w:t>
            </w:r>
            <w:r w:rsidRPr="000B4B34">
              <w:rPr>
                <w:rFonts w:eastAsia="Times New Roman" w:cs="Times New Roman"/>
                <w:sz w:val="20"/>
                <w:szCs w:val="20"/>
                <w:lang w:eastAsia="lv-LV"/>
              </w:rPr>
              <w:t>Tiesību akta projekta izstrādes nepieciešamība</w:t>
            </w:r>
            <w:r>
              <w:rPr>
                <w:rFonts w:eastAsia="Times New Roman" w:cs="Times New Roman"/>
                <w:sz w:val="20"/>
                <w:szCs w:val="20"/>
                <w:lang w:eastAsia="lv-LV"/>
              </w:rPr>
              <w:t xml:space="preserve">” </w:t>
            </w:r>
            <w:r w:rsidRPr="00F87295">
              <w:rPr>
                <w:rFonts w:eastAsia="Times New Roman" w:cs="Times New Roman"/>
                <w:sz w:val="20"/>
                <w:szCs w:val="20"/>
                <w:lang w:eastAsia="lv-LV"/>
              </w:rPr>
              <w:t xml:space="preserve">2.punktu </w:t>
            </w:r>
          </w:p>
          <w:p w14:paraId="1081D3BB" w14:textId="4300D65B" w:rsidR="00015328" w:rsidRPr="005B6DEE" w:rsidRDefault="00015328" w:rsidP="00947EE9">
            <w:pPr>
              <w:jc w:val="both"/>
              <w:rPr>
                <w:rFonts w:eastAsia="Times New Roman" w:cs="Times New Roman"/>
                <w:sz w:val="20"/>
                <w:szCs w:val="20"/>
                <w:lang w:eastAsia="lv-LV"/>
              </w:rPr>
            </w:pPr>
            <w:r w:rsidRPr="00F87295">
              <w:rPr>
                <w:rFonts w:eastAsia="Times New Roman" w:cs="Times New Roman"/>
                <w:sz w:val="20"/>
                <w:szCs w:val="20"/>
                <w:lang w:eastAsia="lv-LV"/>
              </w:rPr>
              <w:t>“</w:t>
            </w:r>
            <w:r w:rsidRPr="00F87295">
              <w:rPr>
                <w:sz w:val="20"/>
                <w:szCs w:val="20"/>
              </w:rPr>
              <w:t xml:space="preserve"> </w:t>
            </w:r>
            <w:r w:rsidRPr="00F87295">
              <w:rPr>
                <w:rFonts w:eastAsia="Times New Roman" w:cs="Times New Roman"/>
                <w:bCs/>
                <w:sz w:val="20"/>
                <w:szCs w:val="20"/>
                <w:lang w:eastAsia="lv-LV"/>
              </w:rPr>
              <w:t>Pašreizējā situācija un problēmas, kuru risināšanai tiesību akta projekts izstrādāts, tiesiskā regulējuma mērķis un būtība</w:t>
            </w:r>
            <w:r>
              <w:rPr>
                <w:rFonts w:eastAsia="Times New Roman" w:cs="Times New Roman"/>
                <w:bCs/>
                <w:sz w:val="20"/>
                <w:szCs w:val="20"/>
                <w:lang w:eastAsia="lv-LV"/>
              </w:rPr>
              <w:t>”</w:t>
            </w:r>
            <w:r w:rsidRPr="00F87295">
              <w:rPr>
                <w:rFonts w:eastAsia="Times New Roman" w:cs="Times New Roman"/>
                <w:sz w:val="20"/>
                <w:szCs w:val="20"/>
                <w:lang w:eastAsia="lv-LV"/>
              </w:rPr>
              <w:t xml:space="preserve"> ar informāciju par nerevidēta</w:t>
            </w:r>
            <w:r>
              <w:rPr>
                <w:rFonts w:eastAsia="Times New Roman" w:cs="Times New Roman"/>
                <w:sz w:val="20"/>
                <w:szCs w:val="20"/>
                <w:lang w:eastAsia="lv-LV"/>
              </w:rPr>
              <w:t xml:space="preserve"> un revidēta pārskata publiskošanas termiņiem un iemeslu.</w:t>
            </w:r>
          </w:p>
        </w:tc>
        <w:tc>
          <w:tcPr>
            <w:tcW w:w="1060" w:type="pct"/>
            <w:tcBorders>
              <w:top w:val="outset" w:sz="6" w:space="0" w:color="414142"/>
              <w:left w:val="outset" w:sz="6" w:space="0" w:color="414142"/>
              <w:bottom w:val="outset" w:sz="6" w:space="0" w:color="414142"/>
              <w:right w:val="outset" w:sz="6" w:space="0" w:color="414142"/>
            </w:tcBorders>
          </w:tcPr>
          <w:p w14:paraId="5FA47517" w14:textId="2E216A3F" w:rsidR="00015328" w:rsidRPr="005B6DEE" w:rsidRDefault="00015328" w:rsidP="00947EE9">
            <w:pPr>
              <w:jc w:val="both"/>
              <w:rPr>
                <w:sz w:val="20"/>
                <w:szCs w:val="20"/>
              </w:rPr>
            </w:pPr>
            <w:r>
              <w:t>x</w:t>
            </w:r>
          </w:p>
        </w:tc>
      </w:tr>
      <w:tr w:rsidR="00015328" w:rsidRPr="005B6DEE" w14:paraId="6BB32058" w14:textId="77777777" w:rsidTr="00033FD2">
        <w:tc>
          <w:tcPr>
            <w:tcW w:w="252" w:type="pct"/>
            <w:tcBorders>
              <w:top w:val="outset" w:sz="6" w:space="0" w:color="414142"/>
              <w:left w:val="outset" w:sz="6" w:space="0" w:color="414142"/>
              <w:bottom w:val="outset" w:sz="6" w:space="0" w:color="414142"/>
              <w:right w:val="outset" w:sz="6" w:space="0" w:color="414142"/>
            </w:tcBorders>
          </w:tcPr>
          <w:p w14:paraId="42470BF9" w14:textId="5018BFB1" w:rsidR="00015328" w:rsidRPr="005B6DEE" w:rsidRDefault="008835AB" w:rsidP="00015328">
            <w:pPr>
              <w:jc w:val="center"/>
              <w:rPr>
                <w:rFonts w:eastAsia="Times New Roman" w:cs="Times New Roman"/>
                <w:sz w:val="20"/>
                <w:szCs w:val="20"/>
                <w:lang w:eastAsia="lv-LV"/>
              </w:rPr>
            </w:pPr>
            <w:r>
              <w:rPr>
                <w:rFonts w:eastAsia="Times New Roman" w:cs="Times New Roman"/>
                <w:sz w:val="20"/>
                <w:szCs w:val="20"/>
                <w:lang w:eastAsia="lv-LV"/>
              </w:rPr>
              <w:t>10</w:t>
            </w:r>
            <w:r w:rsidR="00015328">
              <w:rPr>
                <w:rFonts w:eastAsia="Times New Roman" w:cs="Times New Roman"/>
                <w:sz w:val="20"/>
                <w:szCs w:val="20"/>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007BD213" w14:textId="6077DD5B" w:rsidR="00015328" w:rsidRDefault="00015328" w:rsidP="00947EE9">
            <w:pPr>
              <w:jc w:val="both"/>
              <w:rPr>
                <w:rFonts w:eastAsia="Times New Roman" w:cs="Times New Roman"/>
                <w:sz w:val="20"/>
                <w:szCs w:val="20"/>
                <w:lang w:eastAsia="lv-LV"/>
              </w:rPr>
            </w:pPr>
            <w:r w:rsidRPr="00E51688">
              <w:rPr>
                <w:rFonts w:eastAsia="Times New Roman" w:cs="Times New Roman"/>
                <w:sz w:val="20"/>
                <w:szCs w:val="20"/>
                <w:lang w:eastAsia="lv-LV"/>
              </w:rPr>
              <w:t>2.3.</w:t>
            </w:r>
            <w:r w:rsidRPr="00E51688">
              <w:rPr>
                <w:rFonts w:eastAsia="Times New Roman" w:cs="Times New Roman"/>
                <w:sz w:val="20"/>
                <w:szCs w:val="20"/>
                <w:lang w:eastAsia="lv-LV"/>
              </w:rPr>
              <w:tab/>
              <w:t>darbības turpināšanas princips – pārskata sagatavošanas princips, saskaņā ar kuru pārskatā aktīvus un saistības norāda, pieņemot, ka valsts un pašvaldības darbosies vai funkciju nodrošinās arī turpmāk;</w:t>
            </w:r>
          </w:p>
          <w:p w14:paraId="001E4D8D" w14:textId="77777777" w:rsidR="00015328" w:rsidRDefault="00015328" w:rsidP="00947EE9">
            <w:pPr>
              <w:jc w:val="both"/>
              <w:rPr>
                <w:rFonts w:eastAsia="Times New Roman" w:cs="Times New Roman"/>
                <w:sz w:val="20"/>
                <w:szCs w:val="20"/>
                <w:lang w:eastAsia="lv-LV"/>
              </w:rPr>
            </w:pPr>
            <w:r w:rsidRPr="00254BA7">
              <w:rPr>
                <w:rFonts w:eastAsia="Times New Roman" w:cs="Times New Roman"/>
                <w:sz w:val="20"/>
                <w:szCs w:val="20"/>
                <w:lang w:eastAsia="lv-LV"/>
              </w:rPr>
              <w:t>10.</w:t>
            </w:r>
            <w:r w:rsidRPr="00254BA7">
              <w:rPr>
                <w:rFonts w:eastAsia="Times New Roman" w:cs="Times New Roman"/>
                <w:sz w:val="20"/>
                <w:szCs w:val="20"/>
                <w:lang w:eastAsia="lv-LV"/>
              </w:rPr>
              <w:tab/>
              <w:t>Pārskatu sagatavo atbilstoši normatīvajos aktos budžeta, grāmatvedības, t.sk. budžeta iestāžu grāmatvedības uzskaites un budžeta iestāžu gada pārskatu sagatavošanas jomā noteiktajiem pamatprincipiem un ievērojot budžeta iestāžu gada pārskata sagatavošanas vadlīnijas (turpmāk – vadlīnijas).</w:t>
            </w:r>
          </w:p>
          <w:p w14:paraId="1290592D" w14:textId="77777777" w:rsidR="00015328" w:rsidRDefault="00015328" w:rsidP="00947EE9">
            <w:pPr>
              <w:jc w:val="both"/>
              <w:rPr>
                <w:rFonts w:eastAsia="Times New Roman" w:cs="Times New Roman"/>
                <w:sz w:val="20"/>
                <w:szCs w:val="20"/>
                <w:lang w:eastAsia="lv-LV"/>
              </w:rPr>
            </w:pPr>
          </w:p>
          <w:p w14:paraId="1F92EACB" w14:textId="77777777" w:rsidR="00015328" w:rsidRPr="00E51688" w:rsidRDefault="00015328" w:rsidP="00947EE9">
            <w:pPr>
              <w:jc w:val="both"/>
              <w:rPr>
                <w:rFonts w:eastAsia="Times New Roman" w:cs="Times New Roman"/>
                <w:sz w:val="20"/>
                <w:szCs w:val="20"/>
                <w:lang w:eastAsia="lv-LV"/>
              </w:rPr>
            </w:pPr>
            <w:r w:rsidRPr="00E51688">
              <w:rPr>
                <w:rFonts w:eastAsia="Times New Roman" w:cs="Times New Roman"/>
                <w:sz w:val="20"/>
                <w:szCs w:val="20"/>
                <w:lang w:eastAsia="lv-LV"/>
              </w:rPr>
              <w:t>13.</w:t>
            </w:r>
            <w:r w:rsidRPr="00E51688">
              <w:rPr>
                <w:rFonts w:eastAsia="Times New Roman" w:cs="Times New Roman"/>
                <w:sz w:val="20"/>
                <w:szCs w:val="20"/>
                <w:lang w:eastAsia="lv-LV"/>
              </w:rPr>
              <w:tab/>
              <w:t xml:space="preserve">Pārskatu sagatavo: </w:t>
            </w:r>
          </w:p>
          <w:p w14:paraId="6246259A" w14:textId="77777777" w:rsidR="00015328" w:rsidRDefault="00015328" w:rsidP="00947EE9">
            <w:pPr>
              <w:jc w:val="both"/>
              <w:rPr>
                <w:rFonts w:eastAsia="Times New Roman" w:cs="Times New Roman"/>
                <w:sz w:val="20"/>
                <w:szCs w:val="20"/>
                <w:lang w:eastAsia="lv-LV"/>
              </w:rPr>
            </w:pPr>
            <w:r w:rsidRPr="00E51688">
              <w:rPr>
                <w:rFonts w:eastAsia="Times New Roman" w:cs="Times New Roman"/>
                <w:sz w:val="20"/>
                <w:szCs w:val="20"/>
                <w:lang w:eastAsia="lv-LV"/>
              </w:rPr>
              <w:t>13.1.</w:t>
            </w:r>
            <w:r w:rsidRPr="00E51688">
              <w:rPr>
                <w:rFonts w:eastAsia="Times New Roman" w:cs="Times New Roman"/>
                <w:sz w:val="20"/>
                <w:szCs w:val="20"/>
                <w:lang w:eastAsia="lv-LV"/>
              </w:rPr>
              <w:tab/>
              <w:t>saskaņā ar darbības turpināšanas principu;</w:t>
            </w:r>
          </w:p>
          <w:p w14:paraId="662BEFBA" w14:textId="77777777" w:rsidR="00015328" w:rsidRDefault="00015328" w:rsidP="00947EE9">
            <w:pPr>
              <w:jc w:val="both"/>
              <w:rPr>
                <w:rFonts w:eastAsia="Times New Roman" w:cs="Times New Roman"/>
                <w:sz w:val="20"/>
                <w:szCs w:val="20"/>
                <w:lang w:eastAsia="lv-LV"/>
              </w:rPr>
            </w:pPr>
          </w:p>
          <w:p w14:paraId="3AA332F6" w14:textId="560703DC" w:rsidR="00015328" w:rsidRPr="005B6DEE" w:rsidRDefault="00015328" w:rsidP="00947EE9">
            <w:pPr>
              <w:jc w:val="both"/>
              <w:rPr>
                <w:rFonts w:eastAsia="Times New Roman" w:cs="Times New Roman"/>
                <w:sz w:val="20"/>
                <w:szCs w:val="20"/>
                <w:lang w:eastAsia="lv-LV"/>
              </w:rPr>
            </w:pPr>
            <w:r w:rsidRPr="00254BA7">
              <w:rPr>
                <w:rFonts w:eastAsia="Times New Roman" w:cs="Times New Roman"/>
                <w:sz w:val="20"/>
                <w:szCs w:val="20"/>
                <w:lang w:eastAsia="lv-LV"/>
              </w:rPr>
              <w:t>15.</w:t>
            </w:r>
            <w:r w:rsidRPr="00254BA7">
              <w:rPr>
                <w:rFonts w:eastAsia="Times New Roman" w:cs="Times New Roman"/>
                <w:sz w:val="20"/>
                <w:szCs w:val="20"/>
                <w:lang w:eastAsia="lv-LV"/>
              </w:rPr>
              <w:tab/>
              <w:t>Ieņēmumus un izdevumus pārskatā norāda saskaņā ar normatīvajā aktā par budžeta iestāžu grāmatvedības uzskaiti noteiktajiem uzskaites principiem.</w:t>
            </w:r>
          </w:p>
        </w:tc>
        <w:tc>
          <w:tcPr>
            <w:tcW w:w="1731" w:type="pct"/>
            <w:tcBorders>
              <w:top w:val="outset" w:sz="6" w:space="0" w:color="414142"/>
              <w:left w:val="outset" w:sz="6" w:space="0" w:color="414142"/>
              <w:bottom w:val="outset" w:sz="6" w:space="0" w:color="414142"/>
              <w:right w:val="outset" w:sz="6" w:space="0" w:color="414142"/>
            </w:tcBorders>
          </w:tcPr>
          <w:p w14:paraId="70F7758D" w14:textId="772ED1F2" w:rsidR="00015328" w:rsidRPr="001877A3" w:rsidRDefault="00015328" w:rsidP="00947EE9">
            <w:pPr>
              <w:tabs>
                <w:tab w:val="left" w:pos="0"/>
                <w:tab w:val="left" w:pos="709"/>
                <w:tab w:val="left" w:pos="993"/>
              </w:tabs>
              <w:suppressAutoHyphens/>
              <w:jc w:val="both"/>
              <w:outlineLvl w:val="3"/>
              <w:rPr>
                <w:rFonts w:cs="Times New Roman"/>
                <w:sz w:val="20"/>
                <w:szCs w:val="24"/>
              </w:rPr>
            </w:pPr>
            <w:r w:rsidRPr="001877A3">
              <w:rPr>
                <w:rFonts w:cs="Times New Roman"/>
                <w:sz w:val="20"/>
                <w:szCs w:val="24"/>
              </w:rPr>
              <w:t>Tieslietu ministrija</w:t>
            </w:r>
          </w:p>
          <w:p w14:paraId="7238A7F4" w14:textId="5C8EE516" w:rsidR="00015328" w:rsidRPr="001877A3" w:rsidRDefault="00015328" w:rsidP="00947EE9">
            <w:pPr>
              <w:tabs>
                <w:tab w:val="left" w:pos="0"/>
                <w:tab w:val="left" w:pos="709"/>
                <w:tab w:val="left" w:pos="993"/>
              </w:tabs>
              <w:suppressAutoHyphens/>
              <w:jc w:val="both"/>
              <w:outlineLvl w:val="3"/>
              <w:rPr>
                <w:rFonts w:cs="Times New Roman"/>
                <w:sz w:val="20"/>
                <w:szCs w:val="24"/>
              </w:rPr>
            </w:pPr>
            <w:r w:rsidRPr="001877A3">
              <w:rPr>
                <w:rFonts w:cs="Times New Roman"/>
                <w:sz w:val="20"/>
                <w:szCs w:val="24"/>
              </w:rPr>
              <w:t>9.</w:t>
            </w:r>
            <w:r w:rsidRPr="001877A3">
              <w:rPr>
                <w:rFonts w:cs="Times New Roman"/>
                <w:sz w:val="20"/>
                <w:szCs w:val="24"/>
              </w:rPr>
              <w:tab/>
              <w:t>Noteikumu projekta 10. punkts paredz, ka pārskatu sagatavo atbilstoši normatīvajos aktos par budžeta, grāmatvedības, tai skaitā budžeta iestāžu grāmatvedības uzskaites un budžeta iestāžu gada pārskatu sagatavošanas jomā noteiktajiem pamatprincipiem un ievērojot budžeta iestāžu gada pārskata sagatavošanas vadlīnijas.</w:t>
            </w:r>
          </w:p>
          <w:p w14:paraId="02902C43" w14:textId="77777777" w:rsidR="00015328" w:rsidRPr="001877A3" w:rsidRDefault="00015328" w:rsidP="00947EE9">
            <w:pPr>
              <w:tabs>
                <w:tab w:val="left" w:pos="0"/>
                <w:tab w:val="left" w:pos="709"/>
                <w:tab w:val="left" w:pos="993"/>
              </w:tabs>
              <w:suppressAutoHyphens/>
              <w:jc w:val="both"/>
              <w:outlineLvl w:val="3"/>
              <w:rPr>
                <w:rFonts w:cs="Times New Roman"/>
                <w:sz w:val="20"/>
                <w:szCs w:val="24"/>
              </w:rPr>
            </w:pPr>
            <w:r w:rsidRPr="001877A3">
              <w:rPr>
                <w:rFonts w:cs="Times New Roman"/>
                <w:sz w:val="20"/>
                <w:szCs w:val="24"/>
              </w:rPr>
              <w:t>Vēršam uzmanību, ka nav saprotams, kāpēc noteikumu projekta 2. punktā ir ietverts darbības turpināšanas principa un naudas plūsmas principa skaidrojums, kā arī noteikumu projekta 13.1. apakšpunktā ir noteikts, ka pārskatu sagatavo saskaņā ar darbības turpināšanas principu, ja šie principi ir skaidroti MK noteikumu Nr. 344 3. punktā un no noteikumu projekta 10. punkta izriet, ka pārskatu sagatavo, ņemot vērā arī MK noteikumos Nr. 344 noteiktos principus.</w:t>
            </w:r>
          </w:p>
          <w:p w14:paraId="6FFEBA1D" w14:textId="77777777" w:rsidR="00015328" w:rsidRPr="001877A3" w:rsidRDefault="00015328" w:rsidP="00947EE9">
            <w:pPr>
              <w:tabs>
                <w:tab w:val="left" w:pos="0"/>
                <w:tab w:val="left" w:pos="709"/>
                <w:tab w:val="left" w:pos="993"/>
              </w:tabs>
              <w:suppressAutoHyphens/>
              <w:jc w:val="both"/>
              <w:outlineLvl w:val="3"/>
              <w:rPr>
                <w:rFonts w:cs="Times New Roman"/>
                <w:sz w:val="20"/>
                <w:szCs w:val="24"/>
              </w:rPr>
            </w:pPr>
            <w:r w:rsidRPr="001877A3">
              <w:rPr>
                <w:rFonts w:cs="Times New Roman"/>
                <w:sz w:val="20"/>
                <w:szCs w:val="24"/>
              </w:rPr>
              <w:t>Tāpat nav saprotama noteikumu projekta 15. punkta nepieciešamība, jo noteikumu projekta 10. punktā ir noteikts, ka pārskatu sagatavo atbilstoši normatīvajā aktā par budžeta iestāžu grāmatvedības uzskaiti noteiktajiem pamatprincipiem.</w:t>
            </w:r>
          </w:p>
          <w:p w14:paraId="21E6E99A" w14:textId="1A36D816" w:rsidR="00015328" w:rsidRPr="001877A3" w:rsidRDefault="00015328" w:rsidP="00947EE9">
            <w:pPr>
              <w:tabs>
                <w:tab w:val="left" w:pos="0"/>
                <w:tab w:val="left" w:pos="709"/>
                <w:tab w:val="left" w:pos="993"/>
              </w:tabs>
              <w:suppressAutoHyphens/>
              <w:jc w:val="both"/>
              <w:outlineLvl w:val="3"/>
              <w:rPr>
                <w:rFonts w:cs="Times New Roman"/>
                <w:sz w:val="20"/>
                <w:szCs w:val="24"/>
              </w:rPr>
            </w:pPr>
            <w:r w:rsidRPr="001877A3">
              <w:rPr>
                <w:rFonts w:cs="Times New Roman"/>
                <w:sz w:val="20"/>
                <w:szCs w:val="24"/>
              </w:rPr>
              <w:t>Ņemot vērā minēto, lūdzam precizēt noteikumu projektu.</w:t>
            </w:r>
          </w:p>
        </w:tc>
        <w:tc>
          <w:tcPr>
            <w:tcW w:w="893" w:type="pct"/>
            <w:tcBorders>
              <w:top w:val="outset" w:sz="6" w:space="0" w:color="414142"/>
              <w:left w:val="outset" w:sz="6" w:space="0" w:color="414142"/>
              <w:bottom w:val="outset" w:sz="6" w:space="0" w:color="414142"/>
              <w:right w:val="outset" w:sz="6" w:space="0" w:color="414142"/>
            </w:tcBorders>
          </w:tcPr>
          <w:p w14:paraId="51F499BC" w14:textId="77777777" w:rsidR="00015328" w:rsidRDefault="00015328" w:rsidP="00947EE9">
            <w:pPr>
              <w:jc w:val="both"/>
              <w:rPr>
                <w:rFonts w:eastAsia="Times New Roman" w:cs="Times New Roman"/>
                <w:b/>
                <w:sz w:val="20"/>
                <w:szCs w:val="20"/>
                <w:lang w:eastAsia="lv-LV"/>
              </w:rPr>
            </w:pPr>
            <w:r w:rsidRPr="00935821">
              <w:rPr>
                <w:rFonts w:eastAsia="Times New Roman" w:cs="Times New Roman"/>
                <w:b/>
                <w:sz w:val="20"/>
                <w:szCs w:val="20"/>
                <w:lang w:eastAsia="lv-LV"/>
              </w:rPr>
              <w:t>Ņemts vērā</w:t>
            </w:r>
          </w:p>
          <w:p w14:paraId="00543CA9" w14:textId="6D92F2DD" w:rsidR="00015328" w:rsidRDefault="00015328" w:rsidP="00947EE9">
            <w:pPr>
              <w:jc w:val="both"/>
              <w:rPr>
                <w:rFonts w:eastAsia="Times New Roman" w:cs="Times New Roman"/>
                <w:sz w:val="20"/>
                <w:szCs w:val="20"/>
                <w:lang w:eastAsia="lv-LV"/>
              </w:rPr>
            </w:pPr>
            <w:r>
              <w:rPr>
                <w:rFonts w:eastAsia="Times New Roman" w:cs="Times New Roman"/>
                <w:sz w:val="20"/>
                <w:szCs w:val="20"/>
                <w:lang w:eastAsia="lv-LV"/>
              </w:rPr>
              <w:t>Svītrots 2.3., 2.12., 13.1. un 15.punkts.</w:t>
            </w:r>
          </w:p>
          <w:p w14:paraId="18D95B45" w14:textId="77777777" w:rsidR="00015328" w:rsidRDefault="00015328" w:rsidP="00947EE9">
            <w:pPr>
              <w:jc w:val="both"/>
              <w:rPr>
                <w:rFonts w:eastAsia="Times New Roman" w:cs="Times New Roman"/>
                <w:sz w:val="20"/>
                <w:szCs w:val="20"/>
                <w:lang w:eastAsia="lv-LV"/>
              </w:rPr>
            </w:pPr>
          </w:p>
          <w:p w14:paraId="329C7171" w14:textId="5D8B3F2D" w:rsidR="00015328" w:rsidRPr="005B6DEE" w:rsidRDefault="00015328" w:rsidP="00947EE9">
            <w:pPr>
              <w:jc w:val="both"/>
              <w:rPr>
                <w:rFonts w:eastAsia="Times New Roman" w:cs="Times New Roman"/>
                <w:sz w:val="20"/>
                <w:szCs w:val="20"/>
                <w:lang w:eastAsia="lv-LV"/>
              </w:rPr>
            </w:pPr>
          </w:p>
        </w:tc>
        <w:tc>
          <w:tcPr>
            <w:tcW w:w="1060" w:type="pct"/>
            <w:tcBorders>
              <w:top w:val="outset" w:sz="6" w:space="0" w:color="414142"/>
              <w:left w:val="outset" w:sz="6" w:space="0" w:color="414142"/>
              <w:bottom w:val="outset" w:sz="6" w:space="0" w:color="414142"/>
              <w:right w:val="outset" w:sz="6" w:space="0" w:color="414142"/>
            </w:tcBorders>
          </w:tcPr>
          <w:p w14:paraId="2C9C3592" w14:textId="6AB0E7A6" w:rsidR="00015328" w:rsidRPr="00B773E5" w:rsidRDefault="00015328" w:rsidP="00947EE9">
            <w:pPr>
              <w:jc w:val="both"/>
              <w:rPr>
                <w:sz w:val="20"/>
                <w:szCs w:val="20"/>
              </w:rPr>
            </w:pPr>
            <w:r w:rsidRPr="00B773E5">
              <w:rPr>
                <w:sz w:val="20"/>
                <w:szCs w:val="20"/>
              </w:rPr>
              <w:t>7. Pārskatu sagatavo atbilstoši normatīvajos aktos budžeta, grāmatvedības, t.sk. budžeta iestāžu grāmatvedības uzskaites un budžeta iestāžu gada pārskatu sagatavošanas, jomā noteiktajiem pamatprincipiem un ievērojot budžeta iestāžu gada pārskata sagatavošanas vadlīnijas (turpmāk – vadlīnijas),  kas piemērotas arī šo noteikumu 11.punktā minēto gada pārskatu sagatavošanā.</w:t>
            </w:r>
          </w:p>
          <w:p w14:paraId="36B8D43E" w14:textId="0FC34F75" w:rsidR="00015328" w:rsidRPr="005B6DEE" w:rsidRDefault="00015328" w:rsidP="00947EE9">
            <w:pPr>
              <w:jc w:val="both"/>
              <w:rPr>
                <w:rFonts w:eastAsia="Times New Roman" w:cs="Times New Roman"/>
                <w:sz w:val="20"/>
                <w:szCs w:val="20"/>
                <w:lang w:eastAsia="lv-LV"/>
              </w:rPr>
            </w:pPr>
          </w:p>
        </w:tc>
      </w:tr>
      <w:tr w:rsidR="00015328" w:rsidRPr="005B6DEE" w14:paraId="322EA640"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24749334" w14:textId="607EC4DD" w:rsidR="00015328" w:rsidRPr="00B47AC9" w:rsidRDefault="00015328" w:rsidP="00015328">
            <w:pPr>
              <w:jc w:val="center"/>
              <w:rPr>
                <w:rFonts w:eastAsia="Times New Roman" w:cs="Times New Roman"/>
                <w:sz w:val="20"/>
                <w:szCs w:val="24"/>
                <w:lang w:eastAsia="lv-LV"/>
              </w:rPr>
            </w:pPr>
            <w:r w:rsidRPr="00B47AC9">
              <w:rPr>
                <w:rFonts w:eastAsia="Times New Roman" w:cs="Times New Roman"/>
                <w:sz w:val="20"/>
                <w:szCs w:val="24"/>
                <w:lang w:eastAsia="lv-LV"/>
              </w:rPr>
              <w:t>1</w:t>
            </w:r>
            <w:r w:rsidR="008835AB">
              <w:rPr>
                <w:rFonts w:eastAsia="Times New Roman" w:cs="Times New Roman"/>
                <w:sz w:val="20"/>
                <w:szCs w:val="24"/>
                <w:lang w:eastAsia="lv-LV"/>
              </w:rPr>
              <w:t>1</w:t>
            </w:r>
            <w:r w:rsidRPr="00B47AC9">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65327FA3" w14:textId="0914727E" w:rsidR="00015328" w:rsidRPr="00B773E5" w:rsidRDefault="00015328" w:rsidP="00947EE9">
            <w:pPr>
              <w:jc w:val="both"/>
              <w:rPr>
                <w:rFonts w:eastAsia="Times New Roman" w:cs="Times New Roman"/>
                <w:bCs/>
                <w:sz w:val="20"/>
                <w:szCs w:val="24"/>
                <w:lang w:eastAsia="lv-LV"/>
              </w:rPr>
            </w:pPr>
            <w:r w:rsidRPr="00B773E5">
              <w:rPr>
                <w:rFonts w:eastAsia="Times New Roman" w:cs="Times New Roman"/>
                <w:bCs/>
                <w:sz w:val="20"/>
                <w:szCs w:val="24"/>
                <w:lang w:eastAsia="lv-LV"/>
              </w:rPr>
              <w:t>11.</w:t>
            </w:r>
            <w:r w:rsidRPr="00B773E5">
              <w:rPr>
                <w:rFonts w:eastAsia="Times New Roman" w:cs="Times New Roman"/>
                <w:bCs/>
                <w:sz w:val="20"/>
                <w:szCs w:val="24"/>
                <w:lang w:eastAsia="lv-LV"/>
              </w:rPr>
              <w:tab/>
              <w:t>Valsts kase izstrādā pārskata sagatavošanas veidlapas un publicē tās Valsts kases tīmekļa vietnē.</w:t>
            </w:r>
          </w:p>
          <w:p w14:paraId="707900BF" w14:textId="77777777" w:rsidR="00015328" w:rsidRPr="00B773E5" w:rsidRDefault="00015328" w:rsidP="00947EE9">
            <w:pPr>
              <w:jc w:val="both"/>
              <w:rPr>
                <w:rFonts w:eastAsia="Times New Roman" w:cs="Times New Roman"/>
                <w:bCs/>
                <w:sz w:val="20"/>
                <w:szCs w:val="24"/>
                <w:lang w:eastAsia="lv-LV"/>
              </w:rPr>
            </w:pPr>
          </w:p>
          <w:p w14:paraId="6B88F286" w14:textId="77777777" w:rsidR="00015328" w:rsidRPr="00B773E5" w:rsidRDefault="00015328" w:rsidP="00947EE9">
            <w:pPr>
              <w:ind w:right="63"/>
              <w:jc w:val="both"/>
              <w:rPr>
                <w:sz w:val="20"/>
              </w:rPr>
            </w:pPr>
            <w:r w:rsidRPr="00B773E5">
              <w:rPr>
                <w:sz w:val="20"/>
              </w:rPr>
              <w:t xml:space="preserve">Anotācija/ I. Tiesību akta projekta izstrādes nepieciešamība/ </w:t>
            </w:r>
          </w:p>
          <w:p w14:paraId="7FCCE5ED" w14:textId="4B29C999" w:rsidR="00015328" w:rsidRPr="00B773E5" w:rsidRDefault="00015328" w:rsidP="00947EE9">
            <w:pPr>
              <w:ind w:right="63"/>
              <w:jc w:val="both"/>
              <w:rPr>
                <w:sz w:val="20"/>
              </w:rPr>
            </w:pPr>
            <w:r w:rsidRPr="00B773E5">
              <w:rPr>
                <w:sz w:val="20"/>
              </w:rPr>
              <w:t>2.Pašreizējā situācija un problēmas, kuru risināšanai tiesību akta projekts izstrādāts, tiesiskā regulējuma mērķis un būtība (14. lp.):</w:t>
            </w:r>
          </w:p>
          <w:p w14:paraId="273FEE0F" w14:textId="729DC0FC" w:rsidR="00015328" w:rsidRPr="00B773E5" w:rsidRDefault="00015328" w:rsidP="00947EE9">
            <w:pPr>
              <w:jc w:val="both"/>
              <w:rPr>
                <w:rFonts w:eastAsia="Times New Roman" w:cs="Times New Roman"/>
                <w:szCs w:val="24"/>
                <w:lang w:eastAsia="lv-LV"/>
              </w:rPr>
            </w:pPr>
            <w:r w:rsidRPr="00B773E5">
              <w:rPr>
                <w:sz w:val="20"/>
                <w:szCs w:val="20"/>
              </w:rPr>
              <w:t>Noteikumu projekta 8.punktā noteiktās pārskata sagatavošanas veidlapas pirmo reizi Valsts kase izstrādā 2019.gada pārskata sagatavošanai un publicējusi tās Valsts kases tīmekļa vietnē atbilstoši sadaļā  “VI. Sabiedrības līdzdalība un komunikācijas aktivitātes” sniegtajai informācijai un atkārtoti pēc normatīvā akta stāšanās spēkā piecu darba dienu laikā. Turpmāk veidlapas tiks aktualizētas, izvērtējot situāciju un nepieciešamību tajās ietvert informāciju uzrādīšanai gada pārskatā.</w:t>
            </w:r>
          </w:p>
        </w:tc>
        <w:tc>
          <w:tcPr>
            <w:tcW w:w="1731" w:type="pct"/>
            <w:tcBorders>
              <w:top w:val="outset" w:sz="6" w:space="0" w:color="414142"/>
              <w:left w:val="outset" w:sz="6" w:space="0" w:color="414142"/>
              <w:bottom w:val="outset" w:sz="6" w:space="0" w:color="414142"/>
              <w:right w:val="outset" w:sz="6" w:space="0" w:color="414142"/>
            </w:tcBorders>
          </w:tcPr>
          <w:p w14:paraId="5A9C89D1" w14:textId="72508142" w:rsidR="00015328" w:rsidRPr="00B47AC9" w:rsidRDefault="00015328" w:rsidP="00947EE9">
            <w:pPr>
              <w:pStyle w:val="ListParagraph"/>
              <w:ind w:left="0"/>
              <w:jc w:val="both"/>
              <w:rPr>
                <w:sz w:val="20"/>
              </w:rPr>
            </w:pPr>
            <w:r w:rsidRPr="00B47AC9">
              <w:rPr>
                <w:sz w:val="20"/>
              </w:rPr>
              <w:t>Valsts kontrole</w:t>
            </w:r>
          </w:p>
          <w:p w14:paraId="25377C45" w14:textId="0CABD0C1" w:rsidR="00015328" w:rsidRDefault="00015328" w:rsidP="00947EE9">
            <w:pPr>
              <w:pStyle w:val="ListParagraph"/>
              <w:tabs>
                <w:tab w:val="left" w:pos="993"/>
              </w:tabs>
              <w:ind w:left="0"/>
              <w:jc w:val="both"/>
              <w:rPr>
                <w:sz w:val="20"/>
              </w:rPr>
            </w:pPr>
            <w:r w:rsidRPr="00B47AC9">
              <w:rPr>
                <w:sz w:val="20"/>
              </w:rPr>
              <w:t>[1.4] Projekta 11.punktā nav noteikts termiņš,  kādā Valsts kase izstrādā pārskata sagatavošanas veidlapas un publicē tās Valsts kases tīmekļa vietnē.</w:t>
            </w:r>
          </w:p>
          <w:p w14:paraId="3674392E" w14:textId="77777777" w:rsidR="00015328" w:rsidRPr="00B47AC9" w:rsidRDefault="00015328" w:rsidP="00947EE9">
            <w:pPr>
              <w:pStyle w:val="ListParagraph"/>
              <w:tabs>
                <w:tab w:val="left" w:pos="993"/>
              </w:tabs>
              <w:ind w:left="0"/>
              <w:jc w:val="both"/>
              <w:rPr>
                <w:sz w:val="20"/>
              </w:rPr>
            </w:pPr>
          </w:p>
          <w:p w14:paraId="366519E0" w14:textId="2B96AA35" w:rsidR="00015328" w:rsidRPr="00B47AC9" w:rsidRDefault="00015328" w:rsidP="00947EE9">
            <w:pPr>
              <w:pStyle w:val="ListParagraph"/>
              <w:tabs>
                <w:tab w:val="left" w:pos="993"/>
              </w:tabs>
              <w:ind w:left="0"/>
              <w:jc w:val="both"/>
              <w:rPr>
                <w:sz w:val="20"/>
              </w:rPr>
            </w:pPr>
            <w:r w:rsidRPr="00B47AC9">
              <w:rPr>
                <w:sz w:val="20"/>
              </w:rPr>
              <w:t>Valsts kontrole elektroniskā saskaņošana</w:t>
            </w:r>
          </w:p>
          <w:p w14:paraId="7485DA4F" w14:textId="77777777" w:rsidR="00015328" w:rsidRPr="00B47AC9" w:rsidRDefault="00015328" w:rsidP="00947EE9">
            <w:pPr>
              <w:jc w:val="both"/>
              <w:rPr>
                <w:sz w:val="20"/>
              </w:rPr>
            </w:pPr>
            <w:r w:rsidRPr="00B47AC9">
              <w:rPr>
                <w:sz w:val="20"/>
              </w:rPr>
              <w:t>[1.2] Atkārtoti norādām, ka Projekta 8.punktā nav noteikts termiņš,  kādā Valsts kase izstrādā saimnieciskā gada pārskata sagatavošanas veidlapas un publicē tās Valsts kases tīmekļa vietnē.</w:t>
            </w:r>
          </w:p>
          <w:p w14:paraId="4E15006F" w14:textId="77777777" w:rsidR="00015328" w:rsidRPr="00B47AC9" w:rsidRDefault="00015328" w:rsidP="00947EE9">
            <w:pPr>
              <w:pStyle w:val="ListParagraph"/>
              <w:ind w:left="-39"/>
              <w:jc w:val="both"/>
              <w:rPr>
                <w:sz w:val="20"/>
              </w:rPr>
            </w:pPr>
            <w:r w:rsidRPr="00B47AC9">
              <w:rPr>
                <w:sz w:val="20"/>
              </w:rPr>
              <w:t>Atbilstoši Finanšu ministrijas sniegtajam skaidrojumam Izziņā par atzinumos sniegtajiem iebildumiem Ministru kabineta noteikumu projektam "Saimnieciskā gada pārskata sagatavošanas kārtība" iebildums ir ņemts vērā un:</w:t>
            </w:r>
          </w:p>
          <w:p w14:paraId="16BE865B" w14:textId="77777777" w:rsidR="00015328" w:rsidRPr="00B47AC9" w:rsidRDefault="00015328" w:rsidP="00947EE9">
            <w:pPr>
              <w:pStyle w:val="ListParagraph"/>
              <w:ind w:left="-39"/>
              <w:jc w:val="both"/>
              <w:rPr>
                <w:sz w:val="20"/>
              </w:rPr>
            </w:pPr>
            <w:r w:rsidRPr="00B47AC9">
              <w:rPr>
                <w:sz w:val="20"/>
              </w:rPr>
              <w:t xml:space="preserve">,,Papildināta anotācija I.nodaļas “ Tiesību akta projekta izstrādes nepieciešamība” 2.punktā </w:t>
            </w:r>
          </w:p>
          <w:p w14:paraId="26351758" w14:textId="77777777" w:rsidR="00015328" w:rsidRPr="00B47AC9" w:rsidRDefault="00015328" w:rsidP="00947EE9">
            <w:pPr>
              <w:pStyle w:val="ListParagraph"/>
              <w:ind w:left="-39" w:firstLine="39"/>
              <w:jc w:val="both"/>
              <w:rPr>
                <w:sz w:val="20"/>
              </w:rPr>
            </w:pPr>
            <w:r w:rsidRPr="00B47AC9">
              <w:rPr>
                <w:sz w:val="20"/>
              </w:rPr>
              <w:t>“Pašreizējā situācija un problēmas, kuru risināšanai tiesību akta projekts izstrādāts, tiesiskā regulējuma mērķis un būtība” ar termiņiem, kādā Valsts kase izstrādā un aktualizē pārskata sagatavošanas veidlapas un publicē tās Valsts kases tīmekļa vietnē.”</w:t>
            </w:r>
          </w:p>
          <w:p w14:paraId="426004FF" w14:textId="5DCD4CFB" w:rsidR="00015328" w:rsidRPr="00B47AC9" w:rsidRDefault="00015328" w:rsidP="00947EE9">
            <w:pPr>
              <w:pStyle w:val="ListParagraph"/>
              <w:tabs>
                <w:tab w:val="left" w:pos="993"/>
              </w:tabs>
              <w:ind w:left="0"/>
              <w:jc w:val="both"/>
              <w:rPr>
                <w:sz w:val="20"/>
              </w:rPr>
            </w:pPr>
            <w:r w:rsidRPr="00B47AC9">
              <w:rPr>
                <w:sz w:val="20"/>
              </w:rPr>
              <w:t>Tomēr, izskatot atkārtotai saskaņošanai iesniegto Projekta anotāciju, tajā termiņi, kādā Valsts kase izstrādā un aktualizē saimnieciskā gada pārskata sagatavošanas veidlapas un publicē tās Valsts kases tīmekļa vietnē, nav atrodami.</w:t>
            </w:r>
          </w:p>
        </w:tc>
        <w:tc>
          <w:tcPr>
            <w:tcW w:w="893" w:type="pct"/>
            <w:tcBorders>
              <w:top w:val="outset" w:sz="6" w:space="0" w:color="414142"/>
              <w:left w:val="outset" w:sz="6" w:space="0" w:color="414142"/>
              <w:bottom w:val="outset" w:sz="6" w:space="0" w:color="414142"/>
              <w:right w:val="outset" w:sz="6" w:space="0" w:color="414142"/>
            </w:tcBorders>
          </w:tcPr>
          <w:p w14:paraId="0B32C668" w14:textId="0D4C0F7C" w:rsidR="00015328" w:rsidRPr="00B47AC9" w:rsidRDefault="00015328" w:rsidP="00947EE9">
            <w:pPr>
              <w:jc w:val="both"/>
              <w:rPr>
                <w:b/>
                <w:sz w:val="20"/>
                <w:szCs w:val="24"/>
              </w:rPr>
            </w:pPr>
            <w:r w:rsidRPr="00B47AC9">
              <w:rPr>
                <w:b/>
                <w:sz w:val="20"/>
                <w:szCs w:val="24"/>
              </w:rPr>
              <w:t>Ņemts vērā</w:t>
            </w:r>
          </w:p>
          <w:p w14:paraId="1A5853F2" w14:textId="5F029E58" w:rsidR="00015328" w:rsidRPr="00B47AC9" w:rsidRDefault="00015328" w:rsidP="00947EE9">
            <w:pPr>
              <w:jc w:val="both"/>
              <w:rPr>
                <w:rFonts w:eastAsia="Times New Roman" w:cs="Times New Roman"/>
                <w:sz w:val="20"/>
                <w:szCs w:val="20"/>
                <w:lang w:eastAsia="lv-LV"/>
              </w:rPr>
            </w:pPr>
            <w:r w:rsidRPr="00B47AC9">
              <w:rPr>
                <w:sz w:val="20"/>
                <w:szCs w:val="24"/>
              </w:rPr>
              <w:t xml:space="preserve"> Papildināta </w:t>
            </w:r>
            <w:r w:rsidRPr="00B47AC9">
              <w:rPr>
                <w:rFonts w:eastAsia="Times New Roman" w:cs="Times New Roman"/>
                <w:sz w:val="20"/>
                <w:szCs w:val="20"/>
                <w:lang w:eastAsia="lv-LV"/>
              </w:rPr>
              <w:t xml:space="preserve">anotācija I.nodaļas “ Tiesību akta projekta izstrādes nepieciešamība” 2.punktā </w:t>
            </w:r>
          </w:p>
          <w:p w14:paraId="78AC7DF4" w14:textId="49992AE7" w:rsidR="00015328" w:rsidRPr="00B47AC9" w:rsidRDefault="00015328" w:rsidP="00947EE9">
            <w:pPr>
              <w:jc w:val="both"/>
              <w:rPr>
                <w:color w:val="0070C0"/>
                <w:sz w:val="20"/>
                <w:szCs w:val="24"/>
              </w:rPr>
            </w:pPr>
            <w:r w:rsidRPr="00B47AC9">
              <w:rPr>
                <w:rFonts w:eastAsia="Times New Roman" w:cs="Times New Roman"/>
                <w:sz w:val="20"/>
                <w:szCs w:val="20"/>
                <w:lang w:eastAsia="lv-LV"/>
              </w:rPr>
              <w:t>“</w:t>
            </w:r>
            <w:r w:rsidRPr="00B47AC9">
              <w:rPr>
                <w:sz w:val="20"/>
                <w:szCs w:val="20"/>
              </w:rPr>
              <w:t xml:space="preserve"> </w:t>
            </w:r>
            <w:r w:rsidRPr="00B47AC9">
              <w:rPr>
                <w:rFonts w:eastAsia="Times New Roman" w:cs="Times New Roman"/>
                <w:bCs/>
                <w:sz w:val="20"/>
                <w:szCs w:val="20"/>
                <w:lang w:eastAsia="lv-LV"/>
              </w:rPr>
              <w:t>Pašreizējā situācija un problēmas, kuru risināšanai tiesību akta projekts izstrādāts, tiesiskā regulējuma mērķis un būtība</w:t>
            </w:r>
            <w:r w:rsidRPr="00B47AC9">
              <w:rPr>
                <w:rFonts w:eastAsia="Times New Roman" w:cs="Times New Roman"/>
                <w:sz w:val="20"/>
                <w:szCs w:val="20"/>
                <w:lang w:eastAsia="lv-LV"/>
              </w:rPr>
              <w:t>”</w:t>
            </w:r>
            <w:r w:rsidRPr="00B47AC9">
              <w:rPr>
                <w:sz w:val="20"/>
                <w:szCs w:val="24"/>
              </w:rPr>
              <w:t xml:space="preserve"> (14.lp.) ar termiņiem, </w:t>
            </w:r>
            <w:r w:rsidRPr="00B47AC9">
              <w:rPr>
                <w:sz w:val="20"/>
              </w:rPr>
              <w:t>kādā Valsts kase izstrādā un aktualizē pārskata sagatavošanas veidlapas un publicē tās Valsts kases tīmekļa vietnē.</w:t>
            </w:r>
          </w:p>
        </w:tc>
        <w:tc>
          <w:tcPr>
            <w:tcW w:w="1060" w:type="pct"/>
            <w:tcBorders>
              <w:top w:val="outset" w:sz="6" w:space="0" w:color="414142"/>
              <w:left w:val="outset" w:sz="6" w:space="0" w:color="414142"/>
              <w:bottom w:val="outset" w:sz="6" w:space="0" w:color="414142"/>
              <w:right w:val="outset" w:sz="6" w:space="0" w:color="414142"/>
            </w:tcBorders>
          </w:tcPr>
          <w:p w14:paraId="33EE16EE" w14:textId="76FAB250" w:rsidR="00015328" w:rsidRPr="00B773E5" w:rsidRDefault="00015328" w:rsidP="00947EE9">
            <w:pPr>
              <w:jc w:val="both"/>
              <w:rPr>
                <w:bCs/>
                <w:sz w:val="20"/>
                <w:szCs w:val="20"/>
              </w:rPr>
            </w:pPr>
            <w:r w:rsidRPr="00B773E5">
              <w:rPr>
                <w:bCs/>
                <w:sz w:val="20"/>
                <w:szCs w:val="20"/>
              </w:rPr>
              <w:t>8.Valsts kase izstrādā pārskata sagatavošanas veidlapas un publicē tās Valsts kases tīmekļa vietnē.</w:t>
            </w:r>
          </w:p>
          <w:p w14:paraId="2DD6A29A" w14:textId="77777777" w:rsidR="00015328" w:rsidRPr="00B773E5" w:rsidRDefault="00015328" w:rsidP="00947EE9">
            <w:pPr>
              <w:ind w:right="63"/>
              <w:jc w:val="both"/>
              <w:rPr>
                <w:sz w:val="20"/>
                <w:szCs w:val="20"/>
              </w:rPr>
            </w:pPr>
            <w:r w:rsidRPr="00B773E5">
              <w:rPr>
                <w:sz w:val="20"/>
                <w:szCs w:val="20"/>
              </w:rPr>
              <w:t xml:space="preserve">Anotācija/ I. Tiesību akta projekta izstrādes nepieciešamība/ </w:t>
            </w:r>
          </w:p>
          <w:p w14:paraId="1E28C2B1" w14:textId="77777777" w:rsidR="00015328" w:rsidRPr="00B773E5" w:rsidRDefault="00015328" w:rsidP="00947EE9">
            <w:pPr>
              <w:ind w:right="63"/>
              <w:jc w:val="both"/>
              <w:rPr>
                <w:sz w:val="20"/>
                <w:szCs w:val="20"/>
              </w:rPr>
            </w:pPr>
            <w:r w:rsidRPr="00B773E5">
              <w:rPr>
                <w:sz w:val="20"/>
                <w:szCs w:val="20"/>
              </w:rPr>
              <w:t>2.Pašreizējā situācija un problēmas, kuru risināšanai tiesību akta projekts izstrādāts, tiesiskā regulējuma mērķis un būtība:</w:t>
            </w:r>
          </w:p>
          <w:p w14:paraId="0A97A3F9" w14:textId="77777777" w:rsidR="00015328" w:rsidRPr="00B773E5" w:rsidRDefault="00015328" w:rsidP="00947EE9">
            <w:pPr>
              <w:jc w:val="both"/>
              <w:rPr>
                <w:bCs/>
                <w:sz w:val="20"/>
                <w:szCs w:val="20"/>
              </w:rPr>
            </w:pPr>
          </w:p>
          <w:p w14:paraId="0C68F93F" w14:textId="3CE7DEFA" w:rsidR="00015328" w:rsidRPr="00B773E5" w:rsidRDefault="00015328" w:rsidP="00947EE9">
            <w:pPr>
              <w:jc w:val="both"/>
              <w:rPr>
                <w:rFonts w:eastAsia="Times New Roman" w:cs="Times New Roman"/>
                <w:sz w:val="20"/>
                <w:szCs w:val="20"/>
                <w:lang w:eastAsia="lv-LV"/>
              </w:rPr>
            </w:pPr>
            <w:r w:rsidRPr="00B773E5">
              <w:rPr>
                <w:rFonts w:cs="Times New Roman"/>
                <w:sz w:val="20"/>
                <w:szCs w:val="20"/>
              </w:rPr>
              <w:t xml:space="preserve">Noteikumu projekta 8.punktā noteiktās pārskata sagatavošanas veidlapas pirmo reizi Valsts kase izstrādā 2019.gada pārskata sagatavošanai un publicējusi tās Valsts kases tīmekļa vietnē atbilstoši sadaļā </w:t>
            </w:r>
            <w:r w:rsidRPr="00B773E5">
              <w:rPr>
                <w:rFonts w:eastAsia="Times New Roman" w:cs="Times New Roman"/>
                <w:sz w:val="20"/>
                <w:szCs w:val="20"/>
                <w:lang w:eastAsia="lv-LV"/>
              </w:rPr>
              <w:t> “</w:t>
            </w:r>
            <w:r w:rsidRPr="00B773E5">
              <w:rPr>
                <w:rFonts w:eastAsia="Times New Roman" w:cs="Times New Roman"/>
                <w:bCs/>
                <w:sz w:val="20"/>
                <w:szCs w:val="20"/>
                <w:lang w:eastAsia="lv-LV"/>
              </w:rPr>
              <w:t xml:space="preserve">VI. Sabiedrības līdzdalība un komunikācijas aktivitātes” sniegtajai informācijai un atkārtoti </w:t>
            </w:r>
            <w:r w:rsidRPr="00B773E5">
              <w:rPr>
                <w:rFonts w:cs="Times New Roman"/>
                <w:sz w:val="20"/>
                <w:szCs w:val="20"/>
              </w:rPr>
              <w:t xml:space="preserve">pēc normatīvā akta stāšanās spēkā </w:t>
            </w:r>
            <w:r w:rsidRPr="00B773E5">
              <w:rPr>
                <w:rFonts w:eastAsia="Times New Roman" w:cs="Times New Roman"/>
                <w:bCs/>
                <w:sz w:val="20"/>
                <w:szCs w:val="20"/>
                <w:lang w:eastAsia="lv-LV"/>
              </w:rPr>
              <w:t>piecu darba dienu</w:t>
            </w:r>
            <w:r w:rsidRPr="00B773E5">
              <w:rPr>
                <w:rFonts w:cs="Times New Roman"/>
                <w:sz w:val="20"/>
                <w:szCs w:val="20"/>
              </w:rPr>
              <w:t xml:space="preserve"> laikā. Izmaiņu gadījumā turpmāk veidlapas tiks aktualizētas vismaz divus mēnešus pirms saimnieciskā gada beigām.</w:t>
            </w:r>
          </w:p>
        </w:tc>
      </w:tr>
      <w:tr w:rsidR="00015328" w:rsidRPr="005B6DEE" w14:paraId="58A9D95E" w14:textId="77777777" w:rsidTr="00033FD2">
        <w:trPr>
          <w:trHeight w:val="2181"/>
        </w:trPr>
        <w:tc>
          <w:tcPr>
            <w:tcW w:w="252" w:type="pct"/>
            <w:tcBorders>
              <w:top w:val="outset" w:sz="6" w:space="0" w:color="414142"/>
              <w:left w:val="outset" w:sz="6" w:space="0" w:color="414142"/>
              <w:bottom w:val="outset" w:sz="6" w:space="0" w:color="414142"/>
              <w:right w:val="outset" w:sz="6" w:space="0" w:color="414142"/>
            </w:tcBorders>
          </w:tcPr>
          <w:p w14:paraId="601EAE4D" w14:textId="7A532AC6" w:rsidR="00015328" w:rsidRPr="007F3F01" w:rsidRDefault="00015328" w:rsidP="008835AB">
            <w:pPr>
              <w:jc w:val="center"/>
              <w:rPr>
                <w:rFonts w:eastAsia="Times New Roman" w:cs="Times New Roman"/>
                <w:sz w:val="20"/>
                <w:szCs w:val="24"/>
                <w:lang w:eastAsia="lv-LV"/>
              </w:rPr>
            </w:pPr>
            <w:r>
              <w:rPr>
                <w:rFonts w:eastAsia="Times New Roman" w:cs="Times New Roman"/>
                <w:sz w:val="20"/>
                <w:szCs w:val="24"/>
                <w:lang w:eastAsia="lv-LV"/>
              </w:rPr>
              <w:t>1</w:t>
            </w:r>
            <w:r w:rsidR="008835AB">
              <w:rPr>
                <w:rFonts w:eastAsia="Times New Roman" w:cs="Times New Roman"/>
                <w:sz w:val="20"/>
                <w:szCs w:val="24"/>
                <w:lang w:eastAsia="lv-LV"/>
              </w:rPr>
              <w:t>2</w:t>
            </w:r>
            <w:r w:rsidRPr="007F3F01">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3B95D481" w14:textId="77777777" w:rsidR="00015328" w:rsidRPr="001F11E9" w:rsidRDefault="00015328" w:rsidP="00947EE9">
            <w:pPr>
              <w:ind w:right="63"/>
              <w:jc w:val="both"/>
              <w:rPr>
                <w:rFonts w:eastAsia="Times New Roman" w:cs="Times New Roman"/>
                <w:sz w:val="20"/>
                <w:szCs w:val="20"/>
                <w:lang w:eastAsia="lv-LV"/>
              </w:rPr>
            </w:pPr>
            <w:r w:rsidRPr="001F11E9">
              <w:rPr>
                <w:rFonts w:eastAsia="Times New Roman" w:cs="Times New Roman"/>
                <w:sz w:val="20"/>
                <w:szCs w:val="20"/>
                <w:lang w:eastAsia="lv-LV"/>
              </w:rPr>
              <w:t>13.</w:t>
            </w:r>
            <w:r w:rsidRPr="001F11E9">
              <w:rPr>
                <w:rFonts w:eastAsia="Times New Roman" w:cs="Times New Roman"/>
                <w:sz w:val="20"/>
                <w:szCs w:val="20"/>
                <w:lang w:eastAsia="lv-LV"/>
              </w:rPr>
              <w:tab/>
              <w:t xml:space="preserve">Pārskatu sagatavo: </w:t>
            </w:r>
          </w:p>
          <w:p w14:paraId="14119B9D" w14:textId="7E061DF2" w:rsidR="00015328" w:rsidRPr="001F11E9" w:rsidRDefault="00015328" w:rsidP="00947EE9">
            <w:pPr>
              <w:ind w:right="63"/>
              <w:jc w:val="both"/>
              <w:rPr>
                <w:rFonts w:eastAsia="Times New Roman" w:cs="Times New Roman"/>
                <w:sz w:val="20"/>
                <w:szCs w:val="20"/>
                <w:lang w:eastAsia="lv-LV"/>
              </w:rPr>
            </w:pPr>
            <w:r w:rsidRPr="001F11E9">
              <w:rPr>
                <w:rFonts w:eastAsia="Times New Roman" w:cs="Times New Roman"/>
                <w:sz w:val="20"/>
                <w:szCs w:val="20"/>
                <w:lang w:eastAsia="lv-LV"/>
              </w:rPr>
              <w:t>13.1.</w:t>
            </w:r>
            <w:r w:rsidRPr="001F11E9">
              <w:rPr>
                <w:rFonts w:eastAsia="Times New Roman" w:cs="Times New Roman"/>
                <w:sz w:val="20"/>
                <w:szCs w:val="20"/>
                <w:lang w:eastAsia="lv-LV"/>
              </w:rPr>
              <w:tab/>
              <w:t>saskaņā ar darbības turpināšanas principu;</w:t>
            </w:r>
          </w:p>
        </w:tc>
        <w:tc>
          <w:tcPr>
            <w:tcW w:w="1731" w:type="pct"/>
            <w:tcBorders>
              <w:top w:val="outset" w:sz="6" w:space="0" w:color="414142"/>
              <w:left w:val="outset" w:sz="6" w:space="0" w:color="414142"/>
              <w:bottom w:val="outset" w:sz="6" w:space="0" w:color="414142"/>
              <w:right w:val="outset" w:sz="6" w:space="0" w:color="414142"/>
            </w:tcBorders>
          </w:tcPr>
          <w:p w14:paraId="0A54C545" w14:textId="1187F88E" w:rsidR="00015328" w:rsidRPr="001F11E9" w:rsidRDefault="00015328" w:rsidP="00947EE9">
            <w:pPr>
              <w:pStyle w:val="ListParagraph"/>
              <w:ind w:left="0"/>
              <w:jc w:val="both"/>
              <w:rPr>
                <w:sz w:val="20"/>
                <w:szCs w:val="20"/>
              </w:rPr>
            </w:pPr>
            <w:r w:rsidRPr="001F11E9">
              <w:rPr>
                <w:sz w:val="20"/>
                <w:szCs w:val="20"/>
              </w:rPr>
              <w:t>Valsts kontrole</w:t>
            </w:r>
          </w:p>
          <w:p w14:paraId="028B8F22" w14:textId="548C3145" w:rsidR="00015328" w:rsidRPr="001F11E9" w:rsidRDefault="00015328" w:rsidP="00947EE9">
            <w:pPr>
              <w:pStyle w:val="ListParagraph"/>
              <w:tabs>
                <w:tab w:val="left" w:pos="993"/>
              </w:tabs>
              <w:ind w:left="0"/>
              <w:jc w:val="both"/>
              <w:rPr>
                <w:sz w:val="20"/>
                <w:szCs w:val="20"/>
              </w:rPr>
            </w:pPr>
            <w:r w:rsidRPr="001F11E9">
              <w:rPr>
                <w:sz w:val="20"/>
                <w:szCs w:val="20"/>
              </w:rPr>
              <w:t>[1.5] Projekta 13.1.apakšpunktā norādīts tikai viens no pārskata sagatavošanas principiem. Valsts kontroles ieskatā, vai nu būtu jānorāda visi pārskata sagatavošanas principi vai arī būtu jānorāda atsauce uz normatīvajos aktos budžeta, grāmatvedības, t.sk. budžeta iestāžu grāmatvedības uzskaites un budžeta iestāžu gada pārskatu sagatavošanas jomā norādītajiem pārskata sagatavošanas principiem, tos nedublējot.</w:t>
            </w:r>
          </w:p>
        </w:tc>
        <w:tc>
          <w:tcPr>
            <w:tcW w:w="893" w:type="pct"/>
            <w:tcBorders>
              <w:top w:val="outset" w:sz="6" w:space="0" w:color="414142"/>
              <w:left w:val="outset" w:sz="6" w:space="0" w:color="414142"/>
              <w:bottom w:val="outset" w:sz="6" w:space="0" w:color="414142"/>
              <w:right w:val="outset" w:sz="6" w:space="0" w:color="414142"/>
            </w:tcBorders>
          </w:tcPr>
          <w:p w14:paraId="0ACE3552" w14:textId="77777777" w:rsidR="00015328" w:rsidRDefault="00015328" w:rsidP="00947EE9">
            <w:pPr>
              <w:jc w:val="both"/>
              <w:rPr>
                <w:rFonts w:eastAsia="Times New Roman" w:cs="Times New Roman"/>
                <w:b/>
                <w:sz w:val="20"/>
                <w:szCs w:val="20"/>
                <w:lang w:eastAsia="lv-LV"/>
              </w:rPr>
            </w:pPr>
            <w:r w:rsidRPr="00935821">
              <w:rPr>
                <w:rFonts w:eastAsia="Times New Roman" w:cs="Times New Roman"/>
                <w:b/>
                <w:sz w:val="20"/>
                <w:szCs w:val="20"/>
                <w:lang w:eastAsia="lv-LV"/>
              </w:rPr>
              <w:t>Ņemts vērā</w:t>
            </w:r>
          </w:p>
          <w:p w14:paraId="3EFECE90" w14:textId="4A1E4BE8" w:rsidR="00015328" w:rsidRPr="00F94448" w:rsidRDefault="00015328" w:rsidP="00947EE9">
            <w:pPr>
              <w:jc w:val="both"/>
            </w:pPr>
            <w:r w:rsidRPr="00F94448">
              <w:rPr>
                <w:rFonts w:eastAsia="Times New Roman" w:cs="Times New Roman"/>
                <w:sz w:val="20"/>
                <w:szCs w:val="20"/>
                <w:lang w:eastAsia="lv-LV"/>
              </w:rPr>
              <w:t>13.1.apakšpunkts svītrots</w:t>
            </w:r>
            <w:r>
              <w:rPr>
                <w:rFonts w:eastAsia="Times New Roman" w:cs="Times New Roman"/>
                <w:sz w:val="20"/>
                <w:szCs w:val="20"/>
                <w:lang w:eastAsia="lv-LV"/>
              </w:rPr>
              <w:t>, jo noteikumu projekta 10.punktā ir norādīta atsauce un pārskata sagatavošanas principiem.</w:t>
            </w:r>
          </w:p>
        </w:tc>
        <w:tc>
          <w:tcPr>
            <w:tcW w:w="1060" w:type="pct"/>
            <w:tcBorders>
              <w:top w:val="outset" w:sz="6" w:space="0" w:color="414142"/>
              <w:left w:val="outset" w:sz="6" w:space="0" w:color="414142"/>
              <w:bottom w:val="outset" w:sz="6" w:space="0" w:color="414142"/>
              <w:right w:val="outset" w:sz="6" w:space="0" w:color="414142"/>
            </w:tcBorders>
          </w:tcPr>
          <w:p w14:paraId="50474188" w14:textId="134D6057" w:rsidR="00015328" w:rsidRPr="001F11E9" w:rsidRDefault="00015328" w:rsidP="00947EE9">
            <w:pPr>
              <w:jc w:val="both"/>
              <w:rPr>
                <w:sz w:val="20"/>
              </w:rPr>
            </w:pPr>
            <w:r>
              <w:rPr>
                <w:sz w:val="20"/>
              </w:rPr>
              <w:t>x</w:t>
            </w:r>
          </w:p>
        </w:tc>
      </w:tr>
      <w:tr w:rsidR="00015328" w:rsidRPr="005B6DEE" w14:paraId="34324866"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38688134" w14:textId="639CDB9F" w:rsidR="00015328" w:rsidRDefault="00015328" w:rsidP="008835AB">
            <w:pPr>
              <w:jc w:val="center"/>
              <w:rPr>
                <w:rFonts w:eastAsia="Times New Roman" w:cs="Times New Roman"/>
                <w:szCs w:val="24"/>
                <w:lang w:eastAsia="lv-LV"/>
              </w:rPr>
            </w:pPr>
            <w:r w:rsidRPr="007F3F01">
              <w:rPr>
                <w:rFonts w:eastAsia="Times New Roman" w:cs="Times New Roman"/>
                <w:sz w:val="20"/>
                <w:szCs w:val="24"/>
                <w:lang w:eastAsia="lv-LV"/>
              </w:rPr>
              <w:t>1</w:t>
            </w:r>
            <w:r w:rsidR="008835AB">
              <w:rPr>
                <w:rFonts w:eastAsia="Times New Roman" w:cs="Times New Roman"/>
                <w:sz w:val="20"/>
                <w:szCs w:val="24"/>
                <w:lang w:eastAsia="lv-LV"/>
              </w:rPr>
              <w:t>3</w:t>
            </w:r>
            <w:r w:rsidRPr="007F3F01">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1C318900" w14:textId="4742C65F" w:rsidR="00015328" w:rsidRPr="00A57A25" w:rsidRDefault="00015328" w:rsidP="00947EE9">
            <w:pPr>
              <w:ind w:right="63"/>
              <w:jc w:val="both"/>
              <w:rPr>
                <w:rFonts w:eastAsia="Times New Roman" w:cs="Times New Roman"/>
                <w:sz w:val="20"/>
                <w:szCs w:val="20"/>
                <w:lang w:eastAsia="lv-LV"/>
              </w:rPr>
            </w:pPr>
            <w:r w:rsidRPr="00A57A25">
              <w:rPr>
                <w:rFonts w:eastAsia="Times New Roman" w:cs="Times New Roman"/>
                <w:sz w:val="20"/>
                <w:szCs w:val="20"/>
                <w:lang w:eastAsia="lv-LV"/>
              </w:rPr>
              <w:t>16.</w:t>
            </w:r>
            <w:r w:rsidRPr="00A57A25">
              <w:rPr>
                <w:rFonts w:eastAsia="Times New Roman" w:cs="Times New Roman"/>
                <w:sz w:val="20"/>
                <w:szCs w:val="20"/>
                <w:lang w:eastAsia="lv-LV"/>
              </w:rPr>
              <w:tab/>
              <w:t xml:space="preserve">Ja pārskatā finanšu pārskatu posteņu (turpmāk – postenis) atzīšanā, novērtējumā, izklāstā vai norādīšanā iepriekšējos pārskata periodos ir pieļautas būtiskas kļūdas, kas nav labotas auditētajos konsolidētajos gada pārskatos, tad nerevidētu pārskatu līdz pārskata gadam sekojošā saimnieciskā gada 15.augustam Valsts kase saskaņā ar tās noteikto būtiskumu līmeni koriģē </w:t>
            </w:r>
            <w:r w:rsidRPr="00F15785">
              <w:rPr>
                <w:rFonts w:eastAsia="Times New Roman" w:cs="Times New Roman"/>
                <w:sz w:val="20"/>
                <w:szCs w:val="20"/>
                <w:lang w:eastAsia="lv-LV"/>
              </w:rPr>
              <w:t>par ministriju un pašvaldību sniegtajiem būtiskiem koriģējošiem notikumiem</w:t>
            </w:r>
            <w:r w:rsidRPr="00A57A25">
              <w:rPr>
                <w:rFonts w:eastAsia="Times New Roman" w:cs="Times New Roman"/>
                <w:sz w:val="20"/>
                <w:szCs w:val="20"/>
                <w:lang w:eastAsia="lv-LV"/>
              </w:rPr>
              <w:t xml:space="preserve"> pēc bilances datuma.</w:t>
            </w:r>
          </w:p>
        </w:tc>
        <w:tc>
          <w:tcPr>
            <w:tcW w:w="1731" w:type="pct"/>
            <w:tcBorders>
              <w:top w:val="outset" w:sz="6" w:space="0" w:color="414142"/>
              <w:left w:val="outset" w:sz="6" w:space="0" w:color="414142"/>
              <w:bottom w:val="outset" w:sz="6" w:space="0" w:color="414142"/>
              <w:right w:val="outset" w:sz="6" w:space="0" w:color="414142"/>
            </w:tcBorders>
          </w:tcPr>
          <w:p w14:paraId="2D652F57" w14:textId="2F18C345" w:rsidR="00015328" w:rsidRPr="00A57A25" w:rsidRDefault="00015328" w:rsidP="00947EE9">
            <w:pPr>
              <w:jc w:val="both"/>
              <w:rPr>
                <w:rFonts w:cs="Times New Roman"/>
                <w:sz w:val="20"/>
                <w:szCs w:val="20"/>
              </w:rPr>
            </w:pPr>
            <w:r w:rsidRPr="00A57A25">
              <w:rPr>
                <w:rFonts w:cs="Times New Roman"/>
                <w:sz w:val="20"/>
                <w:szCs w:val="20"/>
              </w:rPr>
              <w:t>Valsts kontrole</w:t>
            </w:r>
          </w:p>
          <w:p w14:paraId="3FAD9718" w14:textId="25D53B2C" w:rsidR="00015328" w:rsidRPr="00A57A25" w:rsidRDefault="00015328" w:rsidP="00947EE9">
            <w:pPr>
              <w:jc w:val="both"/>
              <w:rPr>
                <w:rFonts w:cs="Times New Roman"/>
                <w:sz w:val="20"/>
                <w:szCs w:val="20"/>
              </w:rPr>
            </w:pPr>
            <w:r w:rsidRPr="00A57A25">
              <w:rPr>
                <w:rFonts w:cs="Times New Roman"/>
                <w:sz w:val="20"/>
                <w:szCs w:val="20"/>
              </w:rPr>
              <w:t>[1.6] Projekta 16.punktā nav ietverts pienākums Valsts kasei veikt korekcijas arī par būtiskām pārskata perioda kļūdām, kas nav labotas auditētajos konsolidētajos gada pārskatos saskaņā ar tās noteikto būtiskumu līmeni un ministriju un pašvaldību sniegtajiem būtiskiem koriģējošiem notikumiem pēc bilances datuma.</w:t>
            </w:r>
          </w:p>
        </w:tc>
        <w:tc>
          <w:tcPr>
            <w:tcW w:w="893" w:type="pct"/>
            <w:tcBorders>
              <w:top w:val="outset" w:sz="6" w:space="0" w:color="414142"/>
              <w:left w:val="outset" w:sz="6" w:space="0" w:color="414142"/>
              <w:bottom w:val="outset" w:sz="6" w:space="0" w:color="414142"/>
              <w:right w:val="outset" w:sz="6" w:space="0" w:color="414142"/>
            </w:tcBorders>
          </w:tcPr>
          <w:p w14:paraId="0ED71B3A" w14:textId="77777777" w:rsidR="00015328" w:rsidRDefault="00015328" w:rsidP="00947EE9">
            <w:pPr>
              <w:jc w:val="both"/>
              <w:rPr>
                <w:rFonts w:eastAsia="Times New Roman" w:cs="Times New Roman"/>
                <w:b/>
                <w:sz w:val="20"/>
                <w:szCs w:val="24"/>
                <w:lang w:eastAsia="lv-LV"/>
              </w:rPr>
            </w:pPr>
            <w:r w:rsidRPr="00A92789">
              <w:rPr>
                <w:rFonts w:eastAsia="Times New Roman" w:cs="Times New Roman"/>
                <w:b/>
                <w:sz w:val="20"/>
                <w:szCs w:val="24"/>
                <w:lang w:eastAsia="lv-LV"/>
              </w:rPr>
              <w:t>Ņemts vērā</w:t>
            </w:r>
          </w:p>
          <w:p w14:paraId="2FC31029" w14:textId="0F245273" w:rsidR="00015328" w:rsidRPr="00D43FDD" w:rsidRDefault="00015328" w:rsidP="00947EE9">
            <w:pPr>
              <w:jc w:val="both"/>
              <w:rPr>
                <w:rFonts w:eastAsia="Times New Roman" w:cs="Times New Roman"/>
                <w:szCs w:val="24"/>
                <w:lang w:eastAsia="lv-LV"/>
              </w:rPr>
            </w:pPr>
            <w:r w:rsidRPr="005B69A2">
              <w:rPr>
                <w:rFonts w:eastAsia="Times New Roman" w:cs="Times New Roman"/>
                <w:sz w:val="20"/>
                <w:szCs w:val="20"/>
                <w:lang w:eastAsia="lv-LV"/>
              </w:rPr>
              <w:t>Precizēts 1</w:t>
            </w:r>
            <w:r>
              <w:rPr>
                <w:rFonts w:eastAsia="Times New Roman" w:cs="Times New Roman"/>
                <w:sz w:val="20"/>
                <w:szCs w:val="20"/>
                <w:lang w:eastAsia="lv-LV"/>
              </w:rPr>
              <w:t>6</w:t>
            </w:r>
            <w:r w:rsidRPr="005B69A2">
              <w:rPr>
                <w:rFonts w:eastAsia="Times New Roman" w:cs="Times New Roman"/>
                <w:sz w:val="20"/>
                <w:szCs w:val="20"/>
                <w:lang w:eastAsia="lv-LV"/>
              </w:rPr>
              <w:t>.punkts</w:t>
            </w:r>
            <w:r>
              <w:rPr>
                <w:rFonts w:eastAsia="Times New Roman" w:cs="Times New Roman"/>
                <w:sz w:val="20"/>
                <w:szCs w:val="20"/>
                <w:lang w:eastAsia="lv-LV"/>
              </w:rPr>
              <w:t>.</w:t>
            </w:r>
          </w:p>
        </w:tc>
        <w:tc>
          <w:tcPr>
            <w:tcW w:w="1060" w:type="pct"/>
            <w:tcBorders>
              <w:top w:val="outset" w:sz="6" w:space="0" w:color="414142"/>
              <w:left w:val="outset" w:sz="6" w:space="0" w:color="414142"/>
              <w:bottom w:val="outset" w:sz="6" w:space="0" w:color="414142"/>
              <w:right w:val="outset" w:sz="6" w:space="0" w:color="414142"/>
            </w:tcBorders>
          </w:tcPr>
          <w:p w14:paraId="33147DFE" w14:textId="147DB829" w:rsidR="00015328" w:rsidRPr="00B773E5" w:rsidRDefault="00015328" w:rsidP="00947EE9">
            <w:pPr>
              <w:pStyle w:val="NormalWeb"/>
              <w:shd w:val="clear" w:color="auto" w:fill="FFFFFF"/>
              <w:jc w:val="both"/>
              <w:rPr>
                <w:bCs/>
                <w:iCs/>
                <w:sz w:val="20"/>
              </w:rPr>
            </w:pPr>
            <w:r w:rsidRPr="00B773E5">
              <w:rPr>
                <w:bCs/>
                <w:iCs/>
                <w:sz w:val="20"/>
              </w:rPr>
              <w:t>12.</w:t>
            </w:r>
            <w:r w:rsidRPr="00B773E5">
              <w:rPr>
                <w:bCs/>
                <w:iCs/>
                <w:sz w:val="20"/>
              </w:rPr>
              <w:tab/>
            </w:r>
            <w:r w:rsidRPr="00B773E5">
              <w:rPr>
                <w:sz w:val="20"/>
              </w:rPr>
              <w:t xml:space="preserve">Ja šo noteikumu </w:t>
            </w:r>
            <w:r w:rsidRPr="00B773E5">
              <w:rPr>
                <w:bCs/>
                <w:iCs/>
                <w:sz w:val="20"/>
              </w:rPr>
              <w:t>11.1.</w:t>
            </w:r>
            <w:r w:rsidR="00BF53E1">
              <w:rPr>
                <w:bCs/>
                <w:iCs/>
                <w:sz w:val="20"/>
              </w:rPr>
              <w:t>apakš</w:t>
            </w:r>
            <w:r w:rsidRPr="00B773E5">
              <w:rPr>
                <w:bCs/>
                <w:iCs/>
                <w:sz w:val="20"/>
              </w:rPr>
              <w:t>punktā minētajos konsolidētajos gada pārskatos finanšu pārskatu posteņu (turpmāk – postenis) atzīšanā, novērtējumā, izklāstā vai norādīšanā ir pieļautas būtiskas kļūdas, kas nav labotas auditētajos konsolidētajos gada pārskatos, tad nerevidētu pārskatu līdz pārskata gadam sekojošā pārskata gada 15.augustam Valsts kase saskaņā ar tās noteikto būtiskumu līmeni koriģē par ministriju, centrālo valsts iestāžu un pašvaldību sniegtajiem būtiskiem koriģējošiem notikumiem pēc bilances datuma.</w:t>
            </w:r>
          </w:p>
        </w:tc>
      </w:tr>
      <w:tr w:rsidR="00015328" w:rsidRPr="005B6DEE" w14:paraId="3C233192"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3380D8C0" w14:textId="13A25FF8" w:rsidR="00015328" w:rsidRDefault="00015328" w:rsidP="008835AB">
            <w:pPr>
              <w:jc w:val="center"/>
              <w:rPr>
                <w:rFonts w:eastAsia="Times New Roman" w:cs="Times New Roman"/>
                <w:szCs w:val="24"/>
                <w:lang w:eastAsia="lv-LV"/>
              </w:rPr>
            </w:pPr>
            <w:r w:rsidRPr="007F3F01">
              <w:rPr>
                <w:rFonts w:eastAsia="Times New Roman" w:cs="Times New Roman"/>
                <w:sz w:val="20"/>
                <w:szCs w:val="24"/>
                <w:lang w:eastAsia="lv-LV"/>
              </w:rPr>
              <w:t>1</w:t>
            </w:r>
            <w:r w:rsidR="008835AB">
              <w:rPr>
                <w:rFonts w:eastAsia="Times New Roman" w:cs="Times New Roman"/>
                <w:sz w:val="20"/>
                <w:szCs w:val="24"/>
                <w:lang w:eastAsia="lv-LV"/>
              </w:rPr>
              <w:t>4</w:t>
            </w:r>
            <w:r w:rsidRPr="007F3F01">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71081989" w14:textId="5AE9DFBB" w:rsidR="00015328" w:rsidRPr="002773CD" w:rsidRDefault="00015328" w:rsidP="00947EE9">
            <w:pPr>
              <w:ind w:right="63"/>
              <w:jc w:val="both"/>
              <w:rPr>
                <w:rFonts w:eastAsia="Times New Roman" w:cs="Times New Roman"/>
                <w:sz w:val="20"/>
                <w:szCs w:val="20"/>
                <w:lang w:eastAsia="lv-LV"/>
              </w:rPr>
            </w:pPr>
            <w:r w:rsidRPr="00FB2362">
              <w:rPr>
                <w:rFonts w:eastAsia="Times New Roman" w:cs="Times New Roman"/>
                <w:sz w:val="20"/>
                <w:szCs w:val="20"/>
                <w:lang w:eastAsia="lv-LV"/>
              </w:rPr>
              <w:t>17.</w:t>
            </w:r>
            <w:r w:rsidRPr="00FB2362">
              <w:rPr>
                <w:rFonts w:eastAsia="Times New Roman" w:cs="Times New Roman"/>
                <w:sz w:val="20"/>
                <w:szCs w:val="20"/>
                <w:lang w:eastAsia="lv-LV"/>
              </w:rPr>
              <w:tab/>
              <w:t>Būtisku kļūdu labojumu ietver pārskatā tajā pārskata periodā, uz  kuru kļūda attiecas.</w:t>
            </w:r>
          </w:p>
        </w:tc>
        <w:tc>
          <w:tcPr>
            <w:tcW w:w="1731" w:type="pct"/>
            <w:tcBorders>
              <w:top w:val="outset" w:sz="6" w:space="0" w:color="414142"/>
              <w:left w:val="outset" w:sz="6" w:space="0" w:color="414142"/>
              <w:bottom w:val="outset" w:sz="6" w:space="0" w:color="414142"/>
              <w:right w:val="outset" w:sz="6" w:space="0" w:color="414142"/>
            </w:tcBorders>
          </w:tcPr>
          <w:p w14:paraId="2C4CF384" w14:textId="22ED836A" w:rsidR="00015328" w:rsidRPr="002773CD" w:rsidRDefault="00015328" w:rsidP="00947EE9">
            <w:pPr>
              <w:pStyle w:val="ListParagraph"/>
              <w:tabs>
                <w:tab w:val="left" w:pos="993"/>
              </w:tabs>
              <w:ind w:left="0"/>
              <w:jc w:val="both"/>
              <w:rPr>
                <w:sz w:val="20"/>
                <w:szCs w:val="20"/>
              </w:rPr>
            </w:pPr>
            <w:r w:rsidRPr="002773CD">
              <w:rPr>
                <w:sz w:val="20"/>
                <w:szCs w:val="20"/>
              </w:rPr>
              <w:t>Valsts kontrole</w:t>
            </w:r>
          </w:p>
          <w:p w14:paraId="5EC88A2A" w14:textId="2C6A332C" w:rsidR="00015328" w:rsidRPr="002773CD" w:rsidRDefault="00015328" w:rsidP="00947EE9">
            <w:pPr>
              <w:tabs>
                <w:tab w:val="left" w:pos="993"/>
              </w:tabs>
              <w:jc w:val="both"/>
              <w:rPr>
                <w:rFonts w:cs="Times New Roman"/>
                <w:sz w:val="20"/>
                <w:szCs w:val="20"/>
              </w:rPr>
            </w:pPr>
            <w:r w:rsidRPr="002773CD">
              <w:rPr>
                <w:rFonts w:cs="Times New Roman"/>
                <w:sz w:val="20"/>
                <w:szCs w:val="20"/>
              </w:rPr>
              <w:t>[1.7] Projekta 17.punktā nav norādīts, ka būtisku kļūdu labojumu ietver pārskatā tajā pārskata periodā, uz kuru kļūda attiecas. Punkta redakcija nav saprotama, tā ir interpretējama un atšķiras no normatīvajos aktos budžeta, grāmatvedības, t.sk. budžeta iestāžu grāmatvedības uzskaites un budžeta iestāžu gada pārskatu sagatavošanas jomā norādītajām veicamajām darbībām saistībā ar būtisku kļūdu labojumu norādīšanu pārskatā, proti, normatīvajos aktos budžeta, grāmatvedības, t.sk. budžeta iestāžu grāmatvedības uzskaites un budžeta iestāžu gada pārskatu sagatavošanas jomā</w:t>
            </w:r>
            <w:r w:rsidRPr="002773CD">
              <w:rPr>
                <w:rFonts w:cs="Times New Roman"/>
                <w:sz w:val="20"/>
                <w:szCs w:val="20"/>
                <w:vertAlign w:val="superscript"/>
              </w:rPr>
              <w:footnoteReference w:id="2"/>
            </w:r>
            <w:r w:rsidRPr="002773CD">
              <w:rPr>
                <w:rFonts w:cs="Times New Roman"/>
                <w:sz w:val="20"/>
                <w:szCs w:val="20"/>
              </w:rPr>
              <w:t xml:space="preserve"> ir  norādīta šāda redakcija: ,,</w:t>
            </w:r>
            <w:r w:rsidRPr="002773CD">
              <w:rPr>
                <w:rFonts w:cs="Times New Roman"/>
                <w:i/>
                <w:sz w:val="20"/>
                <w:szCs w:val="20"/>
              </w:rPr>
              <w:t>Ja pārskata periodā ir labotas būtiskas iepriekšējo periodu kļūdas, finanšu pārskatā norāda koriģētu salīdzināmo informāciju</w:t>
            </w:r>
            <w:r w:rsidRPr="002773CD">
              <w:rPr>
                <w:rFonts w:cs="Times New Roman"/>
                <w:sz w:val="20"/>
                <w:szCs w:val="20"/>
              </w:rPr>
              <w:t>.’’.</w:t>
            </w:r>
          </w:p>
        </w:tc>
        <w:tc>
          <w:tcPr>
            <w:tcW w:w="893" w:type="pct"/>
            <w:tcBorders>
              <w:top w:val="outset" w:sz="6" w:space="0" w:color="414142"/>
              <w:left w:val="outset" w:sz="6" w:space="0" w:color="414142"/>
              <w:bottom w:val="outset" w:sz="6" w:space="0" w:color="414142"/>
              <w:right w:val="outset" w:sz="6" w:space="0" w:color="414142"/>
            </w:tcBorders>
          </w:tcPr>
          <w:p w14:paraId="3F64FDAF" w14:textId="5C3DBFAC" w:rsidR="00015328" w:rsidRDefault="00015328" w:rsidP="00947EE9">
            <w:pPr>
              <w:autoSpaceDE w:val="0"/>
              <w:autoSpaceDN w:val="0"/>
              <w:adjustRightInd w:val="0"/>
              <w:jc w:val="both"/>
              <w:rPr>
                <w:rFonts w:eastAsia="Times New Roman" w:cs="Times New Roman"/>
                <w:b/>
                <w:sz w:val="20"/>
                <w:szCs w:val="24"/>
                <w:lang w:eastAsia="lv-LV"/>
              </w:rPr>
            </w:pPr>
            <w:r w:rsidRPr="00CF2B72">
              <w:rPr>
                <w:rFonts w:eastAsia="Times New Roman" w:cs="Times New Roman"/>
                <w:b/>
                <w:sz w:val="20"/>
                <w:szCs w:val="24"/>
                <w:lang w:eastAsia="lv-LV"/>
              </w:rPr>
              <w:t>Ņemts vērā</w:t>
            </w:r>
          </w:p>
          <w:p w14:paraId="47EF068C" w14:textId="4114878B" w:rsidR="00015328" w:rsidRPr="00CF2B72" w:rsidRDefault="00015328" w:rsidP="00947EE9">
            <w:pPr>
              <w:autoSpaceDE w:val="0"/>
              <w:autoSpaceDN w:val="0"/>
              <w:adjustRightInd w:val="0"/>
              <w:jc w:val="both"/>
              <w:rPr>
                <w:rFonts w:eastAsia="Times New Roman" w:cs="Times New Roman"/>
                <w:b/>
                <w:sz w:val="20"/>
                <w:szCs w:val="24"/>
                <w:lang w:eastAsia="lv-LV"/>
              </w:rPr>
            </w:pPr>
            <w:r w:rsidRPr="005B69A2">
              <w:rPr>
                <w:rFonts w:eastAsia="Times New Roman" w:cs="Times New Roman"/>
                <w:sz w:val="20"/>
                <w:szCs w:val="20"/>
                <w:lang w:eastAsia="lv-LV"/>
              </w:rPr>
              <w:t>Precizēts 1</w:t>
            </w:r>
            <w:r>
              <w:rPr>
                <w:rFonts w:eastAsia="Times New Roman" w:cs="Times New Roman"/>
                <w:sz w:val="20"/>
                <w:szCs w:val="20"/>
                <w:lang w:eastAsia="lv-LV"/>
              </w:rPr>
              <w:t>7</w:t>
            </w:r>
            <w:r w:rsidRPr="005B69A2">
              <w:rPr>
                <w:rFonts w:eastAsia="Times New Roman" w:cs="Times New Roman"/>
                <w:sz w:val="20"/>
                <w:szCs w:val="20"/>
                <w:lang w:eastAsia="lv-LV"/>
              </w:rPr>
              <w:t>.punkts</w:t>
            </w:r>
            <w:r>
              <w:rPr>
                <w:rFonts w:eastAsia="Times New Roman" w:cs="Times New Roman"/>
                <w:sz w:val="20"/>
                <w:szCs w:val="20"/>
                <w:lang w:eastAsia="lv-LV"/>
              </w:rPr>
              <w:t>.</w:t>
            </w:r>
          </w:p>
          <w:p w14:paraId="4E694E97" w14:textId="4F53A7F9" w:rsidR="00015328" w:rsidRPr="002773CD" w:rsidRDefault="00015328" w:rsidP="00947EE9">
            <w:pPr>
              <w:autoSpaceDE w:val="0"/>
              <w:autoSpaceDN w:val="0"/>
              <w:adjustRightInd w:val="0"/>
              <w:jc w:val="both"/>
              <w:rPr>
                <w:b/>
                <w:sz w:val="20"/>
              </w:rPr>
            </w:pPr>
          </w:p>
        </w:tc>
        <w:tc>
          <w:tcPr>
            <w:tcW w:w="1060" w:type="pct"/>
            <w:tcBorders>
              <w:top w:val="outset" w:sz="6" w:space="0" w:color="414142"/>
              <w:left w:val="outset" w:sz="6" w:space="0" w:color="414142"/>
              <w:bottom w:val="outset" w:sz="6" w:space="0" w:color="414142"/>
              <w:right w:val="outset" w:sz="6" w:space="0" w:color="414142"/>
            </w:tcBorders>
          </w:tcPr>
          <w:p w14:paraId="24E799FE" w14:textId="77777777" w:rsidR="00015328" w:rsidRPr="00B773E5" w:rsidRDefault="00015328" w:rsidP="00947EE9">
            <w:pPr>
              <w:jc w:val="both"/>
              <w:rPr>
                <w:sz w:val="20"/>
              </w:rPr>
            </w:pPr>
            <w:r w:rsidRPr="00B773E5">
              <w:rPr>
                <w:sz w:val="20"/>
              </w:rPr>
              <w:t>13.</w:t>
            </w:r>
            <w:r w:rsidRPr="00B773E5">
              <w:rPr>
                <w:sz w:val="20"/>
              </w:rPr>
              <w:tab/>
              <w:t>Būtisku iepriekšējo pārskata periodu kļūdu labojumu finanšu pārskatā norāda, koriģējot salīdzināmo informāciju pārskata periodā, uz kuru kļūda attiecas.</w:t>
            </w:r>
          </w:p>
          <w:p w14:paraId="38F8CED2" w14:textId="3717BE2D" w:rsidR="00015328" w:rsidRPr="00B773E5" w:rsidRDefault="00015328" w:rsidP="00947EE9">
            <w:pPr>
              <w:jc w:val="both"/>
              <w:rPr>
                <w:sz w:val="20"/>
              </w:rPr>
            </w:pPr>
          </w:p>
        </w:tc>
      </w:tr>
      <w:tr w:rsidR="00015328" w:rsidRPr="005B6DEE" w14:paraId="7B967742"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1C0FFF99" w14:textId="57487493" w:rsidR="00015328" w:rsidRPr="00FB2362" w:rsidRDefault="00015328" w:rsidP="008835AB">
            <w:pPr>
              <w:jc w:val="center"/>
              <w:rPr>
                <w:rFonts w:eastAsia="Times New Roman" w:cs="Times New Roman"/>
                <w:sz w:val="20"/>
                <w:szCs w:val="20"/>
                <w:lang w:eastAsia="lv-LV"/>
              </w:rPr>
            </w:pPr>
            <w:r>
              <w:rPr>
                <w:rFonts w:eastAsia="Times New Roman" w:cs="Times New Roman"/>
                <w:sz w:val="20"/>
                <w:szCs w:val="20"/>
                <w:lang w:eastAsia="lv-LV"/>
              </w:rPr>
              <w:t>1</w:t>
            </w:r>
            <w:r w:rsidR="008835AB">
              <w:rPr>
                <w:rFonts w:eastAsia="Times New Roman" w:cs="Times New Roman"/>
                <w:sz w:val="20"/>
                <w:szCs w:val="20"/>
                <w:lang w:eastAsia="lv-LV"/>
              </w:rPr>
              <w:t>5</w:t>
            </w:r>
            <w:r>
              <w:rPr>
                <w:rFonts w:eastAsia="Times New Roman" w:cs="Times New Roman"/>
                <w:sz w:val="20"/>
                <w:szCs w:val="20"/>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2CCD590A" w14:textId="2EB0CB25" w:rsidR="00015328" w:rsidRPr="00FB2362" w:rsidRDefault="00015328" w:rsidP="00947EE9">
            <w:pPr>
              <w:ind w:right="63"/>
              <w:jc w:val="both"/>
              <w:rPr>
                <w:rFonts w:eastAsia="Times New Roman" w:cs="Times New Roman"/>
                <w:sz w:val="20"/>
                <w:szCs w:val="20"/>
                <w:lang w:eastAsia="lv-LV"/>
              </w:rPr>
            </w:pPr>
            <w:r w:rsidRPr="00FB2362">
              <w:rPr>
                <w:rFonts w:eastAsia="Times New Roman" w:cs="Times New Roman"/>
                <w:sz w:val="20"/>
                <w:szCs w:val="20"/>
                <w:lang w:eastAsia="lv-LV"/>
              </w:rPr>
              <w:t>20.</w:t>
            </w:r>
            <w:r w:rsidRPr="00FB2362">
              <w:rPr>
                <w:rFonts w:eastAsia="Times New Roman" w:cs="Times New Roman"/>
                <w:sz w:val="20"/>
                <w:szCs w:val="20"/>
                <w:lang w:eastAsia="lv-LV"/>
              </w:rPr>
              <w:tab/>
              <w:t>Pārskats ir nepārprotami identificējams, un tajā esošā informācija neatšķiras no tādas pašas informācijas citos pārskatos. Minēto informāciju norāda skaidri un, ja nepieciešams, atkārto, lai nodrošinātu tās pareizu izpratni.</w:t>
            </w:r>
          </w:p>
        </w:tc>
        <w:tc>
          <w:tcPr>
            <w:tcW w:w="1731" w:type="pct"/>
            <w:tcBorders>
              <w:top w:val="outset" w:sz="6" w:space="0" w:color="414142"/>
              <w:left w:val="outset" w:sz="6" w:space="0" w:color="414142"/>
              <w:bottom w:val="outset" w:sz="6" w:space="0" w:color="414142"/>
              <w:right w:val="outset" w:sz="6" w:space="0" w:color="414142"/>
            </w:tcBorders>
          </w:tcPr>
          <w:p w14:paraId="04D3A435" w14:textId="20EAB73A" w:rsidR="00015328" w:rsidRPr="00FB2362" w:rsidRDefault="00015328" w:rsidP="00947EE9">
            <w:pPr>
              <w:tabs>
                <w:tab w:val="left" w:pos="993"/>
              </w:tabs>
              <w:jc w:val="both"/>
              <w:rPr>
                <w:rFonts w:cs="Times New Roman"/>
                <w:sz w:val="20"/>
                <w:szCs w:val="20"/>
              </w:rPr>
            </w:pPr>
            <w:r w:rsidRPr="00FB2362">
              <w:rPr>
                <w:rFonts w:cs="Times New Roman"/>
                <w:sz w:val="20"/>
                <w:szCs w:val="20"/>
              </w:rPr>
              <w:t>Tieslietu ministrija</w:t>
            </w:r>
          </w:p>
          <w:p w14:paraId="44A9A47F" w14:textId="183D5ADE" w:rsidR="00015328" w:rsidRPr="00FB2362" w:rsidRDefault="00015328" w:rsidP="00947EE9">
            <w:pPr>
              <w:tabs>
                <w:tab w:val="left" w:pos="993"/>
              </w:tabs>
              <w:jc w:val="both"/>
              <w:rPr>
                <w:rFonts w:cs="Times New Roman"/>
                <w:sz w:val="20"/>
                <w:szCs w:val="20"/>
              </w:rPr>
            </w:pPr>
            <w:r w:rsidRPr="00FB2362">
              <w:rPr>
                <w:rFonts w:cs="Times New Roman"/>
                <w:sz w:val="20"/>
                <w:szCs w:val="20"/>
              </w:rPr>
              <w:t>10.</w:t>
            </w:r>
            <w:r w:rsidRPr="00FB2362">
              <w:rPr>
                <w:rFonts w:cs="Times New Roman"/>
                <w:sz w:val="20"/>
                <w:szCs w:val="20"/>
              </w:rPr>
              <w:tab/>
              <w:t>Noteikumu projekta 20. punkts paredz, ka pārskats ir nepārprotami identificējams, un tajā esošā informācija neatšķiras no tādas pašas informācijas citos pārskatos. Minēto informāciju norāda skaidri un, ja nepieciešams, atkārto, lai nodrošinātu tās pareizu izpratni.</w:t>
            </w:r>
          </w:p>
          <w:p w14:paraId="5CDDA0E9" w14:textId="3B186F15" w:rsidR="00015328" w:rsidRPr="00FB2362" w:rsidRDefault="00015328" w:rsidP="00947EE9">
            <w:pPr>
              <w:pStyle w:val="ListParagraph"/>
              <w:tabs>
                <w:tab w:val="left" w:pos="993"/>
              </w:tabs>
              <w:ind w:left="0" w:firstLine="379"/>
              <w:jc w:val="both"/>
              <w:rPr>
                <w:sz w:val="20"/>
                <w:szCs w:val="20"/>
              </w:rPr>
            </w:pPr>
            <w:r w:rsidRPr="00FB2362">
              <w:rPr>
                <w:sz w:val="20"/>
                <w:szCs w:val="20"/>
              </w:rPr>
              <w:t>Lūdzam izvērtēt minētā regulējuma nepieciešamību, jo atbilstoši MK noteikumu Nr. 108 3.1. apakšpunktam normatīvā akta projektā neietver normas, kas ir deklaratīvas.</w:t>
            </w:r>
          </w:p>
        </w:tc>
        <w:tc>
          <w:tcPr>
            <w:tcW w:w="893" w:type="pct"/>
            <w:tcBorders>
              <w:top w:val="outset" w:sz="6" w:space="0" w:color="414142"/>
              <w:left w:val="outset" w:sz="6" w:space="0" w:color="414142"/>
              <w:bottom w:val="outset" w:sz="6" w:space="0" w:color="414142"/>
              <w:right w:val="outset" w:sz="6" w:space="0" w:color="414142"/>
            </w:tcBorders>
          </w:tcPr>
          <w:p w14:paraId="17952CBC" w14:textId="77777777" w:rsidR="00015328" w:rsidRDefault="00015328" w:rsidP="00947EE9">
            <w:pPr>
              <w:jc w:val="both"/>
              <w:rPr>
                <w:rFonts w:eastAsia="Times New Roman" w:cs="Times New Roman"/>
                <w:b/>
                <w:sz w:val="20"/>
                <w:szCs w:val="20"/>
                <w:lang w:eastAsia="lv-LV"/>
              </w:rPr>
            </w:pPr>
            <w:r w:rsidRPr="00935821">
              <w:rPr>
                <w:rFonts w:eastAsia="Times New Roman" w:cs="Times New Roman"/>
                <w:b/>
                <w:sz w:val="20"/>
                <w:szCs w:val="20"/>
                <w:lang w:eastAsia="lv-LV"/>
              </w:rPr>
              <w:t>Ņemts vērā</w:t>
            </w:r>
          </w:p>
          <w:p w14:paraId="3D72E10A" w14:textId="117432A1" w:rsidR="00015328" w:rsidRPr="00707708" w:rsidRDefault="00015328" w:rsidP="00947EE9">
            <w:pPr>
              <w:autoSpaceDE w:val="0"/>
              <w:autoSpaceDN w:val="0"/>
              <w:adjustRightInd w:val="0"/>
              <w:jc w:val="both"/>
              <w:rPr>
                <w:sz w:val="20"/>
                <w:szCs w:val="20"/>
              </w:rPr>
            </w:pPr>
            <w:r w:rsidRPr="00707708">
              <w:rPr>
                <w:rFonts w:eastAsia="Times New Roman" w:cs="Times New Roman"/>
                <w:sz w:val="20"/>
                <w:szCs w:val="20"/>
                <w:lang w:eastAsia="lv-LV"/>
              </w:rPr>
              <w:t>Izslēgt</w:t>
            </w:r>
            <w:r>
              <w:rPr>
                <w:rFonts w:eastAsia="Times New Roman" w:cs="Times New Roman"/>
                <w:sz w:val="20"/>
                <w:szCs w:val="20"/>
                <w:lang w:eastAsia="lv-LV"/>
              </w:rPr>
              <w:t>s 20.punkts</w:t>
            </w:r>
          </w:p>
        </w:tc>
        <w:tc>
          <w:tcPr>
            <w:tcW w:w="1060" w:type="pct"/>
            <w:tcBorders>
              <w:top w:val="outset" w:sz="6" w:space="0" w:color="414142"/>
              <w:left w:val="outset" w:sz="6" w:space="0" w:color="414142"/>
              <w:bottom w:val="outset" w:sz="6" w:space="0" w:color="414142"/>
              <w:right w:val="outset" w:sz="6" w:space="0" w:color="414142"/>
            </w:tcBorders>
          </w:tcPr>
          <w:p w14:paraId="7B3000AA" w14:textId="7408FF2D" w:rsidR="00015328" w:rsidRPr="00FB2362" w:rsidRDefault="00015328" w:rsidP="00947EE9">
            <w:pPr>
              <w:jc w:val="both"/>
              <w:rPr>
                <w:sz w:val="20"/>
                <w:szCs w:val="20"/>
              </w:rPr>
            </w:pPr>
            <w:r>
              <w:rPr>
                <w:sz w:val="20"/>
                <w:szCs w:val="20"/>
              </w:rPr>
              <w:t>x</w:t>
            </w:r>
          </w:p>
        </w:tc>
      </w:tr>
      <w:tr w:rsidR="00015328" w:rsidRPr="005B6DEE" w14:paraId="6ECC3EED"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6E08E6F0" w14:textId="11AD102F" w:rsidR="00015328" w:rsidRDefault="00015328" w:rsidP="008835AB">
            <w:pPr>
              <w:jc w:val="center"/>
              <w:rPr>
                <w:rFonts w:eastAsia="Times New Roman" w:cs="Times New Roman"/>
                <w:szCs w:val="24"/>
                <w:lang w:eastAsia="lv-LV"/>
              </w:rPr>
            </w:pPr>
            <w:r>
              <w:rPr>
                <w:rFonts w:eastAsia="Times New Roman" w:cs="Times New Roman"/>
                <w:sz w:val="20"/>
                <w:szCs w:val="24"/>
                <w:lang w:eastAsia="lv-LV"/>
              </w:rPr>
              <w:t>1</w:t>
            </w:r>
            <w:r w:rsidR="008835AB">
              <w:rPr>
                <w:rFonts w:eastAsia="Times New Roman" w:cs="Times New Roman"/>
                <w:sz w:val="20"/>
                <w:szCs w:val="24"/>
                <w:lang w:eastAsia="lv-LV"/>
              </w:rPr>
              <w:t>6</w:t>
            </w:r>
            <w:r w:rsidRPr="007F3F01">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66907A4C" w14:textId="3F72EA4A" w:rsidR="00015328" w:rsidRPr="008A35C5" w:rsidRDefault="00015328" w:rsidP="00947EE9">
            <w:pPr>
              <w:ind w:right="63"/>
              <w:jc w:val="both"/>
              <w:rPr>
                <w:rFonts w:eastAsia="Times New Roman" w:cs="Times New Roman"/>
                <w:sz w:val="20"/>
                <w:szCs w:val="20"/>
                <w:lang w:eastAsia="lv-LV"/>
              </w:rPr>
            </w:pPr>
            <w:r w:rsidRPr="008A35C5">
              <w:rPr>
                <w:rFonts w:eastAsia="Times New Roman" w:cs="Times New Roman"/>
                <w:sz w:val="20"/>
                <w:szCs w:val="20"/>
                <w:lang w:eastAsia="lv-LV"/>
              </w:rPr>
              <w:t>22.</w:t>
            </w:r>
            <w:r w:rsidRPr="008A35C5">
              <w:rPr>
                <w:rFonts w:eastAsia="Times New Roman" w:cs="Times New Roman"/>
                <w:sz w:val="20"/>
                <w:szCs w:val="20"/>
                <w:lang w:eastAsia="lv-LV"/>
              </w:rPr>
              <w:tab/>
              <w:t>Finanšu pārskata sagatavošanā piemēro vienotus grāmatvedības pamatprincipus un normatīvajā aktā par budžeta iestāžu gada pārskatiem un vadlīnijās noteiktos finanšu pārskatu sagatavošanas principus, kas piemēroti šajā pārskatā un šo noteikumu 14. punktā minēto gada pārskatu sagatavošanā.</w:t>
            </w:r>
          </w:p>
        </w:tc>
        <w:tc>
          <w:tcPr>
            <w:tcW w:w="1731" w:type="pct"/>
            <w:tcBorders>
              <w:top w:val="outset" w:sz="6" w:space="0" w:color="414142"/>
              <w:left w:val="outset" w:sz="6" w:space="0" w:color="414142"/>
              <w:bottom w:val="outset" w:sz="6" w:space="0" w:color="414142"/>
              <w:right w:val="outset" w:sz="6" w:space="0" w:color="414142"/>
            </w:tcBorders>
          </w:tcPr>
          <w:p w14:paraId="3B27B466" w14:textId="77777777" w:rsidR="00015328" w:rsidRPr="008A35C5" w:rsidRDefault="00015328" w:rsidP="00947EE9">
            <w:pPr>
              <w:tabs>
                <w:tab w:val="left" w:pos="993"/>
              </w:tabs>
              <w:jc w:val="both"/>
              <w:rPr>
                <w:rFonts w:cs="Times New Roman"/>
                <w:sz w:val="20"/>
                <w:szCs w:val="20"/>
              </w:rPr>
            </w:pPr>
            <w:r w:rsidRPr="008A35C5">
              <w:rPr>
                <w:rFonts w:cs="Times New Roman"/>
                <w:sz w:val="20"/>
                <w:szCs w:val="20"/>
              </w:rPr>
              <w:t>Tieslietu ministrija</w:t>
            </w:r>
          </w:p>
          <w:p w14:paraId="7C36A569" w14:textId="307CF23A" w:rsidR="00015328" w:rsidRPr="008A35C5" w:rsidRDefault="00015328" w:rsidP="00947EE9">
            <w:pPr>
              <w:tabs>
                <w:tab w:val="left" w:pos="993"/>
              </w:tabs>
              <w:jc w:val="both"/>
              <w:rPr>
                <w:rFonts w:cs="Times New Roman"/>
                <w:sz w:val="20"/>
                <w:szCs w:val="20"/>
              </w:rPr>
            </w:pPr>
            <w:r w:rsidRPr="008A35C5">
              <w:rPr>
                <w:rFonts w:cs="Times New Roman"/>
                <w:sz w:val="20"/>
                <w:szCs w:val="20"/>
              </w:rPr>
              <w:t>11.</w:t>
            </w:r>
            <w:r>
              <w:rPr>
                <w:rFonts w:cs="Times New Roman"/>
                <w:sz w:val="20"/>
                <w:szCs w:val="20"/>
              </w:rPr>
              <w:t xml:space="preserve"> </w:t>
            </w:r>
            <w:r w:rsidRPr="008A35C5">
              <w:rPr>
                <w:rFonts w:cs="Times New Roman"/>
                <w:sz w:val="20"/>
                <w:szCs w:val="20"/>
              </w:rPr>
              <w:t>Noteikumu projekta 22. punkts paredz, ka finanšu pārskata sagatavošanā piemēro vienotus grāmatvedības pamatprincipus un normatīvajā aktā par budžeta iestāžu gada pārskatiem un vadlīnijās noteiktos finanšu pārskatu sagatavošanas principus, kas piemēroti šajā pārskatā un šo noteikumu 14. punktā minēto gada pārskatu sagatavošanā.</w:t>
            </w:r>
          </w:p>
          <w:p w14:paraId="4FB0B237" w14:textId="5774A567" w:rsidR="00015328" w:rsidRPr="008A35C5" w:rsidRDefault="00015328" w:rsidP="00947EE9">
            <w:pPr>
              <w:tabs>
                <w:tab w:val="left" w:pos="0"/>
                <w:tab w:val="left" w:pos="238"/>
              </w:tabs>
              <w:jc w:val="both"/>
              <w:rPr>
                <w:rFonts w:cs="Times New Roman"/>
                <w:sz w:val="20"/>
                <w:szCs w:val="20"/>
              </w:rPr>
            </w:pPr>
            <w:r w:rsidRPr="008A35C5">
              <w:rPr>
                <w:rFonts w:cs="Times New Roman"/>
                <w:sz w:val="20"/>
                <w:szCs w:val="20"/>
              </w:rPr>
              <w:tab/>
              <w:t>Lūdzam izvērtēt noteikumu projekta 22. punkta nepieciešamību, jo pārskata sagatavošanā piemērojamos principus (tai skaitā šo noteikumu 3.2. un 3.3. apakšpunktā noteikto pārskatu sagatavošanā) jau paredz noteikumu projekta 10. punkts.</w:t>
            </w:r>
          </w:p>
        </w:tc>
        <w:tc>
          <w:tcPr>
            <w:tcW w:w="893" w:type="pct"/>
            <w:tcBorders>
              <w:top w:val="outset" w:sz="6" w:space="0" w:color="414142"/>
              <w:left w:val="outset" w:sz="6" w:space="0" w:color="414142"/>
              <w:bottom w:val="outset" w:sz="6" w:space="0" w:color="414142"/>
              <w:right w:val="outset" w:sz="6" w:space="0" w:color="414142"/>
            </w:tcBorders>
          </w:tcPr>
          <w:p w14:paraId="74DEC149" w14:textId="77777777" w:rsidR="00015328" w:rsidRDefault="00015328" w:rsidP="00947EE9">
            <w:pPr>
              <w:jc w:val="both"/>
              <w:rPr>
                <w:rFonts w:eastAsia="Times New Roman" w:cs="Times New Roman"/>
                <w:b/>
                <w:sz w:val="20"/>
                <w:szCs w:val="20"/>
                <w:lang w:eastAsia="lv-LV"/>
              </w:rPr>
            </w:pPr>
            <w:r w:rsidRPr="00935821">
              <w:rPr>
                <w:rFonts w:eastAsia="Times New Roman" w:cs="Times New Roman"/>
                <w:b/>
                <w:sz w:val="20"/>
                <w:szCs w:val="20"/>
                <w:lang w:eastAsia="lv-LV"/>
              </w:rPr>
              <w:t>Ņemts vērā</w:t>
            </w:r>
          </w:p>
          <w:p w14:paraId="493EBBE4" w14:textId="77777777" w:rsidR="00015328" w:rsidRDefault="00015328" w:rsidP="00947EE9">
            <w:pPr>
              <w:autoSpaceDE w:val="0"/>
              <w:autoSpaceDN w:val="0"/>
              <w:adjustRightInd w:val="0"/>
              <w:jc w:val="both"/>
              <w:rPr>
                <w:sz w:val="20"/>
                <w:szCs w:val="20"/>
              </w:rPr>
            </w:pPr>
            <w:r w:rsidRPr="00E03FDB">
              <w:rPr>
                <w:sz w:val="20"/>
                <w:szCs w:val="20"/>
              </w:rPr>
              <w:t>Izslēgt</w:t>
            </w:r>
            <w:r>
              <w:rPr>
                <w:sz w:val="20"/>
                <w:szCs w:val="20"/>
              </w:rPr>
              <w:t>s 22.punkts.</w:t>
            </w:r>
          </w:p>
          <w:p w14:paraId="48B1C471" w14:textId="7F98A0E6" w:rsidR="00015328" w:rsidRPr="007C69B8" w:rsidRDefault="00015328" w:rsidP="00947EE9">
            <w:pPr>
              <w:autoSpaceDE w:val="0"/>
              <w:autoSpaceDN w:val="0"/>
              <w:adjustRightInd w:val="0"/>
              <w:jc w:val="both"/>
              <w:rPr>
                <w:sz w:val="20"/>
                <w:szCs w:val="20"/>
              </w:rPr>
            </w:pPr>
            <w:r>
              <w:rPr>
                <w:sz w:val="20"/>
                <w:szCs w:val="20"/>
              </w:rPr>
              <w:t xml:space="preserve">Papildināta 10.punkta redakcija tajā daļēji iekļaujot 22.punkta redakciju. </w:t>
            </w:r>
          </w:p>
        </w:tc>
        <w:tc>
          <w:tcPr>
            <w:tcW w:w="1060" w:type="pct"/>
            <w:tcBorders>
              <w:top w:val="outset" w:sz="6" w:space="0" w:color="414142"/>
              <w:left w:val="outset" w:sz="6" w:space="0" w:color="414142"/>
              <w:bottom w:val="outset" w:sz="6" w:space="0" w:color="414142"/>
              <w:right w:val="outset" w:sz="6" w:space="0" w:color="414142"/>
            </w:tcBorders>
          </w:tcPr>
          <w:p w14:paraId="66CA026F" w14:textId="1214C96E" w:rsidR="00015328" w:rsidRPr="00B773E5" w:rsidRDefault="00015328" w:rsidP="00947EE9">
            <w:pPr>
              <w:tabs>
                <w:tab w:val="left" w:pos="1134"/>
              </w:tabs>
              <w:contextualSpacing/>
              <w:jc w:val="both"/>
              <w:rPr>
                <w:rFonts w:cs="Times New Roman"/>
                <w:sz w:val="20"/>
                <w:szCs w:val="20"/>
              </w:rPr>
            </w:pPr>
            <w:r w:rsidRPr="00B773E5">
              <w:rPr>
                <w:rFonts w:cs="Times New Roman"/>
                <w:sz w:val="20"/>
                <w:szCs w:val="20"/>
              </w:rPr>
              <w:t>7.</w:t>
            </w:r>
            <w:r w:rsidRPr="00B773E5">
              <w:rPr>
                <w:rFonts w:cs="Times New Roman"/>
                <w:sz w:val="20"/>
                <w:szCs w:val="20"/>
              </w:rPr>
              <w:tab/>
              <w:t>Pārskatu sagatavo atbilstoši normatīvajos aktos budžeta, grāmatvedības, t.sk. budžeta iestāžu grāmatvedības uzskaites un budžeta iestāžu gada pārskatu sagatavošanas, jomā noteiktajiem pamatprincipiem un ievērojot budžeta iestāžu gada pārskata sagatavošanas vadlīnijas (turpmāk – vadlīnijas),  kas piemērotas arī šo noteikumu 11. punktā minēto gada pārskatu sagatavošanā.</w:t>
            </w:r>
          </w:p>
        </w:tc>
      </w:tr>
      <w:tr w:rsidR="00015328" w:rsidRPr="005B6DEE" w14:paraId="62680963"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3217FF5A" w14:textId="37529A51" w:rsidR="00015328" w:rsidRDefault="00015328" w:rsidP="008835AB">
            <w:pPr>
              <w:jc w:val="center"/>
              <w:rPr>
                <w:rFonts w:eastAsia="Times New Roman" w:cs="Times New Roman"/>
                <w:szCs w:val="24"/>
                <w:lang w:eastAsia="lv-LV"/>
              </w:rPr>
            </w:pPr>
            <w:r>
              <w:rPr>
                <w:rFonts w:eastAsia="Times New Roman" w:cs="Times New Roman"/>
                <w:sz w:val="20"/>
                <w:szCs w:val="24"/>
                <w:lang w:eastAsia="lv-LV"/>
              </w:rPr>
              <w:t>1</w:t>
            </w:r>
            <w:r w:rsidR="008835AB">
              <w:rPr>
                <w:rFonts w:eastAsia="Times New Roman" w:cs="Times New Roman"/>
                <w:sz w:val="20"/>
                <w:szCs w:val="24"/>
                <w:lang w:eastAsia="lv-LV"/>
              </w:rPr>
              <w:t>7</w:t>
            </w:r>
            <w:r w:rsidRPr="007F3F01">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7A3C2785" w14:textId="77777777" w:rsidR="00015328" w:rsidRDefault="00015328" w:rsidP="00947EE9">
            <w:pPr>
              <w:ind w:right="63"/>
              <w:jc w:val="both"/>
              <w:rPr>
                <w:rFonts w:eastAsia="Times New Roman" w:cs="Times New Roman"/>
                <w:sz w:val="20"/>
                <w:szCs w:val="20"/>
                <w:lang w:eastAsia="lv-LV"/>
              </w:rPr>
            </w:pPr>
            <w:r w:rsidRPr="003B7871">
              <w:rPr>
                <w:rFonts w:eastAsia="Times New Roman" w:cs="Times New Roman"/>
                <w:sz w:val="20"/>
                <w:szCs w:val="20"/>
                <w:lang w:eastAsia="lv-LV"/>
              </w:rPr>
              <w:t>24.</w:t>
            </w:r>
            <w:r w:rsidRPr="003B7871">
              <w:rPr>
                <w:rFonts w:eastAsia="Times New Roman" w:cs="Times New Roman"/>
                <w:sz w:val="20"/>
                <w:szCs w:val="20"/>
                <w:lang w:eastAsia="lv-LV"/>
              </w:rPr>
              <w:tab/>
              <w:t xml:space="preserve">Konsolidētajā finansiālās darbības pārskatā </w:t>
            </w:r>
            <w:r w:rsidRPr="00F15785">
              <w:rPr>
                <w:rFonts w:eastAsia="Times New Roman" w:cs="Times New Roman"/>
                <w:sz w:val="20"/>
                <w:szCs w:val="20"/>
                <w:lang w:eastAsia="lv-LV"/>
              </w:rPr>
              <w:t>(atbilstoši šo noteikumu 2.6. apakšpunktā noteiktajam)</w:t>
            </w:r>
            <w:r w:rsidRPr="003B7871">
              <w:rPr>
                <w:rFonts w:eastAsia="Times New Roman" w:cs="Times New Roman"/>
                <w:sz w:val="20"/>
                <w:szCs w:val="20"/>
                <w:lang w:eastAsia="lv-LV"/>
              </w:rPr>
              <w:t xml:space="preserve"> un konsolidētajā naudas plūsmas pārskatā </w:t>
            </w:r>
            <w:r w:rsidRPr="00F15785">
              <w:rPr>
                <w:rFonts w:eastAsia="Times New Roman" w:cs="Times New Roman"/>
                <w:sz w:val="20"/>
                <w:szCs w:val="20"/>
                <w:lang w:eastAsia="lv-LV"/>
              </w:rPr>
              <w:t xml:space="preserve">(atbilstoši šo noteikumu 2.8. apakšpunktā noteiktajam) </w:t>
            </w:r>
            <w:r w:rsidRPr="003B7871">
              <w:rPr>
                <w:rFonts w:eastAsia="Times New Roman" w:cs="Times New Roman"/>
                <w:sz w:val="20"/>
                <w:szCs w:val="20"/>
                <w:lang w:eastAsia="lv-LV"/>
              </w:rPr>
              <w:t>norāda pārskata rādītāju (postenis vai darījums) datus par pārskata periodu un salīdzināmo informāciju</w:t>
            </w:r>
            <w:r>
              <w:rPr>
                <w:rFonts w:eastAsia="Times New Roman" w:cs="Times New Roman"/>
                <w:sz w:val="20"/>
                <w:szCs w:val="20"/>
                <w:lang w:eastAsia="lv-LV"/>
              </w:rPr>
              <w:t>.</w:t>
            </w:r>
          </w:p>
          <w:p w14:paraId="5AEDD736" w14:textId="77777777" w:rsidR="00015328" w:rsidRPr="003B7871" w:rsidRDefault="00015328" w:rsidP="00947EE9">
            <w:pPr>
              <w:ind w:right="63"/>
              <w:jc w:val="both"/>
              <w:rPr>
                <w:rFonts w:eastAsia="Times New Roman" w:cs="Times New Roman"/>
                <w:sz w:val="20"/>
                <w:szCs w:val="20"/>
                <w:lang w:eastAsia="lv-LV"/>
              </w:rPr>
            </w:pPr>
            <w:r w:rsidRPr="003B7871">
              <w:rPr>
                <w:rFonts w:eastAsia="Times New Roman" w:cs="Times New Roman"/>
                <w:sz w:val="20"/>
                <w:szCs w:val="20"/>
                <w:lang w:eastAsia="lv-LV"/>
              </w:rPr>
              <w:t>5.</w:t>
            </w:r>
            <w:r w:rsidRPr="003B7871">
              <w:rPr>
                <w:rFonts w:eastAsia="Times New Roman" w:cs="Times New Roman"/>
                <w:sz w:val="20"/>
                <w:szCs w:val="20"/>
                <w:lang w:eastAsia="lv-LV"/>
              </w:rPr>
              <w:tab/>
              <w:t>Finanšu pārskatā saskaņā ar šiem noteikumiem iekļauj:</w:t>
            </w:r>
          </w:p>
          <w:p w14:paraId="5DABEBE5" w14:textId="2CAD7B14" w:rsidR="00015328" w:rsidRPr="000E1FF1" w:rsidRDefault="00015328" w:rsidP="00947EE9">
            <w:pPr>
              <w:ind w:right="63"/>
              <w:jc w:val="both"/>
              <w:rPr>
                <w:rFonts w:eastAsia="Times New Roman" w:cs="Times New Roman"/>
                <w:sz w:val="20"/>
                <w:szCs w:val="20"/>
                <w:lang w:eastAsia="lv-LV"/>
              </w:rPr>
            </w:pPr>
            <w:r w:rsidRPr="003B7871">
              <w:rPr>
                <w:rFonts w:eastAsia="Times New Roman" w:cs="Times New Roman"/>
                <w:sz w:val="20"/>
                <w:szCs w:val="20"/>
                <w:lang w:eastAsia="lv-LV"/>
              </w:rPr>
              <w:t>5.1.1.</w:t>
            </w:r>
            <w:r w:rsidRPr="003B7871">
              <w:rPr>
                <w:rFonts w:eastAsia="Times New Roman" w:cs="Times New Roman"/>
                <w:sz w:val="20"/>
                <w:szCs w:val="20"/>
                <w:lang w:eastAsia="lv-LV"/>
              </w:rPr>
              <w:tab/>
              <w:t xml:space="preserve">konsolidēto </w:t>
            </w:r>
            <w:r w:rsidRPr="00F15785">
              <w:rPr>
                <w:rFonts w:eastAsia="Times New Roman" w:cs="Times New Roman"/>
                <w:sz w:val="20"/>
                <w:szCs w:val="20"/>
                <w:lang w:eastAsia="lv-LV"/>
              </w:rPr>
              <w:t>pārskatu par darbības finansiālajiem rezultātiem</w:t>
            </w:r>
            <w:r w:rsidRPr="003B7871">
              <w:rPr>
                <w:rFonts w:eastAsia="Times New Roman" w:cs="Times New Roman"/>
                <w:sz w:val="20"/>
                <w:szCs w:val="20"/>
                <w:lang w:eastAsia="lv-LV"/>
              </w:rPr>
              <w:t>;</w:t>
            </w:r>
          </w:p>
        </w:tc>
        <w:tc>
          <w:tcPr>
            <w:tcW w:w="1731" w:type="pct"/>
            <w:tcBorders>
              <w:top w:val="outset" w:sz="6" w:space="0" w:color="414142"/>
              <w:left w:val="outset" w:sz="6" w:space="0" w:color="414142"/>
              <w:bottom w:val="outset" w:sz="6" w:space="0" w:color="414142"/>
              <w:right w:val="outset" w:sz="6" w:space="0" w:color="414142"/>
            </w:tcBorders>
          </w:tcPr>
          <w:p w14:paraId="1A78E46B" w14:textId="77777777" w:rsidR="00015328" w:rsidRPr="000E1FF1" w:rsidRDefault="00015328" w:rsidP="00947EE9">
            <w:pPr>
              <w:tabs>
                <w:tab w:val="left" w:pos="993"/>
              </w:tabs>
              <w:jc w:val="both"/>
              <w:rPr>
                <w:rFonts w:cs="Times New Roman"/>
                <w:sz w:val="20"/>
                <w:szCs w:val="20"/>
              </w:rPr>
            </w:pPr>
            <w:r w:rsidRPr="000E1FF1">
              <w:rPr>
                <w:rFonts w:cs="Times New Roman"/>
                <w:sz w:val="20"/>
                <w:szCs w:val="20"/>
              </w:rPr>
              <w:t>Tieslietu ministrija</w:t>
            </w:r>
          </w:p>
          <w:p w14:paraId="42A54CE8" w14:textId="19E6B667" w:rsidR="00015328" w:rsidRPr="000E1FF1" w:rsidRDefault="00015328" w:rsidP="00947EE9">
            <w:pPr>
              <w:tabs>
                <w:tab w:val="left" w:pos="993"/>
              </w:tabs>
              <w:jc w:val="both"/>
              <w:rPr>
                <w:rFonts w:cs="Times New Roman"/>
                <w:sz w:val="20"/>
                <w:szCs w:val="20"/>
              </w:rPr>
            </w:pPr>
            <w:r w:rsidRPr="000E1FF1">
              <w:rPr>
                <w:rFonts w:cs="Times New Roman"/>
                <w:sz w:val="20"/>
                <w:szCs w:val="20"/>
              </w:rPr>
              <w:t>12.</w:t>
            </w:r>
            <w:r w:rsidRPr="000E1FF1">
              <w:rPr>
                <w:rFonts w:cs="Times New Roman"/>
                <w:sz w:val="20"/>
                <w:szCs w:val="20"/>
              </w:rPr>
              <w:tab/>
              <w:t>Noteikumu projekta 24. punkts noteic, ka konsolidētajā finansiālās darbības pārskatā (atbilstoši šo noteikumu 2.6. apakšpunktā noteiktajam) un konsolidētajā naudas plūsmas pārskatā (atbilstoši šo noteikumu 2.8. apakšpunktā noteiktajam) norāda pārskata rādītāju (postenis vai darījums) datus par pārskata periodu un salīdzināmo informāciju.</w:t>
            </w:r>
          </w:p>
          <w:p w14:paraId="5A842C2F" w14:textId="77777777" w:rsidR="00015328" w:rsidRPr="000E1FF1" w:rsidRDefault="00015328" w:rsidP="00947EE9">
            <w:pPr>
              <w:tabs>
                <w:tab w:val="left" w:pos="993"/>
              </w:tabs>
              <w:ind w:firstLine="379"/>
              <w:jc w:val="both"/>
              <w:rPr>
                <w:rFonts w:cs="Times New Roman"/>
                <w:sz w:val="20"/>
                <w:szCs w:val="20"/>
              </w:rPr>
            </w:pPr>
            <w:r w:rsidRPr="000E1FF1">
              <w:rPr>
                <w:rFonts w:cs="Times New Roman"/>
                <w:sz w:val="20"/>
                <w:szCs w:val="20"/>
              </w:rPr>
              <w:t xml:space="preserve">Vēršam uzmanību, ka noteikumu projekta 5. punkts neparedz, ka finanšu pārskatā iekļauj </w:t>
            </w:r>
            <w:r w:rsidRPr="00451B5E">
              <w:rPr>
                <w:rFonts w:cs="Times New Roman"/>
                <w:b/>
                <w:sz w:val="20"/>
                <w:szCs w:val="20"/>
              </w:rPr>
              <w:t>konsolidēto finansiālās darbības pārskatu</w:t>
            </w:r>
            <w:r w:rsidRPr="000E1FF1">
              <w:rPr>
                <w:rFonts w:cs="Times New Roman"/>
                <w:sz w:val="20"/>
                <w:szCs w:val="20"/>
              </w:rPr>
              <w:t>. Līdz ar to lūdzam precizēt noteikumu projektu vai papildināt anotāciju ar skaidrojumu šāda regulējuma nepieciešamībai.</w:t>
            </w:r>
          </w:p>
          <w:p w14:paraId="2785A5FB" w14:textId="1B9FE0FE" w:rsidR="00015328" w:rsidRPr="000E1FF1" w:rsidRDefault="00015328" w:rsidP="00947EE9">
            <w:pPr>
              <w:tabs>
                <w:tab w:val="left" w:pos="993"/>
              </w:tabs>
              <w:jc w:val="both"/>
              <w:rPr>
                <w:rFonts w:cs="Times New Roman"/>
                <w:sz w:val="20"/>
                <w:szCs w:val="20"/>
              </w:rPr>
            </w:pPr>
            <w:r w:rsidRPr="000E1FF1">
              <w:rPr>
                <w:rFonts w:cs="Times New Roman"/>
                <w:sz w:val="20"/>
                <w:szCs w:val="20"/>
              </w:rPr>
              <w:tab/>
              <w:t>Vienlaikus lūdzam svītrot atsauces uz 2.6. un 2.8. apakšpunktu, jo tajos ir sniegts attiecīgu terminu skaidrojumus, nevis kādas veicamās darbības.</w:t>
            </w:r>
          </w:p>
        </w:tc>
        <w:tc>
          <w:tcPr>
            <w:tcW w:w="893" w:type="pct"/>
            <w:tcBorders>
              <w:top w:val="outset" w:sz="6" w:space="0" w:color="414142"/>
              <w:left w:val="outset" w:sz="6" w:space="0" w:color="414142"/>
              <w:bottom w:val="outset" w:sz="6" w:space="0" w:color="414142"/>
              <w:right w:val="outset" w:sz="6" w:space="0" w:color="414142"/>
            </w:tcBorders>
          </w:tcPr>
          <w:p w14:paraId="2F65367E" w14:textId="77777777" w:rsidR="00015328" w:rsidRDefault="00015328" w:rsidP="00947EE9">
            <w:pPr>
              <w:jc w:val="both"/>
              <w:rPr>
                <w:rFonts w:eastAsia="Times New Roman" w:cs="Times New Roman"/>
                <w:b/>
                <w:sz w:val="20"/>
                <w:szCs w:val="20"/>
                <w:lang w:eastAsia="lv-LV"/>
              </w:rPr>
            </w:pPr>
            <w:r w:rsidRPr="00935821">
              <w:rPr>
                <w:rFonts w:eastAsia="Times New Roman" w:cs="Times New Roman"/>
                <w:b/>
                <w:sz w:val="20"/>
                <w:szCs w:val="20"/>
                <w:lang w:eastAsia="lv-LV"/>
              </w:rPr>
              <w:t>Ņemts vērā</w:t>
            </w:r>
          </w:p>
          <w:p w14:paraId="4D3D5657" w14:textId="24DBBABF" w:rsidR="00015328" w:rsidRPr="00451B5E" w:rsidRDefault="00015328" w:rsidP="00947EE9">
            <w:pPr>
              <w:autoSpaceDE w:val="0"/>
              <w:autoSpaceDN w:val="0"/>
              <w:adjustRightInd w:val="0"/>
              <w:jc w:val="both"/>
              <w:rPr>
                <w:sz w:val="20"/>
                <w:szCs w:val="20"/>
              </w:rPr>
            </w:pPr>
            <w:r>
              <w:rPr>
                <w:sz w:val="20"/>
                <w:szCs w:val="20"/>
              </w:rPr>
              <w:t>Precizēts 5. un 24.punktā, saskaņojot vienotu terminu lietošanu.</w:t>
            </w:r>
          </w:p>
        </w:tc>
        <w:tc>
          <w:tcPr>
            <w:tcW w:w="1060" w:type="pct"/>
            <w:tcBorders>
              <w:top w:val="outset" w:sz="6" w:space="0" w:color="414142"/>
              <w:left w:val="outset" w:sz="6" w:space="0" w:color="414142"/>
              <w:bottom w:val="outset" w:sz="6" w:space="0" w:color="414142"/>
              <w:right w:val="outset" w:sz="6" w:space="0" w:color="414142"/>
            </w:tcBorders>
          </w:tcPr>
          <w:p w14:paraId="4C21B18A" w14:textId="0360CCD5" w:rsidR="00015328" w:rsidRPr="00B773E5" w:rsidRDefault="00015328" w:rsidP="00947EE9">
            <w:pPr>
              <w:jc w:val="both"/>
              <w:rPr>
                <w:sz w:val="20"/>
                <w:szCs w:val="20"/>
              </w:rPr>
            </w:pPr>
            <w:r w:rsidRPr="00B773E5">
              <w:rPr>
                <w:sz w:val="20"/>
                <w:szCs w:val="20"/>
              </w:rPr>
              <w:t>18. Konsolidētajā pārskatā par darbības finansiālajiem rezultātiem un konsolidētajā naudas plūsmas pārskatā norāda pārskata rādītāju (postenis vai darījums) datus par pārskata periodu un salīdzināmo informāciju par iepriekšējo pārskata periodu.</w:t>
            </w:r>
          </w:p>
          <w:p w14:paraId="00615347" w14:textId="77777777" w:rsidR="00015328" w:rsidRPr="00617305" w:rsidRDefault="00015328" w:rsidP="00947EE9">
            <w:pPr>
              <w:pStyle w:val="ListParagraph"/>
              <w:tabs>
                <w:tab w:val="left" w:pos="0"/>
              </w:tabs>
              <w:ind w:left="0" w:firstLine="709"/>
              <w:jc w:val="both"/>
              <w:rPr>
                <w:sz w:val="20"/>
                <w:szCs w:val="20"/>
              </w:rPr>
            </w:pPr>
          </w:p>
          <w:p w14:paraId="6DE9981B" w14:textId="54DB9FAE" w:rsidR="00015328" w:rsidRPr="00617305" w:rsidRDefault="00015328" w:rsidP="00947EE9">
            <w:pPr>
              <w:jc w:val="both"/>
              <w:rPr>
                <w:sz w:val="20"/>
                <w:szCs w:val="20"/>
              </w:rPr>
            </w:pPr>
            <w:r>
              <w:rPr>
                <w:sz w:val="20"/>
                <w:szCs w:val="20"/>
              </w:rPr>
              <w:t>5.</w:t>
            </w:r>
            <w:r w:rsidRPr="00617305">
              <w:rPr>
                <w:sz w:val="20"/>
                <w:szCs w:val="20"/>
              </w:rPr>
              <w:t>Finanšu pārskatā iekļauj:</w:t>
            </w:r>
          </w:p>
          <w:p w14:paraId="2208B471" w14:textId="7173EBE3" w:rsidR="00015328" w:rsidRPr="00A92789" w:rsidRDefault="00015328" w:rsidP="00947EE9">
            <w:pPr>
              <w:tabs>
                <w:tab w:val="left" w:pos="993"/>
              </w:tabs>
              <w:jc w:val="both"/>
              <w:rPr>
                <w:sz w:val="20"/>
                <w:szCs w:val="20"/>
              </w:rPr>
            </w:pPr>
            <w:r>
              <w:rPr>
                <w:sz w:val="20"/>
                <w:szCs w:val="20"/>
              </w:rPr>
              <w:t xml:space="preserve">5.1.1. </w:t>
            </w:r>
            <w:r w:rsidRPr="00A92789">
              <w:rPr>
                <w:b/>
                <w:sz w:val="20"/>
                <w:szCs w:val="20"/>
              </w:rPr>
              <w:t xml:space="preserve">konsolidēto </w:t>
            </w:r>
            <w:r w:rsidRPr="00A92789" w:rsidDel="00550C21">
              <w:rPr>
                <w:b/>
                <w:sz w:val="20"/>
                <w:szCs w:val="20"/>
              </w:rPr>
              <w:t>pārskatu par darbības finansiālajiem rezultātiem</w:t>
            </w:r>
            <w:r w:rsidRPr="00A92789">
              <w:rPr>
                <w:sz w:val="20"/>
                <w:szCs w:val="20"/>
              </w:rPr>
              <w:t>;</w:t>
            </w:r>
          </w:p>
          <w:p w14:paraId="45261E5F" w14:textId="4F452CAE" w:rsidR="00015328" w:rsidRPr="005F2245" w:rsidRDefault="00015328" w:rsidP="00947EE9">
            <w:pPr>
              <w:pStyle w:val="ListParagraph"/>
              <w:tabs>
                <w:tab w:val="left" w:pos="1418"/>
              </w:tabs>
              <w:ind w:left="0"/>
              <w:jc w:val="both"/>
              <w:rPr>
                <w:sz w:val="20"/>
                <w:szCs w:val="20"/>
              </w:rPr>
            </w:pPr>
          </w:p>
        </w:tc>
      </w:tr>
      <w:tr w:rsidR="00015328" w:rsidRPr="005B6DEE" w14:paraId="666CBFF3"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5933A32A" w14:textId="76F6D496" w:rsidR="00015328" w:rsidRPr="00811D3B" w:rsidRDefault="00015328" w:rsidP="008835AB">
            <w:pPr>
              <w:jc w:val="center"/>
              <w:rPr>
                <w:rFonts w:eastAsia="Times New Roman" w:cs="Times New Roman"/>
                <w:sz w:val="20"/>
                <w:szCs w:val="20"/>
                <w:lang w:eastAsia="lv-LV"/>
              </w:rPr>
            </w:pPr>
            <w:r>
              <w:rPr>
                <w:rFonts w:eastAsia="Times New Roman" w:cs="Times New Roman"/>
                <w:sz w:val="20"/>
                <w:szCs w:val="20"/>
                <w:lang w:eastAsia="lv-LV"/>
              </w:rPr>
              <w:t>1</w:t>
            </w:r>
            <w:r w:rsidR="008835AB">
              <w:rPr>
                <w:rFonts w:eastAsia="Times New Roman" w:cs="Times New Roman"/>
                <w:sz w:val="20"/>
                <w:szCs w:val="20"/>
                <w:lang w:eastAsia="lv-LV"/>
              </w:rPr>
              <w:t>8</w:t>
            </w:r>
            <w:r>
              <w:rPr>
                <w:rFonts w:eastAsia="Times New Roman" w:cs="Times New Roman"/>
                <w:sz w:val="20"/>
                <w:szCs w:val="20"/>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2D0770C7" w14:textId="4EB600D3" w:rsidR="00015328" w:rsidRPr="00811D3B" w:rsidRDefault="00015328" w:rsidP="00947EE9">
            <w:pPr>
              <w:ind w:right="63"/>
              <w:jc w:val="both"/>
              <w:rPr>
                <w:rFonts w:eastAsia="Times New Roman" w:cs="Times New Roman"/>
                <w:sz w:val="20"/>
                <w:szCs w:val="20"/>
                <w:lang w:eastAsia="lv-LV"/>
              </w:rPr>
            </w:pPr>
            <w:r w:rsidRPr="00811D3B">
              <w:rPr>
                <w:rFonts w:eastAsia="Times New Roman" w:cs="Times New Roman"/>
                <w:sz w:val="20"/>
                <w:szCs w:val="20"/>
                <w:lang w:eastAsia="lv-LV"/>
              </w:rPr>
              <w:t>34.</w:t>
            </w:r>
            <w:r w:rsidRPr="00811D3B">
              <w:rPr>
                <w:rFonts w:eastAsia="Times New Roman" w:cs="Times New Roman"/>
                <w:sz w:val="20"/>
                <w:szCs w:val="20"/>
                <w:lang w:eastAsia="lv-LV"/>
              </w:rPr>
              <w:tab/>
              <w:t>Pārskatā par konsolidētā budžeta izpildi, kas noteikts šo noteikumu 6.punkta ievaddaļā, 6.2. un 6.3.apakšpunktā, norāda ieņēmumu, izdevumu un finansēšanas posteņu, atbilstoši normatīvajos aktos budžeta klasifikācijas jomā noteiktajām grupām:</w:t>
            </w:r>
          </w:p>
        </w:tc>
        <w:tc>
          <w:tcPr>
            <w:tcW w:w="1731" w:type="pct"/>
            <w:tcBorders>
              <w:top w:val="outset" w:sz="6" w:space="0" w:color="414142"/>
              <w:left w:val="outset" w:sz="6" w:space="0" w:color="414142"/>
              <w:bottom w:val="outset" w:sz="6" w:space="0" w:color="414142"/>
              <w:right w:val="outset" w:sz="6" w:space="0" w:color="414142"/>
            </w:tcBorders>
          </w:tcPr>
          <w:p w14:paraId="43ADD0EE" w14:textId="77777777" w:rsidR="00015328" w:rsidRPr="00811D3B" w:rsidRDefault="00015328" w:rsidP="00947EE9">
            <w:pPr>
              <w:tabs>
                <w:tab w:val="left" w:pos="993"/>
              </w:tabs>
              <w:jc w:val="both"/>
              <w:rPr>
                <w:rFonts w:cs="Times New Roman"/>
                <w:sz w:val="20"/>
                <w:szCs w:val="20"/>
              </w:rPr>
            </w:pPr>
            <w:r w:rsidRPr="00811D3B">
              <w:rPr>
                <w:rFonts w:cs="Times New Roman"/>
                <w:sz w:val="20"/>
                <w:szCs w:val="20"/>
              </w:rPr>
              <w:t>Tieslietu ministrija</w:t>
            </w:r>
          </w:p>
          <w:p w14:paraId="7F9BF78B" w14:textId="58B36C32" w:rsidR="00015328" w:rsidRPr="00811D3B" w:rsidRDefault="00015328" w:rsidP="00947EE9">
            <w:pPr>
              <w:tabs>
                <w:tab w:val="left" w:pos="993"/>
              </w:tabs>
              <w:jc w:val="both"/>
              <w:rPr>
                <w:rFonts w:cs="Times New Roman"/>
                <w:sz w:val="20"/>
                <w:szCs w:val="20"/>
              </w:rPr>
            </w:pPr>
            <w:r w:rsidRPr="00811D3B">
              <w:rPr>
                <w:rFonts w:cs="Times New Roman"/>
                <w:sz w:val="20"/>
                <w:szCs w:val="20"/>
              </w:rPr>
              <w:t>13.</w:t>
            </w:r>
            <w:r w:rsidRPr="00811D3B">
              <w:rPr>
                <w:rFonts w:cs="Times New Roman"/>
                <w:sz w:val="20"/>
                <w:szCs w:val="20"/>
              </w:rPr>
              <w:tab/>
              <w:t>Noteikumu projekta 34. punkts paredz, ka pārskatā par konsolidētā budžeta izpildi, kas noteikts šo noteikumu 6. punkta ievaddaļā, 6.2. un 6.3. apakšpunktā, norāda ieņēmumu, izdevumu un finansēšanas posteņu, atbilstoši normatīvajos aktos budžeta klasifikācijas jomā noteiktajām grupām.</w:t>
            </w:r>
          </w:p>
          <w:p w14:paraId="117E5910" w14:textId="1D749326" w:rsidR="00015328" w:rsidRPr="00811D3B" w:rsidRDefault="00015328" w:rsidP="00947EE9">
            <w:pPr>
              <w:tabs>
                <w:tab w:val="left" w:pos="993"/>
              </w:tabs>
              <w:jc w:val="both"/>
              <w:rPr>
                <w:rFonts w:cs="Times New Roman"/>
                <w:sz w:val="20"/>
                <w:szCs w:val="20"/>
              </w:rPr>
            </w:pPr>
            <w:r w:rsidRPr="00811D3B">
              <w:rPr>
                <w:rFonts w:cs="Times New Roman"/>
                <w:sz w:val="20"/>
                <w:szCs w:val="20"/>
              </w:rPr>
              <w:t>Lūdzam precizēt noteikumu projekta 34. punktu, jo noteikumu 6. punkta ievaddaļā ir runa par budžeta izpildes pārskatu, kas sastāv no konsolidētā kopbudžeta izpildes pārskata, nevis pārskata par konsolidētā budžeta izpildi. Savukārt 6.2. un 6.3. apakšpunktā ir runa par konsolidēto valsts budžeta izpildes pārskatu un konsolidēto pašvaldību budžeta izpildes pārskatu.</w:t>
            </w:r>
          </w:p>
        </w:tc>
        <w:tc>
          <w:tcPr>
            <w:tcW w:w="893" w:type="pct"/>
            <w:tcBorders>
              <w:top w:val="outset" w:sz="6" w:space="0" w:color="414142"/>
              <w:left w:val="outset" w:sz="6" w:space="0" w:color="414142"/>
              <w:bottom w:val="outset" w:sz="6" w:space="0" w:color="414142"/>
              <w:right w:val="outset" w:sz="6" w:space="0" w:color="414142"/>
            </w:tcBorders>
          </w:tcPr>
          <w:p w14:paraId="418A55F8" w14:textId="0FDB1A4B" w:rsidR="00015328" w:rsidRDefault="00015328" w:rsidP="00947EE9">
            <w:pPr>
              <w:jc w:val="both"/>
              <w:rPr>
                <w:rFonts w:eastAsia="Times New Roman" w:cs="Times New Roman"/>
                <w:b/>
                <w:sz w:val="20"/>
                <w:szCs w:val="20"/>
                <w:lang w:eastAsia="lv-LV"/>
              </w:rPr>
            </w:pPr>
            <w:r w:rsidRPr="00BC076A">
              <w:rPr>
                <w:rFonts w:eastAsia="Times New Roman" w:cs="Times New Roman"/>
                <w:b/>
                <w:sz w:val="20"/>
                <w:szCs w:val="20"/>
                <w:lang w:eastAsia="lv-LV"/>
              </w:rPr>
              <w:t>Ņemts vērā</w:t>
            </w:r>
          </w:p>
          <w:p w14:paraId="638C61BF" w14:textId="7957AB4A" w:rsidR="00015328" w:rsidRPr="00BC076A" w:rsidRDefault="00015328" w:rsidP="00947EE9">
            <w:pPr>
              <w:jc w:val="both"/>
              <w:rPr>
                <w:rFonts w:eastAsia="Times New Roman" w:cs="Times New Roman"/>
                <w:b/>
                <w:sz w:val="20"/>
                <w:szCs w:val="20"/>
                <w:lang w:eastAsia="lv-LV"/>
              </w:rPr>
            </w:pPr>
            <w:r w:rsidRPr="00176BBB">
              <w:rPr>
                <w:rFonts w:eastAsia="Times New Roman" w:cs="Times New Roman"/>
                <w:sz w:val="20"/>
                <w:szCs w:val="20"/>
                <w:lang w:eastAsia="lv-LV"/>
              </w:rPr>
              <w:t xml:space="preserve">Precizēts </w:t>
            </w:r>
            <w:r>
              <w:rPr>
                <w:rFonts w:eastAsia="Times New Roman" w:cs="Times New Roman"/>
                <w:sz w:val="20"/>
                <w:szCs w:val="20"/>
                <w:lang w:eastAsia="lv-LV"/>
              </w:rPr>
              <w:t>34</w:t>
            </w:r>
            <w:r w:rsidRPr="00176BBB">
              <w:rPr>
                <w:rFonts w:eastAsia="Times New Roman" w:cs="Times New Roman"/>
                <w:sz w:val="20"/>
                <w:szCs w:val="20"/>
                <w:lang w:eastAsia="lv-LV"/>
              </w:rPr>
              <w:t>.punkts.</w:t>
            </w:r>
          </w:p>
          <w:p w14:paraId="47770E0B" w14:textId="2CA88D9F" w:rsidR="00015328" w:rsidRPr="00BC076A" w:rsidRDefault="00015328" w:rsidP="00947EE9">
            <w:pPr>
              <w:jc w:val="both"/>
              <w:rPr>
                <w:rFonts w:eastAsia="Times New Roman" w:cs="Times New Roman"/>
                <w:sz w:val="20"/>
                <w:szCs w:val="20"/>
                <w:lang w:eastAsia="lv-LV"/>
              </w:rPr>
            </w:pPr>
          </w:p>
          <w:p w14:paraId="372B7B54" w14:textId="2A5D69C9" w:rsidR="00015328" w:rsidRPr="00BC076A" w:rsidRDefault="00015328" w:rsidP="00947EE9">
            <w:pPr>
              <w:autoSpaceDE w:val="0"/>
              <w:autoSpaceDN w:val="0"/>
              <w:adjustRightInd w:val="0"/>
              <w:jc w:val="both"/>
              <w:rPr>
                <w:sz w:val="20"/>
                <w:szCs w:val="20"/>
              </w:rPr>
            </w:pPr>
          </w:p>
        </w:tc>
        <w:tc>
          <w:tcPr>
            <w:tcW w:w="1060" w:type="pct"/>
            <w:tcBorders>
              <w:top w:val="outset" w:sz="6" w:space="0" w:color="414142"/>
              <w:left w:val="outset" w:sz="6" w:space="0" w:color="414142"/>
              <w:bottom w:val="outset" w:sz="6" w:space="0" w:color="414142"/>
              <w:right w:val="outset" w:sz="6" w:space="0" w:color="414142"/>
            </w:tcBorders>
          </w:tcPr>
          <w:p w14:paraId="1CBD24CF" w14:textId="77777777" w:rsidR="00015328" w:rsidRPr="00B773E5" w:rsidRDefault="00015328" w:rsidP="00947EE9">
            <w:pPr>
              <w:jc w:val="both"/>
              <w:rPr>
                <w:sz w:val="20"/>
                <w:szCs w:val="20"/>
              </w:rPr>
            </w:pPr>
            <w:r w:rsidRPr="00B773E5">
              <w:rPr>
                <w:sz w:val="20"/>
                <w:szCs w:val="20"/>
              </w:rPr>
              <w:t>25.</w:t>
            </w:r>
            <w:r w:rsidRPr="00B773E5">
              <w:rPr>
                <w:sz w:val="20"/>
                <w:szCs w:val="20"/>
              </w:rPr>
              <w:tab/>
              <w:t>Konsolidētajā kopbudžeta izpildes pārskatā, konsolidētajā valsts budžeta izpildes pārskatā un konsolidētajā pašvaldību budžeta izpildes pārskatā (turpmāk – budžeta izpildes pārskati) norāda ieņēmumu, izdevumu un finansēšanas posteņu, atbilstoši normatīvajos aktos budžeta klasifikācijas jomā noteiktajām grupām:</w:t>
            </w:r>
          </w:p>
          <w:p w14:paraId="1A27080E" w14:textId="340B1EAA" w:rsidR="00015328" w:rsidRPr="00B773E5" w:rsidRDefault="00015328" w:rsidP="00947EE9">
            <w:pPr>
              <w:jc w:val="both"/>
              <w:rPr>
                <w:sz w:val="20"/>
                <w:szCs w:val="20"/>
              </w:rPr>
            </w:pPr>
          </w:p>
        </w:tc>
      </w:tr>
      <w:tr w:rsidR="00015328" w:rsidRPr="005B6DEE" w14:paraId="2BFBDAB0"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48589F26" w14:textId="76468369" w:rsidR="00015328" w:rsidRPr="00811D3B" w:rsidRDefault="00015328" w:rsidP="008835AB">
            <w:pPr>
              <w:jc w:val="center"/>
              <w:rPr>
                <w:rFonts w:eastAsia="Times New Roman" w:cs="Times New Roman"/>
                <w:sz w:val="20"/>
                <w:szCs w:val="20"/>
                <w:lang w:eastAsia="lv-LV"/>
              </w:rPr>
            </w:pPr>
            <w:r>
              <w:rPr>
                <w:rFonts w:eastAsia="Times New Roman" w:cs="Times New Roman"/>
                <w:sz w:val="20"/>
                <w:szCs w:val="20"/>
                <w:lang w:eastAsia="lv-LV"/>
              </w:rPr>
              <w:t>1</w:t>
            </w:r>
            <w:r w:rsidR="008835AB">
              <w:rPr>
                <w:rFonts w:eastAsia="Times New Roman" w:cs="Times New Roman"/>
                <w:sz w:val="20"/>
                <w:szCs w:val="20"/>
                <w:lang w:eastAsia="lv-LV"/>
              </w:rPr>
              <w:t>9</w:t>
            </w:r>
            <w:r>
              <w:rPr>
                <w:rFonts w:eastAsia="Times New Roman" w:cs="Times New Roman"/>
                <w:sz w:val="20"/>
                <w:szCs w:val="20"/>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0ADE57A4" w14:textId="4E32E8EC" w:rsidR="00015328" w:rsidRPr="00811D3B" w:rsidRDefault="00015328" w:rsidP="00947EE9">
            <w:pPr>
              <w:ind w:right="63"/>
              <w:jc w:val="both"/>
              <w:rPr>
                <w:rFonts w:eastAsia="Times New Roman" w:cs="Times New Roman"/>
                <w:sz w:val="20"/>
                <w:szCs w:val="20"/>
                <w:lang w:eastAsia="lv-LV"/>
              </w:rPr>
            </w:pPr>
            <w:r w:rsidRPr="00811D3B">
              <w:rPr>
                <w:rFonts w:eastAsia="Times New Roman" w:cs="Times New Roman"/>
                <w:sz w:val="20"/>
                <w:szCs w:val="20"/>
                <w:lang w:eastAsia="lv-LV"/>
              </w:rPr>
              <w:t>35.</w:t>
            </w:r>
            <w:r w:rsidRPr="00811D3B">
              <w:rPr>
                <w:rFonts w:eastAsia="Times New Roman" w:cs="Times New Roman"/>
                <w:sz w:val="20"/>
                <w:szCs w:val="20"/>
                <w:lang w:eastAsia="lv-LV"/>
              </w:rPr>
              <w:tab/>
              <w:t>Budžeta izpildes pārskatos norāda budžeta izpildi pēc naudas plūsmas principa pārskata periodā un salīdzināmo informāciju, kā arī norāda salīdzinošos rādītājus starp plānu un izpildi:</w:t>
            </w:r>
          </w:p>
        </w:tc>
        <w:tc>
          <w:tcPr>
            <w:tcW w:w="1731" w:type="pct"/>
            <w:tcBorders>
              <w:top w:val="outset" w:sz="6" w:space="0" w:color="414142"/>
              <w:left w:val="outset" w:sz="6" w:space="0" w:color="414142"/>
              <w:bottom w:val="outset" w:sz="6" w:space="0" w:color="414142"/>
              <w:right w:val="outset" w:sz="6" w:space="0" w:color="414142"/>
            </w:tcBorders>
          </w:tcPr>
          <w:p w14:paraId="09DC47F4" w14:textId="49ABE550" w:rsidR="00015328" w:rsidRPr="00811D3B" w:rsidRDefault="00015328" w:rsidP="00947EE9">
            <w:pPr>
              <w:tabs>
                <w:tab w:val="left" w:pos="993"/>
              </w:tabs>
              <w:jc w:val="both"/>
              <w:rPr>
                <w:rFonts w:cs="Times New Roman"/>
                <w:sz w:val="20"/>
                <w:szCs w:val="20"/>
              </w:rPr>
            </w:pPr>
            <w:r w:rsidRPr="00811D3B">
              <w:rPr>
                <w:rFonts w:cs="Times New Roman"/>
                <w:sz w:val="20"/>
                <w:szCs w:val="20"/>
              </w:rPr>
              <w:t>Tieslietu ministrija</w:t>
            </w:r>
          </w:p>
          <w:p w14:paraId="12BE2C2C" w14:textId="09FEAA6A" w:rsidR="00015328" w:rsidRPr="00811D3B" w:rsidRDefault="00015328" w:rsidP="00947EE9">
            <w:pPr>
              <w:tabs>
                <w:tab w:val="left" w:pos="993"/>
              </w:tabs>
              <w:jc w:val="both"/>
              <w:rPr>
                <w:rFonts w:cs="Times New Roman"/>
                <w:sz w:val="20"/>
                <w:szCs w:val="20"/>
              </w:rPr>
            </w:pPr>
            <w:r w:rsidRPr="00811D3B">
              <w:rPr>
                <w:rFonts w:cs="Times New Roman"/>
                <w:sz w:val="20"/>
                <w:szCs w:val="20"/>
              </w:rPr>
              <w:t>14.</w:t>
            </w:r>
            <w:r w:rsidRPr="00811D3B">
              <w:rPr>
                <w:rFonts w:cs="Times New Roman"/>
                <w:sz w:val="20"/>
                <w:szCs w:val="20"/>
              </w:rPr>
              <w:tab/>
              <w:t>Noteikumu projekta 35. punkts paredz, ka budžeta izpildes pārskatos norāda budžeta izpildi pēc naudas plūsmas principa pārskata periodā un salīdzināmo informāciju, kā arī norāda salīdzinošos rādītājus starp plānu un izpildi.</w:t>
            </w:r>
          </w:p>
          <w:p w14:paraId="24B141EB" w14:textId="77777777" w:rsidR="00015328" w:rsidRPr="00811D3B" w:rsidRDefault="00015328" w:rsidP="00947EE9">
            <w:pPr>
              <w:tabs>
                <w:tab w:val="left" w:pos="993"/>
              </w:tabs>
              <w:jc w:val="both"/>
              <w:rPr>
                <w:rFonts w:cs="Times New Roman"/>
                <w:sz w:val="20"/>
                <w:szCs w:val="20"/>
              </w:rPr>
            </w:pPr>
            <w:r w:rsidRPr="00811D3B">
              <w:rPr>
                <w:rFonts w:cs="Times New Roman"/>
                <w:sz w:val="20"/>
                <w:szCs w:val="20"/>
              </w:rPr>
              <w:t>Vēršam uzmanību, ka nav saprotams, kāpēc noteikumu projekta 35. punktā ir minēti budžeta izpildes pārskati, ja noteikumu projekta 3.3. apakšpunkts un 6. punkts paredz vienu budžeta izpildes pārskatu.</w:t>
            </w:r>
          </w:p>
          <w:p w14:paraId="0ED4D219" w14:textId="3F3A951C" w:rsidR="00015328" w:rsidRPr="00811D3B" w:rsidRDefault="00015328" w:rsidP="00947EE9">
            <w:pPr>
              <w:tabs>
                <w:tab w:val="left" w:pos="993"/>
              </w:tabs>
              <w:jc w:val="both"/>
              <w:rPr>
                <w:rFonts w:cs="Times New Roman"/>
                <w:sz w:val="20"/>
                <w:szCs w:val="20"/>
              </w:rPr>
            </w:pPr>
            <w:r w:rsidRPr="00811D3B">
              <w:rPr>
                <w:rFonts w:cs="Times New Roman"/>
                <w:sz w:val="20"/>
                <w:szCs w:val="20"/>
              </w:rPr>
              <w:t>Ņemot vērā minēto, lūdzam precizēt noteikumu projektu.</w:t>
            </w:r>
          </w:p>
        </w:tc>
        <w:tc>
          <w:tcPr>
            <w:tcW w:w="893" w:type="pct"/>
            <w:tcBorders>
              <w:top w:val="outset" w:sz="6" w:space="0" w:color="414142"/>
              <w:left w:val="outset" w:sz="6" w:space="0" w:color="414142"/>
              <w:bottom w:val="outset" w:sz="6" w:space="0" w:color="414142"/>
              <w:right w:val="outset" w:sz="6" w:space="0" w:color="414142"/>
            </w:tcBorders>
          </w:tcPr>
          <w:p w14:paraId="2447FF08" w14:textId="7B5828DE" w:rsidR="00015328" w:rsidRDefault="00015328" w:rsidP="00947EE9">
            <w:pPr>
              <w:jc w:val="both"/>
              <w:rPr>
                <w:rFonts w:eastAsia="Times New Roman" w:cs="Times New Roman"/>
                <w:b/>
                <w:sz w:val="20"/>
                <w:szCs w:val="20"/>
                <w:lang w:eastAsia="lv-LV"/>
              </w:rPr>
            </w:pPr>
            <w:r w:rsidRPr="00935821">
              <w:rPr>
                <w:rFonts w:eastAsia="Times New Roman" w:cs="Times New Roman"/>
                <w:b/>
                <w:sz w:val="20"/>
                <w:szCs w:val="20"/>
                <w:lang w:eastAsia="lv-LV"/>
              </w:rPr>
              <w:t>Ņemts vērā</w:t>
            </w:r>
          </w:p>
          <w:p w14:paraId="268BB410" w14:textId="792A2515" w:rsidR="00015328" w:rsidRPr="00BC076A" w:rsidRDefault="00015328" w:rsidP="00947EE9">
            <w:pPr>
              <w:jc w:val="both"/>
              <w:rPr>
                <w:rFonts w:eastAsia="Times New Roman" w:cs="Times New Roman"/>
                <w:b/>
                <w:sz w:val="20"/>
                <w:szCs w:val="20"/>
                <w:lang w:eastAsia="lv-LV"/>
              </w:rPr>
            </w:pPr>
            <w:r w:rsidRPr="00176BBB">
              <w:rPr>
                <w:rFonts w:eastAsia="Times New Roman" w:cs="Times New Roman"/>
                <w:sz w:val="20"/>
                <w:szCs w:val="20"/>
                <w:lang w:eastAsia="lv-LV"/>
              </w:rPr>
              <w:t xml:space="preserve">Precizēts </w:t>
            </w:r>
            <w:r>
              <w:rPr>
                <w:rFonts w:eastAsia="Times New Roman" w:cs="Times New Roman"/>
                <w:sz w:val="20"/>
                <w:szCs w:val="20"/>
                <w:lang w:eastAsia="lv-LV"/>
              </w:rPr>
              <w:t>35</w:t>
            </w:r>
            <w:r w:rsidRPr="00176BBB">
              <w:rPr>
                <w:rFonts w:eastAsia="Times New Roman" w:cs="Times New Roman"/>
                <w:sz w:val="20"/>
                <w:szCs w:val="20"/>
                <w:lang w:eastAsia="lv-LV"/>
              </w:rPr>
              <w:t>.punkts.</w:t>
            </w:r>
          </w:p>
          <w:p w14:paraId="0024C5F6" w14:textId="77777777" w:rsidR="00015328" w:rsidRDefault="00015328" w:rsidP="00947EE9">
            <w:pPr>
              <w:jc w:val="both"/>
              <w:rPr>
                <w:rFonts w:eastAsia="Times New Roman" w:cs="Times New Roman"/>
                <w:b/>
                <w:sz w:val="20"/>
                <w:szCs w:val="20"/>
                <w:lang w:eastAsia="lv-LV"/>
              </w:rPr>
            </w:pPr>
          </w:p>
          <w:p w14:paraId="2A4A85DC" w14:textId="08AEBB71" w:rsidR="00015328" w:rsidRPr="00BC076A" w:rsidRDefault="00015328" w:rsidP="00947EE9">
            <w:pPr>
              <w:jc w:val="both"/>
              <w:rPr>
                <w:rFonts w:eastAsia="Times New Roman" w:cs="Times New Roman"/>
                <w:sz w:val="20"/>
                <w:szCs w:val="20"/>
                <w:lang w:eastAsia="lv-LV"/>
              </w:rPr>
            </w:pPr>
          </w:p>
          <w:p w14:paraId="1508DBEC" w14:textId="77777777" w:rsidR="00015328" w:rsidRDefault="00015328" w:rsidP="00947EE9">
            <w:pPr>
              <w:jc w:val="both"/>
              <w:rPr>
                <w:rFonts w:eastAsia="Times New Roman" w:cs="Times New Roman"/>
                <w:b/>
                <w:sz w:val="20"/>
                <w:szCs w:val="20"/>
                <w:lang w:eastAsia="lv-LV"/>
              </w:rPr>
            </w:pPr>
          </w:p>
          <w:p w14:paraId="158CC04F" w14:textId="2D9A8C29" w:rsidR="00015328" w:rsidRPr="00811D3B" w:rsidRDefault="00015328" w:rsidP="00947EE9">
            <w:pPr>
              <w:autoSpaceDE w:val="0"/>
              <w:autoSpaceDN w:val="0"/>
              <w:adjustRightInd w:val="0"/>
              <w:jc w:val="both"/>
              <w:rPr>
                <w:b/>
                <w:sz w:val="20"/>
                <w:szCs w:val="20"/>
              </w:rPr>
            </w:pPr>
          </w:p>
        </w:tc>
        <w:tc>
          <w:tcPr>
            <w:tcW w:w="1060" w:type="pct"/>
            <w:tcBorders>
              <w:top w:val="outset" w:sz="6" w:space="0" w:color="414142"/>
              <w:left w:val="outset" w:sz="6" w:space="0" w:color="414142"/>
              <w:bottom w:val="outset" w:sz="6" w:space="0" w:color="414142"/>
              <w:right w:val="outset" w:sz="6" w:space="0" w:color="414142"/>
            </w:tcBorders>
          </w:tcPr>
          <w:p w14:paraId="2B84C333" w14:textId="77777777" w:rsidR="00015328" w:rsidRPr="00B773E5" w:rsidRDefault="00015328" w:rsidP="00947EE9">
            <w:pPr>
              <w:jc w:val="both"/>
              <w:rPr>
                <w:sz w:val="20"/>
                <w:szCs w:val="20"/>
              </w:rPr>
            </w:pPr>
            <w:r w:rsidRPr="00B773E5">
              <w:rPr>
                <w:sz w:val="20"/>
                <w:szCs w:val="20"/>
              </w:rPr>
              <w:t>26.</w:t>
            </w:r>
            <w:r w:rsidRPr="00B773E5">
              <w:rPr>
                <w:sz w:val="20"/>
                <w:szCs w:val="20"/>
              </w:rPr>
              <w:tab/>
              <w:t>Budžeta izpildes pārskatos norāda budžetu izpildi pēc naudas plūsmas principa pārskata periodā un salīdzināmo informāciju, kā arī norāda salīdzinošos rādītājus starp plānu un izpildi:</w:t>
            </w:r>
          </w:p>
          <w:p w14:paraId="53BA4527" w14:textId="1343CFBA" w:rsidR="00015328" w:rsidRPr="00B773E5" w:rsidRDefault="00015328" w:rsidP="00947EE9">
            <w:pPr>
              <w:jc w:val="both"/>
              <w:rPr>
                <w:sz w:val="20"/>
                <w:szCs w:val="20"/>
              </w:rPr>
            </w:pPr>
          </w:p>
        </w:tc>
      </w:tr>
      <w:tr w:rsidR="00015328" w:rsidRPr="005B6DEE" w14:paraId="4A4DF2FD"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553856EE" w14:textId="0A2C5C58" w:rsidR="00015328" w:rsidRDefault="008835AB" w:rsidP="008835AB">
            <w:pPr>
              <w:jc w:val="center"/>
              <w:rPr>
                <w:rFonts w:eastAsia="Times New Roman" w:cs="Times New Roman"/>
                <w:szCs w:val="24"/>
                <w:lang w:eastAsia="lv-LV"/>
              </w:rPr>
            </w:pPr>
            <w:r>
              <w:rPr>
                <w:rFonts w:eastAsia="Times New Roman" w:cs="Times New Roman"/>
                <w:sz w:val="20"/>
                <w:szCs w:val="24"/>
                <w:lang w:eastAsia="lv-LV"/>
              </w:rPr>
              <w:t>20</w:t>
            </w:r>
            <w:r w:rsidR="00015328" w:rsidRPr="007F3F01">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7AD27B6E" w14:textId="77777777" w:rsidR="00015328" w:rsidRPr="007F235A" w:rsidRDefault="00015328" w:rsidP="00947EE9">
            <w:pPr>
              <w:ind w:right="63"/>
              <w:jc w:val="both"/>
              <w:rPr>
                <w:sz w:val="20"/>
              </w:rPr>
            </w:pPr>
            <w:r w:rsidRPr="007F235A">
              <w:rPr>
                <w:sz w:val="20"/>
              </w:rPr>
              <w:t>14.</w:t>
            </w:r>
            <w:r w:rsidRPr="007F235A">
              <w:rPr>
                <w:sz w:val="20"/>
              </w:rPr>
              <w:tab/>
              <w:t>Pārskatā konsolidē šādus Valsts kasei iesniegtos gada pārskatus:</w:t>
            </w:r>
          </w:p>
          <w:p w14:paraId="77D61249" w14:textId="77777777" w:rsidR="00015328" w:rsidRPr="007F235A" w:rsidRDefault="00015328" w:rsidP="00947EE9">
            <w:pPr>
              <w:ind w:right="63"/>
              <w:jc w:val="both"/>
              <w:rPr>
                <w:rFonts w:eastAsia="Times New Roman" w:cs="Times New Roman"/>
                <w:sz w:val="20"/>
                <w:szCs w:val="24"/>
                <w:lang w:eastAsia="lv-LV"/>
              </w:rPr>
            </w:pPr>
            <w:r w:rsidRPr="007F235A">
              <w:rPr>
                <w:rFonts w:eastAsia="Times New Roman" w:cs="Times New Roman"/>
                <w:sz w:val="20"/>
                <w:szCs w:val="24"/>
                <w:lang w:eastAsia="lv-LV"/>
              </w:rPr>
              <w:t>14.1.</w:t>
            </w:r>
            <w:r w:rsidRPr="007F235A">
              <w:rPr>
                <w:rFonts w:eastAsia="Times New Roman" w:cs="Times New Roman"/>
                <w:sz w:val="20"/>
                <w:szCs w:val="24"/>
                <w:lang w:eastAsia="lv-LV"/>
              </w:rPr>
              <w:tab/>
              <w:t xml:space="preserve">ministriju un pašvaldību konsolidētos gada pārskatus; </w:t>
            </w:r>
          </w:p>
          <w:p w14:paraId="6A8866F0" w14:textId="77777777" w:rsidR="00015328" w:rsidRPr="007F235A" w:rsidRDefault="00015328" w:rsidP="00947EE9">
            <w:pPr>
              <w:ind w:right="63"/>
              <w:jc w:val="both"/>
              <w:rPr>
                <w:rFonts w:eastAsia="Times New Roman" w:cs="Times New Roman"/>
                <w:sz w:val="20"/>
                <w:szCs w:val="24"/>
                <w:lang w:eastAsia="lv-LV"/>
              </w:rPr>
            </w:pPr>
            <w:r w:rsidRPr="007F235A">
              <w:rPr>
                <w:rFonts w:eastAsia="Times New Roman" w:cs="Times New Roman"/>
                <w:sz w:val="20"/>
                <w:szCs w:val="24"/>
                <w:lang w:eastAsia="lv-LV"/>
              </w:rPr>
              <w:t>14.2.</w:t>
            </w:r>
            <w:r w:rsidRPr="007F235A">
              <w:rPr>
                <w:rFonts w:eastAsia="Times New Roman" w:cs="Times New Roman"/>
                <w:sz w:val="20"/>
                <w:szCs w:val="24"/>
                <w:lang w:eastAsia="lv-LV"/>
              </w:rPr>
              <w:tab/>
              <w:t>ikgadējos pārskatus.</w:t>
            </w:r>
          </w:p>
          <w:p w14:paraId="3D6ABE3E" w14:textId="77777777" w:rsidR="00015328" w:rsidRDefault="00015328" w:rsidP="00947EE9">
            <w:pPr>
              <w:ind w:right="63"/>
              <w:jc w:val="both"/>
              <w:rPr>
                <w:rFonts w:eastAsia="Times New Roman" w:cs="Times New Roman"/>
                <w:sz w:val="20"/>
                <w:szCs w:val="24"/>
                <w:lang w:eastAsia="lv-LV"/>
              </w:rPr>
            </w:pPr>
          </w:p>
          <w:p w14:paraId="66391723" w14:textId="4561363E" w:rsidR="00015328" w:rsidRPr="007F235A" w:rsidRDefault="00015328" w:rsidP="00947EE9">
            <w:pPr>
              <w:ind w:right="63"/>
              <w:jc w:val="both"/>
              <w:rPr>
                <w:rFonts w:eastAsia="Times New Roman" w:cs="Times New Roman"/>
                <w:sz w:val="20"/>
                <w:szCs w:val="24"/>
                <w:lang w:eastAsia="lv-LV"/>
              </w:rPr>
            </w:pPr>
            <w:r w:rsidRPr="007F235A">
              <w:rPr>
                <w:rFonts w:eastAsia="Times New Roman" w:cs="Times New Roman"/>
                <w:sz w:val="20"/>
                <w:szCs w:val="24"/>
                <w:lang w:eastAsia="lv-LV"/>
              </w:rPr>
              <w:t>44. Šo noteikumu 14.2.apakšpunktā minētos ikgadējos pārskatus konsolidē gada pārskatā pirmo reizi par 2021.gadu.</w:t>
            </w:r>
          </w:p>
          <w:p w14:paraId="6D6BC36C" w14:textId="64107CEF" w:rsidR="00015328" w:rsidRPr="002A2B0D" w:rsidRDefault="00015328" w:rsidP="00947EE9">
            <w:pPr>
              <w:ind w:right="63"/>
              <w:jc w:val="both"/>
              <w:rPr>
                <w:rFonts w:eastAsia="Times New Roman" w:cs="Times New Roman"/>
                <w:sz w:val="20"/>
                <w:szCs w:val="24"/>
                <w:lang w:eastAsia="lv-LV"/>
              </w:rPr>
            </w:pPr>
          </w:p>
        </w:tc>
        <w:tc>
          <w:tcPr>
            <w:tcW w:w="1731" w:type="pct"/>
            <w:tcBorders>
              <w:top w:val="outset" w:sz="6" w:space="0" w:color="414142"/>
              <w:left w:val="outset" w:sz="6" w:space="0" w:color="414142"/>
              <w:bottom w:val="outset" w:sz="6" w:space="0" w:color="414142"/>
              <w:right w:val="outset" w:sz="6" w:space="0" w:color="414142"/>
            </w:tcBorders>
          </w:tcPr>
          <w:p w14:paraId="362D541D" w14:textId="77777777" w:rsidR="00015328" w:rsidRPr="002A2B0D" w:rsidRDefault="00015328" w:rsidP="00947EE9">
            <w:pPr>
              <w:pStyle w:val="ListParagraph"/>
              <w:tabs>
                <w:tab w:val="left" w:pos="993"/>
              </w:tabs>
              <w:ind w:left="0"/>
              <w:jc w:val="both"/>
              <w:rPr>
                <w:sz w:val="20"/>
              </w:rPr>
            </w:pPr>
            <w:r w:rsidRPr="002A2B0D">
              <w:rPr>
                <w:sz w:val="20"/>
              </w:rPr>
              <w:t>Valsts kontrole:</w:t>
            </w:r>
          </w:p>
          <w:p w14:paraId="5A34F3B4" w14:textId="21295EA0" w:rsidR="00015328" w:rsidRPr="002A2B0D" w:rsidRDefault="00015328" w:rsidP="00947EE9">
            <w:pPr>
              <w:pStyle w:val="ListParagraph"/>
              <w:tabs>
                <w:tab w:val="left" w:pos="993"/>
              </w:tabs>
              <w:ind w:left="0"/>
              <w:jc w:val="both"/>
              <w:rPr>
                <w:sz w:val="20"/>
              </w:rPr>
            </w:pPr>
            <w:r w:rsidRPr="002A2B0D">
              <w:rPr>
                <w:sz w:val="20"/>
              </w:rPr>
              <w:t>[1.8] Nepiekrītam Projekta 44.punkta redakcijai, kas attiecas uz ikgadējo pārskatu iekļaušanu un nosaka, ka Projekta 14.2.apakšpunktā minētos ikgadējos pārskatus konsolidē gada pārskatā pirmo reizi par 2021.gadu, jo arī šobrīd pārskatā tiek konsolidēti valsts budžeta finanšu uzskaites dati un dati par Valsts ieņēmumu dienesta administrētiem nodokļiem, nodevām un citiem tā administrētiem uz valsts budžetu attiecināmiem maksājumiem, bet noteikumu projektā nav paredzēti pārejas noteikumi līdz 2021.gadam. Projekta 44.punkta redakcija būtu papildināma, vai Projekts būtu papildināms ar papildu punktu par pārejas periodu.</w:t>
            </w:r>
          </w:p>
        </w:tc>
        <w:tc>
          <w:tcPr>
            <w:tcW w:w="893" w:type="pct"/>
            <w:tcBorders>
              <w:top w:val="outset" w:sz="6" w:space="0" w:color="414142"/>
              <w:left w:val="outset" w:sz="6" w:space="0" w:color="414142"/>
              <w:bottom w:val="outset" w:sz="6" w:space="0" w:color="414142"/>
              <w:right w:val="outset" w:sz="6" w:space="0" w:color="414142"/>
            </w:tcBorders>
          </w:tcPr>
          <w:p w14:paraId="038CCF94" w14:textId="1FDBC542" w:rsidR="00015328" w:rsidRDefault="00015328" w:rsidP="00947EE9">
            <w:pPr>
              <w:autoSpaceDE w:val="0"/>
              <w:autoSpaceDN w:val="0"/>
              <w:adjustRightInd w:val="0"/>
              <w:jc w:val="both"/>
              <w:rPr>
                <w:b/>
                <w:sz w:val="20"/>
              </w:rPr>
            </w:pPr>
            <w:r>
              <w:rPr>
                <w:b/>
                <w:sz w:val="20"/>
              </w:rPr>
              <w:t>Ņ</w:t>
            </w:r>
            <w:r w:rsidRPr="002A2B0D">
              <w:rPr>
                <w:b/>
                <w:sz w:val="20"/>
              </w:rPr>
              <w:t>emts vērā</w:t>
            </w:r>
          </w:p>
          <w:p w14:paraId="34CBBD03" w14:textId="48AC8A95" w:rsidR="00015328" w:rsidRDefault="00015328" w:rsidP="00947EE9">
            <w:pPr>
              <w:autoSpaceDE w:val="0"/>
              <w:autoSpaceDN w:val="0"/>
              <w:adjustRightInd w:val="0"/>
              <w:jc w:val="both"/>
              <w:rPr>
                <w:b/>
                <w:sz w:val="20"/>
              </w:rPr>
            </w:pPr>
            <w:r w:rsidRPr="000E7BB9">
              <w:rPr>
                <w:sz w:val="20"/>
              </w:rPr>
              <w:t>Precizēts 14.punkts</w:t>
            </w:r>
            <w:r>
              <w:rPr>
                <w:b/>
                <w:sz w:val="20"/>
              </w:rPr>
              <w:t>.</w:t>
            </w:r>
            <w:r w:rsidRPr="000E7BB9">
              <w:rPr>
                <w:b/>
                <w:sz w:val="20"/>
              </w:rPr>
              <w:t xml:space="preserve"> </w:t>
            </w:r>
          </w:p>
          <w:p w14:paraId="1E4D4FE5" w14:textId="04A689B6" w:rsidR="00015328" w:rsidRDefault="00015328" w:rsidP="00947EE9">
            <w:pPr>
              <w:autoSpaceDE w:val="0"/>
              <w:autoSpaceDN w:val="0"/>
              <w:adjustRightInd w:val="0"/>
              <w:jc w:val="both"/>
              <w:rPr>
                <w:rFonts w:cs="Times New Roman"/>
                <w:sz w:val="20"/>
                <w:szCs w:val="20"/>
              </w:rPr>
            </w:pPr>
            <w:r w:rsidRPr="0069327B">
              <w:rPr>
                <w:sz w:val="20"/>
              </w:rPr>
              <w:t xml:space="preserve">Noslēguma jautājumos </w:t>
            </w:r>
            <w:r w:rsidRPr="007F235A">
              <w:rPr>
                <w:sz w:val="20"/>
              </w:rPr>
              <w:t>pievienots jauns punkts</w:t>
            </w:r>
            <w:r w:rsidRPr="0069327B">
              <w:rPr>
                <w:sz w:val="20"/>
              </w:rPr>
              <w:t xml:space="preserve"> par </w:t>
            </w:r>
            <w:r w:rsidRPr="0069327B">
              <w:rPr>
                <w:rFonts w:cs="Times New Roman"/>
                <w:sz w:val="20"/>
                <w:szCs w:val="20"/>
              </w:rPr>
              <w:t>valsts budžeta finanšu uzskaites pārskatu, kuru sagatavo tikai par 2019. un 2020.gadu.</w:t>
            </w:r>
          </w:p>
          <w:p w14:paraId="31A5C2FD" w14:textId="22EBBB0B" w:rsidR="00361ACA" w:rsidRDefault="00015328" w:rsidP="00947EE9">
            <w:pPr>
              <w:jc w:val="both"/>
              <w:rPr>
                <w:rFonts w:eastAsia="Times New Roman" w:cs="Times New Roman"/>
                <w:sz w:val="20"/>
                <w:szCs w:val="20"/>
                <w:lang w:eastAsia="lv-LV"/>
              </w:rPr>
            </w:pPr>
            <w:r>
              <w:rPr>
                <w:rFonts w:eastAsia="Times New Roman" w:cs="Times New Roman"/>
                <w:sz w:val="20"/>
                <w:szCs w:val="20"/>
                <w:lang w:eastAsia="lv-LV"/>
              </w:rPr>
              <w:t>Papildināts a</w:t>
            </w:r>
            <w:r w:rsidRPr="000B4B34">
              <w:rPr>
                <w:rFonts w:eastAsia="Times New Roman" w:cs="Times New Roman"/>
                <w:sz w:val="20"/>
                <w:szCs w:val="20"/>
                <w:lang w:eastAsia="lv-LV"/>
              </w:rPr>
              <w:t>notācij</w:t>
            </w:r>
            <w:r>
              <w:rPr>
                <w:rFonts w:eastAsia="Times New Roman" w:cs="Times New Roman"/>
                <w:sz w:val="20"/>
                <w:szCs w:val="20"/>
                <w:lang w:eastAsia="lv-LV"/>
              </w:rPr>
              <w:t>as</w:t>
            </w:r>
            <w:r w:rsidRPr="000B4B34">
              <w:rPr>
                <w:rFonts w:eastAsia="Times New Roman" w:cs="Times New Roman"/>
                <w:sz w:val="20"/>
                <w:szCs w:val="20"/>
                <w:lang w:eastAsia="lv-LV"/>
              </w:rPr>
              <w:t xml:space="preserve"> </w:t>
            </w:r>
            <w:r>
              <w:rPr>
                <w:rFonts w:eastAsia="Times New Roman" w:cs="Times New Roman"/>
                <w:sz w:val="20"/>
                <w:szCs w:val="20"/>
                <w:lang w:eastAsia="lv-LV"/>
              </w:rPr>
              <w:t>I.nodaļas</w:t>
            </w:r>
            <w:r w:rsidRPr="000B4B34">
              <w:rPr>
                <w:rFonts w:eastAsia="Times New Roman" w:cs="Times New Roman"/>
                <w:sz w:val="20"/>
                <w:szCs w:val="20"/>
                <w:lang w:eastAsia="lv-LV"/>
              </w:rPr>
              <w:t xml:space="preserve"> </w:t>
            </w:r>
            <w:r>
              <w:rPr>
                <w:rFonts w:eastAsia="Times New Roman" w:cs="Times New Roman"/>
                <w:sz w:val="20"/>
                <w:szCs w:val="20"/>
                <w:lang w:eastAsia="lv-LV"/>
              </w:rPr>
              <w:t>“</w:t>
            </w:r>
            <w:r w:rsidRPr="000B4B34">
              <w:rPr>
                <w:rFonts w:eastAsia="Times New Roman" w:cs="Times New Roman"/>
                <w:sz w:val="20"/>
                <w:szCs w:val="20"/>
                <w:lang w:eastAsia="lv-LV"/>
              </w:rPr>
              <w:t xml:space="preserve"> Tiesību akta projekta izstrādes nepieciešamība</w:t>
            </w:r>
            <w:r>
              <w:rPr>
                <w:rFonts w:eastAsia="Times New Roman" w:cs="Times New Roman"/>
                <w:sz w:val="20"/>
                <w:szCs w:val="20"/>
                <w:lang w:eastAsia="lv-LV"/>
              </w:rPr>
              <w:t>” 2.punkts</w:t>
            </w:r>
          </w:p>
          <w:p w14:paraId="3C7628C4" w14:textId="1E59230A" w:rsidR="00015328" w:rsidRPr="007F235A" w:rsidRDefault="00361ACA" w:rsidP="00947EE9">
            <w:pPr>
              <w:jc w:val="both"/>
              <w:rPr>
                <w:rFonts w:eastAsia="Times New Roman" w:cs="Times New Roman"/>
                <w:sz w:val="20"/>
                <w:szCs w:val="20"/>
                <w:lang w:eastAsia="lv-LV"/>
              </w:rPr>
            </w:pPr>
            <w:r>
              <w:rPr>
                <w:sz w:val="20"/>
                <w:szCs w:val="20"/>
                <w:u w:val="single"/>
              </w:rPr>
              <w:t>“</w:t>
            </w:r>
            <w:r w:rsidR="00015328" w:rsidRPr="00361ACA">
              <w:rPr>
                <w:rFonts w:eastAsia="Times New Roman" w:cs="Times New Roman"/>
                <w:bCs/>
                <w:sz w:val="20"/>
                <w:szCs w:val="20"/>
                <w:lang w:eastAsia="lv-LV"/>
              </w:rPr>
              <w:t>Pašreizējā situācija un problēmas, kuru risināšanai tiesību akta projekts izstrādāts, tiesiskā regulējuma mērķis un būtība</w:t>
            </w:r>
            <w:r w:rsidR="00015328" w:rsidRPr="00361ACA">
              <w:rPr>
                <w:rFonts w:eastAsia="Times New Roman" w:cs="Times New Roman"/>
                <w:sz w:val="20"/>
                <w:szCs w:val="20"/>
                <w:lang w:eastAsia="lv-LV"/>
              </w:rPr>
              <w:t>”</w:t>
            </w:r>
            <w:r w:rsidR="00015328">
              <w:rPr>
                <w:rFonts w:eastAsia="Times New Roman" w:cs="Times New Roman"/>
                <w:sz w:val="20"/>
                <w:szCs w:val="20"/>
                <w:lang w:eastAsia="lv-LV"/>
              </w:rPr>
              <w:t xml:space="preserve"> (6.</w:t>
            </w:r>
            <w:r>
              <w:rPr>
                <w:rFonts w:eastAsia="Times New Roman" w:cs="Times New Roman"/>
                <w:sz w:val="20"/>
                <w:szCs w:val="20"/>
                <w:lang w:eastAsia="lv-LV"/>
              </w:rPr>
              <w:t>-7.</w:t>
            </w:r>
            <w:r w:rsidR="00015328">
              <w:rPr>
                <w:rFonts w:eastAsia="Times New Roman" w:cs="Times New Roman"/>
                <w:sz w:val="20"/>
                <w:szCs w:val="20"/>
                <w:lang w:eastAsia="lv-LV"/>
              </w:rPr>
              <w:t>,12.</w:t>
            </w:r>
            <w:r>
              <w:rPr>
                <w:rFonts w:eastAsia="Times New Roman" w:cs="Times New Roman"/>
                <w:sz w:val="20"/>
                <w:szCs w:val="20"/>
                <w:lang w:eastAsia="lv-LV"/>
              </w:rPr>
              <w:t>-</w:t>
            </w:r>
            <w:r w:rsidR="00015328">
              <w:rPr>
                <w:rFonts w:eastAsia="Times New Roman" w:cs="Times New Roman"/>
                <w:sz w:val="20"/>
                <w:szCs w:val="20"/>
                <w:lang w:eastAsia="lv-LV"/>
              </w:rPr>
              <w:t>13.lp.) ar informāciju par šobrīd spēkā esošo regulējumu par valsts budžeta finanšu uzskaiti un valsts budžetā maksājamiem nodokļiem, nodevām un citiem maksājumiem valsts budžetā.</w:t>
            </w:r>
          </w:p>
        </w:tc>
        <w:tc>
          <w:tcPr>
            <w:tcW w:w="1060" w:type="pct"/>
            <w:tcBorders>
              <w:top w:val="outset" w:sz="6" w:space="0" w:color="414142"/>
              <w:left w:val="outset" w:sz="6" w:space="0" w:color="414142"/>
              <w:bottom w:val="outset" w:sz="6" w:space="0" w:color="414142"/>
              <w:right w:val="outset" w:sz="6" w:space="0" w:color="414142"/>
            </w:tcBorders>
          </w:tcPr>
          <w:p w14:paraId="6197537C" w14:textId="77777777" w:rsidR="00015328" w:rsidRPr="00B773E5" w:rsidRDefault="00015328" w:rsidP="00947EE9">
            <w:pPr>
              <w:pStyle w:val="ListParagraph"/>
              <w:tabs>
                <w:tab w:val="left" w:pos="539"/>
              </w:tabs>
              <w:ind w:left="0"/>
              <w:jc w:val="both"/>
              <w:rPr>
                <w:sz w:val="20"/>
                <w:szCs w:val="20"/>
              </w:rPr>
            </w:pPr>
            <w:bookmarkStart w:id="4" w:name="_Ref21939822"/>
            <w:r w:rsidRPr="00B773E5">
              <w:rPr>
                <w:sz w:val="20"/>
                <w:szCs w:val="20"/>
              </w:rPr>
              <w:t>11.</w:t>
            </w:r>
            <w:r w:rsidRPr="00B773E5">
              <w:rPr>
                <w:sz w:val="20"/>
                <w:szCs w:val="20"/>
              </w:rPr>
              <w:tab/>
              <w:t>Pārskatā konsolidē šādus Valsts kasei iesniegtos gada pārskatus:</w:t>
            </w:r>
          </w:p>
          <w:p w14:paraId="056AAE17" w14:textId="77777777" w:rsidR="00015328" w:rsidRPr="00B773E5" w:rsidRDefault="00015328" w:rsidP="00947EE9">
            <w:pPr>
              <w:tabs>
                <w:tab w:val="left" w:pos="539"/>
                <w:tab w:val="left" w:pos="1418"/>
              </w:tabs>
              <w:contextualSpacing/>
              <w:jc w:val="both"/>
              <w:rPr>
                <w:rFonts w:cs="Times New Roman"/>
                <w:sz w:val="20"/>
                <w:szCs w:val="20"/>
              </w:rPr>
            </w:pPr>
            <w:r w:rsidRPr="00B773E5">
              <w:rPr>
                <w:rFonts w:cs="Times New Roman"/>
                <w:sz w:val="20"/>
                <w:szCs w:val="20"/>
              </w:rPr>
              <w:t>11.1.</w:t>
            </w:r>
            <w:r w:rsidRPr="00B773E5">
              <w:rPr>
                <w:rFonts w:cs="Times New Roman"/>
                <w:sz w:val="20"/>
                <w:szCs w:val="20"/>
              </w:rPr>
              <w:tab/>
              <w:t xml:space="preserve">ministriju, centrālo valsts iestāžu un pašvaldību konsolidētos gada pārskatus; </w:t>
            </w:r>
          </w:p>
          <w:p w14:paraId="68A56D5D" w14:textId="77777777" w:rsidR="00015328" w:rsidRPr="00B773E5" w:rsidRDefault="00015328" w:rsidP="00947EE9">
            <w:pPr>
              <w:tabs>
                <w:tab w:val="left" w:pos="539"/>
                <w:tab w:val="left" w:pos="1418"/>
              </w:tabs>
              <w:contextualSpacing/>
              <w:jc w:val="both"/>
              <w:rPr>
                <w:rFonts w:cs="Times New Roman"/>
                <w:sz w:val="20"/>
                <w:szCs w:val="20"/>
              </w:rPr>
            </w:pPr>
            <w:r w:rsidRPr="00B773E5">
              <w:rPr>
                <w:rFonts w:cs="Times New Roman"/>
                <w:sz w:val="20"/>
                <w:szCs w:val="20"/>
              </w:rPr>
              <w:t>11.2. Valsts kases sagatavoto:</w:t>
            </w:r>
          </w:p>
          <w:p w14:paraId="2D616DCA" w14:textId="77777777" w:rsidR="00015328" w:rsidRPr="00B773E5" w:rsidRDefault="00015328" w:rsidP="00947EE9">
            <w:pPr>
              <w:tabs>
                <w:tab w:val="left" w:pos="539"/>
                <w:tab w:val="left" w:pos="1418"/>
              </w:tabs>
              <w:contextualSpacing/>
              <w:jc w:val="both"/>
              <w:rPr>
                <w:rFonts w:cs="Times New Roman"/>
                <w:sz w:val="20"/>
                <w:szCs w:val="20"/>
              </w:rPr>
            </w:pPr>
            <w:r w:rsidRPr="00B773E5">
              <w:rPr>
                <w:rFonts w:cs="Times New Roman"/>
                <w:sz w:val="20"/>
                <w:szCs w:val="20"/>
              </w:rPr>
              <w:t>11.2.1.valsts budžeta finanšu uzskaites pārskatu;</w:t>
            </w:r>
          </w:p>
          <w:p w14:paraId="0DBDB288" w14:textId="77777777" w:rsidR="00015328" w:rsidRPr="00B773E5" w:rsidRDefault="00015328" w:rsidP="00947EE9">
            <w:pPr>
              <w:tabs>
                <w:tab w:val="left" w:pos="539"/>
                <w:tab w:val="left" w:pos="1418"/>
              </w:tabs>
              <w:contextualSpacing/>
              <w:jc w:val="both"/>
              <w:rPr>
                <w:rFonts w:cs="Times New Roman"/>
                <w:sz w:val="20"/>
                <w:szCs w:val="20"/>
              </w:rPr>
            </w:pPr>
            <w:r w:rsidRPr="00B773E5">
              <w:rPr>
                <w:rFonts w:cs="Times New Roman"/>
                <w:sz w:val="20"/>
                <w:szCs w:val="20"/>
              </w:rPr>
              <w:t>11.2.2. ikgadējo pārskatu par valsts budžeta finanšu uzskaiti;</w:t>
            </w:r>
          </w:p>
          <w:p w14:paraId="4176BE35" w14:textId="77777777" w:rsidR="00015328" w:rsidRPr="00B773E5" w:rsidRDefault="00015328" w:rsidP="00947EE9">
            <w:pPr>
              <w:tabs>
                <w:tab w:val="left" w:pos="539"/>
                <w:tab w:val="left" w:pos="1418"/>
              </w:tabs>
              <w:contextualSpacing/>
              <w:jc w:val="both"/>
              <w:rPr>
                <w:rFonts w:cs="Times New Roman"/>
                <w:sz w:val="20"/>
                <w:szCs w:val="20"/>
              </w:rPr>
            </w:pPr>
            <w:r w:rsidRPr="00B773E5">
              <w:rPr>
                <w:rFonts w:cs="Times New Roman"/>
                <w:sz w:val="20"/>
                <w:szCs w:val="20"/>
              </w:rPr>
              <w:t>11.3.Valsts ieņēmumu dienesta sagatavoto pārskatu par Valsts ieņēmumu dienesta administrētiem nodokļiem, nodevām un citiem tā administrētiem uz valsts budžetu attiecināmiem maksājumiem.</w:t>
            </w:r>
          </w:p>
          <w:bookmarkEnd w:id="4"/>
          <w:p w14:paraId="1C06C205" w14:textId="2B610A0A" w:rsidR="00015328" w:rsidRPr="00D61746" w:rsidRDefault="00015328" w:rsidP="00947EE9">
            <w:pPr>
              <w:ind w:right="140" w:firstLine="403"/>
              <w:jc w:val="both"/>
              <w:rPr>
                <w:sz w:val="20"/>
                <w:szCs w:val="20"/>
              </w:rPr>
            </w:pPr>
          </w:p>
        </w:tc>
      </w:tr>
      <w:tr w:rsidR="00015328" w:rsidRPr="00371654" w14:paraId="2471D5B2"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shd w:val="clear" w:color="auto" w:fill="auto"/>
          </w:tcPr>
          <w:p w14:paraId="2F964F6D" w14:textId="62DF3F8F" w:rsidR="00015328" w:rsidRPr="00371654" w:rsidDel="00DE437C" w:rsidRDefault="00015328" w:rsidP="008835AB">
            <w:pPr>
              <w:jc w:val="center"/>
              <w:rPr>
                <w:rFonts w:eastAsia="Times New Roman" w:cs="Times New Roman"/>
                <w:sz w:val="20"/>
                <w:szCs w:val="24"/>
                <w:lang w:eastAsia="lv-LV"/>
              </w:rPr>
            </w:pPr>
            <w:r w:rsidRPr="00371654">
              <w:rPr>
                <w:rFonts w:eastAsia="Times New Roman" w:cs="Times New Roman"/>
                <w:sz w:val="20"/>
                <w:szCs w:val="20"/>
                <w:lang w:eastAsia="lv-LV"/>
              </w:rPr>
              <w:t>2</w:t>
            </w:r>
            <w:r w:rsidR="008835AB">
              <w:rPr>
                <w:rFonts w:eastAsia="Times New Roman" w:cs="Times New Roman"/>
                <w:sz w:val="20"/>
                <w:szCs w:val="20"/>
                <w:lang w:eastAsia="lv-LV"/>
              </w:rPr>
              <w:t>1</w:t>
            </w:r>
            <w:r w:rsidRPr="00371654">
              <w:rPr>
                <w:rFonts w:eastAsia="Times New Roman" w:cs="Times New Roman"/>
                <w:sz w:val="20"/>
                <w:szCs w:val="20"/>
                <w:lang w:eastAsia="lv-LV"/>
              </w:rPr>
              <w:t>.</w:t>
            </w:r>
          </w:p>
        </w:tc>
        <w:tc>
          <w:tcPr>
            <w:tcW w:w="1064" w:type="pct"/>
            <w:tcBorders>
              <w:top w:val="outset" w:sz="6" w:space="0" w:color="414142"/>
              <w:left w:val="outset" w:sz="6" w:space="0" w:color="414142"/>
              <w:bottom w:val="outset" w:sz="6" w:space="0" w:color="414142"/>
              <w:right w:val="outset" w:sz="6" w:space="0" w:color="414142"/>
            </w:tcBorders>
            <w:shd w:val="clear" w:color="auto" w:fill="auto"/>
          </w:tcPr>
          <w:p w14:paraId="3471D21A" w14:textId="6950182E" w:rsidR="00015328" w:rsidRPr="00371654" w:rsidRDefault="00015328" w:rsidP="00947EE9">
            <w:pPr>
              <w:ind w:right="63"/>
              <w:jc w:val="both"/>
              <w:rPr>
                <w:sz w:val="20"/>
              </w:rPr>
            </w:pPr>
            <w:r w:rsidRPr="00D61746">
              <w:rPr>
                <w:rFonts w:eastAsia="Times New Roman" w:cs="Times New Roman"/>
                <w:sz w:val="20"/>
                <w:szCs w:val="20"/>
                <w:lang w:eastAsia="lv-LV"/>
              </w:rPr>
              <w:t>VII. Valsts konsolidētā parāda pārskata sagatavošana</w:t>
            </w:r>
          </w:p>
        </w:tc>
        <w:tc>
          <w:tcPr>
            <w:tcW w:w="1731" w:type="pct"/>
            <w:tcBorders>
              <w:top w:val="outset" w:sz="6" w:space="0" w:color="414142"/>
              <w:left w:val="outset" w:sz="6" w:space="0" w:color="414142"/>
              <w:bottom w:val="outset" w:sz="6" w:space="0" w:color="414142"/>
              <w:right w:val="outset" w:sz="6" w:space="0" w:color="414142"/>
            </w:tcBorders>
            <w:shd w:val="clear" w:color="auto" w:fill="auto"/>
          </w:tcPr>
          <w:p w14:paraId="40BC95B8" w14:textId="77777777" w:rsidR="00015328" w:rsidRPr="00D61746" w:rsidRDefault="00015328" w:rsidP="00947EE9">
            <w:pPr>
              <w:tabs>
                <w:tab w:val="left" w:pos="0"/>
                <w:tab w:val="left" w:pos="709"/>
                <w:tab w:val="left" w:pos="993"/>
              </w:tabs>
              <w:suppressAutoHyphens/>
              <w:jc w:val="both"/>
              <w:outlineLvl w:val="3"/>
              <w:rPr>
                <w:rFonts w:cs="Times New Roman"/>
                <w:sz w:val="20"/>
                <w:szCs w:val="24"/>
              </w:rPr>
            </w:pPr>
            <w:r w:rsidRPr="00D61746">
              <w:rPr>
                <w:rFonts w:cs="Times New Roman"/>
                <w:sz w:val="20"/>
                <w:szCs w:val="24"/>
              </w:rPr>
              <w:t>Tieslietu ministrija</w:t>
            </w:r>
          </w:p>
          <w:p w14:paraId="1DC89B19" w14:textId="77777777" w:rsidR="00015328" w:rsidRPr="00D61746" w:rsidRDefault="00015328" w:rsidP="00947EE9">
            <w:pPr>
              <w:tabs>
                <w:tab w:val="left" w:pos="0"/>
                <w:tab w:val="left" w:pos="709"/>
                <w:tab w:val="left" w:pos="993"/>
              </w:tabs>
              <w:suppressAutoHyphens/>
              <w:jc w:val="both"/>
              <w:outlineLvl w:val="3"/>
              <w:rPr>
                <w:rFonts w:cs="Times New Roman"/>
                <w:sz w:val="20"/>
                <w:szCs w:val="24"/>
              </w:rPr>
            </w:pPr>
            <w:r w:rsidRPr="00D61746">
              <w:rPr>
                <w:rFonts w:cs="Times New Roman"/>
                <w:sz w:val="20"/>
                <w:szCs w:val="24"/>
              </w:rPr>
              <w:t>15.</w:t>
            </w:r>
            <w:r w:rsidRPr="00D61746">
              <w:rPr>
                <w:rFonts w:cs="Times New Roman"/>
                <w:sz w:val="20"/>
                <w:szCs w:val="24"/>
              </w:rPr>
              <w:tab/>
              <w:t>Noteikumu projekta VII nodaļa paredz regulējumu par valsts konsolidētā parāda pārskata sagatavošanu.</w:t>
            </w:r>
          </w:p>
          <w:p w14:paraId="33F2CD19" w14:textId="77777777" w:rsidR="00015328" w:rsidRPr="00D61746" w:rsidRDefault="00015328" w:rsidP="00947EE9">
            <w:pPr>
              <w:tabs>
                <w:tab w:val="left" w:pos="0"/>
                <w:tab w:val="left" w:pos="709"/>
                <w:tab w:val="left" w:pos="993"/>
              </w:tabs>
              <w:suppressAutoHyphens/>
              <w:jc w:val="both"/>
              <w:outlineLvl w:val="3"/>
              <w:rPr>
                <w:rFonts w:cs="Times New Roman"/>
                <w:sz w:val="20"/>
                <w:szCs w:val="24"/>
              </w:rPr>
            </w:pPr>
            <w:r w:rsidRPr="00D61746">
              <w:rPr>
                <w:rFonts w:cs="Times New Roman"/>
                <w:sz w:val="20"/>
                <w:szCs w:val="24"/>
              </w:rPr>
              <w:t>Vēršam uzmanību, ka nav saprotama šādas nodaļas nepieciešamība un tajā ietvertais regulējums, jo šāds pārskats nav minēts noteikumu projekta 3., 4., 5. vai 6. punktā.</w:t>
            </w:r>
          </w:p>
          <w:p w14:paraId="0D96108E" w14:textId="04B308B5" w:rsidR="00015328" w:rsidRPr="00371654" w:rsidRDefault="00015328" w:rsidP="00947EE9">
            <w:pPr>
              <w:pStyle w:val="ListParagraph"/>
              <w:tabs>
                <w:tab w:val="left" w:pos="993"/>
              </w:tabs>
              <w:ind w:left="0"/>
              <w:jc w:val="both"/>
              <w:rPr>
                <w:sz w:val="20"/>
              </w:rPr>
            </w:pPr>
            <w:r w:rsidRPr="00D61746">
              <w:rPr>
                <w:sz w:val="20"/>
              </w:rPr>
              <w:t>Ņemot vērā minēto, lūdzam precizēt noteikumu projektu vai papildināt anotāciju ar skaidrojumu šāda regulējuma nepieciešamībai.</w:t>
            </w:r>
          </w:p>
        </w:tc>
        <w:tc>
          <w:tcPr>
            <w:tcW w:w="893" w:type="pct"/>
            <w:tcBorders>
              <w:top w:val="outset" w:sz="6" w:space="0" w:color="414142"/>
              <w:left w:val="outset" w:sz="6" w:space="0" w:color="414142"/>
              <w:bottom w:val="outset" w:sz="6" w:space="0" w:color="414142"/>
              <w:right w:val="outset" w:sz="6" w:space="0" w:color="414142"/>
            </w:tcBorders>
            <w:shd w:val="clear" w:color="auto" w:fill="auto"/>
          </w:tcPr>
          <w:p w14:paraId="6361CC50" w14:textId="77777777" w:rsidR="00015328" w:rsidRPr="00371654" w:rsidRDefault="00015328" w:rsidP="00947EE9">
            <w:pPr>
              <w:jc w:val="both"/>
              <w:rPr>
                <w:rFonts w:eastAsia="Times New Roman" w:cs="Times New Roman"/>
                <w:b/>
                <w:sz w:val="20"/>
                <w:szCs w:val="20"/>
                <w:lang w:eastAsia="lv-LV"/>
              </w:rPr>
            </w:pPr>
            <w:r w:rsidRPr="00371654">
              <w:rPr>
                <w:rFonts w:eastAsia="Times New Roman" w:cs="Times New Roman"/>
                <w:b/>
                <w:sz w:val="20"/>
                <w:szCs w:val="20"/>
                <w:lang w:eastAsia="lv-LV"/>
              </w:rPr>
              <w:t>Ņemts vērā un precizēts</w:t>
            </w:r>
          </w:p>
          <w:p w14:paraId="39E7FA9F" w14:textId="77777777" w:rsidR="00015328" w:rsidRPr="00D61746" w:rsidRDefault="00015328" w:rsidP="00947EE9">
            <w:pPr>
              <w:jc w:val="both"/>
              <w:rPr>
                <w:rFonts w:eastAsia="Times New Roman" w:cs="Times New Roman"/>
                <w:sz w:val="20"/>
                <w:szCs w:val="20"/>
                <w:lang w:eastAsia="lv-LV"/>
              </w:rPr>
            </w:pPr>
            <w:r w:rsidRPr="00B773E5">
              <w:rPr>
                <w:rFonts w:eastAsia="Times New Roman" w:cs="Times New Roman"/>
                <w:sz w:val="20"/>
                <w:szCs w:val="20"/>
                <w:lang w:eastAsia="lv-LV"/>
              </w:rPr>
              <w:t>Skaidrojam,</w:t>
            </w:r>
            <w:r w:rsidRPr="00D61746">
              <w:rPr>
                <w:rFonts w:eastAsia="Times New Roman" w:cs="Times New Roman"/>
                <w:sz w:val="20"/>
                <w:szCs w:val="20"/>
                <w:lang w:eastAsia="lv-LV"/>
              </w:rPr>
              <w:t xml:space="preserve"> ka pārskats par valsts konsolidēto parādu ir minēts MK noteikumu projekta 1.punktā, atbilstoši  Likumā par budžetu un finanšu vadību 31. panta otrajā daļā noteiktajam regulējumam, un 5.2. apakšpunktā.</w:t>
            </w:r>
          </w:p>
          <w:p w14:paraId="5105DAA5" w14:textId="13866C46" w:rsidR="00015328" w:rsidRPr="00371654" w:rsidRDefault="00015328" w:rsidP="00947EE9">
            <w:pPr>
              <w:autoSpaceDE w:val="0"/>
              <w:autoSpaceDN w:val="0"/>
              <w:adjustRightInd w:val="0"/>
              <w:jc w:val="both"/>
              <w:rPr>
                <w:b/>
                <w:sz w:val="20"/>
              </w:rPr>
            </w:pPr>
            <w:r w:rsidRPr="00D61746">
              <w:rPr>
                <w:rFonts w:eastAsia="Times New Roman" w:cs="Times New Roman"/>
                <w:sz w:val="20"/>
                <w:szCs w:val="20"/>
                <w:lang w:eastAsia="lv-LV"/>
              </w:rPr>
              <w:t>Vienlaikus precizēts n</w:t>
            </w:r>
            <w:r w:rsidRPr="00D61746">
              <w:rPr>
                <w:rFonts w:cs="Times New Roman"/>
                <w:sz w:val="20"/>
                <w:szCs w:val="24"/>
              </w:rPr>
              <w:t xml:space="preserve">oteikumu projekta VII nodaļas nosaukums, lai saskaņotu ar </w:t>
            </w:r>
            <w:r w:rsidRPr="00D61746">
              <w:rPr>
                <w:rFonts w:eastAsia="Times New Roman" w:cs="Times New Roman"/>
                <w:sz w:val="20"/>
                <w:szCs w:val="20"/>
                <w:lang w:eastAsia="lv-LV"/>
              </w:rPr>
              <w:t>Likumā par budžetu un finanšu vadību 31. panta otrajā daļā noteikto regulējumu.</w:t>
            </w:r>
          </w:p>
        </w:tc>
        <w:tc>
          <w:tcPr>
            <w:tcW w:w="1060" w:type="pct"/>
            <w:tcBorders>
              <w:top w:val="outset" w:sz="6" w:space="0" w:color="414142"/>
              <w:left w:val="outset" w:sz="6" w:space="0" w:color="414142"/>
              <w:bottom w:val="outset" w:sz="6" w:space="0" w:color="414142"/>
              <w:right w:val="outset" w:sz="6" w:space="0" w:color="414142"/>
            </w:tcBorders>
            <w:shd w:val="clear" w:color="auto" w:fill="auto"/>
          </w:tcPr>
          <w:p w14:paraId="68A1DB95" w14:textId="0992B700" w:rsidR="00015328" w:rsidRPr="00B773E5" w:rsidRDefault="00015328" w:rsidP="00947EE9">
            <w:pPr>
              <w:tabs>
                <w:tab w:val="left" w:pos="1134"/>
              </w:tabs>
              <w:contextualSpacing/>
              <w:jc w:val="both"/>
              <w:rPr>
                <w:rFonts w:cs="Times New Roman"/>
                <w:sz w:val="20"/>
                <w:szCs w:val="20"/>
              </w:rPr>
            </w:pPr>
            <w:r w:rsidRPr="00B773E5">
              <w:rPr>
                <w:rFonts w:eastAsia="Times New Roman" w:cs="Times New Roman"/>
                <w:sz w:val="20"/>
                <w:szCs w:val="20"/>
                <w:lang w:eastAsia="lv-LV"/>
              </w:rPr>
              <w:t>VI. Pārskata par valsts konsolidēto parādu un tā pielikumu sagatavošana</w:t>
            </w:r>
          </w:p>
        </w:tc>
      </w:tr>
      <w:tr w:rsidR="00015328" w:rsidRPr="005B6DEE" w14:paraId="49A66403"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3EA90958" w14:textId="29963581" w:rsidR="00015328" w:rsidRPr="00536150" w:rsidRDefault="00015328" w:rsidP="008835AB">
            <w:pPr>
              <w:jc w:val="center"/>
              <w:rPr>
                <w:rFonts w:eastAsia="Times New Roman" w:cs="Times New Roman"/>
                <w:szCs w:val="24"/>
                <w:lang w:eastAsia="lv-LV"/>
              </w:rPr>
            </w:pPr>
            <w:r>
              <w:rPr>
                <w:rFonts w:eastAsia="Times New Roman" w:cs="Times New Roman"/>
                <w:sz w:val="20"/>
                <w:szCs w:val="24"/>
                <w:lang w:eastAsia="lv-LV"/>
              </w:rPr>
              <w:t>2</w:t>
            </w:r>
            <w:r w:rsidR="008835AB">
              <w:rPr>
                <w:rFonts w:eastAsia="Times New Roman" w:cs="Times New Roman"/>
                <w:sz w:val="20"/>
                <w:szCs w:val="24"/>
                <w:lang w:eastAsia="lv-LV"/>
              </w:rPr>
              <w:t>2</w:t>
            </w:r>
            <w:r w:rsidRPr="00102248">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75D84823" w14:textId="77777777" w:rsidR="00015328" w:rsidRPr="00536150" w:rsidRDefault="00015328" w:rsidP="00947EE9">
            <w:pPr>
              <w:ind w:right="63"/>
              <w:jc w:val="both"/>
              <w:rPr>
                <w:sz w:val="20"/>
              </w:rPr>
            </w:pPr>
            <w:r w:rsidRPr="00536150">
              <w:rPr>
                <w:sz w:val="20"/>
              </w:rPr>
              <w:t>Noteikumu projekts:</w:t>
            </w:r>
          </w:p>
          <w:p w14:paraId="05545863" w14:textId="77777777" w:rsidR="00015328" w:rsidRPr="00536150" w:rsidRDefault="00015328" w:rsidP="00947EE9">
            <w:pPr>
              <w:ind w:right="63"/>
              <w:jc w:val="both"/>
              <w:rPr>
                <w:sz w:val="20"/>
              </w:rPr>
            </w:pPr>
            <w:r w:rsidRPr="00536150">
              <w:rPr>
                <w:sz w:val="20"/>
              </w:rPr>
              <w:t>9.Valsts kase savā tīmekļa vietnē publicē:</w:t>
            </w:r>
          </w:p>
          <w:p w14:paraId="0FCF7036" w14:textId="77777777" w:rsidR="00015328" w:rsidRPr="00536150" w:rsidRDefault="00015328" w:rsidP="00947EE9">
            <w:pPr>
              <w:ind w:right="63"/>
              <w:jc w:val="both"/>
              <w:rPr>
                <w:sz w:val="20"/>
              </w:rPr>
            </w:pPr>
            <w:r w:rsidRPr="00536150">
              <w:rPr>
                <w:sz w:val="20"/>
              </w:rPr>
              <w:t>9.1.nerevidētu pārskatu – trīs darba dienu laikā pēc Likumā par budžetu un finanšu vadību noteiktā termiņa par pārskata iesniegšanu Valsts kontrolē;</w:t>
            </w:r>
          </w:p>
          <w:p w14:paraId="24107B78" w14:textId="77777777" w:rsidR="00015328" w:rsidRPr="00536150" w:rsidRDefault="00015328" w:rsidP="00947EE9">
            <w:pPr>
              <w:ind w:right="63"/>
              <w:jc w:val="both"/>
              <w:rPr>
                <w:sz w:val="20"/>
              </w:rPr>
            </w:pPr>
            <w:r w:rsidRPr="00536150">
              <w:rPr>
                <w:sz w:val="20"/>
              </w:rPr>
              <w:t>9.2.revidētu pārskatu – trīs darba dienu laikā pēc pārskata izskatīšanas Ministru kabineta sēdē.</w:t>
            </w:r>
          </w:p>
          <w:p w14:paraId="275D78BF" w14:textId="77777777" w:rsidR="00015328" w:rsidRPr="00536150" w:rsidRDefault="00015328" w:rsidP="00947EE9">
            <w:pPr>
              <w:ind w:right="63"/>
              <w:jc w:val="both"/>
              <w:rPr>
                <w:sz w:val="20"/>
              </w:rPr>
            </w:pPr>
            <w:r w:rsidRPr="00536150">
              <w:rPr>
                <w:sz w:val="20"/>
              </w:rPr>
              <w:t>11.Valsts kase izstrādā pārskata sagatavošanas veidlapas un publicē tās Valsts kases tīmekļa vietnē.</w:t>
            </w:r>
          </w:p>
          <w:p w14:paraId="47EDFC2C" w14:textId="77777777" w:rsidR="00015328" w:rsidRPr="00536150" w:rsidRDefault="00015328" w:rsidP="00947EE9">
            <w:pPr>
              <w:ind w:right="63"/>
              <w:jc w:val="both"/>
              <w:rPr>
                <w:sz w:val="20"/>
              </w:rPr>
            </w:pPr>
            <w:r w:rsidRPr="00536150">
              <w:rPr>
                <w:sz w:val="20"/>
              </w:rPr>
              <w:t>21.</w:t>
            </w:r>
            <w:r w:rsidRPr="00536150">
              <w:rPr>
                <w:sz w:val="20"/>
              </w:rPr>
              <w:tab/>
              <w:t>Detalizēta informācija par konsolidācijā iesaistītajām vienībām pieejama Valsts kases tīmekļa vietnē.</w:t>
            </w:r>
          </w:p>
          <w:p w14:paraId="0FEFF416" w14:textId="77777777" w:rsidR="00015328" w:rsidRPr="00536150" w:rsidRDefault="00015328" w:rsidP="00947EE9">
            <w:pPr>
              <w:ind w:right="63"/>
              <w:jc w:val="both"/>
              <w:rPr>
                <w:sz w:val="20"/>
              </w:rPr>
            </w:pPr>
            <w:r w:rsidRPr="00536150">
              <w:rPr>
                <w:sz w:val="20"/>
              </w:rPr>
              <w:t>36.</w:t>
            </w:r>
            <w:r w:rsidRPr="00536150">
              <w:rPr>
                <w:sz w:val="20"/>
              </w:rPr>
              <w:tab/>
              <w:t>Detalizēta informācija par budžeta izpildi konsolidācijā iesaistītajās vienībās pieejama Valsts kases tīmekļa vietnē.</w:t>
            </w:r>
          </w:p>
          <w:p w14:paraId="0373AA24" w14:textId="77777777" w:rsidR="00015328" w:rsidRPr="00536150" w:rsidRDefault="00015328" w:rsidP="00947EE9">
            <w:pPr>
              <w:ind w:right="63"/>
              <w:jc w:val="both"/>
              <w:rPr>
                <w:sz w:val="20"/>
              </w:rPr>
            </w:pPr>
          </w:p>
          <w:p w14:paraId="0752D8C2" w14:textId="77777777" w:rsidR="00015328" w:rsidRPr="00536150" w:rsidRDefault="00015328" w:rsidP="00947EE9">
            <w:pPr>
              <w:ind w:right="63"/>
              <w:jc w:val="both"/>
              <w:rPr>
                <w:sz w:val="20"/>
              </w:rPr>
            </w:pPr>
            <w:r w:rsidRPr="00536150">
              <w:rPr>
                <w:sz w:val="20"/>
              </w:rPr>
              <w:t xml:space="preserve">Anotācija/ I. Tiesību akta projekta izstrādes nepieciešamība/ </w:t>
            </w:r>
          </w:p>
          <w:p w14:paraId="10524E5D" w14:textId="77777777" w:rsidR="00015328" w:rsidRPr="00536150" w:rsidRDefault="00015328" w:rsidP="00947EE9">
            <w:pPr>
              <w:ind w:right="63"/>
              <w:jc w:val="both"/>
              <w:rPr>
                <w:sz w:val="20"/>
              </w:rPr>
            </w:pPr>
            <w:r w:rsidRPr="00536150">
              <w:rPr>
                <w:sz w:val="20"/>
              </w:rPr>
              <w:t>2.Pašreizējā situācija un problēmas, kuru risināšanai tiesību akta projekts izstrādāts, tiesiskā regulējuma mērķis un būtība:</w:t>
            </w:r>
          </w:p>
          <w:p w14:paraId="40950EFE" w14:textId="77777777" w:rsidR="00015328" w:rsidRPr="00536150" w:rsidRDefault="00015328" w:rsidP="00947EE9">
            <w:pPr>
              <w:ind w:right="63"/>
              <w:jc w:val="both"/>
              <w:rPr>
                <w:sz w:val="20"/>
              </w:rPr>
            </w:pPr>
            <w:r w:rsidRPr="00536150">
              <w:rPr>
                <w:sz w:val="20"/>
              </w:rPr>
              <w:t>Noteikumu projektā noteikts, ka Valsts kase izstrādā pārskata veidlapas un publicē tās Valsts kases tīmekļa vietnē. Valsts kase izvērtējusi pārskata saturu un veidlapās sniedzamo informāciju, kā arī to, ka:</w:t>
            </w:r>
          </w:p>
          <w:p w14:paraId="316CEB82" w14:textId="77777777" w:rsidR="00015328" w:rsidRPr="00536150" w:rsidRDefault="00015328" w:rsidP="00947EE9">
            <w:pPr>
              <w:ind w:right="63"/>
              <w:jc w:val="both"/>
              <w:rPr>
                <w:sz w:val="20"/>
              </w:rPr>
            </w:pPr>
            <w:r w:rsidRPr="00536150">
              <w:rPr>
                <w:sz w:val="20"/>
              </w:rPr>
              <w:t>– veidlapās sniedzamā informācija ir konsolidētā informācija no MK noteikumos Nr.344 un budžeta iestāžu pārskatu sagatavošanas vadlīnijās detalizēti aprakstītajām pārskatu veidlapām;</w:t>
            </w:r>
          </w:p>
          <w:p w14:paraId="3A93ADC6" w14:textId="77777777" w:rsidR="00015328" w:rsidRPr="00536150" w:rsidRDefault="00015328" w:rsidP="00947EE9">
            <w:pPr>
              <w:ind w:right="63"/>
              <w:jc w:val="both"/>
              <w:rPr>
                <w:sz w:val="20"/>
              </w:rPr>
            </w:pPr>
            <w:r w:rsidRPr="00536150">
              <w:rPr>
                <w:sz w:val="20"/>
              </w:rPr>
              <w:t>– pārskata sagatavošana un konsolidēšana tiek veikta ePārskatu sistēmā pēc vienotām pārskatu sagatavošanas veidlapām visos konsolidācijas līmeņos;</w:t>
            </w:r>
          </w:p>
          <w:p w14:paraId="4E7E4CB6" w14:textId="77777777" w:rsidR="00015328" w:rsidRPr="00536150" w:rsidRDefault="00015328" w:rsidP="00947EE9">
            <w:pPr>
              <w:ind w:right="63"/>
              <w:jc w:val="both"/>
              <w:rPr>
                <w:sz w:val="20"/>
              </w:rPr>
            </w:pPr>
            <w:r w:rsidRPr="00536150">
              <w:rPr>
                <w:sz w:val="20"/>
              </w:rPr>
              <w:t>–  un ņemot vērā Valsts kancelejas 2019.gada 14.novembra prezentācijā ietvertos priekšlikumus par normatīvisma mazināšanu veidlapās normatīvajos aktos, ka:</w:t>
            </w:r>
          </w:p>
          <w:p w14:paraId="5E51BC67" w14:textId="77777777" w:rsidR="00015328" w:rsidRPr="00536150" w:rsidRDefault="00015328" w:rsidP="00947EE9">
            <w:pPr>
              <w:ind w:right="63"/>
              <w:jc w:val="both"/>
              <w:rPr>
                <w:sz w:val="20"/>
              </w:rPr>
            </w:pPr>
            <w:r w:rsidRPr="00536150">
              <w:rPr>
                <w:sz w:val="20"/>
              </w:rPr>
              <w:t>o jāizslēdz likumā dotais deleģējums Ministru kabinetam apstiprināt veidlapu;</w:t>
            </w:r>
          </w:p>
          <w:p w14:paraId="00B5B6E7" w14:textId="77777777" w:rsidR="00015328" w:rsidRPr="00536150" w:rsidRDefault="00015328" w:rsidP="00947EE9">
            <w:pPr>
              <w:ind w:right="63"/>
              <w:jc w:val="both"/>
              <w:rPr>
                <w:sz w:val="20"/>
              </w:rPr>
            </w:pPr>
            <w:r w:rsidRPr="00536150">
              <w:rPr>
                <w:sz w:val="20"/>
              </w:rPr>
              <w:t>o ja nepieciešams, likumā jānosaka vai jāprecizē iesniedzamās ziņas (veidlapā norādāmo informāciju);</w:t>
            </w:r>
          </w:p>
          <w:p w14:paraId="56367C94" w14:textId="77777777" w:rsidR="00015328" w:rsidRPr="00536150" w:rsidRDefault="00015328" w:rsidP="00947EE9">
            <w:pPr>
              <w:ind w:right="63"/>
              <w:jc w:val="both"/>
              <w:rPr>
                <w:sz w:val="20"/>
              </w:rPr>
            </w:pPr>
            <w:r w:rsidRPr="00536150">
              <w:rPr>
                <w:sz w:val="20"/>
              </w:rPr>
              <w:t>o veidlapas dizainu un formu kā ilustratīvu materiālu iestāde publicē savā tīmekļa vietnē.</w:t>
            </w:r>
          </w:p>
          <w:p w14:paraId="0356309B" w14:textId="77777777" w:rsidR="00015328" w:rsidRPr="00536150" w:rsidRDefault="00015328" w:rsidP="00947EE9">
            <w:pPr>
              <w:ind w:right="63"/>
              <w:jc w:val="both"/>
              <w:rPr>
                <w:sz w:val="20"/>
              </w:rPr>
            </w:pPr>
            <w:r w:rsidRPr="00536150">
              <w:rPr>
                <w:sz w:val="20"/>
              </w:rPr>
              <w:t>Ņemot vērā iepriekš minēto, Valsts kase, izstrādājot normatīvo regulējumu, pārskatu veidlapas nav ietvērusi noteikumu projektā, bet to dizainu un formu kā ilustratīvu materiālu publicēs Valsts kases tīmekļa vietnē.</w:t>
            </w:r>
          </w:p>
          <w:p w14:paraId="1C936C66" w14:textId="77777777" w:rsidR="00015328" w:rsidRPr="00536150" w:rsidRDefault="00015328" w:rsidP="00947EE9">
            <w:pPr>
              <w:ind w:right="63"/>
              <w:jc w:val="both"/>
              <w:rPr>
                <w:sz w:val="20"/>
              </w:rPr>
            </w:pPr>
            <w:r w:rsidRPr="00536150">
              <w:rPr>
                <w:sz w:val="20"/>
              </w:rPr>
              <w:t>Vienlaikus Valsts kases tīmekļa vietnē jau ir pieejamas  gada pārskata sagatavošanas vadlīnijas budžeta iestādēm, adrese:</w:t>
            </w:r>
          </w:p>
          <w:p w14:paraId="5EB24079" w14:textId="77777777" w:rsidR="00015328" w:rsidRPr="00536150" w:rsidRDefault="00015328" w:rsidP="00947EE9">
            <w:pPr>
              <w:ind w:right="63"/>
              <w:jc w:val="both"/>
              <w:rPr>
                <w:sz w:val="20"/>
              </w:rPr>
            </w:pPr>
            <w:r w:rsidRPr="00536150">
              <w:rPr>
                <w:sz w:val="20"/>
              </w:rPr>
              <w:t>https://www.kase.gov.lv/metodika/rokasgramatas-un-vadlinijas/vadlinijas,</w:t>
            </w:r>
          </w:p>
          <w:p w14:paraId="77603D5E" w14:textId="77777777" w:rsidR="00015328" w:rsidRPr="00536150" w:rsidRDefault="00015328" w:rsidP="00947EE9">
            <w:pPr>
              <w:ind w:right="63"/>
              <w:jc w:val="both"/>
              <w:rPr>
                <w:sz w:val="20"/>
              </w:rPr>
            </w:pPr>
            <w:r w:rsidRPr="00536150">
              <w:rPr>
                <w:sz w:val="20"/>
              </w:rPr>
              <w:t>kurās sniegts detalizēts apraksts par pārskata veidlapās sniedzamo informāciju un tajās noteiktie pamatprincipi piemērojami, sagatavojot un konsolidējot saimnieciskā gada pārskatu un tā:</w:t>
            </w:r>
          </w:p>
          <w:p w14:paraId="421F3011" w14:textId="77777777" w:rsidR="00015328" w:rsidRPr="00536150" w:rsidRDefault="00015328" w:rsidP="00947EE9">
            <w:pPr>
              <w:ind w:right="63"/>
              <w:jc w:val="both"/>
              <w:rPr>
                <w:sz w:val="20"/>
              </w:rPr>
            </w:pPr>
            <w:r w:rsidRPr="00536150">
              <w:rPr>
                <w:sz w:val="20"/>
              </w:rPr>
              <w:t>–</w:t>
            </w:r>
            <w:r w:rsidRPr="00536150">
              <w:rPr>
                <w:sz w:val="20"/>
              </w:rPr>
              <w:tab/>
              <w:t>finanšu pārskata veidlapas;</w:t>
            </w:r>
          </w:p>
          <w:p w14:paraId="4183CBD3" w14:textId="77777777" w:rsidR="00015328" w:rsidRPr="00536150" w:rsidRDefault="00015328" w:rsidP="00947EE9">
            <w:pPr>
              <w:ind w:right="63"/>
              <w:jc w:val="both"/>
              <w:rPr>
                <w:sz w:val="20"/>
              </w:rPr>
            </w:pPr>
            <w:r w:rsidRPr="00536150">
              <w:rPr>
                <w:sz w:val="20"/>
              </w:rPr>
              <w:t>–</w:t>
            </w:r>
            <w:r w:rsidRPr="00536150">
              <w:rPr>
                <w:sz w:val="20"/>
              </w:rPr>
              <w:tab/>
              <w:t>budžeta izpildes pārskata veidlapas.</w:t>
            </w:r>
          </w:p>
        </w:tc>
        <w:tc>
          <w:tcPr>
            <w:tcW w:w="1731" w:type="pct"/>
            <w:tcBorders>
              <w:top w:val="outset" w:sz="6" w:space="0" w:color="414142"/>
              <w:left w:val="outset" w:sz="6" w:space="0" w:color="414142"/>
              <w:bottom w:val="outset" w:sz="6" w:space="0" w:color="414142"/>
              <w:right w:val="outset" w:sz="6" w:space="0" w:color="414142"/>
            </w:tcBorders>
          </w:tcPr>
          <w:p w14:paraId="782F3AB6" w14:textId="77777777" w:rsidR="00015328" w:rsidRPr="00102248" w:rsidRDefault="00015328" w:rsidP="00947EE9">
            <w:pPr>
              <w:jc w:val="both"/>
              <w:rPr>
                <w:sz w:val="20"/>
              </w:rPr>
            </w:pPr>
            <w:r w:rsidRPr="00102248">
              <w:rPr>
                <w:sz w:val="20"/>
              </w:rPr>
              <w:t>Tieslietu ministrija</w:t>
            </w:r>
          </w:p>
          <w:p w14:paraId="46EC48E2" w14:textId="77777777" w:rsidR="00015328" w:rsidRPr="00102248" w:rsidRDefault="00015328" w:rsidP="00947EE9">
            <w:pPr>
              <w:jc w:val="both"/>
              <w:rPr>
                <w:sz w:val="20"/>
              </w:rPr>
            </w:pPr>
            <w:r w:rsidRPr="00102248">
              <w:rPr>
                <w:sz w:val="20"/>
              </w:rPr>
              <w:t>16.</w:t>
            </w:r>
            <w:r w:rsidRPr="00102248">
              <w:rPr>
                <w:sz w:val="20"/>
              </w:rPr>
              <w:tab/>
              <w:t>Ņemot vērā, ka no Likuma par budžetu un finanšu vadību 31. panta un noteikumu projekta 1. punkta izriet, ka saimnieciskā gada pārskatu sagatavo Finanšu ministrija, tad nav saprotams, kāpēc noteikumu projektā ir jāregulē jautājumi, kas attiecas uz detalizētas informācijas vai veidlapu publicēšanu Valsts kases tīmekļa vietnē (piemēram, noteikumu projekta 9., 11., 21. un 36. punkts) un kam šī informācija ir adresēta (nepieciešama).</w:t>
            </w:r>
          </w:p>
          <w:p w14:paraId="71B4EE2D" w14:textId="77777777" w:rsidR="00015328" w:rsidRPr="00102248" w:rsidRDefault="00015328" w:rsidP="00947EE9">
            <w:pPr>
              <w:jc w:val="both"/>
              <w:rPr>
                <w:sz w:val="20"/>
              </w:rPr>
            </w:pPr>
            <w:r w:rsidRPr="00102248">
              <w:rPr>
                <w:sz w:val="20"/>
              </w:rPr>
              <w:t>Lūdzam precizēt noteikumu projektu vai papildināt anotāciju ar minēto informāciju.</w:t>
            </w:r>
          </w:p>
        </w:tc>
        <w:tc>
          <w:tcPr>
            <w:tcW w:w="893" w:type="pct"/>
            <w:tcBorders>
              <w:top w:val="outset" w:sz="6" w:space="0" w:color="414142"/>
              <w:left w:val="outset" w:sz="6" w:space="0" w:color="414142"/>
              <w:bottom w:val="outset" w:sz="6" w:space="0" w:color="414142"/>
              <w:right w:val="outset" w:sz="6" w:space="0" w:color="414142"/>
            </w:tcBorders>
          </w:tcPr>
          <w:p w14:paraId="452219A7" w14:textId="77777777" w:rsidR="00015328" w:rsidRPr="00102248" w:rsidRDefault="00015328" w:rsidP="00947EE9">
            <w:pPr>
              <w:autoSpaceDE w:val="0"/>
              <w:autoSpaceDN w:val="0"/>
              <w:adjustRightInd w:val="0"/>
              <w:jc w:val="both"/>
              <w:rPr>
                <w:b/>
                <w:sz w:val="20"/>
              </w:rPr>
            </w:pPr>
            <w:r w:rsidRPr="00102248">
              <w:rPr>
                <w:b/>
                <w:sz w:val="20"/>
              </w:rPr>
              <w:t>Ņemts vērā</w:t>
            </w:r>
          </w:p>
          <w:p w14:paraId="483EE553" w14:textId="6E3BC1B1" w:rsidR="00015328" w:rsidRPr="00102248" w:rsidRDefault="00015328" w:rsidP="00947EE9">
            <w:pPr>
              <w:autoSpaceDE w:val="0"/>
              <w:autoSpaceDN w:val="0"/>
              <w:adjustRightInd w:val="0"/>
              <w:jc w:val="both"/>
              <w:rPr>
                <w:sz w:val="20"/>
              </w:rPr>
            </w:pPr>
            <w:r w:rsidRPr="00102248">
              <w:rPr>
                <w:sz w:val="20"/>
              </w:rPr>
              <w:t xml:space="preserve">9.punkts izslēgts no noteikumu projekta un </w:t>
            </w:r>
            <w:r>
              <w:rPr>
                <w:sz w:val="20"/>
              </w:rPr>
              <w:t xml:space="preserve">tā </w:t>
            </w:r>
            <w:r w:rsidRPr="00102248">
              <w:rPr>
                <w:sz w:val="20"/>
              </w:rPr>
              <w:t>skaidrojums ietverts anotācijā.</w:t>
            </w:r>
          </w:p>
          <w:p w14:paraId="1D9C01BD" w14:textId="46947F12" w:rsidR="00015328" w:rsidRPr="00D61746" w:rsidRDefault="00015328" w:rsidP="00947EE9">
            <w:pPr>
              <w:tabs>
                <w:tab w:val="left" w:pos="1134"/>
              </w:tabs>
              <w:contextualSpacing/>
              <w:jc w:val="both"/>
              <w:rPr>
                <w:rFonts w:cs="Times New Roman"/>
                <w:sz w:val="20"/>
                <w:szCs w:val="20"/>
              </w:rPr>
            </w:pPr>
            <w:r w:rsidRPr="00D61746">
              <w:rPr>
                <w:sz w:val="20"/>
              </w:rPr>
              <w:t xml:space="preserve">Anotācijas </w:t>
            </w:r>
            <w:r w:rsidRPr="00D61746">
              <w:rPr>
                <w:rFonts w:cs="Times New Roman"/>
                <w:sz w:val="20"/>
                <w:szCs w:val="20"/>
              </w:rPr>
              <w:t xml:space="preserve">I.nodaļas “Tiesību akta projekta izstrādes nepieciešamība” 2.punkts </w:t>
            </w:r>
          </w:p>
          <w:p w14:paraId="2FF069D6" w14:textId="1051BA5E" w:rsidR="00015328" w:rsidRPr="00102248" w:rsidRDefault="00015328" w:rsidP="00947EE9">
            <w:pPr>
              <w:autoSpaceDE w:val="0"/>
              <w:autoSpaceDN w:val="0"/>
              <w:adjustRightInd w:val="0"/>
              <w:jc w:val="both"/>
              <w:rPr>
                <w:sz w:val="20"/>
              </w:rPr>
            </w:pPr>
            <w:r w:rsidRPr="00D61746">
              <w:rPr>
                <w:rFonts w:cs="Times New Roman"/>
                <w:sz w:val="20"/>
                <w:szCs w:val="20"/>
              </w:rPr>
              <w:t>“Pašreizējā situācija un problēmas, kuru risināšanai tiesību akta projekts izstrādāts, tiesiskā regulējuma mērķis un būtība</w:t>
            </w:r>
            <w:r>
              <w:rPr>
                <w:rFonts w:cs="Times New Roman"/>
                <w:sz w:val="20"/>
                <w:szCs w:val="20"/>
                <w:u w:val="single"/>
              </w:rPr>
              <w:t>”</w:t>
            </w:r>
            <w:r w:rsidRPr="00102248">
              <w:rPr>
                <w:sz w:val="20"/>
              </w:rPr>
              <w:t xml:space="preserve"> papildināt</w:t>
            </w:r>
            <w:r>
              <w:rPr>
                <w:sz w:val="20"/>
              </w:rPr>
              <w:t>s</w:t>
            </w:r>
            <w:r w:rsidRPr="00102248">
              <w:rPr>
                <w:sz w:val="20"/>
              </w:rPr>
              <w:t xml:space="preserve"> ar 11.punktā ietvertā normatīvā regulējuma skaidrojumu un salīdzinājumu ar pašreiz spēkā esošo normatīvo regulējumu. </w:t>
            </w:r>
          </w:p>
          <w:p w14:paraId="3518F190" w14:textId="77777777" w:rsidR="00015328" w:rsidRPr="00102248" w:rsidRDefault="00015328" w:rsidP="00947EE9">
            <w:pPr>
              <w:autoSpaceDE w:val="0"/>
              <w:autoSpaceDN w:val="0"/>
              <w:adjustRightInd w:val="0"/>
              <w:jc w:val="both"/>
              <w:rPr>
                <w:sz w:val="20"/>
              </w:rPr>
            </w:pPr>
            <w:r w:rsidRPr="00102248">
              <w:rPr>
                <w:sz w:val="20"/>
              </w:rPr>
              <w:t>Noteikumu projekta 21. un 36.punktā ietvertais regulējums paredzēts, lai nodrošinātu pārskata izmantotājiem finanšu un statistikas jomā nepieciešamo detalizāciju.</w:t>
            </w:r>
          </w:p>
        </w:tc>
        <w:tc>
          <w:tcPr>
            <w:tcW w:w="1060" w:type="pct"/>
            <w:tcBorders>
              <w:top w:val="outset" w:sz="6" w:space="0" w:color="414142"/>
              <w:left w:val="outset" w:sz="6" w:space="0" w:color="414142"/>
              <w:bottom w:val="outset" w:sz="6" w:space="0" w:color="414142"/>
              <w:right w:val="outset" w:sz="6" w:space="0" w:color="414142"/>
            </w:tcBorders>
          </w:tcPr>
          <w:p w14:paraId="18F7EB58" w14:textId="6722E7D1" w:rsidR="00015328" w:rsidRPr="00F87295" w:rsidRDefault="00015328" w:rsidP="00947EE9">
            <w:pPr>
              <w:tabs>
                <w:tab w:val="left" w:pos="1134"/>
              </w:tabs>
              <w:contextualSpacing/>
              <w:jc w:val="both"/>
              <w:rPr>
                <w:rFonts w:cs="Times New Roman"/>
                <w:sz w:val="20"/>
                <w:szCs w:val="20"/>
              </w:rPr>
            </w:pPr>
            <w:r w:rsidRPr="00F87295">
              <w:rPr>
                <w:rFonts w:cs="Times New Roman"/>
                <w:sz w:val="20"/>
                <w:szCs w:val="20"/>
              </w:rPr>
              <w:t xml:space="preserve">Anotācija/ I. Tiesību akta projekta izstrādes nepieciešamība/ </w:t>
            </w:r>
          </w:p>
          <w:p w14:paraId="04258E74" w14:textId="66E94A79" w:rsidR="00015328" w:rsidRPr="00F87295" w:rsidRDefault="00015328" w:rsidP="00947EE9">
            <w:pPr>
              <w:tabs>
                <w:tab w:val="left" w:pos="1134"/>
              </w:tabs>
              <w:contextualSpacing/>
              <w:jc w:val="both"/>
              <w:rPr>
                <w:rFonts w:cs="Times New Roman"/>
                <w:b/>
                <w:sz w:val="20"/>
                <w:szCs w:val="20"/>
              </w:rPr>
            </w:pPr>
            <w:r w:rsidRPr="00F87295">
              <w:rPr>
                <w:rFonts w:cs="Times New Roman"/>
                <w:sz w:val="20"/>
                <w:szCs w:val="20"/>
              </w:rPr>
              <w:t>2.Pašreizējā situācija un problēmas, kuru risināšanai tiesību akta projekts izstrādāts, tiesiskā regulējuma mērķis un būtība (6.,12.</w:t>
            </w:r>
            <w:r w:rsidR="00E625DC">
              <w:rPr>
                <w:rFonts w:cs="Times New Roman"/>
                <w:sz w:val="20"/>
                <w:szCs w:val="20"/>
              </w:rPr>
              <w:t>-</w:t>
            </w:r>
            <w:r w:rsidRPr="00F87295">
              <w:rPr>
                <w:rFonts w:cs="Times New Roman"/>
                <w:sz w:val="20"/>
                <w:szCs w:val="20"/>
              </w:rPr>
              <w:t>13.lp.)</w:t>
            </w:r>
            <w:r w:rsidRPr="00F87295" w:rsidDel="00D61746">
              <w:rPr>
                <w:rFonts w:cs="Times New Roman"/>
                <w:sz w:val="20"/>
                <w:szCs w:val="20"/>
              </w:rPr>
              <w:t xml:space="preserve"> </w:t>
            </w:r>
          </w:p>
          <w:p w14:paraId="0B294771" w14:textId="24BE6504" w:rsidR="00015328" w:rsidRPr="00F87295" w:rsidRDefault="00015328" w:rsidP="00947EE9">
            <w:pPr>
              <w:ind w:firstLine="400"/>
              <w:jc w:val="both"/>
              <w:rPr>
                <w:rFonts w:cs="Times New Roman"/>
                <w:b/>
                <w:sz w:val="20"/>
                <w:szCs w:val="20"/>
              </w:rPr>
            </w:pPr>
          </w:p>
        </w:tc>
      </w:tr>
      <w:tr w:rsidR="00015328" w:rsidRPr="005B6DEE" w14:paraId="374E4800"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0F579624" w14:textId="028F6691" w:rsidR="00015328" w:rsidRPr="00536150" w:rsidRDefault="00015328" w:rsidP="008835AB">
            <w:pPr>
              <w:jc w:val="center"/>
              <w:rPr>
                <w:rFonts w:eastAsia="Times New Roman" w:cs="Times New Roman"/>
                <w:szCs w:val="24"/>
                <w:lang w:eastAsia="lv-LV"/>
              </w:rPr>
            </w:pPr>
            <w:r>
              <w:rPr>
                <w:rFonts w:eastAsia="Times New Roman" w:cs="Times New Roman"/>
                <w:sz w:val="20"/>
                <w:szCs w:val="24"/>
                <w:lang w:eastAsia="lv-LV"/>
              </w:rPr>
              <w:t>2</w:t>
            </w:r>
            <w:r w:rsidR="008835AB">
              <w:rPr>
                <w:rFonts w:eastAsia="Times New Roman" w:cs="Times New Roman"/>
                <w:sz w:val="20"/>
                <w:szCs w:val="24"/>
                <w:lang w:eastAsia="lv-LV"/>
              </w:rPr>
              <w:t>3</w:t>
            </w:r>
            <w:r w:rsidRPr="00102248">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2E27AEC2" w14:textId="77777777" w:rsidR="00015328" w:rsidRPr="00536150" w:rsidRDefault="00015328" w:rsidP="00947EE9">
            <w:pPr>
              <w:ind w:right="63"/>
              <w:jc w:val="both"/>
              <w:rPr>
                <w:sz w:val="20"/>
              </w:rPr>
            </w:pPr>
            <w:r w:rsidRPr="00536150">
              <w:rPr>
                <w:sz w:val="20"/>
              </w:rPr>
              <w:t xml:space="preserve">Anotācija/ I. Tiesību akta projekta izstrādes nepieciešamība/ </w:t>
            </w:r>
          </w:p>
          <w:p w14:paraId="43680D7C" w14:textId="77777777" w:rsidR="00015328" w:rsidRPr="00536150" w:rsidRDefault="00015328" w:rsidP="00947EE9">
            <w:pPr>
              <w:ind w:right="63"/>
              <w:jc w:val="both"/>
              <w:rPr>
                <w:sz w:val="20"/>
              </w:rPr>
            </w:pPr>
            <w:r w:rsidRPr="00536150">
              <w:rPr>
                <w:sz w:val="20"/>
              </w:rPr>
              <w:t>2.Pašreizējā situācija un problēmas, kuru risināšanai tiesību akta projekts izstrādāts, tiesiskā regulējuma mērķis un būtība:</w:t>
            </w:r>
          </w:p>
          <w:p w14:paraId="09DA330E" w14:textId="77777777" w:rsidR="00015328" w:rsidRPr="00536150" w:rsidRDefault="00015328" w:rsidP="00947EE9">
            <w:pPr>
              <w:ind w:right="63"/>
              <w:jc w:val="both"/>
              <w:rPr>
                <w:sz w:val="20"/>
              </w:rPr>
            </w:pPr>
            <w:r w:rsidRPr="00536150">
              <w:rPr>
                <w:sz w:val="20"/>
              </w:rPr>
              <w:t xml:space="preserve"> Noslēguma jautājumos ietvertas šādas normas:</w:t>
            </w:r>
          </w:p>
          <w:p w14:paraId="12E54DDF" w14:textId="77777777" w:rsidR="00015328" w:rsidRPr="00536150" w:rsidRDefault="00015328" w:rsidP="00947EE9">
            <w:pPr>
              <w:ind w:right="63"/>
              <w:jc w:val="both"/>
              <w:rPr>
                <w:sz w:val="20"/>
              </w:rPr>
            </w:pPr>
            <w:r w:rsidRPr="00536150">
              <w:rPr>
                <w:sz w:val="20"/>
              </w:rPr>
              <w:t>–</w:t>
            </w:r>
            <w:r w:rsidRPr="00536150">
              <w:rPr>
                <w:sz w:val="20"/>
              </w:rPr>
              <w:tab/>
              <w:t>sagatavojot 2019.gada pārskatu nesniedz informāciju par grāmatvedības uzskaites principu maiņas ietekmi uz pārskata gada rezultātiem un būtisku iepriekšējo gadu kļūdu labojumiem uz pārskata gada sākumu. Šis normatīvais regulējums saskaņots ar MK noteikumos Nr.344 noteikto;</w:t>
            </w:r>
          </w:p>
          <w:p w14:paraId="01E916D1" w14:textId="77777777" w:rsidR="00015328" w:rsidRPr="00536150" w:rsidRDefault="00015328" w:rsidP="00947EE9">
            <w:pPr>
              <w:ind w:right="63"/>
              <w:jc w:val="both"/>
              <w:rPr>
                <w:sz w:val="20"/>
              </w:rPr>
            </w:pPr>
            <w:r w:rsidRPr="00536150">
              <w:rPr>
                <w:sz w:val="20"/>
              </w:rPr>
              <w:t>–</w:t>
            </w:r>
            <w:r w:rsidRPr="00536150">
              <w:rPr>
                <w:sz w:val="20"/>
              </w:rPr>
              <w:tab/>
              <w:t>pašvaldību konsolidēto speciālā budžeta izpildes pārskatu un salīdzināmo informāciju sagatavo tikai par 2019.gadu, jo saskaņā ar Likuma  3.panta 2.1 daļu, kurā noteiktais stājas spēkā ar 2020.gada 1.janvāri, pašvaldību budžeti sastāv no pamatbudžeta, ziedojumiem un dāvinājumiem;</w:t>
            </w:r>
          </w:p>
          <w:p w14:paraId="661D093E" w14:textId="77777777" w:rsidR="00015328" w:rsidRPr="00536150" w:rsidRDefault="00015328" w:rsidP="00947EE9">
            <w:pPr>
              <w:ind w:right="63"/>
              <w:jc w:val="both"/>
              <w:rPr>
                <w:sz w:val="20"/>
              </w:rPr>
            </w:pPr>
            <w:r w:rsidRPr="00536150">
              <w:rPr>
                <w:sz w:val="20"/>
              </w:rPr>
              <w:t>–</w:t>
            </w:r>
            <w:r w:rsidRPr="00536150">
              <w:rPr>
                <w:sz w:val="20"/>
              </w:rPr>
              <w:tab/>
              <w:t>šajos noteikumos minētos ikgadējos pārskatus pirmo reizi konsolidēs, sagatavojot 2021.gada pārskatu.</w:t>
            </w:r>
          </w:p>
          <w:p w14:paraId="02F88E02" w14:textId="77777777" w:rsidR="00015328" w:rsidRPr="00536150" w:rsidRDefault="00015328" w:rsidP="00947EE9">
            <w:pPr>
              <w:ind w:right="63"/>
              <w:jc w:val="both"/>
              <w:rPr>
                <w:sz w:val="20"/>
              </w:rPr>
            </w:pPr>
          </w:p>
        </w:tc>
        <w:tc>
          <w:tcPr>
            <w:tcW w:w="1731" w:type="pct"/>
            <w:tcBorders>
              <w:top w:val="outset" w:sz="6" w:space="0" w:color="414142"/>
              <w:left w:val="outset" w:sz="6" w:space="0" w:color="414142"/>
              <w:bottom w:val="outset" w:sz="6" w:space="0" w:color="414142"/>
              <w:right w:val="outset" w:sz="6" w:space="0" w:color="414142"/>
            </w:tcBorders>
          </w:tcPr>
          <w:p w14:paraId="146C9E39" w14:textId="77777777" w:rsidR="00015328" w:rsidRPr="00102248" w:rsidRDefault="00015328" w:rsidP="00947EE9">
            <w:pPr>
              <w:jc w:val="both"/>
              <w:rPr>
                <w:sz w:val="20"/>
              </w:rPr>
            </w:pPr>
            <w:r w:rsidRPr="00102248">
              <w:rPr>
                <w:sz w:val="20"/>
              </w:rPr>
              <w:t>Tieslietu ministrija</w:t>
            </w:r>
          </w:p>
          <w:p w14:paraId="25FEACBB" w14:textId="77777777" w:rsidR="00015328" w:rsidRPr="00102248" w:rsidRDefault="00015328" w:rsidP="00947EE9">
            <w:pPr>
              <w:jc w:val="both"/>
              <w:rPr>
                <w:sz w:val="20"/>
              </w:rPr>
            </w:pPr>
            <w:r w:rsidRPr="00102248">
              <w:rPr>
                <w:sz w:val="20"/>
              </w:rPr>
              <w:t>17.</w:t>
            </w:r>
            <w:r w:rsidRPr="00102248">
              <w:rPr>
                <w:sz w:val="20"/>
              </w:rPr>
              <w:tab/>
              <w:t>Noteikumu projekta VIII nodaļā ir ietverti noslēguma jautājumi. Lūdzam papildināt anotāciju ar skaidrojumu VIII nodaļā ietvertā regulējuma nepieciešamībai atbilstoši Instrukcijas Nr. 19 14. punktam.</w:t>
            </w:r>
          </w:p>
        </w:tc>
        <w:tc>
          <w:tcPr>
            <w:tcW w:w="893" w:type="pct"/>
            <w:tcBorders>
              <w:top w:val="outset" w:sz="6" w:space="0" w:color="414142"/>
              <w:left w:val="outset" w:sz="6" w:space="0" w:color="414142"/>
              <w:bottom w:val="outset" w:sz="6" w:space="0" w:color="414142"/>
              <w:right w:val="outset" w:sz="6" w:space="0" w:color="414142"/>
            </w:tcBorders>
          </w:tcPr>
          <w:p w14:paraId="36353902" w14:textId="1C4BA2FC" w:rsidR="00015328" w:rsidRDefault="00015328" w:rsidP="00947EE9">
            <w:pPr>
              <w:autoSpaceDE w:val="0"/>
              <w:autoSpaceDN w:val="0"/>
              <w:adjustRightInd w:val="0"/>
              <w:jc w:val="both"/>
              <w:rPr>
                <w:b/>
                <w:sz w:val="20"/>
              </w:rPr>
            </w:pPr>
            <w:r w:rsidRPr="00536150">
              <w:rPr>
                <w:b/>
                <w:sz w:val="20"/>
              </w:rPr>
              <w:t>Ņemts vērā</w:t>
            </w:r>
          </w:p>
          <w:p w14:paraId="35970BF2" w14:textId="79215531" w:rsidR="00015328" w:rsidRPr="00D61746" w:rsidRDefault="00015328" w:rsidP="00947EE9">
            <w:pPr>
              <w:tabs>
                <w:tab w:val="left" w:pos="1134"/>
              </w:tabs>
              <w:contextualSpacing/>
              <w:jc w:val="both"/>
              <w:rPr>
                <w:rFonts w:cs="Times New Roman"/>
                <w:sz w:val="20"/>
                <w:szCs w:val="20"/>
              </w:rPr>
            </w:pPr>
            <w:r w:rsidRPr="000F3254">
              <w:rPr>
                <w:sz w:val="20"/>
              </w:rPr>
              <w:t>Papildināt</w:t>
            </w:r>
            <w:r>
              <w:rPr>
                <w:sz w:val="20"/>
              </w:rPr>
              <w:t>s</w:t>
            </w:r>
            <w:r w:rsidRPr="000F3254">
              <w:rPr>
                <w:sz w:val="20"/>
              </w:rPr>
              <w:t xml:space="preserve"> anotācija</w:t>
            </w:r>
            <w:r>
              <w:rPr>
                <w:sz w:val="20"/>
              </w:rPr>
              <w:t xml:space="preserve">s </w:t>
            </w:r>
            <w:r w:rsidRPr="00D61746">
              <w:rPr>
                <w:rFonts w:cs="Times New Roman"/>
                <w:sz w:val="20"/>
                <w:szCs w:val="20"/>
              </w:rPr>
              <w:t xml:space="preserve">I.nodaļas “Tiesību akta projekta izstrādes nepieciešamība” 2.punkts </w:t>
            </w:r>
          </w:p>
          <w:p w14:paraId="1CB85752" w14:textId="7EB2201F" w:rsidR="00015328" w:rsidRPr="00D61746" w:rsidRDefault="00015328" w:rsidP="00947EE9">
            <w:pPr>
              <w:autoSpaceDE w:val="0"/>
              <w:autoSpaceDN w:val="0"/>
              <w:adjustRightInd w:val="0"/>
              <w:jc w:val="both"/>
              <w:rPr>
                <w:sz w:val="20"/>
              </w:rPr>
            </w:pPr>
            <w:r w:rsidRPr="00D61746">
              <w:rPr>
                <w:rFonts w:cs="Times New Roman"/>
                <w:sz w:val="20"/>
                <w:szCs w:val="20"/>
              </w:rPr>
              <w:t>“Pašreizējā situācija un problēmas, kuru risināšanai tiesību akta projekts izstrādāts, tiesiskā regulējuma mērķis un būtība”</w:t>
            </w:r>
          </w:p>
          <w:p w14:paraId="4194DC11" w14:textId="77777777" w:rsidR="00015328" w:rsidRPr="00536150" w:rsidRDefault="00015328" w:rsidP="00947EE9">
            <w:pPr>
              <w:autoSpaceDE w:val="0"/>
              <w:autoSpaceDN w:val="0"/>
              <w:adjustRightInd w:val="0"/>
              <w:jc w:val="both"/>
              <w:rPr>
                <w:b/>
                <w:sz w:val="20"/>
              </w:rPr>
            </w:pPr>
          </w:p>
        </w:tc>
        <w:tc>
          <w:tcPr>
            <w:tcW w:w="1060" w:type="pct"/>
            <w:tcBorders>
              <w:top w:val="outset" w:sz="6" w:space="0" w:color="414142"/>
              <w:left w:val="outset" w:sz="6" w:space="0" w:color="414142"/>
              <w:bottom w:val="outset" w:sz="6" w:space="0" w:color="414142"/>
              <w:right w:val="outset" w:sz="6" w:space="0" w:color="414142"/>
            </w:tcBorders>
          </w:tcPr>
          <w:p w14:paraId="06CB5863" w14:textId="03D69995" w:rsidR="00015328" w:rsidRPr="00D61746" w:rsidRDefault="00015328" w:rsidP="00947EE9">
            <w:pPr>
              <w:tabs>
                <w:tab w:val="left" w:pos="1134"/>
              </w:tabs>
              <w:contextualSpacing/>
              <w:jc w:val="both"/>
              <w:rPr>
                <w:rFonts w:cs="Times New Roman"/>
                <w:sz w:val="20"/>
                <w:szCs w:val="20"/>
              </w:rPr>
            </w:pPr>
            <w:r w:rsidRPr="00D61746">
              <w:rPr>
                <w:rFonts w:cs="Times New Roman"/>
                <w:sz w:val="20"/>
                <w:szCs w:val="20"/>
              </w:rPr>
              <w:t xml:space="preserve">Anotācija/ I. Tiesību akta projekta izstrādes nepieciešamība/ </w:t>
            </w:r>
          </w:p>
          <w:p w14:paraId="420A8A22" w14:textId="2D93808B" w:rsidR="00015328" w:rsidRPr="00D61746" w:rsidRDefault="00015328" w:rsidP="00947EE9">
            <w:pPr>
              <w:tabs>
                <w:tab w:val="left" w:pos="1134"/>
              </w:tabs>
              <w:contextualSpacing/>
              <w:jc w:val="both"/>
              <w:rPr>
                <w:rFonts w:cs="Times New Roman"/>
                <w:sz w:val="20"/>
                <w:szCs w:val="20"/>
              </w:rPr>
            </w:pPr>
            <w:r w:rsidRPr="00D61746">
              <w:rPr>
                <w:rFonts w:cs="Times New Roman"/>
                <w:sz w:val="20"/>
                <w:szCs w:val="20"/>
              </w:rPr>
              <w:t>2.Pašreizējā situācija un problēmas, kuru risināšanai tiesību akta projekts izstrādāts, tiesiskā regulējuma mērķis un būtība (1</w:t>
            </w:r>
            <w:r w:rsidR="00E625DC">
              <w:rPr>
                <w:rFonts w:cs="Times New Roman"/>
                <w:sz w:val="20"/>
                <w:szCs w:val="20"/>
              </w:rPr>
              <w:t>2</w:t>
            </w:r>
            <w:r w:rsidRPr="00D61746">
              <w:rPr>
                <w:rFonts w:cs="Times New Roman"/>
                <w:sz w:val="20"/>
                <w:szCs w:val="20"/>
              </w:rPr>
              <w:t>.-1</w:t>
            </w:r>
            <w:r w:rsidR="00E625DC">
              <w:rPr>
                <w:rFonts w:cs="Times New Roman"/>
                <w:sz w:val="20"/>
                <w:szCs w:val="20"/>
              </w:rPr>
              <w:t>3</w:t>
            </w:r>
            <w:r w:rsidRPr="00D61746">
              <w:rPr>
                <w:rFonts w:cs="Times New Roman"/>
                <w:sz w:val="20"/>
                <w:szCs w:val="20"/>
              </w:rPr>
              <w:t>.lp.)</w:t>
            </w:r>
          </w:p>
          <w:p w14:paraId="0D3EA50B" w14:textId="25BB5D35" w:rsidR="00015328" w:rsidRPr="00536150" w:rsidRDefault="00015328" w:rsidP="00947EE9">
            <w:pPr>
              <w:tabs>
                <w:tab w:val="left" w:pos="1134"/>
              </w:tabs>
              <w:contextualSpacing/>
              <w:jc w:val="both"/>
              <w:rPr>
                <w:rFonts w:cs="Times New Roman"/>
                <w:b/>
                <w:sz w:val="20"/>
                <w:szCs w:val="20"/>
              </w:rPr>
            </w:pPr>
            <w:r w:rsidRPr="00536150">
              <w:rPr>
                <w:rFonts w:cs="Times New Roman"/>
                <w:b/>
                <w:sz w:val="20"/>
                <w:szCs w:val="20"/>
              </w:rPr>
              <w:t xml:space="preserve">  </w:t>
            </w:r>
          </w:p>
        </w:tc>
      </w:tr>
      <w:tr w:rsidR="00015328" w:rsidRPr="005B6DEE" w14:paraId="7F2C19B6"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512CF9E5" w14:textId="525E6DD7" w:rsidR="00015328" w:rsidRPr="00536150" w:rsidRDefault="00015328" w:rsidP="008835AB">
            <w:pPr>
              <w:jc w:val="center"/>
              <w:rPr>
                <w:rFonts w:eastAsia="Times New Roman" w:cs="Times New Roman"/>
                <w:szCs w:val="24"/>
                <w:lang w:eastAsia="lv-LV"/>
              </w:rPr>
            </w:pPr>
            <w:r>
              <w:rPr>
                <w:rFonts w:eastAsia="Times New Roman" w:cs="Times New Roman"/>
                <w:sz w:val="20"/>
                <w:szCs w:val="24"/>
                <w:lang w:eastAsia="lv-LV"/>
              </w:rPr>
              <w:t>2</w:t>
            </w:r>
            <w:r w:rsidR="008835AB">
              <w:rPr>
                <w:rFonts w:eastAsia="Times New Roman" w:cs="Times New Roman"/>
                <w:sz w:val="20"/>
                <w:szCs w:val="24"/>
                <w:lang w:eastAsia="lv-LV"/>
              </w:rPr>
              <w:t>4</w:t>
            </w:r>
            <w:r w:rsidRPr="00102248">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457BB47C" w14:textId="77777777" w:rsidR="00015328" w:rsidRPr="00536150" w:rsidRDefault="00015328" w:rsidP="00947EE9">
            <w:pPr>
              <w:ind w:right="63"/>
              <w:jc w:val="both"/>
              <w:rPr>
                <w:sz w:val="20"/>
              </w:rPr>
            </w:pPr>
            <w:r w:rsidRPr="00536150">
              <w:rPr>
                <w:sz w:val="20"/>
              </w:rPr>
              <w:t xml:space="preserve">Anotācija/ I. Tiesību akta projekta izstrādes nepieciešamība/ </w:t>
            </w:r>
          </w:p>
          <w:p w14:paraId="35C7E146" w14:textId="77777777" w:rsidR="00015328" w:rsidRPr="00536150" w:rsidRDefault="00015328" w:rsidP="00947EE9">
            <w:pPr>
              <w:ind w:right="63"/>
              <w:jc w:val="both"/>
              <w:rPr>
                <w:sz w:val="20"/>
              </w:rPr>
            </w:pPr>
            <w:r w:rsidRPr="00536150">
              <w:rPr>
                <w:sz w:val="20"/>
              </w:rPr>
              <w:t>2.Pašreizējā situācija un problēmas, kuru risināšanai tiesību akta projekts izstrādāts, tiesiskā regulējuma mērķis un būtība:</w:t>
            </w:r>
          </w:p>
          <w:p w14:paraId="501A074E" w14:textId="77777777" w:rsidR="00015328" w:rsidRPr="00536150" w:rsidRDefault="00015328" w:rsidP="00947EE9">
            <w:pPr>
              <w:ind w:right="63"/>
              <w:jc w:val="both"/>
              <w:rPr>
                <w:sz w:val="20"/>
              </w:rPr>
            </w:pPr>
            <w:r w:rsidRPr="00536150">
              <w:rPr>
                <w:sz w:val="20"/>
              </w:rPr>
              <w:t xml:space="preserve">Notikumi pēc bilances datuma Noteikumu projektā iekļautas definīcijas, kas skaidro, kas ir koriģējoši un nekoriģējoši notikumi pēc bilances datuma, kā arī nosaka šo notikumu iekļaušanu saimnieciskā gada pārskatā termiņu un apjomu. Ministriju, citu centrālo valsts iestāžu un pašvaldību koriģējošu un nekoriģējošu notikumu pēc bilances datuma izvērtēšanu un lēmuma pieņemšanu par iekļaušanu/neiekļaušanu saimnieciskā gada pārskatā nodrošinās Valsts kase saskaņā ar saņemto informāciju par šiem notikumiem no ministrijām vai pašvaldībām. Informāciju par koriģējošiem vai nekoriģējošiem notikumiem pēc bilances datuma, kas sniegta pēc noteikumu projektā noteiktā datuma – 15.augusta, Valsts kase saimnieciskā gada pārskatā nesniedz. </w:t>
            </w:r>
          </w:p>
          <w:p w14:paraId="1197231D" w14:textId="77777777" w:rsidR="00015328" w:rsidRPr="00536150" w:rsidRDefault="00015328" w:rsidP="00947EE9">
            <w:pPr>
              <w:ind w:right="63"/>
              <w:jc w:val="both"/>
              <w:rPr>
                <w:sz w:val="20"/>
              </w:rPr>
            </w:pPr>
            <w:r w:rsidRPr="00536150">
              <w:rPr>
                <w:sz w:val="20"/>
              </w:rPr>
              <w:t>Būtiskuma līmeni informācijas iekļaušanai saimnieciskā gada pārskatā nosaka Valsts kases.</w:t>
            </w:r>
          </w:p>
        </w:tc>
        <w:tc>
          <w:tcPr>
            <w:tcW w:w="1731" w:type="pct"/>
            <w:tcBorders>
              <w:top w:val="outset" w:sz="6" w:space="0" w:color="414142"/>
              <w:left w:val="outset" w:sz="6" w:space="0" w:color="414142"/>
              <w:bottom w:val="outset" w:sz="6" w:space="0" w:color="414142"/>
              <w:right w:val="outset" w:sz="6" w:space="0" w:color="414142"/>
            </w:tcBorders>
          </w:tcPr>
          <w:p w14:paraId="6E2AD8F6" w14:textId="77777777" w:rsidR="00015328" w:rsidRPr="00412647" w:rsidRDefault="00015328" w:rsidP="00947EE9">
            <w:pPr>
              <w:pStyle w:val="ListParagraph"/>
              <w:ind w:left="96"/>
              <w:jc w:val="both"/>
              <w:rPr>
                <w:sz w:val="20"/>
              </w:rPr>
            </w:pPr>
            <w:r w:rsidRPr="00412647">
              <w:rPr>
                <w:sz w:val="20"/>
              </w:rPr>
              <w:t>Tieslietu ministrija</w:t>
            </w:r>
          </w:p>
          <w:p w14:paraId="7CD255DE" w14:textId="77777777" w:rsidR="00015328" w:rsidRPr="00412647" w:rsidRDefault="00015328" w:rsidP="00947EE9">
            <w:pPr>
              <w:pStyle w:val="ListParagraph"/>
              <w:ind w:left="96"/>
              <w:jc w:val="both"/>
              <w:rPr>
                <w:sz w:val="20"/>
              </w:rPr>
            </w:pPr>
            <w:r w:rsidRPr="00412647">
              <w:rPr>
                <w:sz w:val="20"/>
              </w:rPr>
              <w:t>18.</w:t>
            </w:r>
            <w:r w:rsidRPr="00412647">
              <w:rPr>
                <w:sz w:val="20"/>
              </w:rPr>
              <w:tab/>
              <w:t xml:space="preserve">Noteikumu projekta anotācijas I </w:t>
            </w:r>
            <w:r>
              <w:rPr>
                <w:sz w:val="20"/>
              </w:rPr>
              <w:t>nodaļ</w:t>
            </w:r>
            <w:r w:rsidRPr="00412647">
              <w:rPr>
                <w:sz w:val="20"/>
              </w:rPr>
              <w:t>as 2. punktā ir sniegta informācija, ka noteikumu projektā ir iekļautas definīcijas, kas skaidro, kas ir koriģējoši un nekoriģējoši notikumi pēc bilances datuma.</w:t>
            </w:r>
          </w:p>
          <w:p w14:paraId="2C351345" w14:textId="77777777" w:rsidR="00015328" w:rsidRPr="00536150" w:rsidRDefault="00015328" w:rsidP="00947EE9">
            <w:pPr>
              <w:pStyle w:val="ListParagraph"/>
              <w:ind w:left="96"/>
              <w:jc w:val="both"/>
              <w:rPr>
                <w:sz w:val="20"/>
              </w:rPr>
            </w:pPr>
            <w:r w:rsidRPr="00412647">
              <w:rPr>
                <w:sz w:val="20"/>
              </w:rPr>
              <w:t>Lūdzam papildināt anotācijā sniegto informāciju atbilstoši Instrukcijas Nr. 19 14. punktam, jo no anotācijas nav saprotams, kāpēc šāds regulējums ir nepieciešams, salīdzinot ar regulējumu MK noteikumos Nr. 375. Minētais attiecas arī uz pārējiem terminiem noteikumu projekta 2. punktā.</w:t>
            </w:r>
          </w:p>
        </w:tc>
        <w:tc>
          <w:tcPr>
            <w:tcW w:w="893" w:type="pct"/>
            <w:tcBorders>
              <w:top w:val="outset" w:sz="6" w:space="0" w:color="414142"/>
              <w:left w:val="outset" w:sz="6" w:space="0" w:color="414142"/>
              <w:bottom w:val="outset" w:sz="6" w:space="0" w:color="414142"/>
              <w:right w:val="outset" w:sz="6" w:space="0" w:color="414142"/>
            </w:tcBorders>
          </w:tcPr>
          <w:p w14:paraId="0B310E05" w14:textId="42EEF8A7" w:rsidR="00015328" w:rsidRPr="00D61746" w:rsidRDefault="00015328" w:rsidP="00947EE9">
            <w:pPr>
              <w:autoSpaceDE w:val="0"/>
              <w:autoSpaceDN w:val="0"/>
              <w:adjustRightInd w:val="0"/>
              <w:jc w:val="both"/>
              <w:rPr>
                <w:b/>
                <w:sz w:val="20"/>
              </w:rPr>
            </w:pPr>
            <w:r w:rsidRPr="00D61746">
              <w:rPr>
                <w:b/>
                <w:sz w:val="20"/>
              </w:rPr>
              <w:t>Ņemts vērā</w:t>
            </w:r>
          </w:p>
          <w:p w14:paraId="1FB1040C" w14:textId="1989E45F" w:rsidR="00015328" w:rsidRPr="00B0768E" w:rsidRDefault="00015328" w:rsidP="00947EE9">
            <w:pPr>
              <w:tabs>
                <w:tab w:val="left" w:pos="1134"/>
              </w:tabs>
              <w:contextualSpacing/>
              <w:jc w:val="both"/>
              <w:rPr>
                <w:rFonts w:cs="Times New Roman"/>
                <w:sz w:val="20"/>
                <w:szCs w:val="20"/>
              </w:rPr>
            </w:pPr>
            <w:r w:rsidRPr="00D61746">
              <w:rPr>
                <w:sz w:val="20"/>
              </w:rPr>
              <w:t xml:space="preserve">Papildināts anotācijas </w:t>
            </w:r>
            <w:r w:rsidRPr="00B0768E">
              <w:rPr>
                <w:rFonts w:cs="Times New Roman"/>
                <w:sz w:val="20"/>
                <w:szCs w:val="20"/>
              </w:rPr>
              <w:t xml:space="preserve">I.nodaļas “Tiesību akta projekta izstrādes nepieciešamība” 2.punkts </w:t>
            </w:r>
          </w:p>
          <w:p w14:paraId="0A7FE4C0" w14:textId="64F510C1" w:rsidR="00015328" w:rsidRPr="00D61746" w:rsidRDefault="00015328" w:rsidP="00947EE9">
            <w:pPr>
              <w:autoSpaceDE w:val="0"/>
              <w:autoSpaceDN w:val="0"/>
              <w:adjustRightInd w:val="0"/>
              <w:jc w:val="both"/>
              <w:rPr>
                <w:sz w:val="20"/>
              </w:rPr>
            </w:pPr>
            <w:r w:rsidRPr="00B0768E">
              <w:rPr>
                <w:rFonts w:cs="Times New Roman"/>
                <w:sz w:val="20"/>
                <w:szCs w:val="20"/>
              </w:rPr>
              <w:t>“Pašreizējā situācija un problēmas, kuru risināšanai tiesību akta projekts izstrādāts, tiesiskā regulējuma mērķis un būtība”</w:t>
            </w:r>
          </w:p>
          <w:p w14:paraId="64C5E613" w14:textId="77777777" w:rsidR="00015328" w:rsidRPr="00B0768E" w:rsidRDefault="00015328" w:rsidP="00947EE9">
            <w:pPr>
              <w:autoSpaceDE w:val="0"/>
              <w:autoSpaceDN w:val="0"/>
              <w:adjustRightInd w:val="0"/>
              <w:jc w:val="both"/>
              <w:rPr>
                <w:b/>
                <w:sz w:val="20"/>
              </w:rPr>
            </w:pPr>
          </w:p>
          <w:p w14:paraId="73F38205" w14:textId="33F34E3E" w:rsidR="00015328" w:rsidRPr="00B0768E" w:rsidRDefault="00015328" w:rsidP="00947EE9">
            <w:pPr>
              <w:autoSpaceDE w:val="0"/>
              <w:autoSpaceDN w:val="0"/>
              <w:adjustRightInd w:val="0"/>
              <w:jc w:val="both"/>
              <w:rPr>
                <w:b/>
                <w:sz w:val="20"/>
              </w:rPr>
            </w:pPr>
          </w:p>
        </w:tc>
        <w:tc>
          <w:tcPr>
            <w:tcW w:w="1060" w:type="pct"/>
            <w:tcBorders>
              <w:top w:val="outset" w:sz="6" w:space="0" w:color="414142"/>
              <w:left w:val="outset" w:sz="6" w:space="0" w:color="414142"/>
              <w:bottom w:val="outset" w:sz="6" w:space="0" w:color="414142"/>
              <w:right w:val="outset" w:sz="6" w:space="0" w:color="414142"/>
            </w:tcBorders>
          </w:tcPr>
          <w:p w14:paraId="07460418" w14:textId="77777777" w:rsidR="00015328" w:rsidRPr="00DF57AD" w:rsidRDefault="00015328" w:rsidP="00947EE9">
            <w:pPr>
              <w:tabs>
                <w:tab w:val="left" w:pos="1134"/>
              </w:tabs>
              <w:contextualSpacing/>
              <w:jc w:val="both"/>
              <w:rPr>
                <w:rFonts w:cs="Times New Roman"/>
                <w:sz w:val="20"/>
                <w:szCs w:val="20"/>
              </w:rPr>
            </w:pPr>
            <w:r w:rsidRPr="00DF57AD">
              <w:rPr>
                <w:rFonts w:cs="Times New Roman"/>
                <w:sz w:val="20"/>
                <w:szCs w:val="20"/>
              </w:rPr>
              <w:t xml:space="preserve">Anotācija/ I. Tiesību akta projekta izstrādes nepieciešamība/ </w:t>
            </w:r>
          </w:p>
          <w:p w14:paraId="08996108" w14:textId="5CBC0D19" w:rsidR="00015328" w:rsidRPr="000E3476" w:rsidRDefault="00015328" w:rsidP="00947EE9">
            <w:pPr>
              <w:tabs>
                <w:tab w:val="left" w:pos="1134"/>
              </w:tabs>
              <w:contextualSpacing/>
              <w:jc w:val="both"/>
              <w:rPr>
                <w:rFonts w:cs="Times New Roman"/>
                <w:b/>
                <w:sz w:val="20"/>
                <w:szCs w:val="20"/>
              </w:rPr>
            </w:pPr>
            <w:r w:rsidRPr="00DF57AD">
              <w:rPr>
                <w:rFonts w:cs="Times New Roman"/>
                <w:sz w:val="20"/>
                <w:szCs w:val="20"/>
              </w:rPr>
              <w:t>2.Pašreizējā situācija un problēmas, kuru risināšanai tiesību akta projekts izstrādāts, tiesiskā regulējuma mērķis un būtība</w:t>
            </w:r>
            <w:r w:rsidRPr="00B0768E" w:rsidDel="00B0768E">
              <w:rPr>
                <w:rFonts w:cs="Times New Roman"/>
                <w:sz w:val="20"/>
                <w:szCs w:val="20"/>
              </w:rPr>
              <w:t xml:space="preserve"> </w:t>
            </w:r>
            <w:r>
              <w:rPr>
                <w:rFonts w:cs="Times New Roman"/>
                <w:sz w:val="20"/>
                <w:szCs w:val="20"/>
              </w:rPr>
              <w:t>(4.</w:t>
            </w:r>
            <w:r w:rsidR="00E625DC">
              <w:rPr>
                <w:rFonts w:cs="Times New Roman"/>
                <w:sz w:val="20"/>
                <w:szCs w:val="20"/>
              </w:rPr>
              <w:t>-5.</w:t>
            </w:r>
            <w:r>
              <w:rPr>
                <w:rFonts w:cs="Times New Roman"/>
                <w:sz w:val="20"/>
                <w:szCs w:val="20"/>
              </w:rPr>
              <w:t>lp.)</w:t>
            </w:r>
          </w:p>
        </w:tc>
      </w:tr>
      <w:tr w:rsidR="00015328" w:rsidRPr="005B6DEE" w14:paraId="7BEB1015"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59E368F5" w14:textId="0BA8AE8C" w:rsidR="00015328" w:rsidRPr="00536150" w:rsidRDefault="00015328" w:rsidP="008835AB">
            <w:pPr>
              <w:jc w:val="center"/>
              <w:rPr>
                <w:rFonts w:eastAsia="Times New Roman" w:cs="Times New Roman"/>
                <w:szCs w:val="24"/>
                <w:lang w:eastAsia="lv-LV"/>
              </w:rPr>
            </w:pPr>
            <w:r>
              <w:rPr>
                <w:rFonts w:eastAsia="Times New Roman" w:cs="Times New Roman"/>
                <w:sz w:val="20"/>
                <w:szCs w:val="24"/>
                <w:lang w:eastAsia="lv-LV"/>
              </w:rPr>
              <w:t>2</w:t>
            </w:r>
            <w:r w:rsidR="008835AB">
              <w:rPr>
                <w:rFonts w:eastAsia="Times New Roman" w:cs="Times New Roman"/>
                <w:sz w:val="20"/>
                <w:szCs w:val="24"/>
                <w:lang w:eastAsia="lv-LV"/>
              </w:rPr>
              <w:t>5</w:t>
            </w:r>
            <w:r w:rsidRPr="001A05F0">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043E5301" w14:textId="77777777" w:rsidR="00015328" w:rsidRPr="00536150" w:rsidRDefault="00015328" w:rsidP="00947EE9">
            <w:pPr>
              <w:ind w:right="63"/>
              <w:jc w:val="both"/>
              <w:rPr>
                <w:sz w:val="20"/>
              </w:rPr>
            </w:pPr>
            <w:r w:rsidRPr="00536150">
              <w:rPr>
                <w:sz w:val="20"/>
              </w:rPr>
              <w:t xml:space="preserve">Anotācija/ I. Tiesību akta projekta izstrādes nepieciešamība/ </w:t>
            </w:r>
          </w:p>
          <w:p w14:paraId="6602F23A" w14:textId="77777777" w:rsidR="00015328" w:rsidRPr="00536150" w:rsidRDefault="00015328" w:rsidP="00947EE9">
            <w:pPr>
              <w:ind w:right="63"/>
              <w:jc w:val="both"/>
              <w:rPr>
                <w:sz w:val="20"/>
              </w:rPr>
            </w:pPr>
            <w:r w:rsidRPr="00536150">
              <w:rPr>
                <w:sz w:val="20"/>
              </w:rPr>
              <w:t>2.Pašreizējā situācija un problēmas, kuru risināšanai tiesību akta projekts izstrādāts, tiesiskā regulējuma mērķis un būtība:</w:t>
            </w:r>
          </w:p>
          <w:p w14:paraId="1A138300" w14:textId="77777777" w:rsidR="00015328" w:rsidRPr="00536150" w:rsidRDefault="00015328" w:rsidP="00947EE9">
            <w:pPr>
              <w:ind w:right="63"/>
              <w:jc w:val="both"/>
              <w:rPr>
                <w:sz w:val="20"/>
              </w:rPr>
            </w:pPr>
            <w:r w:rsidRPr="00536150">
              <w:rPr>
                <w:sz w:val="20"/>
              </w:rPr>
              <w:t>Notikumi pēc bilances datuma</w:t>
            </w:r>
          </w:p>
          <w:p w14:paraId="79954800" w14:textId="77777777" w:rsidR="00015328" w:rsidRPr="00536150" w:rsidRDefault="00015328" w:rsidP="00947EE9">
            <w:pPr>
              <w:ind w:right="63"/>
              <w:jc w:val="both"/>
              <w:rPr>
                <w:sz w:val="20"/>
              </w:rPr>
            </w:pPr>
            <w:r w:rsidRPr="00536150">
              <w:rPr>
                <w:sz w:val="20"/>
              </w:rPr>
              <w:t>Noteikumu projektā iekļautas definīcijas, kas skaidro, kas ir koriģējoši un nekoriģējoši notikumi pēc bilances datuma, kā arī nosaka šo notikumu iekļaušanu saimnieciskā gada pārskatā termiņu un apjomu.</w:t>
            </w:r>
          </w:p>
        </w:tc>
        <w:tc>
          <w:tcPr>
            <w:tcW w:w="1731" w:type="pct"/>
            <w:tcBorders>
              <w:top w:val="outset" w:sz="6" w:space="0" w:color="414142"/>
              <w:left w:val="outset" w:sz="6" w:space="0" w:color="414142"/>
              <w:bottom w:val="outset" w:sz="6" w:space="0" w:color="414142"/>
              <w:right w:val="outset" w:sz="6" w:space="0" w:color="414142"/>
            </w:tcBorders>
          </w:tcPr>
          <w:p w14:paraId="6EF82042" w14:textId="77777777" w:rsidR="00015328" w:rsidRPr="0029431D" w:rsidRDefault="00015328" w:rsidP="00947EE9">
            <w:pPr>
              <w:pStyle w:val="ListParagraph"/>
              <w:ind w:left="0"/>
              <w:jc w:val="both"/>
              <w:rPr>
                <w:sz w:val="20"/>
              </w:rPr>
            </w:pPr>
            <w:r w:rsidRPr="0029431D">
              <w:rPr>
                <w:sz w:val="20"/>
              </w:rPr>
              <w:t>Tieslietu ministrija</w:t>
            </w:r>
          </w:p>
          <w:p w14:paraId="3FFA7259" w14:textId="77777777" w:rsidR="00015328" w:rsidRPr="0029431D" w:rsidRDefault="00015328" w:rsidP="00947EE9">
            <w:pPr>
              <w:pStyle w:val="ListParagraph"/>
              <w:ind w:left="0"/>
              <w:jc w:val="both"/>
              <w:rPr>
                <w:sz w:val="20"/>
              </w:rPr>
            </w:pPr>
            <w:r w:rsidRPr="0029431D">
              <w:rPr>
                <w:sz w:val="20"/>
              </w:rPr>
              <w:t>19.</w:t>
            </w:r>
            <w:r w:rsidRPr="0029431D">
              <w:rPr>
                <w:sz w:val="20"/>
              </w:rPr>
              <w:tab/>
              <w:t xml:space="preserve">Vēršam uzmanību, ka anotācijas I </w:t>
            </w:r>
            <w:r>
              <w:rPr>
                <w:sz w:val="20"/>
              </w:rPr>
              <w:t>nodaļ</w:t>
            </w:r>
            <w:r w:rsidRPr="0029431D">
              <w:rPr>
                <w:sz w:val="20"/>
              </w:rPr>
              <w:t>as 2. punktā nav sniegts skaidrojums par visām noteikumu projektā paredzētajām izmaiņām un to nepieciešamību, salīdzinot ar tiesisko regulējumu MK noteikumos Nr. 375. Papildus anotācijā ir iekļauta tikai aprakstoša informācija par noteikumu projektā paredzēto regulējumu, bet nav sniegts skaidrojums šāda regulējuma nepieciešamībai (mērķis un būtība).</w:t>
            </w:r>
          </w:p>
          <w:p w14:paraId="0601893E" w14:textId="77777777" w:rsidR="00015328" w:rsidRPr="0029431D" w:rsidRDefault="00015328" w:rsidP="00947EE9">
            <w:pPr>
              <w:pStyle w:val="ListParagraph"/>
              <w:ind w:left="0"/>
              <w:jc w:val="both"/>
              <w:rPr>
                <w:sz w:val="20"/>
              </w:rPr>
            </w:pPr>
            <w:r w:rsidRPr="0029431D">
              <w:rPr>
                <w:sz w:val="20"/>
              </w:rPr>
              <w:t>Līdz ar to lūdzam būtiski precizēt noteikumu projekta anotāciju atbilstoši Instrukcijas Nr. 19 14. punkta prasībām.</w:t>
            </w:r>
          </w:p>
        </w:tc>
        <w:tc>
          <w:tcPr>
            <w:tcW w:w="893" w:type="pct"/>
            <w:tcBorders>
              <w:top w:val="outset" w:sz="6" w:space="0" w:color="414142"/>
              <w:left w:val="outset" w:sz="6" w:space="0" w:color="414142"/>
              <w:bottom w:val="outset" w:sz="6" w:space="0" w:color="414142"/>
              <w:right w:val="outset" w:sz="6" w:space="0" w:color="414142"/>
            </w:tcBorders>
          </w:tcPr>
          <w:p w14:paraId="03FAB8E3" w14:textId="654E4841" w:rsidR="00015328" w:rsidRPr="00B0768E" w:rsidRDefault="00015328" w:rsidP="00947EE9">
            <w:pPr>
              <w:autoSpaceDE w:val="0"/>
              <w:autoSpaceDN w:val="0"/>
              <w:adjustRightInd w:val="0"/>
              <w:jc w:val="both"/>
              <w:rPr>
                <w:b/>
                <w:sz w:val="20"/>
              </w:rPr>
            </w:pPr>
            <w:r w:rsidRPr="00B0768E">
              <w:rPr>
                <w:b/>
                <w:sz w:val="20"/>
              </w:rPr>
              <w:t>Ņemts vērā</w:t>
            </w:r>
          </w:p>
          <w:p w14:paraId="04E44AAA" w14:textId="6DDC06BD" w:rsidR="00015328" w:rsidRPr="00B0768E" w:rsidRDefault="00015328" w:rsidP="00947EE9">
            <w:pPr>
              <w:tabs>
                <w:tab w:val="left" w:pos="1134"/>
              </w:tabs>
              <w:contextualSpacing/>
              <w:jc w:val="both"/>
              <w:rPr>
                <w:rFonts w:cs="Times New Roman"/>
                <w:sz w:val="20"/>
                <w:szCs w:val="20"/>
              </w:rPr>
            </w:pPr>
            <w:r w:rsidRPr="00B0768E">
              <w:rPr>
                <w:sz w:val="20"/>
              </w:rPr>
              <w:t xml:space="preserve">Papildināts anotācijas </w:t>
            </w:r>
            <w:r w:rsidRPr="00B0768E">
              <w:rPr>
                <w:rFonts w:cs="Times New Roman"/>
                <w:sz w:val="20"/>
                <w:szCs w:val="20"/>
              </w:rPr>
              <w:t xml:space="preserve">I.nodaļas “Tiesību akta projekta izstrādes nepieciešamība” 2.punkts </w:t>
            </w:r>
          </w:p>
          <w:p w14:paraId="34A33CAC" w14:textId="4511069E" w:rsidR="00015328" w:rsidRPr="00B0768E" w:rsidRDefault="00015328" w:rsidP="00947EE9">
            <w:pPr>
              <w:autoSpaceDE w:val="0"/>
              <w:autoSpaceDN w:val="0"/>
              <w:adjustRightInd w:val="0"/>
              <w:jc w:val="both"/>
              <w:rPr>
                <w:sz w:val="20"/>
              </w:rPr>
            </w:pPr>
            <w:r w:rsidRPr="00B0768E">
              <w:rPr>
                <w:rFonts w:cs="Times New Roman"/>
                <w:sz w:val="20"/>
                <w:szCs w:val="20"/>
              </w:rPr>
              <w:t>“Pašreizējā situācija un problēmas, kuru risināšanai tiesību akta projekts izstrādāts, tiesiskā regulējuma mērķis un būtība”</w:t>
            </w:r>
          </w:p>
          <w:p w14:paraId="0736DD5A" w14:textId="77777777" w:rsidR="00015328" w:rsidRPr="00B0768E" w:rsidRDefault="00015328" w:rsidP="00947EE9">
            <w:pPr>
              <w:autoSpaceDE w:val="0"/>
              <w:autoSpaceDN w:val="0"/>
              <w:adjustRightInd w:val="0"/>
              <w:jc w:val="both"/>
              <w:rPr>
                <w:b/>
                <w:sz w:val="20"/>
              </w:rPr>
            </w:pPr>
          </w:p>
          <w:p w14:paraId="44939A22" w14:textId="64479FF6" w:rsidR="00015328" w:rsidRPr="00B0768E" w:rsidRDefault="00015328" w:rsidP="00947EE9">
            <w:pPr>
              <w:autoSpaceDE w:val="0"/>
              <w:autoSpaceDN w:val="0"/>
              <w:adjustRightInd w:val="0"/>
              <w:jc w:val="both"/>
              <w:rPr>
                <w:b/>
                <w:sz w:val="20"/>
              </w:rPr>
            </w:pPr>
          </w:p>
        </w:tc>
        <w:tc>
          <w:tcPr>
            <w:tcW w:w="1060" w:type="pct"/>
            <w:tcBorders>
              <w:top w:val="outset" w:sz="6" w:space="0" w:color="414142"/>
              <w:left w:val="outset" w:sz="6" w:space="0" w:color="414142"/>
              <w:bottom w:val="outset" w:sz="6" w:space="0" w:color="414142"/>
              <w:right w:val="outset" w:sz="6" w:space="0" w:color="414142"/>
            </w:tcBorders>
          </w:tcPr>
          <w:p w14:paraId="6D8CD0A2" w14:textId="77777777" w:rsidR="00015328" w:rsidRPr="00B0768E" w:rsidRDefault="00015328" w:rsidP="00947EE9">
            <w:pPr>
              <w:tabs>
                <w:tab w:val="left" w:pos="1134"/>
              </w:tabs>
              <w:contextualSpacing/>
              <w:jc w:val="both"/>
              <w:rPr>
                <w:rFonts w:cs="Times New Roman"/>
                <w:sz w:val="20"/>
                <w:szCs w:val="20"/>
              </w:rPr>
            </w:pPr>
            <w:r w:rsidRPr="00B0768E">
              <w:rPr>
                <w:rFonts w:cs="Times New Roman"/>
                <w:sz w:val="20"/>
                <w:szCs w:val="20"/>
              </w:rPr>
              <w:t xml:space="preserve">Anotācija/ I. Tiesību akta projekta izstrādes nepieciešamība/ </w:t>
            </w:r>
          </w:p>
          <w:p w14:paraId="4E2CBF3A" w14:textId="2C507EC4" w:rsidR="00015328" w:rsidRPr="00B0768E" w:rsidRDefault="00015328" w:rsidP="00947EE9">
            <w:pPr>
              <w:tabs>
                <w:tab w:val="left" w:pos="1134"/>
              </w:tabs>
              <w:contextualSpacing/>
              <w:jc w:val="both"/>
              <w:rPr>
                <w:rFonts w:cs="Times New Roman"/>
                <w:sz w:val="20"/>
                <w:szCs w:val="20"/>
              </w:rPr>
            </w:pPr>
            <w:r w:rsidRPr="00B0768E">
              <w:rPr>
                <w:rFonts w:cs="Times New Roman"/>
                <w:sz w:val="20"/>
                <w:szCs w:val="20"/>
              </w:rPr>
              <w:t>2.Pašreizējā situācija un problēmas, kuru risināšanai tiesību akta projekts izstrādāts, tiesiskā regulējuma mērķis un būtība</w:t>
            </w:r>
            <w:r>
              <w:rPr>
                <w:rFonts w:cs="Times New Roman"/>
                <w:sz w:val="20"/>
                <w:szCs w:val="20"/>
              </w:rPr>
              <w:t xml:space="preserve"> (4.</w:t>
            </w:r>
            <w:r w:rsidR="00490582">
              <w:rPr>
                <w:rFonts w:cs="Times New Roman"/>
                <w:sz w:val="20"/>
                <w:szCs w:val="20"/>
              </w:rPr>
              <w:t>-5.</w:t>
            </w:r>
            <w:r>
              <w:rPr>
                <w:rFonts w:cs="Times New Roman"/>
                <w:sz w:val="20"/>
                <w:szCs w:val="20"/>
              </w:rPr>
              <w:t>lp.)</w:t>
            </w:r>
          </w:p>
          <w:p w14:paraId="7DB74BFC" w14:textId="1E9BE5E9" w:rsidR="00015328" w:rsidRPr="00B0768E" w:rsidRDefault="00015328" w:rsidP="00947EE9">
            <w:pPr>
              <w:tabs>
                <w:tab w:val="left" w:pos="1134"/>
              </w:tabs>
              <w:contextualSpacing/>
              <w:jc w:val="both"/>
              <w:rPr>
                <w:rFonts w:cs="Times New Roman"/>
                <w:b/>
                <w:sz w:val="20"/>
                <w:szCs w:val="20"/>
              </w:rPr>
            </w:pPr>
          </w:p>
        </w:tc>
      </w:tr>
      <w:tr w:rsidR="00015328" w:rsidRPr="005B6DEE" w14:paraId="7A016BC4"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03D4FA7B" w14:textId="613CE861" w:rsidR="00015328" w:rsidRPr="00766D21" w:rsidRDefault="00015328" w:rsidP="008835AB">
            <w:pPr>
              <w:jc w:val="center"/>
              <w:rPr>
                <w:rFonts w:eastAsia="Times New Roman" w:cs="Times New Roman"/>
                <w:szCs w:val="24"/>
                <w:lang w:eastAsia="lv-LV"/>
              </w:rPr>
            </w:pPr>
            <w:r>
              <w:rPr>
                <w:rFonts w:eastAsia="Times New Roman" w:cs="Times New Roman"/>
                <w:sz w:val="20"/>
                <w:szCs w:val="24"/>
                <w:lang w:eastAsia="lv-LV"/>
              </w:rPr>
              <w:t>2</w:t>
            </w:r>
            <w:r w:rsidR="008835AB">
              <w:rPr>
                <w:rFonts w:eastAsia="Times New Roman" w:cs="Times New Roman"/>
                <w:sz w:val="20"/>
                <w:szCs w:val="24"/>
                <w:lang w:eastAsia="lv-LV"/>
              </w:rPr>
              <w:t>6</w:t>
            </w:r>
            <w:r w:rsidRPr="00766D21">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0A08D503" w14:textId="77777777" w:rsidR="00015328" w:rsidRPr="00766D21" w:rsidRDefault="00015328" w:rsidP="00947EE9">
            <w:pPr>
              <w:ind w:right="84" w:firstLine="340"/>
              <w:jc w:val="both"/>
              <w:rPr>
                <w:rFonts w:eastAsia="Times New Roman" w:cs="Times New Roman"/>
                <w:sz w:val="20"/>
                <w:szCs w:val="20"/>
                <w:lang w:eastAsia="lv-LV"/>
              </w:rPr>
            </w:pPr>
            <w:r w:rsidRPr="00766D21">
              <w:rPr>
                <w:rFonts w:eastAsia="Times New Roman" w:cs="Times New Roman"/>
                <w:sz w:val="20"/>
                <w:szCs w:val="20"/>
                <w:lang w:eastAsia="lv-LV"/>
              </w:rPr>
              <w:t xml:space="preserve">Atbilstoši Likuma 31. panta otrajai daļai saimnieciskā gada pārskatu sagatavo Finanšu ministrija (Valsts kase). </w:t>
            </w:r>
          </w:p>
          <w:p w14:paraId="0FE07BCE" w14:textId="77777777" w:rsidR="00015328" w:rsidRPr="00766D21" w:rsidRDefault="00015328" w:rsidP="00947EE9">
            <w:pPr>
              <w:ind w:right="84" w:firstLine="340"/>
              <w:jc w:val="both"/>
              <w:rPr>
                <w:rFonts w:eastAsia="Times New Roman" w:cs="Times New Roman"/>
                <w:sz w:val="20"/>
                <w:szCs w:val="20"/>
                <w:lang w:eastAsia="lv-LV"/>
              </w:rPr>
            </w:pPr>
            <w:r w:rsidRPr="00766D21">
              <w:rPr>
                <w:rFonts w:eastAsia="Times New Roman" w:cs="Times New Roman"/>
                <w:sz w:val="20"/>
                <w:szCs w:val="20"/>
                <w:lang w:eastAsia="lv-LV"/>
              </w:rPr>
              <w:t>MK noteikumu normas pirmo reizi piemēros, sagatavojot saimnieciskā gada pārskatu par 2019.gadu.</w:t>
            </w:r>
            <w:r w:rsidRPr="00766D21">
              <w:rPr>
                <w:rFonts w:cs="Times New Roman"/>
                <w:sz w:val="20"/>
                <w:szCs w:val="20"/>
              </w:rPr>
              <w:t xml:space="preserve"> </w:t>
            </w:r>
          </w:p>
          <w:p w14:paraId="31FA4BA7" w14:textId="77777777" w:rsidR="00015328" w:rsidRPr="00766D21" w:rsidRDefault="00015328" w:rsidP="00947EE9">
            <w:pPr>
              <w:ind w:right="84" w:firstLine="340"/>
              <w:jc w:val="both"/>
              <w:rPr>
                <w:rFonts w:eastAsia="Times New Roman" w:cs="Times New Roman"/>
                <w:sz w:val="20"/>
                <w:szCs w:val="20"/>
                <w:lang w:eastAsia="lv-LV"/>
              </w:rPr>
            </w:pPr>
            <w:r w:rsidRPr="00766D21">
              <w:rPr>
                <w:rFonts w:eastAsia="Times New Roman" w:cs="Times New Roman"/>
                <w:sz w:val="20"/>
                <w:szCs w:val="20"/>
                <w:lang w:eastAsia="lv-LV"/>
              </w:rPr>
              <w:t>MK noteikumu projekta 10.punktā noteikts, ka pārskatu sagatavo atbilstoši sekojošos normatīvajos aktos noteiktajiem pamatprincipiem:</w:t>
            </w:r>
          </w:p>
          <w:p w14:paraId="6A3519E3" w14:textId="77777777" w:rsidR="00015328" w:rsidRPr="00766D21" w:rsidRDefault="00015328" w:rsidP="00947EE9">
            <w:pPr>
              <w:pStyle w:val="ListParagraph"/>
              <w:numPr>
                <w:ilvl w:val="0"/>
                <w:numId w:val="25"/>
              </w:numPr>
              <w:ind w:left="541" w:right="84"/>
              <w:jc w:val="both"/>
              <w:rPr>
                <w:sz w:val="20"/>
                <w:szCs w:val="20"/>
              </w:rPr>
            </w:pPr>
            <w:r w:rsidRPr="00766D21">
              <w:rPr>
                <w:sz w:val="20"/>
                <w:szCs w:val="20"/>
              </w:rPr>
              <w:t xml:space="preserve">budžeta jomā –  Likumam un likumam par valsts budžetu;  </w:t>
            </w:r>
          </w:p>
          <w:p w14:paraId="122EF99A" w14:textId="77777777" w:rsidR="00015328" w:rsidRPr="00766D21" w:rsidRDefault="00015328" w:rsidP="00947EE9">
            <w:pPr>
              <w:pStyle w:val="ListParagraph"/>
              <w:numPr>
                <w:ilvl w:val="0"/>
                <w:numId w:val="25"/>
              </w:numPr>
              <w:ind w:left="541" w:right="84"/>
              <w:jc w:val="both"/>
              <w:rPr>
                <w:sz w:val="20"/>
                <w:szCs w:val="20"/>
              </w:rPr>
            </w:pPr>
            <w:r w:rsidRPr="00766D21">
              <w:rPr>
                <w:sz w:val="20"/>
                <w:szCs w:val="20"/>
              </w:rPr>
              <w:t>grāmatvedības jomā –  likumam “Par grāmatvedību” un Ministru kabineta 2018.gada 13.februāra noteikumiem Nr.87 “Grāmatvedības uzskaites kārtība budžeta iestādēs”;</w:t>
            </w:r>
          </w:p>
          <w:p w14:paraId="2F2A3E25" w14:textId="77777777" w:rsidR="00015328" w:rsidRPr="00766D21" w:rsidRDefault="00015328" w:rsidP="00947EE9">
            <w:pPr>
              <w:pStyle w:val="ListParagraph"/>
              <w:numPr>
                <w:ilvl w:val="0"/>
                <w:numId w:val="25"/>
              </w:numPr>
              <w:ind w:left="541" w:right="84" w:hanging="425"/>
              <w:jc w:val="both"/>
              <w:rPr>
                <w:sz w:val="20"/>
                <w:szCs w:val="20"/>
              </w:rPr>
            </w:pPr>
            <w:r w:rsidRPr="00766D21">
              <w:rPr>
                <w:sz w:val="20"/>
                <w:szCs w:val="20"/>
              </w:rPr>
              <w:t>budžeta iestāžu gada pārskatu sagatavošanas jomā –   MK noteikumiem Nr.344 un ievērojot budžeta iestāžu gada pārskata sagatavošanas vadlīnijas.</w:t>
            </w:r>
          </w:p>
          <w:p w14:paraId="029EE9F0" w14:textId="77777777" w:rsidR="00015328" w:rsidRPr="00766D21" w:rsidRDefault="00015328" w:rsidP="00947EE9">
            <w:pPr>
              <w:ind w:right="84" w:firstLine="340"/>
              <w:jc w:val="both"/>
              <w:rPr>
                <w:rFonts w:eastAsia="Times New Roman" w:cs="Times New Roman"/>
                <w:sz w:val="20"/>
                <w:szCs w:val="20"/>
                <w:lang w:eastAsia="lv-LV"/>
              </w:rPr>
            </w:pPr>
            <w:r w:rsidRPr="00766D21">
              <w:rPr>
                <w:rFonts w:eastAsia="Times New Roman" w:cs="Times New Roman"/>
                <w:sz w:val="20"/>
                <w:szCs w:val="20"/>
                <w:lang w:eastAsia="lv-LV"/>
              </w:rPr>
              <w:t>Pārskata apstiprināšanas publiskošanai datums ir datums, kad Valsts kontrole sniegusi atzinumu par saimnieciskā gada pārskatu un Finanšu ministrija saimnieciskā gada pārskatu kopā ar Valsts kontroles atzinumu iesniegusi Ministru kabinetam.</w:t>
            </w:r>
          </w:p>
          <w:p w14:paraId="25813D28" w14:textId="77777777" w:rsidR="00015328" w:rsidRPr="00766D21" w:rsidRDefault="00015328" w:rsidP="00947EE9">
            <w:pPr>
              <w:ind w:firstLine="400"/>
              <w:jc w:val="both"/>
              <w:rPr>
                <w:rFonts w:cs="Times New Roman"/>
                <w:sz w:val="20"/>
                <w:szCs w:val="20"/>
              </w:rPr>
            </w:pPr>
            <w:r w:rsidRPr="00766D21">
              <w:rPr>
                <w:rFonts w:cs="Times New Roman"/>
                <w:sz w:val="20"/>
                <w:szCs w:val="20"/>
              </w:rPr>
              <w:t>Informācija par konsolidācijā iesaistīto vienību (t.sk. par pašvaldību, centrālās valdības un vispārējās valdības konsolidācijas posteņiem (izņemot kapitālsabiedrības līmeņiem)) gada pārskatiem būs pieejama Valsts kases tīmekļa vietnē.</w:t>
            </w:r>
          </w:p>
          <w:p w14:paraId="6A13FE60" w14:textId="77777777" w:rsidR="00015328" w:rsidRPr="00766D21" w:rsidRDefault="00015328" w:rsidP="00947EE9">
            <w:pPr>
              <w:ind w:firstLine="400"/>
              <w:jc w:val="both"/>
              <w:rPr>
                <w:rFonts w:cs="Times New Roman"/>
                <w:sz w:val="20"/>
                <w:szCs w:val="20"/>
              </w:rPr>
            </w:pPr>
            <w:r w:rsidRPr="00766D21">
              <w:rPr>
                <w:rFonts w:cs="Times New Roman"/>
                <w:sz w:val="20"/>
                <w:szCs w:val="20"/>
              </w:rPr>
              <w:t>1.jūlijā Valsts kase savā tīmekļa vietnē publicēs finanšu ministra sagatavoto un Valsts kontrolei iesniegto (nerevidētu) saimnieciskā gada pārskatu.</w:t>
            </w:r>
          </w:p>
          <w:p w14:paraId="1C12875D" w14:textId="77777777" w:rsidR="00015328" w:rsidRPr="00766D21" w:rsidRDefault="00015328" w:rsidP="00947EE9">
            <w:pPr>
              <w:ind w:firstLine="399"/>
              <w:jc w:val="both"/>
              <w:rPr>
                <w:rFonts w:cs="Times New Roman"/>
                <w:sz w:val="20"/>
                <w:szCs w:val="20"/>
              </w:rPr>
            </w:pPr>
            <w:r w:rsidRPr="00766D21">
              <w:rPr>
                <w:rFonts w:cs="Times New Roman"/>
                <w:sz w:val="20"/>
                <w:szCs w:val="20"/>
              </w:rPr>
              <w:t>Valsts kase vienlaikus ar saimnieciskā gada pārskatu sagatavo un publicē  savā tīmekļa vietnē papildu informāciju:</w:t>
            </w:r>
          </w:p>
          <w:p w14:paraId="0DDFB023" w14:textId="77777777" w:rsidR="00015328" w:rsidRPr="00766D21" w:rsidRDefault="00015328" w:rsidP="00947EE9">
            <w:pPr>
              <w:pStyle w:val="ListParagraph"/>
              <w:numPr>
                <w:ilvl w:val="0"/>
                <w:numId w:val="14"/>
              </w:numPr>
              <w:jc w:val="both"/>
              <w:rPr>
                <w:sz w:val="20"/>
                <w:szCs w:val="20"/>
              </w:rPr>
            </w:pPr>
            <w:r w:rsidRPr="00766D21">
              <w:rPr>
                <w:sz w:val="20"/>
                <w:szCs w:val="20"/>
              </w:rPr>
              <w:t>valsts budžeta aizdevumi un aizdevumu atmaksas saimnieciskajā gadā;</w:t>
            </w:r>
          </w:p>
          <w:p w14:paraId="5974EEC7" w14:textId="77777777" w:rsidR="00015328" w:rsidRPr="00766D21" w:rsidRDefault="00015328" w:rsidP="00947EE9">
            <w:pPr>
              <w:pStyle w:val="ListParagraph"/>
              <w:numPr>
                <w:ilvl w:val="0"/>
                <w:numId w:val="14"/>
              </w:numPr>
              <w:jc w:val="both"/>
              <w:rPr>
                <w:sz w:val="20"/>
                <w:szCs w:val="20"/>
              </w:rPr>
            </w:pPr>
            <w:r w:rsidRPr="00766D21">
              <w:rPr>
                <w:sz w:val="20"/>
                <w:szCs w:val="20"/>
              </w:rPr>
              <w:t>kopsavilkums par valsts aizdevumiem saimnieciskajā gadā;</w:t>
            </w:r>
          </w:p>
          <w:p w14:paraId="75F92DBE" w14:textId="77777777" w:rsidR="00015328" w:rsidRPr="00766D21" w:rsidRDefault="00015328" w:rsidP="00947EE9">
            <w:pPr>
              <w:pStyle w:val="ListParagraph"/>
              <w:numPr>
                <w:ilvl w:val="0"/>
                <w:numId w:val="14"/>
              </w:numPr>
              <w:jc w:val="both"/>
              <w:rPr>
                <w:sz w:val="20"/>
                <w:szCs w:val="20"/>
              </w:rPr>
            </w:pPr>
            <w:r w:rsidRPr="00766D21">
              <w:rPr>
                <w:sz w:val="20"/>
                <w:szCs w:val="20"/>
              </w:rPr>
              <w:t>valsts izsniegto galvojumu saraksts uz saimnieciskā gada beigām;</w:t>
            </w:r>
          </w:p>
          <w:p w14:paraId="735CCFFA" w14:textId="77777777" w:rsidR="00015328" w:rsidRPr="00766D21" w:rsidRDefault="00015328" w:rsidP="00947EE9">
            <w:pPr>
              <w:pStyle w:val="ListParagraph"/>
              <w:numPr>
                <w:ilvl w:val="0"/>
                <w:numId w:val="14"/>
              </w:numPr>
              <w:jc w:val="both"/>
              <w:rPr>
                <w:sz w:val="20"/>
                <w:szCs w:val="20"/>
              </w:rPr>
            </w:pPr>
            <w:r w:rsidRPr="00766D21">
              <w:rPr>
                <w:sz w:val="20"/>
                <w:szCs w:val="20"/>
              </w:rPr>
              <w:t>valsts ārējais parāds saimnieciskā gada beigās;</w:t>
            </w:r>
          </w:p>
          <w:p w14:paraId="4AA390B2" w14:textId="77777777" w:rsidR="00015328" w:rsidRPr="00766D21" w:rsidRDefault="00015328" w:rsidP="00947EE9">
            <w:pPr>
              <w:pStyle w:val="ListParagraph"/>
              <w:numPr>
                <w:ilvl w:val="0"/>
                <w:numId w:val="14"/>
              </w:numPr>
              <w:jc w:val="both"/>
              <w:rPr>
                <w:sz w:val="20"/>
                <w:szCs w:val="20"/>
              </w:rPr>
            </w:pPr>
            <w:r w:rsidRPr="00766D21">
              <w:rPr>
                <w:sz w:val="20"/>
                <w:szCs w:val="20"/>
              </w:rPr>
              <w:t>valsts iekšējais parāds saimnieciskā gada beigās.</w:t>
            </w:r>
          </w:p>
          <w:p w14:paraId="7FF2E5A3" w14:textId="77777777" w:rsidR="00015328" w:rsidRPr="00766D21" w:rsidRDefault="00015328" w:rsidP="00947EE9">
            <w:pPr>
              <w:ind w:firstLine="399"/>
              <w:contextualSpacing/>
              <w:jc w:val="both"/>
              <w:rPr>
                <w:rFonts w:cs="Times New Roman"/>
                <w:sz w:val="20"/>
                <w:szCs w:val="20"/>
              </w:rPr>
            </w:pPr>
            <w:r w:rsidRPr="00766D21">
              <w:rPr>
                <w:rFonts w:cs="Times New Roman"/>
                <w:sz w:val="20"/>
                <w:szCs w:val="20"/>
              </w:rPr>
              <w:t>Gada pārskata finanšu un nefinanšu informāciju sagatavo, ievērojot šādas kvalitātes pazīmes:</w:t>
            </w:r>
          </w:p>
          <w:p w14:paraId="24608A6A" w14:textId="77777777" w:rsidR="00015328" w:rsidRPr="00766D21" w:rsidRDefault="00015328" w:rsidP="00947EE9">
            <w:pPr>
              <w:numPr>
                <w:ilvl w:val="1"/>
                <w:numId w:val="13"/>
              </w:numPr>
              <w:tabs>
                <w:tab w:val="left" w:pos="682"/>
              </w:tabs>
              <w:ind w:left="115" w:firstLine="284"/>
              <w:contextualSpacing/>
              <w:jc w:val="both"/>
              <w:rPr>
                <w:rFonts w:cs="Times New Roman"/>
                <w:sz w:val="20"/>
                <w:szCs w:val="20"/>
              </w:rPr>
            </w:pPr>
            <w:r w:rsidRPr="00766D21">
              <w:rPr>
                <w:rFonts w:cs="Times New Roman"/>
                <w:sz w:val="20"/>
                <w:szCs w:val="20"/>
              </w:rPr>
              <w:t>patiesums – iekļautā informācija ir pilnīga un neitrāla (objektīva), un tajā nav būtisku kļūdu, lai informācijas lietotāji var paļauties, ka ir norādīta visa informācija, kas bija jānorāda, vai ir pamatoti iemesli uzskatīt, ka šāda informācija tiks norādīta. Pieņemot lēmumus par novērtējumu, ievēro piesardzības principu, lai aktīvus un ieņēmumus nenovērtētu par augstu, bet saistības un izdevumus – par zemu;</w:t>
            </w:r>
          </w:p>
          <w:p w14:paraId="26AAC313" w14:textId="77777777" w:rsidR="00015328" w:rsidRPr="00766D21" w:rsidRDefault="00015328" w:rsidP="00947EE9">
            <w:pPr>
              <w:numPr>
                <w:ilvl w:val="1"/>
                <w:numId w:val="13"/>
              </w:numPr>
              <w:tabs>
                <w:tab w:val="left" w:pos="682"/>
              </w:tabs>
              <w:ind w:left="115" w:firstLine="284"/>
              <w:contextualSpacing/>
              <w:jc w:val="both"/>
              <w:rPr>
                <w:rFonts w:cs="Times New Roman"/>
                <w:sz w:val="20"/>
                <w:szCs w:val="20"/>
              </w:rPr>
            </w:pPr>
            <w:r w:rsidRPr="00766D21">
              <w:rPr>
                <w:rFonts w:cs="Times New Roman"/>
                <w:sz w:val="20"/>
                <w:szCs w:val="20"/>
              </w:rPr>
              <w:t>nozīmīgums – informācija ir nozīmīga, ja tās nenorādīšana vai neprecīza norādīšana var ietekmēt gada pārskata lietotāju lēmumus, kuri pieņemti, pamatojoties uz šo informāciju. Šāda informācija apstiprina vai maina pagātnes vai tagadnes pieņēmumus un novērtējumus un atklāj valsts vai pašvaldību budžetu plānoto darbību, mērķus, resursu avotus un izdevumus;</w:t>
            </w:r>
          </w:p>
          <w:p w14:paraId="000A7D15" w14:textId="77777777" w:rsidR="00015328" w:rsidRPr="00766D21" w:rsidRDefault="00015328" w:rsidP="00947EE9">
            <w:pPr>
              <w:numPr>
                <w:ilvl w:val="1"/>
                <w:numId w:val="13"/>
              </w:numPr>
              <w:tabs>
                <w:tab w:val="left" w:pos="682"/>
              </w:tabs>
              <w:ind w:left="115" w:firstLine="284"/>
              <w:contextualSpacing/>
              <w:jc w:val="both"/>
              <w:rPr>
                <w:rFonts w:cs="Times New Roman"/>
                <w:sz w:val="20"/>
                <w:szCs w:val="20"/>
              </w:rPr>
            </w:pPr>
            <w:r w:rsidRPr="00766D21">
              <w:rPr>
                <w:rFonts w:cs="Times New Roman"/>
                <w:sz w:val="20"/>
                <w:szCs w:val="20"/>
              </w:rPr>
              <w:t>saprotamība – informāciju norāda tā, lai gada pārskata lietotāji izprastu, kā konkrēti darījumi vai notikumi ietekmē valsts vai pašvaldību budžetu finansiālo stāvokli vai darbības finansiālos rezultātus pārskata gadā vai nākotnē;</w:t>
            </w:r>
          </w:p>
          <w:p w14:paraId="2D6D458E" w14:textId="77777777" w:rsidR="00015328" w:rsidRPr="00766D21" w:rsidRDefault="00015328" w:rsidP="00947EE9">
            <w:pPr>
              <w:numPr>
                <w:ilvl w:val="1"/>
                <w:numId w:val="13"/>
              </w:numPr>
              <w:tabs>
                <w:tab w:val="left" w:pos="682"/>
              </w:tabs>
              <w:ind w:left="115" w:firstLine="284"/>
              <w:contextualSpacing/>
              <w:jc w:val="both"/>
              <w:rPr>
                <w:rFonts w:cs="Times New Roman"/>
                <w:sz w:val="20"/>
                <w:szCs w:val="20"/>
              </w:rPr>
            </w:pPr>
            <w:r w:rsidRPr="00766D21">
              <w:rPr>
                <w:rFonts w:cs="Times New Roman"/>
                <w:sz w:val="20"/>
                <w:szCs w:val="20"/>
              </w:rPr>
              <w:t>savlaicīgums – informācijas sniegšanas termiņš nodrošina iespēju to izmantot, izvērtējot pagātnes, tagadnes vai nākotnes notikumus, apstiprinot vai mainot iepriekšējos pieņēmumus un novērtējumus;</w:t>
            </w:r>
          </w:p>
          <w:p w14:paraId="54121188" w14:textId="77777777" w:rsidR="00015328" w:rsidRPr="00766D21" w:rsidRDefault="00015328" w:rsidP="00947EE9">
            <w:pPr>
              <w:numPr>
                <w:ilvl w:val="1"/>
                <w:numId w:val="13"/>
              </w:numPr>
              <w:tabs>
                <w:tab w:val="left" w:pos="682"/>
              </w:tabs>
              <w:ind w:left="115" w:firstLine="284"/>
              <w:contextualSpacing/>
              <w:jc w:val="both"/>
              <w:rPr>
                <w:rFonts w:cs="Times New Roman"/>
                <w:sz w:val="20"/>
                <w:szCs w:val="20"/>
              </w:rPr>
            </w:pPr>
            <w:r w:rsidRPr="00766D21">
              <w:rPr>
                <w:rFonts w:cs="Times New Roman"/>
                <w:sz w:val="20"/>
                <w:szCs w:val="20"/>
              </w:rPr>
              <w:t>salīdzināmība – nodrošina iespēju identificēt līdzības un atšķirības starp diviem apstākļu kopumiem. Grāmatvedības uzskaites principus lieto konsekventi. Posteņu uzskaitījums un klasifikācija visos pārskata periodos ir vienāda, izņemot gadījumu, ja posteņu uzskaitījuma un klasifikācijas maiņa ir paredzēta normatīvajos aktos budžeta un finanšu jomā. Savstarpēji salīdzināmi dati atbilst cits citam dažādos pārskatos un to pielikumos;</w:t>
            </w:r>
          </w:p>
          <w:p w14:paraId="543777AE" w14:textId="77777777" w:rsidR="00015328" w:rsidRPr="00766D21" w:rsidRDefault="00015328" w:rsidP="00947EE9">
            <w:pPr>
              <w:numPr>
                <w:ilvl w:val="1"/>
                <w:numId w:val="13"/>
              </w:numPr>
              <w:tabs>
                <w:tab w:val="left" w:pos="682"/>
              </w:tabs>
              <w:ind w:left="115" w:firstLine="284"/>
              <w:contextualSpacing/>
              <w:jc w:val="both"/>
              <w:rPr>
                <w:rFonts w:cs="Times New Roman"/>
                <w:sz w:val="20"/>
                <w:szCs w:val="20"/>
              </w:rPr>
            </w:pPr>
            <w:r w:rsidRPr="00766D21">
              <w:rPr>
                <w:rFonts w:cs="Times New Roman"/>
                <w:sz w:val="20"/>
                <w:szCs w:val="20"/>
              </w:rPr>
              <w:t>pārbaudāmība – nodrošina, ka grāmatvedības jautājumos kvalificēta trešā persona, veicot informācijas pārbaudi vai šīs informācijas atkārtotu sagatavošanu, nonāktu pie tāda paša secinājuma, pie kāda nonākusi Finanšu ministrija (Valsts kase), sagatavojot pārskatu.</w:t>
            </w:r>
          </w:p>
          <w:p w14:paraId="1C99F61C" w14:textId="142E6E29" w:rsidR="00015328" w:rsidRPr="00766D21" w:rsidRDefault="00015328" w:rsidP="00947EE9">
            <w:pPr>
              <w:ind w:right="63"/>
              <w:jc w:val="both"/>
              <w:rPr>
                <w:rFonts w:cs="Times New Roman"/>
                <w:sz w:val="20"/>
                <w:szCs w:val="20"/>
              </w:rPr>
            </w:pPr>
          </w:p>
        </w:tc>
        <w:tc>
          <w:tcPr>
            <w:tcW w:w="1731" w:type="pct"/>
            <w:tcBorders>
              <w:top w:val="outset" w:sz="6" w:space="0" w:color="414142"/>
              <w:left w:val="outset" w:sz="6" w:space="0" w:color="414142"/>
              <w:bottom w:val="outset" w:sz="6" w:space="0" w:color="414142"/>
              <w:right w:val="outset" w:sz="6" w:space="0" w:color="414142"/>
            </w:tcBorders>
          </w:tcPr>
          <w:p w14:paraId="59835734" w14:textId="77777777" w:rsidR="00015328" w:rsidRPr="00766D21" w:rsidRDefault="00015328" w:rsidP="00947EE9">
            <w:pPr>
              <w:pStyle w:val="ListParagraph"/>
              <w:ind w:left="0"/>
              <w:jc w:val="both"/>
              <w:rPr>
                <w:sz w:val="20"/>
                <w:szCs w:val="20"/>
              </w:rPr>
            </w:pPr>
            <w:r w:rsidRPr="00766D21">
              <w:rPr>
                <w:sz w:val="20"/>
                <w:szCs w:val="20"/>
              </w:rPr>
              <w:t>Tieslietu ministrija</w:t>
            </w:r>
          </w:p>
          <w:p w14:paraId="1EB5473A" w14:textId="77777777" w:rsidR="00015328" w:rsidRPr="00766D21" w:rsidRDefault="00015328" w:rsidP="00947EE9">
            <w:pPr>
              <w:pStyle w:val="ListParagraph"/>
              <w:ind w:left="0"/>
              <w:jc w:val="both"/>
              <w:rPr>
                <w:sz w:val="20"/>
                <w:szCs w:val="20"/>
              </w:rPr>
            </w:pPr>
            <w:r w:rsidRPr="00766D21">
              <w:rPr>
                <w:sz w:val="20"/>
                <w:szCs w:val="20"/>
              </w:rPr>
              <w:t>20.</w:t>
            </w:r>
            <w:r w:rsidRPr="00766D21">
              <w:rPr>
                <w:sz w:val="20"/>
                <w:szCs w:val="20"/>
              </w:rPr>
              <w:tab/>
              <w:t>Lūdzam anotācijas I nodaļas 4. punktā ietverto informāciju atspoguļot anotācijas I nodaļas 2. punktā, ņemot vērā, ka tā attiecas uz noteikumu projekta mērķi un būtību.</w:t>
            </w:r>
          </w:p>
        </w:tc>
        <w:tc>
          <w:tcPr>
            <w:tcW w:w="893" w:type="pct"/>
            <w:tcBorders>
              <w:top w:val="outset" w:sz="6" w:space="0" w:color="414142"/>
              <w:left w:val="outset" w:sz="6" w:space="0" w:color="414142"/>
              <w:bottom w:val="outset" w:sz="6" w:space="0" w:color="414142"/>
              <w:right w:val="outset" w:sz="6" w:space="0" w:color="414142"/>
            </w:tcBorders>
          </w:tcPr>
          <w:p w14:paraId="2B7A2DAD" w14:textId="77777777" w:rsidR="00015328" w:rsidRPr="00B0768E" w:rsidRDefault="00015328" w:rsidP="00947EE9">
            <w:pPr>
              <w:autoSpaceDE w:val="0"/>
              <w:autoSpaceDN w:val="0"/>
              <w:adjustRightInd w:val="0"/>
              <w:jc w:val="both"/>
              <w:rPr>
                <w:rFonts w:cs="Times New Roman"/>
                <w:b/>
                <w:sz w:val="20"/>
                <w:szCs w:val="20"/>
              </w:rPr>
            </w:pPr>
            <w:r w:rsidRPr="00B0768E">
              <w:rPr>
                <w:rFonts w:cs="Times New Roman"/>
                <w:b/>
                <w:sz w:val="20"/>
                <w:szCs w:val="20"/>
              </w:rPr>
              <w:t>Ņemts vērā</w:t>
            </w:r>
          </w:p>
          <w:p w14:paraId="72A847E3" w14:textId="73A1CB82" w:rsidR="00015328" w:rsidRPr="00F87295" w:rsidRDefault="00015328" w:rsidP="00947EE9">
            <w:pPr>
              <w:tabs>
                <w:tab w:val="left" w:pos="1134"/>
              </w:tabs>
              <w:contextualSpacing/>
              <w:jc w:val="both"/>
              <w:rPr>
                <w:rFonts w:cs="Times New Roman"/>
                <w:sz w:val="20"/>
                <w:szCs w:val="20"/>
              </w:rPr>
            </w:pPr>
            <w:r w:rsidRPr="00B0768E">
              <w:rPr>
                <w:sz w:val="20"/>
                <w:szCs w:val="20"/>
              </w:rPr>
              <w:t xml:space="preserve">Informācija pārcelta uz </w:t>
            </w:r>
            <w:r w:rsidRPr="00F87295">
              <w:rPr>
                <w:rFonts w:cs="Times New Roman"/>
                <w:sz w:val="20"/>
                <w:szCs w:val="20"/>
              </w:rPr>
              <w:t xml:space="preserve"> I.nodaļas “Tiesību akta projekta izstrādes nepieciešamība” 2.punktu</w:t>
            </w:r>
          </w:p>
          <w:p w14:paraId="1E71E688" w14:textId="3CDABE22" w:rsidR="00015328" w:rsidRPr="00B0768E" w:rsidRDefault="00015328" w:rsidP="00947EE9">
            <w:pPr>
              <w:autoSpaceDE w:val="0"/>
              <w:autoSpaceDN w:val="0"/>
              <w:adjustRightInd w:val="0"/>
              <w:jc w:val="both"/>
              <w:rPr>
                <w:rFonts w:cs="Times New Roman"/>
                <w:b/>
                <w:sz w:val="20"/>
                <w:szCs w:val="20"/>
              </w:rPr>
            </w:pPr>
            <w:r w:rsidRPr="00F87295">
              <w:rPr>
                <w:rFonts w:cs="Times New Roman"/>
                <w:sz w:val="20"/>
                <w:szCs w:val="20"/>
              </w:rPr>
              <w:t>“Pašreizējā situācija un problēmas, kuru risināšanai tiesību akta projekts izstrādāts, tiesiskā regulējuma mērķis un būtība”</w:t>
            </w:r>
          </w:p>
        </w:tc>
        <w:tc>
          <w:tcPr>
            <w:tcW w:w="1060" w:type="pct"/>
            <w:tcBorders>
              <w:top w:val="outset" w:sz="6" w:space="0" w:color="414142"/>
              <w:left w:val="outset" w:sz="6" w:space="0" w:color="414142"/>
              <w:bottom w:val="outset" w:sz="6" w:space="0" w:color="414142"/>
              <w:right w:val="outset" w:sz="6" w:space="0" w:color="414142"/>
            </w:tcBorders>
          </w:tcPr>
          <w:p w14:paraId="6A7EAB4A" w14:textId="77777777" w:rsidR="00015328" w:rsidRPr="00B0768E" w:rsidRDefault="00015328" w:rsidP="00947EE9">
            <w:pPr>
              <w:tabs>
                <w:tab w:val="left" w:pos="1134"/>
              </w:tabs>
              <w:contextualSpacing/>
              <w:jc w:val="both"/>
              <w:rPr>
                <w:rFonts w:cs="Times New Roman"/>
                <w:sz w:val="20"/>
                <w:szCs w:val="20"/>
              </w:rPr>
            </w:pPr>
            <w:r w:rsidRPr="00B0768E">
              <w:rPr>
                <w:rFonts w:cs="Times New Roman"/>
                <w:sz w:val="20"/>
                <w:szCs w:val="20"/>
              </w:rPr>
              <w:t xml:space="preserve">Anotācija/ I. Tiesību akta projekta izstrādes nepieciešamība/ </w:t>
            </w:r>
          </w:p>
          <w:p w14:paraId="187E1E09" w14:textId="6664F23C" w:rsidR="00015328" w:rsidRPr="00B0768E" w:rsidRDefault="00015328" w:rsidP="00947EE9">
            <w:pPr>
              <w:tabs>
                <w:tab w:val="left" w:pos="1134"/>
              </w:tabs>
              <w:contextualSpacing/>
              <w:jc w:val="both"/>
              <w:rPr>
                <w:rFonts w:cs="Times New Roman"/>
                <w:sz w:val="20"/>
                <w:szCs w:val="20"/>
              </w:rPr>
            </w:pPr>
            <w:r w:rsidRPr="00B0768E">
              <w:rPr>
                <w:rFonts w:cs="Times New Roman"/>
                <w:sz w:val="20"/>
                <w:szCs w:val="20"/>
              </w:rPr>
              <w:t>2.Pašreizējā situācija un problēmas, kuru risināšanai tiesību akta projekts izstrādāts, tiesiskā regulējuma mērķis un būtība</w:t>
            </w:r>
            <w:r>
              <w:rPr>
                <w:rFonts w:cs="Times New Roman"/>
                <w:sz w:val="20"/>
                <w:szCs w:val="20"/>
              </w:rPr>
              <w:t xml:space="preserve"> (1.-1</w:t>
            </w:r>
            <w:r w:rsidR="00490582">
              <w:rPr>
                <w:rFonts w:cs="Times New Roman"/>
                <w:sz w:val="20"/>
                <w:szCs w:val="20"/>
              </w:rPr>
              <w:t>5</w:t>
            </w:r>
            <w:r>
              <w:rPr>
                <w:rFonts w:cs="Times New Roman"/>
                <w:sz w:val="20"/>
                <w:szCs w:val="20"/>
              </w:rPr>
              <w:t>.lp.)</w:t>
            </w:r>
          </w:p>
          <w:p w14:paraId="12A5B445" w14:textId="402783F1" w:rsidR="00015328" w:rsidRPr="00F87295" w:rsidRDefault="00015328" w:rsidP="00947EE9">
            <w:pPr>
              <w:tabs>
                <w:tab w:val="left" w:pos="1134"/>
              </w:tabs>
              <w:contextualSpacing/>
              <w:jc w:val="both"/>
              <w:rPr>
                <w:rFonts w:cs="Times New Roman"/>
                <w:b/>
                <w:sz w:val="20"/>
                <w:szCs w:val="20"/>
                <w:highlight w:val="yellow"/>
              </w:rPr>
            </w:pPr>
          </w:p>
        </w:tc>
      </w:tr>
      <w:tr w:rsidR="00015328" w:rsidRPr="005B6DEE" w14:paraId="0DDF4387"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239040F4" w14:textId="78ABC1ED" w:rsidR="00015328" w:rsidRPr="00536150" w:rsidRDefault="00015328" w:rsidP="008835AB">
            <w:pPr>
              <w:jc w:val="center"/>
              <w:rPr>
                <w:rFonts w:eastAsia="Times New Roman" w:cs="Times New Roman"/>
                <w:szCs w:val="24"/>
                <w:lang w:eastAsia="lv-LV"/>
              </w:rPr>
            </w:pPr>
            <w:r>
              <w:rPr>
                <w:rFonts w:eastAsia="Times New Roman" w:cs="Times New Roman"/>
                <w:sz w:val="20"/>
                <w:szCs w:val="24"/>
                <w:lang w:eastAsia="lv-LV"/>
              </w:rPr>
              <w:t>2</w:t>
            </w:r>
            <w:r w:rsidR="008835AB">
              <w:rPr>
                <w:rFonts w:eastAsia="Times New Roman" w:cs="Times New Roman"/>
                <w:sz w:val="20"/>
                <w:szCs w:val="24"/>
                <w:lang w:eastAsia="lv-LV"/>
              </w:rPr>
              <w:t>7</w:t>
            </w:r>
            <w:r w:rsidRPr="001A05F0">
              <w:rPr>
                <w:rFonts w:eastAsia="Times New Roman" w:cs="Times New Roman"/>
                <w:sz w:val="20"/>
                <w:szCs w:val="24"/>
                <w:lang w:eastAsia="lv-LV"/>
              </w:rPr>
              <w:t>.</w:t>
            </w:r>
          </w:p>
        </w:tc>
        <w:tc>
          <w:tcPr>
            <w:tcW w:w="1064" w:type="pct"/>
            <w:tcBorders>
              <w:top w:val="outset" w:sz="6" w:space="0" w:color="414142"/>
              <w:left w:val="outset" w:sz="6" w:space="0" w:color="414142"/>
              <w:bottom w:val="outset" w:sz="6" w:space="0" w:color="414142"/>
              <w:right w:val="outset" w:sz="6" w:space="0" w:color="414142"/>
            </w:tcBorders>
          </w:tcPr>
          <w:p w14:paraId="7018A921" w14:textId="77777777" w:rsidR="00015328" w:rsidRPr="00536150" w:rsidRDefault="00015328" w:rsidP="00947EE9">
            <w:pPr>
              <w:ind w:right="63"/>
              <w:jc w:val="both"/>
              <w:rPr>
                <w:sz w:val="20"/>
              </w:rPr>
            </w:pPr>
            <w:r w:rsidRPr="00536150">
              <w:rPr>
                <w:sz w:val="20"/>
              </w:rPr>
              <w:t xml:space="preserve">Anotācija/ II. Tiesību akta projekta ietekme uz sabiedrību, tautsaimniecības attīstību un administratīvo slogu / </w:t>
            </w:r>
          </w:p>
          <w:p w14:paraId="7D1D44AE" w14:textId="77777777" w:rsidR="00015328" w:rsidRPr="00536150" w:rsidRDefault="00015328" w:rsidP="00947EE9">
            <w:pPr>
              <w:ind w:right="63"/>
              <w:jc w:val="both"/>
              <w:rPr>
                <w:sz w:val="20"/>
              </w:rPr>
            </w:pPr>
            <w:r w:rsidRPr="00536150">
              <w:rPr>
                <w:sz w:val="20"/>
              </w:rPr>
              <w:t>1.Sabiedrības mērķgrupas, kuras tiesiskais regulējums ietekmē vai varētu ietekmēt</w:t>
            </w:r>
          </w:p>
          <w:p w14:paraId="66E0C46A" w14:textId="77777777" w:rsidR="00015328" w:rsidRPr="00536150" w:rsidRDefault="00015328" w:rsidP="00947EE9">
            <w:pPr>
              <w:ind w:right="63"/>
              <w:jc w:val="both"/>
              <w:rPr>
                <w:sz w:val="20"/>
              </w:rPr>
            </w:pPr>
            <w:r w:rsidRPr="00536150">
              <w:rPr>
                <w:sz w:val="20"/>
              </w:rPr>
              <w:t>Projekts šo jomu neskar.</w:t>
            </w:r>
          </w:p>
          <w:p w14:paraId="57DC046D" w14:textId="77777777" w:rsidR="00015328" w:rsidRPr="00536150" w:rsidRDefault="00015328" w:rsidP="00947EE9">
            <w:pPr>
              <w:ind w:right="63"/>
              <w:jc w:val="both"/>
              <w:rPr>
                <w:sz w:val="20"/>
              </w:rPr>
            </w:pPr>
            <w:r w:rsidRPr="00536150">
              <w:rPr>
                <w:sz w:val="20"/>
              </w:rPr>
              <w:t>2.Tiesiskā regulējuma ietekme uz tautsaimniecību un administratīvo slogu</w:t>
            </w:r>
          </w:p>
          <w:p w14:paraId="2EA2B559" w14:textId="77777777" w:rsidR="00015328" w:rsidRPr="00536150" w:rsidRDefault="00015328" w:rsidP="00947EE9">
            <w:pPr>
              <w:ind w:right="63"/>
              <w:jc w:val="both"/>
              <w:rPr>
                <w:sz w:val="20"/>
              </w:rPr>
            </w:pPr>
            <w:r w:rsidRPr="00536150">
              <w:rPr>
                <w:sz w:val="20"/>
              </w:rPr>
              <w:t>Projekts šo jomu neskar.</w:t>
            </w:r>
          </w:p>
          <w:p w14:paraId="3313D274" w14:textId="77777777" w:rsidR="00015328" w:rsidRPr="00536150" w:rsidRDefault="00015328" w:rsidP="00947EE9">
            <w:pPr>
              <w:ind w:right="63"/>
              <w:jc w:val="both"/>
              <w:rPr>
                <w:sz w:val="20"/>
              </w:rPr>
            </w:pPr>
            <w:r w:rsidRPr="00536150">
              <w:rPr>
                <w:sz w:val="20"/>
              </w:rPr>
              <w:t>3. Administratīvo izmaksu monetārs novērtējums</w:t>
            </w:r>
          </w:p>
          <w:p w14:paraId="1A7D6BAF" w14:textId="77777777" w:rsidR="00015328" w:rsidRPr="00536150" w:rsidRDefault="00015328" w:rsidP="00947EE9">
            <w:pPr>
              <w:ind w:right="63"/>
              <w:jc w:val="both"/>
              <w:rPr>
                <w:sz w:val="20"/>
              </w:rPr>
            </w:pPr>
            <w:r w:rsidRPr="00536150">
              <w:rPr>
                <w:sz w:val="20"/>
              </w:rPr>
              <w:t>Projekts šo jomu neskar</w:t>
            </w:r>
          </w:p>
          <w:p w14:paraId="5898CD3F" w14:textId="77777777" w:rsidR="00015328" w:rsidRPr="00536150" w:rsidRDefault="00015328" w:rsidP="00947EE9">
            <w:pPr>
              <w:ind w:right="63"/>
              <w:jc w:val="both"/>
              <w:rPr>
                <w:sz w:val="20"/>
              </w:rPr>
            </w:pPr>
            <w:r w:rsidRPr="00536150">
              <w:rPr>
                <w:sz w:val="20"/>
              </w:rPr>
              <w:t>4. Atbilstības izmaksu monetārs novērtējums</w:t>
            </w:r>
          </w:p>
          <w:p w14:paraId="7906DE52" w14:textId="77777777" w:rsidR="00015328" w:rsidRPr="00536150" w:rsidRDefault="00015328" w:rsidP="00947EE9">
            <w:pPr>
              <w:ind w:right="63"/>
              <w:jc w:val="both"/>
              <w:rPr>
                <w:sz w:val="20"/>
              </w:rPr>
            </w:pPr>
            <w:r w:rsidRPr="00536150">
              <w:rPr>
                <w:sz w:val="20"/>
              </w:rPr>
              <w:t>Projekts šo jomu neskar</w:t>
            </w:r>
          </w:p>
          <w:p w14:paraId="178BFA56" w14:textId="77777777" w:rsidR="00015328" w:rsidRPr="00536150" w:rsidRDefault="00015328" w:rsidP="00947EE9">
            <w:pPr>
              <w:ind w:right="63"/>
              <w:jc w:val="both"/>
              <w:rPr>
                <w:sz w:val="20"/>
              </w:rPr>
            </w:pPr>
            <w:r w:rsidRPr="00536150">
              <w:rPr>
                <w:sz w:val="20"/>
              </w:rPr>
              <w:t xml:space="preserve">5. Cita informācija </w:t>
            </w:r>
          </w:p>
          <w:p w14:paraId="700F632C" w14:textId="77777777" w:rsidR="00015328" w:rsidRPr="00536150" w:rsidRDefault="00015328" w:rsidP="00947EE9">
            <w:pPr>
              <w:ind w:right="63"/>
              <w:jc w:val="both"/>
              <w:rPr>
                <w:sz w:val="20"/>
              </w:rPr>
            </w:pPr>
            <w:r w:rsidRPr="00536150">
              <w:rPr>
                <w:sz w:val="20"/>
              </w:rPr>
              <w:t>Saimnieciskā gada pārskatu izmanto Centrālā statistikas pārvalde, Latvijas Banka, starptautiskās organizācijas, reitingu aģentūras un investori, Latvijas Republikas iedzīvotāji. Pieņemot noteikumu projektu, ieinteresētās puses varēs saņemt informāciju par valsts un pašvaldību budžetu finanšu stāvokli atbilstoši vienotiem grāmatvedības uzskaites principiem un starptautiski atzītai pārskatu sniegšanas labākai praksei, kā arī par valsts un pašvaldību budžeta izpildi.</w:t>
            </w:r>
          </w:p>
        </w:tc>
        <w:tc>
          <w:tcPr>
            <w:tcW w:w="1731" w:type="pct"/>
            <w:tcBorders>
              <w:top w:val="outset" w:sz="6" w:space="0" w:color="414142"/>
              <w:left w:val="outset" w:sz="6" w:space="0" w:color="414142"/>
              <w:bottom w:val="outset" w:sz="6" w:space="0" w:color="414142"/>
              <w:right w:val="outset" w:sz="6" w:space="0" w:color="414142"/>
            </w:tcBorders>
          </w:tcPr>
          <w:p w14:paraId="195C7617" w14:textId="77777777" w:rsidR="00015328" w:rsidRPr="00F6361E" w:rsidRDefault="00015328" w:rsidP="00947EE9">
            <w:pPr>
              <w:pStyle w:val="ListParagraph"/>
              <w:ind w:left="0"/>
              <w:jc w:val="both"/>
              <w:rPr>
                <w:sz w:val="20"/>
              </w:rPr>
            </w:pPr>
            <w:r w:rsidRPr="00F6361E">
              <w:rPr>
                <w:sz w:val="20"/>
              </w:rPr>
              <w:t>Tieslietu ministrija</w:t>
            </w:r>
          </w:p>
          <w:p w14:paraId="0B2B0170" w14:textId="692BAF61" w:rsidR="00015328" w:rsidRPr="00F6361E" w:rsidRDefault="00015328" w:rsidP="00947EE9">
            <w:pPr>
              <w:pStyle w:val="ListParagraph"/>
              <w:ind w:left="0"/>
              <w:jc w:val="both"/>
              <w:rPr>
                <w:sz w:val="20"/>
              </w:rPr>
            </w:pPr>
            <w:r>
              <w:rPr>
                <w:sz w:val="20"/>
              </w:rPr>
              <w:t xml:space="preserve">21. </w:t>
            </w:r>
            <w:r w:rsidRPr="00F6361E">
              <w:rPr>
                <w:sz w:val="20"/>
              </w:rPr>
              <w:t xml:space="preserve">Vēršam uzmanību, ka saskaņā ar Instrukcijas Nr. 19 20. punktu anotācijas II </w:t>
            </w:r>
            <w:r>
              <w:rPr>
                <w:sz w:val="20"/>
              </w:rPr>
              <w:t>nodaļ</w:t>
            </w:r>
            <w:r w:rsidRPr="00F6361E">
              <w:rPr>
                <w:sz w:val="20"/>
              </w:rPr>
              <w:t>as 1. punktā norāda visas sabiedrības mērķgrupas, uz kurām attiecināms projekta tiesiskais regulējums tiešā un netiešā veidā, t.i., kuru tiesības, pienākumus, finanses vai iespējas projekts ietekmē vai varētu ietekmēt. Ar sabiedrības mērķgrupu saprot jebkuru fizisku vai juridisku personu grupu (tai skaitā valsts un pašvaldību iestādēs nodarbinātos), kuru skar projektā paredzētais regulējums.</w:t>
            </w:r>
          </w:p>
          <w:p w14:paraId="0BE2D831" w14:textId="4C93B602" w:rsidR="00015328" w:rsidRPr="00536150" w:rsidRDefault="00015328" w:rsidP="00947EE9">
            <w:pPr>
              <w:pStyle w:val="ListParagraph"/>
              <w:ind w:left="0"/>
              <w:jc w:val="both"/>
              <w:rPr>
                <w:sz w:val="20"/>
              </w:rPr>
            </w:pPr>
            <w:r w:rsidRPr="00F6361E">
              <w:rPr>
                <w:sz w:val="20"/>
              </w:rPr>
              <w:t xml:space="preserve">Lūdzam precizēt anotācijas II </w:t>
            </w:r>
            <w:r>
              <w:rPr>
                <w:sz w:val="20"/>
              </w:rPr>
              <w:t>nodaļ</w:t>
            </w:r>
            <w:r w:rsidRPr="00F6361E">
              <w:rPr>
                <w:sz w:val="20"/>
              </w:rPr>
              <w:t xml:space="preserve">as 1. punktu, ņemot vērā, ka noteikumu projektā paredzētais regulējums attieksies uz Finanšu ministriju, Valsts kasi un Valsts kases pārvaldnieku. Attiecīgi lūdzam aizpildīt arī pārējos anotācijas II </w:t>
            </w:r>
            <w:r>
              <w:rPr>
                <w:sz w:val="20"/>
              </w:rPr>
              <w:t>nodaļ</w:t>
            </w:r>
            <w:r w:rsidRPr="00F6361E">
              <w:rPr>
                <w:sz w:val="20"/>
              </w:rPr>
              <w:t>as punktus atbilstoši Instrukcijas Nr. 19 III nodaļai.</w:t>
            </w:r>
          </w:p>
        </w:tc>
        <w:tc>
          <w:tcPr>
            <w:tcW w:w="893" w:type="pct"/>
            <w:tcBorders>
              <w:top w:val="outset" w:sz="6" w:space="0" w:color="414142"/>
              <w:left w:val="outset" w:sz="6" w:space="0" w:color="414142"/>
              <w:bottom w:val="outset" w:sz="6" w:space="0" w:color="414142"/>
              <w:right w:val="outset" w:sz="6" w:space="0" w:color="414142"/>
            </w:tcBorders>
          </w:tcPr>
          <w:p w14:paraId="188C939D" w14:textId="6D2461ED" w:rsidR="00015328" w:rsidRPr="00AC7A88" w:rsidRDefault="00015328" w:rsidP="00947EE9">
            <w:pPr>
              <w:autoSpaceDE w:val="0"/>
              <w:autoSpaceDN w:val="0"/>
              <w:adjustRightInd w:val="0"/>
              <w:jc w:val="both"/>
              <w:rPr>
                <w:b/>
                <w:sz w:val="20"/>
              </w:rPr>
            </w:pPr>
            <w:r w:rsidRPr="00AC7A88">
              <w:rPr>
                <w:b/>
                <w:sz w:val="20"/>
              </w:rPr>
              <w:t>Ņemts vērā</w:t>
            </w:r>
          </w:p>
          <w:p w14:paraId="5CA931DB" w14:textId="35FFBE78" w:rsidR="00015328" w:rsidRPr="00F87295" w:rsidRDefault="00015328" w:rsidP="00947EE9">
            <w:pPr>
              <w:tabs>
                <w:tab w:val="left" w:pos="1134"/>
              </w:tabs>
              <w:contextualSpacing/>
              <w:jc w:val="both"/>
              <w:rPr>
                <w:rFonts w:cs="Times New Roman"/>
                <w:sz w:val="20"/>
                <w:szCs w:val="20"/>
              </w:rPr>
            </w:pPr>
            <w:r w:rsidRPr="00AC7A88">
              <w:rPr>
                <w:sz w:val="20"/>
              </w:rPr>
              <w:t>Precizēta anotācijas II nodaļa “</w:t>
            </w:r>
            <w:r w:rsidRPr="00F87295">
              <w:rPr>
                <w:rFonts w:cs="Times New Roman"/>
                <w:sz w:val="20"/>
                <w:szCs w:val="20"/>
              </w:rPr>
              <w:t xml:space="preserve">Tiesību akta projekta ietekme uz sabiedrību, tautsaimniecības attīstību un administratīvo slogu” </w:t>
            </w:r>
          </w:p>
          <w:p w14:paraId="27CDA295" w14:textId="2A344048" w:rsidR="00015328" w:rsidRPr="00AC7A88" w:rsidRDefault="00015328" w:rsidP="00947EE9">
            <w:pPr>
              <w:autoSpaceDE w:val="0"/>
              <w:autoSpaceDN w:val="0"/>
              <w:adjustRightInd w:val="0"/>
              <w:jc w:val="both"/>
              <w:rPr>
                <w:sz w:val="20"/>
              </w:rPr>
            </w:pPr>
          </w:p>
          <w:p w14:paraId="6407B045" w14:textId="75D27A5F" w:rsidR="00015328" w:rsidRPr="00AC7A88" w:rsidRDefault="00015328" w:rsidP="00947EE9">
            <w:pPr>
              <w:autoSpaceDE w:val="0"/>
              <w:autoSpaceDN w:val="0"/>
              <w:adjustRightInd w:val="0"/>
              <w:jc w:val="both"/>
              <w:rPr>
                <w:b/>
                <w:sz w:val="20"/>
              </w:rPr>
            </w:pPr>
          </w:p>
        </w:tc>
        <w:tc>
          <w:tcPr>
            <w:tcW w:w="1060" w:type="pct"/>
            <w:tcBorders>
              <w:top w:val="outset" w:sz="6" w:space="0" w:color="414142"/>
              <w:left w:val="outset" w:sz="6" w:space="0" w:color="414142"/>
              <w:bottom w:val="outset" w:sz="6" w:space="0" w:color="414142"/>
              <w:right w:val="outset" w:sz="6" w:space="0" w:color="414142"/>
            </w:tcBorders>
          </w:tcPr>
          <w:p w14:paraId="6DFC9030" w14:textId="3298EF7A" w:rsidR="00015328" w:rsidRPr="00F87295" w:rsidRDefault="00015328" w:rsidP="00947EE9">
            <w:pPr>
              <w:tabs>
                <w:tab w:val="left" w:pos="1134"/>
              </w:tabs>
              <w:contextualSpacing/>
              <w:jc w:val="both"/>
              <w:rPr>
                <w:rFonts w:cs="Times New Roman"/>
                <w:sz w:val="20"/>
                <w:szCs w:val="20"/>
              </w:rPr>
            </w:pPr>
            <w:r w:rsidRPr="00F87295">
              <w:rPr>
                <w:rFonts w:cs="Times New Roman"/>
                <w:sz w:val="20"/>
                <w:szCs w:val="20"/>
              </w:rPr>
              <w:t xml:space="preserve">Anotācija/ II. Tiesību akta projekta ietekme uz sabiedrību, tautsaimniecības attīstību un administratīvo slogu </w:t>
            </w:r>
            <w:r>
              <w:rPr>
                <w:rFonts w:cs="Times New Roman"/>
                <w:sz w:val="20"/>
                <w:szCs w:val="20"/>
              </w:rPr>
              <w:t>(15.lp.)</w:t>
            </w:r>
          </w:p>
          <w:p w14:paraId="3A669E9A" w14:textId="62C10A38" w:rsidR="00015328" w:rsidRPr="00AC7A88" w:rsidRDefault="00015328" w:rsidP="00947EE9">
            <w:pPr>
              <w:tabs>
                <w:tab w:val="left" w:pos="1134"/>
              </w:tabs>
              <w:contextualSpacing/>
              <w:jc w:val="both"/>
              <w:rPr>
                <w:rFonts w:cs="Times New Roman"/>
                <w:b/>
                <w:sz w:val="20"/>
                <w:szCs w:val="20"/>
              </w:rPr>
            </w:pPr>
          </w:p>
        </w:tc>
      </w:tr>
      <w:tr w:rsidR="00015328" w:rsidRPr="005B6DEE" w14:paraId="10986C0D" w14:textId="77777777" w:rsidTr="00033FD2">
        <w:trPr>
          <w:trHeight w:val="300"/>
        </w:trPr>
        <w:tc>
          <w:tcPr>
            <w:tcW w:w="252" w:type="pct"/>
            <w:tcBorders>
              <w:top w:val="outset" w:sz="6" w:space="0" w:color="414142"/>
              <w:left w:val="outset" w:sz="6" w:space="0" w:color="414142"/>
              <w:bottom w:val="outset" w:sz="6" w:space="0" w:color="414142"/>
              <w:right w:val="outset" w:sz="6" w:space="0" w:color="414142"/>
            </w:tcBorders>
          </w:tcPr>
          <w:p w14:paraId="492E53C1" w14:textId="703BA87E" w:rsidR="00015328" w:rsidRDefault="00015328" w:rsidP="00015328">
            <w:pPr>
              <w:jc w:val="center"/>
              <w:rPr>
                <w:rFonts w:eastAsia="Times New Roman" w:cs="Times New Roman"/>
                <w:szCs w:val="24"/>
                <w:lang w:eastAsia="lv-LV"/>
              </w:rPr>
            </w:pPr>
            <w:r>
              <w:rPr>
                <w:rFonts w:eastAsia="Times New Roman" w:cs="Times New Roman"/>
                <w:sz w:val="20"/>
                <w:szCs w:val="24"/>
                <w:lang w:eastAsia="lv-LV"/>
              </w:rPr>
              <w:t>2</w:t>
            </w:r>
            <w:r w:rsidR="008835AB">
              <w:rPr>
                <w:rFonts w:eastAsia="Times New Roman" w:cs="Times New Roman"/>
                <w:sz w:val="20"/>
                <w:szCs w:val="24"/>
                <w:lang w:eastAsia="lv-LV"/>
              </w:rPr>
              <w:t>8</w:t>
            </w:r>
            <w:r>
              <w:rPr>
                <w:rFonts w:eastAsia="Times New Roman" w:cs="Times New Roman"/>
                <w:sz w:val="20"/>
                <w:szCs w:val="24"/>
                <w:lang w:eastAsia="lv-LV"/>
              </w:rPr>
              <w:t>.</w:t>
            </w:r>
          </w:p>
          <w:p w14:paraId="0AFB8692" w14:textId="77777777" w:rsidR="00015328" w:rsidRPr="00F87295" w:rsidRDefault="00015328" w:rsidP="00015328">
            <w:pPr>
              <w:rPr>
                <w:rFonts w:eastAsia="Times New Roman" w:cs="Times New Roman"/>
                <w:szCs w:val="24"/>
                <w:lang w:eastAsia="lv-LV"/>
              </w:rPr>
            </w:pPr>
          </w:p>
          <w:p w14:paraId="62E4C134" w14:textId="77777777" w:rsidR="00015328" w:rsidRPr="00F87295" w:rsidRDefault="00015328" w:rsidP="00015328">
            <w:pPr>
              <w:rPr>
                <w:rFonts w:eastAsia="Times New Roman" w:cs="Times New Roman"/>
                <w:szCs w:val="24"/>
                <w:lang w:eastAsia="lv-LV"/>
              </w:rPr>
            </w:pPr>
          </w:p>
          <w:p w14:paraId="0AA5A2C3" w14:textId="77777777" w:rsidR="00015328" w:rsidRPr="00F87295" w:rsidRDefault="00015328" w:rsidP="00015328">
            <w:pPr>
              <w:rPr>
                <w:rFonts w:eastAsia="Times New Roman" w:cs="Times New Roman"/>
                <w:szCs w:val="24"/>
                <w:lang w:eastAsia="lv-LV"/>
              </w:rPr>
            </w:pPr>
          </w:p>
          <w:p w14:paraId="35F3583C" w14:textId="77777777" w:rsidR="00015328" w:rsidRPr="00F87295" w:rsidRDefault="00015328" w:rsidP="00015328">
            <w:pPr>
              <w:rPr>
                <w:rFonts w:eastAsia="Times New Roman" w:cs="Times New Roman"/>
                <w:szCs w:val="24"/>
                <w:lang w:eastAsia="lv-LV"/>
              </w:rPr>
            </w:pPr>
          </w:p>
          <w:p w14:paraId="5BD2B437" w14:textId="77777777" w:rsidR="00015328" w:rsidRPr="00F87295" w:rsidRDefault="00015328" w:rsidP="00015328">
            <w:pPr>
              <w:rPr>
                <w:rFonts w:eastAsia="Times New Roman" w:cs="Times New Roman"/>
                <w:szCs w:val="24"/>
                <w:lang w:eastAsia="lv-LV"/>
              </w:rPr>
            </w:pPr>
          </w:p>
          <w:p w14:paraId="061FFE23" w14:textId="77777777" w:rsidR="00015328" w:rsidRPr="00F87295" w:rsidRDefault="00015328" w:rsidP="00015328">
            <w:pPr>
              <w:rPr>
                <w:rFonts w:eastAsia="Times New Roman" w:cs="Times New Roman"/>
                <w:szCs w:val="24"/>
                <w:lang w:eastAsia="lv-LV"/>
              </w:rPr>
            </w:pPr>
          </w:p>
          <w:p w14:paraId="0BCD2E98" w14:textId="77777777" w:rsidR="00015328" w:rsidRPr="00F87295" w:rsidRDefault="00015328" w:rsidP="00015328">
            <w:pPr>
              <w:rPr>
                <w:rFonts w:eastAsia="Times New Roman" w:cs="Times New Roman"/>
                <w:szCs w:val="24"/>
                <w:lang w:eastAsia="lv-LV"/>
              </w:rPr>
            </w:pPr>
          </w:p>
          <w:p w14:paraId="4DF65A29" w14:textId="77777777" w:rsidR="00015328" w:rsidRPr="00F87295" w:rsidRDefault="00015328" w:rsidP="00015328">
            <w:pPr>
              <w:rPr>
                <w:rFonts w:eastAsia="Times New Roman" w:cs="Times New Roman"/>
                <w:szCs w:val="24"/>
                <w:lang w:eastAsia="lv-LV"/>
              </w:rPr>
            </w:pPr>
          </w:p>
          <w:p w14:paraId="00F51EB6" w14:textId="77777777" w:rsidR="00015328" w:rsidRPr="00F87295" w:rsidRDefault="00015328" w:rsidP="00015328">
            <w:pPr>
              <w:rPr>
                <w:rFonts w:eastAsia="Times New Roman" w:cs="Times New Roman"/>
                <w:szCs w:val="24"/>
                <w:lang w:eastAsia="lv-LV"/>
              </w:rPr>
            </w:pPr>
          </w:p>
          <w:p w14:paraId="03058734" w14:textId="77777777" w:rsidR="00015328" w:rsidRPr="00F87295" w:rsidRDefault="00015328" w:rsidP="00015328">
            <w:pPr>
              <w:rPr>
                <w:rFonts w:eastAsia="Times New Roman" w:cs="Times New Roman"/>
                <w:szCs w:val="24"/>
                <w:lang w:eastAsia="lv-LV"/>
              </w:rPr>
            </w:pPr>
          </w:p>
          <w:p w14:paraId="29D5463B" w14:textId="77777777" w:rsidR="00015328" w:rsidRPr="00F87295" w:rsidRDefault="00015328" w:rsidP="00015328">
            <w:pPr>
              <w:rPr>
                <w:rFonts w:eastAsia="Times New Roman" w:cs="Times New Roman"/>
                <w:szCs w:val="24"/>
                <w:lang w:eastAsia="lv-LV"/>
              </w:rPr>
            </w:pPr>
          </w:p>
          <w:p w14:paraId="2C41711A" w14:textId="77777777" w:rsidR="00015328" w:rsidRPr="00F87295" w:rsidRDefault="00015328" w:rsidP="00015328">
            <w:pPr>
              <w:rPr>
                <w:rFonts w:eastAsia="Times New Roman" w:cs="Times New Roman"/>
                <w:szCs w:val="24"/>
                <w:lang w:eastAsia="lv-LV"/>
              </w:rPr>
            </w:pPr>
          </w:p>
          <w:p w14:paraId="48873E86" w14:textId="77777777" w:rsidR="00015328" w:rsidRPr="00F87295" w:rsidRDefault="00015328" w:rsidP="00015328">
            <w:pPr>
              <w:rPr>
                <w:rFonts w:eastAsia="Times New Roman" w:cs="Times New Roman"/>
                <w:szCs w:val="24"/>
                <w:lang w:eastAsia="lv-LV"/>
              </w:rPr>
            </w:pPr>
          </w:p>
          <w:p w14:paraId="657AEE55" w14:textId="77777777" w:rsidR="00015328" w:rsidRPr="00F87295" w:rsidRDefault="00015328" w:rsidP="00015328">
            <w:pPr>
              <w:rPr>
                <w:rFonts w:eastAsia="Times New Roman" w:cs="Times New Roman"/>
                <w:szCs w:val="24"/>
                <w:lang w:eastAsia="lv-LV"/>
              </w:rPr>
            </w:pPr>
          </w:p>
          <w:p w14:paraId="444B59FA" w14:textId="77777777" w:rsidR="00015328" w:rsidRPr="00F87295" w:rsidRDefault="00015328" w:rsidP="00015328">
            <w:pPr>
              <w:rPr>
                <w:rFonts w:eastAsia="Times New Roman" w:cs="Times New Roman"/>
                <w:szCs w:val="24"/>
                <w:lang w:eastAsia="lv-LV"/>
              </w:rPr>
            </w:pPr>
          </w:p>
          <w:p w14:paraId="1B08979F" w14:textId="77777777" w:rsidR="00015328" w:rsidRPr="00F87295" w:rsidRDefault="00015328" w:rsidP="00015328">
            <w:pPr>
              <w:rPr>
                <w:rFonts w:eastAsia="Times New Roman" w:cs="Times New Roman"/>
                <w:szCs w:val="24"/>
                <w:lang w:eastAsia="lv-LV"/>
              </w:rPr>
            </w:pPr>
          </w:p>
          <w:p w14:paraId="1F36BD78" w14:textId="77777777" w:rsidR="00015328" w:rsidRPr="00F87295" w:rsidRDefault="00015328" w:rsidP="00015328">
            <w:pPr>
              <w:rPr>
                <w:rFonts w:eastAsia="Times New Roman" w:cs="Times New Roman"/>
                <w:szCs w:val="24"/>
                <w:lang w:eastAsia="lv-LV"/>
              </w:rPr>
            </w:pPr>
          </w:p>
          <w:p w14:paraId="75EB4B95" w14:textId="77777777" w:rsidR="00015328" w:rsidRPr="00F87295" w:rsidRDefault="00015328" w:rsidP="00015328">
            <w:pPr>
              <w:rPr>
                <w:rFonts w:eastAsia="Times New Roman" w:cs="Times New Roman"/>
                <w:szCs w:val="24"/>
                <w:lang w:eastAsia="lv-LV"/>
              </w:rPr>
            </w:pPr>
          </w:p>
          <w:p w14:paraId="7433D044" w14:textId="77777777" w:rsidR="00015328" w:rsidRPr="00F87295" w:rsidRDefault="00015328" w:rsidP="00015328">
            <w:pPr>
              <w:rPr>
                <w:rFonts w:eastAsia="Times New Roman" w:cs="Times New Roman"/>
                <w:szCs w:val="24"/>
                <w:lang w:eastAsia="lv-LV"/>
              </w:rPr>
            </w:pPr>
          </w:p>
          <w:p w14:paraId="0CF26462" w14:textId="77777777" w:rsidR="00015328" w:rsidRPr="00F87295" w:rsidRDefault="00015328" w:rsidP="00015328">
            <w:pPr>
              <w:rPr>
                <w:rFonts w:eastAsia="Times New Roman" w:cs="Times New Roman"/>
                <w:szCs w:val="24"/>
                <w:lang w:eastAsia="lv-LV"/>
              </w:rPr>
            </w:pPr>
          </w:p>
          <w:p w14:paraId="4206DE55" w14:textId="77777777" w:rsidR="00015328" w:rsidRPr="00F87295" w:rsidRDefault="00015328" w:rsidP="00015328">
            <w:pPr>
              <w:rPr>
                <w:rFonts w:eastAsia="Times New Roman" w:cs="Times New Roman"/>
                <w:szCs w:val="24"/>
                <w:lang w:eastAsia="lv-LV"/>
              </w:rPr>
            </w:pPr>
          </w:p>
          <w:p w14:paraId="4ABD339E" w14:textId="77777777" w:rsidR="00015328" w:rsidRPr="00F87295" w:rsidRDefault="00015328" w:rsidP="00015328">
            <w:pPr>
              <w:rPr>
                <w:rFonts w:eastAsia="Times New Roman" w:cs="Times New Roman"/>
                <w:szCs w:val="24"/>
                <w:lang w:eastAsia="lv-LV"/>
              </w:rPr>
            </w:pPr>
          </w:p>
          <w:p w14:paraId="7DB2EFE2" w14:textId="1C8C3AEC" w:rsidR="00015328" w:rsidRPr="00F87295" w:rsidRDefault="00015328" w:rsidP="00015328">
            <w:pPr>
              <w:rPr>
                <w:rFonts w:eastAsia="Times New Roman" w:cs="Times New Roman"/>
                <w:szCs w:val="24"/>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114FF86B" w14:textId="77777777" w:rsidR="00015328" w:rsidRPr="00536150" w:rsidRDefault="00015328" w:rsidP="00947EE9">
            <w:pPr>
              <w:ind w:right="63"/>
              <w:jc w:val="both"/>
              <w:rPr>
                <w:sz w:val="20"/>
              </w:rPr>
            </w:pPr>
            <w:r w:rsidRPr="00536150">
              <w:rPr>
                <w:sz w:val="20"/>
              </w:rPr>
              <w:t xml:space="preserve">Anotācija/ VI. Sabiedrības līdzdalība un komunikācijas aktivitātes </w:t>
            </w:r>
          </w:p>
          <w:p w14:paraId="43F9EA87" w14:textId="77777777" w:rsidR="00015328" w:rsidRPr="00536150" w:rsidRDefault="00015328" w:rsidP="00947EE9">
            <w:pPr>
              <w:ind w:right="63"/>
              <w:jc w:val="both"/>
              <w:rPr>
                <w:sz w:val="20"/>
              </w:rPr>
            </w:pPr>
            <w:r w:rsidRPr="00536150">
              <w:rPr>
                <w:sz w:val="20"/>
              </w:rPr>
              <w:t xml:space="preserve">1.Plānotās sabiedrības līdzdalības un komunikācijas aktivitātes saistībā ar projektu </w:t>
            </w:r>
          </w:p>
          <w:p w14:paraId="65A705B9" w14:textId="77777777" w:rsidR="00015328" w:rsidRPr="00536150" w:rsidRDefault="00015328" w:rsidP="00947EE9">
            <w:pPr>
              <w:ind w:right="63"/>
              <w:jc w:val="both"/>
              <w:rPr>
                <w:sz w:val="20"/>
              </w:rPr>
            </w:pPr>
            <w:r w:rsidRPr="00536150">
              <w:rPr>
                <w:sz w:val="20"/>
              </w:rPr>
              <w:t>Informācija par noteikumu projekta izstrādi ir publicēta Valsts kases tīmekļa vietnē “Sabiedrības līdzdalība” – “Tiesību aktu projekti” un Finanšu ministrijas tīmekļa vietnē nodaļā “Sabiedrības līdzdalība” – “Tiesību aktu projekti” – “Grāmatvedības politika”. Līdz ar to sabiedrības pārstāvji var līdzdarboties noteikumu projekta izstrādē, rakstveidā sniedzot viedokļus par to. Tāpat sabiedrības pārstāvji varēs sniegt viedokļus par noteikumu projektu pēc tā izsludināšanas Valsts sekretāru sanāksmē.</w:t>
            </w:r>
          </w:p>
          <w:p w14:paraId="53936B63" w14:textId="77777777" w:rsidR="00015328" w:rsidRPr="00536150" w:rsidRDefault="00015328" w:rsidP="00947EE9">
            <w:pPr>
              <w:ind w:right="63"/>
              <w:jc w:val="both"/>
              <w:rPr>
                <w:sz w:val="20"/>
              </w:rPr>
            </w:pPr>
          </w:p>
          <w:p w14:paraId="598BA55B" w14:textId="77777777" w:rsidR="00015328" w:rsidRPr="00536150" w:rsidRDefault="00015328" w:rsidP="00947EE9">
            <w:pPr>
              <w:ind w:right="63"/>
              <w:jc w:val="both"/>
              <w:rPr>
                <w:sz w:val="20"/>
              </w:rPr>
            </w:pPr>
            <w:r w:rsidRPr="00536150">
              <w:rPr>
                <w:sz w:val="20"/>
              </w:rPr>
              <w:t xml:space="preserve">2. Sabiedrības līdzdalība projekta izstrādē </w:t>
            </w:r>
          </w:p>
          <w:p w14:paraId="5D537F94" w14:textId="77777777" w:rsidR="00015328" w:rsidRPr="00536150" w:rsidRDefault="00015328" w:rsidP="00947EE9">
            <w:pPr>
              <w:ind w:right="63"/>
              <w:jc w:val="both"/>
              <w:rPr>
                <w:sz w:val="20"/>
              </w:rPr>
            </w:pPr>
            <w:r w:rsidRPr="00536150">
              <w:rPr>
                <w:sz w:val="20"/>
              </w:rPr>
              <w:t>Sabiedrības pārstāvji var līdzdarboties noteikumu projekta izstrādē, rakstveidā sniedzot viedokļus par projektu, kas 2020.gada 10.februārī publicēts Finanšu ministrijas tīmekļa vietnē nodaļā “Sabiedrības līdzdalība” – “Tiesību aktu projekti” – “Grāmatvedības politika”, adrese: https://www.fm.gov.lv/lv/sabiedribas_lidzdaliba/tiesibu_aktu_projekti/gramatvedibas_politika/#project636 un Ministru kabineta tīmekļa vietnē nodaļā “Valsts kanceleja” – “Sabiedrības līdzdalība”, adrese: https://mk.gov.lv/content/ministru– kabineta– diskusiju– dokumenti; kā arī Valsts kases tīmekļa vietnē “Sabiedrības līdzdalība” – “Tiesību aktu projekti”, adrese: https://www.kase.gov.lv/valsts– kase/sabiedribas– lidzdaliba</w:t>
            </w:r>
          </w:p>
          <w:p w14:paraId="7B7268DD" w14:textId="4F4E1110" w:rsidR="00015328" w:rsidRPr="0013372E" w:rsidRDefault="00015328" w:rsidP="00947EE9">
            <w:pPr>
              <w:pStyle w:val="ListParagraph"/>
              <w:numPr>
                <w:ilvl w:val="0"/>
                <w:numId w:val="9"/>
              </w:numPr>
              <w:ind w:right="63"/>
              <w:jc w:val="both"/>
              <w:rPr>
                <w:sz w:val="20"/>
              </w:rPr>
            </w:pPr>
            <w:r w:rsidRPr="0013372E">
              <w:rPr>
                <w:sz w:val="20"/>
              </w:rPr>
              <w:t xml:space="preserve">Sabiedrības līdzdalības rezultāti </w:t>
            </w:r>
          </w:p>
          <w:p w14:paraId="675243B4" w14:textId="29FD74B1" w:rsidR="00015328" w:rsidRPr="0013372E" w:rsidRDefault="00015328" w:rsidP="00947EE9">
            <w:pPr>
              <w:ind w:right="63"/>
              <w:jc w:val="both"/>
              <w:rPr>
                <w:sz w:val="20"/>
              </w:rPr>
            </w:pPr>
            <w:r w:rsidRPr="0013372E">
              <w:rPr>
                <w:sz w:val="20"/>
              </w:rPr>
              <w:t>Sabiedrības pārstāvju iebildumi un priekšlikumi nav saņemti.</w:t>
            </w:r>
          </w:p>
        </w:tc>
        <w:tc>
          <w:tcPr>
            <w:tcW w:w="1731" w:type="pct"/>
            <w:tcBorders>
              <w:top w:val="outset" w:sz="6" w:space="0" w:color="414142"/>
              <w:left w:val="outset" w:sz="6" w:space="0" w:color="414142"/>
              <w:bottom w:val="outset" w:sz="6" w:space="0" w:color="414142"/>
              <w:right w:val="outset" w:sz="6" w:space="0" w:color="414142"/>
            </w:tcBorders>
          </w:tcPr>
          <w:p w14:paraId="59FC42A8" w14:textId="77777777" w:rsidR="00015328" w:rsidRPr="00F6361E" w:rsidRDefault="00015328" w:rsidP="00947EE9">
            <w:pPr>
              <w:pStyle w:val="ListParagraph"/>
              <w:ind w:left="0"/>
              <w:jc w:val="both"/>
              <w:rPr>
                <w:sz w:val="20"/>
              </w:rPr>
            </w:pPr>
            <w:r w:rsidRPr="00F6361E">
              <w:rPr>
                <w:sz w:val="20"/>
              </w:rPr>
              <w:t>Tieslietu ministrija</w:t>
            </w:r>
          </w:p>
          <w:p w14:paraId="3D9600F2" w14:textId="6C8C964E" w:rsidR="00015328" w:rsidRPr="00F6361E" w:rsidRDefault="00015328" w:rsidP="00947EE9">
            <w:pPr>
              <w:pStyle w:val="ListParagraph"/>
              <w:ind w:left="0"/>
              <w:jc w:val="both"/>
              <w:rPr>
                <w:sz w:val="20"/>
              </w:rPr>
            </w:pPr>
            <w:r>
              <w:rPr>
                <w:sz w:val="20"/>
              </w:rPr>
              <w:t xml:space="preserve">22. </w:t>
            </w:r>
            <w:r w:rsidRPr="00F6361E">
              <w:rPr>
                <w:sz w:val="20"/>
              </w:rPr>
              <w:t xml:space="preserve">Lūdzam precizēt noteikumu projekta anotācijas VI </w:t>
            </w:r>
            <w:r>
              <w:rPr>
                <w:sz w:val="20"/>
              </w:rPr>
              <w:t>nodaļ</w:t>
            </w:r>
            <w:r w:rsidRPr="00F6361E">
              <w:rPr>
                <w:sz w:val="20"/>
              </w:rPr>
              <w:t xml:space="preserve">u atbilstoši Instrukcijas Nr. 19 VII nodaļai. </w:t>
            </w:r>
          </w:p>
          <w:p w14:paraId="3EAF1C8E" w14:textId="77777777" w:rsidR="00015328" w:rsidRPr="00F6361E" w:rsidRDefault="00015328" w:rsidP="00947EE9">
            <w:pPr>
              <w:pStyle w:val="ListParagraph"/>
              <w:ind w:left="0"/>
              <w:jc w:val="both"/>
              <w:rPr>
                <w:sz w:val="20"/>
              </w:rPr>
            </w:pPr>
            <w:r w:rsidRPr="00F6361E">
              <w:rPr>
                <w:sz w:val="20"/>
              </w:rPr>
              <w:t xml:space="preserve">Vēršam uzmanību, ka anotācijā sniegtā informācija ir pretrunīga. Proti, VI </w:t>
            </w:r>
            <w:r>
              <w:rPr>
                <w:sz w:val="20"/>
              </w:rPr>
              <w:t>nodaļ</w:t>
            </w:r>
            <w:r w:rsidRPr="00F6361E">
              <w:rPr>
                <w:sz w:val="20"/>
              </w:rPr>
              <w:t xml:space="preserve">as 2. punktā ir atspoguļota informācija, ka sabiedrībās pārstāvji var līdzdarboties noteikumu projekta izstrādē, savukārt VI </w:t>
            </w:r>
            <w:r>
              <w:rPr>
                <w:sz w:val="20"/>
              </w:rPr>
              <w:t>nodaļ</w:t>
            </w:r>
            <w:r w:rsidRPr="00F6361E">
              <w:rPr>
                <w:sz w:val="20"/>
              </w:rPr>
              <w:t xml:space="preserve">as 3. punktā ir atspoguļota informācija, ka iebildumi un priekšlikumi nav saņemti. Līdz ar to minētā informācija ir precizējama, atspoguļojot informāciju par sabiedrības līdzdalību noteikumu projekta izstrādē atbilstoši Ministru kabineta 2009. gada 25. augusta noteikumu Nr. 970 "Sabiedrības līdzdalības kārtība attīstības plānošanas procesā" 14. punkta prasībām. Attiecīgi ir precizējama informācija anotācijas VI </w:t>
            </w:r>
            <w:r>
              <w:rPr>
                <w:sz w:val="20"/>
              </w:rPr>
              <w:t>nodaļ</w:t>
            </w:r>
            <w:r w:rsidRPr="00F6361E">
              <w:rPr>
                <w:sz w:val="20"/>
              </w:rPr>
              <w:t>as 1. punktā, ka sabiedrības pārstāvji varēs sniegt viedokļus par noteikumu projektu pēc tā izsludināšanas Valsts sekretāru sanāksmē.</w:t>
            </w:r>
          </w:p>
        </w:tc>
        <w:tc>
          <w:tcPr>
            <w:tcW w:w="893" w:type="pct"/>
            <w:tcBorders>
              <w:top w:val="outset" w:sz="6" w:space="0" w:color="414142"/>
              <w:left w:val="outset" w:sz="6" w:space="0" w:color="414142"/>
              <w:bottom w:val="outset" w:sz="6" w:space="0" w:color="414142"/>
              <w:right w:val="outset" w:sz="6" w:space="0" w:color="414142"/>
            </w:tcBorders>
          </w:tcPr>
          <w:p w14:paraId="5EE748DA" w14:textId="4DE941A8" w:rsidR="00015328" w:rsidRPr="00AC7A88" w:rsidRDefault="00015328" w:rsidP="00947EE9">
            <w:pPr>
              <w:autoSpaceDE w:val="0"/>
              <w:autoSpaceDN w:val="0"/>
              <w:adjustRightInd w:val="0"/>
              <w:jc w:val="both"/>
              <w:rPr>
                <w:b/>
                <w:sz w:val="20"/>
              </w:rPr>
            </w:pPr>
            <w:r w:rsidRPr="00AC7A88">
              <w:rPr>
                <w:b/>
                <w:sz w:val="20"/>
              </w:rPr>
              <w:t>Ņemts vērā</w:t>
            </w:r>
          </w:p>
          <w:p w14:paraId="5845EEFB" w14:textId="3938CF04" w:rsidR="00015328" w:rsidRPr="00F87295" w:rsidRDefault="00015328" w:rsidP="00947EE9">
            <w:pPr>
              <w:tabs>
                <w:tab w:val="left" w:pos="1134"/>
              </w:tabs>
              <w:contextualSpacing/>
              <w:jc w:val="both"/>
              <w:rPr>
                <w:rFonts w:cs="Times New Roman"/>
                <w:sz w:val="20"/>
                <w:szCs w:val="20"/>
              </w:rPr>
            </w:pPr>
            <w:r w:rsidRPr="00AC7A88">
              <w:rPr>
                <w:sz w:val="20"/>
              </w:rPr>
              <w:t>Precizēta</w:t>
            </w:r>
            <w:r w:rsidRPr="00AC7A88">
              <w:rPr>
                <w:b/>
                <w:sz w:val="20"/>
              </w:rPr>
              <w:t xml:space="preserve"> </w:t>
            </w:r>
            <w:r w:rsidRPr="00AC7A88">
              <w:rPr>
                <w:sz w:val="20"/>
              </w:rPr>
              <w:t>anotācijas VI nodaļa “</w:t>
            </w:r>
            <w:r w:rsidRPr="00F87295">
              <w:rPr>
                <w:rFonts w:cs="Times New Roman"/>
                <w:sz w:val="20"/>
                <w:szCs w:val="20"/>
              </w:rPr>
              <w:t xml:space="preserve">Sabiedrības līdzdalība un komunikācijas aktivitātes” </w:t>
            </w:r>
          </w:p>
          <w:p w14:paraId="08889903" w14:textId="7FADA6BE" w:rsidR="00015328" w:rsidRPr="00AC7A88" w:rsidRDefault="00015328" w:rsidP="00947EE9">
            <w:pPr>
              <w:autoSpaceDE w:val="0"/>
              <w:autoSpaceDN w:val="0"/>
              <w:adjustRightInd w:val="0"/>
              <w:jc w:val="both"/>
              <w:rPr>
                <w:b/>
                <w:sz w:val="20"/>
              </w:rPr>
            </w:pPr>
          </w:p>
          <w:p w14:paraId="69E2C828" w14:textId="2FA1AB57" w:rsidR="00015328" w:rsidRPr="00AC7A88" w:rsidRDefault="00015328" w:rsidP="00947EE9">
            <w:pPr>
              <w:autoSpaceDE w:val="0"/>
              <w:autoSpaceDN w:val="0"/>
              <w:adjustRightInd w:val="0"/>
              <w:jc w:val="both"/>
              <w:rPr>
                <w:b/>
                <w:sz w:val="20"/>
              </w:rPr>
            </w:pPr>
          </w:p>
        </w:tc>
        <w:tc>
          <w:tcPr>
            <w:tcW w:w="1060" w:type="pct"/>
            <w:tcBorders>
              <w:top w:val="outset" w:sz="6" w:space="0" w:color="414142"/>
              <w:left w:val="outset" w:sz="6" w:space="0" w:color="414142"/>
              <w:bottom w:val="outset" w:sz="6" w:space="0" w:color="414142"/>
              <w:right w:val="outset" w:sz="6" w:space="0" w:color="414142"/>
            </w:tcBorders>
          </w:tcPr>
          <w:p w14:paraId="3933BAF7" w14:textId="6EF47BEA" w:rsidR="00015328" w:rsidRPr="00AC7A88" w:rsidRDefault="00015328" w:rsidP="00947EE9">
            <w:pPr>
              <w:tabs>
                <w:tab w:val="left" w:pos="1134"/>
              </w:tabs>
              <w:contextualSpacing/>
              <w:jc w:val="both"/>
              <w:rPr>
                <w:rFonts w:cs="Times New Roman"/>
                <w:b/>
                <w:sz w:val="20"/>
                <w:szCs w:val="20"/>
              </w:rPr>
            </w:pPr>
            <w:r w:rsidRPr="00AC7A88">
              <w:rPr>
                <w:rFonts w:cs="Times New Roman"/>
                <w:sz w:val="20"/>
                <w:szCs w:val="20"/>
              </w:rPr>
              <w:t xml:space="preserve">Anotācija/ VI. Sabiedrības līdzdalība un komunikācijas aktivitātes </w:t>
            </w:r>
            <w:r w:rsidRPr="00F87295">
              <w:rPr>
                <w:rFonts w:cs="Times New Roman"/>
                <w:sz w:val="20"/>
                <w:szCs w:val="20"/>
              </w:rPr>
              <w:t>(16.lp.)</w:t>
            </w:r>
          </w:p>
        </w:tc>
      </w:tr>
      <w:tr w:rsidR="00502EC6" w:rsidRPr="005B6DEE" w14:paraId="73C963D4" w14:textId="77777777" w:rsidTr="00B773E5">
        <w:trPr>
          <w:trHeight w:val="7356"/>
        </w:trPr>
        <w:tc>
          <w:tcPr>
            <w:tcW w:w="252" w:type="pct"/>
            <w:tcBorders>
              <w:top w:val="outset" w:sz="6" w:space="0" w:color="414142"/>
              <w:left w:val="outset" w:sz="6" w:space="0" w:color="414142"/>
              <w:bottom w:val="outset" w:sz="6" w:space="0" w:color="414142"/>
              <w:right w:val="outset" w:sz="6" w:space="0" w:color="414142"/>
            </w:tcBorders>
          </w:tcPr>
          <w:p w14:paraId="66370BF0" w14:textId="3BBBCC4E" w:rsidR="00502EC6" w:rsidRDefault="00502EC6" w:rsidP="00502EC6">
            <w:pPr>
              <w:jc w:val="center"/>
              <w:rPr>
                <w:rFonts w:eastAsia="Times New Roman" w:cs="Times New Roman"/>
                <w:sz w:val="20"/>
                <w:szCs w:val="24"/>
                <w:lang w:eastAsia="lv-LV"/>
              </w:rPr>
            </w:pPr>
            <w:r>
              <w:rPr>
                <w:rFonts w:eastAsia="Times New Roman" w:cs="Times New Roman"/>
                <w:sz w:val="20"/>
                <w:szCs w:val="24"/>
                <w:lang w:eastAsia="lv-LV"/>
              </w:rPr>
              <w:t>29.</w:t>
            </w:r>
          </w:p>
        </w:tc>
        <w:tc>
          <w:tcPr>
            <w:tcW w:w="1064" w:type="pct"/>
            <w:tcBorders>
              <w:top w:val="outset" w:sz="6" w:space="0" w:color="414142"/>
              <w:left w:val="outset" w:sz="6" w:space="0" w:color="414142"/>
              <w:bottom w:val="outset" w:sz="6" w:space="0" w:color="414142"/>
              <w:right w:val="outset" w:sz="6" w:space="0" w:color="414142"/>
            </w:tcBorders>
          </w:tcPr>
          <w:p w14:paraId="68D1DD83" w14:textId="3C0809BB" w:rsidR="00502EC6" w:rsidRPr="00536150" w:rsidRDefault="00502EC6" w:rsidP="00502EC6">
            <w:pPr>
              <w:ind w:right="63"/>
              <w:jc w:val="both"/>
              <w:rPr>
                <w:sz w:val="20"/>
              </w:rPr>
            </w:pPr>
            <w:r>
              <w:rPr>
                <w:rFonts w:eastAsia="Times New Roman" w:cs="Times New Roman"/>
                <w:sz w:val="20"/>
                <w:szCs w:val="20"/>
                <w:lang w:eastAsia="lv-LV"/>
              </w:rPr>
              <w:t>x</w:t>
            </w:r>
          </w:p>
        </w:tc>
        <w:tc>
          <w:tcPr>
            <w:tcW w:w="1731" w:type="pct"/>
            <w:tcBorders>
              <w:top w:val="outset" w:sz="6" w:space="0" w:color="414142"/>
              <w:left w:val="outset" w:sz="6" w:space="0" w:color="414142"/>
              <w:bottom w:val="outset" w:sz="6" w:space="0" w:color="414142"/>
              <w:right w:val="outset" w:sz="6" w:space="0" w:color="414142"/>
            </w:tcBorders>
          </w:tcPr>
          <w:p w14:paraId="1B6A12A4" w14:textId="77777777" w:rsidR="00502EC6" w:rsidRPr="003925DB" w:rsidRDefault="00502EC6" w:rsidP="00502EC6">
            <w:pPr>
              <w:tabs>
                <w:tab w:val="left" w:pos="0"/>
                <w:tab w:val="left" w:pos="709"/>
                <w:tab w:val="left" w:pos="993"/>
              </w:tabs>
              <w:suppressAutoHyphens/>
              <w:jc w:val="both"/>
              <w:outlineLvl w:val="3"/>
              <w:rPr>
                <w:rFonts w:cs="Times New Roman"/>
                <w:sz w:val="20"/>
                <w:szCs w:val="24"/>
              </w:rPr>
            </w:pPr>
            <w:r w:rsidRPr="003925DB">
              <w:rPr>
                <w:rFonts w:cs="Times New Roman"/>
                <w:sz w:val="20"/>
                <w:szCs w:val="24"/>
              </w:rPr>
              <w:t>Tieslietu ministrija:</w:t>
            </w:r>
          </w:p>
          <w:p w14:paraId="4F59F0E6" w14:textId="77777777" w:rsidR="00502EC6" w:rsidRPr="003925DB" w:rsidRDefault="00502EC6" w:rsidP="00502EC6">
            <w:pPr>
              <w:pStyle w:val="ListParagraph"/>
              <w:numPr>
                <w:ilvl w:val="0"/>
                <w:numId w:val="1"/>
              </w:numPr>
              <w:tabs>
                <w:tab w:val="left" w:pos="0"/>
                <w:tab w:val="left" w:pos="709"/>
                <w:tab w:val="left" w:pos="993"/>
              </w:tabs>
              <w:suppressAutoHyphens/>
              <w:ind w:left="0" w:firstLine="102"/>
              <w:jc w:val="both"/>
              <w:outlineLvl w:val="3"/>
              <w:rPr>
                <w:sz w:val="20"/>
              </w:rPr>
            </w:pPr>
            <w:r w:rsidRPr="003925DB">
              <w:rPr>
                <w:sz w:val="20"/>
              </w:rPr>
              <w:t>Ministru kabineta 2014. gada 26. augusta sēdes protokola Nr. 45 45. § 12.7. apakšpunktā noteikts, ka atbildīgā ministrija normatīvā akta projektu izstrādā, pēc iespējas izvairoties no vienu jomu regulējošā tiesiskā regulējuma sadrumstalotības; nepieciešamības gadījumā spēkā esošo normatīvo aktu papildina ar pilnvarojumam atbilstošu regulējumu.</w:t>
            </w:r>
          </w:p>
          <w:p w14:paraId="487B80CB" w14:textId="77777777" w:rsidR="00502EC6" w:rsidRPr="003925DB" w:rsidRDefault="00502EC6" w:rsidP="00502EC6">
            <w:pPr>
              <w:tabs>
                <w:tab w:val="left" w:pos="0"/>
                <w:tab w:val="left" w:pos="709"/>
                <w:tab w:val="left" w:pos="993"/>
              </w:tabs>
              <w:suppressAutoHyphens/>
              <w:jc w:val="both"/>
              <w:outlineLvl w:val="3"/>
              <w:rPr>
                <w:rFonts w:cs="Times New Roman"/>
                <w:sz w:val="20"/>
                <w:szCs w:val="24"/>
              </w:rPr>
            </w:pPr>
            <w:r w:rsidRPr="003925DB">
              <w:rPr>
                <w:rFonts w:cs="Times New Roman"/>
                <w:sz w:val="20"/>
                <w:szCs w:val="24"/>
              </w:rPr>
              <w:t xml:space="preserve">Anotācijā norādīts, ka noteikumu projekta </w:t>
            </w:r>
            <w:r w:rsidRPr="003925DB">
              <w:rPr>
                <w:rFonts w:eastAsia="Times New Roman" w:cs="Times New Roman"/>
                <w:sz w:val="20"/>
                <w:szCs w:val="24"/>
                <w:lang w:eastAsia="lv-LV"/>
              </w:rPr>
              <w:t xml:space="preserve">mērķis ir tuvināt saimnieciskā gada pārskatā uzrādīto informāciju Starptautisko publiskā sektora grāmatvedības standartu prasībām un </w:t>
            </w:r>
            <w:r w:rsidRPr="00325E46">
              <w:rPr>
                <w:rFonts w:eastAsia="Times New Roman" w:cs="Times New Roman"/>
                <w:sz w:val="20"/>
                <w:szCs w:val="24"/>
                <w:lang w:eastAsia="lv-LV"/>
              </w:rPr>
              <w:t xml:space="preserve">vienādot normatīvo regulējumu ar Ministru kabineta 2018. gada 19. jūnija noteikumos Nr. 344 </w:t>
            </w:r>
            <w:r w:rsidRPr="00325E46">
              <w:rPr>
                <w:rFonts w:cs="Times New Roman"/>
                <w:sz w:val="20"/>
                <w:szCs w:val="24"/>
              </w:rPr>
              <w:t>"</w:t>
            </w:r>
            <w:r w:rsidRPr="00325E46">
              <w:rPr>
                <w:rFonts w:eastAsia="Times New Roman" w:cs="Times New Roman"/>
                <w:sz w:val="20"/>
                <w:szCs w:val="24"/>
                <w:lang w:eastAsia="lv-LV"/>
              </w:rPr>
              <w:t>Gada pārskata sagatavošanas kārtība</w:t>
            </w:r>
            <w:r w:rsidRPr="00325E46">
              <w:rPr>
                <w:rFonts w:cs="Times New Roman"/>
                <w:sz w:val="20"/>
                <w:szCs w:val="24"/>
              </w:rPr>
              <w:t>"</w:t>
            </w:r>
            <w:r w:rsidRPr="00325E46">
              <w:rPr>
                <w:rFonts w:eastAsia="Times New Roman" w:cs="Times New Roman"/>
                <w:sz w:val="20"/>
                <w:szCs w:val="24"/>
                <w:lang w:eastAsia="lv-LV"/>
              </w:rPr>
              <w:t xml:space="preserve"> (turpmāk – MK noteikumi Nr. 344) budžeta iestādēm gada pārskata sagatavošanā noteiktajiem pārskatiem un to pielikumiem, lai, sagatavojot konsolidēto saimnieciskā gada pārskatu, būtu pielietotas vienādas normas visos pārskatu konsolidācijas līmeņos.</w:t>
            </w:r>
            <w:r w:rsidRPr="003925DB">
              <w:rPr>
                <w:rFonts w:eastAsia="Times New Roman" w:cs="Times New Roman"/>
                <w:sz w:val="20"/>
                <w:szCs w:val="24"/>
                <w:lang w:eastAsia="lv-LV"/>
              </w:rPr>
              <w:t xml:space="preserve"> Arī</w:t>
            </w:r>
            <w:r w:rsidRPr="003925DB">
              <w:rPr>
                <w:rFonts w:cs="Times New Roman"/>
                <w:sz w:val="20"/>
                <w:szCs w:val="24"/>
              </w:rPr>
              <w:t xml:space="preserve"> no noteikumu projektā paredzētā regulējuma (piemēram, 10., 14., 22. punkta) var secināt, ka saimnieciskā gada pārskata sagatavošana ir cieši saistīta ar gada pārskata sagatavošanu, savukārt noteikumu projekta 2. punktā paredzētais regulējums dublē MK noteikumu Nr. 344 3. punktu.</w:t>
            </w:r>
          </w:p>
          <w:p w14:paraId="562BD6EF" w14:textId="4508D266" w:rsidR="00502EC6" w:rsidRPr="00F6361E" w:rsidRDefault="00502EC6" w:rsidP="00502EC6">
            <w:pPr>
              <w:pStyle w:val="ListParagraph"/>
              <w:ind w:left="0"/>
              <w:jc w:val="both"/>
              <w:rPr>
                <w:sz w:val="20"/>
              </w:rPr>
            </w:pPr>
            <w:r w:rsidRPr="003925DB">
              <w:rPr>
                <w:sz w:val="20"/>
              </w:rPr>
              <w:t>Ņemot vērā, ka MK noteikumos Nr. 344 un noteikumu projektā paredzētais regulējums ir savstarpēji saistīts, lūdzam izvērtēt iespēju to apvienot, tādā veidā nodrošinot, ka tiesiskais regulējums par savstarpēji saistītiem jautājumiem netiek sadrumstalots.</w:t>
            </w:r>
          </w:p>
        </w:tc>
        <w:tc>
          <w:tcPr>
            <w:tcW w:w="893" w:type="pct"/>
            <w:tcBorders>
              <w:top w:val="outset" w:sz="6" w:space="0" w:color="414142"/>
              <w:left w:val="outset" w:sz="6" w:space="0" w:color="414142"/>
              <w:bottom w:val="outset" w:sz="6" w:space="0" w:color="414142"/>
              <w:right w:val="outset" w:sz="6" w:space="0" w:color="414142"/>
            </w:tcBorders>
          </w:tcPr>
          <w:p w14:paraId="7E7C670C" w14:textId="229357DB" w:rsidR="00502EC6" w:rsidRPr="00EB51F0" w:rsidRDefault="00502EC6" w:rsidP="00502EC6">
            <w:pPr>
              <w:jc w:val="both"/>
              <w:rPr>
                <w:rFonts w:eastAsia="Times New Roman" w:cs="Times New Roman"/>
                <w:b/>
                <w:sz w:val="20"/>
                <w:szCs w:val="20"/>
                <w:lang w:eastAsia="lv-LV"/>
              </w:rPr>
            </w:pPr>
            <w:r>
              <w:rPr>
                <w:rFonts w:eastAsia="Times New Roman" w:cs="Times New Roman"/>
                <w:b/>
                <w:sz w:val="20"/>
                <w:szCs w:val="20"/>
                <w:lang w:eastAsia="lv-LV"/>
              </w:rPr>
              <w:t>Panākta vienošanās elektroniskajā saskaņošanā</w:t>
            </w:r>
          </w:p>
          <w:p w14:paraId="058A28F4" w14:textId="77777777" w:rsidR="00502EC6" w:rsidRPr="00384733" w:rsidRDefault="00502EC6" w:rsidP="00502EC6">
            <w:pPr>
              <w:jc w:val="both"/>
              <w:rPr>
                <w:rFonts w:eastAsia="Times New Roman" w:cs="Times New Roman"/>
                <w:sz w:val="20"/>
                <w:szCs w:val="20"/>
                <w:lang w:eastAsia="lv-LV"/>
              </w:rPr>
            </w:pPr>
            <w:r>
              <w:rPr>
                <w:rFonts w:eastAsia="Times New Roman" w:cs="Times New Roman"/>
                <w:sz w:val="20"/>
                <w:szCs w:val="20"/>
                <w:lang w:eastAsia="lv-LV"/>
              </w:rPr>
              <w:t>Izstrādājot šo noteikumu projektu</w:t>
            </w:r>
            <w:r w:rsidRPr="00EB51F0">
              <w:rPr>
                <w:rFonts w:eastAsia="Times New Roman" w:cs="Times New Roman"/>
                <w:sz w:val="20"/>
                <w:szCs w:val="20"/>
                <w:lang w:eastAsia="lv-LV"/>
              </w:rPr>
              <w:t xml:space="preserve"> n</w:t>
            </w:r>
            <w:r>
              <w:rPr>
                <w:rFonts w:eastAsia="Times New Roman" w:cs="Times New Roman"/>
                <w:sz w:val="20"/>
                <w:szCs w:val="20"/>
                <w:lang w:eastAsia="lv-LV"/>
              </w:rPr>
              <w:t>etika</w:t>
            </w:r>
            <w:r w:rsidRPr="00EB51F0">
              <w:rPr>
                <w:rFonts w:eastAsia="Times New Roman" w:cs="Times New Roman"/>
                <w:sz w:val="20"/>
                <w:szCs w:val="20"/>
                <w:lang w:eastAsia="lv-LV"/>
              </w:rPr>
              <w:t xml:space="preserve"> plānots apvienot MK</w:t>
            </w:r>
            <w:r>
              <w:rPr>
                <w:rFonts w:eastAsia="Times New Roman" w:cs="Times New Roman"/>
                <w:sz w:val="20"/>
                <w:szCs w:val="20"/>
                <w:lang w:eastAsia="lv-LV"/>
              </w:rPr>
              <w:t xml:space="preserve"> noteikumus Nr.</w:t>
            </w:r>
            <w:r w:rsidRPr="00EB51F0">
              <w:rPr>
                <w:rFonts w:eastAsia="Times New Roman" w:cs="Times New Roman"/>
                <w:sz w:val="20"/>
                <w:szCs w:val="20"/>
                <w:lang w:eastAsia="lv-LV"/>
              </w:rPr>
              <w:t xml:space="preserve"> 344 un </w:t>
            </w:r>
            <w:r>
              <w:rPr>
                <w:rFonts w:eastAsia="Times New Roman" w:cs="Times New Roman"/>
                <w:sz w:val="20"/>
                <w:szCs w:val="20"/>
                <w:lang w:eastAsia="lv-LV"/>
              </w:rPr>
              <w:t>šo</w:t>
            </w:r>
            <w:r w:rsidRPr="00EB51F0">
              <w:rPr>
                <w:rFonts w:eastAsia="Times New Roman" w:cs="Times New Roman"/>
                <w:sz w:val="20"/>
                <w:szCs w:val="20"/>
                <w:lang w:eastAsia="lv-LV"/>
              </w:rPr>
              <w:t xml:space="preserve"> noteikumu</w:t>
            </w:r>
            <w:r>
              <w:rPr>
                <w:rFonts w:eastAsia="Times New Roman" w:cs="Times New Roman"/>
                <w:sz w:val="20"/>
                <w:szCs w:val="20"/>
                <w:lang w:eastAsia="lv-LV"/>
              </w:rPr>
              <w:t xml:space="preserve"> projektu</w:t>
            </w:r>
            <w:r w:rsidRPr="00EB51F0">
              <w:rPr>
                <w:rFonts w:eastAsia="Times New Roman" w:cs="Times New Roman"/>
                <w:sz w:val="20"/>
                <w:szCs w:val="20"/>
                <w:lang w:eastAsia="lv-LV"/>
              </w:rPr>
              <w:t xml:space="preserve">, jo </w:t>
            </w:r>
            <w:r w:rsidRPr="00384733">
              <w:rPr>
                <w:rFonts w:eastAsia="Times New Roman" w:cs="Times New Roman"/>
                <w:sz w:val="20"/>
                <w:szCs w:val="20"/>
                <w:lang w:eastAsia="lv-LV"/>
              </w:rPr>
              <w:t>Likum</w:t>
            </w:r>
            <w:r>
              <w:rPr>
                <w:rFonts w:eastAsia="Times New Roman" w:cs="Times New Roman"/>
                <w:sz w:val="20"/>
                <w:szCs w:val="20"/>
                <w:lang w:eastAsia="lv-LV"/>
              </w:rPr>
              <w:t>ā</w:t>
            </w:r>
            <w:r w:rsidRPr="00384733">
              <w:rPr>
                <w:rFonts w:eastAsia="Times New Roman" w:cs="Times New Roman"/>
                <w:sz w:val="20"/>
                <w:szCs w:val="20"/>
                <w:lang w:eastAsia="lv-LV"/>
              </w:rPr>
              <w:t xml:space="preserve"> par budžetu un</w:t>
            </w:r>
          </w:p>
          <w:p w14:paraId="2051DA35" w14:textId="77777777" w:rsidR="00502EC6" w:rsidRDefault="00502EC6" w:rsidP="00502EC6">
            <w:pPr>
              <w:jc w:val="both"/>
              <w:rPr>
                <w:rFonts w:eastAsia="Times New Roman" w:cs="Times New Roman"/>
                <w:sz w:val="20"/>
                <w:szCs w:val="20"/>
                <w:lang w:eastAsia="lv-LV"/>
              </w:rPr>
            </w:pPr>
            <w:r w:rsidRPr="00384733">
              <w:rPr>
                <w:rFonts w:eastAsia="Times New Roman" w:cs="Times New Roman"/>
                <w:sz w:val="20"/>
                <w:szCs w:val="20"/>
                <w:lang w:eastAsia="lv-LV"/>
              </w:rPr>
              <w:t xml:space="preserve">finanšu vadību </w:t>
            </w:r>
            <w:r w:rsidRPr="00EB51F0">
              <w:rPr>
                <w:rFonts w:eastAsia="Times New Roman" w:cs="Times New Roman"/>
                <w:sz w:val="20"/>
                <w:szCs w:val="20"/>
                <w:lang w:eastAsia="lv-LV"/>
              </w:rPr>
              <w:t xml:space="preserve"> katram</w:t>
            </w:r>
            <w:r>
              <w:rPr>
                <w:rFonts w:eastAsia="Times New Roman" w:cs="Times New Roman"/>
                <w:sz w:val="20"/>
                <w:szCs w:val="20"/>
                <w:lang w:eastAsia="lv-LV"/>
              </w:rPr>
              <w:t xml:space="preserve"> normatīvajam aktam</w:t>
            </w:r>
            <w:r w:rsidRPr="00EB51F0">
              <w:rPr>
                <w:rFonts w:eastAsia="Times New Roman" w:cs="Times New Roman"/>
                <w:sz w:val="20"/>
                <w:szCs w:val="20"/>
                <w:lang w:eastAsia="lv-LV"/>
              </w:rPr>
              <w:t xml:space="preserve"> ir savs deleģējums un vēsturiskā prakse</w:t>
            </w:r>
            <w:r>
              <w:rPr>
                <w:rFonts w:eastAsia="Times New Roman" w:cs="Times New Roman"/>
                <w:sz w:val="20"/>
                <w:szCs w:val="20"/>
                <w:lang w:eastAsia="lv-LV"/>
              </w:rPr>
              <w:t>, kas</w:t>
            </w:r>
            <w:r w:rsidRPr="00EB51F0">
              <w:rPr>
                <w:rFonts w:eastAsia="Times New Roman" w:cs="Times New Roman"/>
                <w:sz w:val="20"/>
                <w:szCs w:val="20"/>
                <w:lang w:eastAsia="lv-LV"/>
              </w:rPr>
              <w:t xml:space="preserve"> paredz </w:t>
            </w:r>
            <w:r>
              <w:rPr>
                <w:rFonts w:eastAsia="Times New Roman" w:cs="Times New Roman"/>
                <w:sz w:val="20"/>
                <w:szCs w:val="20"/>
                <w:lang w:eastAsia="lv-LV"/>
              </w:rPr>
              <w:t xml:space="preserve">tos </w:t>
            </w:r>
            <w:r w:rsidRPr="00EB51F0">
              <w:rPr>
                <w:rFonts w:eastAsia="Times New Roman" w:cs="Times New Roman"/>
                <w:sz w:val="20"/>
                <w:szCs w:val="20"/>
                <w:lang w:eastAsia="lv-LV"/>
              </w:rPr>
              <w:t>nodalīt atsevišķi.</w:t>
            </w:r>
          </w:p>
          <w:p w14:paraId="7F2CD441" w14:textId="77777777" w:rsidR="00502EC6" w:rsidRDefault="00502EC6" w:rsidP="00502EC6">
            <w:pPr>
              <w:jc w:val="both"/>
              <w:rPr>
                <w:rFonts w:eastAsia="Times New Roman" w:cs="Times New Roman"/>
                <w:sz w:val="20"/>
                <w:szCs w:val="20"/>
                <w:lang w:eastAsia="lv-LV"/>
              </w:rPr>
            </w:pPr>
            <w:r>
              <w:rPr>
                <w:rFonts w:eastAsia="Times New Roman" w:cs="Times New Roman"/>
                <w:sz w:val="20"/>
                <w:szCs w:val="20"/>
                <w:lang w:eastAsia="lv-LV"/>
              </w:rPr>
              <w:t>Anotācijas I. nodaļas</w:t>
            </w:r>
            <w:r w:rsidRPr="000B4B34">
              <w:rPr>
                <w:rFonts w:eastAsia="Times New Roman" w:cs="Times New Roman"/>
                <w:sz w:val="20"/>
                <w:szCs w:val="20"/>
                <w:lang w:eastAsia="lv-LV"/>
              </w:rPr>
              <w:t xml:space="preserve"> </w:t>
            </w:r>
            <w:r>
              <w:rPr>
                <w:rFonts w:eastAsia="Times New Roman" w:cs="Times New Roman"/>
                <w:sz w:val="20"/>
                <w:szCs w:val="20"/>
                <w:lang w:eastAsia="lv-LV"/>
              </w:rPr>
              <w:t>“</w:t>
            </w:r>
            <w:r w:rsidRPr="000B4B34">
              <w:rPr>
                <w:rFonts w:eastAsia="Times New Roman" w:cs="Times New Roman"/>
                <w:sz w:val="20"/>
                <w:szCs w:val="20"/>
                <w:lang w:eastAsia="lv-LV"/>
              </w:rPr>
              <w:t xml:space="preserve"> Tiesību akta projekta izstrādes nepieciešamība</w:t>
            </w:r>
            <w:r>
              <w:rPr>
                <w:rFonts w:eastAsia="Times New Roman" w:cs="Times New Roman"/>
                <w:sz w:val="20"/>
                <w:szCs w:val="20"/>
                <w:lang w:eastAsia="lv-LV"/>
              </w:rPr>
              <w:t>”</w:t>
            </w:r>
            <w:r w:rsidRPr="000B4B34">
              <w:rPr>
                <w:rFonts w:eastAsia="Times New Roman" w:cs="Times New Roman"/>
                <w:sz w:val="20"/>
                <w:szCs w:val="20"/>
                <w:lang w:eastAsia="lv-LV"/>
              </w:rPr>
              <w:t xml:space="preserve"> </w:t>
            </w:r>
            <w:r>
              <w:rPr>
                <w:rFonts w:eastAsia="Times New Roman" w:cs="Times New Roman"/>
                <w:sz w:val="20"/>
                <w:szCs w:val="20"/>
                <w:lang w:eastAsia="lv-LV"/>
              </w:rPr>
              <w:t>2</w:t>
            </w:r>
            <w:r w:rsidRPr="000B4B34">
              <w:rPr>
                <w:rFonts w:eastAsia="Times New Roman" w:cs="Times New Roman"/>
                <w:sz w:val="20"/>
                <w:szCs w:val="20"/>
                <w:lang w:eastAsia="lv-LV"/>
              </w:rPr>
              <w:t>.punkt</w:t>
            </w:r>
            <w:r>
              <w:rPr>
                <w:rFonts w:eastAsia="Times New Roman" w:cs="Times New Roman"/>
                <w:sz w:val="20"/>
                <w:szCs w:val="20"/>
                <w:lang w:eastAsia="lv-LV"/>
              </w:rPr>
              <w:t>ā</w:t>
            </w:r>
            <w:r w:rsidRPr="000B4B34">
              <w:rPr>
                <w:rFonts w:eastAsia="Times New Roman" w:cs="Times New Roman"/>
                <w:sz w:val="20"/>
                <w:szCs w:val="20"/>
                <w:lang w:eastAsia="lv-LV"/>
              </w:rPr>
              <w:t xml:space="preserve"> “</w:t>
            </w:r>
            <w:r w:rsidRPr="00A86853">
              <w:rPr>
                <w:rFonts w:eastAsia="Times New Roman" w:cs="Times New Roman"/>
                <w:bCs/>
                <w:sz w:val="20"/>
                <w:szCs w:val="20"/>
                <w:lang w:eastAsia="lv-LV"/>
              </w:rPr>
              <w:t>Pašreizējā situācija un problēmas, kuru risināšanai tiesību akta projekts izstrādāts, tiesiskā regulējuma mērķis un būtība</w:t>
            </w:r>
            <w:r w:rsidRPr="00A86853">
              <w:rPr>
                <w:rFonts w:eastAsia="Times New Roman" w:cs="Times New Roman"/>
                <w:sz w:val="20"/>
                <w:szCs w:val="20"/>
                <w:lang w:eastAsia="lv-LV"/>
              </w:rPr>
              <w:t xml:space="preserve">” </w:t>
            </w:r>
            <w:r>
              <w:rPr>
                <w:rFonts w:eastAsia="Times New Roman" w:cs="Times New Roman"/>
                <w:sz w:val="20"/>
                <w:szCs w:val="20"/>
                <w:lang w:eastAsia="lv-LV"/>
              </w:rPr>
              <w:t>(2.lp.) sniegta informācija par Valsts kases 2020.gadā sagatavojiem un FM iesniegtajiem priekšlikumiem Likumā par budžetu un finanšu vadību.</w:t>
            </w:r>
          </w:p>
          <w:p w14:paraId="2F52A496" w14:textId="77777777" w:rsidR="00502EC6" w:rsidRDefault="00502EC6" w:rsidP="00502EC6">
            <w:pPr>
              <w:autoSpaceDE w:val="0"/>
              <w:autoSpaceDN w:val="0"/>
              <w:adjustRightInd w:val="0"/>
              <w:jc w:val="both"/>
              <w:rPr>
                <w:rFonts w:eastAsia="Times New Roman" w:cs="Times New Roman"/>
                <w:sz w:val="20"/>
                <w:szCs w:val="20"/>
                <w:lang w:eastAsia="lv-LV"/>
              </w:rPr>
            </w:pPr>
            <w:r>
              <w:rPr>
                <w:rFonts w:eastAsia="Times New Roman" w:cs="Times New Roman"/>
                <w:sz w:val="20"/>
                <w:szCs w:val="20"/>
                <w:lang w:eastAsia="lv-LV"/>
              </w:rPr>
              <w:t xml:space="preserve">Vienlaikus noteikumu projekts precizēts, lai 2.punktā minētais regulējums nedublētu </w:t>
            </w:r>
            <w:r w:rsidRPr="00384733">
              <w:rPr>
                <w:rFonts w:eastAsia="Times New Roman" w:cs="Times New Roman"/>
                <w:sz w:val="20"/>
                <w:szCs w:val="20"/>
                <w:lang w:eastAsia="lv-LV"/>
              </w:rPr>
              <w:t>MK noteikumu Nr. 344 3. punktu</w:t>
            </w:r>
            <w:r>
              <w:rPr>
                <w:rFonts w:eastAsia="Times New Roman" w:cs="Times New Roman"/>
                <w:sz w:val="20"/>
                <w:szCs w:val="20"/>
                <w:lang w:eastAsia="lv-LV"/>
              </w:rPr>
              <w:t xml:space="preserve">, skatīt šīs izziņas </w:t>
            </w:r>
            <w:r w:rsidRPr="008159E6">
              <w:rPr>
                <w:rFonts w:eastAsia="Times New Roman" w:cs="Times New Roman"/>
                <w:sz w:val="20"/>
                <w:szCs w:val="20"/>
                <w:lang w:eastAsia="lv-LV"/>
              </w:rPr>
              <w:t>II.</w:t>
            </w:r>
            <w:r>
              <w:rPr>
                <w:rFonts w:eastAsia="Times New Roman" w:cs="Times New Roman"/>
                <w:sz w:val="20"/>
                <w:szCs w:val="20"/>
                <w:lang w:eastAsia="lv-LV"/>
              </w:rPr>
              <w:t xml:space="preserve"> nodaļas</w:t>
            </w:r>
            <w:r w:rsidRPr="008159E6">
              <w:rPr>
                <w:rFonts w:eastAsia="Times New Roman" w:cs="Times New Roman"/>
                <w:sz w:val="20"/>
                <w:szCs w:val="20"/>
                <w:lang w:eastAsia="lv-LV"/>
              </w:rPr>
              <w:t xml:space="preserve"> </w:t>
            </w:r>
            <w:r>
              <w:rPr>
                <w:rFonts w:eastAsia="Times New Roman" w:cs="Times New Roman"/>
                <w:sz w:val="20"/>
                <w:szCs w:val="20"/>
                <w:lang w:eastAsia="lv-LV"/>
              </w:rPr>
              <w:t>“</w:t>
            </w:r>
            <w:r w:rsidRPr="008159E6">
              <w:rPr>
                <w:rFonts w:eastAsia="Times New Roman" w:cs="Times New Roman"/>
                <w:sz w:val="20"/>
                <w:szCs w:val="20"/>
                <w:lang w:eastAsia="lv-LV"/>
              </w:rPr>
              <w:t>Jautājumi, par kuriem saskaņošanā vienošanās ir panākta</w:t>
            </w:r>
            <w:r>
              <w:rPr>
                <w:rFonts w:eastAsia="Times New Roman" w:cs="Times New Roman"/>
                <w:sz w:val="20"/>
                <w:szCs w:val="20"/>
                <w:lang w:eastAsia="lv-LV"/>
              </w:rPr>
              <w:t>” 1.punkta 4.ailē sniegtos pamatojumus.</w:t>
            </w:r>
          </w:p>
          <w:p w14:paraId="6F515FAD" w14:textId="77777777" w:rsidR="00502EC6" w:rsidRPr="00705C36" w:rsidRDefault="00502EC6" w:rsidP="00502EC6">
            <w:pPr>
              <w:jc w:val="both"/>
              <w:rPr>
                <w:rFonts w:eastAsia="Times New Roman" w:cs="Times New Roman"/>
                <w:sz w:val="20"/>
                <w:szCs w:val="20"/>
                <w:lang w:eastAsia="lv-LV"/>
              </w:rPr>
            </w:pPr>
            <w:r w:rsidRPr="00705C36">
              <w:rPr>
                <w:rFonts w:eastAsia="Times New Roman" w:cs="Times New Roman"/>
                <w:sz w:val="20"/>
                <w:szCs w:val="20"/>
                <w:lang w:eastAsia="lv-LV"/>
              </w:rPr>
              <w:t>Sanāksmē panākta vienošanās Anotācijas I. nodaļas “ Tiesību akta projekta izstrādes nepieciešamība” 2.punktā “</w:t>
            </w:r>
            <w:r w:rsidRPr="00705C36">
              <w:rPr>
                <w:rFonts w:eastAsia="Times New Roman" w:cs="Times New Roman"/>
                <w:bCs/>
                <w:sz w:val="20"/>
                <w:szCs w:val="20"/>
                <w:lang w:eastAsia="lv-LV"/>
              </w:rPr>
              <w:t>Pašreizējā situācija un problēmas, kuru risināšanai tiesību akta projekts izstrādāts, tiesiskā regulējuma mērķis un būtība</w:t>
            </w:r>
            <w:r w:rsidRPr="00705C36">
              <w:rPr>
                <w:rFonts w:eastAsia="Times New Roman" w:cs="Times New Roman"/>
                <w:sz w:val="20"/>
                <w:szCs w:val="20"/>
                <w:lang w:eastAsia="lv-LV"/>
              </w:rPr>
              <w:t>”  (2.-3.lp.) papildināt par Valsts kases sniegtajiem priekšlikumiem Likuma  31.panta otrās daļas grozījumiem un normatīvo regulējumu, kas izdoti uz Likuma 30.panta pirmo prim</w:t>
            </w:r>
            <w:r w:rsidRPr="00705C36">
              <w:rPr>
                <w:rFonts w:cs="Times New Roman"/>
                <w:sz w:val="20"/>
                <w:szCs w:val="20"/>
              </w:rPr>
              <w:t xml:space="preserve"> daļa un </w:t>
            </w:r>
            <w:r w:rsidRPr="00705C36">
              <w:rPr>
                <w:rFonts w:eastAsia="Times New Roman" w:cs="Times New Roman"/>
                <w:sz w:val="20"/>
                <w:szCs w:val="20"/>
                <w:lang w:eastAsia="lv-LV"/>
              </w:rPr>
              <w:t xml:space="preserve"> 31.panta otro daļu apvienošanu.</w:t>
            </w:r>
          </w:p>
          <w:p w14:paraId="6AE181B0" w14:textId="53E2653D" w:rsidR="00502EC6" w:rsidRPr="00AC7A88" w:rsidRDefault="00502EC6" w:rsidP="00502EC6">
            <w:pPr>
              <w:autoSpaceDE w:val="0"/>
              <w:autoSpaceDN w:val="0"/>
              <w:adjustRightInd w:val="0"/>
              <w:jc w:val="both"/>
              <w:rPr>
                <w:b/>
                <w:sz w:val="20"/>
              </w:rPr>
            </w:pPr>
          </w:p>
        </w:tc>
        <w:tc>
          <w:tcPr>
            <w:tcW w:w="1060" w:type="pct"/>
            <w:tcBorders>
              <w:top w:val="outset" w:sz="6" w:space="0" w:color="414142"/>
              <w:left w:val="outset" w:sz="6" w:space="0" w:color="414142"/>
              <w:bottom w:val="outset" w:sz="6" w:space="0" w:color="414142"/>
              <w:right w:val="outset" w:sz="6" w:space="0" w:color="414142"/>
            </w:tcBorders>
          </w:tcPr>
          <w:p w14:paraId="70600E5C" w14:textId="77777777" w:rsidR="00502EC6" w:rsidRPr="00361ACA" w:rsidRDefault="00502EC6" w:rsidP="00502EC6">
            <w:pPr>
              <w:ind w:right="140"/>
              <w:jc w:val="both"/>
              <w:rPr>
                <w:rFonts w:eastAsia="Times New Roman" w:cs="Times New Roman"/>
                <w:sz w:val="20"/>
                <w:szCs w:val="20"/>
                <w:lang w:eastAsia="lv-LV"/>
              </w:rPr>
            </w:pPr>
            <w:r>
              <w:rPr>
                <w:rFonts w:eastAsia="Times New Roman" w:cs="Times New Roman"/>
                <w:sz w:val="20"/>
                <w:szCs w:val="20"/>
                <w:lang w:eastAsia="lv-LV"/>
              </w:rPr>
              <w:t>Anotācijas I. nodaļas</w:t>
            </w:r>
            <w:r w:rsidRPr="000B4B34">
              <w:rPr>
                <w:rFonts w:eastAsia="Times New Roman" w:cs="Times New Roman"/>
                <w:sz w:val="20"/>
                <w:szCs w:val="20"/>
                <w:lang w:eastAsia="lv-LV"/>
              </w:rPr>
              <w:t xml:space="preserve"> </w:t>
            </w:r>
            <w:r>
              <w:rPr>
                <w:rFonts w:eastAsia="Times New Roman" w:cs="Times New Roman"/>
                <w:sz w:val="20"/>
                <w:szCs w:val="20"/>
                <w:lang w:eastAsia="lv-LV"/>
              </w:rPr>
              <w:t>“</w:t>
            </w:r>
            <w:r w:rsidRPr="000B4B34">
              <w:rPr>
                <w:rFonts w:eastAsia="Times New Roman" w:cs="Times New Roman"/>
                <w:sz w:val="20"/>
                <w:szCs w:val="20"/>
                <w:lang w:eastAsia="lv-LV"/>
              </w:rPr>
              <w:t xml:space="preserve"> Tiesību akta projekta izstrādes nepieciešamība</w:t>
            </w:r>
            <w:r>
              <w:rPr>
                <w:rFonts w:eastAsia="Times New Roman" w:cs="Times New Roman"/>
                <w:sz w:val="20"/>
                <w:szCs w:val="20"/>
                <w:lang w:eastAsia="lv-LV"/>
              </w:rPr>
              <w:t>”</w:t>
            </w:r>
            <w:r w:rsidRPr="000B4B34">
              <w:rPr>
                <w:rFonts w:eastAsia="Times New Roman" w:cs="Times New Roman"/>
                <w:sz w:val="20"/>
                <w:szCs w:val="20"/>
                <w:lang w:eastAsia="lv-LV"/>
              </w:rPr>
              <w:t xml:space="preserve"> </w:t>
            </w:r>
            <w:r>
              <w:rPr>
                <w:rFonts w:eastAsia="Times New Roman" w:cs="Times New Roman"/>
                <w:sz w:val="20"/>
                <w:szCs w:val="20"/>
                <w:lang w:eastAsia="lv-LV"/>
              </w:rPr>
              <w:t>2</w:t>
            </w:r>
            <w:r w:rsidRPr="000B4B34">
              <w:rPr>
                <w:rFonts w:eastAsia="Times New Roman" w:cs="Times New Roman"/>
                <w:sz w:val="20"/>
                <w:szCs w:val="20"/>
                <w:lang w:eastAsia="lv-LV"/>
              </w:rPr>
              <w:t>.punkt</w:t>
            </w:r>
            <w:r>
              <w:rPr>
                <w:rFonts w:eastAsia="Times New Roman" w:cs="Times New Roman"/>
                <w:sz w:val="20"/>
                <w:szCs w:val="20"/>
                <w:lang w:eastAsia="lv-LV"/>
              </w:rPr>
              <w:t>ā</w:t>
            </w:r>
            <w:r w:rsidRPr="000B4B34">
              <w:rPr>
                <w:rFonts w:eastAsia="Times New Roman" w:cs="Times New Roman"/>
                <w:sz w:val="20"/>
                <w:szCs w:val="20"/>
                <w:lang w:eastAsia="lv-LV"/>
              </w:rPr>
              <w:t xml:space="preserve"> “</w:t>
            </w:r>
            <w:r w:rsidRPr="00A86853">
              <w:rPr>
                <w:rFonts w:eastAsia="Times New Roman" w:cs="Times New Roman"/>
                <w:bCs/>
                <w:sz w:val="20"/>
                <w:szCs w:val="20"/>
                <w:lang w:eastAsia="lv-LV"/>
              </w:rPr>
              <w:t>Pašreizējā situācija un problēmas, kuru risināšanai tiesību akta projekts izstrādāts, tiesiskā regulējuma mērķis un būtība</w:t>
            </w:r>
            <w:r>
              <w:rPr>
                <w:rFonts w:eastAsia="Times New Roman" w:cs="Times New Roman"/>
                <w:sz w:val="20"/>
                <w:szCs w:val="20"/>
                <w:lang w:eastAsia="lv-LV"/>
              </w:rPr>
              <w:t>”:</w:t>
            </w:r>
          </w:p>
          <w:p w14:paraId="3013CC98" w14:textId="77777777" w:rsidR="00502EC6" w:rsidRPr="00B773E5" w:rsidRDefault="00502EC6" w:rsidP="00502EC6">
            <w:pPr>
              <w:ind w:right="140" w:firstLine="403"/>
              <w:jc w:val="both"/>
              <w:rPr>
                <w:rFonts w:cs="Times New Roman"/>
                <w:sz w:val="20"/>
                <w:szCs w:val="20"/>
              </w:rPr>
            </w:pPr>
            <w:r w:rsidRPr="00361ACA">
              <w:rPr>
                <w:rFonts w:eastAsia="Times New Roman" w:cs="Times New Roman"/>
                <w:sz w:val="20"/>
                <w:szCs w:val="20"/>
                <w:lang w:eastAsia="lv-LV"/>
              </w:rPr>
              <w:t>Vienlaikus, atsaucoties uz Finanšu ministrijas iniciatīvu 2020.gadā iestādēm savlaicīgi iesniegt nepieciešamos grozījumus Likumā, Valsts kase sagatavojusi un iesniegusi Finanšu ministrijai Likuma pantu redakcijas un informāciju anotācijas skaidrojumiem, t.sk. par Likuma 31.panta otro daļu, paredzot, ka Ministru kabinets nosaka kārtību, kādā Finanšu ministrija sagatavo un iesniedz konsolidēto saimnieciskā gada pārskatu, tādējādi Likuma deleģējumā paredzēts iestrādāt normatīvo regulējumu FM sagatavotajam konsolidētajam saimnieciskā gada pārskatam, saskaņojot to ar Likuma deleģējumu, kas noteikts 30.panta pirmajā prim</w:t>
            </w:r>
            <w:r w:rsidRPr="00361ACA">
              <w:rPr>
                <w:rFonts w:cs="Times New Roman"/>
                <w:sz w:val="20"/>
                <w:szCs w:val="20"/>
              </w:rPr>
              <w:t xml:space="preserve"> daļā minētajiem subjektiem. </w:t>
            </w:r>
          </w:p>
          <w:p w14:paraId="029CAFBA" w14:textId="77777777" w:rsidR="00502EC6" w:rsidRPr="00B773E5" w:rsidRDefault="00502EC6" w:rsidP="00502EC6">
            <w:pPr>
              <w:ind w:right="140" w:firstLine="403"/>
              <w:jc w:val="both"/>
              <w:rPr>
                <w:rFonts w:eastAsia="Times New Roman" w:cs="Times New Roman"/>
                <w:sz w:val="20"/>
                <w:szCs w:val="20"/>
                <w:lang w:eastAsia="lv-LV"/>
              </w:rPr>
            </w:pPr>
            <w:r w:rsidRPr="00B773E5">
              <w:rPr>
                <w:rFonts w:eastAsia="Times New Roman" w:cs="Times New Roman"/>
                <w:sz w:val="20"/>
                <w:szCs w:val="20"/>
                <w:lang w:eastAsia="lv-LV"/>
              </w:rPr>
              <w:t>Anotācijas I. nodaļas “ Tiesību akta projekta izstrādes nepieciešamība” 2.punktā “</w:t>
            </w:r>
            <w:r w:rsidRPr="00B773E5">
              <w:rPr>
                <w:rFonts w:eastAsia="Times New Roman" w:cs="Times New Roman"/>
                <w:bCs/>
                <w:sz w:val="20"/>
                <w:szCs w:val="20"/>
                <w:lang w:eastAsia="lv-LV"/>
              </w:rPr>
              <w:t>Pašreizējā situācija un problēmas, kuru risināšanai tiesību akta projekts izstrādāts, tiesiskā regulējuma mērķis un būtība</w:t>
            </w:r>
            <w:r w:rsidRPr="00B773E5">
              <w:rPr>
                <w:rFonts w:eastAsia="Times New Roman" w:cs="Times New Roman"/>
                <w:sz w:val="20"/>
                <w:szCs w:val="20"/>
                <w:lang w:eastAsia="lv-LV"/>
              </w:rPr>
              <w:t>” (2.-3.lp.):</w:t>
            </w:r>
          </w:p>
          <w:p w14:paraId="500E1124" w14:textId="77777777" w:rsidR="00502EC6" w:rsidRPr="00B773E5" w:rsidRDefault="00502EC6" w:rsidP="00502EC6">
            <w:pPr>
              <w:ind w:right="140" w:firstLine="403"/>
              <w:jc w:val="both"/>
              <w:rPr>
                <w:rFonts w:cs="Times New Roman"/>
                <w:sz w:val="20"/>
                <w:szCs w:val="20"/>
              </w:rPr>
            </w:pPr>
            <w:r w:rsidRPr="00B773E5">
              <w:rPr>
                <w:rFonts w:cs="Times New Roman"/>
                <w:sz w:val="20"/>
                <w:szCs w:val="20"/>
              </w:rPr>
              <w:t xml:space="preserve">Likuma 31. panta otrā daļā netiks vairāk noteiktas normas par pārskata saturu un apjomu, sekojoši Likumā noteiktais deleģējums Ministru kabineta noteikumu izdošanai, kārtība kādā sagatavo un iesniedz konsolidēto gada pārskatu, būs saskaņots ar Likuma </w:t>
            </w:r>
            <w:r w:rsidRPr="00B773E5">
              <w:rPr>
                <w:rFonts w:eastAsia="Times New Roman" w:cs="Times New Roman"/>
                <w:sz w:val="20"/>
                <w:szCs w:val="20"/>
                <w:lang w:eastAsia="lv-LV"/>
              </w:rPr>
              <w:t>30.panta pirmajā prim</w:t>
            </w:r>
            <w:r w:rsidRPr="00B773E5">
              <w:rPr>
                <w:rFonts w:cs="Times New Roman"/>
                <w:sz w:val="20"/>
                <w:szCs w:val="20"/>
              </w:rPr>
              <w:t xml:space="preserve"> daļā noteikto un nodrošinās normatīvo regulējumu normu iekļaušanai vienos Ministru kabineta noteikumos un izslēgs normu  dublēšanu un divu normatīvo aktu izdošanu. </w:t>
            </w:r>
          </w:p>
          <w:p w14:paraId="6839283C" w14:textId="17FBE77F" w:rsidR="00502EC6" w:rsidRPr="00AC7A88" w:rsidRDefault="00502EC6" w:rsidP="00502EC6">
            <w:pPr>
              <w:tabs>
                <w:tab w:val="left" w:pos="1134"/>
              </w:tabs>
              <w:contextualSpacing/>
              <w:jc w:val="both"/>
              <w:rPr>
                <w:rFonts w:cs="Times New Roman"/>
                <w:sz w:val="20"/>
                <w:szCs w:val="20"/>
              </w:rPr>
            </w:pPr>
            <w:r w:rsidRPr="00B773E5">
              <w:rPr>
                <w:rFonts w:cs="Times New Roman"/>
                <w:sz w:val="20"/>
                <w:szCs w:val="20"/>
              </w:rPr>
              <w:t xml:space="preserve">Saskaņā ar Valsts kases sniegtajiem priekšlikumiem Finanšu ministrijai par grozījumiem Likuma 31. panta otrajā daļā, t.i. deleģējumu Ministru kabinetam izdot noteikumus par kārtību, kādā Finanšu ministrija sagatavo un iesniedz konsolidēto saimnieciskā gada pārskatu, šī norma stātos spēkā 2022. gada 1. janvārī, apvienojot vienos noteikumos Likuma </w:t>
            </w:r>
            <w:r w:rsidRPr="00B773E5">
              <w:rPr>
                <w:rFonts w:eastAsia="Times New Roman" w:cs="Times New Roman"/>
                <w:sz w:val="20"/>
                <w:szCs w:val="20"/>
                <w:lang w:eastAsia="lv-LV"/>
              </w:rPr>
              <w:t>30.panta pirmajā prim</w:t>
            </w:r>
            <w:r w:rsidRPr="00B773E5">
              <w:rPr>
                <w:rFonts w:cs="Times New Roman"/>
                <w:sz w:val="20"/>
                <w:szCs w:val="20"/>
              </w:rPr>
              <w:t xml:space="preserve"> daļā (spēkā esošie MK Nr.344) un 31. panta otrajā daļā noteikto deleģējumu. Minētos noteikumus pirmo reizi piemērotu 2023.gadā sagatavojot konsolidēto saimnieciskā gada pārskatu par 2022. gadu, ņemot vērā grozījumu Likumā izsludināšanu līdz 2021. gada 1. janvārim.</w:t>
            </w:r>
          </w:p>
        </w:tc>
      </w:tr>
    </w:tbl>
    <w:p w14:paraId="081043B4" w14:textId="3A8B2F1C" w:rsidR="005B6DEE" w:rsidRPr="005B6DEE" w:rsidRDefault="005B6DEE" w:rsidP="005B6DEE">
      <w:pPr>
        <w:shd w:val="clear" w:color="auto" w:fill="FFFFFF"/>
        <w:rPr>
          <w:rFonts w:eastAsia="Times New Roman" w:cs="Times New Roman"/>
          <w:vanish/>
          <w:sz w:val="27"/>
          <w:szCs w:val="27"/>
          <w:lang w:eastAsia="lv-LV"/>
        </w:rPr>
      </w:pPr>
    </w:p>
    <w:tbl>
      <w:tblPr>
        <w:tblW w:w="4620" w:type="pct"/>
        <w:tblCellMar>
          <w:top w:w="30" w:type="dxa"/>
          <w:left w:w="30" w:type="dxa"/>
          <w:bottom w:w="30" w:type="dxa"/>
          <w:right w:w="30" w:type="dxa"/>
        </w:tblCellMar>
        <w:tblLook w:val="04A0" w:firstRow="1" w:lastRow="0" w:firstColumn="1" w:lastColumn="0" w:noHBand="0" w:noVBand="1"/>
      </w:tblPr>
      <w:tblGrid>
        <w:gridCol w:w="3526"/>
        <w:gridCol w:w="9303"/>
        <w:gridCol w:w="110"/>
      </w:tblGrid>
      <w:tr w:rsidR="00517294" w:rsidRPr="005B6DEE" w14:paraId="732286AE" w14:textId="77777777" w:rsidTr="00A111DA">
        <w:trPr>
          <w:gridAfter w:val="1"/>
          <w:trHeight w:val="450"/>
        </w:trPr>
        <w:tc>
          <w:tcPr>
            <w:tcW w:w="1374" w:type="pct"/>
            <w:tcBorders>
              <w:top w:val="nil"/>
              <w:left w:val="nil"/>
              <w:bottom w:val="nil"/>
              <w:right w:val="nil"/>
            </w:tcBorders>
            <w:noWrap/>
            <w:vAlign w:val="bottom"/>
            <w:hideMark/>
          </w:tcPr>
          <w:p w14:paraId="73021147"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Atbildīgā amatpersona</w:t>
            </w:r>
          </w:p>
        </w:tc>
        <w:tc>
          <w:tcPr>
            <w:tcW w:w="3626" w:type="pct"/>
            <w:tcBorders>
              <w:top w:val="nil"/>
              <w:left w:val="nil"/>
              <w:bottom w:val="single" w:sz="6" w:space="0" w:color="414142"/>
              <w:right w:val="nil"/>
            </w:tcBorders>
            <w:hideMark/>
          </w:tcPr>
          <w:p w14:paraId="315DB62C" w14:textId="77777777" w:rsidR="005B6DEE" w:rsidRPr="005B6DEE" w:rsidRDefault="005B6DEE">
            <w:pPr>
              <w:rPr>
                <w:rFonts w:eastAsia="Times New Roman" w:cs="Times New Roman"/>
                <w:sz w:val="20"/>
                <w:szCs w:val="20"/>
                <w:lang w:eastAsia="lv-LV"/>
              </w:rPr>
            </w:pPr>
          </w:p>
        </w:tc>
      </w:tr>
      <w:tr w:rsidR="00517294" w:rsidRPr="005B6DEE" w14:paraId="72C1A9FB" w14:textId="77777777" w:rsidTr="00A111DA">
        <w:trPr>
          <w:gridAfter w:val="1"/>
        </w:trPr>
        <w:tc>
          <w:tcPr>
            <w:tcW w:w="1374" w:type="pct"/>
            <w:tcBorders>
              <w:top w:val="nil"/>
              <w:left w:val="nil"/>
              <w:bottom w:val="nil"/>
              <w:right w:val="nil"/>
            </w:tcBorders>
            <w:hideMark/>
          </w:tcPr>
          <w:p w14:paraId="0E95B31B"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c>
          <w:tcPr>
            <w:tcW w:w="3626" w:type="pct"/>
            <w:tcBorders>
              <w:top w:val="single" w:sz="6" w:space="0" w:color="414142"/>
              <w:left w:val="nil"/>
              <w:bottom w:val="nil"/>
              <w:right w:val="nil"/>
            </w:tcBorders>
            <w:hideMark/>
          </w:tcPr>
          <w:p w14:paraId="2004C9E2" w14:textId="76138B28" w:rsidR="005B6DEE" w:rsidRPr="005B6DEE" w:rsidRDefault="005B6DEE" w:rsidP="005B6DEE">
            <w:pPr>
              <w:jc w:val="center"/>
              <w:rPr>
                <w:rFonts w:eastAsia="Times New Roman" w:cs="Times New Roman"/>
                <w:sz w:val="20"/>
                <w:szCs w:val="20"/>
                <w:lang w:eastAsia="lv-LV"/>
              </w:rPr>
            </w:pPr>
            <w:r w:rsidRPr="005B6DEE">
              <w:rPr>
                <w:rFonts w:eastAsia="Times New Roman" w:cs="Times New Roman"/>
                <w:sz w:val="20"/>
                <w:szCs w:val="20"/>
                <w:lang w:eastAsia="lv-LV"/>
              </w:rPr>
              <w:t>(paraksts)</w:t>
            </w:r>
          </w:p>
        </w:tc>
      </w:tr>
      <w:tr w:rsidR="00517294" w:rsidRPr="005B6DEE" w14:paraId="537617FC" w14:textId="77777777" w:rsidTr="005B6DEE">
        <w:trPr>
          <w:trHeight w:val="300"/>
        </w:trPr>
        <w:tc>
          <w:tcPr>
            <w:tcW w:w="13005" w:type="dxa"/>
            <w:gridSpan w:val="2"/>
            <w:tcBorders>
              <w:top w:val="nil"/>
              <w:left w:val="nil"/>
              <w:bottom w:val="single" w:sz="6" w:space="0" w:color="414142"/>
              <w:right w:val="nil"/>
            </w:tcBorders>
            <w:hideMark/>
          </w:tcPr>
          <w:p w14:paraId="29A82CD6" w14:textId="7F3D8F2E" w:rsidR="005B6DEE" w:rsidRPr="005B6DEE" w:rsidRDefault="001A05F0" w:rsidP="00164E8B">
            <w:pPr>
              <w:jc w:val="center"/>
              <w:rPr>
                <w:rFonts w:eastAsia="Times New Roman" w:cs="Times New Roman"/>
                <w:sz w:val="20"/>
                <w:szCs w:val="20"/>
                <w:lang w:eastAsia="lv-LV"/>
              </w:rPr>
            </w:pPr>
            <w:r w:rsidRPr="001A05F0">
              <w:rPr>
                <w:rFonts w:eastAsia="Times New Roman" w:cs="Times New Roman"/>
                <w:sz w:val="20"/>
                <w:szCs w:val="20"/>
                <w:lang w:eastAsia="lv-LV"/>
              </w:rPr>
              <w:t>I</w:t>
            </w:r>
            <w:r>
              <w:rPr>
                <w:rFonts w:eastAsia="Times New Roman" w:cs="Times New Roman"/>
                <w:sz w:val="20"/>
                <w:szCs w:val="20"/>
                <w:lang w:eastAsia="lv-LV"/>
              </w:rPr>
              <w:t>rēna Šuksta</w:t>
            </w:r>
          </w:p>
        </w:tc>
        <w:tc>
          <w:tcPr>
            <w:tcW w:w="0" w:type="auto"/>
            <w:tcBorders>
              <w:top w:val="nil"/>
              <w:left w:val="nil"/>
              <w:bottom w:val="nil"/>
              <w:right w:val="nil"/>
            </w:tcBorders>
            <w:hideMark/>
          </w:tcPr>
          <w:p w14:paraId="33CCD0E1"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388B699D" w14:textId="77777777" w:rsidTr="005B6DEE">
        <w:trPr>
          <w:trHeight w:val="300"/>
        </w:trPr>
        <w:tc>
          <w:tcPr>
            <w:tcW w:w="13005" w:type="dxa"/>
            <w:gridSpan w:val="2"/>
            <w:tcBorders>
              <w:top w:val="single" w:sz="6" w:space="0" w:color="414142"/>
              <w:left w:val="nil"/>
              <w:bottom w:val="nil"/>
              <w:right w:val="nil"/>
            </w:tcBorders>
            <w:hideMark/>
          </w:tcPr>
          <w:p w14:paraId="74830CFD" w14:textId="77777777" w:rsidR="005B6DEE" w:rsidRPr="005B6DEE" w:rsidRDefault="005B6DEE" w:rsidP="00164E8B">
            <w:pPr>
              <w:jc w:val="center"/>
              <w:rPr>
                <w:rFonts w:eastAsia="Times New Roman" w:cs="Times New Roman"/>
                <w:sz w:val="20"/>
                <w:szCs w:val="20"/>
                <w:lang w:eastAsia="lv-LV"/>
              </w:rPr>
            </w:pPr>
            <w:r w:rsidRPr="005B6DEE">
              <w:rPr>
                <w:rFonts w:eastAsia="Times New Roman" w:cs="Times New Roman"/>
                <w:sz w:val="20"/>
                <w:szCs w:val="20"/>
                <w:lang w:eastAsia="lv-LV"/>
              </w:rPr>
              <w:t>(</w:t>
            </w:r>
            <w:r w:rsidRPr="001A05F0">
              <w:rPr>
                <w:rFonts w:eastAsia="Times New Roman" w:cs="Times New Roman"/>
                <w:i/>
                <w:sz w:val="20"/>
                <w:szCs w:val="20"/>
                <w:lang w:eastAsia="lv-LV"/>
              </w:rPr>
              <w:t>par projektu atbildīgās amatpersonas vārds un uzvārds</w:t>
            </w:r>
            <w:r w:rsidRPr="005B6DEE">
              <w:rPr>
                <w:rFonts w:eastAsia="Times New Roman" w:cs="Times New Roman"/>
                <w:sz w:val="20"/>
                <w:szCs w:val="20"/>
                <w:lang w:eastAsia="lv-LV"/>
              </w:rPr>
              <w:t>)</w:t>
            </w:r>
          </w:p>
        </w:tc>
        <w:tc>
          <w:tcPr>
            <w:tcW w:w="0" w:type="auto"/>
            <w:tcBorders>
              <w:top w:val="nil"/>
              <w:left w:val="nil"/>
              <w:bottom w:val="nil"/>
              <w:right w:val="nil"/>
            </w:tcBorders>
            <w:hideMark/>
          </w:tcPr>
          <w:p w14:paraId="62963C12"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2874CC22" w14:textId="77777777" w:rsidTr="005B6DEE">
        <w:trPr>
          <w:trHeight w:val="300"/>
        </w:trPr>
        <w:tc>
          <w:tcPr>
            <w:tcW w:w="13005" w:type="dxa"/>
            <w:gridSpan w:val="2"/>
            <w:tcBorders>
              <w:top w:val="nil"/>
              <w:left w:val="nil"/>
              <w:bottom w:val="single" w:sz="6" w:space="0" w:color="414142"/>
              <w:right w:val="nil"/>
            </w:tcBorders>
            <w:hideMark/>
          </w:tcPr>
          <w:p w14:paraId="575F752A" w14:textId="4318308A" w:rsidR="005B6DEE" w:rsidRPr="005B6DEE" w:rsidRDefault="001A05F0" w:rsidP="00B54C76">
            <w:pPr>
              <w:jc w:val="center"/>
              <w:rPr>
                <w:rFonts w:eastAsia="Times New Roman" w:cs="Times New Roman"/>
                <w:sz w:val="20"/>
                <w:szCs w:val="20"/>
                <w:lang w:eastAsia="lv-LV"/>
              </w:rPr>
            </w:pPr>
            <w:r w:rsidRPr="001A05F0">
              <w:rPr>
                <w:rFonts w:eastAsia="Times New Roman" w:cs="Times New Roman"/>
                <w:sz w:val="20"/>
                <w:szCs w:val="20"/>
                <w:lang w:eastAsia="lv-LV"/>
              </w:rPr>
              <w:t>Valsts kases Pārskatu departamenta direktores vietniece</w:t>
            </w:r>
          </w:p>
        </w:tc>
        <w:tc>
          <w:tcPr>
            <w:tcW w:w="0" w:type="auto"/>
            <w:tcBorders>
              <w:top w:val="nil"/>
              <w:left w:val="nil"/>
              <w:bottom w:val="nil"/>
              <w:right w:val="nil"/>
            </w:tcBorders>
            <w:hideMark/>
          </w:tcPr>
          <w:p w14:paraId="041EB0E4"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34471D3F" w14:textId="77777777" w:rsidTr="005B6DEE">
        <w:trPr>
          <w:trHeight w:val="300"/>
        </w:trPr>
        <w:tc>
          <w:tcPr>
            <w:tcW w:w="13005" w:type="dxa"/>
            <w:gridSpan w:val="2"/>
            <w:tcBorders>
              <w:top w:val="single" w:sz="6" w:space="0" w:color="414142"/>
              <w:left w:val="nil"/>
              <w:bottom w:val="nil"/>
              <w:right w:val="nil"/>
            </w:tcBorders>
            <w:hideMark/>
          </w:tcPr>
          <w:p w14:paraId="23C7FBC3" w14:textId="77777777" w:rsidR="005B6DEE" w:rsidRPr="005B6DEE" w:rsidRDefault="005B6DEE" w:rsidP="00164E8B">
            <w:pPr>
              <w:jc w:val="center"/>
              <w:rPr>
                <w:rFonts w:eastAsia="Times New Roman" w:cs="Times New Roman"/>
                <w:sz w:val="20"/>
                <w:szCs w:val="20"/>
                <w:lang w:eastAsia="lv-LV"/>
              </w:rPr>
            </w:pPr>
            <w:r w:rsidRPr="005B6DEE">
              <w:rPr>
                <w:rFonts w:eastAsia="Times New Roman" w:cs="Times New Roman"/>
                <w:sz w:val="20"/>
                <w:szCs w:val="20"/>
                <w:lang w:eastAsia="lv-LV"/>
              </w:rPr>
              <w:t>(</w:t>
            </w:r>
            <w:r w:rsidRPr="001A05F0">
              <w:rPr>
                <w:rFonts w:eastAsia="Times New Roman" w:cs="Times New Roman"/>
                <w:i/>
                <w:sz w:val="20"/>
                <w:szCs w:val="20"/>
                <w:lang w:eastAsia="lv-LV"/>
              </w:rPr>
              <w:t>amats</w:t>
            </w:r>
            <w:r w:rsidRPr="005B6DEE">
              <w:rPr>
                <w:rFonts w:eastAsia="Times New Roman" w:cs="Times New Roman"/>
                <w:sz w:val="20"/>
                <w:szCs w:val="20"/>
                <w:lang w:eastAsia="lv-LV"/>
              </w:rPr>
              <w:t>)</w:t>
            </w:r>
          </w:p>
        </w:tc>
        <w:tc>
          <w:tcPr>
            <w:tcW w:w="0" w:type="auto"/>
            <w:tcBorders>
              <w:top w:val="nil"/>
              <w:left w:val="nil"/>
              <w:bottom w:val="nil"/>
              <w:right w:val="nil"/>
            </w:tcBorders>
            <w:hideMark/>
          </w:tcPr>
          <w:p w14:paraId="4A121F49"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6C06C962" w14:textId="77777777" w:rsidTr="005B6DEE">
        <w:trPr>
          <w:trHeight w:val="300"/>
        </w:trPr>
        <w:tc>
          <w:tcPr>
            <w:tcW w:w="13005" w:type="dxa"/>
            <w:gridSpan w:val="2"/>
            <w:tcBorders>
              <w:top w:val="nil"/>
              <w:left w:val="nil"/>
              <w:bottom w:val="single" w:sz="6" w:space="0" w:color="414142"/>
              <w:right w:val="nil"/>
            </w:tcBorders>
            <w:hideMark/>
          </w:tcPr>
          <w:p w14:paraId="2739B8AE" w14:textId="0B45B722" w:rsidR="005B6DEE" w:rsidRPr="005B6DEE" w:rsidRDefault="001A05F0" w:rsidP="00164E8B">
            <w:pPr>
              <w:jc w:val="center"/>
              <w:rPr>
                <w:rFonts w:eastAsia="Times New Roman" w:cs="Times New Roman"/>
                <w:sz w:val="20"/>
                <w:szCs w:val="20"/>
                <w:lang w:eastAsia="lv-LV"/>
              </w:rPr>
            </w:pPr>
            <w:r>
              <w:rPr>
                <w:rFonts w:eastAsia="Times New Roman" w:cs="Times New Roman"/>
                <w:sz w:val="20"/>
                <w:szCs w:val="20"/>
                <w:lang w:eastAsia="lv-LV"/>
              </w:rPr>
              <w:t>67094210</w:t>
            </w:r>
          </w:p>
        </w:tc>
        <w:tc>
          <w:tcPr>
            <w:tcW w:w="0" w:type="auto"/>
            <w:tcBorders>
              <w:top w:val="nil"/>
              <w:left w:val="nil"/>
              <w:bottom w:val="nil"/>
              <w:right w:val="nil"/>
            </w:tcBorders>
            <w:hideMark/>
          </w:tcPr>
          <w:p w14:paraId="6C6EA6ED"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2F9C16D9" w14:textId="77777777" w:rsidTr="005B6DEE">
        <w:trPr>
          <w:trHeight w:val="300"/>
        </w:trPr>
        <w:tc>
          <w:tcPr>
            <w:tcW w:w="13005" w:type="dxa"/>
            <w:gridSpan w:val="2"/>
            <w:tcBorders>
              <w:top w:val="single" w:sz="6" w:space="0" w:color="414142"/>
              <w:left w:val="nil"/>
              <w:bottom w:val="nil"/>
              <w:right w:val="nil"/>
            </w:tcBorders>
            <w:hideMark/>
          </w:tcPr>
          <w:p w14:paraId="5B689508" w14:textId="77777777" w:rsidR="005B6DEE" w:rsidRPr="005B6DEE" w:rsidRDefault="005B6DEE" w:rsidP="00164E8B">
            <w:pPr>
              <w:jc w:val="center"/>
              <w:rPr>
                <w:rFonts w:eastAsia="Times New Roman" w:cs="Times New Roman"/>
                <w:sz w:val="20"/>
                <w:szCs w:val="20"/>
                <w:lang w:eastAsia="lv-LV"/>
              </w:rPr>
            </w:pPr>
            <w:r w:rsidRPr="005B6DEE">
              <w:rPr>
                <w:rFonts w:eastAsia="Times New Roman" w:cs="Times New Roman"/>
                <w:sz w:val="20"/>
                <w:szCs w:val="20"/>
                <w:lang w:eastAsia="lv-LV"/>
              </w:rPr>
              <w:t>(</w:t>
            </w:r>
            <w:r w:rsidRPr="001A05F0">
              <w:rPr>
                <w:rFonts w:eastAsia="Times New Roman" w:cs="Times New Roman"/>
                <w:i/>
                <w:sz w:val="20"/>
                <w:szCs w:val="20"/>
                <w:lang w:eastAsia="lv-LV"/>
              </w:rPr>
              <w:t>tālruņa un faksa numurs</w:t>
            </w:r>
            <w:r w:rsidRPr="005B6DEE">
              <w:rPr>
                <w:rFonts w:eastAsia="Times New Roman" w:cs="Times New Roman"/>
                <w:sz w:val="20"/>
                <w:szCs w:val="20"/>
                <w:lang w:eastAsia="lv-LV"/>
              </w:rPr>
              <w:t>)</w:t>
            </w:r>
          </w:p>
        </w:tc>
        <w:tc>
          <w:tcPr>
            <w:tcW w:w="0" w:type="auto"/>
            <w:tcBorders>
              <w:top w:val="nil"/>
              <w:left w:val="nil"/>
              <w:bottom w:val="nil"/>
              <w:right w:val="nil"/>
            </w:tcBorders>
            <w:hideMark/>
          </w:tcPr>
          <w:p w14:paraId="562A4B6A"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3158A6C1" w14:textId="77777777" w:rsidTr="005B6DEE">
        <w:trPr>
          <w:trHeight w:val="300"/>
        </w:trPr>
        <w:tc>
          <w:tcPr>
            <w:tcW w:w="13005" w:type="dxa"/>
            <w:gridSpan w:val="2"/>
            <w:tcBorders>
              <w:top w:val="nil"/>
              <w:left w:val="nil"/>
              <w:bottom w:val="single" w:sz="6" w:space="0" w:color="414142"/>
              <w:right w:val="nil"/>
            </w:tcBorders>
            <w:hideMark/>
          </w:tcPr>
          <w:p w14:paraId="1225478B" w14:textId="12DBCD77" w:rsidR="005B6DEE" w:rsidRPr="005B6DEE" w:rsidRDefault="00A06CB0" w:rsidP="00164E8B">
            <w:pPr>
              <w:jc w:val="center"/>
              <w:rPr>
                <w:rFonts w:eastAsia="Times New Roman" w:cs="Times New Roman"/>
                <w:sz w:val="20"/>
                <w:szCs w:val="20"/>
                <w:lang w:eastAsia="lv-LV"/>
              </w:rPr>
            </w:pPr>
            <w:hyperlink r:id="rId11" w:history="1"/>
            <w:r w:rsidR="001A05F0" w:rsidRPr="001A05F0">
              <w:rPr>
                <w:rFonts w:eastAsia="Times New Roman" w:cs="Times New Roman"/>
                <w:sz w:val="20"/>
                <w:szCs w:val="20"/>
                <w:lang w:eastAsia="lv-LV"/>
              </w:rPr>
              <w:t xml:space="preserve"> irena.suksta@kase.gov.lv</w:t>
            </w:r>
          </w:p>
        </w:tc>
        <w:tc>
          <w:tcPr>
            <w:tcW w:w="0" w:type="auto"/>
            <w:tcBorders>
              <w:top w:val="nil"/>
              <w:left w:val="nil"/>
              <w:bottom w:val="nil"/>
              <w:right w:val="nil"/>
            </w:tcBorders>
            <w:hideMark/>
          </w:tcPr>
          <w:p w14:paraId="3B3668A0"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r w:rsidR="00517294" w:rsidRPr="005B6DEE" w14:paraId="02435CA0" w14:textId="77777777" w:rsidTr="005B6DEE">
        <w:trPr>
          <w:trHeight w:val="300"/>
        </w:trPr>
        <w:tc>
          <w:tcPr>
            <w:tcW w:w="13005" w:type="dxa"/>
            <w:gridSpan w:val="2"/>
            <w:tcBorders>
              <w:top w:val="single" w:sz="6" w:space="0" w:color="414142"/>
              <w:left w:val="nil"/>
              <w:bottom w:val="nil"/>
              <w:right w:val="nil"/>
            </w:tcBorders>
            <w:hideMark/>
          </w:tcPr>
          <w:p w14:paraId="310211C8" w14:textId="77777777" w:rsidR="005B6DEE" w:rsidRPr="005B6DEE" w:rsidRDefault="005B6DEE" w:rsidP="005B6DEE">
            <w:pPr>
              <w:jc w:val="center"/>
              <w:rPr>
                <w:rFonts w:eastAsia="Times New Roman" w:cs="Times New Roman"/>
                <w:sz w:val="20"/>
                <w:szCs w:val="20"/>
                <w:lang w:eastAsia="lv-LV"/>
              </w:rPr>
            </w:pPr>
            <w:r w:rsidRPr="005B6DEE">
              <w:rPr>
                <w:rFonts w:eastAsia="Times New Roman" w:cs="Times New Roman"/>
                <w:sz w:val="20"/>
                <w:szCs w:val="20"/>
                <w:lang w:eastAsia="lv-LV"/>
              </w:rPr>
              <w:t>(</w:t>
            </w:r>
            <w:r w:rsidRPr="001A05F0">
              <w:rPr>
                <w:rFonts w:eastAsia="Times New Roman" w:cs="Times New Roman"/>
                <w:i/>
                <w:sz w:val="20"/>
                <w:szCs w:val="20"/>
                <w:lang w:eastAsia="lv-LV"/>
              </w:rPr>
              <w:t>e-pasta adrese</w:t>
            </w:r>
            <w:r w:rsidRPr="005B6DEE">
              <w:rPr>
                <w:rFonts w:eastAsia="Times New Roman" w:cs="Times New Roman"/>
                <w:sz w:val="20"/>
                <w:szCs w:val="20"/>
                <w:lang w:eastAsia="lv-LV"/>
              </w:rPr>
              <w:t>)</w:t>
            </w:r>
          </w:p>
        </w:tc>
        <w:tc>
          <w:tcPr>
            <w:tcW w:w="0" w:type="auto"/>
            <w:tcBorders>
              <w:top w:val="nil"/>
              <w:left w:val="nil"/>
              <w:bottom w:val="nil"/>
              <w:right w:val="nil"/>
            </w:tcBorders>
            <w:hideMark/>
          </w:tcPr>
          <w:p w14:paraId="3770ED10" w14:textId="77777777" w:rsidR="005B6DEE" w:rsidRPr="005B6DEE" w:rsidRDefault="005B6DEE" w:rsidP="005B6DEE">
            <w:pPr>
              <w:rPr>
                <w:rFonts w:eastAsia="Times New Roman" w:cs="Times New Roman"/>
                <w:sz w:val="20"/>
                <w:szCs w:val="20"/>
                <w:lang w:eastAsia="lv-LV"/>
              </w:rPr>
            </w:pPr>
            <w:r w:rsidRPr="005B6DEE">
              <w:rPr>
                <w:rFonts w:eastAsia="Times New Roman" w:cs="Times New Roman"/>
                <w:sz w:val="20"/>
                <w:szCs w:val="20"/>
                <w:lang w:eastAsia="lv-LV"/>
              </w:rPr>
              <w:t> </w:t>
            </w:r>
          </w:p>
        </w:tc>
      </w:tr>
    </w:tbl>
    <w:p w14:paraId="6D45297C" w14:textId="77777777" w:rsidR="00247B1E" w:rsidRPr="00517294" w:rsidRDefault="00247B1E">
      <w:pPr>
        <w:rPr>
          <w:rFonts w:cs="Times New Roman"/>
        </w:rPr>
      </w:pPr>
    </w:p>
    <w:sectPr w:rsidR="00247B1E" w:rsidRPr="00517294" w:rsidSect="00725E65">
      <w:headerReference w:type="default" r:id="rId12"/>
      <w:footerReference w:type="default" r:id="rId13"/>
      <w:footerReference w:type="first" r:id="rId14"/>
      <w:pgSz w:w="16838" w:h="11906" w:orient="landscape"/>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9D65F6" w16cid:durableId="222F37AE"/>
  <w16cid:commentId w16cid:paraId="0ECC8DBA" w16cid:durableId="222F0E95"/>
  <w16cid:commentId w16cid:paraId="77BDFEAC" w16cid:durableId="222F3834"/>
  <w16cid:commentId w16cid:paraId="644954F3" w16cid:durableId="222F3919"/>
  <w16cid:commentId w16cid:paraId="7CCDA38D" w16cid:durableId="222F3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7F31" w14:textId="77777777" w:rsidR="00A06CB0" w:rsidRDefault="00A06CB0" w:rsidP="00E06353">
      <w:r>
        <w:separator/>
      </w:r>
    </w:p>
  </w:endnote>
  <w:endnote w:type="continuationSeparator" w:id="0">
    <w:p w14:paraId="1513D5CD" w14:textId="77777777" w:rsidR="00A06CB0" w:rsidRDefault="00A06CB0" w:rsidP="00E06353">
      <w:r>
        <w:continuationSeparator/>
      </w:r>
    </w:p>
  </w:endnote>
  <w:endnote w:type="continuationNotice" w:id="1">
    <w:p w14:paraId="0A7DD77E" w14:textId="77777777" w:rsidR="00A06CB0" w:rsidRDefault="00A06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D275" w14:textId="6B652EC4" w:rsidR="00A06CB0" w:rsidRPr="003135FE" w:rsidRDefault="00A06CB0" w:rsidP="003135FE">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FMIzz_</w:t>
    </w:r>
    <w:r w:rsidR="00651D9E">
      <w:rPr>
        <w:noProof/>
        <w:sz w:val="20"/>
        <w:szCs w:val="20"/>
      </w:rPr>
      <w:t>0806</w:t>
    </w:r>
    <w:r>
      <w:rPr>
        <w:noProof/>
        <w:sz w:val="20"/>
        <w:szCs w:val="20"/>
      </w:rPr>
      <w:t>20_SGP</w:t>
    </w:r>
    <w:r>
      <w:rPr>
        <w:sz w:val="20"/>
        <w:szCs w:val="20"/>
      </w:rPr>
      <w:fldChar w:fldCharType="end"/>
    </w:r>
    <w:r>
      <w:rPr>
        <w:sz w:val="20"/>
        <w:szCs w:val="20"/>
      </w:rPr>
      <w:t>not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278B" w14:textId="23C00107" w:rsidR="00A06CB0" w:rsidRDefault="00A06CB0">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FMIzz_</w:t>
    </w:r>
    <w:r w:rsidR="00651D9E">
      <w:rPr>
        <w:noProof/>
        <w:sz w:val="20"/>
        <w:szCs w:val="20"/>
      </w:rPr>
      <w:t>0806</w:t>
    </w:r>
    <w:r>
      <w:rPr>
        <w:noProof/>
        <w:sz w:val="20"/>
        <w:szCs w:val="20"/>
      </w:rPr>
      <w:t>20_SGPnot</w:t>
    </w:r>
    <w:r>
      <w:rPr>
        <w:sz w:val="20"/>
        <w:szCs w:val="20"/>
      </w:rPr>
      <w:fldChar w:fldCharType="end"/>
    </w:r>
  </w:p>
  <w:p w14:paraId="406F581F" w14:textId="77777777" w:rsidR="00A06CB0" w:rsidRPr="00120A31" w:rsidRDefault="00A06CB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EB16B" w14:textId="77777777" w:rsidR="00A06CB0" w:rsidRDefault="00A06CB0" w:rsidP="00E06353">
      <w:r>
        <w:separator/>
      </w:r>
    </w:p>
  </w:footnote>
  <w:footnote w:type="continuationSeparator" w:id="0">
    <w:p w14:paraId="4847EEBA" w14:textId="77777777" w:rsidR="00A06CB0" w:rsidRDefault="00A06CB0" w:rsidP="00E06353">
      <w:r>
        <w:continuationSeparator/>
      </w:r>
    </w:p>
  </w:footnote>
  <w:footnote w:type="continuationNotice" w:id="1">
    <w:p w14:paraId="6FB35627" w14:textId="77777777" w:rsidR="00A06CB0" w:rsidRDefault="00A06CB0"/>
  </w:footnote>
  <w:footnote w:id="2">
    <w:p w14:paraId="057F1B6C" w14:textId="77777777" w:rsidR="00A06CB0" w:rsidRDefault="00A06CB0" w:rsidP="008F6C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31660"/>
      <w:docPartObj>
        <w:docPartGallery w:val="Page Numbers (Top of Page)"/>
        <w:docPartUnique/>
      </w:docPartObj>
    </w:sdtPr>
    <w:sdtEndPr>
      <w:rPr>
        <w:noProof/>
      </w:rPr>
    </w:sdtEndPr>
    <w:sdtContent>
      <w:p w14:paraId="19E74313" w14:textId="24F9EBE8" w:rsidR="00A06CB0" w:rsidRDefault="00A06CB0">
        <w:pPr>
          <w:pStyle w:val="Header"/>
          <w:jc w:val="center"/>
        </w:pPr>
        <w:r>
          <w:fldChar w:fldCharType="begin"/>
        </w:r>
        <w:r>
          <w:instrText xml:space="preserve"> PAGE   \* MERGEFORMAT </w:instrText>
        </w:r>
        <w:r>
          <w:fldChar w:fldCharType="separate"/>
        </w:r>
        <w:r w:rsidR="001539CB">
          <w:rPr>
            <w:noProof/>
          </w:rPr>
          <w:t>3</w:t>
        </w:r>
        <w:r>
          <w:rPr>
            <w:noProof/>
          </w:rPr>
          <w:fldChar w:fldCharType="end"/>
        </w:r>
      </w:p>
    </w:sdtContent>
  </w:sdt>
  <w:p w14:paraId="5804E3E7" w14:textId="77777777" w:rsidR="00A06CB0" w:rsidRDefault="00A06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837"/>
    <w:multiLevelType w:val="hybridMultilevel"/>
    <w:tmpl w:val="0262DFE0"/>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1" w15:restartNumberingAfterBreak="0">
    <w:nsid w:val="06214E30"/>
    <w:multiLevelType w:val="hybridMultilevel"/>
    <w:tmpl w:val="B128FC62"/>
    <w:lvl w:ilvl="0" w:tplc="93E643AE">
      <w:numFmt w:val="bullet"/>
      <w:lvlText w:val="–"/>
      <w:lvlJc w:val="left"/>
      <w:pPr>
        <w:ind w:left="688" w:hanging="360"/>
      </w:pPr>
      <w:rPr>
        <w:rFonts w:ascii="Times New Roman" w:eastAsia="Times New Roman" w:hAnsi="Times New Roman" w:cs="Times New Roman" w:hint="default"/>
      </w:rPr>
    </w:lvl>
    <w:lvl w:ilvl="1" w:tplc="04260003">
      <w:start w:val="1"/>
      <w:numFmt w:val="bullet"/>
      <w:lvlText w:val="o"/>
      <w:lvlJc w:val="left"/>
      <w:pPr>
        <w:ind w:left="1408" w:hanging="360"/>
      </w:pPr>
      <w:rPr>
        <w:rFonts w:ascii="Courier New" w:hAnsi="Courier New" w:cs="Courier New" w:hint="default"/>
      </w:rPr>
    </w:lvl>
    <w:lvl w:ilvl="2" w:tplc="04260005" w:tentative="1">
      <w:start w:val="1"/>
      <w:numFmt w:val="bullet"/>
      <w:lvlText w:val=""/>
      <w:lvlJc w:val="left"/>
      <w:pPr>
        <w:ind w:left="2128" w:hanging="360"/>
      </w:pPr>
      <w:rPr>
        <w:rFonts w:ascii="Wingdings" w:hAnsi="Wingdings" w:hint="default"/>
      </w:rPr>
    </w:lvl>
    <w:lvl w:ilvl="3" w:tplc="04260001" w:tentative="1">
      <w:start w:val="1"/>
      <w:numFmt w:val="bullet"/>
      <w:lvlText w:val=""/>
      <w:lvlJc w:val="left"/>
      <w:pPr>
        <w:ind w:left="2848" w:hanging="360"/>
      </w:pPr>
      <w:rPr>
        <w:rFonts w:ascii="Symbol" w:hAnsi="Symbol" w:hint="default"/>
      </w:rPr>
    </w:lvl>
    <w:lvl w:ilvl="4" w:tplc="04260003" w:tentative="1">
      <w:start w:val="1"/>
      <w:numFmt w:val="bullet"/>
      <w:lvlText w:val="o"/>
      <w:lvlJc w:val="left"/>
      <w:pPr>
        <w:ind w:left="3568" w:hanging="360"/>
      </w:pPr>
      <w:rPr>
        <w:rFonts w:ascii="Courier New" w:hAnsi="Courier New" w:cs="Courier New" w:hint="default"/>
      </w:rPr>
    </w:lvl>
    <w:lvl w:ilvl="5" w:tplc="04260005" w:tentative="1">
      <w:start w:val="1"/>
      <w:numFmt w:val="bullet"/>
      <w:lvlText w:val=""/>
      <w:lvlJc w:val="left"/>
      <w:pPr>
        <w:ind w:left="4288" w:hanging="360"/>
      </w:pPr>
      <w:rPr>
        <w:rFonts w:ascii="Wingdings" w:hAnsi="Wingdings" w:hint="default"/>
      </w:rPr>
    </w:lvl>
    <w:lvl w:ilvl="6" w:tplc="04260001" w:tentative="1">
      <w:start w:val="1"/>
      <w:numFmt w:val="bullet"/>
      <w:lvlText w:val=""/>
      <w:lvlJc w:val="left"/>
      <w:pPr>
        <w:ind w:left="5008" w:hanging="360"/>
      </w:pPr>
      <w:rPr>
        <w:rFonts w:ascii="Symbol" w:hAnsi="Symbol" w:hint="default"/>
      </w:rPr>
    </w:lvl>
    <w:lvl w:ilvl="7" w:tplc="04260003" w:tentative="1">
      <w:start w:val="1"/>
      <w:numFmt w:val="bullet"/>
      <w:lvlText w:val="o"/>
      <w:lvlJc w:val="left"/>
      <w:pPr>
        <w:ind w:left="5728" w:hanging="360"/>
      </w:pPr>
      <w:rPr>
        <w:rFonts w:ascii="Courier New" w:hAnsi="Courier New" w:cs="Courier New" w:hint="default"/>
      </w:rPr>
    </w:lvl>
    <w:lvl w:ilvl="8" w:tplc="04260005" w:tentative="1">
      <w:start w:val="1"/>
      <w:numFmt w:val="bullet"/>
      <w:lvlText w:val=""/>
      <w:lvlJc w:val="left"/>
      <w:pPr>
        <w:ind w:left="6448" w:hanging="360"/>
      </w:pPr>
      <w:rPr>
        <w:rFonts w:ascii="Wingdings" w:hAnsi="Wingdings" w:hint="default"/>
      </w:rPr>
    </w:lvl>
  </w:abstractNum>
  <w:abstractNum w:abstractNumId="2" w15:restartNumberingAfterBreak="0">
    <w:nsid w:val="083B5F04"/>
    <w:multiLevelType w:val="multilevel"/>
    <w:tmpl w:val="C7D25FD4"/>
    <w:lvl w:ilvl="0">
      <w:start w:val="6"/>
      <w:numFmt w:val="decimal"/>
      <w:lvlText w:val="%1."/>
      <w:lvlJc w:val="left"/>
      <w:pPr>
        <w:ind w:left="450" w:hanging="450"/>
      </w:pPr>
      <w:rPr>
        <w:rFonts w:hint="default"/>
      </w:rPr>
    </w:lvl>
    <w:lvl w:ilvl="1">
      <w:start w:val="1"/>
      <w:numFmt w:val="bullet"/>
      <w:lvlText w:val=""/>
      <w:lvlJc w:val="left"/>
      <w:pPr>
        <w:ind w:left="1455" w:hanging="720"/>
      </w:pPr>
      <w:rPr>
        <w:rFonts w:ascii="Symbol" w:hAnsi="Symbol" w:hint="default"/>
      </w:rPr>
    </w:lvl>
    <w:lvl w:ilvl="2">
      <w:start w:val="1"/>
      <w:numFmt w:val="decimal"/>
      <w:lvlText w:val="%1.%2.%3."/>
      <w:lvlJc w:val="left"/>
      <w:pPr>
        <w:ind w:left="2164" w:hanging="720"/>
      </w:pPr>
      <w:rPr>
        <w:rFonts w:hint="default"/>
      </w:rPr>
    </w:lvl>
    <w:lvl w:ilvl="3">
      <w:start w:val="1"/>
      <w:numFmt w:val="decimal"/>
      <w:lvlText w:val="%1.%2.%3.%4."/>
      <w:lvlJc w:val="left"/>
      <w:pPr>
        <w:ind w:left="3233" w:hanging="108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5011" w:hanging="1440"/>
      </w:pPr>
      <w:rPr>
        <w:rFonts w:hint="default"/>
      </w:rPr>
    </w:lvl>
    <w:lvl w:ilvl="6">
      <w:start w:val="1"/>
      <w:numFmt w:val="decimal"/>
      <w:lvlText w:val="%1.%2.%3.%4.%5.%6.%7."/>
      <w:lvlJc w:val="left"/>
      <w:pPr>
        <w:ind w:left="6080" w:hanging="1800"/>
      </w:pPr>
      <w:rPr>
        <w:rFonts w:hint="default"/>
      </w:rPr>
    </w:lvl>
    <w:lvl w:ilvl="7">
      <w:start w:val="1"/>
      <w:numFmt w:val="decimal"/>
      <w:lvlText w:val="%1.%2.%3.%4.%5.%6.%7.%8."/>
      <w:lvlJc w:val="left"/>
      <w:pPr>
        <w:ind w:left="6789" w:hanging="1800"/>
      </w:pPr>
      <w:rPr>
        <w:rFonts w:hint="default"/>
      </w:rPr>
    </w:lvl>
    <w:lvl w:ilvl="8">
      <w:start w:val="1"/>
      <w:numFmt w:val="decimal"/>
      <w:lvlText w:val="%1.%2.%3.%4.%5.%6.%7.%8.%9."/>
      <w:lvlJc w:val="left"/>
      <w:pPr>
        <w:ind w:left="7858" w:hanging="2160"/>
      </w:pPr>
      <w:rPr>
        <w:rFonts w:hint="default"/>
      </w:rPr>
    </w:lvl>
  </w:abstractNum>
  <w:abstractNum w:abstractNumId="3" w15:restartNumberingAfterBreak="0">
    <w:nsid w:val="0C5140C2"/>
    <w:multiLevelType w:val="hybridMultilevel"/>
    <w:tmpl w:val="204A12A4"/>
    <w:lvl w:ilvl="0" w:tplc="04260003">
      <w:start w:val="1"/>
      <w:numFmt w:val="bullet"/>
      <w:lvlText w:val="o"/>
      <w:lvlJc w:val="left"/>
      <w:pPr>
        <w:ind w:left="688" w:hanging="360"/>
      </w:pPr>
      <w:rPr>
        <w:rFonts w:ascii="Courier New" w:hAnsi="Courier New" w:cs="Courier New" w:hint="default"/>
      </w:rPr>
    </w:lvl>
    <w:lvl w:ilvl="1" w:tplc="04260003">
      <w:start w:val="1"/>
      <w:numFmt w:val="bullet"/>
      <w:lvlText w:val="o"/>
      <w:lvlJc w:val="left"/>
      <w:pPr>
        <w:ind w:left="1408" w:hanging="360"/>
      </w:pPr>
      <w:rPr>
        <w:rFonts w:ascii="Courier New" w:hAnsi="Courier New" w:cs="Courier New" w:hint="default"/>
      </w:rPr>
    </w:lvl>
    <w:lvl w:ilvl="2" w:tplc="04260005" w:tentative="1">
      <w:start w:val="1"/>
      <w:numFmt w:val="bullet"/>
      <w:lvlText w:val=""/>
      <w:lvlJc w:val="left"/>
      <w:pPr>
        <w:ind w:left="2128" w:hanging="360"/>
      </w:pPr>
      <w:rPr>
        <w:rFonts w:ascii="Wingdings" w:hAnsi="Wingdings" w:hint="default"/>
      </w:rPr>
    </w:lvl>
    <w:lvl w:ilvl="3" w:tplc="04260001" w:tentative="1">
      <w:start w:val="1"/>
      <w:numFmt w:val="bullet"/>
      <w:lvlText w:val=""/>
      <w:lvlJc w:val="left"/>
      <w:pPr>
        <w:ind w:left="2848" w:hanging="360"/>
      </w:pPr>
      <w:rPr>
        <w:rFonts w:ascii="Symbol" w:hAnsi="Symbol" w:hint="default"/>
      </w:rPr>
    </w:lvl>
    <w:lvl w:ilvl="4" w:tplc="04260003" w:tentative="1">
      <w:start w:val="1"/>
      <w:numFmt w:val="bullet"/>
      <w:lvlText w:val="o"/>
      <w:lvlJc w:val="left"/>
      <w:pPr>
        <w:ind w:left="3568" w:hanging="360"/>
      </w:pPr>
      <w:rPr>
        <w:rFonts w:ascii="Courier New" w:hAnsi="Courier New" w:cs="Courier New" w:hint="default"/>
      </w:rPr>
    </w:lvl>
    <w:lvl w:ilvl="5" w:tplc="04260005" w:tentative="1">
      <w:start w:val="1"/>
      <w:numFmt w:val="bullet"/>
      <w:lvlText w:val=""/>
      <w:lvlJc w:val="left"/>
      <w:pPr>
        <w:ind w:left="4288" w:hanging="360"/>
      </w:pPr>
      <w:rPr>
        <w:rFonts w:ascii="Wingdings" w:hAnsi="Wingdings" w:hint="default"/>
      </w:rPr>
    </w:lvl>
    <w:lvl w:ilvl="6" w:tplc="04260001" w:tentative="1">
      <w:start w:val="1"/>
      <w:numFmt w:val="bullet"/>
      <w:lvlText w:val=""/>
      <w:lvlJc w:val="left"/>
      <w:pPr>
        <w:ind w:left="5008" w:hanging="360"/>
      </w:pPr>
      <w:rPr>
        <w:rFonts w:ascii="Symbol" w:hAnsi="Symbol" w:hint="default"/>
      </w:rPr>
    </w:lvl>
    <w:lvl w:ilvl="7" w:tplc="04260003" w:tentative="1">
      <w:start w:val="1"/>
      <w:numFmt w:val="bullet"/>
      <w:lvlText w:val="o"/>
      <w:lvlJc w:val="left"/>
      <w:pPr>
        <w:ind w:left="5728" w:hanging="360"/>
      </w:pPr>
      <w:rPr>
        <w:rFonts w:ascii="Courier New" w:hAnsi="Courier New" w:cs="Courier New" w:hint="default"/>
      </w:rPr>
    </w:lvl>
    <w:lvl w:ilvl="8" w:tplc="04260005" w:tentative="1">
      <w:start w:val="1"/>
      <w:numFmt w:val="bullet"/>
      <w:lvlText w:val=""/>
      <w:lvlJc w:val="left"/>
      <w:pPr>
        <w:ind w:left="6448" w:hanging="360"/>
      </w:pPr>
      <w:rPr>
        <w:rFonts w:ascii="Wingdings" w:hAnsi="Wingdings" w:hint="default"/>
      </w:rPr>
    </w:lvl>
  </w:abstractNum>
  <w:abstractNum w:abstractNumId="4" w15:restartNumberingAfterBreak="0">
    <w:nsid w:val="1C442048"/>
    <w:multiLevelType w:val="multilevel"/>
    <w:tmpl w:val="50068A0A"/>
    <w:lvl w:ilvl="0">
      <w:start w:val="1"/>
      <w:numFmt w:val="decimal"/>
      <w:lvlText w:val="%1."/>
      <w:lvlJc w:val="left"/>
      <w:pPr>
        <w:ind w:left="1069" w:hanging="36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F0F2DAC"/>
    <w:multiLevelType w:val="hybridMultilevel"/>
    <w:tmpl w:val="947CDE96"/>
    <w:lvl w:ilvl="0" w:tplc="93E643AE">
      <w:numFmt w:val="bullet"/>
      <w:lvlText w:val="–"/>
      <w:lvlJc w:val="left"/>
      <w:pPr>
        <w:ind w:left="1110" w:hanging="360"/>
      </w:pPr>
      <w:rPr>
        <w:rFonts w:ascii="Times New Roman" w:eastAsia="Times New Roman" w:hAnsi="Times New Roman" w:cs="Times New Roman" w:hint="default"/>
      </w:rPr>
    </w:lvl>
    <w:lvl w:ilvl="1" w:tplc="04260003">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6" w15:restartNumberingAfterBreak="0">
    <w:nsid w:val="241E432D"/>
    <w:multiLevelType w:val="hybridMultilevel"/>
    <w:tmpl w:val="658AC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41BB"/>
    <w:multiLevelType w:val="hybridMultilevel"/>
    <w:tmpl w:val="E77ADCF6"/>
    <w:lvl w:ilvl="0" w:tplc="04260001">
      <w:start w:val="1"/>
      <w:numFmt w:val="bullet"/>
      <w:lvlText w:val=""/>
      <w:lvlJc w:val="left"/>
      <w:pPr>
        <w:ind w:left="980" w:hanging="360"/>
      </w:pPr>
      <w:rPr>
        <w:rFonts w:ascii="Symbol" w:hAnsi="Symbol" w:hint="default"/>
      </w:rPr>
    </w:lvl>
    <w:lvl w:ilvl="1" w:tplc="04260003" w:tentative="1">
      <w:start w:val="1"/>
      <w:numFmt w:val="bullet"/>
      <w:lvlText w:val="o"/>
      <w:lvlJc w:val="left"/>
      <w:pPr>
        <w:ind w:left="1700" w:hanging="360"/>
      </w:pPr>
      <w:rPr>
        <w:rFonts w:ascii="Courier New" w:hAnsi="Courier New" w:cs="Courier New" w:hint="default"/>
      </w:rPr>
    </w:lvl>
    <w:lvl w:ilvl="2" w:tplc="04260005" w:tentative="1">
      <w:start w:val="1"/>
      <w:numFmt w:val="bullet"/>
      <w:lvlText w:val=""/>
      <w:lvlJc w:val="left"/>
      <w:pPr>
        <w:ind w:left="2420" w:hanging="360"/>
      </w:pPr>
      <w:rPr>
        <w:rFonts w:ascii="Wingdings" w:hAnsi="Wingdings" w:hint="default"/>
      </w:rPr>
    </w:lvl>
    <w:lvl w:ilvl="3" w:tplc="04260001" w:tentative="1">
      <w:start w:val="1"/>
      <w:numFmt w:val="bullet"/>
      <w:lvlText w:val=""/>
      <w:lvlJc w:val="left"/>
      <w:pPr>
        <w:ind w:left="3140" w:hanging="360"/>
      </w:pPr>
      <w:rPr>
        <w:rFonts w:ascii="Symbol" w:hAnsi="Symbol" w:hint="default"/>
      </w:rPr>
    </w:lvl>
    <w:lvl w:ilvl="4" w:tplc="04260003" w:tentative="1">
      <w:start w:val="1"/>
      <w:numFmt w:val="bullet"/>
      <w:lvlText w:val="o"/>
      <w:lvlJc w:val="left"/>
      <w:pPr>
        <w:ind w:left="3860" w:hanging="360"/>
      </w:pPr>
      <w:rPr>
        <w:rFonts w:ascii="Courier New" w:hAnsi="Courier New" w:cs="Courier New" w:hint="default"/>
      </w:rPr>
    </w:lvl>
    <w:lvl w:ilvl="5" w:tplc="04260005" w:tentative="1">
      <w:start w:val="1"/>
      <w:numFmt w:val="bullet"/>
      <w:lvlText w:val=""/>
      <w:lvlJc w:val="left"/>
      <w:pPr>
        <w:ind w:left="4580" w:hanging="360"/>
      </w:pPr>
      <w:rPr>
        <w:rFonts w:ascii="Wingdings" w:hAnsi="Wingdings" w:hint="default"/>
      </w:rPr>
    </w:lvl>
    <w:lvl w:ilvl="6" w:tplc="04260001" w:tentative="1">
      <w:start w:val="1"/>
      <w:numFmt w:val="bullet"/>
      <w:lvlText w:val=""/>
      <w:lvlJc w:val="left"/>
      <w:pPr>
        <w:ind w:left="5300" w:hanging="360"/>
      </w:pPr>
      <w:rPr>
        <w:rFonts w:ascii="Symbol" w:hAnsi="Symbol" w:hint="default"/>
      </w:rPr>
    </w:lvl>
    <w:lvl w:ilvl="7" w:tplc="04260003" w:tentative="1">
      <w:start w:val="1"/>
      <w:numFmt w:val="bullet"/>
      <w:lvlText w:val="o"/>
      <w:lvlJc w:val="left"/>
      <w:pPr>
        <w:ind w:left="6020" w:hanging="360"/>
      </w:pPr>
      <w:rPr>
        <w:rFonts w:ascii="Courier New" w:hAnsi="Courier New" w:cs="Courier New" w:hint="default"/>
      </w:rPr>
    </w:lvl>
    <w:lvl w:ilvl="8" w:tplc="04260005" w:tentative="1">
      <w:start w:val="1"/>
      <w:numFmt w:val="bullet"/>
      <w:lvlText w:val=""/>
      <w:lvlJc w:val="left"/>
      <w:pPr>
        <w:ind w:left="6740" w:hanging="360"/>
      </w:pPr>
      <w:rPr>
        <w:rFonts w:ascii="Wingdings" w:hAnsi="Wingdings" w:hint="default"/>
      </w:rPr>
    </w:lvl>
  </w:abstractNum>
  <w:abstractNum w:abstractNumId="8" w15:restartNumberingAfterBreak="0">
    <w:nsid w:val="38025C6B"/>
    <w:multiLevelType w:val="hybridMultilevel"/>
    <w:tmpl w:val="8C2AC158"/>
    <w:lvl w:ilvl="0" w:tplc="04260003">
      <w:start w:val="1"/>
      <w:numFmt w:val="bullet"/>
      <w:lvlText w:val="o"/>
      <w:lvlJc w:val="left"/>
      <w:pPr>
        <w:ind w:left="1123" w:hanging="360"/>
      </w:pPr>
      <w:rPr>
        <w:rFonts w:ascii="Courier New" w:hAnsi="Courier New" w:cs="Courier New"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9" w15:restartNumberingAfterBreak="0">
    <w:nsid w:val="3A51695C"/>
    <w:multiLevelType w:val="hybridMultilevel"/>
    <w:tmpl w:val="6A20D528"/>
    <w:lvl w:ilvl="0" w:tplc="93E643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4879F7"/>
    <w:multiLevelType w:val="hybridMultilevel"/>
    <w:tmpl w:val="7EBEA1E8"/>
    <w:lvl w:ilvl="0" w:tplc="93E643AE">
      <w:numFmt w:val="bullet"/>
      <w:lvlText w:val="–"/>
      <w:lvlJc w:val="left"/>
      <w:pPr>
        <w:ind w:left="1060" w:hanging="360"/>
      </w:pPr>
      <w:rPr>
        <w:rFonts w:ascii="Times New Roman" w:eastAsia="Times New Roman" w:hAnsi="Times New Roman" w:cs="Times New Roman"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11" w15:restartNumberingAfterBreak="0">
    <w:nsid w:val="42644B8C"/>
    <w:multiLevelType w:val="hybridMultilevel"/>
    <w:tmpl w:val="DC72BF1C"/>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6527D4C"/>
    <w:multiLevelType w:val="hybridMultilevel"/>
    <w:tmpl w:val="64FA4FCC"/>
    <w:lvl w:ilvl="0" w:tplc="93E643AE">
      <w:numFmt w:val="bullet"/>
      <w:lvlText w:val="–"/>
      <w:lvlJc w:val="left"/>
      <w:pPr>
        <w:ind w:left="1151" w:hanging="360"/>
      </w:pPr>
      <w:rPr>
        <w:rFonts w:ascii="Times New Roman" w:eastAsia="Times New Roman" w:hAnsi="Times New Roman" w:cs="Times New Roman" w:hint="default"/>
      </w:rPr>
    </w:lvl>
    <w:lvl w:ilvl="1" w:tplc="04260003">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abstractNum w:abstractNumId="13" w15:restartNumberingAfterBreak="0">
    <w:nsid w:val="49AF7A9C"/>
    <w:multiLevelType w:val="hybridMultilevel"/>
    <w:tmpl w:val="DC8EEF4E"/>
    <w:lvl w:ilvl="0" w:tplc="93E643AE">
      <w:numFmt w:val="bullet"/>
      <w:lvlText w:val="–"/>
      <w:lvlJc w:val="left"/>
      <w:pPr>
        <w:ind w:left="700" w:hanging="360"/>
      </w:pPr>
      <w:rPr>
        <w:rFonts w:ascii="Times New Roman" w:eastAsia="Times New Roman" w:hAnsi="Times New Roman" w:cs="Times New Roman" w:hint="default"/>
      </w:rPr>
    </w:lvl>
    <w:lvl w:ilvl="1" w:tplc="04260003">
      <w:start w:val="1"/>
      <w:numFmt w:val="bullet"/>
      <w:lvlText w:val="o"/>
      <w:lvlJc w:val="left"/>
      <w:pPr>
        <w:ind w:left="1420" w:hanging="360"/>
      </w:pPr>
      <w:rPr>
        <w:rFonts w:ascii="Courier New" w:hAnsi="Courier New" w:cs="Courier New" w:hint="default"/>
      </w:rPr>
    </w:lvl>
    <w:lvl w:ilvl="2" w:tplc="04260005" w:tentative="1">
      <w:start w:val="1"/>
      <w:numFmt w:val="bullet"/>
      <w:lvlText w:val=""/>
      <w:lvlJc w:val="left"/>
      <w:pPr>
        <w:ind w:left="2140" w:hanging="360"/>
      </w:pPr>
      <w:rPr>
        <w:rFonts w:ascii="Wingdings" w:hAnsi="Wingdings" w:hint="default"/>
      </w:rPr>
    </w:lvl>
    <w:lvl w:ilvl="3" w:tplc="04260001" w:tentative="1">
      <w:start w:val="1"/>
      <w:numFmt w:val="bullet"/>
      <w:lvlText w:val=""/>
      <w:lvlJc w:val="left"/>
      <w:pPr>
        <w:ind w:left="2860" w:hanging="360"/>
      </w:pPr>
      <w:rPr>
        <w:rFonts w:ascii="Symbol" w:hAnsi="Symbol" w:hint="default"/>
      </w:rPr>
    </w:lvl>
    <w:lvl w:ilvl="4" w:tplc="04260003" w:tentative="1">
      <w:start w:val="1"/>
      <w:numFmt w:val="bullet"/>
      <w:lvlText w:val="o"/>
      <w:lvlJc w:val="left"/>
      <w:pPr>
        <w:ind w:left="3580" w:hanging="360"/>
      </w:pPr>
      <w:rPr>
        <w:rFonts w:ascii="Courier New" w:hAnsi="Courier New" w:cs="Courier New" w:hint="default"/>
      </w:rPr>
    </w:lvl>
    <w:lvl w:ilvl="5" w:tplc="04260005" w:tentative="1">
      <w:start w:val="1"/>
      <w:numFmt w:val="bullet"/>
      <w:lvlText w:val=""/>
      <w:lvlJc w:val="left"/>
      <w:pPr>
        <w:ind w:left="4300" w:hanging="360"/>
      </w:pPr>
      <w:rPr>
        <w:rFonts w:ascii="Wingdings" w:hAnsi="Wingdings" w:hint="default"/>
      </w:rPr>
    </w:lvl>
    <w:lvl w:ilvl="6" w:tplc="04260001" w:tentative="1">
      <w:start w:val="1"/>
      <w:numFmt w:val="bullet"/>
      <w:lvlText w:val=""/>
      <w:lvlJc w:val="left"/>
      <w:pPr>
        <w:ind w:left="5020" w:hanging="360"/>
      </w:pPr>
      <w:rPr>
        <w:rFonts w:ascii="Symbol" w:hAnsi="Symbol" w:hint="default"/>
      </w:rPr>
    </w:lvl>
    <w:lvl w:ilvl="7" w:tplc="04260003" w:tentative="1">
      <w:start w:val="1"/>
      <w:numFmt w:val="bullet"/>
      <w:lvlText w:val="o"/>
      <w:lvlJc w:val="left"/>
      <w:pPr>
        <w:ind w:left="5740" w:hanging="360"/>
      </w:pPr>
      <w:rPr>
        <w:rFonts w:ascii="Courier New" w:hAnsi="Courier New" w:cs="Courier New" w:hint="default"/>
      </w:rPr>
    </w:lvl>
    <w:lvl w:ilvl="8" w:tplc="04260005" w:tentative="1">
      <w:start w:val="1"/>
      <w:numFmt w:val="bullet"/>
      <w:lvlText w:val=""/>
      <w:lvlJc w:val="left"/>
      <w:pPr>
        <w:ind w:left="6460" w:hanging="360"/>
      </w:pPr>
      <w:rPr>
        <w:rFonts w:ascii="Wingdings" w:hAnsi="Wingdings" w:hint="default"/>
      </w:rPr>
    </w:lvl>
  </w:abstractNum>
  <w:abstractNum w:abstractNumId="14" w15:restartNumberingAfterBreak="0">
    <w:nsid w:val="50F17A16"/>
    <w:multiLevelType w:val="hybridMultilevel"/>
    <w:tmpl w:val="CEE0231A"/>
    <w:lvl w:ilvl="0" w:tplc="93E643AE">
      <w:numFmt w:val="bullet"/>
      <w:lvlText w:val="–"/>
      <w:lvlJc w:val="left"/>
      <w:pPr>
        <w:ind w:left="1151" w:hanging="360"/>
      </w:pPr>
      <w:rPr>
        <w:rFonts w:ascii="Times New Roman" w:eastAsia="Times New Roman" w:hAnsi="Times New Roman" w:cs="Times New Roman"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abstractNum w:abstractNumId="15" w15:restartNumberingAfterBreak="0">
    <w:nsid w:val="51766E51"/>
    <w:multiLevelType w:val="hybridMultilevel"/>
    <w:tmpl w:val="BCFED7E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5652573A"/>
    <w:multiLevelType w:val="multilevel"/>
    <w:tmpl w:val="3774ED36"/>
    <w:lvl w:ilvl="0">
      <w:start w:val="2"/>
      <w:numFmt w:val="decimal"/>
      <w:lvlText w:val="%1."/>
      <w:lvlJc w:val="left"/>
      <w:pPr>
        <w:ind w:left="360" w:hanging="360"/>
      </w:pPr>
      <w:rPr>
        <w:rFonts w:hint="default"/>
        <w:i w:val="0"/>
      </w:rPr>
    </w:lvl>
    <w:lvl w:ilvl="1">
      <w:start w:val="1"/>
      <w:numFmt w:val="decimal"/>
      <w:lvlText w:val="%1.%2."/>
      <w:lvlJc w:val="left"/>
      <w:pPr>
        <w:ind w:left="660" w:hanging="360"/>
      </w:pPr>
      <w:rPr>
        <w:rFonts w:hint="default"/>
        <w:i w:val="0"/>
      </w:rPr>
    </w:lvl>
    <w:lvl w:ilvl="2">
      <w:start w:val="1"/>
      <w:numFmt w:val="decimal"/>
      <w:lvlText w:val="%1.%2.%3."/>
      <w:lvlJc w:val="left"/>
      <w:pPr>
        <w:ind w:left="1320" w:hanging="720"/>
      </w:pPr>
      <w:rPr>
        <w:rFonts w:hint="default"/>
        <w:i w:val="0"/>
      </w:rPr>
    </w:lvl>
    <w:lvl w:ilvl="3">
      <w:start w:val="1"/>
      <w:numFmt w:val="decimal"/>
      <w:lvlText w:val="%1.%2.%3.%4."/>
      <w:lvlJc w:val="left"/>
      <w:pPr>
        <w:ind w:left="1620" w:hanging="720"/>
      </w:pPr>
      <w:rPr>
        <w:rFonts w:hint="default"/>
        <w:i w:val="0"/>
      </w:rPr>
    </w:lvl>
    <w:lvl w:ilvl="4">
      <w:start w:val="1"/>
      <w:numFmt w:val="decimal"/>
      <w:lvlText w:val="%1.%2.%3.%4.%5."/>
      <w:lvlJc w:val="left"/>
      <w:pPr>
        <w:ind w:left="2280" w:hanging="1080"/>
      </w:pPr>
      <w:rPr>
        <w:rFonts w:hint="default"/>
        <w:i w:val="0"/>
      </w:rPr>
    </w:lvl>
    <w:lvl w:ilvl="5">
      <w:start w:val="1"/>
      <w:numFmt w:val="decimal"/>
      <w:lvlText w:val="%1.%2.%3.%4.%5.%6."/>
      <w:lvlJc w:val="left"/>
      <w:pPr>
        <w:ind w:left="2580" w:hanging="1080"/>
      </w:pPr>
      <w:rPr>
        <w:rFonts w:hint="default"/>
        <w:i w:val="0"/>
      </w:rPr>
    </w:lvl>
    <w:lvl w:ilvl="6">
      <w:start w:val="1"/>
      <w:numFmt w:val="decimal"/>
      <w:lvlText w:val="%1.%2.%3.%4.%5.%6.%7."/>
      <w:lvlJc w:val="left"/>
      <w:pPr>
        <w:ind w:left="3240" w:hanging="1440"/>
      </w:pPr>
      <w:rPr>
        <w:rFonts w:hint="default"/>
        <w:i w:val="0"/>
      </w:rPr>
    </w:lvl>
    <w:lvl w:ilvl="7">
      <w:start w:val="1"/>
      <w:numFmt w:val="decimal"/>
      <w:lvlText w:val="%1.%2.%3.%4.%5.%6.%7.%8."/>
      <w:lvlJc w:val="left"/>
      <w:pPr>
        <w:ind w:left="3540" w:hanging="1440"/>
      </w:pPr>
      <w:rPr>
        <w:rFonts w:hint="default"/>
        <w:i w:val="0"/>
      </w:rPr>
    </w:lvl>
    <w:lvl w:ilvl="8">
      <w:start w:val="1"/>
      <w:numFmt w:val="decimal"/>
      <w:lvlText w:val="%1.%2.%3.%4.%5.%6.%7.%8.%9."/>
      <w:lvlJc w:val="left"/>
      <w:pPr>
        <w:ind w:left="4200" w:hanging="1800"/>
      </w:pPr>
      <w:rPr>
        <w:rFonts w:hint="default"/>
        <w:i w:val="0"/>
      </w:rPr>
    </w:lvl>
  </w:abstractNum>
  <w:abstractNum w:abstractNumId="17" w15:restartNumberingAfterBreak="0">
    <w:nsid w:val="580C79FF"/>
    <w:multiLevelType w:val="hybridMultilevel"/>
    <w:tmpl w:val="EF6ED44C"/>
    <w:lvl w:ilvl="0" w:tplc="93E643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D538CF"/>
    <w:multiLevelType w:val="hybridMultilevel"/>
    <w:tmpl w:val="138E761A"/>
    <w:lvl w:ilvl="0" w:tplc="93E643AE">
      <w:numFmt w:val="bullet"/>
      <w:lvlText w:val="–"/>
      <w:lvlJc w:val="left"/>
      <w:pPr>
        <w:ind w:left="1123" w:hanging="360"/>
      </w:pPr>
      <w:rPr>
        <w:rFonts w:ascii="Times New Roman" w:eastAsia="Times New Roman" w:hAnsi="Times New Roman" w:cs="Times New Roman"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9" w15:restartNumberingAfterBreak="0">
    <w:nsid w:val="65AA765A"/>
    <w:multiLevelType w:val="hybridMultilevel"/>
    <w:tmpl w:val="3DE861E8"/>
    <w:lvl w:ilvl="0" w:tplc="93E643AE">
      <w:numFmt w:val="bullet"/>
      <w:lvlText w:val="–"/>
      <w:lvlJc w:val="left"/>
      <w:pPr>
        <w:ind w:left="1120" w:hanging="360"/>
      </w:pPr>
      <w:rPr>
        <w:rFonts w:ascii="Times New Roman" w:eastAsia="Times New Roman" w:hAnsi="Times New Roman" w:cs="Times New Roman" w:hint="default"/>
      </w:rPr>
    </w:lvl>
    <w:lvl w:ilvl="1" w:tplc="04260003" w:tentative="1">
      <w:start w:val="1"/>
      <w:numFmt w:val="bullet"/>
      <w:lvlText w:val="o"/>
      <w:lvlJc w:val="left"/>
      <w:pPr>
        <w:ind w:left="1840" w:hanging="360"/>
      </w:pPr>
      <w:rPr>
        <w:rFonts w:ascii="Courier New" w:hAnsi="Courier New" w:cs="Courier New" w:hint="default"/>
      </w:rPr>
    </w:lvl>
    <w:lvl w:ilvl="2" w:tplc="04260005" w:tentative="1">
      <w:start w:val="1"/>
      <w:numFmt w:val="bullet"/>
      <w:lvlText w:val=""/>
      <w:lvlJc w:val="left"/>
      <w:pPr>
        <w:ind w:left="2560" w:hanging="360"/>
      </w:pPr>
      <w:rPr>
        <w:rFonts w:ascii="Wingdings" w:hAnsi="Wingdings" w:hint="default"/>
      </w:rPr>
    </w:lvl>
    <w:lvl w:ilvl="3" w:tplc="04260001" w:tentative="1">
      <w:start w:val="1"/>
      <w:numFmt w:val="bullet"/>
      <w:lvlText w:val=""/>
      <w:lvlJc w:val="left"/>
      <w:pPr>
        <w:ind w:left="3280" w:hanging="360"/>
      </w:pPr>
      <w:rPr>
        <w:rFonts w:ascii="Symbol" w:hAnsi="Symbol" w:hint="default"/>
      </w:rPr>
    </w:lvl>
    <w:lvl w:ilvl="4" w:tplc="04260003" w:tentative="1">
      <w:start w:val="1"/>
      <w:numFmt w:val="bullet"/>
      <w:lvlText w:val="o"/>
      <w:lvlJc w:val="left"/>
      <w:pPr>
        <w:ind w:left="4000" w:hanging="360"/>
      </w:pPr>
      <w:rPr>
        <w:rFonts w:ascii="Courier New" w:hAnsi="Courier New" w:cs="Courier New" w:hint="default"/>
      </w:rPr>
    </w:lvl>
    <w:lvl w:ilvl="5" w:tplc="04260005" w:tentative="1">
      <w:start w:val="1"/>
      <w:numFmt w:val="bullet"/>
      <w:lvlText w:val=""/>
      <w:lvlJc w:val="left"/>
      <w:pPr>
        <w:ind w:left="4720" w:hanging="360"/>
      </w:pPr>
      <w:rPr>
        <w:rFonts w:ascii="Wingdings" w:hAnsi="Wingdings" w:hint="default"/>
      </w:rPr>
    </w:lvl>
    <w:lvl w:ilvl="6" w:tplc="04260001" w:tentative="1">
      <w:start w:val="1"/>
      <w:numFmt w:val="bullet"/>
      <w:lvlText w:val=""/>
      <w:lvlJc w:val="left"/>
      <w:pPr>
        <w:ind w:left="5440" w:hanging="360"/>
      </w:pPr>
      <w:rPr>
        <w:rFonts w:ascii="Symbol" w:hAnsi="Symbol" w:hint="default"/>
      </w:rPr>
    </w:lvl>
    <w:lvl w:ilvl="7" w:tplc="04260003" w:tentative="1">
      <w:start w:val="1"/>
      <w:numFmt w:val="bullet"/>
      <w:lvlText w:val="o"/>
      <w:lvlJc w:val="left"/>
      <w:pPr>
        <w:ind w:left="6160" w:hanging="360"/>
      </w:pPr>
      <w:rPr>
        <w:rFonts w:ascii="Courier New" w:hAnsi="Courier New" w:cs="Courier New" w:hint="default"/>
      </w:rPr>
    </w:lvl>
    <w:lvl w:ilvl="8" w:tplc="04260005" w:tentative="1">
      <w:start w:val="1"/>
      <w:numFmt w:val="bullet"/>
      <w:lvlText w:val=""/>
      <w:lvlJc w:val="left"/>
      <w:pPr>
        <w:ind w:left="6880" w:hanging="360"/>
      </w:pPr>
      <w:rPr>
        <w:rFonts w:ascii="Wingdings" w:hAnsi="Wingdings" w:hint="default"/>
      </w:rPr>
    </w:lvl>
  </w:abstractNum>
  <w:abstractNum w:abstractNumId="20" w15:restartNumberingAfterBreak="0">
    <w:nsid w:val="662C67A3"/>
    <w:multiLevelType w:val="hybridMultilevel"/>
    <w:tmpl w:val="382EAB9C"/>
    <w:lvl w:ilvl="0" w:tplc="93E643AE">
      <w:numFmt w:val="bullet"/>
      <w:lvlText w:val="–"/>
      <w:lvlJc w:val="left"/>
      <w:pPr>
        <w:ind w:left="1186" w:hanging="360"/>
      </w:pPr>
      <w:rPr>
        <w:rFonts w:ascii="Times New Roman" w:eastAsia="Times New Roman" w:hAnsi="Times New Roman" w:cs="Times New Roman" w:hint="default"/>
      </w:rPr>
    </w:lvl>
    <w:lvl w:ilvl="1" w:tplc="04260003" w:tentative="1">
      <w:start w:val="1"/>
      <w:numFmt w:val="bullet"/>
      <w:lvlText w:val="o"/>
      <w:lvlJc w:val="left"/>
      <w:pPr>
        <w:ind w:left="1906" w:hanging="360"/>
      </w:pPr>
      <w:rPr>
        <w:rFonts w:ascii="Courier New" w:hAnsi="Courier New" w:cs="Courier New" w:hint="default"/>
      </w:rPr>
    </w:lvl>
    <w:lvl w:ilvl="2" w:tplc="04260005" w:tentative="1">
      <w:start w:val="1"/>
      <w:numFmt w:val="bullet"/>
      <w:lvlText w:val=""/>
      <w:lvlJc w:val="left"/>
      <w:pPr>
        <w:ind w:left="2626" w:hanging="360"/>
      </w:pPr>
      <w:rPr>
        <w:rFonts w:ascii="Wingdings" w:hAnsi="Wingdings" w:hint="default"/>
      </w:rPr>
    </w:lvl>
    <w:lvl w:ilvl="3" w:tplc="04260001" w:tentative="1">
      <w:start w:val="1"/>
      <w:numFmt w:val="bullet"/>
      <w:lvlText w:val=""/>
      <w:lvlJc w:val="left"/>
      <w:pPr>
        <w:ind w:left="3346" w:hanging="360"/>
      </w:pPr>
      <w:rPr>
        <w:rFonts w:ascii="Symbol" w:hAnsi="Symbol" w:hint="default"/>
      </w:rPr>
    </w:lvl>
    <w:lvl w:ilvl="4" w:tplc="04260003" w:tentative="1">
      <w:start w:val="1"/>
      <w:numFmt w:val="bullet"/>
      <w:lvlText w:val="o"/>
      <w:lvlJc w:val="left"/>
      <w:pPr>
        <w:ind w:left="4066" w:hanging="360"/>
      </w:pPr>
      <w:rPr>
        <w:rFonts w:ascii="Courier New" w:hAnsi="Courier New" w:cs="Courier New" w:hint="default"/>
      </w:rPr>
    </w:lvl>
    <w:lvl w:ilvl="5" w:tplc="04260005" w:tentative="1">
      <w:start w:val="1"/>
      <w:numFmt w:val="bullet"/>
      <w:lvlText w:val=""/>
      <w:lvlJc w:val="left"/>
      <w:pPr>
        <w:ind w:left="4786" w:hanging="360"/>
      </w:pPr>
      <w:rPr>
        <w:rFonts w:ascii="Wingdings" w:hAnsi="Wingdings" w:hint="default"/>
      </w:rPr>
    </w:lvl>
    <w:lvl w:ilvl="6" w:tplc="04260001" w:tentative="1">
      <w:start w:val="1"/>
      <w:numFmt w:val="bullet"/>
      <w:lvlText w:val=""/>
      <w:lvlJc w:val="left"/>
      <w:pPr>
        <w:ind w:left="5506" w:hanging="360"/>
      </w:pPr>
      <w:rPr>
        <w:rFonts w:ascii="Symbol" w:hAnsi="Symbol" w:hint="default"/>
      </w:rPr>
    </w:lvl>
    <w:lvl w:ilvl="7" w:tplc="04260003" w:tentative="1">
      <w:start w:val="1"/>
      <w:numFmt w:val="bullet"/>
      <w:lvlText w:val="o"/>
      <w:lvlJc w:val="left"/>
      <w:pPr>
        <w:ind w:left="6226" w:hanging="360"/>
      </w:pPr>
      <w:rPr>
        <w:rFonts w:ascii="Courier New" w:hAnsi="Courier New" w:cs="Courier New" w:hint="default"/>
      </w:rPr>
    </w:lvl>
    <w:lvl w:ilvl="8" w:tplc="04260005" w:tentative="1">
      <w:start w:val="1"/>
      <w:numFmt w:val="bullet"/>
      <w:lvlText w:val=""/>
      <w:lvlJc w:val="left"/>
      <w:pPr>
        <w:ind w:left="6946" w:hanging="360"/>
      </w:pPr>
      <w:rPr>
        <w:rFonts w:ascii="Wingdings" w:hAnsi="Wingdings" w:hint="default"/>
      </w:rPr>
    </w:lvl>
  </w:abstractNum>
  <w:abstractNum w:abstractNumId="21" w15:restartNumberingAfterBreak="0">
    <w:nsid w:val="686A0367"/>
    <w:multiLevelType w:val="hybridMultilevel"/>
    <w:tmpl w:val="81B8F218"/>
    <w:lvl w:ilvl="0" w:tplc="93E643AE">
      <w:numFmt w:val="bullet"/>
      <w:lvlText w:val="–"/>
      <w:lvlJc w:val="left"/>
      <w:pPr>
        <w:ind w:left="308" w:hanging="360"/>
      </w:pPr>
      <w:rPr>
        <w:rFonts w:ascii="Times New Roman" w:eastAsia="Times New Roman" w:hAnsi="Times New Roman" w:cs="Times New Roman" w:hint="default"/>
      </w:rPr>
    </w:lvl>
    <w:lvl w:ilvl="1" w:tplc="04260003">
      <w:start w:val="1"/>
      <w:numFmt w:val="bullet"/>
      <w:lvlText w:val="o"/>
      <w:lvlJc w:val="left"/>
      <w:pPr>
        <w:ind w:left="1028" w:hanging="360"/>
      </w:pPr>
      <w:rPr>
        <w:rFonts w:ascii="Courier New" w:hAnsi="Courier New" w:cs="Courier New" w:hint="default"/>
      </w:rPr>
    </w:lvl>
    <w:lvl w:ilvl="2" w:tplc="04260005" w:tentative="1">
      <w:start w:val="1"/>
      <w:numFmt w:val="bullet"/>
      <w:lvlText w:val=""/>
      <w:lvlJc w:val="left"/>
      <w:pPr>
        <w:ind w:left="1748" w:hanging="360"/>
      </w:pPr>
      <w:rPr>
        <w:rFonts w:ascii="Wingdings" w:hAnsi="Wingdings" w:hint="default"/>
      </w:rPr>
    </w:lvl>
    <w:lvl w:ilvl="3" w:tplc="04260001" w:tentative="1">
      <w:start w:val="1"/>
      <w:numFmt w:val="bullet"/>
      <w:lvlText w:val=""/>
      <w:lvlJc w:val="left"/>
      <w:pPr>
        <w:ind w:left="2468" w:hanging="360"/>
      </w:pPr>
      <w:rPr>
        <w:rFonts w:ascii="Symbol" w:hAnsi="Symbol" w:hint="default"/>
      </w:rPr>
    </w:lvl>
    <w:lvl w:ilvl="4" w:tplc="04260003" w:tentative="1">
      <w:start w:val="1"/>
      <w:numFmt w:val="bullet"/>
      <w:lvlText w:val="o"/>
      <w:lvlJc w:val="left"/>
      <w:pPr>
        <w:ind w:left="3188" w:hanging="360"/>
      </w:pPr>
      <w:rPr>
        <w:rFonts w:ascii="Courier New" w:hAnsi="Courier New" w:cs="Courier New" w:hint="default"/>
      </w:rPr>
    </w:lvl>
    <w:lvl w:ilvl="5" w:tplc="04260005" w:tentative="1">
      <w:start w:val="1"/>
      <w:numFmt w:val="bullet"/>
      <w:lvlText w:val=""/>
      <w:lvlJc w:val="left"/>
      <w:pPr>
        <w:ind w:left="3908" w:hanging="360"/>
      </w:pPr>
      <w:rPr>
        <w:rFonts w:ascii="Wingdings" w:hAnsi="Wingdings" w:hint="default"/>
      </w:rPr>
    </w:lvl>
    <w:lvl w:ilvl="6" w:tplc="04260001" w:tentative="1">
      <w:start w:val="1"/>
      <w:numFmt w:val="bullet"/>
      <w:lvlText w:val=""/>
      <w:lvlJc w:val="left"/>
      <w:pPr>
        <w:ind w:left="4628" w:hanging="360"/>
      </w:pPr>
      <w:rPr>
        <w:rFonts w:ascii="Symbol" w:hAnsi="Symbol" w:hint="default"/>
      </w:rPr>
    </w:lvl>
    <w:lvl w:ilvl="7" w:tplc="04260003" w:tentative="1">
      <w:start w:val="1"/>
      <w:numFmt w:val="bullet"/>
      <w:lvlText w:val="o"/>
      <w:lvlJc w:val="left"/>
      <w:pPr>
        <w:ind w:left="5348" w:hanging="360"/>
      </w:pPr>
      <w:rPr>
        <w:rFonts w:ascii="Courier New" w:hAnsi="Courier New" w:cs="Courier New" w:hint="default"/>
      </w:rPr>
    </w:lvl>
    <w:lvl w:ilvl="8" w:tplc="04260005" w:tentative="1">
      <w:start w:val="1"/>
      <w:numFmt w:val="bullet"/>
      <w:lvlText w:val=""/>
      <w:lvlJc w:val="left"/>
      <w:pPr>
        <w:ind w:left="6068" w:hanging="360"/>
      </w:pPr>
      <w:rPr>
        <w:rFonts w:ascii="Wingdings" w:hAnsi="Wingdings" w:hint="default"/>
      </w:rPr>
    </w:lvl>
  </w:abstractNum>
  <w:abstractNum w:abstractNumId="22" w15:restartNumberingAfterBreak="0">
    <w:nsid w:val="6E481989"/>
    <w:multiLevelType w:val="hybridMultilevel"/>
    <w:tmpl w:val="8FBCAE60"/>
    <w:lvl w:ilvl="0" w:tplc="93E643AE">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6ECB35F0"/>
    <w:multiLevelType w:val="hybridMultilevel"/>
    <w:tmpl w:val="12FCBBFE"/>
    <w:lvl w:ilvl="0" w:tplc="93E643AE">
      <w:numFmt w:val="bullet"/>
      <w:lvlText w:val="–"/>
      <w:lvlJc w:val="left"/>
      <w:pPr>
        <w:ind w:left="1119" w:hanging="360"/>
      </w:pPr>
      <w:rPr>
        <w:rFonts w:ascii="Times New Roman" w:eastAsia="Times New Roman" w:hAnsi="Times New Roman" w:cs="Times New Roman"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24" w15:restartNumberingAfterBreak="0">
    <w:nsid w:val="7D8B0D25"/>
    <w:multiLevelType w:val="hybridMultilevel"/>
    <w:tmpl w:val="130E883E"/>
    <w:lvl w:ilvl="0" w:tplc="93E643AE">
      <w:numFmt w:val="bullet"/>
      <w:lvlText w:val="–"/>
      <w:lvlJc w:val="left"/>
      <w:pPr>
        <w:ind w:left="1180" w:hanging="360"/>
      </w:pPr>
      <w:rPr>
        <w:rFonts w:ascii="Times New Roman" w:eastAsia="Times New Roman" w:hAnsi="Times New Roman" w:cs="Times New Roman" w:hint="default"/>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num w:numId="1">
    <w:abstractNumId w:val="4"/>
  </w:num>
  <w:num w:numId="2">
    <w:abstractNumId w:val="15"/>
  </w:num>
  <w:num w:numId="3">
    <w:abstractNumId w:val="6"/>
  </w:num>
  <w:num w:numId="4">
    <w:abstractNumId w:val="7"/>
  </w:num>
  <w:num w:numId="5">
    <w:abstractNumId w:val="8"/>
  </w:num>
  <w:num w:numId="6">
    <w:abstractNumId w:val="11"/>
  </w:num>
  <w:num w:numId="7">
    <w:abstractNumId w:val="17"/>
  </w:num>
  <w:num w:numId="8">
    <w:abstractNumId w:val="23"/>
  </w:num>
  <w:num w:numId="9">
    <w:abstractNumId w:val="16"/>
  </w:num>
  <w:num w:numId="10">
    <w:abstractNumId w:val="18"/>
  </w:num>
  <w:num w:numId="11">
    <w:abstractNumId w:val="24"/>
  </w:num>
  <w:num w:numId="12">
    <w:abstractNumId w:val="13"/>
  </w:num>
  <w:num w:numId="13">
    <w:abstractNumId w:val="2"/>
  </w:num>
  <w:num w:numId="14">
    <w:abstractNumId w:val="9"/>
  </w:num>
  <w:num w:numId="15">
    <w:abstractNumId w:val="5"/>
  </w:num>
  <w:num w:numId="16">
    <w:abstractNumId w:val="10"/>
  </w:num>
  <w:num w:numId="17">
    <w:abstractNumId w:val="3"/>
  </w:num>
  <w:num w:numId="18">
    <w:abstractNumId w:val="21"/>
  </w:num>
  <w:num w:numId="19">
    <w:abstractNumId w:val="0"/>
  </w:num>
  <w:num w:numId="20">
    <w:abstractNumId w:val="1"/>
  </w:num>
  <w:num w:numId="21">
    <w:abstractNumId w:val="20"/>
  </w:num>
  <w:num w:numId="22">
    <w:abstractNumId w:val="14"/>
  </w:num>
  <w:num w:numId="23">
    <w:abstractNumId w:val="12"/>
  </w:num>
  <w:num w:numId="24">
    <w:abstractNumId w:val="22"/>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EE"/>
    <w:rsid w:val="00001BB3"/>
    <w:rsid w:val="000028F2"/>
    <w:rsid w:val="00006BA1"/>
    <w:rsid w:val="00007B8A"/>
    <w:rsid w:val="000102DF"/>
    <w:rsid w:val="00010F6D"/>
    <w:rsid w:val="00015328"/>
    <w:rsid w:val="000166DD"/>
    <w:rsid w:val="00016972"/>
    <w:rsid w:val="0001698F"/>
    <w:rsid w:val="00017874"/>
    <w:rsid w:val="00017CD8"/>
    <w:rsid w:val="00021277"/>
    <w:rsid w:val="0002145D"/>
    <w:rsid w:val="0002154A"/>
    <w:rsid w:val="000218D1"/>
    <w:rsid w:val="000221B7"/>
    <w:rsid w:val="00023657"/>
    <w:rsid w:val="00023963"/>
    <w:rsid w:val="000270CE"/>
    <w:rsid w:val="0002761C"/>
    <w:rsid w:val="0003031A"/>
    <w:rsid w:val="00032655"/>
    <w:rsid w:val="0003301E"/>
    <w:rsid w:val="00033FD2"/>
    <w:rsid w:val="0003626A"/>
    <w:rsid w:val="0003674B"/>
    <w:rsid w:val="00043483"/>
    <w:rsid w:val="0004485A"/>
    <w:rsid w:val="00045077"/>
    <w:rsid w:val="00050A58"/>
    <w:rsid w:val="000510A1"/>
    <w:rsid w:val="00051F76"/>
    <w:rsid w:val="0005587F"/>
    <w:rsid w:val="000644DC"/>
    <w:rsid w:val="00064520"/>
    <w:rsid w:val="00064969"/>
    <w:rsid w:val="00065146"/>
    <w:rsid w:val="00067E82"/>
    <w:rsid w:val="00071C54"/>
    <w:rsid w:val="00073AE2"/>
    <w:rsid w:val="000752CD"/>
    <w:rsid w:val="000801BC"/>
    <w:rsid w:val="0008158E"/>
    <w:rsid w:val="00082947"/>
    <w:rsid w:val="00082F3F"/>
    <w:rsid w:val="00085178"/>
    <w:rsid w:val="00091898"/>
    <w:rsid w:val="0009206C"/>
    <w:rsid w:val="00093740"/>
    <w:rsid w:val="00093CA4"/>
    <w:rsid w:val="00097963"/>
    <w:rsid w:val="000A0B20"/>
    <w:rsid w:val="000A2B5F"/>
    <w:rsid w:val="000A6F46"/>
    <w:rsid w:val="000B0A1E"/>
    <w:rsid w:val="000B1630"/>
    <w:rsid w:val="000B2522"/>
    <w:rsid w:val="000B25E1"/>
    <w:rsid w:val="000B4A39"/>
    <w:rsid w:val="000B4B34"/>
    <w:rsid w:val="000B4FF8"/>
    <w:rsid w:val="000B61F0"/>
    <w:rsid w:val="000B7188"/>
    <w:rsid w:val="000C185F"/>
    <w:rsid w:val="000C1BE1"/>
    <w:rsid w:val="000C5377"/>
    <w:rsid w:val="000D2216"/>
    <w:rsid w:val="000D2A4D"/>
    <w:rsid w:val="000D31E9"/>
    <w:rsid w:val="000D49FA"/>
    <w:rsid w:val="000D67DA"/>
    <w:rsid w:val="000E0403"/>
    <w:rsid w:val="000E1B1E"/>
    <w:rsid w:val="000E1FF1"/>
    <w:rsid w:val="000E2116"/>
    <w:rsid w:val="000E2B41"/>
    <w:rsid w:val="000E3476"/>
    <w:rsid w:val="000E4A86"/>
    <w:rsid w:val="000E6958"/>
    <w:rsid w:val="000E7BB9"/>
    <w:rsid w:val="000E7E08"/>
    <w:rsid w:val="000F003A"/>
    <w:rsid w:val="000F15A0"/>
    <w:rsid w:val="000F1B29"/>
    <w:rsid w:val="000F3254"/>
    <w:rsid w:val="0010103D"/>
    <w:rsid w:val="00102248"/>
    <w:rsid w:val="00105029"/>
    <w:rsid w:val="001060A2"/>
    <w:rsid w:val="0010740C"/>
    <w:rsid w:val="001076BE"/>
    <w:rsid w:val="001077B8"/>
    <w:rsid w:val="00107B8A"/>
    <w:rsid w:val="001144B9"/>
    <w:rsid w:val="001165E5"/>
    <w:rsid w:val="00117390"/>
    <w:rsid w:val="001173CB"/>
    <w:rsid w:val="00117E46"/>
    <w:rsid w:val="00120A31"/>
    <w:rsid w:val="00120CC2"/>
    <w:rsid w:val="00126F2A"/>
    <w:rsid w:val="00127311"/>
    <w:rsid w:val="00130D9D"/>
    <w:rsid w:val="0013181E"/>
    <w:rsid w:val="0013372E"/>
    <w:rsid w:val="00134286"/>
    <w:rsid w:val="00134BFB"/>
    <w:rsid w:val="00136005"/>
    <w:rsid w:val="0013730A"/>
    <w:rsid w:val="00137937"/>
    <w:rsid w:val="00142814"/>
    <w:rsid w:val="00144421"/>
    <w:rsid w:val="00147074"/>
    <w:rsid w:val="001476A6"/>
    <w:rsid w:val="00147ADF"/>
    <w:rsid w:val="001522FE"/>
    <w:rsid w:val="001539CB"/>
    <w:rsid w:val="00153FD2"/>
    <w:rsid w:val="00163EAE"/>
    <w:rsid w:val="00164E8B"/>
    <w:rsid w:val="001666F2"/>
    <w:rsid w:val="00166DEB"/>
    <w:rsid w:val="00167C71"/>
    <w:rsid w:val="00176BBB"/>
    <w:rsid w:val="001775A5"/>
    <w:rsid w:val="00180458"/>
    <w:rsid w:val="0018283F"/>
    <w:rsid w:val="00183FE9"/>
    <w:rsid w:val="001877A3"/>
    <w:rsid w:val="001926AB"/>
    <w:rsid w:val="0019403C"/>
    <w:rsid w:val="001948B5"/>
    <w:rsid w:val="001972A2"/>
    <w:rsid w:val="001975DA"/>
    <w:rsid w:val="001A05F0"/>
    <w:rsid w:val="001A1BA4"/>
    <w:rsid w:val="001A44D7"/>
    <w:rsid w:val="001A4AB8"/>
    <w:rsid w:val="001A5D7F"/>
    <w:rsid w:val="001A5FC7"/>
    <w:rsid w:val="001A6727"/>
    <w:rsid w:val="001B0672"/>
    <w:rsid w:val="001B0808"/>
    <w:rsid w:val="001B26D8"/>
    <w:rsid w:val="001B2874"/>
    <w:rsid w:val="001B5C81"/>
    <w:rsid w:val="001B61A3"/>
    <w:rsid w:val="001B62D4"/>
    <w:rsid w:val="001B7345"/>
    <w:rsid w:val="001B75A8"/>
    <w:rsid w:val="001C031D"/>
    <w:rsid w:val="001C247E"/>
    <w:rsid w:val="001C39F4"/>
    <w:rsid w:val="001C3E5E"/>
    <w:rsid w:val="001C4D16"/>
    <w:rsid w:val="001C6AB0"/>
    <w:rsid w:val="001C6E97"/>
    <w:rsid w:val="001C765B"/>
    <w:rsid w:val="001C797D"/>
    <w:rsid w:val="001D192B"/>
    <w:rsid w:val="001D269D"/>
    <w:rsid w:val="001D5173"/>
    <w:rsid w:val="001D6EEC"/>
    <w:rsid w:val="001E2013"/>
    <w:rsid w:val="001E352A"/>
    <w:rsid w:val="001E3A00"/>
    <w:rsid w:val="001E5127"/>
    <w:rsid w:val="001E582D"/>
    <w:rsid w:val="001E672A"/>
    <w:rsid w:val="001E7186"/>
    <w:rsid w:val="001F11E9"/>
    <w:rsid w:val="001F2BF5"/>
    <w:rsid w:val="001F333A"/>
    <w:rsid w:val="001F6876"/>
    <w:rsid w:val="00204CC0"/>
    <w:rsid w:val="0020563A"/>
    <w:rsid w:val="00205D4F"/>
    <w:rsid w:val="00206890"/>
    <w:rsid w:val="00207BF8"/>
    <w:rsid w:val="00211C34"/>
    <w:rsid w:val="00212FC1"/>
    <w:rsid w:val="00215823"/>
    <w:rsid w:val="00215D12"/>
    <w:rsid w:val="0022331B"/>
    <w:rsid w:val="00225177"/>
    <w:rsid w:val="002257D0"/>
    <w:rsid w:val="002260E8"/>
    <w:rsid w:val="0022640A"/>
    <w:rsid w:val="002279B8"/>
    <w:rsid w:val="00227A63"/>
    <w:rsid w:val="00230235"/>
    <w:rsid w:val="00230486"/>
    <w:rsid w:val="00231584"/>
    <w:rsid w:val="00232635"/>
    <w:rsid w:val="00236ED5"/>
    <w:rsid w:val="00237384"/>
    <w:rsid w:val="00240880"/>
    <w:rsid w:val="0024206F"/>
    <w:rsid w:val="002467AF"/>
    <w:rsid w:val="00247B1E"/>
    <w:rsid w:val="00252664"/>
    <w:rsid w:val="00254BA7"/>
    <w:rsid w:val="00255234"/>
    <w:rsid w:val="00257170"/>
    <w:rsid w:val="00260E33"/>
    <w:rsid w:val="002623AD"/>
    <w:rsid w:val="002626F7"/>
    <w:rsid w:val="002637D9"/>
    <w:rsid w:val="00263BE9"/>
    <w:rsid w:val="00266790"/>
    <w:rsid w:val="0027032D"/>
    <w:rsid w:val="0027150E"/>
    <w:rsid w:val="00275606"/>
    <w:rsid w:val="0027586F"/>
    <w:rsid w:val="002773CD"/>
    <w:rsid w:val="0028283B"/>
    <w:rsid w:val="00282A7E"/>
    <w:rsid w:val="002872EE"/>
    <w:rsid w:val="00290D6B"/>
    <w:rsid w:val="002917E9"/>
    <w:rsid w:val="0029191A"/>
    <w:rsid w:val="0029431D"/>
    <w:rsid w:val="002955D6"/>
    <w:rsid w:val="002A1927"/>
    <w:rsid w:val="002A1E1E"/>
    <w:rsid w:val="002A2B0D"/>
    <w:rsid w:val="002A72B8"/>
    <w:rsid w:val="002B3296"/>
    <w:rsid w:val="002B672B"/>
    <w:rsid w:val="002C1476"/>
    <w:rsid w:val="002C164A"/>
    <w:rsid w:val="002C1794"/>
    <w:rsid w:val="002C1BD8"/>
    <w:rsid w:val="002C245A"/>
    <w:rsid w:val="002C24B2"/>
    <w:rsid w:val="002C3C3A"/>
    <w:rsid w:val="002C45BD"/>
    <w:rsid w:val="002C5CBD"/>
    <w:rsid w:val="002C7EF8"/>
    <w:rsid w:val="002D5BA8"/>
    <w:rsid w:val="002D7376"/>
    <w:rsid w:val="002E0803"/>
    <w:rsid w:val="002E17ED"/>
    <w:rsid w:val="002E1867"/>
    <w:rsid w:val="002E3681"/>
    <w:rsid w:val="002E7CE4"/>
    <w:rsid w:val="002E7D70"/>
    <w:rsid w:val="002E7E6D"/>
    <w:rsid w:val="002F033C"/>
    <w:rsid w:val="002F0CAE"/>
    <w:rsid w:val="002F1B28"/>
    <w:rsid w:val="002F795E"/>
    <w:rsid w:val="00300F1F"/>
    <w:rsid w:val="0030403B"/>
    <w:rsid w:val="00304416"/>
    <w:rsid w:val="003044EF"/>
    <w:rsid w:val="003045D9"/>
    <w:rsid w:val="003054C7"/>
    <w:rsid w:val="00306999"/>
    <w:rsid w:val="00307CEF"/>
    <w:rsid w:val="00310AD4"/>
    <w:rsid w:val="00310D8A"/>
    <w:rsid w:val="003135FE"/>
    <w:rsid w:val="0031415F"/>
    <w:rsid w:val="00314989"/>
    <w:rsid w:val="00314DE1"/>
    <w:rsid w:val="00315205"/>
    <w:rsid w:val="00315279"/>
    <w:rsid w:val="00315306"/>
    <w:rsid w:val="00315929"/>
    <w:rsid w:val="0031647E"/>
    <w:rsid w:val="00320DC9"/>
    <w:rsid w:val="0032156D"/>
    <w:rsid w:val="00321B61"/>
    <w:rsid w:val="00323929"/>
    <w:rsid w:val="00324375"/>
    <w:rsid w:val="00324956"/>
    <w:rsid w:val="00325E46"/>
    <w:rsid w:val="00326405"/>
    <w:rsid w:val="003337DF"/>
    <w:rsid w:val="00342E84"/>
    <w:rsid w:val="00343B8F"/>
    <w:rsid w:val="00344319"/>
    <w:rsid w:val="00345B9A"/>
    <w:rsid w:val="0034649A"/>
    <w:rsid w:val="00351937"/>
    <w:rsid w:val="0035460F"/>
    <w:rsid w:val="00354702"/>
    <w:rsid w:val="0035555F"/>
    <w:rsid w:val="00355C27"/>
    <w:rsid w:val="00360861"/>
    <w:rsid w:val="00361ACA"/>
    <w:rsid w:val="003631CC"/>
    <w:rsid w:val="0036409A"/>
    <w:rsid w:val="00364FC1"/>
    <w:rsid w:val="003661C5"/>
    <w:rsid w:val="00366885"/>
    <w:rsid w:val="00367F2A"/>
    <w:rsid w:val="00370E19"/>
    <w:rsid w:val="00371654"/>
    <w:rsid w:val="003736B3"/>
    <w:rsid w:val="003758B6"/>
    <w:rsid w:val="00376417"/>
    <w:rsid w:val="00376E63"/>
    <w:rsid w:val="00377125"/>
    <w:rsid w:val="003805E7"/>
    <w:rsid w:val="00380879"/>
    <w:rsid w:val="003816CC"/>
    <w:rsid w:val="0038190C"/>
    <w:rsid w:val="0038346A"/>
    <w:rsid w:val="00383EFD"/>
    <w:rsid w:val="00384733"/>
    <w:rsid w:val="003847A9"/>
    <w:rsid w:val="00390FDC"/>
    <w:rsid w:val="003925DB"/>
    <w:rsid w:val="003928E4"/>
    <w:rsid w:val="00393B54"/>
    <w:rsid w:val="00393FB7"/>
    <w:rsid w:val="0039545A"/>
    <w:rsid w:val="003954E2"/>
    <w:rsid w:val="0039676B"/>
    <w:rsid w:val="003A4D9E"/>
    <w:rsid w:val="003A50AE"/>
    <w:rsid w:val="003A5A04"/>
    <w:rsid w:val="003A5EDC"/>
    <w:rsid w:val="003A6139"/>
    <w:rsid w:val="003A61F9"/>
    <w:rsid w:val="003A6BA7"/>
    <w:rsid w:val="003A7648"/>
    <w:rsid w:val="003B275C"/>
    <w:rsid w:val="003B459D"/>
    <w:rsid w:val="003B4777"/>
    <w:rsid w:val="003B514B"/>
    <w:rsid w:val="003B5DDB"/>
    <w:rsid w:val="003B5E30"/>
    <w:rsid w:val="003B6B98"/>
    <w:rsid w:val="003B7871"/>
    <w:rsid w:val="003C2290"/>
    <w:rsid w:val="003C42F1"/>
    <w:rsid w:val="003C4963"/>
    <w:rsid w:val="003C49D1"/>
    <w:rsid w:val="003C6E36"/>
    <w:rsid w:val="003D2823"/>
    <w:rsid w:val="003D60F9"/>
    <w:rsid w:val="003E022E"/>
    <w:rsid w:val="003E41D0"/>
    <w:rsid w:val="003E4C03"/>
    <w:rsid w:val="003E4C5F"/>
    <w:rsid w:val="003E76E9"/>
    <w:rsid w:val="003F0E95"/>
    <w:rsid w:val="003F3601"/>
    <w:rsid w:val="003F39FF"/>
    <w:rsid w:val="003F57DA"/>
    <w:rsid w:val="003F5CF0"/>
    <w:rsid w:val="003F6986"/>
    <w:rsid w:val="0040025B"/>
    <w:rsid w:val="00400905"/>
    <w:rsid w:val="0040431D"/>
    <w:rsid w:val="004105EE"/>
    <w:rsid w:val="004111E1"/>
    <w:rsid w:val="00412647"/>
    <w:rsid w:val="0041264E"/>
    <w:rsid w:val="0041332E"/>
    <w:rsid w:val="00413985"/>
    <w:rsid w:val="0041486B"/>
    <w:rsid w:val="00414CAB"/>
    <w:rsid w:val="00421F9F"/>
    <w:rsid w:val="00423A18"/>
    <w:rsid w:val="0042649C"/>
    <w:rsid w:val="004405CA"/>
    <w:rsid w:val="0044121D"/>
    <w:rsid w:val="00442354"/>
    <w:rsid w:val="0044243B"/>
    <w:rsid w:val="004428F6"/>
    <w:rsid w:val="0044335F"/>
    <w:rsid w:val="004437DE"/>
    <w:rsid w:val="0044394B"/>
    <w:rsid w:val="0045051C"/>
    <w:rsid w:val="00451B5E"/>
    <w:rsid w:val="00452CF8"/>
    <w:rsid w:val="00453DA7"/>
    <w:rsid w:val="00453DAB"/>
    <w:rsid w:val="00454642"/>
    <w:rsid w:val="00455650"/>
    <w:rsid w:val="00455BD5"/>
    <w:rsid w:val="00455D47"/>
    <w:rsid w:val="0045719D"/>
    <w:rsid w:val="00457F84"/>
    <w:rsid w:val="00460DD1"/>
    <w:rsid w:val="00462BCE"/>
    <w:rsid w:val="0046605B"/>
    <w:rsid w:val="0046658A"/>
    <w:rsid w:val="004726C7"/>
    <w:rsid w:val="0047334B"/>
    <w:rsid w:val="00473382"/>
    <w:rsid w:val="00473BF7"/>
    <w:rsid w:val="0047536C"/>
    <w:rsid w:val="00475AA5"/>
    <w:rsid w:val="00476018"/>
    <w:rsid w:val="00480815"/>
    <w:rsid w:val="0048462B"/>
    <w:rsid w:val="004868E3"/>
    <w:rsid w:val="00486B44"/>
    <w:rsid w:val="00486CAD"/>
    <w:rsid w:val="00486ED9"/>
    <w:rsid w:val="004876ED"/>
    <w:rsid w:val="00487EB0"/>
    <w:rsid w:val="0049029F"/>
    <w:rsid w:val="00490582"/>
    <w:rsid w:val="004915B3"/>
    <w:rsid w:val="0049219F"/>
    <w:rsid w:val="00492485"/>
    <w:rsid w:val="00494765"/>
    <w:rsid w:val="00494B47"/>
    <w:rsid w:val="0049554C"/>
    <w:rsid w:val="0049776B"/>
    <w:rsid w:val="004A0BA4"/>
    <w:rsid w:val="004A1CB0"/>
    <w:rsid w:val="004A279E"/>
    <w:rsid w:val="004A6B7A"/>
    <w:rsid w:val="004A77AA"/>
    <w:rsid w:val="004A78FE"/>
    <w:rsid w:val="004B0339"/>
    <w:rsid w:val="004B1C49"/>
    <w:rsid w:val="004B28A2"/>
    <w:rsid w:val="004B3978"/>
    <w:rsid w:val="004B3CA5"/>
    <w:rsid w:val="004B3EAF"/>
    <w:rsid w:val="004B4D42"/>
    <w:rsid w:val="004B5A0B"/>
    <w:rsid w:val="004C035C"/>
    <w:rsid w:val="004C39F0"/>
    <w:rsid w:val="004C3D72"/>
    <w:rsid w:val="004C4269"/>
    <w:rsid w:val="004C5097"/>
    <w:rsid w:val="004C53DA"/>
    <w:rsid w:val="004D3958"/>
    <w:rsid w:val="004D3B60"/>
    <w:rsid w:val="004D6DA5"/>
    <w:rsid w:val="004E289A"/>
    <w:rsid w:val="004E33B3"/>
    <w:rsid w:val="004E34A8"/>
    <w:rsid w:val="004E3890"/>
    <w:rsid w:val="004E4CD1"/>
    <w:rsid w:val="004F0ACA"/>
    <w:rsid w:val="004F3B77"/>
    <w:rsid w:val="004F41AF"/>
    <w:rsid w:val="004F6229"/>
    <w:rsid w:val="004F6F9D"/>
    <w:rsid w:val="004F6FA3"/>
    <w:rsid w:val="004F7422"/>
    <w:rsid w:val="004F7F25"/>
    <w:rsid w:val="00502B86"/>
    <w:rsid w:val="00502C54"/>
    <w:rsid w:val="00502E24"/>
    <w:rsid w:val="00502EC6"/>
    <w:rsid w:val="00504A2E"/>
    <w:rsid w:val="00504B8F"/>
    <w:rsid w:val="005074C2"/>
    <w:rsid w:val="00510B72"/>
    <w:rsid w:val="00510C5C"/>
    <w:rsid w:val="00517294"/>
    <w:rsid w:val="00520637"/>
    <w:rsid w:val="00524CB0"/>
    <w:rsid w:val="005251FF"/>
    <w:rsid w:val="0053039F"/>
    <w:rsid w:val="00530835"/>
    <w:rsid w:val="00532724"/>
    <w:rsid w:val="005345C1"/>
    <w:rsid w:val="00535A5D"/>
    <w:rsid w:val="00536150"/>
    <w:rsid w:val="00541364"/>
    <w:rsid w:val="00541B91"/>
    <w:rsid w:val="005427A2"/>
    <w:rsid w:val="0055023B"/>
    <w:rsid w:val="00556EBD"/>
    <w:rsid w:val="00560D47"/>
    <w:rsid w:val="00561CA2"/>
    <w:rsid w:val="00563BD5"/>
    <w:rsid w:val="00566EA6"/>
    <w:rsid w:val="005705E6"/>
    <w:rsid w:val="00570925"/>
    <w:rsid w:val="0057244B"/>
    <w:rsid w:val="00572BAA"/>
    <w:rsid w:val="005749EE"/>
    <w:rsid w:val="00575003"/>
    <w:rsid w:val="00576950"/>
    <w:rsid w:val="0058142B"/>
    <w:rsid w:val="00584035"/>
    <w:rsid w:val="00584878"/>
    <w:rsid w:val="00591A9D"/>
    <w:rsid w:val="00591C87"/>
    <w:rsid w:val="0059566D"/>
    <w:rsid w:val="005A148D"/>
    <w:rsid w:val="005A4F61"/>
    <w:rsid w:val="005A542A"/>
    <w:rsid w:val="005B3F30"/>
    <w:rsid w:val="005B5008"/>
    <w:rsid w:val="005B626A"/>
    <w:rsid w:val="005B6758"/>
    <w:rsid w:val="005B69A2"/>
    <w:rsid w:val="005B6DEE"/>
    <w:rsid w:val="005B7EFD"/>
    <w:rsid w:val="005C0A03"/>
    <w:rsid w:val="005C12F3"/>
    <w:rsid w:val="005C2B41"/>
    <w:rsid w:val="005C2B56"/>
    <w:rsid w:val="005C3F39"/>
    <w:rsid w:val="005C44AB"/>
    <w:rsid w:val="005C52A8"/>
    <w:rsid w:val="005D1594"/>
    <w:rsid w:val="005D2284"/>
    <w:rsid w:val="005D6F2F"/>
    <w:rsid w:val="005D7AE4"/>
    <w:rsid w:val="005E0D51"/>
    <w:rsid w:val="005E2433"/>
    <w:rsid w:val="005E50B4"/>
    <w:rsid w:val="005E599E"/>
    <w:rsid w:val="005E5CD1"/>
    <w:rsid w:val="005E5FC4"/>
    <w:rsid w:val="005E6932"/>
    <w:rsid w:val="005F2245"/>
    <w:rsid w:val="005F273E"/>
    <w:rsid w:val="006018E7"/>
    <w:rsid w:val="006037B8"/>
    <w:rsid w:val="006047F9"/>
    <w:rsid w:val="00604A82"/>
    <w:rsid w:val="00605085"/>
    <w:rsid w:val="00607C45"/>
    <w:rsid w:val="006100CC"/>
    <w:rsid w:val="00610D6F"/>
    <w:rsid w:val="00610F1A"/>
    <w:rsid w:val="00611312"/>
    <w:rsid w:val="0061262C"/>
    <w:rsid w:val="006126EB"/>
    <w:rsid w:val="006145F3"/>
    <w:rsid w:val="00617305"/>
    <w:rsid w:val="006201FD"/>
    <w:rsid w:val="00621C0A"/>
    <w:rsid w:val="00621CD2"/>
    <w:rsid w:val="00624153"/>
    <w:rsid w:val="00624851"/>
    <w:rsid w:val="00627B32"/>
    <w:rsid w:val="0063184F"/>
    <w:rsid w:val="00631E32"/>
    <w:rsid w:val="00631F05"/>
    <w:rsid w:val="00632184"/>
    <w:rsid w:val="00636282"/>
    <w:rsid w:val="00636C38"/>
    <w:rsid w:val="00642AAB"/>
    <w:rsid w:val="00642F20"/>
    <w:rsid w:val="006432BF"/>
    <w:rsid w:val="006473C5"/>
    <w:rsid w:val="00650DE4"/>
    <w:rsid w:val="00651D9E"/>
    <w:rsid w:val="00654495"/>
    <w:rsid w:val="006544A1"/>
    <w:rsid w:val="006545CF"/>
    <w:rsid w:val="00655809"/>
    <w:rsid w:val="00660C40"/>
    <w:rsid w:val="00661898"/>
    <w:rsid w:val="00662F32"/>
    <w:rsid w:val="00664800"/>
    <w:rsid w:val="00670A04"/>
    <w:rsid w:val="00671786"/>
    <w:rsid w:val="00672436"/>
    <w:rsid w:val="00673119"/>
    <w:rsid w:val="00677D82"/>
    <w:rsid w:val="0068164C"/>
    <w:rsid w:val="00682E0F"/>
    <w:rsid w:val="0068669E"/>
    <w:rsid w:val="006922AC"/>
    <w:rsid w:val="0069263E"/>
    <w:rsid w:val="0069327B"/>
    <w:rsid w:val="00693691"/>
    <w:rsid w:val="0069684B"/>
    <w:rsid w:val="00696BE7"/>
    <w:rsid w:val="00696DF9"/>
    <w:rsid w:val="006A1EBA"/>
    <w:rsid w:val="006A3708"/>
    <w:rsid w:val="006A7373"/>
    <w:rsid w:val="006A7F18"/>
    <w:rsid w:val="006B0A57"/>
    <w:rsid w:val="006B2932"/>
    <w:rsid w:val="006B4855"/>
    <w:rsid w:val="006B608C"/>
    <w:rsid w:val="006C021E"/>
    <w:rsid w:val="006C488A"/>
    <w:rsid w:val="006C5137"/>
    <w:rsid w:val="006C607D"/>
    <w:rsid w:val="006C6287"/>
    <w:rsid w:val="006C65F2"/>
    <w:rsid w:val="006D2C30"/>
    <w:rsid w:val="006D34A5"/>
    <w:rsid w:val="006D68C2"/>
    <w:rsid w:val="006D6C85"/>
    <w:rsid w:val="006D7E32"/>
    <w:rsid w:val="006E31DE"/>
    <w:rsid w:val="006E355E"/>
    <w:rsid w:val="006E35F0"/>
    <w:rsid w:val="006E4E6E"/>
    <w:rsid w:val="006E60C6"/>
    <w:rsid w:val="006E65D3"/>
    <w:rsid w:val="006E7C6F"/>
    <w:rsid w:val="006F089D"/>
    <w:rsid w:val="006F2756"/>
    <w:rsid w:val="006F43CD"/>
    <w:rsid w:val="006F5C41"/>
    <w:rsid w:val="007007B5"/>
    <w:rsid w:val="00700D40"/>
    <w:rsid w:val="007059DE"/>
    <w:rsid w:val="00706114"/>
    <w:rsid w:val="00707708"/>
    <w:rsid w:val="00710CED"/>
    <w:rsid w:val="00712932"/>
    <w:rsid w:val="007175A7"/>
    <w:rsid w:val="00720192"/>
    <w:rsid w:val="00721599"/>
    <w:rsid w:val="007223AB"/>
    <w:rsid w:val="00724B79"/>
    <w:rsid w:val="00725E65"/>
    <w:rsid w:val="00731DBC"/>
    <w:rsid w:val="007330DA"/>
    <w:rsid w:val="00733380"/>
    <w:rsid w:val="00734566"/>
    <w:rsid w:val="00737C8C"/>
    <w:rsid w:val="007403D4"/>
    <w:rsid w:val="0074284D"/>
    <w:rsid w:val="00742D95"/>
    <w:rsid w:val="0074370E"/>
    <w:rsid w:val="00744426"/>
    <w:rsid w:val="0074546D"/>
    <w:rsid w:val="00745925"/>
    <w:rsid w:val="00746981"/>
    <w:rsid w:val="00747189"/>
    <w:rsid w:val="00752BFE"/>
    <w:rsid w:val="00752D98"/>
    <w:rsid w:val="007568FA"/>
    <w:rsid w:val="007570B3"/>
    <w:rsid w:val="00757462"/>
    <w:rsid w:val="0076077E"/>
    <w:rsid w:val="00760F2D"/>
    <w:rsid w:val="00766D21"/>
    <w:rsid w:val="00774117"/>
    <w:rsid w:val="00777FC6"/>
    <w:rsid w:val="00780FC5"/>
    <w:rsid w:val="00783F4F"/>
    <w:rsid w:val="0078728C"/>
    <w:rsid w:val="00787DB1"/>
    <w:rsid w:val="007918DA"/>
    <w:rsid w:val="0079483F"/>
    <w:rsid w:val="007A088F"/>
    <w:rsid w:val="007A1B70"/>
    <w:rsid w:val="007A2365"/>
    <w:rsid w:val="007A437B"/>
    <w:rsid w:val="007A594A"/>
    <w:rsid w:val="007A5B28"/>
    <w:rsid w:val="007B395C"/>
    <w:rsid w:val="007B535C"/>
    <w:rsid w:val="007B603E"/>
    <w:rsid w:val="007B765A"/>
    <w:rsid w:val="007B7B18"/>
    <w:rsid w:val="007B7C42"/>
    <w:rsid w:val="007C1558"/>
    <w:rsid w:val="007C5000"/>
    <w:rsid w:val="007C69B8"/>
    <w:rsid w:val="007C7DF6"/>
    <w:rsid w:val="007D1DA1"/>
    <w:rsid w:val="007D30EC"/>
    <w:rsid w:val="007D5D06"/>
    <w:rsid w:val="007D7D19"/>
    <w:rsid w:val="007E0D6B"/>
    <w:rsid w:val="007E15B3"/>
    <w:rsid w:val="007E2776"/>
    <w:rsid w:val="007E311D"/>
    <w:rsid w:val="007E3633"/>
    <w:rsid w:val="007E5395"/>
    <w:rsid w:val="007F07B1"/>
    <w:rsid w:val="007F235A"/>
    <w:rsid w:val="007F2AD4"/>
    <w:rsid w:val="007F317C"/>
    <w:rsid w:val="007F379D"/>
    <w:rsid w:val="007F3F01"/>
    <w:rsid w:val="007F5359"/>
    <w:rsid w:val="008051FA"/>
    <w:rsid w:val="00806563"/>
    <w:rsid w:val="00810B03"/>
    <w:rsid w:val="00811D3B"/>
    <w:rsid w:val="00812FAB"/>
    <w:rsid w:val="008159E6"/>
    <w:rsid w:val="00815FC9"/>
    <w:rsid w:val="0081746E"/>
    <w:rsid w:val="00825EF1"/>
    <w:rsid w:val="008262A6"/>
    <w:rsid w:val="008271FE"/>
    <w:rsid w:val="00831CA5"/>
    <w:rsid w:val="00832A5B"/>
    <w:rsid w:val="00832FCC"/>
    <w:rsid w:val="00834222"/>
    <w:rsid w:val="0083727B"/>
    <w:rsid w:val="00842009"/>
    <w:rsid w:val="008426B2"/>
    <w:rsid w:val="00846CD6"/>
    <w:rsid w:val="0085142A"/>
    <w:rsid w:val="00851605"/>
    <w:rsid w:val="00851A81"/>
    <w:rsid w:val="00852760"/>
    <w:rsid w:val="00852C60"/>
    <w:rsid w:val="00852CF1"/>
    <w:rsid w:val="00854283"/>
    <w:rsid w:val="00855F03"/>
    <w:rsid w:val="0086172F"/>
    <w:rsid w:val="00863C59"/>
    <w:rsid w:val="00863F02"/>
    <w:rsid w:val="008647A7"/>
    <w:rsid w:val="008734DC"/>
    <w:rsid w:val="0087493C"/>
    <w:rsid w:val="00877FED"/>
    <w:rsid w:val="0088351B"/>
    <w:rsid w:val="008835AB"/>
    <w:rsid w:val="008836E6"/>
    <w:rsid w:val="0088384F"/>
    <w:rsid w:val="00886302"/>
    <w:rsid w:val="00892358"/>
    <w:rsid w:val="00892BF9"/>
    <w:rsid w:val="008950F8"/>
    <w:rsid w:val="00895684"/>
    <w:rsid w:val="00897A47"/>
    <w:rsid w:val="00897E75"/>
    <w:rsid w:val="008A2B58"/>
    <w:rsid w:val="008A35C5"/>
    <w:rsid w:val="008A4561"/>
    <w:rsid w:val="008A4EDB"/>
    <w:rsid w:val="008B1E18"/>
    <w:rsid w:val="008B40E0"/>
    <w:rsid w:val="008B66DF"/>
    <w:rsid w:val="008B6E4E"/>
    <w:rsid w:val="008B7100"/>
    <w:rsid w:val="008C0CFE"/>
    <w:rsid w:val="008C1940"/>
    <w:rsid w:val="008C31BC"/>
    <w:rsid w:val="008C5A92"/>
    <w:rsid w:val="008C6DFE"/>
    <w:rsid w:val="008C74ED"/>
    <w:rsid w:val="008D17E2"/>
    <w:rsid w:val="008D3DAF"/>
    <w:rsid w:val="008D665A"/>
    <w:rsid w:val="008E0242"/>
    <w:rsid w:val="008E05E9"/>
    <w:rsid w:val="008E1E44"/>
    <w:rsid w:val="008E2A1A"/>
    <w:rsid w:val="008E2C25"/>
    <w:rsid w:val="008E3BE1"/>
    <w:rsid w:val="008E53EE"/>
    <w:rsid w:val="008E57EF"/>
    <w:rsid w:val="008E5D8D"/>
    <w:rsid w:val="008E6FB7"/>
    <w:rsid w:val="008F4EC1"/>
    <w:rsid w:val="008F6C41"/>
    <w:rsid w:val="00902962"/>
    <w:rsid w:val="009031FC"/>
    <w:rsid w:val="00903568"/>
    <w:rsid w:val="00903FFF"/>
    <w:rsid w:val="00904B67"/>
    <w:rsid w:val="009057BF"/>
    <w:rsid w:val="00905BAA"/>
    <w:rsid w:val="0091269F"/>
    <w:rsid w:val="00913611"/>
    <w:rsid w:val="00914803"/>
    <w:rsid w:val="00920C93"/>
    <w:rsid w:val="00920E9B"/>
    <w:rsid w:val="00933C51"/>
    <w:rsid w:val="00934822"/>
    <w:rsid w:val="00935821"/>
    <w:rsid w:val="009359A9"/>
    <w:rsid w:val="009456E4"/>
    <w:rsid w:val="00945EC6"/>
    <w:rsid w:val="009460FB"/>
    <w:rsid w:val="00947313"/>
    <w:rsid w:val="00947EE9"/>
    <w:rsid w:val="009518F7"/>
    <w:rsid w:val="00951DD3"/>
    <w:rsid w:val="00951E1E"/>
    <w:rsid w:val="00954FBB"/>
    <w:rsid w:val="009632F3"/>
    <w:rsid w:val="00963C7C"/>
    <w:rsid w:val="009675CF"/>
    <w:rsid w:val="00972B99"/>
    <w:rsid w:val="00976604"/>
    <w:rsid w:val="00976D24"/>
    <w:rsid w:val="0098105A"/>
    <w:rsid w:val="00982745"/>
    <w:rsid w:val="00983CAE"/>
    <w:rsid w:val="00990076"/>
    <w:rsid w:val="00990946"/>
    <w:rsid w:val="00992548"/>
    <w:rsid w:val="009926E0"/>
    <w:rsid w:val="009941F1"/>
    <w:rsid w:val="0099521D"/>
    <w:rsid w:val="00995E4E"/>
    <w:rsid w:val="009967AB"/>
    <w:rsid w:val="009A67A5"/>
    <w:rsid w:val="009A67A9"/>
    <w:rsid w:val="009A75DC"/>
    <w:rsid w:val="009A7A5B"/>
    <w:rsid w:val="009B7026"/>
    <w:rsid w:val="009C077F"/>
    <w:rsid w:val="009D0A76"/>
    <w:rsid w:val="009D3DFB"/>
    <w:rsid w:val="009D5015"/>
    <w:rsid w:val="009D7CDA"/>
    <w:rsid w:val="009D7FD2"/>
    <w:rsid w:val="009E0AC1"/>
    <w:rsid w:val="009E14F3"/>
    <w:rsid w:val="009E2C19"/>
    <w:rsid w:val="009E2C58"/>
    <w:rsid w:val="009F1804"/>
    <w:rsid w:val="009F4893"/>
    <w:rsid w:val="00A04B2E"/>
    <w:rsid w:val="00A05011"/>
    <w:rsid w:val="00A06CB0"/>
    <w:rsid w:val="00A07CC6"/>
    <w:rsid w:val="00A10FF8"/>
    <w:rsid w:val="00A111DA"/>
    <w:rsid w:val="00A12350"/>
    <w:rsid w:val="00A12639"/>
    <w:rsid w:val="00A13686"/>
    <w:rsid w:val="00A13F64"/>
    <w:rsid w:val="00A144F8"/>
    <w:rsid w:val="00A162A0"/>
    <w:rsid w:val="00A220A3"/>
    <w:rsid w:val="00A23151"/>
    <w:rsid w:val="00A23559"/>
    <w:rsid w:val="00A23A4D"/>
    <w:rsid w:val="00A243ED"/>
    <w:rsid w:val="00A24F86"/>
    <w:rsid w:val="00A26E55"/>
    <w:rsid w:val="00A30D12"/>
    <w:rsid w:val="00A31AFC"/>
    <w:rsid w:val="00A32659"/>
    <w:rsid w:val="00A35AEF"/>
    <w:rsid w:val="00A37D49"/>
    <w:rsid w:val="00A37F54"/>
    <w:rsid w:val="00A43E88"/>
    <w:rsid w:val="00A456EB"/>
    <w:rsid w:val="00A45EF3"/>
    <w:rsid w:val="00A464F4"/>
    <w:rsid w:val="00A46770"/>
    <w:rsid w:val="00A516C2"/>
    <w:rsid w:val="00A54171"/>
    <w:rsid w:val="00A544DD"/>
    <w:rsid w:val="00A55321"/>
    <w:rsid w:val="00A5601A"/>
    <w:rsid w:val="00A57A25"/>
    <w:rsid w:val="00A6353C"/>
    <w:rsid w:val="00A63675"/>
    <w:rsid w:val="00A725BE"/>
    <w:rsid w:val="00A72C00"/>
    <w:rsid w:val="00A742F4"/>
    <w:rsid w:val="00A75613"/>
    <w:rsid w:val="00A76A1B"/>
    <w:rsid w:val="00A81395"/>
    <w:rsid w:val="00A816F4"/>
    <w:rsid w:val="00A833C8"/>
    <w:rsid w:val="00A86853"/>
    <w:rsid w:val="00A9035A"/>
    <w:rsid w:val="00A90CB9"/>
    <w:rsid w:val="00A92789"/>
    <w:rsid w:val="00A94345"/>
    <w:rsid w:val="00A948B2"/>
    <w:rsid w:val="00A9589E"/>
    <w:rsid w:val="00A97308"/>
    <w:rsid w:val="00A97B5B"/>
    <w:rsid w:val="00AA4E9B"/>
    <w:rsid w:val="00AA4ED8"/>
    <w:rsid w:val="00AA5279"/>
    <w:rsid w:val="00AA60DD"/>
    <w:rsid w:val="00AA6C9C"/>
    <w:rsid w:val="00AB05A7"/>
    <w:rsid w:val="00AB2A10"/>
    <w:rsid w:val="00AB365C"/>
    <w:rsid w:val="00AB6835"/>
    <w:rsid w:val="00AC0CCA"/>
    <w:rsid w:val="00AC51DC"/>
    <w:rsid w:val="00AC710C"/>
    <w:rsid w:val="00AC7A88"/>
    <w:rsid w:val="00AD0266"/>
    <w:rsid w:val="00AD08DA"/>
    <w:rsid w:val="00AD3FD7"/>
    <w:rsid w:val="00AD6E2F"/>
    <w:rsid w:val="00AD7359"/>
    <w:rsid w:val="00AE1E54"/>
    <w:rsid w:val="00AE48F1"/>
    <w:rsid w:val="00AE5373"/>
    <w:rsid w:val="00AE5464"/>
    <w:rsid w:val="00AE557C"/>
    <w:rsid w:val="00AE5C1B"/>
    <w:rsid w:val="00AE7EFD"/>
    <w:rsid w:val="00AF1CBB"/>
    <w:rsid w:val="00AF2DFB"/>
    <w:rsid w:val="00AF3ECF"/>
    <w:rsid w:val="00AF553D"/>
    <w:rsid w:val="00AF70F3"/>
    <w:rsid w:val="00B02437"/>
    <w:rsid w:val="00B031C1"/>
    <w:rsid w:val="00B035AE"/>
    <w:rsid w:val="00B0477B"/>
    <w:rsid w:val="00B04A88"/>
    <w:rsid w:val="00B053C9"/>
    <w:rsid w:val="00B0621E"/>
    <w:rsid w:val="00B069AB"/>
    <w:rsid w:val="00B0768E"/>
    <w:rsid w:val="00B101B2"/>
    <w:rsid w:val="00B10A66"/>
    <w:rsid w:val="00B10D70"/>
    <w:rsid w:val="00B12051"/>
    <w:rsid w:val="00B126E2"/>
    <w:rsid w:val="00B133DA"/>
    <w:rsid w:val="00B1668E"/>
    <w:rsid w:val="00B1794F"/>
    <w:rsid w:val="00B17B45"/>
    <w:rsid w:val="00B20CA5"/>
    <w:rsid w:val="00B23549"/>
    <w:rsid w:val="00B2465B"/>
    <w:rsid w:val="00B24FCC"/>
    <w:rsid w:val="00B263D2"/>
    <w:rsid w:val="00B33B43"/>
    <w:rsid w:val="00B35553"/>
    <w:rsid w:val="00B36204"/>
    <w:rsid w:val="00B423F4"/>
    <w:rsid w:val="00B4264F"/>
    <w:rsid w:val="00B42AA8"/>
    <w:rsid w:val="00B42FC8"/>
    <w:rsid w:val="00B44B10"/>
    <w:rsid w:val="00B45D47"/>
    <w:rsid w:val="00B4653C"/>
    <w:rsid w:val="00B47AC9"/>
    <w:rsid w:val="00B54A98"/>
    <w:rsid w:val="00B54C76"/>
    <w:rsid w:val="00B55AF1"/>
    <w:rsid w:val="00B56E0E"/>
    <w:rsid w:val="00B57383"/>
    <w:rsid w:val="00B5747B"/>
    <w:rsid w:val="00B575A7"/>
    <w:rsid w:val="00B60F64"/>
    <w:rsid w:val="00B65605"/>
    <w:rsid w:val="00B67C96"/>
    <w:rsid w:val="00B723FF"/>
    <w:rsid w:val="00B725AF"/>
    <w:rsid w:val="00B74985"/>
    <w:rsid w:val="00B75A9F"/>
    <w:rsid w:val="00B76753"/>
    <w:rsid w:val="00B7722B"/>
    <w:rsid w:val="00B773E5"/>
    <w:rsid w:val="00B82807"/>
    <w:rsid w:val="00B82C1C"/>
    <w:rsid w:val="00B83BB0"/>
    <w:rsid w:val="00B8428B"/>
    <w:rsid w:val="00B8741C"/>
    <w:rsid w:val="00B91EFE"/>
    <w:rsid w:val="00B928B7"/>
    <w:rsid w:val="00B92F5C"/>
    <w:rsid w:val="00B936B7"/>
    <w:rsid w:val="00B939A0"/>
    <w:rsid w:val="00B93B99"/>
    <w:rsid w:val="00B95079"/>
    <w:rsid w:val="00B9524E"/>
    <w:rsid w:val="00B96D2D"/>
    <w:rsid w:val="00B972C0"/>
    <w:rsid w:val="00BA1C9F"/>
    <w:rsid w:val="00BA2AE7"/>
    <w:rsid w:val="00BA3A4E"/>
    <w:rsid w:val="00BA4A09"/>
    <w:rsid w:val="00BA4F9C"/>
    <w:rsid w:val="00BA5BD9"/>
    <w:rsid w:val="00BA6B17"/>
    <w:rsid w:val="00BA7F77"/>
    <w:rsid w:val="00BB194B"/>
    <w:rsid w:val="00BB2261"/>
    <w:rsid w:val="00BB336B"/>
    <w:rsid w:val="00BB4F7B"/>
    <w:rsid w:val="00BB5BBF"/>
    <w:rsid w:val="00BB7221"/>
    <w:rsid w:val="00BB7BBF"/>
    <w:rsid w:val="00BC0409"/>
    <w:rsid w:val="00BC076A"/>
    <w:rsid w:val="00BC2830"/>
    <w:rsid w:val="00BC361C"/>
    <w:rsid w:val="00BC598B"/>
    <w:rsid w:val="00BC624B"/>
    <w:rsid w:val="00BC7BB7"/>
    <w:rsid w:val="00BD1340"/>
    <w:rsid w:val="00BD3B43"/>
    <w:rsid w:val="00BD5CAB"/>
    <w:rsid w:val="00BE1348"/>
    <w:rsid w:val="00BE2B56"/>
    <w:rsid w:val="00BE5585"/>
    <w:rsid w:val="00BF00B3"/>
    <w:rsid w:val="00BF39F0"/>
    <w:rsid w:val="00BF53E1"/>
    <w:rsid w:val="00BF5F51"/>
    <w:rsid w:val="00BF7FC8"/>
    <w:rsid w:val="00C00190"/>
    <w:rsid w:val="00C02C62"/>
    <w:rsid w:val="00C02DBE"/>
    <w:rsid w:val="00C055EE"/>
    <w:rsid w:val="00C05F80"/>
    <w:rsid w:val="00C06400"/>
    <w:rsid w:val="00C12557"/>
    <w:rsid w:val="00C12EC9"/>
    <w:rsid w:val="00C1346A"/>
    <w:rsid w:val="00C13BFE"/>
    <w:rsid w:val="00C1430C"/>
    <w:rsid w:val="00C1578F"/>
    <w:rsid w:val="00C162D1"/>
    <w:rsid w:val="00C1692A"/>
    <w:rsid w:val="00C16F50"/>
    <w:rsid w:val="00C20E28"/>
    <w:rsid w:val="00C21973"/>
    <w:rsid w:val="00C21B03"/>
    <w:rsid w:val="00C22CC8"/>
    <w:rsid w:val="00C2317F"/>
    <w:rsid w:val="00C23E18"/>
    <w:rsid w:val="00C24B21"/>
    <w:rsid w:val="00C25783"/>
    <w:rsid w:val="00C259D7"/>
    <w:rsid w:val="00C25A6C"/>
    <w:rsid w:val="00C30303"/>
    <w:rsid w:val="00C315C5"/>
    <w:rsid w:val="00C31B3E"/>
    <w:rsid w:val="00C31C96"/>
    <w:rsid w:val="00C34612"/>
    <w:rsid w:val="00C36415"/>
    <w:rsid w:val="00C36A76"/>
    <w:rsid w:val="00C42510"/>
    <w:rsid w:val="00C42EB3"/>
    <w:rsid w:val="00C436E9"/>
    <w:rsid w:val="00C441AA"/>
    <w:rsid w:val="00C50105"/>
    <w:rsid w:val="00C50485"/>
    <w:rsid w:val="00C52621"/>
    <w:rsid w:val="00C53B45"/>
    <w:rsid w:val="00C5462E"/>
    <w:rsid w:val="00C55693"/>
    <w:rsid w:val="00C56062"/>
    <w:rsid w:val="00C60791"/>
    <w:rsid w:val="00C61F56"/>
    <w:rsid w:val="00C706D6"/>
    <w:rsid w:val="00C73E16"/>
    <w:rsid w:val="00C76761"/>
    <w:rsid w:val="00C77076"/>
    <w:rsid w:val="00C7767D"/>
    <w:rsid w:val="00C7773C"/>
    <w:rsid w:val="00C84DD5"/>
    <w:rsid w:val="00C858DC"/>
    <w:rsid w:val="00C8655D"/>
    <w:rsid w:val="00C86CB5"/>
    <w:rsid w:val="00C87982"/>
    <w:rsid w:val="00C911B0"/>
    <w:rsid w:val="00C9249C"/>
    <w:rsid w:val="00C94385"/>
    <w:rsid w:val="00C974A6"/>
    <w:rsid w:val="00CA3468"/>
    <w:rsid w:val="00CA54DA"/>
    <w:rsid w:val="00CA6886"/>
    <w:rsid w:val="00CA6B34"/>
    <w:rsid w:val="00CA7A84"/>
    <w:rsid w:val="00CA7C93"/>
    <w:rsid w:val="00CC024E"/>
    <w:rsid w:val="00CC0806"/>
    <w:rsid w:val="00CC091A"/>
    <w:rsid w:val="00CC35C0"/>
    <w:rsid w:val="00CC540D"/>
    <w:rsid w:val="00CC548C"/>
    <w:rsid w:val="00CC5F2D"/>
    <w:rsid w:val="00CC6F2C"/>
    <w:rsid w:val="00CC7C1A"/>
    <w:rsid w:val="00CD2AE0"/>
    <w:rsid w:val="00CD4E55"/>
    <w:rsid w:val="00CE5FAC"/>
    <w:rsid w:val="00CE6809"/>
    <w:rsid w:val="00CE762A"/>
    <w:rsid w:val="00CE7E04"/>
    <w:rsid w:val="00CF0146"/>
    <w:rsid w:val="00CF112E"/>
    <w:rsid w:val="00CF1821"/>
    <w:rsid w:val="00CF2A44"/>
    <w:rsid w:val="00CF2B72"/>
    <w:rsid w:val="00CF2F2A"/>
    <w:rsid w:val="00CF5EA0"/>
    <w:rsid w:val="00CF6F4E"/>
    <w:rsid w:val="00CF70B3"/>
    <w:rsid w:val="00D01FFD"/>
    <w:rsid w:val="00D03975"/>
    <w:rsid w:val="00D06D2E"/>
    <w:rsid w:val="00D11DBB"/>
    <w:rsid w:val="00D12155"/>
    <w:rsid w:val="00D12D9A"/>
    <w:rsid w:val="00D1526E"/>
    <w:rsid w:val="00D15A2C"/>
    <w:rsid w:val="00D166D8"/>
    <w:rsid w:val="00D172BC"/>
    <w:rsid w:val="00D17DC7"/>
    <w:rsid w:val="00D2291D"/>
    <w:rsid w:val="00D239E0"/>
    <w:rsid w:val="00D257D0"/>
    <w:rsid w:val="00D27EFA"/>
    <w:rsid w:val="00D3008D"/>
    <w:rsid w:val="00D30AF8"/>
    <w:rsid w:val="00D3299C"/>
    <w:rsid w:val="00D341BB"/>
    <w:rsid w:val="00D3481A"/>
    <w:rsid w:val="00D352FC"/>
    <w:rsid w:val="00D3572D"/>
    <w:rsid w:val="00D379EC"/>
    <w:rsid w:val="00D405D3"/>
    <w:rsid w:val="00D40A9A"/>
    <w:rsid w:val="00D42009"/>
    <w:rsid w:val="00D42E7D"/>
    <w:rsid w:val="00D42F1F"/>
    <w:rsid w:val="00D43FDD"/>
    <w:rsid w:val="00D452ED"/>
    <w:rsid w:val="00D457CA"/>
    <w:rsid w:val="00D47921"/>
    <w:rsid w:val="00D506EC"/>
    <w:rsid w:val="00D544CA"/>
    <w:rsid w:val="00D5642E"/>
    <w:rsid w:val="00D57700"/>
    <w:rsid w:val="00D60102"/>
    <w:rsid w:val="00D602DD"/>
    <w:rsid w:val="00D605DF"/>
    <w:rsid w:val="00D60A16"/>
    <w:rsid w:val="00D61746"/>
    <w:rsid w:val="00D62504"/>
    <w:rsid w:val="00D647AA"/>
    <w:rsid w:val="00D64E57"/>
    <w:rsid w:val="00D64EC4"/>
    <w:rsid w:val="00D71BD5"/>
    <w:rsid w:val="00D72325"/>
    <w:rsid w:val="00D7255C"/>
    <w:rsid w:val="00D7287E"/>
    <w:rsid w:val="00D72F61"/>
    <w:rsid w:val="00D73C62"/>
    <w:rsid w:val="00D73E88"/>
    <w:rsid w:val="00D77030"/>
    <w:rsid w:val="00D83EBB"/>
    <w:rsid w:val="00D8470E"/>
    <w:rsid w:val="00D86C8C"/>
    <w:rsid w:val="00D879F0"/>
    <w:rsid w:val="00D87E51"/>
    <w:rsid w:val="00D90823"/>
    <w:rsid w:val="00D9177B"/>
    <w:rsid w:val="00D949D6"/>
    <w:rsid w:val="00D9747C"/>
    <w:rsid w:val="00D97DCD"/>
    <w:rsid w:val="00DA0D80"/>
    <w:rsid w:val="00DA116A"/>
    <w:rsid w:val="00DA3F45"/>
    <w:rsid w:val="00DA4B58"/>
    <w:rsid w:val="00DA63D3"/>
    <w:rsid w:val="00DA79A0"/>
    <w:rsid w:val="00DB3555"/>
    <w:rsid w:val="00DB40BF"/>
    <w:rsid w:val="00DB4D71"/>
    <w:rsid w:val="00DB5F89"/>
    <w:rsid w:val="00DB6121"/>
    <w:rsid w:val="00DC009D"/>
    <w:rsid w:val="00DC2ED2"/>
    <w:rsid w:val="00DC3909"/>
    <w:rsid w:val="00DC47DF"/>
    <w:rsid w:val="00DC6394"/>
    <w:rsid w:val="00DC667C"/>
    <w:rsid w:val="00DD2662"/>
    <w:rsid w:val="00DD511A"/>
    <w:rsid w:val="00DD5E38"/>
    <w:rsid w:val="00DE0E52"/>
    <w:rsid w:val="00DE0EDD"/>
    <w:rsid w:val="00DE117D"/>
    <w:rsid w:val="00DE13A4"/>
    <w:rsid w:val="00DE247E"/>
    <w:rsid w:val="00DE437C"/>
    <w:rsid w:val="00DE473B"/>
    <w:rsid w:val="00DF0880"/>
    <w:rsid w:val="00DF2AA5"/>
    <w:rsid w:val="00DF7EE6"/>
    <w:rsid w:val="00E01BEF"/>
    <w:rsid w:val="00E020BC"/>
    <w:rsid w:val="00E02A57"/>
    <w:rsid w:val="00E03FDB"/>
    <w:rsid w:val="00E05E03"/>
    <w:rsid w:val="00E06353"/>
    <w:rsid w:val="00E069FF"/>
    <w:rsid w:val="00E06BC8"/>
    <w:rsid w:val="00E077BB"/>
    <w:rsid w:val="00E10677"/>
    <w:rsid w:val="00E11822"/>
    <w:rsid w:val="00E144DE"/>
    <w:rsid w:val="00E14B8A"/>
    <w:rsid w:val="00E16B65"/>
    <w:rsid w:val="00E2042E"/>
    <w:rsid w:val="00E2118D"/>
    <w:rsid w:val="00E216C2"/>
    <w:rsid w:val="00E24D60"/>
    <w:rsid w:val="00E25C30"/>
    <w:rsid w:val="00E2635A"/>
    <w:rsid w:val="00E2743F"/>
    <w:rsid w:val="00E275F1"/>
    <w:rsid w:val="00E30148"/>
    <w:rsid w:val="00E31E2A"/>
    <w:rsid w:val="00E32E33"/>
    <w:rsid w:val="00E32F2C"/>
    <w:rsid w:val="00E349FB"/>
    <w:rsid w:val="00E363A1"/>
    <w:rsid w:val="00E36729"/>
    <w:rsid w:val="00E36C8A"/>
    <w:rsid w:val="00E374FC"/>
    <w:rsid w:val="00E37562"/>
    <w:rsid w:val="00E41824"/>
    <w:rsid w:val="00E42056"/>
    <w:rsid w:val="00E459E0"/>
    <w:rsid w:val="00E46261"/>
    <w:rsid w:val="00E46E94"/>
    <w:rsid w:val="00E5103A"/>
    <w:rsid w:val="00E5167F"/>
    <w:rsid w:val="00E51688"/>
    <w:rsid w:val="00E52C97"/>
    <w:rsid w:val="00E55E95"/>
    <w:rsid w:val="00E575E5"/>
    <w:rsid w:val="00E60290"/>
    <w:rsid w:val="00E606FA"/>
    <w:rsid w:val="00E617C1"/>
    <w:rsid w:val="00E619D8"/>
    <w:rsid w:val="00E625DC"/>
    <w:rsid w:val="00E63358"/>
    <w:rsid w:val="00E636AF"/>
    <w:rsid w:val="00E64CBB"/>
    <w:rsid w:val="00E655CC"/>
    <w:rsid w:val="00E6564F"/>
    <w:rsid w:val="00E6632D"/>
    <w:rsid w:val="00E66765"/>
    <w:rsid w:val="00E7112B"/>
    <w:rsid w:val="00E72A17"/>
    <w:rsid w:val="00E772EF"/>
    <w:rsid w:val="00E80956"/>
    <w:rsid w:val="00E810B5"/>
    <w:rsid w:val="00E818A0"/>
    <w:rsid w:val="00E83A4E"/>
    <w:rsid w:val="00E841DA"/>
    <w:rsid w:val="00E84599"/>
    <w:rsid w:val="00E8562F"/>
    <w:rsid w:val="00E857D9"/>
    <w:rsid w:val="00E86069"/>
    <w:rsid w:val="00E86D65"/>
    <w:rsid w:val="00E87376"/>
    <w:rsid w:val="00E901FC"/>
    <w:rsid w:val="00E9036E"/>
    <w:rsid w:val="00E9043B"/>
    <w:rsid w:val="00E915D0"/>
    <w:rsid w:val="00E918A5"/>
    <w:rsid w:val="00E92607"/>
    <w:rsid w:val="00E92939"/>
    <w:rsid w:val="00E9347C"/>
    <w:rsid w:val="00E9378A"/>
    <w:rsid w:val="00E94C62"/>
    <w:rsid w:val="00E97545"/>
    <w:rsid w:val="00E975EA"/>
    <w:rsid w:val="00EA1A84"/>
    <w:rsid w:val="00EA2FC1"/>
    <w:rsid w:val="00EA6380"/>
    <w:rsid w:val="00EA6ADF"/>
    <w:rsid w:val="00EA6FCC"/>
    <w:rsid w:val="00EB131E"/>
    <w:rsid w:val="00EB2954"/>
    <w:rsid w:val="00EB2C8E"/>
    <w:rsid w:val="00EB3757"/>
    <w:rsid w:val="00EB3F26"/>
    <w:rsid w:val="00EB5135"/>
    <w:rsid w:val="00EB51F0"/>
    <w:rsid w:val="00EB528A"/>
    <w:rsid w:val="00EB57AF"/>
    <w:rsid w:val="00EB6840"/>
    <w:rsid w:val="00EC06E7"/>
    <w:rsid w:val="00EC1160"/>
    <w:rsid w:val="00EC1D79"/>
    <w:rsid w:val="00EC4757"/>
    <w:rsid w:val="00EC661D"/>
    <w:rsid w:val="00EC761C"/>
    <w:rsid w:val="00EC7B05"/>
    <w:rsid w:val="00ED039D"/>
    <w:rsid w:val="00ED06BD"/>
    <w:rsid w:val="00ED284E"/>
    <w:rsid w:val="00ED3234"/>
    <w:rsid w:val="00ED34CF"/>
    <w:rsid w:val="00ED5090"/>
    <w:rsid w:val="00ED5412"/>
    <w:rsid w:val="00EE0639"/>
    <w:rsid w:val="00EE1380"/>
    <w:rsid w:val="00EE323B"/>
    <w:rsid w:val="00EE47D1"/>
    <w:rsid w:val="00EE5913"/>
    <w:rsid w:val="00EE69B2"/>
    <w:rsid w:val="00EE6D81"/>
    <w:rsid w:val="00EE7A7B"/>
    <w:rsid w:val="00EE7E16"/>
    <w:rsid w:val="00EF0A91"/>
    <w:rsid w:val="00EF1391"/>
    <w:rsid w:val="00EF1E13"/>
    <w:rsid w:val="00EF2B21"/>
    <w:rsid w:val="00EF434F"/>
    <w:rsid w:val="00EF5B85"/>
    <w:rsid w:val="00EF65D9"/>
    <w:rsid w:val="00EF7CC3"/>
    <w:rsid w:val="00F000E8"/>
    <w:rsid w:val="00F011B2"/>
    <w:rsid w:val="00F01B40"/>
    <w:rsid w:val="00F0224A"/>
    <w:rsid w:val="00F02AAC"/>
    <w:rsid w:val="00F03BEA"/>
    <w:rsid w:val="00F04FF1"/>
    <w:rsid w:val="00F0561D"/>
    <w:rsid w:val="00F10197"/>
    <w:rsid w:val="00F11F86"/>
    <w:rsid w:val="00F1338D"/>
    <w:rsid w:val="00F15785"/>
    <w:rsid w:val="00F160AB"/>
    <w:rsid w:val="00F20142"/>
    <w:rsid w:val="00F20A61"/>
    <w:rsid w:val="00F20DEB"/>
    <w:rsid w:val="00F225EF"/>
    <w:rsid w:val="00F2328A"/>
    <w:rsid w:val="00F25DCA"/>
    <w:rsid w:val="00F26B6D"/>
    <w:rsid w:val="00F30515"/>
    <w:rsid w:val="00F30B6E"/>
    <w:rsid w:val="00F31FB5"/>
    <w:rsid w:val="00F41562"/>
    <w:rsid w:val="00F41D36"/>
    <w:rsid w:val="00F43304"/>
    <w:rsid w:val="00F43A1B"/>
    <w:rsid w:val="00F43BE0"/>
    <w:rsid w:val="00F44EF1"/>
    <w:rsid w:val="00F453A3"/>
    <w:rsid w:val="00F46A5F"/>
    <w:rsid w:val="00F46BA7"/>
    <w:rsid w:val="00F470DB"/>
    <w:rsid w:val="00F50B67"/>
    <w:rsid w:val="00F53869"/>
    <w:rsid w:val="00F53EDB"/>
    <w:rsid w:val="00F54251"/>
    <w:rsid w:val="00F56670"/>
    <w:rsid w:val="00F6361E"/>
    <w:rsid w:val="00F63AFE"/>
    <w:rsid w:val="00F65F67"/>
    <w:rsid w:val="00F7047E"/>
    <w:rsid w:val="00F72E69"/>
    <w:rsid w:val="00F74B60"/>
    <w:rsid w:val="00F758D5"/>
    <w:rsid w:val="00F848E9"/>
    <w:rsid w:val="00F8544A"/>
    <w:rsid w:val="00F87295"/>
    <w:rsid w:val="00F94448"/>
    <w:rsid w:val="00F9606C"/>
    <w:rsid w:val="00F96B14"/>
    <w:rsid w:val="00F97B59"/>
    <w:rsid w:val="00FA0391"/>
    <w:rsid w:val="00FA0D15"/>
    <w:rsid w:val="00FA15E0"/>
    <w:rsid w:val="00FA17DB"/>
    <w:rsid w:val="00FA2D31"/>
    <w:rsid w:val="00FA4FD8"/>
    <w:rsid w:val="00FA54AD"/>
    <w:rsid w:val="00FA55DB"/>
    <w:rsid w:val="00FA630A"/>
    <w:rsid w:val="00FA662E"/>
    <w:rsid w:val="00FB0534"/>
    <w:rsid w:val="00FB100B"/>
    <w:rsid w:val="00FB204E"/>
    <w:rsid w:val="00FB2362"/>
    <w:rsid w:val="00FB2938"/>
    <w:rsid w:val="00FB3A1E"/>
    <w:rsid w:val="00FB4F66"/>
    <w:rsid w:val="00FB4F86"/>
    <w:rsid w:val="00FB520F"/>
    <w:rsid w:val="00FB54F9"/>
    <w:rsid w:val="00FB643E"/>
    <w:rsid w:val="00FC01BC"/>
    <w:rsid w:val="00FC09D8"/>
    <w:rsid w:val="00FC1D44"/>
    <w:rsid w:val="00FC6050"/>
    <w:rsid w:val="00FC629F"/>
    <w:rsid w:val="00FC68A7"/>
    <w:rsid w:val="00FD0969"/>
    <w:rsid w:val="00FD3780"/>
    <w:rsid w:val="00FD5EF6"/>
    <w:rsid w:val="00FD64DA"/>
    <w:rsid w:val="00FE1C65"/>
    <w:rsid w:val="00FE2E54"/>
    <w:rsid w:val="00FE4460"/>
    <w:rsid w:val="00FF19C2"/>
    <w:rsid w:val="00FF2976"/>
    <w:rsid w:val="00FF30FB"/>
    <w:rsid w:val="00FF3F2B"/>
    <w:rsid w:val="00FF44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B74DC"/>
  <w15:docId w15:val="{23258BC2-7036-4178-BFF9-4250B3CC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H&amp;P List Paragraph,Strip"/>
    <w:basedOn w:val="Normal"/>
    <w:link w:val="ListParagraphChar"/>
    <w:uiPriority w:val="34"/>
    <w:qFormat/>
    <w:rsid w:val="00517294"/>
    <w:pPr>
      <w:ind w:left="720"/>
      <w:contextualSpacing/>
    </w:pPr>
    <w:rPr>
      <w:rFonts w:eastAsia="Times New Roman" w:cs="Times New Roman"/>
      <w:szCs w:val="24"/>
      <w:lang w:eastAsia="lv-LV"/>
    </w:rPr>
  </w:style>
  <w:style w:type="paragraph" w:styleId="Header">
    <w:name w:val="header"/>
    <w:basedOn w:val="Normal"/>
    <w:link w:val="HeaderChar"/>
    <w:uiPriority w:val="99"/>
    <w:unhideWhenUsed/>
    <w:rsid w:val="00E06353"/>
    <w:pPr>
      <w:tabs>
        <w:tab w:val="center" w:pos="4153"/>
        <w:tab w:val="right" w:pos="8306"/>
      </w:tabs>
    </w:pPr>
  </w:style>
  <w:style w:type="character" w:customStyle="1" w:styleId="HeaderChar">
    <w:name w:val="Header Char"/>
    <w:basedOn w:val="DefaultParagraphFont"/>
    <w:link w:val="Header"/>
    <w:uiPriority w:val="99"/>
    <w:rsid w:val="00E06353"/>
  </w:style>
  <w:style w:type="paragraph" w:styleId="Footer">
    <w:name w:val="footer"/>
    <w:basedOn w:val="Normal"/>
    <w:link w:val="FooterChar"/>
    <w:uiPriority w:val="99"/>
    <w:unhideWhenUsed/>
    <w:rsid w:val="00E06353"/>
    <w:pPr>
      <w:tabs>
        <w:tab w:val="center" w:pos="4153"/>
        <w:tab w:val="right" w:pos="8306"/>
      </w:tabs>
    </w:pPr>
  </w:style>
  <w:style w:type="character" w:customStyle="1" w:styleId="FooterChar">
    <w:name w:val="Footer Char"/>
    <w:basedOn w:val="DefaultParagraphFont"/>
    <w:link w:val="Footer"/>
    <w:uiPriority w:val="99"/>
    <w:rsid w:val="00E06353"/>
  </w:style>
  <w:style w:type="paragraph" w:styleId="NoSpacing">
    <w:name w:val="No Spacing"/>
    <w:basedOn w:val="Normal"/>
    <w:next w:val="Normal"/>
    <w:uiPriority w:val="1"/>
    <w:qFormat/>
    <w:rsid w:val="00D605DF"/>
    <w:pPr>
      <w:widowControl w:val="0"/>
      <w:jc w:val="both"/>
    </w:pPr>
    <w:rPr>
      <w:rFonts w:eastAsia="Calibri" w:cs="Times New Roman"/>
    </w:rPr>
  </w:style>
  <w:style w:type="character" w:customStyle="1" w:styleId="spelle">
    <w:name w:val="spelle"/>
    <w:rsid w:val="0041264E"/>
    <w:rPr>
      <w:rFonts w:ascii="Times New Roman" w:hAnsi="Times New Roman" w:cs="Times New Roman" w:hint="default"/>
    </w:rPr>
  </w:style>
  <w:style w:type="paragraph" w:styleId="BalloonText">
    <w:name w:val="Balloon Text"/>
    <w:basedOn w:val="Normal"/>
    <w:link w:val="BalloonTextChar"/>
    <w:uiPriority w:val="99"/>
    <w:semiHidden/>
    <w:unhideWhenUsed/>
    <w:rsid w:val="00883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4F"/>
    <w:rPr>
      <w:rFonts w:ascii="Segoe UI" w:hAnsi="Segoe UI" w:cs="Segoe UI"/>
      <w:sz w:val="18"/>
      <w:szCs w:val="18"/>
    </w:rPr>
  </w:style>
  <w:style w:type="character" w:customStyle="1" w:styleId="apple-converted-space">
    <w:name w:val="apple-converted-space"/>
    <w:rsid w:val="00662F32"/>
  </w:style>
  <w:style w:type="paragraph" w:customStyle="1" w:styleId="tv213">
    <w:name w:val="tv213"/>
    <w:basedOn w:val="Normal"/>
    <w:rsid w:val="00662F32"/>
    <w:pPr>
      <w:spacing w:before="100" w:beforeAutospacing="1" w:after="100" w:afterAutospacing="1"/>
    </w:pPr>
    <w:rPr>
      <w:rFonts w:eastAsia="Times New Roman" w:cs="Times New Roman"/>
      <w:szCs w:val="24"/>
      <w:lang w:eastAsia="lv-LV"/>
    </w:rPr>
  </w:style>
  <w:style w:type="paragraph" w:customStyle="1" w:styleId="naiskr">
    <w:name w:val="naiskr"/>
    <w:basedOn w:val="Normal"/>
    <w:rsid w:val="003E022E"/>
    <w:pPr>
      <w:spacing w:before="75" w:after="75"/>
    </w:pPr>
    <w:rPr>
      <w:rFonts w:eastAsia="Times New Roman" w:cs="Times New Roman"/>
      <w:szCs w:val="24"/>
      <w:lang w:eastAsia="lv-LV"/>
    </w:rPr>
  </w:style>
  <w:style w:type="character" w:styleId="CommentReference">
    <w:name w:val="annotation reference"/>
    <w:basedOn w:val="DefaultParagraphFont"/>
    <w:uiPriority w:val="99"/>
    <w:semiHidden/>
    <w:unhideWhenUsed/>
    <w:rsid w:val="00E36729"/>
    <w:rPr>
      <w:sz w:val="16"/>
      <w:szCs w:val="16"/>
    </w:rPr>
  </w:style>
  <w:style w:type="paragraph" w:styleId="CommentText">
    <w:name w:val="annotation text"/>
    <w:basedOn w:val="Normal"/>
    <w:link w:val="CommentTextChar"/>
    <w:uiPriority w:val="99"/>
    <w:unhideWhenUsed/>
    <w:rsid w:val="00E36729"/>
    <w:rPr>
      <w:sz w:val="20"/>
      <w:szCs w:val="20"/>
    </w:rPr>
  </w:style>
  <w:style w:type="character" w:customStyle="1" w:styleId="CommentTextChar">
    <w:name w:val="Comment Text Char"/>
    <w:basedOn w:val="DefaultParagraphFont"/>
    <w:link w:val="CommentText"/>
    <w:uiPriority w:val="99"/>
    <w:rsid w:val="00E36729"/>
    <w:rPr>
      <w:sz w:val="20"/>
      <w:szCs w:val="20"/>
    </w:rPr>
  </w:style>
  <w:style w:type="paragraph" w:styleId="CommentSubject">
    <w:name w:val="annotation subject"/>
    <w:basedOn w:val="CommentText"/>
    <w:next w:val="CommentText"/>
    <w:link w:val="CommentSubjectChar"/>
    <w:uiPriority w:val="99"/>
    <w:semiHidden/>
    <w:unhideWhenUsed/>
    <w:rsid w:val="00E36729"/>
    <w:rPr>
      <w:b/>
      <w:bCs/>
    </w:rPr>
  </w:style>
  <w:style w:type="character" w:customStyle="1" w:styleId="CommentSubjectChar">
    <w:name w:val="Comment Subject Char"/>
    <w:basedOn w:val="CommentTextChar"/>
    <w:link w:val="CommentSubject"/>
    <w:uiPriority w:val="99"/>
    <w:semiHidden/>
    <w:rsid w:val="00E36729"/>
    <w:rPr>
      <w:b/>
      <w:bCs/>
      <w:sz w:val="20"/>
      <w:szCs w:val="20"/>
    </w:rPr>
  </w:style>
  <w:style w:type="character" w:styleId="Hyperlink">
    <w:name w:val="Hyperlink"/>
    <w:basedOn w:val="DefaultParagraphFont"/>
    <w:uiPriority w:val="99"/>
    <w:unhideWhenUsed/>
    <w:rsid w:val="00A111DA"/>
    <w:rPr>
      <w:color w:val="0563C1" w:themeColor="hyperlink"/>
      <w:u w:val="single"/>
    </w:rPr>
  </w:style>
  <w:style w:type="character" w:customStyle="1" w:styleId="ListParagraphChar">
    <w:name w:val="List Paragraph Char"/>
    <w:aliases w:val="2 Char,Akapit z listą BS Char,H&amp;P List Paragraph Char,Strip Char"/>
    <w:link w:val="ListParagraph"/>
    <w:uiPriority w:val="34"/>
    <w:locked/>
    <w:rsid w:val="00D73C62"/>
    <w:rPr>
      <w:rFonts w:eastAsia="Times New Roman" w:cs="Times New Roman"/>
      <w:szCs w:val="24"/>
      <w:lang w:eastAsia="lv-LV"/>
    </w:rPr>
  </w:style>
  <w:style w:type="paragraph" w:styleId="PlainText">
    <w:name w:val="Plain Text"/>
    <w:basedOn w:val="Normal"/>
    <w:link w:val="PlainTextChar"/>
    <w:uiPriority w:val="99"/>
    <w:unhideWhenUsed/>
    <w:rsid w:val="008E57EF"/>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E57EF"/>
    <w:rPr>
      <w:rFonts w:ascii="Consolas" w:eastAsia="Calibri" w:hAnsi="Consolas" w:cs="Times New Roman"/>
      <w:sz w:val="21"/>
      <w:szCs w:val="21"/>
    </w:rPr>
  </w:style>
  <w:style w:type="paragraph" w:styleId="NormalWeb">
    <w:name w:val="Normal (Web)"/>
    <w:basedOn w:val="Normal"/>
    <w:uiPriority w:val="99"/>
    <w:rsid w:val="00CA6886"/>
    <w:pPr>
      <w:spacing w:before="100" w:beforeAutospacing="1" w:after="100" w:afterAutospacing="1"/>
    </w:pPr>
    <w:rPr>
      <w:rFonts w:eastAsia="Times New Roman" w:cs="Times New Roman"/>
      <w:szCs w:val="24"/>
      <w:lang w:eastAsia="lv-LV"/>
    </w:rPr>
  </w:style>
  <w:style w:type="character" w:styleId="Strong">
    <w:name w:val="Strong"/>
    <w:uiPriority w:val="99"/>
    <w:qFormat/>
    <w:rsid w:val="00120A31"/>
    <w:rPr>
      <w:rFonts w:cs="Times New Roman"/>
      <w:b/>
      <w:bCs/>
    </w:rPr>
  </w:style>
  <w:style w:type="paragraph" w:styleId="Revision">
    <w:name w:val="Revision"/>
    <w:hidden/>
    <w:uiPriority w:val="99"/>
    <w:semiHidden/>
    <w:rsid w:val="00F65F67"/>
  </w:style>
  <w:style w:type="paragraph" w:customStyle="1" w:styleId="tv2132">
    <w:name w:val="tv2132"/>
    <w:basedOn w:val="Normal"/>
    <w:rsid w:val="000E3476"/>
    <w:pPr>
      <w:spacing w:line="360" w:lineRule="auto"/>
      <w:ind w:firstLine="300"/>
    </w:pPr>
    <w:rPr>
      <w:rFonts w:eastAsia="Times New Roman" w:cs="Times New Roman"/>
      <w:color w:val="414142"/>
      <w:sz w:val="20"/>
      <w:szCs w:val="20"/>
      <w:lang w:eastAsia="lv-LV"/>
    </w:rPr>
  </w:style>
  <w:style w:type="paragraph" w:customStyle="1" w:styleId="naisf">
    <w:name w:val="naisf"/>
    <w:basedOn w:val="Normal"/>
    <w:rsid w:val="00371654"/>
    <w:pPr>
      <w:spacing w:before="100" w:after="100"/>
      <w:ind w:firstLine="500"/>
      <w:jc w:val="both"/>
    </w:pPr>
    <w:rPr>
      <w:rFonts w:eastAsia="Times New Roman" w:cs="Times New Roman"/>
      <w:szCs w:val="24"/>
      <w:lang w:eastAsia="lv-LV"/>
    </w:rPr>
  </w:style>
  <w:style w:type="paragraph" w:customStyle="1" w:styleId="naisnod">
    <w:name w:val="naisnod"/>
    <w:basedOn w:val="Normal"/>
    <w:rsid w:val="00371654"/>
    <w:pPr>
      <w:spacing w:before="200" w:after="200"/>
      <w:jc w:val="center"/>
    </w:pPr>
    <w:rPr>
      <w:rFonts w:eastAsia="Times New Roman" w:cs="Times New Roman"/>
      <w:b/>
      <w:bCs/>
      <w:szCs w:val="24"/>
      <w:lang w:eastAsia="lv-LV"/>
    </w:rPr>
  </w:style>
  <w:style w:type="paragraph" w:customStyle="1" w:styleId="naisc">
    <w:name w:val="naisc"/>
    <w:basedOn w:val="Normal"/>
    <w:rsid w:val="00371654"/>
    <w:pPr>
      <w:spacing w:before="100" w:after="100"/>
      <w:jc w:val="center"/>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688">
      <w:bodyDiv w:val="1"/>
      <w:marLeft w:val="0"/>
      <w:marRight w:val="0"/>
      <w:marTop w:val="0"/>
      <w:marBottom w:val="0"/>
      <w:divBdr>
        <w:top w:val="none" w:sz="0" w:space="0" w:color="auto"/>
        <w:left w:val="none" w:sz="0" w:space="0" w:color="auto"/>
        <w:bottom w:val="none" w:sz="0" w:space="0" w:color="auto"/>
        <w:right w:val="none" w:sz="0" w:space="0" w:color="auto"/>
      </w:divBdr>
    </w:div>
    <w:div w:id="817460958">
      <w:bodyDiv w:val="1"/>
      <w:marLeft w:val="0"/>
      <w:marRight w:val="0"/>
      <w:marTop w:val="0"/>
      <w:marBottom w:val="0"/>
      <w:divBdr>
        <w:top w:val="none" w:sz="0" w:space="0" w:color="auto"/>
        <w:left w:val="none" w:sz="0" w:space="0" w:color="auto"/>
        <w:bottom w:val="none" w:sz="0" w:space="0" w:color="auto"/>
        <w:right w:val="none" w:sz="0" w:space="0" w:color="auto"/>
      </w:divBdr>
      <w:divsChild>
        <w:div w:id="1624654291">
          <w:marLeft w:val="150"/>
          <w:marRight w:val="150"/>
          <w:marTop w:val="480"/>
          <w:marBottom w:val="0"/>
          <w:divBdr>
            <w:top w:val="none" w:sz="0" w:space="0" w:color="auto"/>
            <w:left w:val="none" w:sz="0" w:space="0" w:color="auto"/>
            <w:bottom w:val="none" w:sz="0" w:space="0" w:color="auto"/>
            <w:right w:val="none" w:sz="0" w:space="0" w:color="auto"/>
          </w:divBdr>
        </w:div>
        <w:div w:id="1261914025">
          <w:marLeft w:val="0"/>
          <w:marRight w:val="0"/>
          <w:marTop w:val="240"/>
          <w:marBottom w:val="0"/>
          <w:divBdr>
            <w:top w:val="none" w:sz="0" w:space="0" w:color="auto"/>
            <w:left w:val="none" w:sz="0" w:space="0" w:color="auto"/>
            <w:bottom w:val="none" w:sz="0" w:space="0" w:color="auto"/>
            <w:right w:val="none" w:sz="0" w:space="0" w:color="auto"/>
          </w:divBdr>
        </w:div>
      </w:divsChild>
    </w:div>
    <w:div w:id="971180670">
      <w:bodyDiv w:val="1"/>
      <w:marLeft w:val="0"/>
      <w:marRight w:val="0"/>
      <w:marTop w:val="0"/>
      <w:marBottom w:val="0"/>
      <w:divBdr>
        <w:top w:val="none" w:sz="0" w:space="0" w:color="auto"/>
        <w:left w:val="none" w:sz="0" w:space="0" w:color="auto"/>
        <w:bottom w:val="none" w:sz="0" w:space="0" w:color="auto"/>
        <w:right w:val="none" w:sz="0" w:space="0" w:color="auto"/>
      </w:divBdr>
    </w:div>
    <w:div w:id="19232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na.velpe@fm.gov.lv"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A691-7FFD-4DC8-8F55-A42CC569E258}">
  <ds:schemaRefs>
    <ds:schemaRef ds:uri="http://schemas.microsoft.com/sharepoint/v3/contenttype/forms"/>
  </ds:schemaRefs>
</ds:datastoreItem>
</file>

<file path=customXml/itemProps2.xml><?xml version="1.0" encoding="utf-8"?>
<ds:datastoreItem xmlns:ds="http://schemas.openxmlformats.org/officeDocument/2006/customXml" ds:itemID="{E96FDCB7-4EE1-4A00-92C1-956240B91F1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D5B7472F-E129-4D21-8F9C-69A561B7F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8F7A69-7521-4553-ABB9-D3C308F9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38</Pages>
  <Words>46338</Words>
  <Characters>26413</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Izziņa par atzinumos sniegtajiem iebildumiem </vt:lpstr>
    </vt:vector>
  </TitlesOfParts>
  <Company>Valsts kase</Company>
  <LinksUpToDate>false</LinksUpToDate>
  <CharactersWithSpaces>72606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dc:title>
  <dc:subject>Izziņa</dc:subject>
  <dc:creator>Irēna Šuksta</dc:creator>
  <dc:description>Irēna Šuksta_x000d_
telefons 67094210;_x000d_
e-pasts: irena.suksta@kase.gov.lv</dc:description>
  <cp:lastModifiedBy>Irēna Šuksta</cp:lastModifiedBy>
  <cp:revision>22</cp:revision>
  <cp:lastPrinted>2019-06-04T14:06:00Z</cp:lastPrinted>
  <dcterms:created xsi:type="dcterms:W3CDTF">2020-05-21T18:31:00Z</dcterms:created>
  <dcterms:modified xsi:type="dcterms:W3CDTF">2020-06-08T16:51:00Z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