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3B560" w14:textId="77777777" w:rsidR="009F1F3B" w:rsidRPr="008A134B" w:rsidRDefault="009F1F3B" w:rsidP="00297AF3">
      <w:pPr>
        <w:pStyle w:val="naisnod"/>
        <w:spacing w:before="0" w:after="60"/>
        <w:rPr>
          <w:b w:val="0"/>
        </w:rPr>
      </w:pPr>
      <w:r w:rsidRPr="008A134B">
        <w:rPr>
          <w:b w:val="0"/>
        </w:rPr>
        <w:t>Izziņa par atzinumos sniegtajiem iebildumiem</w:t>
      </w:r>
    </w:p>
    <w:p w14:paraId="6BC20F52" w14:textId="77777777" w:rsidR="009F1F3B" w:rsidRPr="00607C9B" w:rsidRDefault="009F1F3B" w:rsidP="00297AF3">
      <w:pPr>
        <w:pStyle w:val="naisc"/>
        <w:spacing w:before="0" w:after="0"/>
        <w:rPr>
          <w:b/>
          <w:sz w:val="26"/>
          <w:szCs w:val="26"/>
        </w:rPr>
      </w:pPr>
      <w:r w:rsidRPr="00607C9B">
        <w:rPr>
          <w:b/>
          <w:sz w:val="26"/>
          <w:szCs w:val="26"/>
        </w:rPr>
        <w:t xml:space="preserve">Ministru kabineta noteikumu </w:t>
      </w:r>
      <w:r w:rsidR="007E754C" w:rsidRPr="00607C9B">
        <w:rPr>
          <w:b/>
          <w:sz w:val="26"/>
          <w:szCs w:val="26"/>
        </w:rPr>
        <w:t xml:space="preserve">projekts </w:t>
      </w:r>
      <w:r w:rsidR="00EE595E" w:rsidRPr="00607C9B">
        <w:rPr>
          <w:sz w:val="26"/>
          <w:szCs w:val="26"/>
        </w:rPr>
        <w:t>"</w:t>
      </w:r>
      <w:r w:rsidR="00607C9B" w:rsidRPr="00607C9B">
        <w:rPr>
          <w:b/>
          <w:bCs/>
          <w:sz w:val="26"/>
          <w:szCs w:val="26"/>
        </w:rPr>
        <w:t>Publiskas personas un publiskas personas kontrolētas kapitālsabiedrības mantas nomas maksas atbrīvojuma vai samazinājuma piemērošanas saistībā ar Covid-19 infekcijas izplatību kārtība</w:t>
      </w:r>
      <w:r w:rsidR="00EE595E" w:rsidRPr="00607C9B">
        <w:rPr>
          <w:sz w:val="26"/>
          <w:szCs w:val="26"/>
        </w:rPr>
        <w:t>"</w:t>
      </w:r>
    </w:p>
    <w:p w14:paraId="0ED2B43A" w14:textId="77777777" w:rsidR="009F1F3B" w:rsidRPr="008A134B" w:rsidRDefault="009F1F3B" w:rsidP="00297AF3">
      <w:pPr>
        <w:rPr>
          <w:vanish/>
        </w:rPr>
      </w:pPr>
    </w:p>
    <w:p w14:paraId="4458DD3A" w14:textId="77777777" w:rsidR="009F1F3B" w:rsidRPr="008A134B" w:rsidRDefault="009F1F3B" w:rsidP="00297AF3">
      <w:pPr>
        <w:jc w:val="center"/>
        <w:rPr>
          <w:color w:val="000000" w:themeColor="text1"/>
        </w:rPr>
      </w:pPr>
      <w:r w:rsidRPr="008A134B">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544"/>
        <w:gridCol w:w="1918"/>
        <w:gridCol w:w="2481"/>
      </w:tblGrid>
      <w:tr w:rsidR="009F1F3B" w:rsidRPr="008A134B" w14:paraId="6848AD8E" w14:textId="77777777" w:rsidTr="005A633F">
        <w:trPr>
          <w:trHeight w:val="1440"/>
        </w:trPr>
        <w:tc>
          <w:tcPr>
            <w:tcW w:w="704" w:type="dxa"/>
            <w:shd w:val="clear" w:color="auto" w:fill="D9D9D9" w:themeFill="background1" w:themeFillShade="D9"/>
            <w:vAlign w:val="center"/>
          </w:tcPr>
          <w:p w14:paraId="202BD0D7" w14:textId="77777777" w:rsidR="009F1F3B" w:rsidRPr="008A134B" w:rsidRDefault="009F1F3B" w:rsidP="00297AF3">
            <w:pPr>
              <w:jc w:val="center"/>
              <w:rPr>
                <w:color w:val="000000" w:themeColor="text1"/>
              </w:rPr>
            </w:pPr>
            <w:proofErr w:type="spellStart"/>
            <w:r w:rsidRPr="008A134B">
              <w:rPr>
                <w:color w:val="000000" w:themeColor="text1"/>
              </w:rPr>
              <w:t>Nr.p.k</w:t>
            </w:r>
            <w:proofErr w:type="spellEnd"/>
            <w:r w:rsidRPr="008A134B">
              <w:rPr>
                <w:color w:val="000000" w:themeColor="text1"/>
              </w:rPr>
              <w:t>.</w:t>
            </w:r>
          </w:p>
        </w:tc>
        <w:tc>
          <w:tcPr>
            <w:tcW w:w="2126" w:type="dxa"/>
            <w:shd w:val="clear" w:color="auto" w:fill="D9D9D9" w:themeFill="background1" w:themeFillShade="D9"/>
            <w:vAlign w:val="center"/>
          </w:tcPr>
          <w:p w14:paraId="4BF7889E" w14:textId="77777777" w:rsidR="009F1F3B" w:rsidRPr="008A134B" w:rsidRDefault="009F1F3B" w:rsidP="00297AF3">
            <w:pPr>
              <w:jc w:val="center"/>
              <w:rPr>
                <w:color w:val="000000" w:themeColor="text1"/>
              </w:rPr>
            </w:pPr>
            <w:r w:rsidRPr="008A134B">
              <w:rPr>
                <w:color w:val="000000" w:themeColor="text1"/>
              </w:rPr>
              <w:t>Saskaņošanai nosūtītā projekta redakcija</w:t>
            </w:r>
          </w:p>
        </w:tc>
        <w:tc>
          <w:tcPr>
            <w:tcW w:w="3969" w:type="dxa"/>
            <w:shd w:val="clear" w:color="auto" w:fill="D9D9D9" w:themeFill="background1" w:themeFillShade="D9"/>
            <w:vAlign w:val="center"/>
          </w:tcPr>
          <w:p w14:paraId="7240FE4C" w14:textId="77777777" w:rsidR="009F1F3B" w:rsidRPr="008A134B" w:rsidRDefault="009F1F3B" w:rsidP="00297AF3">
            <w:pPr>
              <w:jc w:val="center"/>
              <w:rPr>
                <w:color w:val="000000" w:themeColor="text1"/>
              </w:rPr>
            </w:pPr>
            <w:r w:rsidRPr="008A134B">
              <w:rPr>
                <w:color w:val="000000" w:themeColor="text1"/>
              </w:rPr>
              <w:t>Atzinumā norādītais ministrijas (citas institūcijas) iebildums, kā arī saskaņošanā papildus izteiktais iebildums par projekta konkrēto punktu</w:t>
            </w:r>
          </w:p>
        </w:tc>
        <w:tc>
          <w:tcPr>
            <w:tcW w:w="3544" w:type="dxa"/>
            <w:shd w:val="clear" w:color="auto" w:fill="D9D9D9" w:themeFill="background1" w:themeFillShade="D9"/>
            <w:vAlign w:val="center"/>
          </w:tcPr>
          <w:p w14:paraId="42688ED6" w14:textId="77777777" w:rsidR="009F1F3B" w:rsidRPr="008A134B" w:rsidRDefault="009F1F3B" w:rsidP="00297AF3">
            <w:pPr>
              <w:jc w:val="center"/>
              <w:rPr>
                <w:color w:val="000000" w:themeColor="text1"/>
              </w:rPr>
            </w:pPr>
            <w:r w:rsidRPr="008A134B">
              <w:rPr>
                <w:color w:val="000000" w:themeColor="text1"/>
              </w:rPr>
              <w:t>Atbildīgās ministrijas pamatojums iebilduma noraidījumam</w:t>
            </w:r>
          </w:p>
        </w:tc>
        <w:tc>
          <w:tcPr>
            <w:tcW w:w="1918" w:type="dxa"/>
            <w:shd w:val="clear" w:color="auto" w:fill="D9D9D9" w:themeFill="background1" w:themeFillShade="D9"/>
            <w:vAlign w:val="center"/>
          </w:tcPr>
          <w:p w14:paraId="403C90DE" w14:textId="77777777" w:rsidR="009F1F3B" w:rsidRPr="008A134B" w:rsidRDefault="009F1F3B" w:rsidP="00297AF3">
            <w:pPr>
              <w:jc w:val="center"/>
              <w:rPr>
                <w:color w:val="000000" w:themeColor="text1"/>
              </w:rPr>
            </w:pPr>
            <w:r w:rsidRPr="008A134B">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6E8E686A" w14:textId="77777777" w:rsidR="009F1F3B" w:rsidRPr="008A134B" w:rsidRDefault="009F1F3B" w:rsidP="00297AF3">
            <w:pPr>
              <w:jc w:val="center"/>
              <w:rPr>
                <w:color w:val="000000" w:themeColor="text1"/>
              </w:rPr>
            </w:pPr>
            <w:r w:rsidRPr="008A134B">
              <w:rPr>
                <w:color w:val="000000" w:themeColor="text1"/>
              </w:rPr>
              <w:t>Projekta attiecīgā punkta galīgā redakcija</w:t>
            </w:r>
          </w:p>
        </w:tc>
      </w:tr>
      <w:tr w:rsidR="009F1F3B" w:rsidRPr="008A134B" w14:paraId="74FCC391" w14:textId="77777777" w:rsidTr="005A633F">
        <w:trPr>
          <w:trHeight w:val="260"/>
        </w:trPr>
        <w:tc>
          <w:tcPr>
            <w:tcW w:w="704" w:type="dxa"/>
            <w:shd w:val="clear" w:color="auto" w:fill="D9D9D9" w:themeFill="background1" w:themeFillShade="D9"/>
          </w:tcPr>
          <w:p w14:paraId="473714F3" w14:textId="77777777" w:rsidR="009F1F3B" w:rsidRPr="008A134B" w:rsidRDefault="009F1F3B" w:rsidP="00297AF3">
            <w:pPr>
              <w:ind w:left="113" w:right="113"/>
              <w:jc w:val="center"/>
              <w:rPr>
                <w:i/>
                <w:color w:val="000000" w:themeColor="text1"/>
                <w:sz w:val="20"/>
                <w:szCs w:val="20"/>
              </w:rPr>
            </w:pPr>
            <w:r w:rsidRPr="008A134B">
              <w:rPr>
                <w:i/>
                <w:color w:val="000000" w:themeColor="text1"/>
                <w:sz w:val="20"/>
                <w:szCs w:val="20"/>
              </w:rPr>
              <w:t>1</w:t>
            </w:r>
          </w:p>
        </w:tc>
        <w:tc>
          <w:tcPr>
            <w:tcW w:w="2126" w:type="dxa"/>
            <w:shd w:val="clear" w:color="auto" w:fill="D9D9D9" w:themeFill="background1" w:themeFillShade="D9"/>
          </w:tcPr>
          <w:p w14:paraId="272B8B7D" w14:textId="77777777" w:rsidR="009F1F3B" w:rsidRPr="008A134B" w:rsidRDefault="009F1F3B" w:rsidP="00297AF3">
            <w:pPr>
              <w:jc w:val="center"/>
              <w:rPr>
                <w:i/>
                <w:color w:val="000000" w:themeColor="text1"/>
                <w:sz w:val="20"/>
                <w:szCs w:val="20"/>
              </w:rPr>
            </w:pPr>
            <w:r w:rsidRPr="008A134B">
              <w:rPr>
                <w:i/>
                <w:color w:val="000000" w:themeColor="text1"/>
                <w:sz w:val="20"/>
                <w:szCs w:val="20"/>
              </w:rPr>
              <w:t>2</w:t>
            </w:r>
          </w:p>
        </w:tc>
        <w:tc>
          <w:tcPr>
            <w:tcW w:w="3969" w:type="dxa"/>
            <w:shd w:val="clear" w:color="auto" w:fill="D9D9D9" w:themeFill="background1" w:themeFillShade="D9"/>
          </w:tcPr>
          <w:p w14:paraId="4C9312C0" w14:textId="77777777" w:rsidR="009F1F3B" w:rsidRPr="008A134B" w:rsidRDefault="009F1F3B" w:rsidP="00297AF3">
            <w:pPr>
              <w:jc w:val="center"/>
              <w:rPr>
                <w:i/>
                <w:color w:val="000000" w:themeColor="text1"/>
                <w:sz w:val="20"/>
                <w:szCs w:val="20"/>
              </w:rPr>
            </w:pPr>
            <w:r w:rsidRPr="008A134B">
              <w:rPr>
                <w:i/>
                <w:color w:val="000000" w:themeColor="text1"/>
                <w:sz w:val="20"/>
                <w:szCs w:val="20"/>
              </w:rPr>
              <w:t>3</w:t>
            </w:r>
          </w:p>
        </w:tc>
        <w:tc>
          <w:tcPr>
            <w:tcW w:w="3544" w:type="dxa"/>
            <w:shd w:val="clear" w:color="auto" w:fill="D9D9D9" w:themeFill="background1" w:themeFillShade="D9"/>
          </w:tcPr>
          <w:p w14:paraId="41432F82" w14:textId="77777777" w:rsidR="009F1F3B" w:rsidRPr="008A134B" w:rsidRDefault="009F1F3B" w:rsidP="00297AF3">
            <w:pPr>
              <w:ind w:left="150"/>
              <w:jc w:val="center"/>
              <w:rPr>
                <w:i/>
                <w:color w:val="000000" w:themeColor="text1"/>
                <w:sz w:val="20"/>
                <w:szCs w:val="20"/>
              </w:rPr>
            </w:pPr>
            <w:r w:rsidRPr="008A134B">
              <w:rPr>
                <w:i/>
                <w:color w:val="000000" w:themeColor="text1"/>
                <w:sz w:val="20"/>
                <w:szCs w:val="20"/>
              </w:rPr>
              <w:t>4</w:t>
            </w:r>
          </w:p>
        </w:tc>
        <w:tc>
          <w:tcPr>
            <w:tcW w:w="1918" w:type="dxa"/>
            <w:shd w:val="clear" w:color="auto" w:fill="D9D9D9" w:themeFill="background1" w:themeFillShade="D9"/>
          </w:tcPr>
          <w:p w14:paraId="49826D4F" w14:textId="77777777" w:rsidR="009F1F3B" w:rsidRPr="008A134B" w:rsidRDefault="009F1F3B" w:rsidP="00297AF3">
            <w:pPr>
              <w:ind w:left="113" w:right="113"/>
              <w:jc w:val="center"/>
              <w:rPr>
                <w:i/>
                <w:color w:val="000000" w:themeColor="text1"/>
                <w:sz w:val="20"/>
                <w:szCs w:val="20"/>
              </w:rPr>
            </w:pPr>
            <w:r w:rsidRPr="008A134B">
              <w:rPr>
                <w:i/>
                <w:color w:val="000000" w:themeColor="text1"/>
                <w:sz w:val="20"/>
                <w:szCs w:val="20"/>
              </w:rPr>
              <w:t>5</w:t>
            </w:r>
          </w:p>
        </w:tc>
        <w:tc>
          <w:tcPr>
            <w:tcW w:w="2481" w:type="dxa"/>
            <w:shd w:val="clear" w:color="auto" w:fill="D9D9D9" w:themeFill="background1" w:themeFillShade="D9"/>
          </w:tcPr>
          <w:p w14:paraId="2BA85CCC" w14:textId="77777777" w:rsidR="009F1F3B" w:rsidRPr="008A134B" w:rsidRDefault="009F1F3B" w:rsidP="00297AF3">
            <w:pPr>
              <w:jc w:val="center"/>
              <w:rPr>
                <w:i/>
                <w:color w:val="000000" w:themeColor="text1"/>
                <w:sz w:val="20"/>
                <w:szCs w:val="20"/>
              </w:rPr>
            </w:pPr>
            <w:r w:rsidRPr="008A134B">
              <w:rPr>
                <w:i/>
                <w:color w:val="000000" w:themeColor="text1"/>
                <w:sz w:val="20"/>
                <w:szCs w:val="20"/>
              </w:rPr>
              <w:t>6</w:t>
            </w:r>
          </w:p>
        </w:tc>
      </w:tr>
      <w:tr w:rsidR="00607C9B" w:rsidRPr="008A134B" w14:paraId="2DF6AC25" w14:textId="77777777" w:rsidTr="005A633F">
        <w:trPr>
          <w:trHeight w:val="260"/>
        </w:trPr>
        <w:tc>
          <w:tcPr>
            <w:tcW w:w="704" w:type="dxa"/>
          </w:tcPr>
          <w:p w14:paraId="1FE77A21" w14:textId="77777777" w:rsidR="00607C9B" w:rsidRPr="008A134B" w:rsidRDefault="00607C9B" w:rsidP="00607C9B">
            <w:pPr>
              <w:spacing w:after="60"/>
              <w:jc w:val="center"/>
              <w:rPr>
                <w:color w:val="000000" w:themeColor="text1"/>
              </w:rPr>
            </w:pPr>
            <w:r w:rsidRPr="008A134B">
              <w:rPr>
                <w:color w:val="000000" w:themeColor="text1"/>
              </w:rPr>
              <w:t>1.</w:t>
            </w:r>
          </w:p>
        </w:tc>
        <w:tc>
          <w:tcPr>
            <w:tcW w:w="2126" w:type="dxa"/>
          </w:tcPr>
          <w:p w14:paraId="0E44FF8F" w14:textId="77777777" w:rsidR="00607C9B" w:rsidRPr="008A134B" w:rsidRDefault="00607C9B" w:rsidP="00607C9B">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t>–</w:t>
            </w:r>
          </w:p>
        </w:tc>
        <w:tc>
          <w:tcPr>
            <w:tcW w:w="3969" w:type="dxa"/>
          </w:tcPr>
          <w:p w14:paraId="080CD3F0" w14:textId="77777777" w:rsidR="00607C9B" w:rsidRPr="008A134B" w:rsidRDefault="00607C9B" w:rsidP="00607C9B">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t>–</w:t>
            </w:r>
          </w:p>
        </w:tc>
        <w:tc>
          <w:tcPr>
            <w:tcW w:w="3544" w:type="dxa"/>
          </w:tcPr>
          <w:p w14:paraId="6F2B607F" w14:textId="77777777" w:rsidR="00607C9B" w:rsidRPr="008A134B" w:rsidRDefault="00607C9B" w:rsidP="00607C9B">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t>–</w:t>
            </w:r>
          </w:p>
        </w:tc>
        <w:tc>
          <w:tcPr>
            <w:tcW w:w="1918" w:type="dxa"/>
          </w:tcPr>
          <w:p w14:paraId="6E21DED2" w14:textId="77777777" w:rsidR="00607C9B" w:rsidRPr="008A134B" w:rsidRDefault="00607C9B" w:rsidP="00607C9B">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t>–</w:t>
            </w:r>
          </w:p>
        </w:tc>
        <w:tc>
          <w:tcPr>
            <w:tcW w:w="2481" w:type="dxa"/>
          </w:tcPr>
          <w:p w14:paraId="246E13B4" w14:textId="77777777" w:rsidR="00607C9B" w:rsidRPr="008A134B" w:rsidRDefault="00607C9B" w:rsidP="00607C9B">
            <w:pPr>
              <w:pStyle w:val="Heading2"/>
              <w:jc w:val="center"/>
              <w:rPr>
                <w:rFonts w:ascii="Times New Roman" w:hAnsi="Times New Roman" w:cs="Times New Roman"/>
                <w:color w:val="auto"/>
                <w:sz w:val="24"/>
                <w:szCs w:val="24"/>
              </w:rPr>
            </w:pPr>
            <w:r w:rsidRPr="008A134B">
              <w:rPr>
                <w:rFonts w:ascii="Times New Roman" w:hAnsi="Times New Roman" w:cs="Times New Roman"/>
                <w:color w:val="auto"/>
                <w:sz w:val="24"/>
                <w:szCs w:val="24"/>
              </w:rPr>
              <w:t>–</w:t>
            </w:r>
          </w:p>
        </w:tc>
      </w:tr>
    </w:tbl>
    <w:p w14:paraId="6B36D36B" w14:textId="77777777" w:rsidR="009F1F3B" w:rsidRPr="008A134B" w:rsidRDefault="009F1F3B" w:rsidP="00297AF3">
      <w:pPr>
        <w:pStyle w:val="naisf"/>
        <w:spacing w:before="0" w:after="60"/>
        <w:ind w:firstLine="0"/>
        <w:jc w:val="left"/>
        <w:rPr>
          <w:b/>
          <w:bCs/>
        </w:rPr>
      </w:pPr>
    </w:p>
    <w:p w14:paraId="315990C1" w14:textId="77777777" w:rsidR="009F1F3B" w:rsidRPr="008A134B" w:rsidRDefault="009F1F3B" w:rsidP="00297AF3">
      <w:pPr>
        <w:pStyle w:val="naisf"/>
        <w:spacing w:before="0" w:after="0"/>
        <w:ind w:firstLine="0"/>
      </w:pPr>
      <w:r w:rsidRPr="008A134B">
        <w:rPr>
          <w:b/>
          <w:bCs/>
        </w:rPr>
        <w:t>Informācija par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8A134B" w14:paraId="6DD0F91A" w14:textId="77777777" w:rsidTr="00B13AEC">
        <w:trPr>
          <w:tblCellSpacing w:w="0" w:type="dxa"/>
        </w:trPr>
        <w:tc>
          <w:tcPr>
            <w:tcW w:w="4111" w:type="dxa"/>
            <w:gridSpan w:val="2"/>
            <w:hideMark/>
          </w:tcPr>
          <w:p w14:paraId="541310B5" w14:textId="77777777" w:rsidR="009F1F3B" w:rsidRPr="008A134B" w:rsidRDefault="009F1F3B" w:rsidP="00297AF3">
            <w:pPr>
              <w:pStyle w:val="naiskr"/>
              <w:spacing w:before="0" w:after="0"/>
            </w:pPr>
            <w:r w:rsidRPr="008A134B">
              <w:t>Datums</w:t>
            </w:r>
          </w:p>
        </w:tc>
        <w:tc>
          <w:tcPr>
            <w:tcW w:w="9923" w:type="dxa"/>
            <w:gridSpan w:val="2"/>
          </w:tcPr>
          <w:p w14:paraId="7A74CC5D" w14:textId="77777777" w:rsidR="00751C84" w:rsidRPr="008A134B" w:rsidRDefault="00607C9B" w:rsidP="00297AF3">
            <w:pPr>
              <w:pStyle w:val="naisf"/>
              <w:spacing w:before="0" w:after="0"/>
              <w:ind w:firstLine="0"/>
            </w:pPr>
            <w:r>
              <w:rPr>
                <w:color w:val="000000" w:themeColor="text1"/>
              </w:rPr>
              <w:t>30.06.2020.</w:t>
            </w:r>
            <w:r w:rsidR="00AE1557">
              <w:rPr>
                <w:color w:val="000000" w:themeColor="text1"/>
              </w:rPr>
              <w:t>, 03.07.2020.</w:t>
            </w:r>
          </w:p>
        </w:tc>
      </w:tr>
      <w:tr w:rsidR="009F1F3B" w:rsidRPr="008A134B" w14:paraId="39517635" w14:textId="77777777" w:rsidTr="00B13AEC">
        <w:trPr>
          <w:tblCellSpacing w:w="0" w:type="dxa"/>
        </w:trPr>
        <w:tc>
          <w:tcPr>
            <w:tcW w:w="4111" w:type="dxa"/>
            <w:gridSpan w:val="2"/>
          </w:tcPr>
          <w:p w14:paraId="04F15B40" w14:textId="77777777" w:rsidR="009F1F3B" w:rsidRPr="008A134B" w:rsidRDefault="009F1F3B" w:rsidP="00297AF3">
            <w:pPr>
              <w:pStyle w:val="naiskr"/>
              <w:spacing w:before="0" w:after="0"/>
              <w:rPr>
                <w:bCs/>
              </w:rPr>
            </w:pPr>
          </w:p>
        </w:tc>
        <w:tc>
          <w:tcPr>
            <w:tcW w:w="9923" w:type="dxa"/>
            <w:gridSpan w:val="2"/>
          </w:tcPr>
          <w:p w14:paraId="3A466304" w14:textId="77777777" w:rsidR="009F1F3B" w:rsidRPr="008A134B" w:rsidRDefault="009F1F3B" w:rsidP="00297AF3">
            <w:pPr>
              <w:pStyle w:val="naisf"/>
              <w:spacing w:before="0" w:after="0"/>
              <w:ind w:firstLine="0"/>
            </w:pPr>
          </w:p>
        </w:tc>
      </w:tr>
      <w:tr w:rsidR="009F1F3B" w:rsidRPr="008A134B" w14:paraId="42560699" w14:textId="77777777" w:rsidTr="00B13AEC">
        <w:trPr>
          <w:tblCellSpacing w:w="0" w:type="dxa"/>
        </w:trPr>
        <w:tc>
          <w:tcPr>
            <w:tcW w:w="2552" w:type="dxa"/>
            <w:hideMark/>
          </w:tcPr>
          <w:p w14:paraId="05309C5C" w14:textId="77777777" w:rsidR="009F1F3B" w:rsidRPr="008A134B" w:rsidRDefault="009F1F3B" w:rsidP="00297AF3">
            <w:pPr>
              <w:pStyle w:val="naiskr"/>
              <w:spacing w:before="0" w:after="0"/>
            </w:pPr>
            <w:r w:rsidRPr="008A134B">
              <w:t>Saskaņošanas dalībnieki:</w:t>
            </w:r>
          </w:p>
        </w:tc>
        <w:tc>
          <w:tcPr>
            <w:tcW w:w="11482" w:type="dxa"/>
            <w:gridSpan w:val="3"/>
            <w:vAlign w:val="center"/>
            <w:hideMark/>
          </w:tcPr>
          <w:p w14:paraId="34EB2561" w14:textId="77777777" w:rsidR="009F1F3B" w:rsidRPr="008A134B" w:rsidRDefault="007E754C" w:rsidP="00297AF3">
            <w:pPr>
              <w:pStyle w:val="naisf"/>
              <w:spacing w:before="0" w:after="0"/>
              <w:ind w:firstLine="0"/>
            </w:pPr>
            <w:r w:rsidRPr="008A134B">
              <w:t>Tieslietu ministrija</w:t>
            </w:r>
            <w:r w:rsidR="009F1F3B" w:rsidRPr="008A134B">
              <w:t>.</w:t>
            </w:r>
          </w:p>
          <w:p w14:paraId="3C05B74E" w14:textId="77777777" w:rsidR="009F1F3B" w:rsidRPr="008A134B" w:rsidRDefault="009F1F3B" w:rsidP="00297AF3">
            <w:pPr>
              <w:pStyle w:val="naisf"/>
              <w:spacing w:before="0" w:after="0"/>
              <w:ind w:firstLine="0"/>
            </w:pPr>
          </w:p>
        </w:tc>
      </w:tr>
      <w:tr w:rsidR="009F1F3B" w:rsidRPr="008A134B" w14:paraId="74A77154" w14:textId="77777777" w:rsidTr="00B13AEC">
        <w:trPr>
          <w:tblCellSpacing w:w="0" w:type="dxa"/>
        </w:trPr>
        <w:tc>
          <w:tcPr>
            <w:tcW w:w="4111" w:type="dxa"/>
            <w:gridSpan w:val="2"/>
          </w:tcPr>
          <w:p w14:paraId="7947FE8F" w14:textId="77777777" w:rsidR="009F1F3B" w:rsidRPr="008A134B" w:rsidRDefault="009F1F3B" w:rsidP="00297AF3">
            <w:pPr>
              <w:pStyle w:val="naiskr"/>
              <w:spacing w:before="0" w:after="0"/>
            </w:pPr>
            <w:r w:rsidRPr="008A134B">
              <w:t>Saskaņošanas dalībnieki izskatīja šādu ministriju (citu institūciju) iebildumus:</w:t>
            </w:r>
          </w:p>
        </w:tc>
        <w:tc>
          <w:tcPr>
            <w:tcW w:w="9923" w:type="dxa"/>
            <w:gridSpan w:val="2"/>
            <w:vAlign w:val="center"/>
          </w:tcPr>
          <w:p w14:paraId="59FDB221" w14:textId="77777777" w:rsidR="009F1F3B" w:rsidRPr="008A134B" w:rsidRDefault="00607C9B" w:rsidP="00297AF3">
            <w:pPr>
              <w:pStyle w:val="naisf"/>
              <w:spacing w:before="0" w:after="0"/>
              <w:ind w:firstLine="0"/>
            </w:pPr>
            <w:r>
              <w:t>Tieslietu ministrijas 25.06.2020. atzinums Nr.1-9.1/661</w:t>
            </w:r>
            <w:r w:rsidR="00695BE1">
              <w:t xml:space="preserve"> un</w:t>
            </w:r>
            <w:r w:rsidR="00AE1557">
              <w:t xml:space="preserve"> 02.07.2020.</w:t>
            </w:r>
            <w:r w:rsidR="007D5123">
              <w:t>, 08.07.2020.</w:t>
            </w:r>
            <w:r w:rsidR="00AE1557">
              <w:t xml:space="preserve"> atzinums</w:t>
            </w:r>
            <w:r w:rsidR="000D34E1">
              <w:t xml:space="preserve"> </w:t>
            </w:r>
            <w:r w:rsidR="00695BE1" w:rsidRPr="004C433A">
              <w:t>elektroniskā pasta vēstules formā</w:t>
            </w:r>
            <w:r w:rsidR="00AE1557">
              <w:t>.</w:t>
            </w:r>
          </w:p>
        </w:tc>
      </w:tr>
      <w:tr w:rsidR="001E38A0" w:rsidRPr="008A134B" w14:paraId="395F1C51" w14:textId="77777777" w:rsidTr="00B13AEC">
        <w:trPr>
          <w:tblCellSpacing w:w="0" w:type="dxa"/>
        </w:trPr>
        <w:tc>
          <w:tcPr>
            <w:tcW w:w="4111" w:type="dxa"/>
            <w:gridSpan w:val="2"/>
          </w:tcPr>
          <w:p w14:paraId="56B39F72" w14:textId="77777777" w:rsidR="001E38A0" w:rsidRPr="008A134B" w:rsidRDefault="001E38A0" w:rsidP="00297AF3">
            <w:pPr>
              <w:pStyle w:val="naiskr"/>
              <w:spacing w:before="0" w:after="0"/>
            </w:pPr>
          </w:p>
        </w:tc>
        <w:tc>
          <w:tcPr>
            <w:tcW w:w="9923" w:type="dxa"/>
            <w:gridSpan w:val="2"/>
            <w:vAlign w:val="center"/>
          </w:tcPr>
          <w:p w14:paraId="43F8C309" w14:textId="77777777" w:rsidR="001E38A0" w:rsidRPr="008A134B" w:rsidRDefault="001E38A0" w:rsidP="00297AF3">
            <w:pPr>
              <w:pStyle w:val="naisf"/>
              <w:spacing w:before="0" w:after="0"/>
              <w:ind w:firstLine="0"/>
            </w:pPr>
          </w:p>
        </w:tc>
      </w:tr>
      <w:tr w:rsidR="009F1F3B" w:rsidRPr="008A134B" w14:paraId="79DE6357" w14:textId="77777777" w:rsidTr="001E38A0">
        <w:trPr>
          <w:tblCellSpacing w:w="0" w:type="dxa"/>
        </w:trPr>
        <w:tc>
          <w:tcPr>
            <w:tcW w:w="5387" w:type="dxa"/>
            <w:gridSpan w:val="3"/>
          </w:tcPr>
          <w:p w14:paraId="10CE266C" w14:textId="77777777" w:rsidR="009F1F3B" w:rsidRPr="008A134B" w:rsidRDefault="009F1F3B" w:rsidP="00297AF3">
            <w:pPr>
              <w:pStyle w:val="naiskr"/>
              <w:spacing w:before="0" w:after="0"/>
            </w:pPr>
            <w:r w:rsidRPr="008A134B">
              <w:t>Ministrijas (citas institūcijas), kuras nav ieradušās uz sanāksmi vai kuras nav atbildējušas uz uzaicinājumu piedalīties elektroniskajā saskaņošanā</w:t>
            </w:r>
          </w:p>
        </w:tc>
        <w:tc>
          <w:tcPr>
            <w:tcW w:w="8647" w:type="dxa"/>
            <w:vAlign w:val="center"/>
          </w:tcPr>
          <w:p w14:paraId="4FA4AC4A" w14:textId="77777777" w:rsidR="009F1F3B" w:rsidRPr="008A134B" w:rsidRDefault="00A91C9B" w:rsidP="00297AF3">
            <w:pPr>
              <w:pStyle w:val="naisf"/>
              <w:spacing w:before="0" w:after="0"/>
              <w:ind w:firstLine="0"/>
            </w:pPr>
            <w:r w:rsidRPr="008A134B">
              <w:rPr>
                <w:color w:val="000000" w:themeColor="text1"/>
              </w:rPr>
              <w:t>–</w:t>
            </w:r>
          </w:p>
          <w:p w14:paraId="7B726F6A" w14:textId="77777777" w:rsidR="001E38A0" w:rsidRPr="008A134B" w:rsidRDefault="001E38A0" w:rsidP="00297AF3">
            <w:pPr>
              <w:pStyle w:val="naisf"/>
              <w:spacing w:before="0" w:after="0"/>
              <w:ind w:firstLine="0"/>
            </w:pPr>
          </w:p>
          <w:p w14:paraId="70294238" w14:textId="77777777" w:rsidR="001E38A0" w:rsidRPr="008A134B" w:rsidRDefault="001E38A0" w:rsidP="00297AF3">
            <w:pPr>
              <w:pStyle w:val="naisf"/>
              <w:spacing w:before="0" w:after="0"/>
              <w:ind w:firstLine="0"/>
            </w:pPr>
          </w:p>
        </w:tc>
      </w:tr>
    </w:tbl>
    <w:p w14:paraId="6395EA54" w14:textId="77777777" w:rsidR="00FF4B91" w:rsidRDefault="00FF4B91" w:rsidP="00297AF3">
      <w:pPr>
        <w:jc w:val="center"/>
        <w:rPr>
          <w:b/>
          <w:color w:val="000000" w:themeColor="text1"/>
        </w:rPr>
      </w:pPr>
    </w:p>
    <w:p w14:paraId="094B7DBF" w14:textId="77777777" w:rsidR="00607C9B" w:rsidRDefault="00607C9B" w:rsidP="00297AF3">
      <w:pPr>
        <w:jc w:val="center"/>
        <w:rPr>
          <w:b/>
          <w:color w:val="000000" w:themeColor="text1"/>
        </w:rPr>
      </w:pPr>
    </w:p>
    <w:p w14:paraId="3023CB13" w14:textId="77777777" w:rsidR="00607C9B" w:rsidRDefault="00607C9B" w:rsidP="00297AF3">
      <w:pPr>
        <w:jc w:val="center"/>
        <w:rPr>
          <w:b/>
          <w:color w:val="000000" w:themeColor="text1"/>
        </w:rPr>
      </w:pPr>
    </w:p>
    <w:p w14:paraId="683264B4" w14:textId="77777777" w:rsidR="00607C9B" w:rsidRPr="008A134B" w:rsidRDefault="00607C9B" w:rsidP="00297AF3">
      <w:pPr>
        <w:jc w:val="center"/>
        <w:rPr>
          <w:b/>
          <w:color w:val="000000" w:themeColor="text1"/>
        </w:rPr>
      </w:pPr>
      <w:bookmarkStart w:id="0" w:name="_GoBack"/>
      <w:bookmarkEnd w:id="0"/>
    </w:p>
    <w:p w14:paraId="704E2E32" w14:textId="77777777" w:rsidR="009F1F3B" w:rsidRPr="008A134B" w:rsidRDefault="009F1F3B" w:rsidP="00297AF3">
      <w:pPr>
        <w:jc w:val="center"/>
        <w:rPr>
          <w:color w:val="000000" w:themeColor="text1"/>
        </w:rPr>
      </w:pPr>
      <w:r w:rsidRPr="008A134B">
        <w:rPr>
          <w:b/>
          <w:color w:val="000000" w:themeColor="text1"/>
        </w:rPr>
        <w:lastRenderedPageBreak/>
        <w:t>II. Jautājumi, par kuriem saskaņošanā vienošanās ir panākta</w:t>
      </w:r>
    </w:p>
    <w:p w14:paraId="024F2815" w14:textId="77777777" w:rsidR="009F1F3B" w:rsidRPr="008A134B"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365"/>
        <w:gridCol w:w="3376"/>
        <w:gridCol w:w="451"/>
        <w:gridCol w:w="3686"/>
        <w:gridCol w:w="3123"/>
      </w:tblGrid>
      <w:tr w:rsidR="009F1F3B" w:rsidRPr="008A134B" w14:paraId="1084BA2B" w14:textId="77777777" w:rsidTr="005E198D">
        <w:trPr>
          <w:jc w:val="center"/>
        </w:trPr>
        <w:tc>
          <w:tcPr>
            <w:tcW w:w="781" w:type="dxa"/>
            <w:shd w:val="clear" w:color="auto" w:fill="D9D9D9" w:themeFill="background1" w:themeFillShade="D9"/>
            <w:vAlign w:val="center"/>
          </w:tcPr>
          <w:p w14:paraId="31C1611B" w14:textId="77777777" w:rsidR="009F1F3B" w:rsidRPr="008A134B" w:rsidRDefault="009F1F3B" w:rsidP="00574917">
            <w:pPr>
              <w:jc w:val="center"/>
              <w:rPr>
                <w:color w:val="000000" w:themeColor="text1"/>
              </w:rPr>
            </w:pPr>
            <w:r w:rsidRPr="008A134B">
              <w:rPr>
                <w:color w:val="000000" w:themeColor="text1"/>
              </w:rPr>
              <w:t>Nr.</w:t>
            </w:r>
          </w:p>
          <w:p w14:paraId="62B71A7B" w14:textId="77777777" w:rsidR="009F1F3B" w:rsidRPr="008A134B" w:rsidRDefault="009F1F3B" w:rsidP="00574917">
            <w:pPr>
              <w:jc w:val="center"/>
              <w:rPr>
                <w:color w:val="000000" w:themeColor="text1"/>
              </w:rPr>
            </w:pPr>
            <w:r w:rsidRPr="008A134B">
              <w:rPr>
                <w:color w:val="000000" w:themeColor="text1"/>
              </w:rPr>
              <w:t>p.k.</w:t>
            </w:r>
          </w:p>
        </w:tc>
        <w:tc>
          <w:tcPr>
            <w:tcW w:w="3325" w:type="dxa"/>
            <w:gridSpan w:val="2"/>
            <w:shd w:val="clear" w:color="auto" w:fill="D9D9D9" w:themeFill="background1" w:themeFillShade="D9"/>
            <w:vAlign w:val="center"/>
          </w:tcPr>
          <w:p w14:paraId="257FD114" w14:textId="77777777" w:rsidR="009F1F3B" w:rsidRPr="008A134B" w:rsidRDefault="009F1F3B" w:rsidP="00574917">
            <w:pPr>
              <w:jc w:val="center"/>
              <w:rPr>
                <w:color w:val="000000" w:themeColor="text1"/>
              </w:rPr>
            </w:pPr>
            <w:r w:rsidRPr="008A134B">
              <w:rPr>
                <w:color w:val="000000" w:themeColor="text1"/>
              </w:rPr>
              <w:t>Saskaņošanai nosūtītā projekta redakcija (konkrēta punkta redakcija)</w:t>
            </w:r>
          </w:p>
        </w:tc>
        <w:tc>
          <w:tcPr>
            <w:tcW w:w="3827" w:type="dxa"/>
            <w:gridSpan w:val="2"/>
            <w:shd w:val="clear" w:color="auto" w:fill="D9D9D9" w:themeFill="background1" w:themeFillShade="D9"/>
            <w:vAlign w:val="center"/>
          </w:tcPr>
          <w:p w14:paraId="3384B16D" w14:textId="77777777" w:rsidR="009F1F3B" w:rsidRPr="008A134B" w:rsidRDefault="009F1F3B" w:rsidP="00574917">
            <w:pPr>
              <w:jc w:val="center"/>
              <w:rPr>
                <w:color w:val="000000" w:themeColor="text1"/>
              </w:rPr>
            </w:pPr>
            <w:r w:rsidRPr="008A134B">
              <w:rPr>
                <w:color w:val="000000" w:themeColor="text1"/>
              </w:rPr>
              <w:t>Atzinumā norādītais ministrijas (citas institūcijas) iebildums, kā arī saskaņošanā papildus izteiktais iebildums par projekta konkrēto punktu</w:t>
            </w:r>
          </w:p>
        </w:tc>
        <w:tc>
          <w:tcPr>
            <w:tcW w:w="3686" w:type="dxa"/>
            <w:shd w:val="clear" w:color="auto" w:fill="D9D9D9" w:themeFill="background1" w:themeFillShade="D9"/>
            <w:vAlign w:val="center"/>
          </w:tcPr>
          <w:p w14:paraId="04976F2E" w14:textId="77777777" w:rsidR="009F1F3B" w:rsidRPr="008A134B" w:rsidRDefault="009F1F3B" w:rsidP="00574917">
            <w:pPr>
              <w:jc w:val="center"/>
              <w:rPr>
                <w:color w:val="000000" w:themeColor="text1"/>
              </w:rPr>
            </w:pPr>
            <w:r w:rsidRPr="008A134B">
              <w:rPr>
                <w:color w:val="000000" w:themeColor="text1"/>
              </w:rPr>
              <w:t>Atbildīgās ministrijas norāde par to, ka iebildums ir ņemts vērā, vai informācija par saskaņošanā panākto alternatīvo risinājumu</w:t>
            </w:r>
          </w:p>
        </w:tc>
        <w:tc>
          <w:tcPr>
            <w:tcW w:w="3123" w:type="dxa"/>
            <w:shd w:val="clear" w:color="auto" w:fill="D9D9D9" w:themeFill="background1" w:themeFillShade="D9"/>
            <w:vAlign w:val="center"/>
          </w:tcPr>
          <w:p w14:paraId="4090DD40" w14:textId="77777777" w:rsidR="009F1F3B" w:rsidRPr="008A134B" w:rsidRDefault="009F1F3B" w:rsidP="00574917">
            <w:pPr>
              <w:jc w:val="center"/>
              <w:rPr>
                <w:color w:val="000000" w:themeColor="text1"/>
              </w:rPr>
            </w:pPr>
            <w:r w:rsidRPr="008A134B">
              <w:rPr>
                <w:color w:val="000000" w:themeColor="text1"/>
              </w:rPr>
              <w:t>Projekta attiecīgā punkta galīgā redakcija</w:t>
            </w:r>
          </w:p>
        </w:tc>
      </w:tr>
      <w:tr w:rsidR="009F1F3B" w:rsidRPr="008A134B" w14:paraId="1D03A4A6" w14:textId="77777777" w:rsidTr="005E198D">
        <w:trPr>
          <w:jc w:val="center"/>
        </w:trPr>
        <w:tc>
          <w:tcPr>
            <w:tcW w:w="781" w:type="dxa"/>
            <w:shd w:val="clear" w:color="auto" w:fill="D9D9D9" w:themeFill="background1" w:themeFillShade="D9"/>
          </w:tcPr>
          <w:p w14:paraId="4EE6B5E6" w14:textId="77777777" w:rsidR="009F1F3B" w:rsidRPr="008A134B" w:rsidRDefault="009F1F3B" w:rsidP="00574917">
            <w:pPr>
              <w:jc w:val="center"/>
              <w:rPr>
                <w:i/>
                <w:color w:val="000000" w:themeColor="text1"/>
                <w:sz w:val="20"/>
                <w:szCs w:val="20"/>
              </w:rPr>
            </w:pPr>
            <w:r w:rsidRPr="008A134B">
              <w:rPr>
                <w:i/>
                <w:color w:val="000000" w:themeColor="text1"/>
                <w:sz w:val="20"/>
                <w:szCs w:val="20"/>
              </w:rPr>
              <w:t>1</w:t>
            </w:r>
          </w:p>
        </w:tc>
        <w:tc>
          <w:tcPr>
            <w:tcW w:w="3325" w:type="dxa"/>
            <w:gridSpan w:val="2"/>
            <w:shd w:val="clear" w:color="auto" w:fill="D9D9D9" w:themeFill="background1" w:themeFillShade="D9"/>
          </w:tcPr>
          <w:p w14:paraId="03DD0DD4" w14:textId="77777777" w:rsidR="009F1F3B" w:rsidRPr="008A134B" w:rsidRDefault="009F1F3B" w:rsidP="00574917">
            <w:pPr>
              <w:jc w:val="center"/>
              <w:rPr>
                <w:i/>
                <w:color w:val="000000" w:themeColor="text1"/>
                <w:sz w:val="20"/>
                <w:szCs w:val="20"/>
              </w:rPr>
            </w:pPr>
            <w:r w:rsidRPr="008A134B">
              <w:rPr>
                <w:i/>
                <w:color w:val="000000" w:themeColor="text1"/>
                <w:sz w:val="20"/>
                <w:szCs w:val="20"/>
              </w:rPr>
              <w:t>2</w:t>
            </w:r>
          </w:p>
        </w:tc>
        <w:tc>
          <w:tcPr>
            <w:tcW w:w="3827" w:type="dxa"/>
            <w:gridSpan w:val="2"/>
            <w:shd w:val="clear" w:color="auto" w:fill="D9D9D9" w:themeFill="background1" w:themeFillShade="D9"/>
            <w:vAlign w:val="center"/>
          </w:tcPr>
          <w:p w14:paraId="52682640" w14:textId="77777777" w:rsidR="009F1F3B" w:rsidRPr="008A134B" w:rsidRDefault="009F1F3B" w:rsidP="00574917">
            <w:pPr>
              <w:jc w:val="center"/>
              <w:rPr>
                <w:i/>
                <w:color w:val="000000" w:themeColor="text1"/>
                <w:sz w:val="20"/>
                <w:szCs w:val="20"/>
              </w:rPr>
            </w:pPr>
            <w:r w:rsidRPr="008A134B">
              <w:rPr>
                <w:i/>
                <w:color w:val="000000" w:themeColor="text1"/>
                <w:sz w:val="20"/>
                <w:szCs w:val="20"/>
              </w:rPr>
              <w:t>3</w:t>
            </w:r>
          </w:p>
        </w:tc>
        <w:tc>
          <w:tcPr>
            <w:tcW w:w="3686" w:type="dxa"/>
            <w:shd w:val="clear" w:color="auto" w:fill="D9D9D9" w:themeFill="background1" w:themeFillShade="D9"/>
          </w:tcPr>
          <w:p w14:paraId="009053D9" w14:textId="77777777" w:rsidR="009F1F3B" w:rsidRPr="008A134B" w:rsidRDefault="009F1F3B" w:rsidP="00574917">
            <w:pPr>
              <w:jc w:val="center"/>
              <w:rPr>
                <w:i/>
                <w:color w:val="000000" w:themeColor="text1"/>
                <w:sz w:val="20"/>
                <w:szCs w:val="20"/>
              </w:rPr>
            </w:pPr>
            <w:r w:rsidRPr="008A134B">
              <w:rPr>
                <w:i/>
                <w:color w:val="000000" w:themeColor="text1"/>
                <w:sz w:val="20"/>
                <w:szCs w:val="20"/>
              </w:rPr>
              <w:t>4</w:t>
            </w:r>
          </w:p>
        </w:tc>
        <w:tc>
          <w:tcPr>
            <w:tcW w:w="3123" w:type="dxa"/>
            <w:shd w:val="clear" w:color="auto" w:fill="D9D9D9" w:themeFill="background1" w:themeFillShade="D9"/>
            <w:vAlign w:val="center"/>
          </w:tcPr>
          <w:p w14:paraId="3BED6334" w14:textId="77777777" w:rsidR="009F1F3B" w:rsidRPr="008A134B" w:rsidRDefault="009F1F3B" w:rsidP="00574917">
            <w:pPr>
              <w:jc w:val="center"/>
              <w:rPr>
                <w:i/>
                <w:color w:val="000000" w:themeColor="text1"/>
                <w:sz w:val="20"/>
                <w:szCs w:val="20"/>
              </w:rPr>
            </w:pPr>
            <w:r w:rsidRPr="008A134B">
              <w:rPr>
                <w:i/>
                <w:color w:val="000000" w:themeColor="text1"/>
                <w:sz w:val="20"/>
                <w:szCs w:val="20"/>
              </w:rPr>
              <w:t>5</w:t>
            </w:r>
          </w:p>
        </w:tc>
      </w:tr>
      <w:tr w:rsidR="00302A2F" w:rsidRPr="008A134B" w14:paraId="1C7AE23B" w14:textId="77777777" w:rsidTr="005E198D">
        <w:trPr>
          <w:jc w:val="center"/>
        </w:trPr>
        <w:tc>
          <w:tcPr>
            <w:tcW w:w="781" w:type="dxa"/>
          </w:tcPr>
          <w:p w14:paraId="2FD042AE" w14:textId="77777777" w:rsidR="00302A2F" w:rsidRPr="008A134B" w:rsidRDefault="00795A8D" w:rsidP="0022644E">
            <w:pPr>
              <w:jc w:val="center"/>
              <w:rPr>
                <w:color w:val="000000" w:themeColor="text1"/>
              </w:rPr>
            </w:pPr>
            <w:r w:rsidRPr="008A134B">
              <w:rPr>
                <w:color w:val="000000" w:themeColor="text1"/>
              </w:rPr>
              <w:t>1.</w:t>
            </w:r>
          </w:p>
        </w:tc>
        <w:tc>
          <w:tcPr>
            <w:tcW w:w="3325" w:type="dxa"/>
            <w:gridSpan w:val="2"/>
          </w:tcPr>
          <w:p w14:paraId="639AE6E6" w14:textId="77777777" w:rsidR="00303641" w:rsidRPr="00011828" w:rsidRDefault="00AE5A39" w:rsidP="00011828">
            <w:r w:rsidRPr="00011828">
              <w:t>2. Noteikumi neattiecas uz nomas līgumiem, kas noslēgti par publiskas personas un publiskas personas kontrolētas kapitālsabiedrības nekustamā īpašuma iznomāšanu zemes dzīļu izmantošanai.</w:t>
            </w:r>
          </w:p>
        </w:tc>
        <w:tc>
          <w:tcPr>
            <w:tcW w:w="3827" w:type="dxa"/>
            <w:gridSpan w:val="2"/>
          </w:tcPr>
          <w:p w14:paraId="4898EFA7" w14:textId="77777777" w:rsidR="00302A2F" w:rsidRPr="00011828" w:rsidRDefault="00607C9B" w:rsidP="0050576F">
            <w:pPr>
              <w:pStyle w:val="Default"/>
              <w:spacing w:after="60"/>
              <w:rPr>
                <w:b/>
                <w:color w:val="auto"/>
              </w:rPr>
            </w:pPr>
            <w:r w:rsidRPr="00011828">
              <w:rPr>
                <w:b/>
              </w:rPr>
              <w:t>Tieslietu</w:t>
            </w:r>
            <w:r w:rsidR="00504B71" w:rsidRPr="00011828">
              <w:rPr>
                <w:b/>
              </w:rPr>
              <w:t xml:space="preserve"> ministrija</w:t>
            </w:r>
          </w:p>
          <w:p w14:paraId="2E2EBB4D" w14:textId="77777777" w:rsidR="00297AF3" w:rsidRPr="00011828" w:rsidRDefault="0050576F" w:rsidP="00781373">
            <w:pPr>
              <w:spacing w:after="60"/>
              <w:rPr>
                <w:u w:val="single"/>
              </w:rPr>
            </w:pPr>
            <w:r w:rsidRPr="00011828">
              <w:t xml:space="preserve">Projekta 2.punkts noteic, ka noteikumi neattiecas uz nomas līgumiem, kas noslēgti par publiskas personas un publiskas personas kontrolētas kapitālsabiedrības nekustamā īpašuma iznomāšanu zemes dzīļu izmantošanai. No projekta un anotācijas nav saprotams pamats šāda izņēmuma noteikšanai. Turklāt šāds izņēmums nav noteikts arī </w:t>
            </w:r>
            <w:r w:rsidRPr="00011828">
              <w:rPr>
                <w:bCs/>
                <w:shd w:val="clear" w:color="auto" w:fill="FFFFFF"/>
              </w:rPr>
              <w:t xml:space="preserve">Covid-19 infekcijas izplatības seku pārvarēšanas likumā, uz kura pamata izstrādāts projekts. </w:t>
            </w:r>
            <w:r w:rsidRPr="00011828">
              <w:t xml:space="preserve"> Līdz ar to tiesiskās skaidrības nodrošināšanai lūdzam anotācijā skaidrot, kāpēc projekta 2. punktā noteikts izņēmums attiecībā uz nomas līgumiem, kas noslēgti par publiskas personas un publiskas personas kontrolētas kapitālsabiedrības nekustamā īpašuma iznomāšanu zemes dzīļu izmantošanai.</w:t>
            </w:r>
          </w:p>
        </w:tc>
        <w:tc>
          <w:tcPr>
            <w:tcW w:w="3686" w:type="dxa"/>
          </w:tcPr>
          <w:p w14:paraId="51D44673" w14:textId="77777777" w:rsidR="00303641" w:rsidRPr="00011828" w:rsidRDefault="00B1696E" w:rsidP="00AE5A39">
            <w:pPr>
              <w:spacing w:after="120"/>
              <w:rPr>
                <w:b/>
                <w:shd w:val="clear" w:color="auto" w:fill="FFFFFF"/>
              </w:rPr>
            </w:pPr>
            <w:r w:rsidRPr="00011828">
              <w:rPr>
                <w:b/>
                <w:shd w:val="clear" w:color="auto" w:fill="FFFFFF"/>
              </w:rPr>
              <w:t>Ņemts vērā.</w:t>
            </w:r>
          </w:p>
        </w:tc>
        <w:tc>
          <w:tcPr>
            <w:tcW w:w="3123" w:type="dxa"/>
          </w:tcPr>
          <w:p w14:paraId="579F7C92" w14:textId="77777777" w:rsidR="0054787C" w:rsidRPr="001370C6" w:rsidRDefault="00011828" w:rsidP="0022644E">
            <w:pPr>
              <w:pStyle w:val="NormalWeb"/>
              <w:shd w:val="clear" w:color="auto" w:fill="FFFFFF"/>
              <w:spacing w:before="0" w:beforeAutospacing="0" w:after="0" w:afterAutospacing="0"/>
              <w:rPr>
                <w:i/>
              </w:rPr>
            </w:pPr>
            <w:r w:rsidRPr="001370C6">
              <w:rPr>
                <w:i/>
              </w:rPr>
              <w:t xml:space="preserve">Precizēts </w:t>
            </w:r>
            <w:r w:rsidRPr="001370C6">
              <w:rPr>
                <w:bCs/>
                <w:i/>
              </w:rPr>
              <w:t>projekta sākotnējās ietekmes novērtējuma ziņojums (anotācija).</w:t>
            </w:r>
          </w:p>
        </w:tc>
      </w:tr>
      <w:tr w:rsidR="0050576F" w:rsidRPr="008A134B" w14:paraId="6D2CF7C4" w14:textId="77777777" w:rsidTr="005E198D">
        <w:trPr>
          <w:jc w:val="center"/>
        </w:trPr>
        <w:tc>
          <w:tcPr>
            <w:tcW w:w="781" w:type="dxa"/>
          </w:tcPr>
          <w:p w14:paraId="3145A835" w14:textId="77777777" w:rsidR="0050576F" w:rsidRPr="008A134B" w:rsidRDefault="0050576F" w:rsidP="0050576F">
            <w:pPr>
              <w:jc w:val="center"/>
              <w:rPr>
                <w:color w:val="000000" w:themeColor="text1"/>
              </w:rPr>
            </w:pPr>
            <w:r w:rsidRPr="008A134B">
              <w:rPr>
                <w:color w:val="000000" w:themeColor="text1"/>
              </w:rPr>
              <w:t>2.</w:t>
            </w:r>
          </w:p>
        </w:tc>
        <w:tc>
          <w:tcPr>
            <w:tcW w:w="3325" w:type="dxa"/>
            <w:gridSpan w:val="2"/>
          </w:tcPr>
          <w:p w14:paraId="5852CAA0" w14:textId="77777777" w:rsidR="00011828" w:rsidRPr="001370C6" w:rsidRDefault="00011828" w:rsidP="00011828">
            <w:pPr>
              <w:pStyle w:val="tv213"/>
              <w:shd w:val="clear" w:color="auto" w:fill="FFFFFF"/>
              <w:spacing w:before="0"/>
            </w:pPr>
            <w:r w:rsidRPr="001370C6">
              <w:t xml:space="preserve">3. Publiskas personas un publiskas personas kontrolētas </w:t>
            </w:r>
            <w:r w:rsidRPr="001370C6">
              <w:lastRenderedPageBreak/>
              <w:t>kapitālsabiedrības nekustamā īpašuma vai kustamās mantas iznomātājs (turpmāk – iznomātājs), pamatojoties uz nomnieka iesniegumu, uz noteiktu laika periodu, sākot no 2020. gada 12. marta, bet ne ilgāk kā līdz 2020. gada 31. decembrim, vienpusēji, neveicot grozījumus nomas līgumā, saskaņā ar šo noteikumu 5. punktu piemēro nomas maksas atbrīvojumu vai samazinājumu, ja nomnieks vienlaikus atbilst visiem šādiem kritērijiem: [..]</w:t>
            </w:r>
          </w:p>
          <w:p w14:paraId="7B344000" w14:textId="77777777" w:rsidR="0050576F" w:rsidRPr="001370C6" w:rsidRDefault="00011828" w:rsidP="00952646">
            <w:pPr>
              <w:pStyle w:val="tv213"/>
              <w:shd w:val="clear" w:color="auto" w:fill="FFFFFF"/>
              <w:spacing w:before="0"/>
            </w:pPr>
            <w:r w:rsidRPr="001370C6">
              <w:t xml:space="preserve">6. Iznomātājs, pamatojoties uz nomnieka iesniegumu, sākot no 2020. gada 12. marta, bet ne ilgāk kā līdz 2020. gada 31. decembrim nepiemēro kavējuma procentus un līgumsodus publiskas personas un publiskas personas kontrolētas kapitālsabiedrības nekustamā īpašuma vai kustamās mantas nomas maksas un citu saistīto maksājumu samaksas kavējuma gadījumā, ja nomnieks vienlaikus atbilst visiem šo noteikumu 3. punktā minētajiem kritērijiem. </w:t>
            </w:r>
            <w:r w:rsidRPr="001370C6">
              <w:lastRenderedPageBreak/>
              <w:t>Nomnieks veic samaksu par nomas objekta uzturēšanai nepieciešamajiem pakalpojumiem (piemēram, elektroenerģiju, siltumenerģiju, ūdensapgādi), nekustamā īpašuma nodokļa kompensāciju un sedz apdrošināšanas izdevumus.</w:t>
            </w:r>
          </w:p>
        </w:tc>
        <w:tc>
          <w:tcPr>
            <w:tcW w:w="3827" w:type="dxa"/>
            <w:gridSpan w:val="2"/>
          </w:tcPr>
          <w:p w14:paraId="1E884513" w14:textId="77777777" w:rsidR="0050576F" w:rsidRPr="001370C6" w:rsidRDefault="0050576F" w:rsidP="00781373">
            <w:pPr>
              <w:pStyle w:val="Default"/>
              <w:spacing w:after="60"/>
              <w:rPr>
                <w:b/>
                <w:color w:val="auto"/>
              </w:rPr>
            </w:pPr>
            <w:r w:rsidRPr="001370C6">
              <w:rPr>
                <w:b/>
              </w:rPr>
              <w:lastRenderedPageBreak/>
              <w:t>Tieslietu ministrija</w:t>
            </w:r>
          </w:p>
          <w:p w14:paraId="6CCEB427" w14:textId="77777777" w:rsidR="0050576F" w:rsidRPr="001370C6" w:rsidRDefault="0050576F" w:rsidP="00781373">
            <w:pPr>
              <w:spacing w:after="60"/>
            </w:pPr>
            <w:r w:rsidRPr="001370C6">
              <w:lastRenderedPageBreak/>
              <w:t xml:space="preserve">Projekta 3.punktā noteikts, ka publiskas personas un publiskas personas kontrolētas kapitālsabiedrības nekustamā īpašuma vai kustamās mantas iznomātājs, pamatojoties uz nomnieka iesniegumu, uz noteiktu laika periodu, sākot no </w:t>
            </w:r>
            <w:r w:rsidRPr="001370C6">
              <w:rPr>
                <w:u w:val="single"/>
              </w:rPr>
              <w:t>2020. gada 12. marta</w:t>
            </w:r>
            <w:r w:rsidRPr="001370C6">
              <w:t xml:space="preserve">, bet ne ilgāk kā līdz 2020. gada 31. decembrim, vienpusēji, neveicot grozījumus nomas līgumā, saskaņā ar šo noteikumu 5. punktu piemēro nomas maksas atbrīvojumu vai samazinājumu. Paskaidrojam, ka saskaņā ar Oficiālo publikāciju un tiesiskās informācijas likuma 9.panta ceturto daļu normatīvajam aktam vai tā daļai </w:t>
            </w:r>
            <w:r w:rsidRPr="001370C6">
              <w:rPr>
                <w:u w:val="single"/>
              </w:rPr>
              <w:t>nav atpakaļejoša spēka, izņemot likumā īpaši paredzētus gadījumus</w:t>
            </w:r>
            <w:r w:rsidRPr="001370C6">
              <w:t xml:space="preserve">. Vēršam uzmanību, ka </w:t>
            </w:r>
            <w:r w:rsidRPr="001370C6">
              <w:rPr>
                <w:bCs/>
                <w:shd w:val="clear" w:color="auto" w:fill="FFFFFF"/>
              </w:rPr>
              <w:t xml:space="preserve">Covid-19 infekcijas izplatības seku pārvarēšanas likuma 14. panta pirmā </w:t>
            </w:r>
            <w:r w:rsidRPr="001370C6">
              <w:t xml:space="preserve">daļa, kuras piemērošanas kārtību noteiks projekts, neparedz atpakaļejošu spēku komersantu un citus saimnieciskās darbības veicēju, biedrību un nodibinājumu, kurus ietekmējusi saistībā ar Covid-19 izplatību noteiktā ārkārtējā situācija, atbrīvošanai no publiskas personas mantas un publiskas personas kontrolētas kapitālsabiedrības mantas </w:t>
            </w:r>
            <w:r w:rsidRPr="001370C6">
              <w:lastRenderedPageBreak/>
              <w:t>nomas maksas vai tās samazinājumam. Turklāt arī likuma "Par valsts apdraudējuma un tā seku novēršanas un pārvarēšanas pasākumiem sakarā ar Covid-19 izplatību" 13. panta pirmajā daļā, uz kura pamata izdoti šobrīd piemērojamie Ministru kabineta 2020. gada 2. aprīļa noteikumi Nr. 180 "</w:t>
            </w:r>
            <w:r w:rsidRPr="001370C6">
              <w:rPr>
                <w:bCs/>
              </w:rPr>
              <w:t>Noteikumi par publiskas personas un publiskas personas kontrolētas kapitālsabiedrības mantas nomas maksas atbrīvojuma vai samazinājuma piemērošanu sakarā ar Covid-19 izplatību", noteikts, ka šis atvieglojumi piemērojami vienīgi</w:t>
            </w:r>
            <w:r w:rsidRPr="001370C6">
              <w:t xml:space="preserve"> </w:t>
            </w:r>
            <w:r w:rsidRPr="001370C6">
              <w:rPr>
                <w:u w:val="single"/>
              </w:rPr>
              <w:t>uz šā likuma darbības laiku</w:t>
            </w:r>
            <w:r w:rsidRPr="001370C6">
              <w:t xml:space="preserve">, t.i. no 2020. gada 23.marta. Līdz ar to no projekta 3.punkta svītrojami vārdi un skaitļi "uz noteiktu laika periodu, sākot no </w:t>
            </w:r>
            <w:r w:rsidRPr="001370C6">
              <w:rPr>
                <w:u w:val="single"/>
              </w:rPr>
              <w:t>2020. gada 12. marta</w:t>
            </w:r>
            <w:r w:rsidRPr="001370C6">
              <w:t>, bet ne ilgāk kā". Līdzīgi precizējams arī projekta 6. punkts.</w:t>
            </w:r>
          </w:p>
        </w:tc>
        <w:tc>
          <w:tcPr>
            <w:tcW w:w="3686" w:type="dxa"/>
          </w:tcPr>
          <w:p w14:paraId="50E23C98" w14:textId="77777777" w:rsidR="0050576F" w:rsidRPr="008D4DF0" w:rsidRDefault="0050576F" w:rsidP="008D4DF0">
            <w:pPr>
              <w:spacing w:after="120"/>
              <w:rPr>
                <w:b/>
                <w:shd w:val="clear" w:color="auto" w:fill="FFFFFF"/>
              </w:rPr>
            </w:pPr>
            <w:r w:rsidRPr="001370C6">
              <w:rPr>
                <w:b/>
                <w:shd w:val="clear" w:color="auto" w:fill="FFFFFF"/>
              </w:rPr>
              <w:lastRenderedPageBreak/>
              <w:t>Ņemts vērā.</w:t>
            </w:r>
          </w:p>
        </w:tc>
        <w:tc>
          <w:tcPr>
            <w:tcW w:w="3123" w:type="dxa"/>
          </w:tcPr>
          <w:p w14:paraId="123B79F3" w14:textId="77777777" w:rsidR="00E76250" w:rsidRPr="001370C6" w:rsidRDefault="00E76250" w:rsidP="00E76250">
            <w:pPr>
              <w:pStyle w:val="tv213"/>
              <w:shd w:val="clear" w:color="auto" w:fill="FFFFFF"/>
              <w:spacing w:before="0"/>
            </w:pPr>
            <w:r w:rsidRPr="001370C6">
              <w:t xml:space="preserve">3. Publiskas personas un publiskas personas </w:t>
            </w:r>
            <w:r w:rsidRPr="001370C6">
              <w:lastRenderedPageBreak/>
              <w:t xml:space="preserve">kontrolētas kapitālsabiedrības nekustamā īpašuma vai kustamās mantas iznomātājs (turpmāk – iznomātājs), pamatojoties uz nomnieka iesniegumu, </w:t>
            </w:r>
            <w:r w:rsidRPr="001370C6">
              <w:rPr>
                <w:u w:val="single"/>
              </w:rPr>
              <w:t>uz noteiktu laika periodu, bet ne ilgāk kā līdz 2020. gada 31. decembrim</w:t>
            </w:r>
            <w:r w:rsidRPr="001370C6">
              <w:t>, vienpusēji, neveicot grozījumus nomas līgumā, saskaņā ar šo noteikumu 5. punktu piemēro nomas maksas atbrīvojumu vai samazinājumu, ja nomnieks vienlaikus atbilst visiem šādiem kritērijiem:</w:t>
            </w:r>
            <w:r w:rsidR="001370C6" w:rsidRPr="001370C6">
              <w:t xml:space="preserve"> [..]</w:t>
            </w:r>
          </w:p>
          <w:p w14:paraId="0EC213E1" w14:textId="77777777" w:rsidR="0050576F" w:rsidRPr="001370C6" w:rsidRDefault="001370C6" w:rsidP="001370C6">
            <w:pPr>
              <w:pStyle w:val="tv213"/>
              <w:shd w:val="clear" w:color="auto" w:fill="FFFFFF"/>
              <w:spacing w:before="0"/>
            </w:pPr>
            <w:r w:rsidRPr="001370C6">
              <w:t xml:space="preserve">6. Iznomātājs, </w:t>
            </w:r>
            <w:r w:rsidRPr="001370C6">
              <w:rPr>
                <w:u w:val="single"/>
              </w:rPr>
              <w:t>pamatojoties uz nomnieka iesniegumu, līdz 2020. gada 31. decembrim</w:t>
            </w:r>
            <w:r w:rsidRPr="001370C6">
              <w:t xml:space="preserve"> nepiemēro kavējuma procentus un līgumsodus publiskas personas un publiskas personas kontrolētas kapitālsabiedrības nekustamā īpašuma vai kustamās mantas nomas maksas un citu saistīto maksājumu samaksas kavējuma gadījumā, ja nomnieks vienlaikus atbilst visiem šo noteikumu 3. punktā minētajiem </w:t>
            </w:r>
            <w:r w:rsidRPr="001370C6">
              <w:lastRenderedPageBreak/>
              <w:t>kritērijiem. Nomnieks veic samaksu par nomas objekta uzturēšanai nepieciešamajiem pakalpojumiem (piemēram, elektroenerģiju, siltumenerģiju, ūdensapgādi), nekustamā īpašuma nodokļa kompensāciju un sedz apdrošināšanas izdevumus.</w:t>
            </w:r>
          </w:p>
          <w:p w14:paraId="468165D8" w14:textId="77777777" w:rsidR="001370C6" w:rsidRPr="001370C6" w:rsidRDefault="001370C6" w:rsidP="00E91BB2">
            <w:pPr>
              <w:pStyle w:val="tv213"/>
              <w:shd w:val="clear" w:color="auto" w:fill="FFFFFF"/>
              <w:rPr>
                <w:i/>
              </w:rPr>
            </w:pPr>
            <w:r w:rsidRPr="001370C6">
              <w:rPr>
                <w:i/>
              </w:rPr>
              <w:t xml:space="preserve">Precizēts </w:t>
            </w:r>
            <w:r w:rsidRPr="001370C6">
              <w:rPr>
                <w:bCs/>
                <w:i/>
              </w:rPr>
              <w:t>projekta sākotnējās ietekmes novērtējuma ziņojums (anotācija).</w:t>
            </w:r>
          </w:p>
        </w:tc>
      </w:tr>
      <w:tr w:rsidR="0050576F" w:rsidRPr="008A134B" w14:paraId="1BC1EC03" w14:textId="77777777" w:rsidTr="005E198D">
        <w:trPr>
          <w:jc w:val="center"/>
        </w:trPr>
        <w:tc>
          <w:tcPr>
            <w:tcW w:w="781" w:type="dxa"/>
          </w:tcPr>
          <w:p w14:paraId="712A1469" w14:textId="77777777" w:rsidR="0050576F" w:rsidRPr="008A134B" w:rsidRDefault="0050576F" w:rsidP="0050576F">
            <w:pPr>
              <w:jc w:val="center"/>
              <w:rPr>
                <w:color w:val="000000" w:themeColor="text1"/>
              </w:rPr>
            </w:pPr>
            <w:r w:rsidRPr="008A134B">
              <w:rPr>
                <w:color w:val="000000" w:themeColor="text1"/>
              </w:rPr>
              <w:lastRenderedPageBreak/>
              <w:t>3.</w:t>
            </w:r>
          </w:p>
        </w:tc>
        <w:tc>
          <w:tcPr>
            <w:tcW w:w="3325" w:type="dxa"/>
            <w:gridSpan w:val="2"/>
          </w:tcPr>
          <w:p w14:paraId="765DE3DF" w14:textId="77777777" w:rsidR="00952646" w:rsidRPr="001A44BC" w:rsidRDefault="00952646" w:rsidP="001A44BC">
            <w:pPr>
              <w:pStyle w:val="tv213"/>
              <w:shd w:val="clear" w:color="auto" w:fill="FFFFFF"/>
              <w:spacing w:before="0" w:beforeAutospacing="0" w:after="60" w:afterAutospacing="0"/>
            </w:pPr>
            <w:r w:rsidRPr="001A44BC">
              <w:t>5. Iznomātājs piemēro:</w:t>
            </w:r>
          </w:p>
          <w:p w14:paraId="0AFBD93A" w14:textId="77777777" w:rsidR="0050576F" w:rsidRPr="001A44BC" w:rsidRDefault="00952646" w:rsidP="004738A5">
            <w:pPr>
              <w:pStyle w:val="tv213"/>
              <w:shd w:val="clear" w:color="auto" w:fill="FFFFFF"/>
              <w:spacing w:before="0" w:beforeAutospacing="0" w:after="0" w:afterAutospacing="0"/>
            </w:pPr>
            <w:r w:rsidRPr="001A44BC">
              <w:t xml:space="preserve">5.1. nomas maksas atbrīvojumu, ja nomnieks noteiktajā periodā nekustamo īpašumu vai kustamo mantu vispār neizmanto saimnieciskās darbības veikšanai Ministru kabineta noteikto </w:t>
            </w:r>
            <w:r w:rsidRPr="001A44BC">
              <w:rPr>
                <w:bCs/>
                <w:shd w:val="clear" w:color="auto" w:fill="FFFFFF"/>
              </w:rPr>
              <w:t xml:space="preserve">epidemioloģiskās drošības pasākumu dēļ Covid-19 </w:t>
            </w:r>
            <w:r w:rsidRPr="001A44BC">
              <w:rPr>
                <w:bCs/>
                <w:shd w:val="clear" w:color="auto" w:fill="FFFFFF"/>
              </w:rPr>
              <w:lastRenderedPageBreak/>
              <w:t xml:space="preserve">infekcijas izplatības ierobežošanai. </w:t>
            </w:r>
            <w:r w:rsidRPr="001A44BC">
              <w:t>Nomnieks veic samaksu par nomas objekta uzturēšanai nepieciešamajiem pakalpojumiem (piemēram, elektroenerģiju, siltumenerģiju, ūdensapgādi), nekustamā īpašuma nodokļa kompensāciju un sedz apdrošināšanas izdevumus; [..]</w:t>
            </w:r>
          </w:p>
        </w:tc>
        <w:tc>
          <w:tcPr>
            <w:tcW w:w="3827" w:type="dxa"/>
            <w:gridSpan w:val="2"/>
          </w:tcPr>
          <w:p w14:paraId="7AC9393E" w14:textId="77777777" w:rsidR="0050576F" w:rsidRPr="001A44BC" w:rsidRDefault="0050576F" w:rsidP="00781373">
            <w:pPr>
              <w:pStyle w:val="Default"/>
              <w:spacing w:after="60"/>
              <w:rPr>
                <w:b/>
                <w:color w:val="auto"/>
              </w:rPr>
            </w:pPr>
            <w:r w:rsidRPr="001A44BC">
              <w:rPr>
                <w:b/>
              </w:rPr>
              <w:lastRenderedPageBreak/>
              <w:t>Tieslietu ministrija</w:t>
            </w:r>
          </w:p>
          <w:p w14:paraId="14A6020D" w14:textId="77777777" w:rsidR="0050576F" w:rsidRPr="001A44BC" w:rsidRDefault="0050576F" w:rsidP="00781373">
            <w:pPr>
              <w:spacing w:after="60"/>
            </w:pPr>
            <w:r w:rsidRPr="001A44BC">
              <w:rPr>
                <w:rFonts w:eastAsia="PMingLiU"/>
              </w:rPr>
              <w:t xml:space="preserve">Projekta 5.1. apakšpunktā noteikts, ka iznomātājs piemēro  nomas maksas atbrīvojumu, ja nomnieks </w:t>
            </w:r>
            <w:r w:rsidRPr="001A44BC">
              <w:rPr>
                <w:rFonts w:eastAsia="PMingLiU"/>
                <w:u w:val="single"/>
              </w:rPr>
              <w:t>noteiktajā periodā</w:t>
            </w:r>
            <w:r w:rsidRPr="001A44BC">
              <w:rPr>
                <w:rFonts w:eastAsia="PMingLiU"/>
              </w:rPr>
              <w:t xml:space="preserve"> nekustamo īpašumu vai kustamo mantu vispār neizmanto saimnieciskās darbības veikšanai Ministru kabineta noteikto </w:t>
            </w:r>
            <w:r w:rsidRPr="001A44BC">
              <w:rPr>
                <w:rFonts w:eastAsia="PMingLiU"/>
                <w:bCs/>
                <w:shd w:val="clear" w:color="auto" w:fill="FFFFFF"/>
              </w:rPr>
              <w:t xml:space="preserve">epidemioloģiskās drošības pasākumu dēļ Covid-19 infekcijas izplatības </w:t>
            </w:r>
            <w:r w:rsidRPr="001A44BC">
              <w:rPr>
                <w:rFonts w:eastAsia="PMingLiU"/>
                <w:bCs/>
                <w:shd w:val="clear" w:color="auto" w:fill="FFFFFF"/>
              </w:rPr>
              <w:lastRenderedPageBreak/>
              <w:t xml:space="preserve">ierobežošanai. </w:t>
            </w:r>
            <w:r w:rsidRPr="001A44BC">
              <w:rPr>
                <w:rFonts w:eastAsia="PMingLiU"/>
              </w:rPr>
              <w:t>No projekta un anotācijas nav saprotams, kas projekta 5.1. apakšpunktā domāts ar vārdiem "noteiktajā periodā". Tādējādi tiesiskās skaidrības nodrošināšanai lūdzam precizēt projekta 5.1. apakšpunktu</w:t>
            </w:r>
            <w:r w:rsidRPr="001A44BC">
              <w:t>.</w:t>
            </w:r>
          </w:p>
        </w:tc>
        <w:tc>
          <w:tcPr>
            <w:tcW w:w="3686" w:type="dxa"/>
          </w:tcPr>
          <w:p w14:paraId="3FA97062" w14:textId="77777777" w:rsidR="0050576F" w:rsidRPr="001A44BC" w:rsidRDefault="0050576F" w:rsidP="0050576F">
            <w:pPr>
              <w:spacing w:after="120"/>
              <w:rPr>
                <w:b/>
                <w:shd w:val="clear" w:color="auto" w:fill="FFFFFF"/>
              </w:rPr>
            </w:pPr>
            <w:r w:rsidRPr="001A44BC">
              <w:rPr>
                <w:b/>
                <w:shd w:val="clear" w:color="auto" w:fill="FFFFFF"/>
              </w:rPr>
              <w:lastRenderedPageBreak/>
              <w:t>Ņemts vērā.</w:t>
            </w:r>
          </w:p>
          <w:p w14:paraId="62493A43" w14:textId="77777777" w:rsidR="0050576F" w:rsidRPr="001A44BC" w:rsidRDefault="0050576F" w:rsidP="0050576F">
            <w:pPr>
              <w:spacing w:after="60"/>
              <w:rPr>
                <w:shd w:val="clear" w:color="auto" w:fill="F1F1F1"/>
              </w:rPr>
            </w:pPr>
          </w:p>
        </w:tc>
        <w:tc>
          <w:tcPr>
            <w:tcW w:w="3123" w:type="dxa"/>
          </w:tcPr>
          <w:p w14:paraId="2E4D144D" w14:textId="77777777" w:rsidR="001A44BC" w:rsidRPr="001A44BC" w:rsidRDefault="001A44BC" w:rsidP="001A44BC">
            <w:pPr>
              <w:pStyle w:val="tv213"/>
              <w:shd w:val="clear" w:color="auto" w:fill="FFFFFF"/>
              <w:spacing w:before="0" w:beforeAutospacing="0" w:after="60" w:afterAutospacing="0"/>
            </w:pPr>
            <w:r w:rsidRPr="001A44BC">
              <w:t>5. Iznomātājs piemēro:</w:t>
            </w:r>
          </w:p>
          <w:p w14:paraId="5E10A064" w14:textId="77777777" w:rsidR="0050576F" w:rsidRDefault="001A44BC" w:rsidP="001A44BC">
            <w:pPr>
              <w:pStyle w:val="tv213"/>
              <w:shd w:val="clear" w:color="auto" w:fill="FFFFFF"/>
              <w:spacing w:before="0" w:beforeAutospacing="0" w:after="0" w:afterAutospacing="0"/>
            </w:pPr>
            <w:r w:rsidRPr="001A44BC">
              <w:t xml:space="preserve">5.1. nomas maksas atbrīvojumu, ja </w:t>
            </w:r>
            <w:r w:rsidRPr="001A44BC">
              <w:rPr>
                <w:u w:val="single"/>
              </w:rPr>
              <w:t>nomnieks nekustamo īpašumu vai kustamo mantu noteiktajā laika periodā vispār neizmanto saimnieciskās darbības veikšanai</w:t>
            </w:r>
            <w:r w:rsidRPr="001A44BC">
              <w:t xml:space="preserve"> Ministru kabineta noteikto </w:t>
            </w:r>
            <w:r w:rsidRPr="001A44BC">
              <w:rPr>
                <w:bCs/>
                <w:shd w:val="clear" w:color="auto" w:fill="FFFFFF"/>
              </w:rPr>
              <w:t xml:space="preserve">epidemioloģiskās drošības </w:t>
            </w:r>
            <w:r w:rsidRPr="001A44BC">
              <w:rPr>
                <w:bCs/>
                <w:shd w:val="clear" w:color="auto" w:fill="FFFFFF"/>
              </w:rPr>
              <w:lastRenderedPageBreak/>
              <w:t xml:space="preserve">pasākumu dēļ Covid-19 infekcijas izplatības ierobežošanai. </w:t>
            </w:r>
            <w:r w:rsidRPr="001A44BC">
              <w:t>Nomnieks veic samaksu par nomas objekta uzturēšanai nepieciešamajiem pakalpojumiem (piemēram, elektroenerģiju, siltumenerģiju, ūdensapgādi), nekustamā īpašuma nodokļa kompensāciju un sedz apdrošināšanas izdevumus; [..]</w:t>
            </w:r>
          </w:p>
          <w:p w14:paraId="3EE6150A" w14:textId="77777777" w:rsidR="003F22B5" w:rsidRPr="001A44BC" w:rsidRDefault="003F22B5" w:rsidP="006C1BE2">
            <w:pPr>
              <w:pStyle w:val="tv213"/>
              <w:shd w:val="clear" w:color="auto" w:fill="FFFFFF"/>
              <w:spacing w:after="60" w:afterAutospacing="0"/>
            </w:pPr>
            <w:r w:rsidRPr="001370C6">
              <w:rPr>
                <w:i/>
              </w:rPr>
              <w:t xml:space="preserve">Precizēts </w:t>
            </w:r>
            <w:r w:rsidRPr="001370C6">
              <w:rPr>
                <w:bCs/>
                <w:i/>
              </w:rPr>
              <w:t>projekta sākotnējās ietekmes novērtējuma ziņojums (anotācija).</w:t>
            </w:r>
          </w:p>
        </w:tc>
      </w:tr>
      <w:tr w:rsidR="00412AA3" w:rsidRPr="008A134B" w14:paraId="5B797CFD" w14:textId="77777777" w:rsidTr="005E198D">
        <w:trPr>
          <w:jc w:val="center"/>
        </w:trPr>
        <w:tc>
          <w:tcPr>
            <w:tcW w:w="781" w:type="dxa"/>
          </w:tcPr>
          <w:p w14:paraId="7987FE96" w14:textId="77777777" w:rsidR="00412AA3" w:rsidRPr="008A134B" w:rsidRDefault="00412AA3" w:rsidP="00412AA3">
            <w:pPr>
              <w:jc w:val="center"/>
              <w:rPr>
                <w:color w:val="000000" w:themeColor="text1"/>
              </w:rPr>
            </w:pPr>
            <w:r w:rsidRPr="008A134B">
              <w:rPr>
                <w:color w:val="000000" w:themeColor="text1"/>
              </w:rPr>
              <w:lastRenderedPageBreak/>
              <w:t>4.</w:t>
            </w:r>
          </w:p>
        </w:tc>
        <w:tc>
          <w:tcPr>
            <w:tcW w:w="3325" w:type="dxa"/>
            <w:gridSpan w:val="2"/>
          </w:tcPr>
          <w:p w14:paraId="713EB5FA" w14:textId="77777777" w:rsidR="00412AA3" w:rsidRPr="00412AA3" w:rsidRDefault="00412AA3" w:rsidP="00412AA3">
            <w:pPr>
              <w:pStyle w:val="tv213"/>
              <w:shd w:val="clear" w:color="auto" w:fill="FFFFFF"/>
              <w:spacing w:before="0" w:beforeAutospacing="0" w:after="60" w:afterAutospacing="0"/>
            </w:pPr>
            <w:r w:rsidRPr="00412AA3">
              <w:t>14.2. atbalstu nedrīkst piešķirt uzņēmumam, kurš uz 2019. gada 31. decembri bija uzskatāms par nonākušu grūtībās atbilstoši šādām pazīmēm: [..]</w:t>
            </w:r>
          </w:p>
          <w:p w14:paraId="0DD830D5" w14:textId="77777777" w:rsidR="00412AA3" w:rsidRPr="00412AA3" w:rsidRDefault="00412AA3" w:rsidP="00412AA3">
            <w:pPr>
              <w:pStyle w:val="tv213"/>
              <w:shd w:val="clear" w:color="auto" w:fill="FFFFFF"/>
              <w:spacing w:before="0" w:beforeAutospacing="0" w:after="0" w:afterAutospacing="0"/>
            </w:pPr>
            <w:r w:rsidRPr="00412AA3">
              <w:t xml:space="preserve">14.2.3. saimnieciskās darbības veicējam ar tiesas spriedumu ir pasludināts maksātnespējas process vai ar tiesas spriedumu tiek īstenots tiesiskās aizsardzības process, vai ar tiesas lēmumu tiek īstenots </w:t>
            </w:r>
            <w:proofErr w:type="spellStart"/>
            <w:r w:rsidRPr="00412AA3">
              <w:t>ārpustiesas</w:t>
            </w:r>
            <w:proofErr w:type="spellEnd"/>
            <w:r w:rsidRPr="00412AA3">
              <w:t xml:space="preserve"> tiesiskās aizsardzības process, vai tā saimnieciskā darbība ir izbeigta, vai saimnieciskās darbības </w:t>
            </w:r>
            <w:r w:rsidRPr="00412AA3">
              <w:lastRenderedPageBreak/>
              <w:t>veicējs atbilst normatīvajos aktos noteiktajiem kritērijiem, uz kuriem pamatojoties kreditors var pieprasīt maksātnespējas procedūru;</w:t>
            </w:r>
            <w:r>
              <w:t xml:space="preserve"> [..]</w:t>
            </w:r>
          </w:p>
        </w:tc>
        <w:tc>
          <w:tcPr>
            <w:tcW w:w="3827" w:type="dxa"/>
            <w:gridSpan w:val="2"/>
          </w:tcPr>
          <w:p w14:paraId="39D61C58" w14:textId="77777777" w:rsidR="00412AA3" w:rsidRPr="00DE3020" w:rsidRDefault="00412AA3" w:rsidP="00DE3020">
            <w:pPr>
              <w:pStyle w:val="Default"/>
              <w:spacing w:after="60"/>
              <w:rPr>
                <w:b/>
                <w:color w:val="auto"/>
              </w:rPr>
            </w:pPr>
            <w:r w:rsidRPr="00DE3020">
              <w:rPr>
                <w:b/>
                <w:color w:val="auto"/>
              </w:rPr>
              <w:lastRenderedPageBreak/>
              <w:t>Tieslietu ministrija</w:t>
            </w:r>
          </w:p>
          <w:p w14:paraId="660A21F3" w14:textId="77777777" w:rsidR="00412AA3" w:rsidRPr="00DE3020" w:rsidRDefault="00412AA3" w:rsidP="00DE3020">
            <w:r w:rsidRPr="00DE3020">
              <w:t xml:space="preserve">Projekts paredz, ka atbalstu nomnieks var saņemt saskaņā ar Komisijas regulu Nr. 1407/2013. Atbilstoši projekta 14.2.3. apakšpunktā paredzētajam atbalstu nedrīkst piešķirt uzņēmumam, kurš uz 2019. gada 31. decembri bija uzskatāms par nonākušu grūtībās, atbilstot pazīmei – saimnieciskās darbības veicējam ar tiesas spriedumu ir pasludināts maksātnespējas process, vai ar tiesas spriedumu tiek īstenots tiesiskās aizsardzības process, vai ar tiesas lēmumu tiek īstenots </w:t>
            </w:r>
            <w:proofErr w:type="spellStart"/>
            <w:r w:rsidRPr="00DE3020">
              <w:t>ārpustiesas</w:t>
            </w:r>
            <w:proofErr w:type="spellEnd"/>
            <w:r w:rsidRPr="00DE3020">
              <w:t xml:space="preserve"> tiesiskās aizsardzības process, </w:t>
            </w:r>
            <w:bookmarkStart w:id="1" w:name="_Hlk43462753"/>
            <w:r w:rsidRPr="00DE3020">
              <w:t xml:space="preserve">vai tā </w:t>
            </w:r>
            <w:r w:rsidRPr="00DE3020">
              <w:lastRenderedPageBreak/>
              <w:t>saimnieciskā darbība ir izbeigta</w:t>
            </w:r>
            <w:bookmarkEnd w:id="1"/>
            <w:r w:rsidRPr="00DE3020">
              <w:t>, vai saimnieciskās darbības veicējs atbilst normatīvajos aktos noteiktajiem kritērijiem, uz kuriem pamatojoties kreditors var pieprasīt maksātnespējas procedūru.</w:t>
            </w:r>
          </w:p>
          <w:p w14:paraId="2DC55A25" w14:textId="77777777" w:rsidR="00412AA3" w:rsidRPr="00DE3020" w:rsidRDefault="00412AA3" w:rsidP="00DE3020">
            <w:r w:rsidRPr="00DE3020">
              <w:t>Lūdzam precizēt projekta 14.2.3. apakšpunktā lietoto terminoloģiju atbilstoši Maksātnespējas likumā lietotajai:</w:t>
            </w:r>
          </w:p>
          <w:p w14:paraId="07200261" w14:textId="77777777" w:rsidR="00412AA3" w:rsidRPr="00DE3020" w:rsidRDefault="00412AA3" w:rsidP="00DE3020">
            <w:r w:rsidRPr="00DE3020">
              <w:t xml:space="preserve">1) svītrojot norādi uz </w:t>
            </w:r>
            <w:proofErr w:type="spellStart"/>
            <w:r w:rsidRPr="00DE3020">
              <w:t>ārpustiesas</w:t>
            </w:r>
            <w:proofErr w:type="spellEnd"/>
            <w:r w:rsidRPr="00DE3020">
              <w:t xml:space="preserve"> tiesiskās aizsardzības procesu, jo tas nav patstāvīgs procesa veids, bet gan tiesiskās aizsardzības procesa paveids, un teikuma daļa "tiek īstenots tiesiskās aizsardzības process" aptver gan gadījumus, kad tiek īstenots </w:t>
            </w:r>
            <w:r w:rsidRPr="00DE3020">
              <w:rPr>
                <w:u w:val="single"/>
              </w:rPr>
              <w:t xml:space="preserve">tiesiskās aizsardzības process, gan gadījumus, kad tiek īstenots </w:t>
            </w:r>
            <w:proofErr w:type="spellStart"/>
            <w:r w:rsidRPr="00DE3020">
              <w:rPr>
                <w:u w:val="single"/>
              </w:rPr>
              <w:t>ārpustiesas</w:t>
            </w:r>
            <w:proofErr w:type="spellEnd"/>
            <w:r w:rsidRPr="00DE3020">
              <w:rPr>
                <w:u w:val="single"/>
              </w:rPr>
              <w:t xml:space="preserve"> tiesiskās aizsardzības process</w:t>
            </w:r>
            <w:r w:rsidRPr="00DE3020">
              <w:t>;</w:t>
            </w:r>
          </w:p>
          <w:p w14:paraId="7207FAE8" w14:textId="77777777" w:rsidR="00412AA3" w:rsidRPr="00DE3020" w:rsidRDefault="00412AA3" w:rsidP="00DE3020">
            <w:r w:rsidRPr="00DE3020">
              <w:t xml:space="preserve">2) savukārt attiecībā uz minētajā normā ietverto formulējumu "vai tā saimnieciskā darbība ir izbeigta", lūdzam izvērtēt, vai šāda atsauce ir savienojama ar atbalsta piešķiršanas būtību, proti, atbalsts piešķirams </w:t>
            </w:r>
            <w:r w:rsidRPr="00DE3020">
              <w:rPr>
                <w:u w:val="single"/>
              </w:rPr>
              <w:t>komersantam vai citam saimnieciskās darbības veicējam</w:t>
            </w:r>
            <w:r w:rsidRPr="00DE3020">
              <w:t>. Attiecīgi, ja saimnieciskā darbība ir izbeigta, tā nevar tikt veikta. Līdz ar to šāda norāde ir lieka un pat mulsinoša;</w:t>
            </w:r>
          </w:p>
          <w:p w14:paraId="373194E9" w14:textId="77777777" w:rsidR="00412AA3" w:rsidRPr="00DE3020" w:rsidRDefault="00412AA3" w:rsidP="00DE3020">
            <w:r w:rsidRPr="00DE3020">
              <w:lastRenderedPageBreak/>
              <w:t>3) attiecībā uz normā ietverto formulējumu "vai saimnieciskās darbības veicēji atbilst normatīvajos aktos noteiktajiem kritērijiem, uz kuriem pamatojoties kreditors var pieprasīt maksātnespējas procedūru" norādāms sekojošais. Jēdziens "maksātnespējas procedūra" netiek lietots maksātnespējas jomu regulējošos nacionālajos normatīvajos aktos. Proti, tas tiek lietots Eiropas Savienības tiesību aktos. Turklāt tā tvērums tajos ir plašāks – aptverot arī tiesiskās aizsardzības procesu. Papildu norādām, ka Maksātnespējas likuma 57. panta pirmajā daļā ietvertas juridiskās personas maksātnespējas procesa pasludināšanas pazīmes. Vēršam uzmanību apstāklim, ka atsevišķu pazīmju konstatēšana var būt problemātiska, jo par tām var pastāvēt strīds par tiesībām. Piemēram, Maksātnespējas likuma 57. panta pirmās daļas 2., 3., 4. un 5. punkts.</w:t>
            </w:r>
          </w:p>
          <w:p w14:paraId="042A8797" w14:textId="77777777" w:rsidR="00412AA3" w:rsidRPr="00DE3020" w:rsidRDefault="00412AA3" w:rsidP="00DE3020">
            <w:r w:rsidRPr="00DE3020">
              <w:t xml:space="preserve">Visbeidzot lūdzam padziļināti izvērtēt, vai automātisks liegums atbalsta saņemšanai tādam saimnieciskās darbības veicējam, kuram tiek īstenots tiesiskās aizsardzības process, ir pamatots (piemēram, šādu kritēriju paredz </w:t>
            </w:r>
            <w:r w:rsidRPr="00DE3020">
              <w:lastRenderedPageBreak/>
              <w:t xml:space="preserve">Eiropas Savienības tiesību akti, citi pamatoti apsvērumi), attiecīgu pamatojumu ietverot projekta anotācijā. </w:t>
            </w:r>
          </w:p>
          <w:p w14:paraId="6EA05045" w14:textId="77777777" w:rsidR="00412AA3" w:rsidRPr="00DE3020" w:rsidRDefault="00412AA3" w:rsidP="00DE3020">
            <w:r w:rsidRPr="00DE3020">
              <w:t>Vēršam uzmanību, ka saskaņā ar Maksātnespējas likuma 3. pantu tiesiskās aizsardzības procesa mērķis ir atjaunot parādnieka spēju nokārtot savas saistības, ja parādnieks nonācis finansiālās grūtībās vai uzskata, ka tajās nonāks. Tāpat būtiski norādīt, ka saistībā ar ārkārtējo situāciju Covid-19 izplatības dēļ tieši tiesiskās aizsardzības process var būt veids, kā stabilizēt komersanta finansiālo stāvokli, tostarp šāda procesa ietvaros pretendējot uz atbalsta saņemšanu.</w:t>
            </w:r>
          </w:p>
          <w:p w14:paraId="17344B8C" w14:textId="77777777" w:rsidR="00D21B2F" w:rsidRPr="00DE3020" w:rsidRDefault="00D21B2F" w:rsidP="00DE3020"/>
          <w:p w14:paraId="4C4303AA" w14:textId="77777777" w:rsidR="000F627D" w:rsidRPr="00DE3020" w:rsidRDefault="000F627D" w:rsidP="00DE3020">
            <w:pPr>
              <w:spacing w:after="60"/>
              <w:rPr>
                <w:b/>
              </w:rPr>
            </w:pPr>
            <w:r w:rsidRPr="00DE3020">
              <w:rPr>
                <w:b/>
              </w:rPr>
              <w:t>Tieslietu ministrija (atz. 02.07.2020.)</w:t>
            </w:r>
          </w:p>
          <w:p w14:paraId="41F06760" w14:textId="77777777" w:rsidR="000F627D" w:rsidRPr="00DE3020" w:rsidRDefault="00A541B2" w:rsidP="00DE3020">
            <w:r w:rsidRPr="00DE3020">
              <w:t>1. </w:t>
            </w:r>
            <w:r w:rsidR="004A682F" w:rsidRPr="00DE3020">
              <w:t xml:space="preserve">Nav viennozīmīgi saprotams, vai uz atbalstu saskaņā ar noteikumu projekta 3. punktu varēs pretendēt tāds saimnieciskās darbības veicējs, kuram uz iesnieguma iesniegšanas brīdi tiek īstenots tiesiskās aizsardzības process, ievērojot to, ka tiesiskās aizsardzības procesa mērķis ir atjaunot parādnieka spēju nokārtot savas saistības, ja parādnieks nonācis finansiālās grūtībās vai uzskata, ka tajās nonāks (sk. Maksātnespējas </w:t>
            </w:r>
            <w:r w:rsidR="004A682F" w:rsidRPr="00DE3020">
              <w:lastRenderedPageBreak/>
              <w:t>likuma 3. panta pirmo daļu). Ievērojot minēto, lūdzam skaidrot, vai atbalstu saskaņā ar noteikumu projekta 3. punktu varēs saņemt saimnieciskās darbības veicējs, kuram uz iesnieguma iesniegšanas dienu īstenots tiesiskās aizsardzības process.</w:t>
            </w:r>
          </w:p>
          <w:p w14:paraId="3EBAA6D1" w14:textId="77777777" w:rsidR="002E0444" w:rsidRPr="00DE3020" w:rsidRDefault="002E0444" w:rsidP="00DE3020"/>
          <w:p w14:paraId="199E6AB5" w14:textId="77777777" w:rsidR="006E61F3" w:rsidRPr="00DE3020" w:rsidRDefault="00A541B2" w:rsidP="00DE3020">
            <w:r w:rsidRPr="00DE3020">
              <w:t>2. </w:t>
            </w:r>
            <w:r w:rsidR="00170D1D" w:rsidRPr="00DE3020">
              <w:t xml:space="preserve">Noteikumu projekta 14.2.3. apakšpunkts (tāpat kā iepriekšējā noteikumu projekta redakcija) paredz, ka atbalstu nedrīkst piešķirt uzņēmumam, kurš uz 2019. gada 31. decembri bija uzskatāms par nonākušu grūtībās atbilstoši šādām pazīmēm: [..] saimnieciskās darbības veicējam ar tiesas spriedumu ir pasludināts maksātnespējas process vai ar tiesas spriedumu tiek īstenots tiesiskās aizsardzības process, vai ar tiesas lēmumu tiek īstenots </w:t>
            </w:r>
            <w:proofErr w:type="spellStart"/>
            <w:r w:rsidR="00170D1D" w:rsidRPr="00DE3020">
              <w:t>ārpustiesas</w:t>
            </w:r>
            <w:proofErr w:type="spellEnd"/>
            <w:r w:rsidR="00170D1D" w:rsidRPr="00DE3020">
              <w:t xml:space="preserve"> tiesiskās aizsardzības process, vai tā saimnieciskā darbība ir izbeigta, vai saimnieciskās darbības veicējs atbilst normatīvajos aktos noteiktajiem kritērijiem, uz kuriem pamatojoties kreditors var pieprasīt maksātnespējas procedūru; [..]. Attiecībā uz minētās normas redakciju Tieslietu ministrija uztur iepriekš sniegtos iebildumus par </w:t>
            </w:r>
            <w:r w:rsidR="00170D1D" w:rsidRPr="00DE3020">
              <w:lastRenderedPageBreak/>
              <w:t>terminoloģijas lietojumu (sk. izziņas 4.iebildumu).</w:t>
            </w:r>
          </w:p>
          <w:p w14:paraId="6D705FDE" w14:textId="77777777" w:rsidR="00170D1D" w:rsidRPr="00DE3020" w:rsidRDefault="00170D1D" w:rsidP="00DE3020">
            <w:r w:rsidRPr="00DE3020">
              <w:t>Vienlaikus no noteikumu projekta nav izsecināms, vai uz šādu atbalstu varēs pretendēt tāds saimnieciskās darbības veicējs, kuram finanšu grūtības iestājušās pēc 2019. gada 31. decembra. Līdz ar to, lūdzam skaidrot minēto.</w:t>
            </w:r>
          </w:p>
          <w:p w14:paraId="0B1AB7BF" w14:textId="77777777" w:rsidR="003E44BE" w:rsidRDefault="00170D1D" w:rsidP="00DE3020">
            <w:pPr>
              <w:rPr>
                <w:rStyle w:val="Hyperlink"/>
              </w:rPr>
            </w:pPr>
            <w:r w:rsidRPr="00DE3020">
              <w:t xml:space="preserve">Saistībā ar minēto papildus uzsveram, ka pēdējos gados arvien </w:t>
            </w:r>
            <w:proofErr w:type="spellStart"/>
            <w:r w:rsidRPr="00DE3020">
              <w:t>izteiktāk</w:t>
            </w:r>
            <w:proofErr w:type="spellEnd"/>
            <w:r w:rsidRPr="00DE3020">
              <w:t xml:space="preserve"> mainās restrukturizācijas procesu nozīmība un izpratne par tiem, arī Eiropas Savienībai stiprinot uzņēmumu iespējas piekļūt restrukturizācijas procesiem (skat. Eiropas Parlamenta un Padomes (ES) 2019. gada 26. jūnija direktīvu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 Vēl pirms minētās direktīvas pieņemšanas 2018. gadā veiktā pētījumā secināts, ka Latvijā bez Maksātnespējas likuma un Civilprocesa likuma tiesību normas, </w:t>
            </w:r>
            <w:r w:rsidRPr="00DE3020">
              <w:lastRenderedPageBreak/>
              <w:t>kurās ir atsauce uz tiesiskās aizsardzības procesiem, ietvertas kopumā vēl vismaz 20 likumos, kā arī 17</w:t>
            </w:r>
            <w:r w:rsidR="00B53F90" w:rsidRPr="00DE3020">
              <w:t xml:space="preserve">2 Ministru Kabineta noteikumos </w:t>
            </w:r>
            <w:r w:rsidRPr="00DE3020">
              <w:t xml:space="preserve">(skat. </w:t>
            </w:r>
            <w:hyperlink r:id="rId8" w:history="1">
              <w:r w:rsidR="00B70C00" w:rsidRPr="00046A91">
                <w:rPr>
                  <w:rStyle w:val="Hyperlink"/>
                </w:rPr>
                <w:t>http://petijumi.mk.gov.lv/sites/default/files/title_file/Zinojums_Par_tiesiskas_aizsardzibas_procesa_efektivitati.pdf</w:t>
              </w:r>
            </w:hyperlink>
          </w:p>
          <w:p w14:paraId="1B07C3AD" w14:textId="77777777" w:rsidR="00170D1D" w:rsidRPr="00DE3020" w:rsidRDefault="00170D1D" w:rsidP="00DE3020">
            <w:r w:rsidRPr="00DE3020">
              <w:t xml:space="preserve">24. lpp.). </w:t>
            </w:r>
          </w:p>
          <w:p w14:paraId="13EA7A8C" w14:textId="77777777" w:rsidR="00170D1D" w:rsidRPr="00DE3020" w:rsidRDefault="00170D1D" w:rsidP="00DE3020">
            <w:r w:rsidRPr="00DE3020">
              <w:t>Jāatzīmē, ka lielākā daļa no šīm normām noteic, ka tiesiskās aizsardzības process ir automātisks šķērslis uzņēmumam turpināt vai saņemt darbību, pakalpojumu, atbalstu u.tml. Norādāms, ka šāda pieeja nav atbalstāma, ņemot vērā, ka tiesiskās aizsardzības procesa esamība automātiski nenozīmē, ka uzņēmums nav dzīvotspējīgs.</w:t>
            </w:r>
          </w:p>
          <w:p w14:paraId="256C1744" w14:textId="77777777" w:rsidR="00170D1D" w:rsidRPr="00DE3020" w:rsidRDefault="00170D1D" w:rsidP="00DE3020"/>
          <w:p w14:paraId="3EC54D57" w14:textId="77777777" w:rsidR="00170D1D" w:rsidRPr="00DE3020" w:rsidRDefault="002C2E07" w:rsidP="00DE3020">
            <w:pPr>
              <w:spacing w:after="60"/>
            </w:pPr>
            <w:r w:rsidRPr="00DE3020">
              <w:rPr>
                <w:b/>
              </w:rPr>
              <w:t>Tieslietu ministrija (atz. 08.07.2020.)</w:t>
            </w:r>
          </w:p>
          <w:p w14:paraId="3234E0F1" w14:textId="77777777" w:rsidR="000F627D" w:rsidRPr="00DE3020" w:rsidRDefault="00D02E8F" w:rsidP="00DE3020">
            <w:r w:rsidRPr="00DE3020">
              <w:t xml:space="preserve">Ņemot vērā, ka atbildot uz iepriekš izteikto lūgumu sniegt skaidrojumu, vai atbalstu saskaņā ar noteikumu projekta 3. punktu varēs saņemt saimnieciskās darbības veicējs, kuram uz iesnieguma iesniegšanas dienu īstenots tiesiskās aizsardzības process, Finanšu ministrija norādījusi, ka gadījumā, ja atbalsta pretendentam (nomniekam) uz </w:t>
            </w:r>
            <w:r w:rsidRPr="00DE3020">
              <w:lastRenderedPageBreak/>
              <w:t>iesnieguma iesniegšanas dienu īstenots tiesiskās aizsardzības process, kas uzsākts pēc 2019. gada 31. decembra, tas ir tiesīgs saņemt komercdarbības atbalstu noteikumu projekta ietvaros pie nosacījuma, ja izpildās pārējie obligātie no noteikumu projekta izrietošie nosacījumi, neiebilstam pret noteikumu projekta 3. punkta prasību attiecībā uz maksātnespējas procesu.</w:t>
            </w:r>
          </w:p>
          <w:p w14:paraId="31A64B54" w14:textId="77777777" w:rsidR="00DE3020" w:rsidRPr="00DE3020" w:rsidRDefault="00DE3020" w:rsidP="00DE3020"/>
          <w:p w14:paraId="53A49DD2" w14:textId="77777777" w:rsidR="00DE3020" w:rsidRPr="00DE3020" w:rsidRDefault="00DE3020" w:rsidP="00DE3020">
            <w:pPr>
              <w:rPr>
                <w:szCs w:val="22"/>
              </w:rPr>
            </w:pPr>
            <w:r w:rsidRPr="00DE3020">
              <w:t xml:space="preserve">Attiecībā uz izziņas 4. punktā minēto iebildumu atbalstām Finanšu ministrijas piedāvāto alternatīvo formulējumu, proti, normu izteikt pēc analoģijas Ministru kabineta 2016. gada 5. janvāra noteikumu Nr. 2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20.2. apakšpunktam šādā redakcijā: "14.2. atbalstu nedrīkst piešķirt uzņēmumam, kurš uz 2019. gada 31. decembri bija uzskatāms par nonākušu grūtībās atbilstoši Komisijas regulas Nr. 651/2014 2. </w:t>
            </w:r>
            <w:r w:rsidRPr="00DE3020">
              <w:lastRenderedPageBreak/>
              <w:t>panta 18. punkta definīcijai". Šāds formulējums arī vairāk atbilstu Eiropas Komisijas paziņojumam par valsts atbalsta pasākumiem, ar ko atbalsta ekonomiku pašreizējā Covid-19 uzliesmojuma situācijā (turpmāk – Komisijas paziņojums).</w:t>
            </w:r>
          </w:p>
          <w:p w14:paraId="6D4765FE" w14:textId="77777777" w:rsidR="00DE3020" w:rsidRPr="00DE3020" w:rsidRDefault="00DE3020" w:rsidP="00DE3020">
            <w:r w:rsidRPr="00DE3020">
              <w:t xml:space="preserve">Attiecīgi noteikumu projekta 14.2. apakšpunktu aicinām izteikt šādā redakcijā: </w:t>
            </w:r>
          </w:p>
          <w:p w14:paraId="67209FE8" w14:textId="77777777" w:rsidR="00DE3020" w:rsidRPr="00DE3020" w:rsidRDefault="00DE3020" w:rsidP="00DE3020">
            <w:pPr>
              <w:spacing w:after="60"/>
            </w:pPr>
            <w:r w:rsidRPr="00DE3020">
              <w:t>14.2.atbalstu nedrīkst piešķirt uzņēmumam, kurš uz 2019. gada 31. decembri bija uzskatāms par nonākušu grūtībās atbilstoši Komisijas regulas Nr. 651/2014 2. panta 18. punkta definīcijai.</w:t>
            </w:r>
          </w:p>
        </w:tc>
        <w:tc>
          <w:tcPr>
            <w:tcW w:w="3686" w:type="dxa"/>
          </w:tcPr>
          <w:p w14:paraId="69A37101" w14:textId="77777777" w:rsidR="00412AA3" w:rsidRPr="00A636E5" w:rsidRDefault="00412AA3" w:rsidP="00412AA3">
            <w:pPr>
              <w:spacing w:after="60"/>
              <w:rPr>
                <w:b/>
                <w:shd w:val="clear" w:color="auto" w:fill="FFFFFF"/>
              </w:rPr>
            </w:pPr>
            <w:r w:rsidRPr="00A636E5">
              <w:rPr>
                <w:b/>
                <w:shd w:val="clear" w:color="auto" w:fill="FFFFFF"/>
              </w:rPr>
              <w:lastRenderedPageBreak/>
              <w:t>Panākta vienošanās elektroniskajā saskaņošanā.</w:t>
            </w:r>
          </w:p>
          <w:p w14:paraId="3E331884" w14:textId="77777777" w:rsidR="00412AA3" w:rsidRPr="00A636E5" w:rsidRDefault="00412AA3" w:rsidP="00412AA3">
            <w:r w:rsidRPr="00A636E5">
              <w:rPr>
                <w:lang w:eastAsia="en-US"/>
              </w:rPr>
              <w:t>Kā izriet no pr</w:t>
            </w:r>
            <w:r w:rsidR="00265E03">
              <w:rPr>
                <w:lang w:eastAsia="en-US"/>
              </w:rPr>
              <w:t xml:space="preserve">ojekta anotācijas </w:t>
            </w:r>
            <w:proofErr w:type="spellStart"/>
            <w:r w:rsidR="00265E03">
              <w:rPr>
                <w:lang w:eastAsia="en-US"/>
              </w:rPr>
              <w:t>V.sadaļas</w:t>
            </w:r>
            <w:proofErr w:type="spellEnd"/>
            <w:r w:rsidR="00265E03">
              <w:rPr>
                <w:lang w:eastAsia="en-US"/>
              </w:rPr>
              <w:t xml:space="preserve"> 1.</w:t>
            </w:r>
            <w:r w:rsidRPr="00A636E5">
              <w:rPr>
                <w:lang w:eastAsia="en-US"/>
              </w:rPr>
              <w:t>tabul</w:t>
            </w:r>
            <w:r w:rsidR="00265E03">
              <w:rPr>
                <w:lang w:eastAsia="en-US"/>
              </w:rPr>
              <w:t>as 14.2.</w:t>
            </w:r>
            <w:r w:rsidRPr="00A636E5">
              <w:rPr>
                <w:lang w:eastAsia="en-US"/>
              </w:rPr>
              <w:t xml:space="preserve">apakšpunkts ievieš prasības, kas izriet no Eiropas Komisijas Pagaidu regulējuma valsts atbalsta pasākumiem ekonomikas atbalstam Covid-19 uzliesmojuma laikā (angliski – </w:t>
            </w:r>
            <w:proofErr w:type="spellStart"/>
            <w:r w:rsidRPr="00A636E5">
              <w:rPr>
                <w:lang w:eastAsia="en-US"/>
              </w:rPr>
              <w:t>Temporary</w:t>
            </w:r>
            <w:proofErr w:type="spellEnd"/>
            <w:r w:rsidRPr="00A636E5">
              <w:rPr>
                <w:lang w:eastAsia="en-US"/>
              </w:rPr>
              <w:t xml:space="preserve"> </w:t>
            </w:r>
            <w:proofErr w:type="spellStart"/>
            <w:r w:rsidRPr="00A636E5">
              <w:rPr>
                <w:lang w:eastAsia="en-US"/>
              </w:rPr>
              <w:t>Framework</w:t>
            </w:r>
            <w:proofErr w:type="spellEnd"/>
            <w:r w:rsidRPr="00A636E5">
              <w:rPr>
                <w:lang w:eastAsia="en-US"/>
              </w:rPr>
              <w:t xml:space="preserve"> to </w:t>
            </w:r>
            <w:proofErr w:type="spellStart"/>
            <w:r w:rsidRPr="00A636E5">
              <w:rPr>
                <w:lang w:eastAsia="en-US"/>
              </w:rPr>
              <w:t>support</w:t>
            </w:r>
            <w:proofErr w:type="spellEnd"/>
            <w:r w:rsidRPr="00A636E5">
              <w:rPr>
                <w:lang w:eastAsia="en-US"/>
              </w:rPr>
              <w:t xml:space="preserve"> </w:t>
            </w:r>
            <w:proofErr w:type="spellStart"/>
            <w:r w:rsidRPr="00A636E5">
              <w:rPr>
                <w:lang w:eastAsia="en-US"/>
              </w:rPr>
              <w:t>the</w:t>
            </w:r>
            <w:proofErr w:type="spellEnd"/>
            <w:r w:rsidRPr="00A636E5">
              <w:rPr>
                <w:lang w:eastAsia="en-US"/>
              </w:rPr>
              <w:t xml:space="preserve"> </w:t>
            </w:r>
            <w:proofErr w:type="spellStart"/>
            <w:r w:rsidRPr="00A636E5">
              <w:rPr>
                <w:lang w:eastAsia="en-US"/>
              </w:rPr>
              <w:t>economy</w:t>
            </w:r>
            <w:proofErr w:type="spellEnd"/>
            <w:r w:rsidRPr="00A636E5">
              <w:rPr>
                <w:lang w:eastAsia="en-US"/>
              </w:rPr>
              <w:t xml:space="preserve"> </w:t>
            </w:r>
            <w:proofErr w:type="spellStart"/>
            <w:r w:rsidRPr="00A636E5">
              <w:rPr>
                <w:lang w:eastAsia="en-US"/>
              </w:rPr>
              <w:t>in</w:t>
            </w:r>
            <w:proofErr w:type="spellEnd"/>
            <w:r w:rsidRPr="00A636E5">
              <w:rPr>
                <w:lang w:eastAsia="en-US"/>
              </w:rPr>
              <w:t xml:space="preserve"> </w:t>
            </w:r>
            <w:proofErr w:type="spellStart"/>
            <w:r w:rsidRPr="00A636E5">
              <w:rPr>
                <w:lang w:eastAsia="en-US"/>
              </w:rPr>
              <w:t>the</w:t>
            </w:r>
            <w:proofErr w:type="spellEnd"/>
            <w:r w:rsidRPr="00A636E5">
              <w:rPr>
                <w:lang w:eastAsia="en-US"/>
              </w:rPr>
              <w:t xml:space="preserve"> </w:t>
            </w:r>
            <w:proofErr w:type="spellStart"/>
            <w:r w:rsidRPr="00A636E5">
              <w:rPr>
                <w:lang w:eastAsia="en-US"/>
              </w:rPr>
              <w:t>context</w:t>
            </w:r>
            <w:proofErr w:type="spellEnd"/>
            <w:r w:rsidRPr="00A636E5">
              <w:rPr>
                <w:lang w:eastAsia="en-US"/>
              </w:rPr>
              <w:t xml:space="preserve"> </w:t>
            </w:r>
            <w:proofErr w:type="spellStart"/>
            <w:r w:rsidRPr="00A636E5">
              <w:rPr>
                <w:lang w:eastAsia="en-US"/>
              </w:rPr>
              <w:t>of</w:t>
            </w:r>
            <w:proofErr w:type="spellEnd"/>
            <w:r w:rsidRPr="00A636E5">
              <w:rPr>
                <w:lang w:eastAsia="en-US"/>
              </w:rPr>
              <w:t xml:space="preserve"> </w:t>
            </w:r>
            <w:proofErr w:type="spellStart"/>
            <w:r w:rsidRPr="00A636E5">
              <w:rPr>
                <w:lang w:eastAsia="en-US"/>
              </w:rPr>
              <w:t>the</w:t>
            </w:r>
            <w:proofErr w:type="spellEnd"/>
            <w:r w:rsidRPr="00A636E5">
              <w:rPr>
                <w:lang w:eastAsia="en-US"/>
              </w:rPr>
              <w:t xml:space="preserve"> COVID-19 </w:t>
            </w:r>
            <w:proofErr w:type="spellStart"/>
            <w:r w:rsidRPr="00A636E5">
              <w:rPr>
                <w:lang w:eastAsia="en-US"/>
              </w:rPr>
              <w:t>outbreak</w:t>
            </w:r>
            <w:proofErr w:type="spellEnd"/>
            <w:r w:rsidRPr="00A636E5">
              <w:rPr>
                <w:lang w:eastAsia="en-US"/>
              </w:rPr>
              <w:t>) (turpmāk – Komisijas paziņojums)</w:t>
            </w:r>
            <w:r w:rsidRPr="00A636E5">
              <w:t xml:space="preserve"> </w:t>
            </w:r>
            <w:r w:rsidRPr="00A636E5">
              <w:rPr>
                <w:lang w:eastAsia="en-US"/>
              </w:rPr>
              <w:t>22.punkta c) apakšpunkta, kas savukārt nosaka, ka “</w:t>
            </w:r>
            <w:r w:rsidRPr="00A636E5">
              <w:rPr>
                <w:i/>
                <w:iCs/>
                <w:lang w:eastAsia="en-US"/>
              </w:rPr>
              <w:t xml:space="preserve">atbalstu nevar piešķirt </w:t>
            </w:r>
            <w:r w:rsidR="00265E03">
              <w:rPr>
                <w:i/>
                <w:iCs/>
                <w:lang w:eastAsia="en-US"/>
              </w:rPr>
              <w:t>uzņēmumiem, kuri 2019.gada 31.</w:t>
            </w:r>
            <w:r w:rsidRPr="00A636E5">
              <w:rPr>
                <w:i/>
                <w:iCs/>
                <w:lang w:eastAsia="en-US"/>
              </w:rPr>
              <w:t xml:space="preserve">decembrī jau bija </w:t>
            </w:r>
            <w:r w:rsidRPr="00A636E5">
              <w:rPr>
                <w:i/>
                <w:iCs/>
                <w:lang w:eastAsia="en-US"/>
              </w:rPr>
              <w:lastRenderedPageBreak/>
              <w:t>nonākuši grūtībās (Vispārējās grupu atbrīvojuma regulas</w:t>
            </w:r>
            <w:r w:rsidRPr="00A636E5">
              <w:rPr>
                <w:i/>
                <w:iCs/>
                <w:vertAlign w:val="superscript"/>
                <w:lang w:eastAsia="en-US"/>
              </w:rPr>
              <w:t>16</w:t>
            </w:r>
            <w:r w:rsidRPr="00A636E5">
              <w:rPr>
                <w:i/>
                <w:iCs/>
                <w:lang w:eastAsia="en-US"/>
              </w:rPr>
              <w:t xml:space="preserve"> nozīmē)“</w:t>
            </w:r>
            <w:r w:rsidRPr="00A636E5">
              <w:rPr>
                <w:lang w:eastAsia="en-US"/>
              </w:rPr>
              <w:t>. Komisijas paziņojuma 16. zemsvītras atsaucē ir noteikts “</w:t>
            </w:r>
            <w:r w:rsidR="006603D3">
              <w:rPr>
                <w:i/>
                <w:iCs/>
                <w:lang w:eastAsia="en-US"/>
              </w:rPr>
              <w:t>Saskaņā ar definīciju 2.</w:t>
            </w:r>
            <w:r w:rsidRPr="00A636E5">
              <w:rPr>
                <w:i/>
                <w:iCs/>
                <w:lang w:eastAsia="en-US"/>
              </w:rPr>
              <w:t xml:space="preserve">panta 18. punktā Komisijas </w:t>
            </w:r>
            <w:r w:rsidR="006603D3">
              <w:rPr>
                <w:i/>
                <w:iCs/>
                <w:lang w:eastAsia="en-US"/>
              </w:rPr>
              <w:t>Regulā (ES) Nr. 651/2014 (2014.gada 17.</w:t>
            </w:r>
            <w:r w:rsidRPr="00A636E5">
              <w:rPr>
                <w:i/>
                <w:iCs/>
                <w:lang w:eastAsia="en-US"/>
              </w:rPr>
              <w:t>jūnijs), ar ko noteiktas atbalsta kategorijas atzīst par saderīgām ar iekšējo tirgu, piemērojot Līguma 107. un 108. pantu (OV L 187, 26.6.2014., 1. lpp.)</w:t>
            </w:r>
            <w:r w:rsidRPr="00A636E5">
              <w:rPr>
                <w:lang w:eastAsia="en-US"/>
              </w:rPr>
              <w:t>”. Attiecīgi, lai nodrošinātu tiesību piemērotājam skaidrību par piemērojamajiem nosacījumiem, kas izriet no Komisijas paziņojuma 22.punkta c) apakšpunkta, kas savukārt ietver nosacījumus no Ko</w:t>
            </w:r>
            <w:r w:rsidR="006603D3">
              <w:rPr>
                <w:lang w:eastAsia="en-US"/>
              </w:rPr>
              <w:t>misijas Regulas Nr.651/2014 2.</w:t>
            </w:r>
            <w:r w:rsidRPr="00A636E5">
              <w:rPr>
                <w:lang w:eastAsia="en-US"/>
              </w:rPr>
              <w:t>panta 18.punk</w:t>
            </w:r>
            <w:r w:rsidR="006603D3">
              <w:rPr>
                <w:lang w:eastAsia="en-US"/>
              </w:rPr>
              <w:t>ta, MK noteikumu projekta 14.2.</w:t>
            </w:r>
            <w:r w:rsidRPr="00A636E5">
              <w:rPr>
                <w:lang w:eastAsia="en-US"/>
              </w:rPr>
              <w:t>apakšpunkts attiecīgi uzskaita šos Ko</w:t>
            </w:r>
            <w:r w:rsidR="006603D3">
              <w:rPr>
                <w:lang w:eastAsia="en-US"/>
              </w:rPr>
              <w:t>misijas Regulas Nr.651/2014 2.panta 18.</w:t>
            </w:r>
            <w:r w:rsidRPr="00A636E5">
              <w:rPr>
                <w:lang w:eastAsia="en-US"/>
              </w:rPr>
              <w:t>punkta nosacījumus. Šāda pieeja ir iestrādāta arī Ministru kabineta 202</w:t>
            </w:r>
            <w:r w:rsidR="006603D3">
              <w:rPr>
                <w:lang w:eastAsia="en-US"/>
              </w:rPr>
              <w:t>0.gada 19.marta noteikumu Nr.</w:t>
            </w:r>
            <w:r w:rsidR="00265E03">
              <w:rPr>
                <w:lang w:eastAsia="en-US"/>
              </w:rPr>
              <w:t>150 “</w:t>
            </w:r>
            <w:r w:rsidRPr="00A636E5">
              <w:rPr>
                <w:lang w:eastAsia="en-US"/>
              </w:rPr>
              <w:t>Noteikumi par garantijām saimnieciskās darbības veicējiem, kuru darbību iete</w:t>
            </w:r>
            <w:r w:rsidR="00265E03">
              <w:rPr>
                <w:lang w:eastAsia="en-US"/>
              </w:rPr>
              <w:t>kmējusi Covid-19 izplatība”</w:t>
            </w:r>
            <w:r w:rsidR="006603D3">
              <w:rPr>
                <w:lang w:eastAsia="en-US"/>
              </w:rPr>
              <w:t xml:space="preserve"> 16.</w:t>
            </w:r>
            <w:r w:rsidRPr="00A636E5">
              <w:rPr>
                <w:lang w:eastAsia="en-US"/>
              </w:rPr>
              <w:t>punktā un M</w:t>
            </w:r>
            <w:r w:rsidR="006603D3">
              <w:rPr>
                <w:lang w:eastAsia="en-US"/>
              </w:rPr>
              <w:t>inistru kabineta 2020.gada 19.marta noteikumi Nr.</w:t>
            </w:r>
            <w:r w:rsidR="00265E03">
              <w:rPr>
                <w:lang w:eastAsia="en-US"/>
              </w:rPr>
              <w:t>149 “</w:t>
            </w:r>
            <w:r w:rsidRPr="00A636E5">
              <w:rPr>
                <w:lang w:eastAsia="en-US"/>
              </w:rPr>
              <w:t xml:space="preserve">Noteikumi par apgrozāmo līdzekļu aizdevumiem saimnieciskās darbības veicējiem, </w:t>
            </w:r>
            <w:r w:rsidRPr="00A636E5">
              <w:rPr>
                <w:lang w:eastAsia="en-US"/>
              </w:rPr>
              <w:lastRenderedPageBreak/>
              <w:t>kuru darbību ietekmējusi Covid-19</w:t>
            </w:r>
            <w:r w:rsidR="00265E03">
              <w:rPr>
                <w:lang w:eastAsia="en-US"/>
              </w:rPr>
              <w:t xml:space="preserve"> izplatība”</w:t>
            </w:r>
            <w:r w:rsidR="006603D3">
              <w:rPr>
                <w:lang w:eastAsia="en-US"/>
              </w:rPr>
              <w:t xml:space="preserve"> 21.</w:t>
            </w:r>
            <w:r w:rsidRPr="00A636E5">
              <w:rPr>
                <w:lang w:eastAsia="en-US"/>
              </w:rPr>
              <w:t>punktā, kā arī M</w:t>
            </w:r>
            <w:r w:rsidR="006603D3">
              <w:rPr>
                <w:lang w:eastAsia="en-US"/>
              </w:rPr>
              <w:t>inistru kabineta 2020.gada 16.</w:t>
            </w:r>
            <w:r w:rsidR="00265E03">
              <w:rPr>
                <w:lang w:eastAsia="en-US"/>
              </w:rPr>
              <w:t>jūnija noteikumu Nr.400 “</w:t>
            </w:r>
            <w:r w:rsidRPr="00A636E5">
              <w:rPr>
                <w:lang w:eastAsia="en-US"/>
              </w:rPr>
              <w:t>Noteikumi par īpašā atbalsta mehānismu repatriācijas izmaksu se</w:t>
            </w:r>
            <w:r w:rsidR="006603D3">
              <w:rPr>
                <w:lang w:eastAsia="en-US"/>
              </w:rPr>
              <w:t>gšanai tūrisma operatori</w:t>
            </w:r>
            <w:r w:rsidR="00265E03">
              <w:rPr>
                <w:lang w:eastAsia="en-US"/>
              </w:rPr>
              <w:t>em”</w:t>
            </w:r>
            <w:r w:rsidR="006603D3">
              <w:rPr>
                <w:lang w:eastAsia="en-US"/>
              </w:rPr>
              <w:t xml:space="preserve"> 16.</w:t>
            </w:r>
            <w:r w:rsidRPr="00A636E5">
              <w:rPr>
                <w:lang w:eastAsia="en-US"/>
              </w:rPr>
              <w:t>punktā.</w:t>
            </w:r>
          </w:p>
          <w:p w14:paraId="49406209" w14:textId="77777777" w:rsidR="00412AA3" w:rsidRPr="00A636E5" w:rsidRDefault="00412AA3" w:rsidP="00412AA3">
            <w:r w:rsidRPr="00A636E5">
              <w:rPr>
                <w:lang w:eastAsia="en-US"/>
              </w:rPr>
              <w:t xml:space="preserve">Gadījumā, ja Tieslietu ministrija tomēr uzskata, ka </w:t>
            </w:r>
            <w:r w:rsidR="006603D3">
              <w:rPr>
                <w:lang w:eastAsia="en-US"/>
              </w:rPr>
              <w:t>projekta 14.2.</w:t>
            </w:r>
            <w:r w:rsidRPr="00A636E5">
              <w:rPr>
                <w:lang w:eastAsia="en-US"/>
              </w:rPr>
              <w:t>apakšpunkts būtu precizējams, ierosinām kā alternatīvu šo normu izteikt pēc analoģijas Ministru kabineta 2016</w:t>
            </w:r>
            <w:r w:rsidR="006603D3">
              <w:rPr>
                <w:lang w:eastAsia="en-US"/>
              </w:rPr>
              <w:t>.gada 5.janvāra noteikumu Nr.</w:t>
            </w:r>
            <w:r w:rsidR="00265E03">
              <w:rPr>
                <w:lang w:eastAsia="en-US"/>
              </w:rPr>
              <w:t>2 “Darbības programmas “Izaugsme un nodarbinātība”</w:t>
            </w:r>
            <w:r w:rsidRPr="00A636E5">
              <w:rPr>
                <w:lang w:eastAsia="en-US"/>
              </w:rPr>
              <w:t xml:space="preserve"> 1.</w:t>
            </w:r>
            <w:r w:rsidR="00265E03">
              <w:rPr>
                <w:lang w:eastAsia="en-US"/>
              </w:rPr>
              <w:t>2.1. specifiskā atbalsta mērķa “</w:t>
            </w:r>
            <w:r w:rsidRPr="00A636E5">
              <w:rPr>
                <w:lang w:eastAsia="en-US"/>
              </w:rPr>
              <w:t>Palielināt privātā sek</w:t>
            </w:r>
            <w:r w:rsidR="00265E03">
              <w:rPr>
                <w:lang w:eastAsia="en-US"/>
              </w:rPr>
              <w:t>tora investīcijas P&amp;A”</w:t>
            </w:r>
            <w:r w:rsidR="006603D3">
              <w:rPr>
                <w:lang w:eastAsia="en-US"/>
              </w:rPr>
              <w:t xml:space="preserve"> 1.2.1.1.</w:t>
            </w:r>
            <w:r w:rsidR="00265E03">
              <w:rPr>
                <w:lang w:eastAsia="en-US"/>
              </w:rPr>
              <w:t>pasākuma “</w:t>
            </w:r>
            <w:r w:rsidRPr="00A636E5">
              <w:rPr>
                <w:lang w:eastAsia="en-US"/>
              </w:rPr>
              <w:t>Atbalsts jaunu produktu un tehnoloģiju izstrā</w:t>
            </w:r>
            <w:r w:rsidR="00265E03">
              <w:rPr>
                <w:lang w:eastAsia="en-US"/>
              </w:rPr>
              <w:t>dei kompetences centru ietvaros”</w:t>
            </w:r>
            <w:r w:rsidRPr="00A636E5">
              <w:rPr>
                <w:lang w:eastAsia="en-US"/>
              </w:rPr>
              <w:t xml:space="preserve"> pirmās, otrās un ceturtās projektu iesniegumu atlases kārtas īstenoša</w:t>
            </w:r>
            <w:r w:rsidR="00265E03">
              <w:rPr>
                <w:lang w:eastAsia="en-US"/>
              </w:rPr>
              <w:t>nas noteikumi”</w:t>
            </w:r>
            <w:r w:rsidR="009261D8" w:rsidRPr="00A636E5">
              <w:rPr>
                <w:lang w:eastAsia="en-US"/>
              </w:rPr>
              <w:t xml:space="preserve"> 20.2. apakšpunktam</w:t>
            </w:r>
            <w:r w:rsidRPr="00A636E5">
              <w:rPr>
                <w:lang w:eastAsia="en-US"/>
              </w:rPr>
              <w:t xml:space="preserve"> šādā redakcijā:</w:t>
            </w:r>
          </w:p>
          <w:p w14:paraId="45FDC431" w14:textId="77777777" w:rsidR="00412AA3" w:rsidRPr="00A636E5" w:rsidRDefault="00412AA3" w:rsidP="00A43064">
            <w:pPr>
              <w:rPr>
                <w:lang w:eastAsia="en-US"/>
              </w:rPr>
            </w:pPr>
            <w:r w:rsidRPr="00A636E5">
              <w:rPr>
                <w:lang w:eastAsia="en-US"/>
              </w:rPr>
              <w:t>“</w:t>
            </w:r>
            <w:r w:rsidRPr="00A636E5">
              <w:rPr>
                <w:i/>
                <w:iCs/>
                <w:lang w:eastAsia="en-US"/>
              </w:rPr>
              <w:t>14.2. atbalstu nedrīkst piešķirt uz</w:t>
            </w:r>
            <w:r w:rsidR="006603D3">
              <w:rPr>
                <w:i/>
                <w:iCs/>
                <w:lang w:eastAsia="en-US"/>
              </w:rPr>
              <w:t>ņēmumam, kurš uz 2019.gada 31.</w:t>
            </w:r>
            <w:r w:rsidRPr="00A636E5">
              <w:rPr>
                <w:i/>
                <w:iCs/>
                <w:lang w:eastAsia="en-US"/>
              </w:rPr>
              <w:t>decembri bija uzskatāms par nonākušu grūtībās atbilstoši Komisijas re</w:t>
            </w:r>
            <w:r w:rsidR="00265E03">
              <w:rPr>
                <w:i/>
                <w:iCs/>
                <w:lang w:eastAsia="en-US"/>
              </w:rPr>
              <w:t>gulas Nr. 651/2014 2.</w:t>
            </w:r>
            <w:r w:rsidR="006603D3">
              <w:rPr>
                <w:i/>
                <w:iCs/>
                <w:lang w:eastAsia="en-US"/>
              </w:rPr>
              <w:t>panta 18.</w:t>
            </w:r>
            <w:r w:rsidRPr="00A636E5">
              <w:rPr>
                <w:i/>
                <w:iCs/>
                <w:lang w:eastAsia="en-US"/>
              </w:rPr>
              <w:t>punkta definīcijai</w:t>
            </w:r>
            <w:r w:rsidRPr="00A636E5">
              <w:rPr>
                <w:lang w:eastAsia="en-US"/>
              </w:rPr>
              <w:t>”.</w:t>
            </w:r>
          </w:p>
          <w:p w14:paraId="335C6C3C" w14:textId="77777777" w:rsidR="00A43064" w:rsidRPr="00A636E5" w:rsidRDefault="00A43064" w:rsidP="00A43064">
            <w:pPr>
              <w:rPr>
                <w:lang w:eastAsia="en-US"/>
              </w:rPr>
            </w:pPr>
          </w:p>
          <w:p w14:paraId="7BB10ADE" w14:textId="77777777" w:rsidR="00A43064" w:rsidRPr="00A636E5" w:rsidRDefault="00A43064" w:rsidP="00A43064">
            <w:pPr>
              <w:rPr>
                <w:lang w:eastAsia="en-US"/>
              </w:rPr>
            </w:pPr>
          </w:p>
          <w:p w14:paraId="51FAD504" w14:textId="77777777" w:rsidR="00A43064" w:rsidRPr="00A636E5" w:rsidRDefault="00A43064" w:rsidP="00A43064">
            <w:pPr>
              <w:rPr>
                <w:lang w:eastAsia="en-US"/>
              </w:rPr>
            </w:pPr>
          </w:p>
          <w:p w14:paraId="1ECAE9B9" w14:textId="77777777" w:rsidR="00A43064" w:rsidRDefault="00A43064" w:rsidP="00A43064">
            <w:pPr>
              <w:rPr>
                <w:lang w:eastAsia="en-US"/>
              </w:rPr>
            </w:pPr>
          </w:p>
          <w:p w14:paraId="69752DEE" w14:textId="77777777" w:rsidR="00B82AC0" w:rsidRDefault="00B82AC0" w:rsidP="00A43064">
            <w:pPr>
              <w:rPr>
                <w:lang w:eastAsia="en-US"/>
              </w:rPr>
            </w:pPr>
          </w:p>
          <w:p w14:paraId="4F6FE77D" w14:textId="77777777" w:rsidR="00B82AC0" w:rsidRDefault="00B82AC0" w:rsidP="00A43064">
            <w:pPr>
              <w:rPr>
                <w:lang w:eastAsia="en-US"/>
              </w:rPr>
            </w:pPr>
          </w:p>
          <w:p w14:paraId="1310930F" w14:textId="77777777" w:rsidR="001B3899" w:rsidRDefault="001B3899" w:rsidP="00A43064">
            <w:pPr>
              <w:rPr>
                <w:lang w:eastAsia="en-US"/>
              </w:rPr>
            </w:pPr>
          </w:p>
          <w:p w14:paraId="7DE66875" w14:textId="77777777" w:rsidR="001B3899" w:rsidRDefault="001B3899" w:rsidP="00A43064">
            <w:pPr>
              <w:rPr>
                <w:lang w:eastAsia="en-US"/>
              </w:rPr>
            </w:pPr>
          </w:p>
          <w:p w14:paraId="0B4251AF" w14:textId="77777777" w:rsidR="001B3899" w:rsidRDefault="001B3899" w:rsidP="00A43064">
            <w:pPr>
              <w:rPr>
                <w:lang w:eastAsia="en-US"/>
              </w:rPr>
            </w:pPr>
          </w:p>
          <w:p w14:paraId="0A445FC0" w14:textId="77777777" w:rsidR="001B3899" w:rsidRDefault="001B3899" w:rsidP="00A43064">
            <w:pPr>
              <w:rPr>
                <w:lang w:eastAsia="en-US"/>
              </w:rPr>
            </w:pPr>
          </w:p>
          <w:p w14:paraId="7C19EC90" w14:textId="77777777" w:rsidR="001B3899" w:rsidRDefault="001B3899" w:rsidP="00A43064">
            <w:pPr>
              <w:rPr>
                <w:lang w:eastAsia="en-US"/>
              </w:rPr>
            </w:pPr>
          </w:p>
          <w:p w14:paraId="099549C6" w14:textId="77777777" w:rsidR="001B3899" w:rsidRDefault="001B3899" w:rsidP="00A43064">
            <w:pPr>
              <w:rPr>
                <w:lang w:eastAsia="en-US"/>
              </w:rPr>
            </w:pPr>
          </w:p>
          <w:p w14:paraId="3F3BF557" w14:textId="77777777" w:rsidR="001B3899" w:rsidRDefault="001B3899" w:rsidP="00A43064">
            <w:pPr>
              <w:rPr>
                <w:lang w:eastAsia="en-US"/>
              </w:rPr>
            </w:pPr>
          </w:p>
          <w:p w14:paraId="7A3FDE39" w14:textId="77777777" w:rsidR="001B3899" w:rsidRDefault="001B3899" w:rsidP="00A43064">
            <w:pPr>
              <w:rPr>
                <w:lang w:eastAsia="en-US"/>
              </w:rPr>
            </w:pPr>
          </w:p>
          <w:p w14:paraId="7F3D25D1" w14:textId="77777777" w:rsidR="001B3899" w:rsidRDefault="001B3899" w:rsidP="00A43064">
            <w:pPr>
              <w:rPr>
                <w:lang w:eastAsia="en-US"/>
              </w:rPr>
            </w:pPr>
          </w:p>
          <w:p w14:paraId="67E0BF88" w14:textId="77777777" w:rsidR="001B3899" w:rsidRDefault="001B3899" w:rsidP="00A43064">
            <w:pPr>
              <w:rPr>
                <w:lang w:eastAsia="en-US"/>
              </w:rPr>
            </w:pPr>
          </w:p>
          <w:p w14:paraId="3420A0F2" w14:textId="77777777" w:rsidR="001B3899" w:rsidRDefault="001B3899" w:rsidP="00A43064">
            <w:pPr>
              <w:rPr>
                <w:lang w:eastAsia="en-US"/>
              </w:rPr>
            </w:pPr>
          </w:p>
          <w:p w14:paraId="62CB23E7" w14:textId="77777777" w:rsidR="001B3899" w:rsidRDefault="001B3899" w:rsidP="00A43064">
            <w:pPr>
              <w:rPr>
                <w:lang w:eastAsia="en-US"/>
              </w:rPr>
            </w:pPr>
          </w:p>
          <w:p w14:paraId="262D3368" w14:textId="77777777" w:rsidR="001B3899" w:rsidRDefault="001B3899" w:rsidP="00A43064">
            <w:pPr>
              <w:rPr>
                <w:lang w:eastAsia="en-US"/>
              </w:rPr>
            </w:pPr>
          </w:p>
          <w:p w14:paraId="2F19D222" w14:textId="77777777" w:rsidR="001B3899" w:rsidRDefault="001B3899" w:rsidP="00A43064">
            <w:pPr>
              <w:rPr>
                <w:lang w:eastAsia="en-US"/>
              </w:rPr>
            </w:pPr>
          </w:p>
          <w:p w14:paraId="0C9F226B" w14:textId="77777777" w:rsidR="001B3899" w:rsidRPr="00A636E5" w:rsidRDefault="001B3899" w:rsidP="00A43064">
            <w:pPr>
              <w:rPr>
                <w:lang w:eastAsia="en-US"/>
              </w:rPr>
            </w:pPr>
          </w:p>
          <w:p w14:paraId="4FF821F6" w14:textId="77777777" w:rsidR="00A43064" w:rsidRPr="00A636E5" w:rsidRDefault="00A43064" w:rsidP="00A43064">
            <w:pPr>
              <w:rPr>
                <w:lang w:eastAsia="en-US"/>
              </w:rPr>
            </w:pPr>
          </w:p>
          <w:p w14:paraId="7D3BB1F4" w14:textId="77777777" w:rsidR="00A43064" w:rsidRDefault="00A636E5" w:rsidP="00B82AC0">
            <w:r w:rsidRPr="00A636E5">
              <w:t>Sa</w:t>
            </w:r>
            <w:r w:rsidR="00B82AC0">
              <w:t>skaņā ar noteikumu projekta 11.</w:t>
            </w:r>
            <w:r w:rsidRPr="00A636E5">
              <w:t>punktu “</w:t>
            </w:r>
            <w:r w:rsidRPr="00A636E5">
              <w:rPr>
                <w:i/>
                <w:iCs/>
              </w:rPr>
              <w:t xml:space="preserve">Ja nomnieks publiskas personas vai publiskas personas kontrolētas kapitālsabiedrības nekustamo īpašumu vai kustamo mantu izmanto saimnieciskai darbībai un šajos noteikumos minēto atbalsta pasākumu piemērošanas gadījumā atbalsts nomniekam kvalificējams kā komercdarbības atbalsts, šajos noteikumos minēto atbalstu sniedz </w:t>
            </w:r>
            <w:r w:rsidRPr="00A636E5">
              <w:rPr>
                <w:i/>
                <w:iCs/>
              </w:rPr>
              <w:lastRenderedPageBreak/>
              <w:t>saskaņā ar šo note</w:t>
            </w:r>
            <w:r w:rsidR="00B82AC0">
              <w:rPr>
                <w:i/>
                <w:iCs/>
              </w:rPr>
              <w:t>ikumu 12.punktā vai 14. un 15.</w:t>
            </w:r>
            <w:r w:rsidRPr="00A636E5">
              <w:rPr>
                <w:i/>
                <w:iCs/>
              </w:rPr>
              <w:t>punktā minētajiem nosacījumiem</w:t>
            </w:r>
            <w:r w:rsidRPr="00A636E5">
              <w:t>”. No minētā izriet, ka, vērtējot, vai noteikumu projekta ietvaros paredzētais atbalsts kvalificējas kā komercdarbības atbalsts, va</w:t>
            </w:r>
            <w:r w:rsidR="00B82AC0">
              <w:t>i nu noteikumu projekta 12.-19.</w:t>
            </w:r>
            <w:r w:rsidRPr="00A636E5">
              <w:t>punkti nav piemērojami (kad atbalsts nekvalificējas kā komercdarbības atbalsts, proti, neatbilst Komercdarbīb</w:t>
            </w:r>
            <w:r w:rsidR="00B82AC0">
              <w:t>as atbalsta kontroles likuma 5.</w:t>
            </w:r>
            <w:r w:rsidRPr="00A636E5">
              <w:t xml:space="preserve">panta noteiktajām pazīmēm), vai arī būtu piemērojami nosacījumi, kas </w:t>
            </w:r>
            <w:r>
              <w:t>noteikti noteikumu projekta 12.</w:t>
            </w:r>
            <w:r w:rsidRPr="00A636E5">
              <w:t>punktā (</w:t>
            </w:r>
            <w:proofErr w:type="spellStart"/>
            <w:r w:rsidRPr="00A636E5">
              <w:rPr>
                <w:i/>
              </w:rPr>
              <w:t>de</w:t>
            </w:r>
            <w:proofErr w:type="spellEnd"/>
            <w:r w:rsidRPr="00A636E5">
              <w:rPr>
                <w:i/>
              </w:rPr>
              <w:t xml:space="preserve"> </w:t>
            </w:r>
            <w:proofErr w:type="spellStart"/>
            <w:r w:rsidRPr="00A636E5">
              <w:rPr>
                <w:i/>
              </w:rPr>
              <w:t>minimis</w:t>
            </w:r>
            <w:proofErr w:type="spellEnd"/>
            <w:r w:rsidRPr="00A636E5">
              <w:t xml:space="preserve"> atbalsts), vai nosacījumi, kas izriet no noteikumu projekta</w:t>
            </w:r>
            <w:r w:rsidR="00B82AC0">
              <w:t xml:space="preserve"> 14. un 15.</w:t>
            </w:r>
            <w:r w:rsidRPr="00A636E5">
              <w:t>punkta (prasības, kas izriet no Eiropas Komisijas Pagaidu regulējuma un šīs prasības noteikumu projektā stājas spēkā pēc Eiropas Komisijas lēmuma saņ</w:t>
            </w:r>
            <w:r w:rsidR="00B82AC0">
              <w:t>emšanas (noteikumu projekta 19.</w:t>
            </w:r>
            <w:r w:rsidRPr="00A636E5">
              <w:t>punkts)). Tā</w:t>
            </w:r>
            <w:r w:rsidR="00955B22">
              <w:t>dējādi noteikumu projekta 14.2.</w:t>
            </w:r>
            <w:r w:rsidRPr="00A636E5">
              <w:t>apakšpunktā noteiktās pazīmes ir attiecināmas tikai gadījumā, ja plānotais atbalsts kvalificējas kā komercdarbības atbalsts un tas tiek piešķirts sa</w:t>
            </w:r>
            <w:r w:rsidR="00B82AC0">
              <w:t>skaņā ar noteikumu projekta 14.</w:t>
            </w:r>
            <w:r w:rsidRPr="00A636E5">
              <w:t xml:space="preserve">punkta nosacījumiem. Attiecīgi, gadījumā, ja atbalsta pretendentam (nomniekam) uz iesnieguma </w:t>
            </w:r>
            <w:r w:rsidRPr="00A636E5">
              <w:lastRenderedPageBreak/>
              <w:t>iesniegšanas dienu īstenots tiesiskās aizsardzības</w:t>
            </w:r>
            <w:r w:rsidR="00B82AC0">
              <w:t xml:space="preserve"> process, kas uzsākts pēc 2019.gada 31.</w:t>
            </w:r>
            <w:r w:rsidRPr="00A636E5">
              <w:t>decembra, tas ir tiesīgs saņemt komercdarbības atbalstu noteikumu projekta ietvaros pie nosacījuma, ja izpildās pārējie obligātie no noteikumu projekta izrietošie nosacījumi</w:t>
            </w:r>
            <w:r w:rsidR="00955B22">
              <w:t>.</w:t>
            </w:r>
          </w:p>
          <w:p w14:paraId="7626EACD" w14:textId="77777777" w:rsidR="00A541B2" w:rsidRPr="002C2E07" w:rsidRDefault="00A541B2" w:rsidP="00B82AC0"/>
          <w:p w14:paraId="35DD63C5" w14:textId="45B694C8" w:rsidR="00A541B2" w:rsidRPr="00A52527" w:rsidRDefault="00A541B2" w:rsidP="002C2E07">
            <w:pPr>
              <w:rPr>
                <w:szCs w:val="22"/>
              </w:rPr>
            </w:pPr>
            <w:r w:rsidRPr="002C2E07">
              <w:t>Vienlaikus vēršam uz</w:t>
            </w:r>
            <w:r w:rsidR="00B82AC0">
              <w:t>manību, ka noteikumu 14. un 15.punktā (tāpat kā 17. un 18.</w:t>
            </w:r>
            <w:r w:rsidRPr="002C2E07">
              <w:t>punktā) minētie nosacījumi iz</w:t>
            </w:r>
            <w:r w:rsidR="00B82AC0">
              <w:t>riet no Eiropas Komisijas 2020.gada 19.</w:t>
            </w:r>
            <w:r w:rsidRPr="002C2E07">
              <w:t xml:space="preserve">martā Pagaidu regulējumā valsts atbalsta pasākumiem, ar ko atbalsta ekonomiku pašreizējā Covid-19 </w:t>
            </w:r>
            <w:r w:rsidR="002C2E07" w:rsidRPr="002C2E07">
              <w:t>uzliesmojuma situācijā (turpmāk </w:t>
            </w:r>
            <w:r w:rsidRPr="002C2E07">
              <w:t>– Pagaidu regulējums), kas nosaka prasības komercdarbības atbalsta saderībai ar Eiropas Savienības iekšējo tirgu saskaņā ar Līguma par Eiropas Savienības darbību 107.</w:t>
            </w:r>
            <w:r w:rsidR="00D02E8F">
              <w:t xml:space="preserve"> panta 3.punkta b) </w:t>
            </w:r>
            <w:r w:rsidRPr="002C2E07">
              <w:t>apakšpunktu. Attiecīgi, lai nodrošinātu piešķiramā komercdarbības atbalsta likumību un saderību ar Eiropas Savienības iekšējo tirgu, kur viena no prasībām ir ietv</w:t>
            </w:r>
            <w:r w:rsidR="00D02E8F">
              <w:t>erta noteikumu projekta 14.2.3.</w:t>
            </w:r>
            <w:r w:rsidRPr="002C2E07">
              <w:t xml:space="preserve">apakšpunktā (izriet no Pagaidu regulējuma </w:t>
            </w:r>
            <w:r w:rsidR="00D02E8F">
              <w:t>20.punkta c) </w:t>
            </w:r>
            <w:r w:rsidRPr="002C2E07">
              <w:t xml:space="preserve">apakšpunktu – pieejams šeit: </w:t>
            </w:r>
            <w:hyperlink r:id="rId9" w:history="1">
              <w:r>
                <w:rPr>
                  <w:rStyle w:val="Hyperlink"/>
                </w:rPr>
                <w:t>https://ec.europa.eu/competition/sta</w:t>
              </w:r>
              <w:r>
                <w:rPr>
                  <w:rStyle w:val="Hyperlink"/>
                </w:rPr>
                <w:lastRenderedPageBreak/>
                <w:t>te_aid/what_is_new/covid_19.html</w:t>
              </w:r>
            </w:hyperlink>
            <w:r w:rsidRPr="002C2E07">
              <w:t>, uz komercdarbības atbalsta saņemšanu nevar pretendēt tāds saimnieciskās darbības veicējs, kam tiek īstenots tiesiskās aizsardzības process.</w:t>
            </w:r>
          </w:p>
        </w:tc>
        <w:tc>
          <w:tcPr>
            <w:tcW w:w="3123" w:type="dxa"/>
          </w:tcPr>
          <w:p w14:paraId="094948C6" w14:textId="77777777" w:rsidR="00412AA3" w:rsidRPr="00FA01BC" w:rsidRDefault="00FA01BC" w:rsidP="00FA01BC">
            <w:pPr>
              <w:pStyle w:val="tv213"/>
              <w:shd w:val="clear" w:color="auto" w:fill="FFFFFF"/>
              <w:spacing w:before="0"/>
            </w:pPr>
            <w:r w:rsidRPr="00FA01BC">
              <w:lastRenderedPageBreak/>
              <w:t>14.2. </w:t>
            </w:r>
            <w:r w:rsidRPr="00FA01BC">
              <w:rPr>
                <w:u w:val="single"/>
              </w:rPr>
              <w:t>atbalstu nedrīkst piešķirt uzņēmumam, kurš uz 2019. gada 31. decembri bija uzskatāms par nonākušu grūtībās atbilstoši Komisijas regulas Nr. 651/2014 2. panta 18. punkta definīcijai</w:t>
            </w:r>
            <w:r w:rsidRPr="00FA01BC">
              <w:t>.</w:t>
            </w:r>
          </w:p>
        </w:tc>
      </w:tr>
      <w:tr w:rsidR="0050576F" w:rsidRPr="008A134B" w14:paraId="018DE69F" w14:textId="77777777" w:rsidTr="005E198D">
        <w:trPr>
          <w:jc w:val="center"/>
        </w:trPr>
        <w:tc>
          <w:tcPr>
            <w:tcW w:w="781" w:type="dxa"/>
          </w:tcPr>
          <w:p w14:paraId="5EBCE46E" w14:textId="77777777" w:rsidR="0050576F" w:rsidRPr="008A134B" w:rsidRDefault="0050576F" w:rsidP="0050576F">
            <w:pPr>
              <w:jc w:val="center"/>
              <w:rPr>
                <w:color w:val="000000" w:themeColor="text1"/>
              </w:rPr>
            </w:pPr>
            <w:r w:rsidRPr="008A134B">
              <w:rPr>
                <w:color w:val="000000" w:themeColor="text1"/>
              </w:rPr>
              <w:lastRenderedPageBreak/>
              <w:t>5.</w:t>
            </w:r>
          </w:p>
        </w:tc>
        <w:tc>
          <w:tcPr>
            <w:tcW w:w="3325" w:type="dxa"/>
            <w:gridSpan w:val="2"/>
          </w:tcPr>
          <w:p w14:paraId="0F9426BB" w14:textId="77777777" w:rsidR="00392F60" w:rsidRPr="009F0D9C" w:rsidRDefault="00392F60" w:rsidP="00392F60">
            <w:pPr>
              <w:pStyle w:val="tv213"/>
              <w:shd w:val="clear" w:color="auto" w:fill="FFFFFF"/>
              <w:spacing w:before="0" w:beforeAutospacing="0" w:after="60" w:afterAutospacing="0"/>
            </w:pPr>
            <w:r w:rsidRPr="009F0D9C">
              <w:t>14.2. atbalstu nedrīkst piešķirt uzņēmumam, kurš uz 2019. gada 31. decembri bija uzskatāms par nonākušu grūtībās atbilstoši šādām pazīmēm: [..]</w:t>
            </w:r>
          </w:p>
          <w:p w14:paraId="419E9472" w14:textId="77777777" w:rsidR="0050576F" w:rsidRPr="009F0D9C" w:rsidRDefault="00007625" w:rsidP="009F0D9C">
            <w:pPr>
              <w:pStyle w:val="tv213"/>
              <w:shd w:val="clear" w:color="auto" w:fill="FFFFFF"/>
              <w:spacing w:before="0" w:beforeAutospacing="0" w:after="0" w:afterAutospacing="0"/>
            </w:pPr>
            <w:r w:rsidRPr="009F0D9C">
              <w:t>14.2.4. saimnieciskās darbības veicējs ir saņēmis glābšanas atbalstu un vēl nav atmaksājis aizdevumu vai atsaucis garantiju vai ir saņēmis pārstrukturēšanas atbalstu un uz to joprojām attiecas pārstrukturēšanas plāns;</w:t>
            </w:r>
            <w:r w:rsidR="009F0D9C" w:rsidRPr="009F0D9C">
              <w:t xml:space="preserve"> [..]</w:t>
            </w:r>
          </w:p>
        </w:tc>
        <w:tc>
          <w:tcPr>
            <w:tcW w:w="3827" w:type="dxa"/>
            <w:gridSpan w:val="2"/>
          </w:tcPr>
          <w:p w14:paraId="7BB1C24F" w14:textId="77777777" w:rsidR="0050576F" w:rsidRPr="009F0D9C" w:rsidRDefault="0050576F" w:rsidP="00781373">
            <w:pPr>
              <w:pStyle w:val="Default"/>
              <w:spacing w:after="60"/>
              <w:rPr>
                <w:b/>
                <w:color w:val="auto"/>
              </w:rPr>
            </w:pPr>
            <w:r w:rsidRPr="009F0D9C">
              <w:rPr>
                <w:b/>
                <w:color w:val="auto"/>
              </w:rPr>
              <w:t>Tieslietu ministrija</w:t>
            </w:r>
          </w:p>
          <w:p w14:paraId="6D785C4A" w14:textId="77777777" w:rsidR="0050576F" w:rsidRPr="009F0D9C" w:rsidRDefault="0050576F" w:rsidP="00781373">
            <w:pPr>
              <w:spacing w:after="60"/>
            </w:pPr>
            <w:r w:rsidRPr="009F0D9C">
              <w:t xml:space="preserve">Projekta 14.2.4. apakšpunktā paredzēts, ka atbalstu nedrīkst piešķirt saimnieciskās darbības veicējam, kurš ir saņēmis </w:t>
            </w:r>
            <w:r w:rsidRPr="009F0D9C">
              <w:rPr>
                <w:u w:val="single"/>
              </w:rPr>
              <w:t>glābšanas atbalstu un vēl nav atmaksājis aizdevumu, vai atsaucis garantiju vai ir saņēmis pārstrukturēšanas atbalstu un uz to joprojām attiecas pārstrukturēšanas plāns</w:t>
            </w:r>
            <w:r w:rsidRPr="009F0D9C">
              <w:t xml:space="preserve">. No projekta un anotācijas nav saprotams, kas domāts šajā projekta normā ar terminiem "glābšanas atbalsts", "garantija", "pārstrukturēšanas atbalsts" un "pārstrukturēšanas plāns". Turklāt šādi termini, kā arī kritērijs atbalsta nepiešķiršanai nav </w:t>
            </w:r>
            <w:r w:rsidRPr="009F0D9C">
              <w:lastRenderedPageBreak/>
              <w:t>paredzēti Ministru kabineta 2020. gada 2. aprīļa noteikumos Nr. 180 "</w:t>
            </w:r>
            <w:r w:rsidRPr="009F0D9C">
              <w:rPr>
                <w:bCs/>
              </w:rPr>
              <w:t>Noteikumi par publiskas personas un publiskas personas kontrolētas kapitālsabiedrības mantas nomas maksas atbrīvojuma vai samazinājuma piemērošanu sakarā ar Covid-19 izplatību", kurus aizstās izstrādātais projekts. Ņemot vērā minēto, tiesiskās skaidrības nodrošināšanai lūdzam anotācijā skaidrot projekta 14.2.4. apakšpunkta mērķi un būtību</w:t>
            </w:r>
            <w:r w:rsidRPr="009F0D9C">
              <w:t>.</w:t>
            </w:r>
          </w:p>
        </w:tc>
        <w:tc>
          <w:tcPr>
            <w:tcW w:w="3686" w:type="dxa"/>
          </w:tcPr>
          <w:p w14:paraId="3D796C02" w14:textId="77777777" w:rsidR="00781373" w:rsidRPr="009F0D9C" w:rsidRDefault="00781373" w:rsidP="00781373">
            <w:pPr>
              <w:spacing w:after="60"/>
              <w:rPr>
                <w:b/>
                <w:shd w:val="clear" w:color="auto" w:fill="FFFFFF"/>
              </w:rPr>
            </w:pPr>
            <w:r w:rsidRPr="009F0D9C">
              <w:rPr>
                <w:b/>
                <w:shd w:val="clear" w:color="auto" w:fill="FFFFFF"/>
              </w:rPr>
              <w:lastRenderedPageBreak/>
              <w:t>Panākta vienošanās elektroniskajā saskaņošanā.</w:t>
            </w:r>
          </w:p>
          <w:p w14:paraId="76315C91" w14:textId="77777777" w:rsidR="0050576F" w:rsidRPr="009F0D9C" w:rsidRDefault="00781373" w:rsidP="002F48F5">
            <w:pPr>
              <w:spacing w:after="120"/>
            </w:pPr>
            <w:r w:rsidRPr="009F0D9C">
              <w:rPr>
                <w:lang w:eastAsia="en-US"/>
              </w:rPr>
              <w:t xml:space="preserve">Lūdzam skatīt skaidrojumu 4.punktā. Vienlaikus skaidrojam, ka ar terminiem "glābšanas atbalsts", "garantija", "pārstrukturēšanas atbalsts" un "pārstrukturēšanas plāns" jāsaprot termini, kas izriet no Komisijas paziņojuma “Pamatnostādnes par valsts atbalstu grūtībās nonākušu </w:t>
            </w:r>
            <w:proofErr w:type="spellStart"/>
            <w:r w:rsidRPr="009F0D9C">
              <w:rPr>
                <w:lang w:eastAsia="en-US"/>
              </w:rPr>
              <w:t>nefinanšu</w:t>
            </w:r>
            <w:proofErr w:type="spellEnd"/>
            <w:r w:rsidRPr="009F0D9C">
              <w:rPr>
                <w:lang w:eastAsia="en-US"/>
              </w:rPr>
              <w:t xml:space="preserve"> uzņēmumu glābšanai un pārstrukturēšanai” (2014/C 249/01). Šāds kritērijs MK noteikumu projekta 14.2.4. apakšpunktā ir nepieciešams, lai pilnībā pārņemtu Komisijas </w:t>
            </w:r>
            <w:r w:rsidRPr="009F0D9C">
              <w:rPr>
                <w:lang w:eastAsia="en-US"/>
              </w:rPr>
              <w:lastRenderedPageBreak/>
              <w:t>paziņojuma 22.punkta c) apakšpunkta un attiecīgi Komisijas Regulas Nr. 651/2014 2. panta 18. punkta prasības.</w:t>
            </w:r>
          </w:p>
        </w:tc>
        <w:tc>
          <w:tcPr>
            <w:tcW w:w="3123" w:type="dxa"/>
          </w:tcPr>
          <w:p w14:paraId="5EB930B1" w14:textId="77777777" w:rsidR="0050576F" w:rsidRPr="00765B69" w:rsidRDefault="00765B69" w:rsidP="00765B69">
            <w:pPr>
              <w:pStyle w:val="tv213"/>
              <w:shd w:val="clear" w:color="auto" w:fill="FFFFFF"/>
              <w:spacing w:before="0"/>
            </w:pPr>
            <w:r w:rsidRPr="00765B69">
              <w:lastRenderedPageBreak/>
              <w:t>14.2. </w:t>
            </w:r>
            <w:r w:rsidRPr="00765B69">
              <w:rPr>
                <w:u w:val="single"/>
              </w:rPr>
              <w:t>atbalstu nedrīkst piešķirt uzņēmumam, kurš uz 2019. gada 31. decembri bija uzskatāms par nonākušu grūtībās atbilstoši Komisijas regulas Nr. 651/2014 2. panta 18. punkta definīcijai</w:t>
            </w:r>
            <w:r w:rsidRPr="00765B69">
              <w:t>.</w:t>
            </w:r>
          </w:p>
        </w:tc>
      </w:tr>
      <w:tr w:rsidR="001479E0" w:rsidRPr="008A134B" w14:paraId="11DF266A" w14:textId="77777777" w:rsidTr="005E198D">
        <w:trPr>
          <w:jc w:val="center"/>
        </w:trPr>
        <w:tc>
          <w:tcPr>
            <w:tcW w:w="781" w:type="dxa"/>
          </w:tcPr>
          <w:p w14:paraId="3BD51FF4" w14:textId="77777777" w:rsidR="001479E0" w:rsidRDefault="001479E0" w:rsidP="00C8107E">
            <w:pPr>
              <w:jc w:val="center"/>
              <w:rPr>
                <w:color w:val="000000" w:themeColor="text1"/>
              </w:rPr>
            </w:pPr>
            <w:r>
              <w:rPr>
                <w:color w:val="000000" w:themeColor="text1"/>
              </w:rPr>
              <w:t>6.</w:t>
            </w:r>
          </w:p>
        </w:tc>
        <w:tc>
          <w:tcPr>
            <w:tcW w:w="3325" w:type="dxa"/>
            <w:gridSpan w:val="2"/>
          </w:tcPr>
          <w:p w14:paraId="7A37A456" w14:textId="77777777" w:rsidR="001479E0" w:rsidRPr="0005512E" w:rsidRDefault="0005512E" w:rsidP="0005512E">
            <w:pPr>
              <w:pStyle w:val="Heading2"/>
              <w:spacing w:before="0"/>
              <w:rPr>
                <w:rFonts w:ascii="Times New Roman" w:hAnsi="Times New Roman" w:cs="Times New Roman"/>
                <w:b/>
                <w:bCs/>
                <w:color w:val="auto"/>
                <w:sz w:val="24"/>
                <w:szCs w:val="24"/>
              </w:rPr>
            </w:pPr>
            <w:r w:rsidRPr="0005512E">
              <w:rPr>
                <w:rFonts w:ascii="Times New Roman" w:hAnsi="Times New Roman" w:cs="Times New Roman"/>
                <w:color w:val="auto"/>
                <w:sz w:val="24"/>
                <w:szCs w:val="24"/>
              </w:rPr>
              <w:t xml:space="preserve">21. Ja </w:t>
            </w:r>
            <w:r w:rsidRPr="0005512E">
              <w:rPr>
                <w:rFonts w:ascii="Times New Roman" w:hAnsi="Times New Roman" w:cs="Times New Roman"/>
                <w:color w:val="auto"/>
                <w:sz w:val="24"/>
                <w:szCs w:val="24"/>
                <w:shd w:val="clear" w:color="auto" w:fill="FFFFFF"/>
              </w:rPr>
              <w:t xml:space="preserve">nomnieka iesniegums iesniegts līdz šo noteikumu spēkā stāšanās dienai par laika periodu no 2020. gada 12. marta līdz 2020. gada 10. jūnijam, piemēro </w:t>
            </w:r>
            <w:r w:rsidRPr="0005512E">
              <w:rPr>
                <w:rFonts w:ascii="Times New Roman" w:hAnsi="Times New Roman" w:cs="Times New Roman"/>
                <w:color w:val="auto"/>
                <w:sz w:val="24"/>
                <w:szCs w:val="24"/>
              </w:rPr>
              <w:t>Ministru kabineta 2020. gada 2. aprīļa noteikumus Nr. 180 "</w:t>
            </w:r>
            <w:r w:rsidRPr="0005512E">
              <w:rPr>
                <w:rFonts w:ascii="Times New Roman" w:hAnsi="Times New Roman" w:cs="Times New Roman"/>
                <w:bCs/>
                <w:color w:val="auto"/>
                <w:sz w:val="24"/>
                <w:szCs w:val="24"/>
              </w:rPr>
              <w:t>Noteikumi par publiskas personas un publiskas personas kontrolētas kapitālsabiedrības mantas nomas maksas atbrīvojuma vai samazinājuma piemērošanu sakarā ar Covid-19 izplatību</w:t>
            </w:r>
            <w:r w:rsidRPr="0005512E">
              <w:rPr>
                <w:rFonts w:ascii="Times New Roman" w:hAnsi="Times New Roman" w:cs="Times New Roman"/>
                <w:color w:val="auto"/>
                <w:sz w:val="24"/>
                <w:szCs w:val="24"/>
              </w:rPr>
              <w:t>" un šo noteikumu 3.5. apakšpunktu.</w:t>
            </w:r>
          </w:p>
        </w:tc>
        <w:tc>
          <w:tcPr>
            <w:tcW w:w="3827" w:type="dxa"/>
            <w:gridSpan w:val="2"/>
          </w:tcPr>
          <w:p w14:paraId="43A87499" w14:textId="77777777" w:rsidR="001B4C0F" w:rsidRPr="0050576F" w:rsidRDefault="001B4C0F" w:rsidP="001B4C0F">
            <w:pPr>
              <w:pStyle w:val="Default"/>
              <w:spacing w:after="60"/>
              <w:rPr>
                <w:b/>
                <w:color w:val="auto"/>
              </w:rPr>
            </w:pPr>
            <w:r w:rsidRPr="000F627D">
              <w:rPr>
                <w:b/>
              </w:rPr>
              <w:t>Tieslietu ministrija (</w:t>
            </w:r>
            <w:r>
              <w:rPr>
                <w:b/>
              </w:rPr>
              <w:t>atz.</w:t>
            </w:r>
            <w:r w:rsidRPr="000F627D">
              <w:rPr>
                <w:b/>
              </w:rPr>
              <w:t xml:space="preserve"> 02.07.2020</w:t>
            </w:r>
            <w:r>
              <w:rPr>
                <w:b/>
              </w:rPr>
              <w:t>.)</w:t>
            </w:r>
          </w:p>
          <w:p w14:paraId="308DE714" w14:textId="77777777" w:rsidR="001479E0" w:rsidRPr="0050576F" w:rsidRDefault="003B5F0D" w:rsidP="00C8107E">
            <w:pPr>
              <w:pStyle w:val="Default"/>
              <w:spacing w:after="60"/>
              <w:rPr>
                <w:b/>
              </w:rPr>
            </w:pPr>
            <w:r>
              <w:t xml:space="preserve">Noteikumu projekts papildināts ar jaunu 21. punktu, kas paredz, ja </w:t>
            </w:r>
            <w:r>
              <w:rPr>
                <w:shd w:val="clear" w:color="auto" w:fill="FFFFFF"/>
              </w:rPr>
              <w:t xml:space="preserve">nomnieka iesniegums iesniegts līdz šo noteikumu spēkā stāšanās dienai par laika periodu no 2020. gada 12. marta līdz 2020. gada </w:t>
            </w:r>
            <w:r>
              <w:rPr>
                <w:u w:val="single"/>
                <w:shd w:val="clear" w:color="auto" w:fill="FFFFFF"/>
              </w:rPr>
              <w:t>10</w:t>
            </w:r>
            <w:r>
              <w:rPr>
                <w:shd w:val="clear" w:color="auto" w:fill="FFFFFF"/>
              </w:rPr>
              <w:t xml:space="preserve">. jūnijam, piemēro </w:t>
            </w:r>
            <w:r>
              <w:t xml:space="preserve">Ministru kabineta 2020. gada 2. aprīļa noteikumus Nr. 180 "Noteikumi par publiskas personas un publiskas personas kontrolētas kapitālsabiedrības mantas nomas maksas atbrīvojuma vai samazinājuma piemērošanu sakarā ar Covid-19 izplatību" un šo noteikumu 3.5. apakšpunktu. Ņemot vērā, ka </w:t>
            </w:r>
            <w:r>
              <w:rPr>
                <w:shd w:val="clear" w:color="auto" w:fill="FFFFFF"/>
              </w:rPr>
              <w:t xml:space="preserve">likums "Par valsts apdraudējuma un tā seku novēršanas un pārvarēšanas </w:t>
            </w:r>
            <w:r>
              <w:rPr>
                <w:shd w:val="clear" w:color="auto" w:fill="FFFFFF"/>
              </w:rPr>
              <w:lastRenderedPageBreak/>
              <w:t>pasākumiem sakarā ar Covid-19 izplatību” bija spēkā tikai uz ārkārtējās situācijas laiku, t.i. līdz 2020. gada 9. jūnijam, nepieciešams noteikumu projekta 21. punktā aizstāt vārdu un skaitli “10. jūnijam” ar skaitli un vārdu “</w:t>
            </w:r>
            <w:r>
              <w:rPr>
                <w:u w:val="single"/>
                <w:shd w:val="clear" w:color="auto" w:fill="FFFFFF"/>
              </w:rPr>
              <w:t>9</w:t>
            </w:r>
            <w:r>
              <w:rPr>
                <w:shd w:val="clear" w:color="auto" w:fill="FFFFFF"/>
              </w:rPr>
              <w:t>. jūnijam”. Attiecīgi precizējama arī anotācija.</w:t>
            </w:r>
          </w:p>
        </w:tc>
        <w:tc>
          <w:tcPr>
            <w:tcW w:w="3686" w:type="dxa"/>
          </w:tcPr>
          <w:p w14:paraId="4EE6A768" w14:textId="77777777" w:rsidR="001B4C0F" w:rsidRPr="008A134B" w:rsidRDefault="001B4C0F" w:rsidP="001B4C0F">
            <w:pPr>
              <w:spacing w:after="120"/>
              <w:rPr>
                <w:b/>
                <w:shd w:val="clear" w:color="auto" w:fill="FFFFFF"/>
              </w:rPr>
            </w:pPr>
            <w:r w:rsidRPr="008A134B">
              <w:rPr>
                <w:b/>
                <w:shd w:val="clear" w:color="auto" w:fill="FFFFFF"/>
              </w:rPr>
              <w:lastRenderedPageBreak/>
              <w:t>Ņemts vērā.</w:t>
            </w:r>
          </w:p>
          <w:p w14:paraId="01B12304" w14:textId="77777777" w:rsidR="001479E0" w:rsidRPr="008A134B" w:rsidRDefault="001479E0" w:rsidP="00C8107E">
            <w:pPr>
              <w:spacing w:after="120"/>
              <w:rPr>
                <w:b/>
                <w:shd w:val="clear" w:color="auto" w:fill="FFFFFF"/>
              </w:rPr>
            </w:pPr>
          </w:p>
        </w:tc>
        <w:tc>
          <w:tcPr>
            <w:tcW w:w="3123" w:type="dxa"/>
          </w:tcPr>
          <w:p w14:paraId="039908F4" w14:textId="775D9159" w:rsidR="001479E0" w:rsidRPr="00A52527" w:rsidRDefault="00A52527" w:rsidP="00765B69">
            <w:pPr>
              <w:rPr>
                <w:u w:val="single"/>
              </w:rPr>
            </w:pPr>
            <w:r w:rsidRPr="00A52527">
              <w:rPr>
                <w:u w:val="single"/>
              </w:rPr>
              <w:t xml:space="preserve">20. Ja </w:t>
            </w:r>
            <w:r w:rsidRPr="00A52527">
              <w:rPr>
                <w:u w:val="single"/>
                <w:shd w:val="clear" w:color="auto" w:fill="FFFFFF"/>
              </w:rPr>
              <w:t xml:space="preserve">nomnieka iesniegums iesniegts līdz šo noteikumu spēkā stāšanās dienai par laika periodu no 2020. gada 12. marta līdz 2020. gada 9. jūnijam, piemēro </w:t>
            </w:r>
            <w:r w:rsidRPr="00A52527">
              <w:rPr>
                <w:u w:val="single"/>
              </w:rPr>
              <w:t>Ministru kabineta 2020. gada 2. aprīļa noteikumus Nr. 180 "</w:t>
            </w:r>
            <w:r w:rsidRPr="00A52527">
              <w:rPr>
                <w:bCs/>
                <w:u w:val="single"/>
              </w:rPr>
              <w:t>Noteikumi par publiskas personas un publiskas personas kontrolētas kapitālsabiedrības mantas nomas maksas atbrīvojuma vai samazinājuma piemērošanu sakarā ar Covid-19 izplatību</w:t>
            </w:r>
            <w:r w:rsidRPr="00A52527">
              <w:rPr>
                <w:u w:val="single"/>
              </w:rPr>
              <w:t xml:space="preserve">" un šo noteikumu 3.5. apakšpunktu. Ja nomnieka iesniegums iesniegts par atbalsta pasākuma saņemšanu saskaņā </w:t>
            </w:r>
            <w:r w:rsidRPr="00A52527">
              <w:rPr>
                <w:u w:val="single"/>
              </w:rPr>
              <w:lastRenderedPageBreak/>
              <w:t>ar Ministru kabineta 2020. gada 2. aprīļa noteikumu Nr. 180 "</w:t>
            </w:r>
            <w:r w:rsidRPr="00A52527">
              <w:rPr>
                <w:bCs/>
                <w:u w:val="single"/>
              </w:rPr>
              <w:t>Noteikumi par publiskas personas un publiskas personas kontrolētas kapitālsabiedrības mantas nomas maksas atbrīvojuma vai samazinājuma piemērošanu sakarā ar Covid-19 izplatību</w:t>
            </w:r>
            <w:r w:rsidRPr="00A52527">
              <w:rPr>
                <w:u w:val="single"/>
              </w:rPr>
              <w:t xml:space="preserve">" </w:t>
            </w:r>
            <w:r w:rsidRPr="00A52527">
              <w:rPr>
                <w:u w:val="single"/>
                <w:shd w:val="clear" w:color="auto" w:fill="FFFFFF"/>
              </w:rPr>
              <w:t>13. un 14. punktu, piemēro šo noteikumu 14., 15., 16. un 17.punktu</w:t>
            </w:r>
            <w:r w:rsidRPr="00A52527">
              <w:t>.</w:t>
            </w:r>
          </w:p>
          <w:p w14:paraId="20F92A79" w14:textId="77777777" w:rsidR="003B5F0D" w:rsidRPr="00A52527" w:rsidRDefault="003B5F0D" w:rsidP="00765B69">
            <w:pPr>
              <w:spacing w:before="100" w:beforeAutospacing="1" w:after="100" w:afterAutospacing="1"/>
              <w:rPr>
                <w:highlight w:val="yellow"/>
              </w:rPr>
            </w:pPr>
            <w:r w:rsidRPr="00A52527">
              <w:rPr>
                <w:i/>
              </w:rPr>
              <w:t xml:space="preserve">Precizēts </w:t>
            </w:r>
            <w:r w:rsidRPr="00A52527">
              <w:rPr>
                <w:bCs/>
                <w:i/>
              </w:rPr>
              <w:t>projekta sākotnējās ietekmes novērtējuma ziņojums (anotācija).</w:t>
            </w:r>
          </w:p>
        </w:tc>
      </w:tr>
      <w:tr w:rsidR="00C8107E" w:rsidRPr="008A134B" w14:paraId="386EC81C" w14:textId="77777777" w:rsidTr="005E198D">
        <w:trPr>
          <w:jc w:val="center"/>
        </w:trPr>
        <w:tc>
          <w:tcPr>
            <w:tcW w:w="781" w:type="dxa"/>
          </w:tcPr>
          <w:p w14:paraId="38D15928" w14:textId="77777777" w:rsidR="00C8107E" w:rsidRPr="008A134B" w:rsidRDefault="001479E0" w:rsidP="00C8107E">
            <w:pPr>
              <w:jc w:val="center"/>
              <w:rPr>
                <w:color w:val="000000" w:themeColor="text1"/>
              </w:rPr>
            </w:pPr>
            <w:r>
              <w:rPr>
                <w:color w:val="000000" w:themeColor="text1"/>
              </w:rPr>
              <w:lastRenderedPageBreak/>
              <w:t>7</w:t>
            </w:r>
            <w:r w:rsidR="00C8107E">
              <w:rPr>
                <w:color w:val="000000" w:themeColor="text1"/>
              </w:rPr>
              <w:t>.</w:t>
            </w:r>
          </w:p>
        </w:tc>
        <w:tc>
          <w:tcPr>
            <w:tcW w:w="3325" w:type="dxa"/>
            <w:gridSpan w:val="2"/>
          </w:tcPr>
          <w:p w14:paraId="52562EE8" w14:textId="77777777" w:rsidR="00C8107E" w:rsidRPr="00C8107E" w:rsidRDefault="00C8107E" w:rsidP="00C8107E">
            <w:pPr>
              <w:pStyle w:val="Heading2"/>
              <w:spacing w:before="0"/>
              <w:jc w:val="center"/>
              <w:rPr>
                <w:rFonts w:ascii="Times New Roman" w:hAnsi="Times New Roman" w:cs="Times New Roman"/>
                <w:i/>
                <w:color w:val="auto"/>
                <w:sz w:val="24"/>
                <w:szCs w:val="24"/>
              </w:rPr>
            </w:pPr>
            <w:r w:rsidRPr="00C8107E">
              <w:rPr>
                <w:rFonts w:ascii="Times New Roman" w:hAnsi="Times New Roman" w:cs="Times New Roman"/>
                <w:b/>
                <w:bCs/>
                <w:color w:val="auto"/>
                <w:sz w:val="24"/>
                <w:szCs w:val="24"/>
              </w:rPr>
              <w:t>Noteikumi par publiskas personas un publiskas personas kontrolētas kapitālsabiedrības mantas nomas maksas atbrīvojuma vai samazinājuma piemērošanu saistībā ar Covid-19 infekcijas izplatību</w:t>
            </w:r>
          </w:p>
        </w:tc>
        <w:tc>
          <w:tcPr>
            <w:tcW w:w="3827" w:type="dxa"/>
            <w:gridSpan w:val="2"/>
          </w:tcPr>
          <w:p w14:paraId="4F52547F" w14:textId="77777777" w:rsidR="00C8107E" w:rsidRPr="0050576F" w:rsidRDefault="00C8107E" w:rsidP="00C8107E">
            <w:pPr>
              <w:pStyle w:val="Default"/>
              <w:spacing w:after="60"/>
              <w:rPr>
                <w:b/>
                <w:color w:val="auto"/>
              </w:rPr>
            </w:pPr>
            <w:r w:rsidRPr="0050576F">
              <w:rPr>
                <w:b/>
              </w:rPr>
              <w:t>Tieslietu ministrija</w:t>
            </w:r>
            <w:r>
              <w:rPr>
                <w:b/>
              </w:rPr>
              <w:t xml:space="preserve"> (priekšlikums)</w:t>
            </w:r>
          </w:p>
          <w:p w14:paraId="24805A4A" w14:textId="77777777" w:rsidR="00C8107E" w:rsidRPr="0050576F" w:rsidRDefault="00C8107E" w:rsidP="00C8107E">
            <w:pPr>
              <w:spacing w:after="60"/>
            </w:pPr>
            <w:r w:rsidRPr="00D12EAF">
              <w:t xml:space="preserve">Atbilstoši </w:t>
            </w:r>
            <w:r>
              <w:t>Ministru kabineta 2009.gada 3.</w:t>
            </w:r>
            <w:r w:rsidRPr="00D12EAF">
              <w:t>februāra noteikumu Nr. 108 "Normatīvo aktu projektu sagatavošanas noteikumi" 90.,</w:t>
            </w:r>
            <w:r w:rsidRPr="00D12EAF">
              <w:rPr>
                <w:i/>
                <w:iCs/>
              </w:rPr>
              <w:t> </w:t>
            </w:r>
            <w:r w:rsidRPr="00D12EAF">
              <w:t>91.</w:t>
            </w:r>
            <w:r w:rsidRPr="00D12EAF">
              <w:rPr>
                <w:i/>
                <w:iCs/>
              </w:rPr>
              <w:t> </w:t>
            </w:r>
            <w:r w:rsidRPr="00D12EAF">
              <w:t xml:space="preserve">un 92. punktam noteikumu projekta nosaukumu veido iespējami īsu un atbilstošu likumā noteiktajam pilnvarojumam Ministru kabinetam un noteikumu saturam, vārdus "kārtība", "noteikumi" u. tml. rakstot kā nosaukuma pēdējo vārdu un ka nosaukumu ar vārdiem "Noteikumi par" iesāk tikai retos izņēmuma </w:t>
            </w:r>
            <w:r w:rsidRPr="00D12EAF">
              <w:lastRenderedPageBreak/>
              <w:t>gadījumos. Ievērojot minēto, lūd</w:t>
            </w:r>
            <w:r>
              <w:t>zam precizēt projekta nosaukumu</w:t>
            </w:r>
            <w:r w:rsidRPr="0050576F">
              <w:t>.</w:t>
            </w:r>
          </w:p>
        </w:tc>
        <w:tc>
          <w:tcPr>
            <w:tcW w:w="3686" w:type="dxa"/>
          </w:tcPr>
          <w:p w14:paraId="6B148DAA" w14:textId="77777777" w:rsidR="00C8107E" w:rsidRPr="008A134B" w:rsidRDefault="00C8107E" w:rsidP="00C8107E">
            <w:pPr>
              <w:spacing w:after="120"/>
              <w:rPr>
                <w:b/>
                <w:shd w:val="clear" w:color="auto" w:fill="FFFFFF"/>
              </w:rPr>
            </w:pPr>
            <w:r w:rsidRPr="008A134B">
              <w:rPr>
                <w:b/>
                <w:shd w:val="clear" w:color="auto" w:fill="FFFFFF"/>
              </w:rPr>
              <w:lastRenderedPageBreak/>
              <w:t>Ņemts vērā.</w:t>
            </w:r>
          </w:p>
          <w:p w14:paraId="0E8BA939" w14:textId="77777777" w:rsidR="00C8107E" w:rsidRPr="008A134B" w:rsidRDefault="00C8107E" w:rsidP="00C8107E">
            <w:pPr>
              <w:spacing w:after="60"/>
              <w:rPr>
                <w:shd w:val="clear" w:color="auto" w:fill="F1F1F1"/>
              </w:rPr>
            </w:pPr>
          </w:p>
        </w:tc>
        <w:tc>
          <w:tcPr>
            <w:tcW w:w="3123" w:type="dxa"/>
          </w:tcPr>
          <w:p w14:paraId="1EE7A9EE" w14:textId="77777777" w:rsidR="00C8107E" w:rsidRPr="007331DF" w:rsidRDefault="00C8107E" w:rsidP="00C8107E">
            <w:pPr>
              <w:pStyle w:val="Heading2"/>
              <w:keepNext w:val="0"/>
              <w:keepLines w:val="0"/>
              <w:spacing w:before="0" w:after="60"/>
              <w:jc w:val="center"/>
              <w:rPr>
                <w:rFonts w:ascii="Times New Roman" w:hAnsi="Times New Roman" w:cs="Times New Roman"/>
                <w:b/>
                <w:color w:val="auto"/>
                <w:sz w:val="24"/>
                <w:szCs w:val="24"/>
              </w:rPr>
            </w:pPr>
            <w:r w:rsidRPr="007331DF">
              <w:rPr>
                <w:rFonts w:ascii="Times New Roman" w:hAnsi="Times New Roman" w:cs="Times New Roman"/>
                <w:b/>
                <w:bCs/>
                <w:color w:val="auto"/>
                <w:sz w:val="24"/>
                <w:szCs w:val="24"/>
              </w:rPr>
              <w:t>Publiskas personas un publiskas personas kontrolētas kapitālsabiedrības mantas nomas maksas atbrīvojuma vai samazinājuma piemērošanas saistībā ar Covid-19 infekcijas izplatību kārtība</w:t>
            </w:r>
          </w:p>
        </w:tc>
      </w:tr>
      <w:tr w:rsidR="00F47ED8" w:rsidRPr="008A134B" w14:paraId="36AE7984" w14:textId="77777777" w:rsidTr="005E198D">
        <w:trPr>
          <w:jc w:val="center"/>
        </w:trPr>
        <w:tc>
          <w:tcPr>
            <w:tcW w:w="781" w:type="dxa"/>
          </w:tcPr>
          <w:p w14:paraId="0CFF99F0" w14:textId="77777777" w:rsidR="00F47ED8" w:rsidRDefault="00F47ED8" w:rsidP="00F47ED8">
            <w:pPr>
              <w:jc w:val="center"/>
              <w:rPr>
                <w:color w:val="000000" w:themeColor="text1"/>
              </w:rPr>
            </w:pPr>
          </w:p>
        </w:tc>
        <w:tc>
          <w:tcPr>
            <w:tcW w:w="3325" w:type="dxa"/>
            <w:gridSpan w:val="2"/>
          </w:tcPr>
          <w:p w14:paraId="44C155C4" w14:textId="77777777" w:rsidR="00F47ED8" w:rsidRPr="00611A60" w:rsidRDefault="00F47ED8" w:rsidP="00F47ED8">
            <w:pPr>
              <w:pStyle w:val="tv213"/>
              <w:shd w:val="clear" w:color="auto" w:fill="FFFFFF"/>
              <w:spacing w:before="0"/>
            </w:pPr>
            <w:r w:rsidRPr="00611A60">
              <w:t>14. Šajos noteikumos minēto atbalstu var sniegt, ievērojot šādus nosacījumus: [..]</w:t>
            </w:r>
          </w:p>
          <w:p w14:paraId="48042847" w14:textId="77777777" w:rsidR="00F47ED8" w:rsidRPr="00611A60" w:rsidRDefault="00F47ED8" w:rsidP="00F47ED8">
            <w:pPr>
              <w:pStyle w:val="tv213"/>
              <w:shd w:val="clear" w:color="auto" w:fill="FFFFFF"/>
              <w:spacing w:before="0"/>
            </w:pPr>
            <w:r w:rsidRPr="00611A60">
              <w:t>19. Šo noteikumu 14., 15., 16., 17. un 18. punkts stājas spēkā pēc tam, kad tiek saņemts Eiropas Komisijas lēmums par komercdarbības atbalsta saderību ar Eiropas Savienības iekšējo tirgu.</w:t>
            </w:r>
          </w:p>
        </w:tc>
        <w:tc>
          <w:tcPr>
            <w:tcW w:w="3827" w:type="dxa"/>
            <w:gridSpan w:val="2"/>
          </w:tcPr>
          <w:p w14:paraId="628A1118" w14:textId="77777777" w:rsidR="00F47ED8" w:rsidRPr="006D4601" w:rsidRDefault="00F47ED8" w:rsidP="00F47ED8">
            <w:pPr>
              <w:spacing w:after="60"/>
            </w:pPr>
            <w:r w:rsidRPr="006D4601">
              <w:rPr>
                <w:b/>
              </w:rPr>
              <w:t>Tieslietu ministrija (atz. 08.07.2020., priekšlikums)</w:t>
            </w:r>
          </w:p>
          <w:p w14:paraId="65BEB5BC" w14:textId="77777777" w:rsidR="00F47ED8" w:rsidRPr="006D4601" w:rsidRDefault="00F47ED8" w:rsidP="00F47ED8">
            <w:pPr>
              <w:rPr>
                <w:szCs w:val="22"/>
              </w:rPr>
            </w:pPr>
            <w:r w:rsidRPr="006D4601">
              <w:t>Vienlaikus lūdzam veikt šādus redakcionālus precizējumus noteikumu projektā:</w:t>
            </w:r>
          </w:p>
          <w:p w14:paraId="604EDC57" w14:textId="77777777" w:rsidR="00F47ED8" w:rsidRPr="006D4601" w:rsidRDefault="00F47ED8" w:rsidP="00F47ED8">
            <w:r w:rsidRPr="006D4601">
              <w:t>- atbilstoši juridiskās tehnikas prasībām precizēt projekta 14. punktu, svītrojot atsauces uz nesaistošu ES dokumentu – Komisijas paziņojumu. Savukārt Komisijas paziņojumā noteiktais būtiskais valsts atbalsta regulējums pēc būtības ietverams (pārņemams) projekta normās – vēršam uzmanību, ka projektā minētās normas jau ir ietvertas. Piemēram, Komisijas paziņojuma 22. punkta a) apakšpunktā noteiktais atbalsta apmērs (</w:t>
            </w:r>
            <w:proofErr w:type="spellStart"/>
            <w:r w:rsidRPr="006D4601">
              <w:t>the</w:t>
            </w:r>
            <w:proofErr w:type="spellEnd"/>
            <w:r w:rsidRPr="006D4601">
              <w:t xml:space="preserve"> aid </w:t>
            </w:r>
            <w:proofErr w:type="spellStart"/>
            <w:r w:rsidRPr="006D4601">
              <w:t>does</w:t>
            </w:r>
            <w:proofErr w:type="spellEnd"/>
            <w:r w:rsidRPr="006D4601">
              <w:t xml:space="preserve"> </w:t>
            </w:r>
            <w:proofErr w:type="spellStart"/>
            <w:r w:rsidRPr="006D4601">
              <w:t>not</w:t>
            </w:r>
            <w:proofErr w:type="spellEnd"/>
            <w:r w:rsidRPr="006D4601">
              <w:t xml:space="preserve"> </w:t>
            </w:r>
            <w:proofErr w:type="spellStart"/>
            <w:r w:rsidRPr="006D4601">
              <w:t>exceed</w:t>
            </w:r>
            <w:proofErr w:type="spellEnd"/>
            <w:r w:rsidRPr="006D4601">
              <w:t xml:space="preserve"> EUR 800 000 per </w:t>
            </w:r>
            <w:proofErr w:type="spellStart"/>
            <w:r w:rsidRPr="006D4601">
              <w:t>undertaking</w:t>
            </w:r>
            <w:proofErr w:type="spellEnd"/>
            <w:r w:rsidRPr="006D4601">
              <w:t xml:space="preserve"> </w:t>
            </w:r>
            <w:proofErr w:type="spellStart"/>
            <w:r w:rsidRPr="006D4601">
              <w:t>in</w:t>
            </w:r>
            <w:proofErr w:type="spellEnd"/>
            <w:r w:rsidRPr="006D4601">
              <w:t xml:space="preserve"> </w:t>
            </w:r>
            <w:proofErr w:type="spellStart"/>
            <w:r w:rsidRPr="006D4601">
              <w:t>the</w:t>
            </w:r>
            <w:proofErr w:type="spellEnd"/>
            <w:r w:rsidRPr="006D4601">
              <w:t xml:space="preserve"> </w:t>
            </w:r>
            <w:proofErr w:type="spellStart"/>
            <w:r w:rsidRPr="006D4601">
              <w:t>form</w:t>
            </w:r>
            <w:proofErr w:type="spellEnd"/>
            <w:r w:rsidRPr="006D4601">
              <w:t xml:space="preserve"> </w:t>
            </w:r>
            <w:proofErr w:type="spellStart"/>
            <w:r w:rsidRPr="006D4601">
              <w:t>of</w:t>
            </w:r>
            <w:proofErr w:type="spellEnd"/>
            <w:r w:rsidRPr="006D4601">
              <w:t xml:space="preserve"> </w:t>
            </w:r>
            <w:proofErr w:type="spellStart"/>
            <w:r w:rsidRPr="006D4601">
              <w:t>direct</w:t>
            </w:r>
            <w:proofErr w:type="spellEnd"/>
            <w:r w:rsidRPr="006D4601">
              <w:t xml:space="preserve"> grants, </w:t>
            </w:r>
            <w:proofErr w:type="spellStart"/>
            <w:r w:rsidRPr="006D4601">
              <w:t>repayable</w:t>
            </w:r>
            <w:proofErr w:type="spellEnd"/>
            <w:r w:rsidRPr="006D4601">
              <w:t xml:space="preserve"> </w:t>
            </w:r>
            <w:proofErr w:type="spellStart"/>
            <w:r w:rsidRPr="006D4601">
              <w:t>advances</w:t>
            </w:r>
            <w:proofErr w:type="spellEnd"/>
            <w:r w:rsidRPr="006D4601">
              <w:t xml:space="preserve">, </w:t>
            </w:r>
            <w:proofErr w:type="spellStart"/>
            <w:r w:rsidRPr="006D4601">
              <w:t>tax</w:t>
            </w:r>
            <w:proofErr w:type="spellEnd"/>
            <w:r w:rsidRPr="006D4601">
              <w:t xml:space="preserve"> </w:t>
            </w:r>
            <w:proofErr w:type="spellStart"/>
            <w:r w:rsidRPr="006D4601">
              <w:t>or</w:t>
            </w:r>
            <w:proofErr w:type="spellEnd"/>
            <w:r w:rsidRPr="006D4601">
              <w:t xml:space="preserve"> </w:t>
            </w:r>
            <w:proofErr w:type="spellStart"/>
            <w:r w:rsidRPr="006D4601">
              <w:t>payments</w:t>
            </w:r>
            <w:proofErr w:type="spellEnd"/>
            <w:r w:rsidRPr="006D4601">
              <w:t xml:space="preserve"> </w:t>
            </w:r>
            <w:proofErr w:type="spellStart"/>
            <w:r w:rsidRPr="006D4601">
              <w:t>advantages</w:t>
            </w:r>
            <w:proofErr w:type="spellEnd"/>
            <w:r w:rsidRPr="006D4601">
              <w:t xml:space="preserve">; </w:t>
            </w:r>
            <w:proofErr w:type="spellStart"/>
            <w:r w:rsidRPr="006D4601">
              <w:t>all</w:t>
            </w:r>
            <w:proofErr w:type="spellEnd"/>
            <w:r w:rsidRPr="006D4601">
              <w:t xml:space="preserve"> </w:t>
            </w:r>
            <w:proofErr w:type="spellStart"/>
            <w:r w:rsidRPr="006D4601">
              <w:t>figures</w:t>
            </w:r>
            <w:proofErr w:type="spellEnd"/>
            <w:r w:rsidRPr="006D4601">
              <w:t xml:space="preserve"> </w:t>
            </w:r>
            <w:proofErr w:type="spellStart"/>
            <w:r w:rsidRPr="006D4601">
              <w:t>used</w:t>
            </w:r>
            <w:proofErr w:type="spellEnd"/>
            <w:r w:rsidRPr="006D4601">
              <w:t xml:space="preserve"> </w:t>
            </w:r>
            <w:proofErr w:type="spellStart"/>
            <w:r w:rsidRPr="006D4601">
              <w:t>must</w:t>
            </w:r>
            <w:proofErr w:type="spellEnd"/>
            <w:r w:rsidRPr="006D4601">
              <w:t xml:space="preserve"> </w:t>
            </w:r>
            <w:proofErr w:type="spellStart"/>
            <w:r w:rsidRPr="006D4601">
              <w:t>be</w:t>
            </w:r>
            <w:proofErr w:type="spellEnd"/>
            <w:r w:rsidRPr="006D4601">
              <w:t xml:space="preserve"> </w:t>
            </w:r>
            <w:proofErr w:type="spellStart"/>
            <w:r w:rsidRPr="006D4601">
              <w:t>gross</w:t>
            </w:r>
            <w:proofErr w:type="spellEnd"/>
            <w:r w:rsidRPr="006D4601">
              <w:t xml:space="preserve">, </w:t>
            </w:r>
            <w:proofErr w:type="spellStart"/>
            <w:r w:rsidRPr="006D4601">
              <w:t>that</w:t>
            </w:r>
            <w:proofErr w:type="spellEnd"/>
            <w:r w:rsidRPr="006D4601">
              <w:t xml:space="preserve"> </w:t>
            </w:r>
            <w:proofErr w:type="spellStart"/>
            <w:r w:rsidRPr="006D4601">
              <w:t>is</w:t>
            </w:r>
            <w:proofErr w:type="spellEnd"/>
            <w:r w:rsidRPr="006D4601">
              <w:t xml:space="preserve">, </w:t>
            </w:r>
            <w:proofErr w:type="spellStart"/>
            <w:r w:rsidRPr="006D4601">
              <w:t>before</w:t>
            </w:r>
            <w:proofErr w:type="spellEnd"/>
            <w:r w:rsidRPr="006D4601">
              <w:t xml:space="preserve"> </w:t>
            </w:r>
            <w:proofErr w:type="spellStart"/>
            <w:r w:rsidRPr="006D4601">
              <w:t>any</w:t>
            </w:r>
            <w:proofErr w:type="spellEnd"/>
            <w:r w:rsidRPr="006D4601">
              <w:t xml:space="preserve"> </w:t>
            </w:r>
            <w:proofErr w:type="spellStart"/>
            <w:r w:rsidRPr="006D4601">
              <w:t>deduction</w:t>
            </w:r>
            <w:proofErr w:type="spellEnd"/>
            <w:r w:rsidRPr="006D4601">
              <w:t xml:space="preserve"> </w:t>
            </w:r>
            <w:proofErr w:type="spellStart"/>
            <w:r w:rsidRPr="006D4601">
              <w:t>of</w:t>
            </w:r>
            <w:proofErr w:type="spellEnd"/>
            <w:r w:rsidRPr="006D4601">
              <w:t xml:space="preserve"> </w:t>
            </w:r>
            <w:proofErr w:type="spellStart"/>
            <w:r w:rsidRPr="006D4601">
              <w:t>tax</w:t>
            </w:r>
            <w:proofErr w:type="spellEnd"/>
            <w:r w:rsidRPr="006D4601">
              <w:t xml:space="preserve"> </w:t>
            </w:r>
            <w:proofErr w:type="spellStart"/>
            <w:r w:rsidRPr="006D4601">
              <w:t>or</w:t>
            </w:r>
            <w:proofErr w:type="spellEnd"/>
            <w:r w:rsidRPr="006D4601">
              <w:t xml:space="preserve"> </w:t>
            </w:r>
            <w:proofErr w:type="spellStart"/>
            <w:r w:rsidRPr="006D4601">
              <w:t>other</w:t>
            </w:r>
            <w:proofErr w:type="spellEnd"/>
            <w:r w:rsidRPr="006D4601">
              <w:t xml:space="preserve"> </w:t>
            </w:r>
            <w:proofErr w:type="spellStart"/>
            <w:r w:rsidRPr="006D4601">
              <w:t>charge</w:t>
            </w:r>
            <w:proofErr w:type="spellEnd"/>
            <w:r w:rsidRPr="006D4601">
              <w:t xml:space="preserve">) jau ietverts projekta 14. punkta ievaddaļā. </w:t>
            </w:r>
          </w:p>
          <w:p w14:paraId="4C67D6C9" w14:textId="77777777" w:rsidR="00F47ED8" w:rsidRPr="006D4601" w:rsidRDefault="00F47ED8" w:rsidP="00F47ED8">
            <w:r w:rsidRPr="006D4601">
              <w:t xml:space="preserve">- noteikumu projekta 19. punkts paredz, ka "noteikumu 14.-18. punkts stājas spēkā pēc tam, kad tiek saņemts Eiropas Komisijas lēmums par komercdarbības atbalsta saderību </w:t>
            </w:r>
            <w:r w:rsidRPr="006D4601">
              <w:lastRenderedPageBreak/>
              <w:t>ar Eiropas Savienības iekšējo tirgu". Izsakām priekšlikumu precizēt minēto pārejas normu, jo, pirmkārt, tā neliedz piešķirt noteikumos paredzēto atbalstu (un atbalsta pretendentiem paļauties uz to) pirms Komisijas saskaņojuma saņemšanas, tikai paredz atliekošu spēku atsevišķiem atbalsta saņemšanas noteikumiem; otrkārt, šāda veida regulējums apgrūtina tiesību normu spēkā stāšanās laika noteikšanu. Ierosinām apsvērt iespēju, piemēram, paredzēt, ka projekts stājas spēkā vispārīgā kārtībā, savukārt projekta 19. punktā noteikt, piemēram, ka šajos noteikumos paredzēto atbalstu piešķir pēc tam, kad ir saņemts Eiropas Komisijas lēmums par komercdarbības atbalsta saderību ar Eiropas Savienības iekšējo tirgu.</w:t>
            </w:r>
          </w:p>
        </w:tc>
        <w:tc>
          <w:tcPr>
            <w:tcW w:w="3686" w:type="dxa"/>
          </w:tcPr>
          <w:p w14:paraId="46A7CD69" w14:textId="77777777" w:rsidR="00F47ED8" w:rsidRPr="001E3A93" w:rsidRDefault="00F47ED8" w:rsidP="00F47ED8">
            <w:pPr>
              <w:spacing w:after="60"/>
              <w:rPr>
                <w:iCs/>
              </w:rPr>
            </w:pPr>
            <w:r w:rsidRPr="001E3A93">
              <w:rPr>
                <w:shd w:val="clear" w:color="auto" w:fill="FFFFFF"/>
              </w:rPr>
              <w:lastRenderedPageBreak/>
              <w:t xml:space="preserve">Atbilstoši </w:t>
            </w:r>
            <w:r w:rsidRPr="001E3A93">
              <w:rPr>
                <w:bCs/>
              </w:rPr>
              <w:t xml:space="preserve">Ministru kabineta 2009.gada 7.aprīļa noteikumu Nr.300 </w:t>
            </w:r>
            <w:r w:rsidRPr="001E3A93">
              <w:rPr>
                <w:iCs/>
              </w:rPr>
              <w:t>“</w:t>
            </w:r>
            <w:r w:rsidRPr="001E3A93">
              <w:rPr>
                <w:bCs/>
              </w:rPr>
              <w:t>Ministru kabineta kārtības rullis</w:t>
            </w:r>
            <w:r w:rsidRPr="001E3A93">
              <w:rPr>
                <w:iCs/>
              </w:rPr>
              <w:t>” 94. un 95.punktam uzskatāms par priekšlikumu.</w:t>
            </w:r>
          </w:p>
          <w:p w14:paraId="2E8020AB" w14:textId="77777777" w:rsidR="00F47ED8" w:rsidRPr="008070D5" w:rsidRDefault="008070D5" w:rsidP="008070D5">
            <w:pPr>
              <w:spacing w:after="60"/>
              <w:rPr>
                <w:shd w:val="clear" w:color="auto" w:fill="FFFFFF"/>
              </w:rPr>
            </w:pPr>
            <w:r>
              <w:rPr>
                <w:shd w:val="clear" w:color="auto" w:fill="FFFFFF"/>
              </w:rPr>
              <w:t xml:space="preserve">Par </w:t>
            </w:r>
            <w:r w:rsidRPr="001E3A93">
              <w:t xml:space="preserve">izmaiņām </w:t>
            </w:r>
            <w:r>
              <w:t>projekta 14</w:t>
            </w:r>
            <w:r w:rsidRPr="001E3A93">
              <w:t>.punktā</w:t>
            </w:r>
            <w:r>
              <w:rPr>
                <w:shd w:val="clear" w:color="auto" w:fill="FFFFFF"/>
              </w:rPr>
              <w:t xml:space="preserve"> skaidrojam, ka š</w:t>
            </w:r>
            <w:r w:rsidR="00F47ED8" w:rsidRPr="001E3A93">
              <w:rPr>
                <w:shd w:val="clear" w:color="auto" w:fill="FFFFFF"/>
              </w:rPr>
              <w:t xml:space="preserve">āds regulējums ir iekļauts arī citos Ministru kabineta noteikumos, piemēram, </w:t>
            </w:r>
            <w:r w:rsidR="00F47ED8" w:rsidRPr="001E3A93">
              <w:rPr>
                <w:bCs/>
              </w:rPr>
              <w:t xml:space="preserve">Ministru kabineta </w:t>
            </w:r>
            <w:r w:rsidR="00F47ED8" w:rsidRPr="001E3A93">
              <w:t>2020.gada 16.jūnija</w:t>
            </w:r>
            <w:r w:rsidR="00F47ED8" w:rsidRPr="001E3A93">
              <w:rPr>
                <w:bCs/>
              </w:rPr>
              <w:t xml:space="preserve"> noteikumos Nr.400</w:t>
            </w:r>
            <w:r w:rsidR="00F47ED8" w:rsidRPr="001E3A93">
              <w:t xml:space="preserve"> </w:t>
            </w:r>
            <w:r w:rsidR="00F47ED8" w:rsidRPr="001E3A93">
              <w:rPr>
                <w:bCs/>
              </w:rPr>
              <w:t>“Noteikumi par īpašā atbalsta mehānismu repatriācijas izmaksu segšanai tūrisma operatoriem”</w:t>
            </w:r>
            <w:r w:rsidR="00F47ED8" w:rsidRPr="001E3A93">
              <w:t>(10.4.apakšpunkts).</w:t>
            </w:r>
            <w:r w:rsidR="00F47ED8" w:rsidRPr="001E3A93">
              <w:rPr>
                <w:shd w:val="clear" w:color="auto" w:fill="FFFFFF"/>
              </w:rPr>
              <w:t xml:space="preserve"> Papildus, </w:t>
            </w:r>
            <w:r w:rsidR="00F47ED8" w:rsidRPr="001E3A93">
              <w:t>projekta 14.punktā ir būtiski saglabāt minētās atsauces, lai nodrošinātu korektu maksimālās summas ievērošanu par atbalstu, kas saņemts ar Pagaidu regulējumu.</w:t>
            </w:r>
          </w:p>
          <w:p w14:paraId="04720CB4" w14:textId="77777777" w:rsidR="00F47ED8" w:rsidRPr="001E3A93" w:rsidRDefault="008070D5" w:rsidP="008070D5">
            <w:r>
              <w:t>Savukārt a</w:t>
            </w:r>
            <w:r w:rsidR="00F47ED8" w:rsidRPr="001E3A93">
              <w:t xml:space="preserve">ttiecībā </w:t>
            </w:r>
            <w:r>
              <w:t>par</w:t>
            </w:r>
            <w:r w:rsidR="00F47ED8" w:rsidRPr="001E3A93">
              <w:t xml:space="preserve"> izmaiņām projekta 19.punktā, skaidrojam, ka Tieslietu ministrijas piedāvātās izmaiņas būtiski mainīs normas mērķi un faktiski padarīs neiespējamu komercdarbības atbalsta piešķiršanu līdz Eiropas Komisijas lēmumam, tai skaitā arī saskaņā ar noteikumu projekta 12.punkta nosacījumiem (</w:t>
            </w:r>
            <w:proofErr w:type="spellStart"/>
            <w:r w:rsidR="00F47ED8" w:rsidRPr="001E3A93">
              <w:rPr>
                <w:i/>
              </w:rPr>
              <w:t>de</w:t>
            </w:r>
            <w:proofErr w:type="spellEnd"/>
            <w:r w:rsidR="00F47ED8" w:rsidRPr="001E3A93">
              <w:rPr>
                <w:i/>
              </w:rPr>
              <w:t xml:space="preserve"> </w:t>
            </w:r>
            <w:proofErr w:type="spellStart"/>
            <w:r w:rsidR="00F47ED8" w:rsidRPr="001E3A93">
              <w:rPr>
                <w:i/>
              </w:rPr>
              <w:t>minimis</w:t>
            </w:r>
            <w:proofErr w:type="spellEnd"/>
            <w:r w:rsidR="00F47ED8" w:rsidRPr="001E3A93">
              <w:t xml:space="preserve"> atbalsts).</w:t>
            </w:r>
          </w:p>
        </w:tc>
        <w:tc>
          <w:tcPr>
            <w:tcW w:w="3123" w:type="dxa"/>
          </w:tcPr>
          <w:p w14:paraId="265DFAEE" w14:textId="77777777" w:rsidR="00F47ED8" w:rsidRPr="00611A60" w:rsidRDefault="00F47ED8" w:rsidP="00F47ED8">
            <w:pPr>
              <w:pStyle w:val="tv213"/>
              <w:shd w:val="clear" w:color="auto" w:fill="FFFFFF"/>
              <w:spacing w:before="0"/>
            </w:pPr>
            <w:r w:rsidRPr="00611A60">
              <w:t>14. Šajos noteikumos minēto atbalstu var sniegt, ievērojot šādus nosacījumus: [..]</w:t>
            </w:r>
          </w:p>
          <w:p w14:paraId="7E70565F" w14:textId="77777777" w:rsidR="00F47ED8" w:rsidRPr="00611A60" w:rsidRDefault="00F47ED8" w:rsidP="00F47ED8">
            <w:pPr>
              <w:pStyle w:val="tv213"/>
              <w:shd w:val="clear" w:color="auto" w:fill="FFFFFF"/>
              <w:spacing w:before="0"/>
            </w:pPr>
            <w:r w:rsidRPr="00611A60">
              <w:t>19. Šo noteikumu 14., 15., 16., 17. un 18. punkts stājas spēkā pēc tam, kad tiek saņemts Eiropas Komisijas lēmums par komercdarbības atbalsta saderību ar Eiropas Savienības iekšējo tirgu.</w:t>
            </w:r>
          </w:p>
        </w:tc>
      </w:tr>
      <w:tr w:rsidR="00C8107E" w:rsidRPr="008A134B" w14:paraId="7EA09D49" w14:textId="77777777" w:rsidTr="005E1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123" w:type="dxa"/>
          <w:jc w:val="center"/>
        </w:trPr>
        <w:tc>
          <w:tcPr>
            <w:tcW w:w="3741" w:type="dxa"/>
            <w:gridSpan w:val="2"/>
          </w:tcPr>
          <w:p w14:paraId="5E78924B" w14:textId="77777777" w:rsidR="00C8107E" w:rsidRPr="008A134B" w:rsidRDefault="00C8107E" w:rsidP="00C8107E">
            <w:pPr>
              <w:pStyle w:val="naiskr"/>
              <w:spacing w:before="0" w:after="0"/>
              <w:jc w:val="center"/>
            </w:pPr>
          </w:p>
          <w:p w14:paraId="5291432D" w14:textId="77777777" w:rsidR="00C8107E" w:rsidRPr="008A134B" w:rsidRDefault="00C8107E" w:rsidP="00C8107E">
            <w:pPr>
              <w:pStyle w:val="naiskr"/>
              <w:spacing w:before="0" w:after="0"/>
              <w:jc w:val="center"/>
            </w:pPr>
            <w:r w:rsidRPr="008A134B">
              <w:t>Atbildīgā amatpersona</w:t>
            </w:r>
          </w:p>
        </w:tc>
        <w:tc>
          <w:tcPr>
            <w:tcW w:w="3741" w:type="dxa"/>
            <w:gridSpan w:val="2"/>
          </w:tcPr>
          <w:p w14:paraId="29CAFFD3" w14:textId="77777777" w:rsidR="00C8107E" w:rsidRPr="008A134B" w:rsidRDefault="00C8107E" w:rsidP="00C8107E">
            <w:pPr>
              <w:pStyle w:val="naiskr"/>
              <w:spacing w:before="0" w:after="0"/>
              <w:jc w:val="both"/>
            </w:pPr>
          </w:p>
        </w:tc>
        <w:tc>
          <w:tcPr>
            <w:tcW w:w="4137" w:type="dxa"/>
            <w:gridSpan w:val="2"/>
          </w:tcPr>
          <w:p w14:paraId="6BC4F966" w14:textId="77777777" w:rsidR="00C8107E" w:rsidRPr="008A134B" w:rsidRDefault="00C8107E" w:rsidP="00C8107E">
            <w:pPr>
              <w:pStyle w:val="naiskr"/>
              <w:spacing w:before="0" w:after="0"/>
              <w:ind w:firstLine="720"/>
              <w:jc w:val="both"/>
            </w:pPr>
          </w:p>
        </w:tc>
      </w:tr>
      <w:tr w:rsidR="00C8107E" w:rsidRPr="008A134B" w14:paraId="547FA030" w14:textId="77777777" w:rsidTr="005E1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123" w:type="dxa"/>
          <w:jc w:val="center"/>
        </w:trPr>
        <w:tc>
          <w:tcPr>
            <w:tcW w:w="3741" w:type="dxa"/>
            <w:gridSpan w:val="2"/>
          </w:tcPr>
          <w:p w14:paraId="72BEF4A0" w14:textId="77777777" w:rsidR="00C8107E" w:rsidRPr="008A134B" w:rsidRDefault="00C8107E" w:rsidP="00C8107E">
            <w:pPr>
              <w:pStyle w:val="naiskr"/>
              <w:spacing w:before="0" w:after="0"/>
              <w:jc w:val="center"/>
            </w:pPr>
          </w:p>
        </w:tc>
        <w:tc>
          <w:tcPr>
            <w:tcW w:w="3741" w:type="dxa"/>
            <w:gridSpan w:val="2"/>
          </w:tcPr>
          <w:p w14:paraId="22BB88C0" w14:textId="77777777" w:rsidR="00C8107E" w:rsidRPr="008A134B" w:rsidRDefault="00C8107E" w:rsidP="00C8107E">
            <w:pPr>
              <w:pStyle w:val="naiskr"/>
              <w:spacing w:before="0" w:after="0"/>
              <w:ind w:firstLine="720"/>
              <w:jc w:val="both"/>
            </w:pPr>
          </w:p>
        </w:tc>
        <w:tc>
          <w:tcPr>
            <w:tcW w:w="4137" w:type="dxa"/>
            <w:gridSpan w:val="2"/>
          </w:tcPr>
          <w:p w14:paraId="0F79F383" w14:textId="77777777" w:rsidR="00C8107E" w:rsidRPr="008A134B" w:rsidRDefault="00C8107E" w:rsidP="00C8107E">
            <w:pPr>
              <w:pStyle w:val="naiskr"/>
              <w:spacing w:before="0" w:after="0"/>
              <w:ind w:firstLine="720"/>
              <w:jc w:val="both"/>
            </w:pPr>
          </w:p>
        </w:tc>
      </w:tr>
      <w:tr w:rsidR="00C8107E" w:rsidRPr="008A134B" w14:paraId="037BD4E0" w14:textId="77777777" w:rsidTr="005E1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123" w:type="dxa"/>
          <w:jc w:val="center"/>
        </w:trPr>
        <w:tc>
          <w:tcPr>
            <w:tcW w:w="3741" w:type="dxa"/>
            <w:gridSpan w:val="2"/>
          </w:tcPr>
          <w:p w14:paraId="3F3122BC" w14:textId="77777777" w:rsidR="00C8107E" w:rsidRPr="008A134B" w:rsidRDefault="00C8107E" w:rsidP="00C8107E">
            <w:pPr>
              <w:pStyle w:val="naiskr"/>
              <w:spacing w:before="0" w:after="0"/>
              <w:ind w:firstLine="720"/>
              <w:jc w:val="center"/>
            </w:pPr>
          </w:p>
        </w:tc>
        <w:tc>
          <w:tcPr>
            <w:tcW w:w="3741" w:type="dxa"/>
            <w:gridSpan w:val="2"/>
            <w:tcBorders>
              <w:top w:val="single" w:sz="6" w:space="0" w:color="000000"/>
            </w:tcBorders>
          </w:tcPr>
          <w:p w14:paraId="5B0E6335" w14:textId="77777777" w:rsidR="00C8107E" w:rsidRPr="008A134B" w:rsidRDefault="00C8107E" w:rsidP="00C8107E">
            <w:pPr>
              <w:pStyle w:val="naisc"/>
              <w:spacing w:before="0" w:after="0"/>
              <w:ind w:firstLine="720"/>
              <w:jc w:val="both"/>
            </w:pPr>
            <w:r w:rsidRPr="008A134B">
              <w:t>(paraksts)*</w:t>
            </w:r>
          </w:p>
        </w:tc>
        <w:tc>
          <w:tcPr>
            <w:tcW w:w="4137" w:type="dxa"/>
            <w:gridSpan w:val="2"/>
            <w:tcBorders>
              <w:top w:val="single" w:sz="6" w:space="0" w:color="000000"/>
            </w:tcBorders>
          </w:tcPr>
          <w:p w14:paraId="5200CB15" w14:textId="77777777" w:rsidR="00C8107E" w:rsidRPr="008A134B" w:rsidRDefault="00C8107E" w:rsidP="00C8107E">
            <w:pPr>
              <w:pStyle w:val="naisc"/>
              <w:spacing w:before="0" w:after="0"/>
              <w:ind w:firstLine="720"/>
              <w:jc w:val="both"/>
            </w:pPr>
          </w:p>
        </w:tc>
      </w:tr>
    </w:tbl>
    <w:p w14:paraId="40A24C99" w14:textId="77777777" w:rsidR="009F1F3B" w:rsidRPr="008A134B" w:rsidRDefault="009F1F3B" w:rsidP="00297AF3">
      <w:pPr>
        <w:pStyle w:val="naisf"/>
        <w:spacing w:before="0" w:after="0"/>
        <w:ind w:firstLine="0"/>
        <w:rPr>
          <w:sz w:val="20"/>
          <w:szCs w:val="20"/>
        </w:rPr>
      </w:pPr>
      <w:r w:rsidRPr="008A134B">
        <w:rPr>
          <w:sz w:val="20"/>
          <w:szCs w:val="20"/>
        </w:rPr>
        <w:t>Piezīme. * Dokumenta rekvizītu "paraksts" neaizpilda, ja elektroniskais dokuments ir sagatavots atbilstoši normatīvajiem aktiem par elektronisko dokumentu noformēšanu.</w:t>
      </w:r>
    </w:p>
    <w:p w14:paraId="2D615E67" w14:textId="77777777" w:rsidR="009F1F3B" w:rsidRPr="008A134B" w:rsidRDefault="009F1F3B" w:rsidP="00297AF3">
      <w:pPr>
        <w:jc w:val="both"/>
        <w:rPr>
          <w:sz w:val="16"/>
          <w:szCs w:val="16"/>
        </w:rPr>
      </w:pPr>
    </w:p>
    <w:p w14:paraId="0B6F6093" w14:textId="77777777" w:rsidR="009F1F3B" w:rsidRPr="008A134B" w:rsidRDefault="009F1F3B" w:rsidP="00297AF3">
      <w:pPr>
        <w:rPr>
          <w:bCs/>
          <w:sz w:val="23"/>
          <w:szCs w:val="23"/>
        </w:rPr>
      </w:pPr>
      <w:r w:rsidRPr="008A134B">
        <w:rPr>
          <w:iCs/>
          <w:sz w:val="23"/>
          <w:szCs w:val="23"/>
        </w:rPr>
        <w:t>Inga Bērziņa</w:t>
      </w:r>
    </w:p>
    <w:p w14:paraId="4AD8A1FF" w14:textId="77777777" w:rsidR="009F1F3B" w:rsidRPr="008A134B" w:rsidRDefault="009F1F3B" w:rsidP="00297AF3">
      <w:pPr>
        <w:rPr>
          <w:sz w:val="23"/>
          <w:szCs w:val="23"/>
        </w:rPr>
      </w:pPr>
      <w:r w:rsidRPr="008A134B">
        <w:rPr>
          <w:sz w:val="23"/>
          <w:szCs w:val="23"/>
        </w:rPr>
        <w:t>Juridiskā departamenta Iepirkumu politikas un valsts nekustamo īpašumu</w:t>
      </w:r>
    </w:p>
    <w:p w14:paraId="73CB8F1F" w14:textId="77777777" w:rsidR="009F1F3B" w:rsidRPr="008A134B" w:rsidRDefault="009F1F3B" w:rsidP="00297AF3">
      <w:pPr>
        <w:rPr>
          <w:bCs/>
          <w:sz w:val="23"/>
          <w:szCs w:val="23"/>
        </w:rPr>
      </w:pPr>
      <w:r w:rsidRPr="008A134B">
        <w:rPr>
          <w:sz w:val="23"/>
          <w:szCs w:val="23"/>
        </w:rPr>
        <w:t>pārvaldīša</w:t>
      </w:r>
      <w:r w:rsidR="00444C95" w:rsidRPr="008A134B">
        <w:rPr>
          <w:sz w:val="23"/>
          <w:szCs w:val="23"/>
        </w:rPr>
        <w:t>nas politikas nodaļas vadītāja</w:t>
      </w:r>
    </w:p>
    <w:p w14:paraId="633E9025" w14:textId="77777777" w:rsidR="009F1F3B" w:rsidRPr="008A134B" w:rsidRDefault="009F1F3B" w:rsidP="00297AF3">
      <w:pPr>
        <w:rPr>
          <w:sz w:val="23"/>
          <w:szCs w:val="23"/>
        </w:rPr>
      </w:pPr>
      <w:r w:rsidRPr="008A134B">
        <w:rPr>
          <w:rStyle w:val="Emphasis"/>
          <w:bCs/>
          <w:i w:val="0"/>
          <w:sz w:val="23"/>
          <w:szCs w:val="23"/>
        </w:rPr>
        <w:t xml:space="preserve">tālr. </w:t>
      </w:r>
      <w:r w:rsidRPr="008A134B">
        <w:rPr>
          <w:sz w:val="23"/>
          <w:szCs w:val="23"/>
        </w:rPr>
        <w:t>67083947</w:t>
      </w:r>
      <w:r w:rsidRPr="008A134B">
        <w:rPr>
          <w:rStyle w:val="Emphasis"/>
          <w:bCs/>
          <w:i w:val="0"/>
          <w:sz w:val="23"/>
          <w:szCs w:val="23"/>
        </w:rPr>
        <w:t xml:space="preserve">, fakss </w:t>
      </w:r>
      <w:r w:rsidRPr="008A134B">
        <w:rPr>
          <w:sz w:val="23"/>
          <w:szCs w:val="23"/>
        </w:rPr>
        <w:t>67095577</w:t>
      </w:r>
    </w:p>
    <w:p w14:paraId="722CCD41" w14:textId="77777777" w:rsidR="00F174A7" w:rsidRPr="008A134B" w:rsidRDefault="009F1F3B" w:rsidP="00297AF3">
      <w:pPr>
        <w:rPr>
          <w:sz w:val="23"/>
          <w:szCs w:val="23"/>
        </w:rPr>
      </w:pPr>
      <w:r w:rsidRPr="008A134B">
        <w:rPr>
          <w:sz w:val="23"/>
          <w:szCs w:val="23"/>
        </w:rPr>
        <w:t>Inga.Berzina@fm.gov.lv</w:t>
      </w:r>
    </w:p>
    <w:sectPr w:rsidR="00F174A7" w:rsidRPr="008A134B" w:rsidSect="00B13AEC">
      <w:headerReference w:type="even" r:id="rId10"/>
      <w:headerReference w:type="default"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1F0E" w14:textId="77777777" w:rsidR="00742A99" w:rsidRDefault="00742A99">
      <w:r>
        <w:separator/>
      </w:r>
    </w:p>
  </w:endnote>
  <w:endnote w:type="continuationSeparator" w:id="0">
    <w:p w14:paraId="3522027C" w14:textId="77777777" w:rsidR="00742A99" w:rsidRDefault="0074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E19C" w14:textId="0BA7153B" w:rsidR="00565635" w:rsidRPr="00754EBF" w:rsidRDefault="00BF35BD" w:rsidP="00FF4B91">
    <w:pPr>
      <w:pStyle w:val="Footer"/>
      <w:rPr>
        <w:sz w:val="20"/>
        <w:szCs w:val="20"/>
      </w:rPr>
    </w:pPr>
    <w:r>
      <w:rPr>
        <w:sz w:val="20"/>
        <w:szCs w:val="20"/>
      </w:rPr>
      <w:t>FMi</w:t>
    </w:r>
    <w:r w:rsidR="004458C4">
      <w:rPr>
        <w:sz w:val="20"/>
        <w:szCs w:val="20"/>
      </w:rPr>
      <w:t>zz_0807</w:t>
    </w:r>
    <w:r w:rsidR="00607C9B" w:rsidRPr="00607C9B">
      <w:rPr>
        <w:sz w:val="20"/>
        <w:szCs w:val="20"/>
      </w:rPr>
      <w:t>2020_covid19noma2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E90C" w14:textId="218808C4" w:rsidR="00565635" w:rsidRPr="00FF4B91" w:rsidRDefault="00BF35BD" w:rsidP="00FF4B91">
    <w:pPr>
      <w:pStyle w:val="Footer"/>
      <w:rPr>
        <w:sz w:val="20"/>
        <w:szCs w:val="20"/>
      </w:rPr>
    </w:pPr>
    <w:r>
      <w:rPr>
        <w:sz w:val="20"/>
        <w:szCs w:val="20"/>
      </w:rPr>
      <w:t>FMi</w:t>
    </w:r>
    <w:r w:rsidR="004458C4">
      <w:rPr>
        <w:sz w:val="20"/>
        <w:szCs w:val="20"/>
      </w:rPr>
      <w:t>zz_0807</w:t>
    </w:r>
    <w:r w:rsidR="00607C9B" w:rsidRPr="00607C9B">
      <w:rPr>
        <w:sz w:val="20"/>
        <w:szCs w:val="20"/>
      </w:rPr>
      <w:t>2020_covid19noma2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F9669" w14:textId="77777777" w:rsidR="00742A99" w:rsidRDefault="00742A99">
      <w:r>
        <w:separator/>
      </w:r>
    </w:p>
  </w:footnote>
  <w:footnote w:type="continuationSeparator" w:id="0">
    <w:p w14:paraId="45B36165" w14:textId="77777777" w:rsidR="00742A99" w:rsidRDefault="0074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0793"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059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BAAC" w14:textId="493C53EF" w:rsidR="00565635" w:rsidRDefault="00565635" w:rsidP="00B13AEC">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F35BD">
      <w:rPr>
        <w:rStyle w:val="PageNumber"/>
        <w:noProof/>
      </w:rPr>
      <w:t>3</w:t>
    </w:r>
    <w:r>
      <w:rPr>
        <w:rStyle w:val="PageNumber"/>
      </w:rPr>
      <w:fldChar w:fldCharType="end"/>
    </w:r>
  </w:p>
  <w:p w14:paraId="0D3C1687" w14:textId="77777777" w:rsidR="00565635" w:rsidRDefault="00565635" w:rsidP="00793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AB90" w14:textId="77777777" w:rsidR="00565635" w:rsidRDefault="00565635" w:rsidP="00B13AE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C50555A"/>
    <w:multiLevelType w:val="hybridMultilevel"/>
    <w:tmpl w:val="D2BC3724"/>
    <w:lvl w:ilvl="0" w:tplc="C0FC320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4"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5"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682A5AF0"/>
    <w:multiLevelType w:val="hybridMultilevel"/>
    <w:tmpl w:val="324AC622"/>
    <w:lvl w:ilvl="0" w:tplc="983EFF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3"/>
  </w:num>
  <w:num w:numId="8">
    <w:abstractNumId w:val="17"/>
  </w:num>
  <w:num w:numId="9">
    <w:abstractNumId w:val="21"/>
  </w:num>
  <w:num w:numId="10">
    <w:abstractNumId w:val="7"/>
  </w:num>
  <w:num w:numId="11">
    <w:abstractNumId w:val="8"/>
  </w:num>
  <w:num w:numId="12">
    <w:abstractNumId w:val="25"/>
  </w:num>
  <w:num w:numId="13">
    <w:abstractNumId w:val="28"/>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12"/>
  </w:num>
  <w:num w:numId="19">
    <w:abstractNumId w:val="9"/>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6"/>
  </w:num>
  <w:num w:numId="28">
    <w:abstractNumId w:val="13"/>
  </w:num>
  <w:num w:numId="29">
    <w:abstractNumId w:val="4"/>
  </w:num>
  <w:num w:numId="30">
    <w:abstractNumId w:val="2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B"/>
    <w:rsid w:val="000001E8"/>
    <w:rsid w:val="00001C6B"/>
    <w:rsid w:val="00002525"/>
    <w:rsid w:val="0000720D"/>
    <w:rsid w:val="00007625"/>
    <w:rsid w:val="00011828"/>
    <w:rsid w:val="00014691"/>
    <w:rsid w:val="00015D88"/>
    <w:rsid w:val="00021378"/>
    <w:rsid w:val="0004610A"/>
    <w:rsid w:val="00053223"/>
    <w:rsid w:val="00053715"/>
    <w:rsid w:val="0005512E"/>
    <w:rsid w:val="000578D1"/>
    <w:rsid w:val="000625F0"/>
    <w:rsid w:val="00081780"/>
    <w:rsid w:val="00082A73"/>
    <w:rsid w:val="00084571"/>
    <w:rsid w:val="00090793"/>
    <w:rsid w:val="00097AD9"/>
    <w:rsid w:val="000B3FF1"/>
    <w:rsid w:val="000B4956"/>
    <w:rsid w:val="000D02B5"/>
    <w:rsid w:val="000D34E1"/>
    <w:rsid w:val="000F26AE"/>
    <w:rsid w:val="000F627D"/>
    <w:rsid w:val="001064FF"/>
    <w:rsid w:val="001106AE"/>
    <w:rsid w:val="001172FB"/>
    <w:rsid w:val="00124FEE"/>
    <w:rsid w:val="00137029"/>
    <w:rsid w:val="001370C6"/>
    <w:rsid w:val="0013795D"/>
    <w:rsid w:val="00140157"/>
    <w:rsid w:val="00141682"/>
    <w:rsid w:val="001438F7"/>
    <w:rsid w:val="001479E0"/>
    <w:rsid w:val="00156C89"/>
    <w:rsid w:val="00160040"/>
    <w:rsid w:val="00164470"/>
    <w:rsid w:val="00170D1D"/>
    <w:rsid w:val="001731D4"/>
    <w:rsid w:val="00175C06"/>
    <w:rsid w:val="0017717A"/>
    <w:rsid w:val="00184AA6"/>
    <w:rsid w:val="00194F86"/>
    <w:rsid w:val="00195FC0"/>
    <w:rsid w:val="00197A77"/>
    <w:rsid w:val="001A2DF9"/>
    <w:rsid w:val="001A3DAA"/>
    <w:rsid w:val="001A44BC"/>
    <w:rsid w:val="001A77C9"/>
    <w:rsid w:val="001B18A5"/>
    <w:rsid w:val="001B3899"/>
    <w:rsid w:val="001B4C0F"/>
    <w:rsid w:val="001E38A0"/>
    <w:rsid w:val="001E3A93"/>
    <w:rsid w:val="001E3DBD"/>
    <w:rsid w:val="001E477F"/>
    <w:rsid w:val="001F6B42"/>
    <w:rsid w:val="001F7E75"/>
    <w:rsid w:val="00206857"/>
    <w:rsid w:val="00217875"/>
    <w:rsid w:val="002237A0"/>
    <w:rsid w:val="00224549"/>
    <w:rsid w:val="0022626C"/>
    <w:rsid w:val="0022644E"/>
    <w:rsid w:val="00243896"/>
    <w:rsid w:val="002473DD"/>
    <w:rsid w:val="00265E03"/>
    <w:rsid w:val="00271699"/>
    <w:rsid w:val="0028007D"/>
    <w:rsid w:val="0028764B"/>
    <w:rsid w:val="00296E8B"/>
    <w:rsid w:val="00297AF3"/>
    <w:rsid w:val="002B2471"/>
    <w:rsid w:val="002B5D71"/>
    <w:rsid w:val="002B752F"/>
    <w:rsid w:val="002C231C"/>
    <w:rsid w:val="002C2E07"/>
    <w:rsid w:val="002D715C"/>
    <w:rsid w:val="002E0444"/>
    <w:rsid w:val="002E4E94"/>
    <w:rsid w:val="002F4604"/>
    <w:rsid w:val="002F48F5"/>
    <w:rsid w:val="00302A2F"/>
    <w:rsid w:val="00303641"/>
    <w:rsid w:val="003043D8"/>
    <w:rsid w:val="00305868"/>
    <w:rsid w:val="00306236"/>
    <w:rsid w:val="003102A2"/>
    <w:rsid w:val="00311FE4"/>
    <w:rsid w:val="003129CB"/>
    <w:rsid w:val="00313F39"/>
    <w:rsid w:val="00314AA0"/>
    <w:rsid w:val="00321146"/>
    <w:rsid w:val="0032149A"/>
    <w:rsid w:val="00327816"/>
    <w:rsid w:val="00333AF7"/>
    <w:rsid w:val="00344A55"/>
    <w:rsid w:val="00344E7F"/>
    <w:rsid w:val="00353861"/>
    <w:rsid w:val="003563CD"/>
    <w:rsid w:val="00357430"/>
    <w:rsid w:val="00362D98"/>
    <w:rsid w:val="00367BEB"/>
    <w:rsid w:val="00392F60"/>
    <w:rsid w:val="003A2B59"/>
    <w:rsid w:val="003B0739"/>
    <w:rsid w:val="003B1C27"/>
    <w:rsid w:val="003B4A4B"/>
    <w:rsid w:val="003B5F0D"/>
    <w:rsid w:val="003D2429"/>
    <w:rsid w:val="003D4D8E"/>
    <w:rsid w:val="003E02A0"/>
    <w:rsid w:val="003E3B87"/>
    <w:rsid w:val="003E4225"/>
    <w:rsid w:val="003E44BE"/>
    <w:rsid w:val="003F22B5"/>
    <w:rsid w:val="003F31F6"/>
    <w:rsid w:val="003F5051"/>
    <w:rsid w:val="004011FB"/>
    <w:rsid w:val="004112F0"/>
    <w:rsid w:val="00412AA3"/>
    <w:rsid w:val="00414B82"/>
    <w:rsid w:val="00416084"/>
    <w:rsid w:val="00444C95"/>
    <w:rsid w:val="004458C4"/>
    <w:rsid w:val="0046194F"/>
    <w:rsid w:val="004738A5"/>
    <w:rsid w:val="00477845"/>
    <w:rsid w:val="00477D93"/>
    <w:rsid w:val="004821FE"/>
    <w:rsid w:val="00483C24"/>
    <w:rsid w:val="00486302"/>
    <w:rsid w:val="00490F49"/>
    <w:rsid w:val="00495B89"/>
    <w:rsid w:val="004A435D"/>
    <w:rsid w:val="004A682F"/>
    <w:rsid w:val="004B352B"/>
    <w:rsid w:val="004C2167"/>
    <w:rsid w:val="004D0211"/>
    <w:rsid w:val="004E498A"/>
    <w:rsid w:val="00504B71"/>
    <w:rsid w:val="0050576F"/>
    <w:rsid w:val="005060BC"/>
    <w:rsid w:val="005165CB"/>
    <w:rsid w:val="00525780"/>
    <w:rsid w:val="00534BE1"/>
    <w:rsid w:val="00535A08"/>
    <w:rsid w:val="00536FF0"/>
    <w:rsid w:val="005450D0"/>
    <w:rsid w:val="00545423"/>
    <w:rsid w:val="0054787C"/>
    <w:rsid w:val="005511FA"/>
    <w:rsid w:val="00553F71"/>
    <w:rsid w:val="00554985"/>
    <w:rsid w:val="0056170C"/>
    <w:rsid w:val="00565635"/>
    <w:rsid w:val="00574917"/>
    <w:rsid w:val="00576B17"/>
    <w:rsid w:val="005916F3"/>
    <w:rsid w:val="00594A40"/>
    <w:rsid w:val="005A38EE"/>
    <w:rsid w:val="005A39FD"/>
    <w:rsid w:val="005A633F"/>
    <w:rsid w:val="005B1692"/>
    <w:rsid w:val="005D3AD9"/>
    <w:rsid w:val="005D5433"/>
    <w:rsid w:val="005D65D0"/>
    <w:rsid w:val="005E198D"/>
    <w:rsid w:val="005E618A"/>
    <w:rsid w:val="005E7716"/>
    <w:rsid w:val="005F2C7F"/>
    <w:rsid w:val="0060088A"/>
    <w:rsid w:val="0060210C"/>
    <w:rsid w:val="00602799"/>
    <w:rsid w:val="00607C9B"/>
    <w:rsid w:val="00611A60"/>
    <w:rsid w:val="00613948"/>
    <w:rsid w:val="006177B3"/>
    <w:rsid w:val="00622B44"/>
    <w:rsid w:val="00623192"/>
    <w:rsid w:val="00625EF1"/>
    <w:rsid w:val="0064229E"/>
    <w:rsid w:val="00642F9E"/>
    <w:rsid w:val="00650954"/>
    <w:rsid w:val="00653E4B"/>
    <w:rsid w:val="00656ABD"/>
    <w:rsid w:val="00657958"/>
    <w:rsid w:val="006603D3"/>
    <w:rsid w:val="0066388E"/>
    <w:rsid w:val="00671D5B"/>
    <w:rsid w:val="0069036D"/>
    <w:rsid w:val="00695BE1"/>
    <w:rsid w:val="00696661"/>
    <w:rsid w:val="006A232A"/>
    <w:rsid w:val="006B079D"/>
    <w:rsid w:val="006B4DA9"/>
    <w:rsid w:val="006C1BE2"/>
    <w:rsid w:val="006D4601"/>
    <w:rsid w:val="006E61F3"/>
    <w:rsid w:val="00707BF8"/>
    <w:rsid w:val="007101C9"/>
    <w:rsid w:val="0071586B"/>
    <w:rsid w:val="00716264"/>
    <w:rsid w:val="00720252"/>
    <w:rsid w:val="0072592D"/>
    <w:rsid w:val="007331DF"/>
    <w:rsid w:val="00742A99"/>
    <w:rsid w:val="00751C84"/>
    <w:rsid w:val="007527F4"/>
    <w:rsid w:val="00754EBF"/>
    <w:rsid w:val="00762615"/>
    <w:rsid w:val="00764B47"/>
    <w:rsid w:val="00765A82"/>
    <w:rsid w:val="00765B69"/>
    <w:rsid w:val="00781373"/>
    <w:rsid w:val="00782512"/>
    <w:rsid w:val="00787773"/>
    <w:rsid w:val="0079333E"/>
    <w:rsid w:val="00795A8D"/>
    <w:rsid w:val="007965CF"/>
    <w:rsid w:val="007A3014"/>
    <w:rsid w:val="007B07C9"/>
    <w:rsid w:val="007B3EF7"/>
    <w:rsid w:val="007C0F18"/>
    <w:rsid w:val="007D32A1"/>
    <w:rsid w:val="007D5123"/>
    <w:rsid w:val="007E754C"/>
    <w:rsid w:val="007F1C2A"/>
    <w:rsid w:val="007F1CBC"/>
    <w:rsid w:val="007F3B0D"/>
    <w:rsid w:val="007F7F49"/>
    <w:rsid w:val="00800EDE"/>
    <w:rsid w:val="0080200F"/>
    <w:rsid w:val="008070D5"/>
    <w:rsid w:val="00811C1F"/>
    <w:rsid w:val="00816FC0"/>
    <w:rsid w:val="00832EE5"/>
    <w:rsid w:val="008338A6"/>
    <w:rsid w:val="0083618E"/>
    <w:rsid w:val="00847F60"/>
    <w:rsid w:val="0085495D"/>
    <w:rsid w:val="008565D7"/>
    <w:rsid w:val="00856EAD"/>
    <w:rsid w:val="008608B1"/>
    <w:rsid w:val="00875C2F"/>
    <w:rsid w:val="008767A0"/>
    <w:rsid w:val="00884540"/>
    <w:rsid w:val="00890DC4"/>
    <w:rsid w:val="008A134B"/>
    <w:rsid w:val="008A33EA"/>
    <w:rsid w:val="008A6865"/>
    <w:rsid w:val="008C4EFE"/>
    <w:rsid w:val="008D1F04"/>
    <w:rsid w:val="008D4DF0"/>
    <w:rsid w:val="008D54D8"/>
    <w:rsid w:val="008E0837"/>
    <w:rsid w:val="008F0D1E"/>
    <w:rsid w:val="009044F3"/>
    <w:rsid w:val="0091404B"/>
    <w:rsid w:val="009140C6"/>
    <w:rsid w:val="00916A77"/>
    <w:rsid w:val="00917830"/>
    <w:rsid w:val="009234C3"/>
    <w:rsid w:val="009256E2"/>
    <w:rsid w:val="009261D8"/>
    <w:rsid w:val="00926C35"/>
    <w:rsid w:val="00932318"/>
    <w:rsid w:val="00933A9A"/>
    <w:rsid w:val="009400B5"/>
    <w:rsid w:val="00945A6A"/>
    <w:rsid w:val="00952646"/>
    <w:rsid w:val="0095544F"/>
    <w:rsid w:val="00955B22"/>
    <w:rsid w:val="009574C8"/>
    <w:rsid w:val="009870B8"/>
    <w:rsid w:val="009A3061"/>
    <w:rsid w:val="009A4447"/>
    <w:rsid w:val="009B3CE8"/>
    <w:rsid w:val="009C5A3B"/>
    <w:rsid w:val="009D7C9C"/>
    <w:rsid w:val="009E3126"/>
    <w:rsid w:val="009E3457"/>
    <w:rsid w:val="009E4FE8"/>
    <w:rsid w:val="009F0D9C"/>
    <w:rsid w:val="009F1F3B"/>
    <w:rsid w:val="009F7382"/>
    <w:rsid w:val="00A077C9"/>
    <w:rsid w:val="00A1155D"/>
    <w:rsid w:val="00A15D67"/>
    <w:rsid w:val="00A17839"/>
    <w:rsid w:val="00A20CEB"/>
    <w:rsid w:val="00A23573"/>
    <w:rsid w:val="00A267DE"/>
    <w:rsid w:val="00A313F5"/>
    <w:rsid w:val="00A36236"/>
    <w:rsid w:val="00A43064"/>
    <w:rsid w:val="00A450B8"/>
    <w:rsid w:val="00A5124E"/>
    <w:rsid w:val="00A52527"/>
    <w:rsid w:val="00A53632"/>
    <w:rsid w:val="00A53B78"/>
    <w:rsid w:val="00A541B2"/>
    <w:rsid w:val="00A61CED"/>
    <w:rsid w:val="00A636E5"/>
    <w:rsid w:val="00A64BCF"/>
    <w:rsid w:val="00A65489"/>
    <w:rsid w:val="00A66EBB"/>
    <w:rsid w:val="00A75F76"/>
    <w:rsid w:val="00A90EC7"/>
    <w:rsid w:val="00A91C9B"/>
    <w:rsid w:val="00AA6C2E"/>
    <w:rsid w:val="00AB2685"/>
    <w:rsid w:val="00AB6231"/>
    <w:rsid w:val="00AC14C0"/>
    <w:rsid w:val="00AD6719"/>
    <w:rsid w:val="00AE0A86"/>
    <w:rsid w:val="00AE1557"/>
    <w:rsid w:val="00AE3D9E"/>
    <w:rsid w:val="00AE5A39"/>
    <w:rsid w:val="00B04171"/>
    <w:rsid w:val="00B1153F"/>
    <w:rsid w:val="00B11696"/>
    <w:rsid w:val="00B13AEC"/>
    <w:rsid w:val="00B1696E"/>
    <w:rsid w:val="00B25890"/>
    <w:rsid w:val="00B37BB0"/>
    <w:rsid w:val="00B41B06"/>
    <w:rsid w:val="00B51ACB"/>
    <w:rsid w:val="00B52924"/>
    <w:rsid w:val="00B53F90"/>
    <w:rsid w:val="00B64E3D"/>
    <w:rsid w:val="00B70C00"/>
    <w:rsid w:val="00B81B71"/>
    <w:rsid w:val="00B82AC0"/>
    <w:rsid w:val="00B86C51"/>
    <w:rsid w:val="00BA41B1"/>
    <w:rsid w:val="00BB55BA"/>
    <w:rsid w:val="00BB5E0D"/>
    <w:rsid w:val="00BC1DF7"/>
    <w:rsid w:val="00BC29D5"/>
    <w:rsid w:val="00BC30BA"/>
    <w:rsid w:val="00BE65CD"/>
    <w:rsid w:val="00BF0987"/>
    <w:rsid w:val="00BF2972"/>
    <w:rsid w:val="00BF35BD"/>
    <w:rsid w:val="00BF7C09"/>
    <w:rsid w:val="00C02E4C"/>
    <w:rsid w:val="00C06925"/>
    <w:rsid w:val="00C23997"/>
    <w:rsid w:val="00C24D3D"/>
    <w:rsid w:val="00C26ADC"/>
    <w:rsid w:val="00C34447"/>
    <w:rsid w:val="00C5142D"/>
    <w:rsid w:val="00C71120"/>
    <w:rsid w:val="00C7401F"/>
    <w:rsid w:val="00C8107E"/>
    <w:rsid w:val="00C816F3"/>
    <w:rsid w:val="00C81F73"/>
    <w:rsid w:val="00C947C2"/>
    <w:rsid w:val="00CA0D4E"/>
    <w:rsid w:val="00CA6BA4"/>
    <w:rsid w:val="00CB3314"/>
    <w:rsid w:val="00CC0C9F"/>
    <w:rsid w:val="00CD2B58"/>
    <w:rsid w:val="00CD73ED"/>
    <w:rsid w:val="00CD7494"/>
    <w:rsid w:val="00CF2D9D"/>
    <w:rsid w:val="00D01E59"/>
    <w:rsid w:val="00D02E8F"/>
    <w:rsid w:val="00D031DE"/>
    <w:rsid w:val="00D040EB"/>
    <w:rsid w:val="00D05FF4"/>
    <w:rsid w:val="00D06039"/>
    <w:rsid w:val="00D06A8E"/>
    <w:rsid w:val="00D0759A"/>
    <w:rsid w:val="00D21B2F"/>
    <w:rsid w:val="00D45B5C"/>
    <w:rsid w:val="00D54E86"/>
    <w:rsid w:val="00D675AF"/>
    <w:rsid w:val="00D71926"/>
    <w:rsid w:val="00D85519"/>
    <w:rsid w:val="00D9773E"/>
    <w:rsid w:val="00DA734F"/>
    <w:rsid w:val="00DC42BF"/>
    <w:rsid w:val="00DC4CE6"/>
    <w:rsid w:val="00DD0688"/>
    <w:rsid w:val="00DD5007"/>
    <w:rsid w:val="00DE3020"/>
    <w:rsid w:val="00DF15EE"/>
    <w:rsid w:val="00DF76A4"/>
    <w:rsid w:val="00E0149A"/>
    <w:rsid w:val="00E03324"/>
    <w:rsid w:val="00E03D7E"/>
    <w:rsid w:val="00E06CEF"/>
    <w:rsid w:val="00E104FA"/>
    <w:rsid w:val="00E12810"/>
    <w:rsid w:val="00E12D30"/>
    <w:rsid w:val="00E134A4"/>
    <w:rsid w:val="00E21BB8"/>
    <w:rsid w:val="00E50072"/>
    <w:rsid w:val="00E5528A"/>
    <w:rsid w:val="00E612DE"/>
    <w:rsid w:val="00E73433"/>
    <w:rsid w:val="00E76250"/>
    <w:rsid w:val="00E812CB"/>
    <w:rsid w:val="00E8513B"/>
    <w:rsid w:val="00E858FF"/>
    <w:rsid w:val="00E91BB2"/>
    <w:rsid w:val="00EA0AEE"/>
    <w:rsid w:val="00EA49D9"/>
    <w:rsid w:val="00EA5F8E"/>
    <w:rsid w:val="00EB01EF"/>
    <w:rsid w:val="00EB3DFB"/>
    <w:rsid w:val="00EE0A78"/>
    <w:rsid w:val="00EE595E"/>
    <w:rsid w:val="00EF4F5A"/>
    <w:rsid w:val="00F0652B"/>
    <w:rsid w:val="00F11523"/>
    <w:rsid w:val="00F14283"/>
    <w:rsid w:val="00F174A7"/>
    <w:rsid w:val="00F225EF"/>
    <w:rsid w:val="00F23BD9"/>
    <w:rsid w:val="00F30557"/>
    <w:rsid w:val="00F46FF8"/>
    <w:rsid w:val="00F47ED8"/>
    <w:rsid w:val="00F507CB"/>
    <w:rsid w:val="00F52B48"/>
    <w:rsid w:val="00F57E77"/>
    <w:rsid w:val="00F64FEB"/>
    <w:rsid w:val="00F70606"/>
    <w:rsid w:val="00F81F2B"/>
    <w:rsid w:val="00F8302F"/>
    <w:rsid w:val="00F867BF"/>
    <w:rsid w:val="00F92AFA"/>
    <w:rsid w:val="00F9335B"/>
    <w:rsid w:val="00F93479"/>
    <w:rsid w:val="00F94C45"/>
    <w:rsid w:val="00FA01BC"/>
    <w:rsid w:val="00FB3D21"/>
    <w:rsid w:val="00FC60EB"/>
    <w:rsid w:val="00FD619A"/>
    <w:rsid w:val="00FE61F9"/>
    <w:rsid w:val="00FF0D96"/>
    <w:rsid w:val="00FF0DA3"/>
    <w:rsid w:val="00FF4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BA9A"/>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uiPriority w:val="10"/>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7525">
      <w:bodyDiv w:val="1"/>
      <w:marLeft w:val="0"/>
      <w:marRight w:val="0"/>
      <w:marTop w:val="0"/>
      <w:marBottom w:val="0"/>
      <w:divBdr>
        <w:top w:val="none" w:sz="0" w:space="0" w:color="auto"/>
        <w:left w:val="none" w:sz="0" w:space="0" w:color="auto"/>
        <w:bottom w:val="none" w:sz="0" w:space="0" w:color="auto"/>
        <w:right w:val="none" w:sz="0" w:space="0" w:color="auto"/>
      </w:divBdr>
    </w:div>
    <w:div w:id="211237629">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01736">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03883">
      <w:bodyDiv w:val="1"/>
      <w:marLeft w:val="0"/>
      <w:marRight w:val="0"/>
      <w:marTop w:val="0"/>
      <w:marBottom w:val="0"/>
      <w:divBdr>
        <w:top w:val="none" w:sz="0" w:space="0" w:color="auto"/>
        <w:left w:val="none" w:sz="0" w:space="0" w:color="auto"/>
        <w:bottom w:val="none" w:sz="0" w:space="0" w:color="auto"/>
        <w:right w:val="none" w:sz="0" w:space="0" w:color="auto"/>
      </w:divBdr>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772634485">
      <w:bodyDiv w:val="1"/>
      <w:marLeft w:val="0"/>
      <w:marRight w:val="0"/>
      <w:marTop w:val="0"/>
      <w:marBottom w:val="0"/>
      <w:divBdr>
        <w:top w:val="none" w:sz="0" w:space="0" w:color="auto"/>
        <w:left w:val="none" w:sz="0" w:space="0" w:color="auto"/>
        <w:bottom w:val="none" w:sz="0" w:space="0" w:color="auto"/>
        <w:right w:val="none" w:sz="0" w:space="0" w:color="auto"/>
      </w:divBdr>
      <w:divsChild>
        <w:div w:id="700209456">
          <w:marLeft w:val="0"/>
          <w:marRight w:val="0"/>
          <w:marTop w:val="0"/>
          <w:marBottom w:val="0"/>
          <w:divBdr>
            <w:top w:val="none" w:sz="0" w:space="0" w:color="auto"/>
            <w:left w:val="none" w:sz="0" w:space="0" w:color="auto"/>
            <w:bottom w:val="none" w:sz="0" w:space="0" w:color="auto"/>
            <w:right w:val="none" w:sz="0" w:space="0" w:color="auto"/>
          </w:divBdr>
          <w:divsChild>
            <w:div w:id="1142770334">
              <w:marLeft w:val="0"/>
              <w:marRight w:val="0"/>
              <w:marTop w:val="0"/>
              <w:marBottom w:val="0"/>
              <w:divBdr>
                <w:top w:val="none" w:sz="0" w:space="0" w:color="auto"/>
                <w:left w:val="none" w:sz="0" w:space="0" w:color="auto"/>
                <w:bottom w:val="none" w:sz="0" w:space="0" w:color="auto"/>
                <w:right w:val="none" w:sz="0" w:space="0" w:color="auto"/>
              </w:divBdr>
              <w:divsChild>
                <w:div w:id="1499883809">
                  <w:marLeft w:val="0"/>
                  <w:marRight w:val="0"/>
                  <w:marTop w:val="0"/>
                  <w:marBottom w:val="0"/>
                  <w:divBdr>
                    <w:top w:val="none" w:sz="0" w:space="0" w:color="auto"/>
                    <w:left w:val="none" w:sz="0" w:space="0" w:color="auto"/>
                    <w:bottom w:val="none" w:sz="0" w:space="0" w:color="auto"/>
                    <w:right w:val="none" w:sz="0" w:space="0" w:color="auto"/>
                  </w:divBdr>
                  <w:divsChild>
                    <w:div w:id="981234531">
                      <w:marLeft w:val="0"/>
                      <w:marRight w:val="0"/>
                      <w:marTop w:val="0"/>
                      <w:marBottom w:val="0"/>
                      <w:divBdr>
                        <w:top w:val="none" w:sz="0" w:space="0" w:color="auto"/>
                        <w:left w:val="none" w:sz="0" w:space="0" w:color="auto"/>
                        <w:bottom w:val="none" w:sz="0" w:space="0" w:color="auto"/>
                        <w:right w:val="none" w:sz="0" w:space="0" w:color="auto"/>
                      </w:divBdr>
                      <w:divsChild>
                        <w:div w:id="947197675">
                          <w:marLeft w:val="0"/>
                          <w:marRight w:val="0"/>
                          <w:marTop w:val="0"/>
                          <w:marBottom w:val="0"/>
                          <w:divBdr>
                            <w:top w:val="none" w:sz="0" w:space="0" w:color="auto"/>
                            <w:left w:val="none" w:sz="0" w:space="0" w:color="auto"/>
                            <w:bottom w:val="none" w:sz="0" w:space="0" w:color="auto"/>
                            <w:right w:val="none" w:sz="0" w:space="0" w:color="auto"/>
                          </w:divBdr>
                          <w:divsChild>
                            <w:div w:id="7927471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01010">
      <w:bodyDiv w:val="1"/>
      <w:marLeft w:val="0"/>
      <w:marRight w:val="0"/>
      <w:marTop w:val="0"/>
      <w:marBottom w:val="0"/>
      <w:divBdr>
        <w:top w:val="none" w:sz="0" w:space="0" w:color="auto"/>
        <w:left w:val="none" w:sz="0" w:space="0" w:color="auto"/>
        <w:bottom w:val="none" w:sz="0" w:space="0" w:color="auto"/>
        <w:right w:val="none" w:sz="0" w:space="0" w:color="auto"/>
      </w:divBdr>
    </w:div>
    <w:div w:id="1090270353">
      <w:bodyDiv w:val="1"/>
      <w:marLeft w:val="0"/>
      <w:marRight w:val="0"/>
      <w:marTop w:val="0"/>
      <w:marBottom w:val="0"/>
      <w:divBdr>
        <w:top w:val="none" w:sz="0" w:space="0" w:color="auto"/>
        <w:left w:val="none" w:sz="0" w:space="0" w:color="auto"/>
        <w:bottom w:val="none" w:sz="0" w:space="0" w:color="auto"/>
        <w:right w:val="none" w:sz="0" w:space="0" w:color="auto"/>
      </w:divBdr>
    </w:div>
    <w:div w:id="1353919356">
      <w:bodyDiv w:val="1"/>
      <w:marLeft w:val="0"/>
      <w:marRight w:val="0"/>
      <w:marTop w:val="0"/>
      <w:marBottom w:val="0"/>
      <w:divBdr>
        <w:top w:val="none" w:sz="0" w:space="0" w:color="auto"/>
        <w:left w:val="none" w:sz="0" w:space="0" w:color="auto"/>
        <w:bottom w:val="none" w:sz="0" w:space="0" w:color="auto"/>
        <w:right w:val="none" w:sz="0" w:space="0" w:color="auto"/>
      </w:divBdr>
    </w:div>
    <w:div w:id="1374888850">
      <w:bodyDiv w:val="1"/>
      <w:marLeft w:val="0"/>
      <w:marRight w:val="0"/>
      <w:marTop w:val="0"/>
      <w:marBottom w:val="0"/>
      <w:divBdr>
        <w:top w:val="none" w:sz="0" w:space="0" w:color="auto"/>
        <w:left w:val="none" w:sz="0" w:space="0" w:color="auto"/>
        <w:bottom w:val="none" w:sz="0" w:space="0" w:color="auto"/>
        <w:right w:val="none" w:sz="0" w:space="0" w:color="auto"/>
      </w:divBdr>
    </w:div>
    <w:div w:id="1787239556">
      <w:bodyDiv w:val="1"/>
      <w:marLeft w:val="0"/>
      <w:marRight w:val="0"/>
      <w:marTop w:val="0"/>
      <w:marBottom w:val="0"/>
      <w:divBdr>
        <w:top w:val="none" w:sz="0" w:space="0" w:color="auto"/>
        <w:left w:val="none" w:sz="0" w:space="0" w:color="auto"/>
        <w:bottom w:val="none" w:sz="0" w:space="0" w:color="auto"/>
        <w:right w:val="none" w:sz="0" w:space="0" w:color="auto"/>
      </w:divBdr>
    </w:div>
    <w:div w:id="18846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ijumi.mk.gov.lv/sites/default/files/title_file/Zinojums_Par_tiesiskas_aizsardzibas_procesa_efektivitati.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competition/state_aid/what_is_new/covid_19.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08B0-9195-42F7-9F1D-8216A094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20252</Words>
  <Characters>11544</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Ministru kabineta noteikumu projekts "Publiskas personas un publiskas personas kontrolētas kapitālsabiedrības mantas nomas maksas atbrīvojuma vai samazinājuma piemērošanas saistībā ar Covid-19 infekcijas izplatību kārtība"</vt:lpstr>
    </vt:vector>
  </TitlesOfParts>
  <Company>Finanšu ministrija</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"Publiskas personas un publiskas personas kontrolētas kapitālsabiedrības mantas nomas maksas atbrīvojuma vai samazinājuma piemērošanas saistībā ar Covid-19 infekcijas izplatību kārtība"</dc:title>
  <dc:subject>Izziņa par atzinumos sniegtajiem iebildumiem</dc:subject>
  <dc:creator>Inga Bērziņa</dc:creator>
  <cp:keywords/>
  <dc:description>67083947, inga.berzina@fm.gov.lv</dc:description>
  <cp:lastModifiedBy>Inga Bērziņa</cp:lastModifiedBy>
  <cp:revision>4</cp:revision>
  <dcterms:created xsi:type="dcterms:W3CDTF">2020-07-09T07:36:00Z</dcterms:created>
  <dcterms:modified xsi:type="dcterms:W3CDTF">2020-07-09T10:34:00Z</dcterms:modified>
</cp:coreProperties>
</file>