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E4639" w14:textId="25D240AA" w:rsidR="00620788" w:rsidRPr="00A719C6" w:rsidRDefault="00620788" w:rsidP="00D0324E">
      <w:pPr>
        <w:pStyle w:val="naislab"/>
        <w:tabs>
          <w:tab w:val="left" w:pos="142"/>
        </w:tabs>
        <w:spacing w:before="0" w:after="0"/>
        <w:ind w:firstLine="284"/>
        <w:jc w:val="center"/>
        <w:rPr>
          <w:b/>
        </w:rPr>
      </w:pPr>
      <w:r w:rsidRPr="00A719C6">
        <w:rPr>
          <w:b/>
        </w:rPr>
        <w:t xml:space="preserve">Izziņa par </w:t>
      </w:r>
      <w:r w:rsidR="00F7310D">
        <w:rPr>
          <w:b/>
        </w:rPr>
        <w:t xml:space="preserve">atzinumos sniegtajiem </w:t>
      </w:r>
      <w:r w:rsidRPr="00A719C6">
        <w:rPr>
          <w:b/>
        </w:rPr>
        <w:t>iebildumiem</w:t>
      </w:r>
    </w:p>
    <w:tbl>
      <w:tblPr>
        <w:tblW w:w="0" w:type="auto"/>
        <w:jc w:val="center"/>
        <w:tblLook w:val="00A0" w:firstRow="1" w:lastRow="0" w:firstColumn="1" w:lastColumn="0" w:noHBand="0" w:noVBand="0"/>
      </w:tblPr>
      <w:tblGrid>
        <w:gridCol w:w="10188"/>
      </w:tblGrid>
      <w:tr w:rsidR="00620788" w:rsidRPr="00A719C6" w14:paraId="3485A28B" w14:textId="77777777" w:rsidTr="00511695">
        <w:trPr>
          <w:jc w:val="center"/>
        </w:trPr>
        <w:tc>
          <w:tcPr>
            <w:tcW w:w="10188" w:type="dxa"/>
            <w:tcBorders>
              <w:bottom w:val="single" w:sz="6" w:space="0" w:color="000000"/>
            </w:tcBorders>
          </w:tcPr>
          <w:p w14:paraId="2488F0AB" w14:textId="5220D6DA" w:rsidR="00620788" w:rsidRPr="00A719C6" w:rsidRDefault="00620788" w:rsidP="00D0324E">
            <w:pPr>
              <w:contextualSpacing/>
              <w:jc w:val="center"/>
              <w:rPr>
                <w:rFonts w:eastAsia="Calibri"/>
                <w:b/>
                <w:lang w:eastAsia="en-US"/>
              </w:rPr>
            </w:pPr>
            <w:r w:rsidRPr="00A719C6">
              <w:rPr>
                <w:b/>
              </w:rPr>
              <w:t>Ministru kabineta noteikumu projektam "Noteikumi par rīcību ar administratīvo pārkāpumu lietās izņemto mantu un dokumentiem" (</w:t>
            </w:r>
            <w:r w:rsidR="00180D03">
              <w:rPr>
                <w:b/>
              </w:rPr>
              <w:t>TA-265</w:t>
            </w:r>
            <w:r w:rsidRPr="00A719C6">
              <w:rPr>
                <w:b/>
              </w:rPr>
              <w:t>)</w:t>
            </w:r>
          </w:p>
        </w:tc>
      </w:tr>
    </w:tbl>
    <w:p w14:paraId="05B980D9" w14:textId="77777777" w:rsidR="00620788" w:rsidRPr="00A719C6" w:rsidRDefault="00620788" w:rsidP="00620788">
      <w:pPr>
        <w:pStyle w:val="naisc"/>
        <w:tabs>
          <w:tab w:val="left" w:pos="142"/>
        </w:tabs>
        <w:spacing w:before="0" w:after="0"/>
        <w:ind w:firstLine="284"/>
        <w:jc w:val="left"/>
      </w:pPr>
    </w:p>
    <w:p w14:paraId="3890A9D9" w14:textId="77777777" w:rsidR="00620788" w:rsidRPr="00A719C6" w:rsidRDefault="00620788" w:rsidP="00620788">
      <w:pPr>
        <w:pStyle w:val="naisf"/>
        <w:numPr>
          <w:ilvl w:val="0"/>
          <w:numId w:val="4"/>
        </w:numPr>
        <w:tabs>
          <w:tab w:val="left" w:pos="142"/>
        </w:tabs>
        <w:spacing w:before="0" w:after="0"/>
        <w:jc w:val="left"/>
        <w:rPr>
          <w:b/>
        </w:rPr>
      </w:pPr>
      <w:r w:rsidRPr="00A719C6">
        <w:rPr>
          <w:b/>
        </w:rPr>
        <w:t>Jautājumi, par kuriem saskaņošanā vienošanās nav panākta</w:t>
      </w:r>
    </w:p>
    <w:p w14:paraId="20D0B955" w14:textId="77777777" w:rsidR="00620788" w:rsidRPr="00A719C6" w:rsidRDefault="00620788" w:rsidP="00620788">
      <w:pPr>
        <w:pStyle w:val="naisf"/>
        <w:tabs>
          <w:tab w:val="left" w:pos="142"/>
        </w:tabs>
        <w:spacing w:before="0" w:after="0"/>
        <w:ind w:firstLine="284"/>
        <w:jc w:val="left"/>
      </w:pPr>
    </w:p>
    <w:tbl>
      <w:tblPr>
        <w:tblW w:w="13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675"/>
        <w:gridCol w:w="2150"/>
        <w:gridCol w:w="2975"/>
        <w:gridCol w:w="2695"/>
        <w:gridCol w:w="2412"/>
        <w:gridCol w:w="2350"/>
      </w:tblGrid>
      <w:tr w:rsidR="00A719C6" w:rsidRPr="00A719C6" w14:paraId="57834560" w14:textId="77777777" w:rsidTr="00DD2FCE">
        <w:trPr>
          <w:trHeight w:val="2784"/>
        </w:trPr>
        <w:tc>
          <w:tcPr>
            <w:tcW w:w="675" w:type="dxa"/>
            <w:vAlign w:val="center"/>
          </w:tcPr>
          <w:p w14:paraId="0262C102" w14:textId="77777777" w:rsidR="00620788" w:rsidRPr="00A719C6" w:rsidRDefault="00620788" w:rsidP="00511695">
            <w:pPr>
              <w:pStyle w:val="naisc"/>
              <w:tabs>
                <w:tab w:val="left" w:pos="142"/>
              </w:tabs>
              <w:spacing w:before="0" w:after="0"/>
              <w:jc w:val="left"/>
            </w:pPr>
            <w:r w:rsidRPr="00A719C6">
              <w:t>Nr. p.k.</w:t>
            </w:r>
          </w:p>
        </w:tc>
        <w:tc>
          <w:tcPr>
            <w:tcW w:w="2150" w:type="dxa"/>
            <w:vAlign w:val="center"/>
          </w:tcPr>
          <w:p w14:paraId="21931603" w14:textId="77777777" w:rsidR="00620788" w:rsidRPr="00A719C6" w:rsidRDefault="00620788" w:rsidP="00260035">
            <w:pPr>
              <w:pStyle w:val="naisc"/>
              <w:tabs>
                <w:tab w:val="left" w:pos="142"/>
              </w:tabs>
              <w:spacing w:before="0" w:after="0"/>
              <w:ind w:firstLine="62"/>
              <w:jc w:val="left"/>
            </w:pPr>
            <w:r w:rsidRPr="00A719C6">
              <w:t>Saskaņošanai nosūtītā projekta redakcija (konkrēta punkta (panta) redakcija)</w:t>
            </w:r>
          </w:p>
        </w:tc>
        <w:tc>
          <w:tcPr>
            <w:tcW w:w="2975" w:type="dxa"/>
            <w:vAlign w:val="center"/>
          </w:tcPr>
          <w:p w14:paraId="22C031FB" w14:textId="77777777" w:rsidR="00620788" w:rsidRPr="00A719C6" w:rsidRDefault="00620788" w:rsidP="00260035">
            <w:pPr>
              <w:pStyle w:val="naisc"/>
              <w:tabs>
                <w:tab w:val="left" w:pos="142"/>
              </w:tabs>
              <w:spacing w:before="0" w:after="0"/>
              <w:ind w:right="3" w:firstLine="175"/>
              <w:jc w:val="left"/>
            </w:pPr>
            <w:r w:rsidRPr="00A719C6">
              <w:t>Atzinumā norādītais ministrijas (citas institūcijas) iebildums, kā arī saskaņošanā papildus izteiktais iebildums par projekta konkrēto punktu (pantu)</w:t>
            </w:r>
          </w:p>
        </w:tc>
        <w:tc>
          <w:tcPr>
            <w:tcW w:w="2695" w:type="dxa"/>
            <w:vAlign w:val="center"/>
          </w:tcPr>
          <w:p w14:paraId="424A4034" w14:textId="77777777" w:rsidR="00620788" w:rsidRPr="00A719C6" w:rsidRDefault="00620788" w:rsidP="00260035">
            <w:pPr>
              <w:pStyle w:val="naisc"/>
              <w:tabs>
                <w:tab w:val="left" w:pos="142"/>
              </w:tabs>
              <w:spacing w:before="0" w:after="0"/>
              <w:ind w:firstLine="178"/>
              <w:jc w:val="left"/>
            </w:pPr>
            <w:r w:rsidRPr="00A719C6">
              <w:t>Atbildīgās ministrijas pamatojums iebilduma noraidījumam</w:t>
            </w:r>
          </w:p>
        </w:tc>
        <w:tc>
          <w:tcPr>
            <w:tcW w:w="2412" w:type="dxa"/>
            <w:vAlign w:val="center"/>
          </w:tcPr>
          <w:p w14:paraId="358DD273" w14:textId="77777777" w:rsidR="00620788" w:rsidRPr="00A719C6" w:rsidRDefault="00620788" w:rsidP="00260035">
            <w:pPr>
              <w:tabs>
                <w:tab w:val="left" w:pos="142"/>
              </w:tabs>
              <w:ind w:firstLine="318"/>
            </w:pPr>
            <w:r w:rsidRPr="00A719C6">
              <w:t>Atzinuma sniedzēja uzturētais iebildum, ja tas atšķiras no atzinumā norādītā iebilduma pamatojuma</w:t>
            </w:r>
          </w:p>
        </w:tc>
        <w:tc>
          <w:tcPr>
            <w:tcW w:w="2350" w:type="dxa"/>
            <w:vAlign w:val="center"/>
          </w:tcPr>
          <w:p w14:paraId="1CCF4B2A" w14:textId="77777777" w:rsidR="00620788" w:rsidRPr="00A719C6" w:rsidRDefault="00620788" w:rsidP="00511695">
            <w:pPr>
              <w:tabs>
                <w:tab w:val="left" w:pos="142"/>
              </w:tabs>
              <w:ind w:firstLine="284"/>
            </w:pPr>
            <w:r w:rsidRPr="00A719C6">
              <w:t>Projekta attiecīgā punkta (panta) galīgā redakcija</w:t>
            </w:r>
          </w:p>
        </w:tc>
      </w:tr>
      <w:tr w:rsidR="00A719C6" w:rsidRPr="00A719C6" w14:paraId="6A0027FB" w14:textId="77777777" w:rsidTr="00DD2FCE">
        <w:tc>
          <w:tcPr>
            <w:tcW w:w="675" w:type="dxa"/>
          </w:tcPr>
          <w:p w14:paraId="620959C7" w14:textId="77777777" w:rsidR="00620788" w:rsidRPr="00A719C6" w:rsidRDefault="00620788" w:rsidP="00511695">
            <w:pPr>
              <w:pStyle w:val="naisc"/>
              <w:tabs>
                <w:tab w:val="left" w:pos="142"/>
              </w:tabs>
              <w:spacing w:before="0" w:after="0"/>
              <w:jc w:val="left"/>
            </w:pPr>
            <w:r w:rsidRPr="00A719C6">
              <w:t>1</w:t>
            </w:r>
          </w:p>
        </w:tc>
        <w:tc>
          <w:tcPr>
            <w:tcW w:w="2150" w:type="dxa"/>
          </w:tcPr>
          <w:p w14:paraId="1BC60255" w14:textId="77777777" w:rsidR="00620788" w:rsidRPr="00A719C6" w:rsidRDefault="00620788" w:rsidP="00260035">
            <w:pPr>
              <w:pStyle w:val="naisc"/>
              <w:tabs>
                <w:tab w:val="left" w:pos="142"/>
              </w:tabs>
              <w:spacing w:before="0" w:after="0"/>
              <w:ind w:firstLine="62"/>
              <w:jc w:val="left"/>
            </w:pPr>
            <w:r w:rsidRPr="00A719C6">
              <w:t>2</w:t>
            </w:r>
          </w:p>
        </w:tc>
        <w:tc>
          <w:tcPr>
            <w:tcW w:w="2975" w:type="dxa"/>
          </w:tcPr>
          <w:p w14:paraId="165444F5" w14:textId="77777777" w:rsidR="00620788" w:rsidRPr="00A719C6" w:rsidRDefault="00620788" w:rsidP="00260035">
            <w:pPr>
              <w:pStyle w:val="naisc"/>
              <w:tabs>
                <w:tab w:val="left" w:pos="142"/>
              </w:tabs>
              <w:spacing w:before="0" w:after="0"/>
              <w:ind w:firstLine="175"/>
              <w:jc w:val="left"/>
            </w:pPr>
            <w:r w:rsidRPr="00A719C6">
              <w:t>3</w:t>
            </w:r>
          </w:p>
        </w:tc>
        <w:tc>
          <w:tcPr>
            <w:tcW w:w="2695" w:type="dxa"/>
          </w:tcPr>
          <w:p w14:paraId="39E628D2" w14:textId="77777777" w:rsidR="00620788" w:rsidRPr="00A719C6" w:rsidRDefault="00620788" w:rsidP="00260035">
            <w:pPr>
              <w:pStyle w:val="naisc"/>
              <w:tabs>
                <w:tab w:val="left" w:pos="142"/>
              </w:tabs>
              <w:spacing w:before="0" w:after="0"/>
              <w:ind w:firstLine="178"/>
              <w:jc w:val="left"/>
            </w:pPr>
            <w:r w:rsidRPr="00A719C6">
              <w:t>4</w:t>
            </w:r>
          </w:p>
        </w:tc>
        <w:tc>
          <w:tcPr>
            <w:tcW w:w="2412" w:type="dxa"/>
          </w:tcPr>
          <w:p w14:paraId="4DB8D482" w14:textId="77777777" w:rsidR="00620788" w:rsidRPr="00A719C6" w:rsidRDefault="00620788" w:rsidP="00260035">
            <w:pPr>
              <w:tabs>
                <w:tab w:val="left" w:pos="142"/>
              </w:tabs>
              <w:ind w:firstLine="318"/>
            </w:pPr>
            <w:r w:rsidRPr="00A719C6">
              <w:t>5</w:t>
            </w:r>
          </w:p>
        </w:tc>
        <w:tc>
          <w:tcPr>
            <w:tcW w:w="2350" w:type="dxa"/>
          </w:tcPr>
          <w:p w14:paraId="46BD5F5C" w14:textId="77777777" w:rsidR="00620788" w:rsidRPr="00A719C6" w:rsidRDefault="00620788" w:rsidP="00511695">
            <w:pPr>
              <w:tabs>
                <w:tab w:val="left" w:pos="142"/>
              </w:tabs>
              <w:ind w:firstLine="284"/>
            </w:pPr>
            <w:r w:rsidRPr="00A719C6">
              <w:t>6</w:t>
            </w:r>
          </w:p>
        </w:tc>
      </w:tr>
    </w:tbl>
    <w:p w14:paraId="5F502E47" w14:textId="220C3F79" w:rsidR="00EF14E5" w:rsidRPr="00A719C6" w:rsidRDefault="00EF14E5" w:rsidP="00620788">
      <w:pPr>
        <w:pStyle w:val="naisf"/>
        <w:tabs>
          <w:tab w:val="left" w:pos="142"/>
        </w:tabs>
        <w:spacing w:before="0" w:after="0"/>
        <w:ind w:firstLine="0"/>
        <w:jc w:val="left"/>
        <w:rPr>
          <w:b/>
        </w:rPr>
      </w:pPr>
    </w:p>
    <w:p w14:paraId="4AEBCB17" w14:textId="77777777" w:rsidR="00EF14E5" w:rsidRPr="00A719C6" w:rsidRDefault="00EF14E5" w:rsidP="00620788">
      <w:pPr>
        <w:pStyle w:val="naisf"/>
        <w:tabs>
          <w:tab w:val="left" w:pos="142"/>
        </w:tabs>
        <w:spacing w:before="0" w:after="0"/>
        <w:ind w:firstLine="0"/>
        <w:jc w:val="left"/>
        <w:rPr>
          <w:b/>
        </w:rPr>
      </w:pPr>
    </w:p>
    <w:p w14:paraId="6F8291F6" w14:textId="77777777" w:rsidR="00620788" w:rsidRPr="00A719C6" w:rsidRDefault="00620788" w:rsidP="00620788">
      <w:pPr>
        <w:pStyle w:val="naisf"/>
        <w:tabs>
          <w:tab w:val="left" w:pos="142"/>
        </w:tabs>
        <w:spacing w:before="0" w:after="0"/>
        <w:ind w:firstLine="284"/>
        <w:jc w:val="left"/>
        <w:rPr>
          <w:b/>
        </w:rPr>
      </w:pPr>
      <w:r w:rsidRPr="00A719C6">
        <w:rPr>
          <w:b/>
        </w:rPr>
        <w:t>Informācija par starpministriju (starpinstitūciju) sanāksmi vai elektronisko saskaņošanu</w:t>
      </w:r>
    </w:p>
    <w:p w14:paraId="7F268792" w14:textId="77777777" w:rsidR="00620788" w:rsidRPr="00A719C6" w:rsidRDefault="00620788" w:rsidP="00620788">
      <w:pPr>
        <w:pStyle w:val="naisf"/>
        <w:tabs>
          <w:tab w:val="left" w:pos="142"/>
        </w:tabs>
        <w:spacing w:before="0" w:after="0"/>
        <w:ind w:firstLine="284"/>
        <w:jc w:val="left"/>
        <w:rPr>
          <w:b/>
        </w:rPr>
      </w:pPr>
    </w:p>
    <w:tbl>
      <w:tblPr>
        <w:tblW w:w="13433" w:type="dxa"/>
        <w:tblInd w:w="-108" w:type="dxa"/>
        <w:tblLook w:val="00A0" w:firstRow="1" w:lastRow="0" w:firstColumn="1" w:lastColumn="0" w:noHBand="0" w:noVBand="0"/>
      </w:tblPr>
      <w:tblGrid>
        <w:gridCol w:w="108"/>
        <w:gridCol w:w="3321"/>
        <w:gridCol w:w="3024"/>
        <w:gridCol w:w="4023"/>
        <w:gridCol w:w="2957"/>
      </w:tblGrid>
      <w:tr w:rsidR="00A719C6" w:rsidRPr="00A719C6" w14:paraId="66E2C21A" w14:textId="77777777" w:rsidTr="00675372">
        <w:trPr>
          <w:gridBefore w:val="1"/>
          <w:wBefore w:w="108" w:type="dxa"/>
        </w:trPr>
        <w:tc>
          <w:tcPr>
            <w:tcW w:w="6345" w:type="dxa"/>
            <w:gridSpan w:val="2"/>
          </w:tcPr>
          <w:p w14:paraId="042BD9F6" w14:textId="77777777" w:rsidR="00620788" w:rsidRPr="00A719C6" w:rsidRDefault="00620788" w:rsidP="00511695">
            <w:pPr>
              <w:pStyle w:val="naisf"/>
              <w:tabs>
                <w:tab w:val="left" w:pos="142"/>
              </w:tabs>
              <w:spacing w:before="0" w:after="0"/>
              <w:ind w:firstLine="284"/>
              <w:jc w:val="left"/>
            </w:pPr>
            <w:r w:rsidRPr="00A719C6">
              <w:t xml:space="preserve">Datums </w:t>
            </w:r>
          </w:p>
        </w:tc>
        <w:tc>
          <w:tcPr>
            <w:tcW w:w="6980" w:type="dxa"/>
            <w:gridSpan w:val="2"/>
            <w:tcBorders>
              <w:bottom w:val="single" w:sz="4" w:space="0" w:color="auto"/>
            </w:tcBorders>
          </w:tcPr>
          <w:p w14:paraId="215577D4" w14:textId="1F92F24D" w:rsidR="00620788" w:rsidRPr="00A719C6" w:rsidRDefault="003F60AD" w:rsidP="00511695">
            <w:pPr>
              <w:pStyle w:val="NormalWeb"/>
              <w:spacing w:before="0" w:beforeAutospacing="0" w:after="0" w:afterAutospacing="0"/>
            </w:pPr>
            <w:r>
              <w:t xml:space="preserve">31.03.2020. </w:t>
            </w:r>
            <w:r w:rsidR="00346B23">
              <w:t>neklātienē organizēta saskaņošana</w:t>
            </w:r>
            <w:r w:rsidR="00B06AB5">
              <w:t xml:space="preserve"> atbilstoši Valsts sekretāru </w:t>
            </w:r>
            <w:r w:rsidR="00C760E5" w:rsidRPr="00C760E5">
              <w:t>2020.gada 12.marta sanāksmē</w:t>
            </w:r>
            <w:r w:rsidR="00C760E5">
              <w:t xml:space="preserve"> nolemtajam</w:t>
            </w:r>
            <w:r w:rsidR="00C760E5" w:rsidRPr="00C760E5">
              <w:t xml:space="preserve"> (prot. Nr.11, 26.§, TA-265)</w:t>
            </w:r>
            <w:r w:rsidR="00C760E5">
              <w:t>.</w:t>
            </w:r>
          </w:p>
        </w:tc>
      </w:tr>
      <w:tr w:rsidR="00A719C6" w:rsidRPr="00A719C6" w14:paraId="50D0449A" w14:textId="77777777" w:rsidTr="00675372">
        <w:trPr>
          <w:gridBefore w:val="1"/>
          <w:wBefore w:w="108" w:type="dxa"/>
        </w:trPr>
        <w:tc>
          <w:tcPr>
            <w:tcW w:w="6345" w:type="dxa"/>
            <w:gridSpan w:val="2"/>
          </w:tcPr>
          <w:p w14:paraId="243D413B" w14:textId="77777777" w:rsidR="00620788" w:rsidRPr="00A719C6" w:rsidRDefault="00620788" w:rsidP="00511695">
            <w:pPr>
              <w:pStyle w:val="naisf"/>
              <w:tabs>
                <w:tab w:val="left" w:pos="142"/>
              </w:tabs>
              <w:spacing w:before="0" w:after="0"/>
              <w:ind w:firstLine="284"/>
              <w:jc w:val="left"/>
            </w:pPr>
          </w:p>
        </w:tc>
        <w:tc>
          <w:tcPr>
            <w:tcW w:w="6980" w:type="dxa"/>
            <w:gridSpan w:val="2"/>
            <w:tcBorders>
              <w:top w:val="single" w:sz="4" w:space="0" w:color="auto"/>
            </w:tcBorders>
          </w:tcPr>
          <w:p w14:paraId="5CFC297B" w14:textId="77777777" w:rsidR="00620788" w:rsidRPr="00A719C6" w:rsidRDefault="00620788" w:rsidP="00511695">
            <w:pPr>
              <w:pStyle w:val="NormalWeb"/>
              <w:tabs>
                <w:tab w:val="left" w:pos="142"/>
              </w:tabs>
              <w:spacing w:before="0" w:beforeAutospacing="0" w:after="0" w:afterAutospacing="0"/>
              <w:ind w:firstLine="284"/>
            </w:pPr>
          </w:p>
        </w:tc>
      </w:tr>
      <w:tr w:rsidR="00A719C6" w:rsidRPr="00A719C6" w14:paraId="53114DAB" w14:textId="77777777" w:rsidTr="00675372">
        <w:trPr>
          <w:gridBefore w:val="1"/>
          <w:wBefore w:w="108" w:type="dxa"/>
        </w:trPr>
        <w:tc>
          <w:tcPr>
            <w:tcW w:w="6345" w:type="dxa"/>
            <w:gridSpan w:val="2"/>
          </w:tcPr>
          <w:p w14:paraId="60E49784" w14:textId="77777777" w:rsidR="00620788" w:rsidRPr="00A719C6" w:rsidRDefault="00620788" w:rsidP="00511695">
            <w:pPr>
              <w:pStyle w:val="naiskr"/>
              <w:tabs>
                <w:tab w:val="left" w:pos="142"/>
              </w:tabs>
              <w:spacing w:before="0" w:after="0"/>
              <w:ind w:firstLine="284"/>
            </w:pPr>
            <w:r w:rsidRPr="00A719C6">
              <w:t>Saskaņošanas dalībnieki</w:t>
            </w:r>
          </w:p>
        </w:tc>
        <w:tc>
          <w:tcPr>
            <w:tcW w:w="6980" w:type="dxa"/>
            <w:gridSpan w:val="2"/>
            <w:tcBorders>
              <w:bottom w:val="single" w:sz="4" w:space="0" w:color="auto"/>
            </w:tcBorders>
          </w:tcPr>
          <w:p w14:paraId="3C959F69" w14:textId="3AABA4DA" w:rsidR="00620788" w:rsidRPr="00A719C6" w:rsidRDefault="003D1547" w:rsidP="00511695">
            <w:r w:rsidRPr="00A719C6">
              <w:t>Tieslietu ministrija</w:t>
            </w:r>
          </w:p>
        </w:tc>
      </w:tr>
      <w:tr w:rsidR="00A719C6" w:rsidRPr="00A719C6" w14:paraId="38B989E8" w14:textId="77777777" w:rsidTr="00675372">
        <w:trPr>
          <w:gridBefore w:val="1"/>
          <w:wBefore w:w="108" w:type="dxa"/>
        </w:trPr>
        <w:tc>
          <w:tcPr>
            <w:tcW w:w="6345" w:type="dxa"/>
            <w:gridSpan w:val="2"/>
          </w:tcPr>
          <w:p w14:paraId="59DD80BF" w14:textId="77777777" w:rsidR="00620788" w:rsidRPr="00A719C6" w:rsidRDefault="00620788" w:rsidP="00511695">
            <w:pPr>
              <w:pStyle w:val="naiskr"/>
              <w:tabs>
                <w:tab w:val="left" w:pos="142"/>
              </w:tabs>
              <w:spacing w:before="0" w:after="0"/>
              <w:ind w:firstLine="284"/>
              <w:rPr>
                <w:i/>
              </w:rPr>
            </w:pPr>
          </w:p>
        </w:tc>
        <w:tc>
          <w:tcPr>
            <w:tcW w:w="6980" w:type="dxa"/>
            <w:gridSpan w:val="2"/>
            <w:tcBorders>
              <w:top w:val="single" w:sz="4" w:space="0" w:color="auto"/>
            </w:tcBorders>
          </w:tcPr>
          <w:p w14:paraId="21A1013F" w14:textId="77777777" w:rsidR="00620788" w:rsidRPr="00A719C6" w:rsidRDefault="00620788" w:rsidP="00511695">
            <w:pPr>
              <w:pStyle w:val="naiskr"/>
              <w:tabs>
                <w:tab w:val="left" w:pos="142"/>
              </w:tabs>
              <w:spacing w:before="0" w:after="0"/>
            </w:pPr>
          </w:p>
        </w:tc>
      </w:tr>
      <w:tr w:rsidR="00A719C6" w:rsidRPr="00A719C6" w14:paraId="52802188" w14:textId="77777777" w:rsidTr="00675372">
        <w:tblPrEx>
          <w:tblLook w:val="0000" w:firstRow="0" w:lastRow="0" w:firstColumn="0" w:lastColumn="0" w:noHBand="0" w:noVBand="0"/>
        </w:tblPrEx>
        <w:trPr>
          <w:gridAfter w:val="1"/>
          <w:wAfter w:w="2957" w:type="dxa"/>
        </w:trPr>
        <w:tc>
          <w:tcPr>
            <w:tcW w:w="3429" w:type="dxa"/>
            <w:gridSpan w:val="2"/>
          </w:tcPr>
          <w:p w14:paraId="40EC4FB7" w14:textId="77777777" w:rsidR="00620788" w:rsidRPr="00A719C6" w:rsidRDefault="00620788" w:rsidP="00511695">
            <w:pPr>
              <w:pStyle w:val="naiskr"/>
              <w:snapToGrid w:val="0"/>
              <w:spacing w:before="0" w:after="0"/>
              <w:ind w:left="170" w:right="170"/>
            </w:pPr>
            <w:r w:rsidRPr="00A719C6">
              <w:t>Saskaņošanas dalībnieki izskatīja šādu ministriju (citu institūciju) iebildumus</w:t>
            </w:r>
          </w:p>
        </w:tc>
        <w:tc>
          <w:tcPr>
            <w:tcW w:w="7047" w:type="dxa"/>
            <w:gridSpan w:val="2"/>
            <w:tcBorders>
              <w:bottom w:val="single" w:sz="4" w:space="0" w:color="000000"/>
            </w:tcBorders>
          </w:tcPr>
          <w:p w14:paraId="44BAEF6E" w14:textId="67F0846F" w:rsidR="00620788" w:rsidRPr="00A719C6" w:rsidRDefault="00C84623" w:rsidP="00511695">
            <w:pPr>
              <w:pStyle w:val="naiskr"/>
              <w:snapToGrid w:val="0"/>
              <w:spacing w:before="0" w:after="0"/>
              <w:ind w:left="170" w:right="170"/>
            </w:pPr>
            <w:r>
              <w:t>Tieslietu ministrija</w:t>
            </w:r>
          </w:p>
        </w:tc>
      </w:tr>
      <w:tr w:rsidR="00A719C6" w:rsidRPr="00A719C6" w14:paraId="408E7E45" w14:textId="77777777" w:rsidTr="00675372">
        <w:tblPrEx>
          <w:tblLook w:val="0000" w:firstRow="0" w:lastRow="0" w:firstColumn="0" w:lastColumn="0" w:noHBand="0" w:noVBand="0"/>
        </w:tblPrEx>
        <w:trPr>
          <w:gridAfter w:val="1"/>
          <w:wAfter w:w="2957" w:type="dxa"/>
        </w:trPr>
        <w:tc>
          <w:tcPr>
            <w:tcW w:w="3429" w:type="dxa"/>
            <w:gridSpan w:val="2"/>
          </w:tcPr>
          <w:p w14:paraId="18933EB1" w14:textId="77777777" w:rsidR="00620788" w:rsidRPr="00A719C6" w:rsidRDefault="00620788" w:rsidP="00511695">
            <w:pPr>
              <w:pStyle w:val="naiskr"/>
              <w:snapToGrid w:val="0"/>
              <w:spacing w:before="0" w:after="0"/>
              <w:ind w:left="170" w:right="170"/>
            </w:pPr>
            <w:r w:rsidRPr="00A719C6">
              <w:t xml:space="preserve">Ministrijas (citas institūcijas), kuras nav ieradušās uz sanāksmi vai kuras nav </w:t>
            </w:r>
            <w:r w:rsidRPr="00A719C6">
              <w:lastRenderedPageBreak/>
              <w:t>atbildējušas uz uzaicinājumu piedalīties elektroniskajā saskaņošanā</w:t>
            </w:r>
          </w:p>
        </w:tc>
        <w:tc>
          <w:tcPr>
            <w:tcW w:w="7047" w:type="dxa"/>
            <w:gridSpan w:val="2"/>
            <w:tcBorders>
              <w:bottom w:val="single" w:sz="4" w:space="0" w:color="000000"/>
            </w:tcBorders>
          </w:tcPr>
          <w:p w14:paraId="0F9ACBF0" w14:textId="77777777" w:rsidR="00620788" w:rsidRPr="00A719C6" w:rsidRDefault="00620788" w:rsidP="00511695">
            <w:pPr>
              <w:pStyle w:val="NormalWeb"/>
              <w:snapToGrid w:val="0"/>
              <w:spacing w:before="0" w:beforeAutospacing="0" w:after="0" w:afterAutospacing="0"/>
              <w:ind w:left="170" w:right="170"/>
            </w:pPr>
          </w:p>
        </w:tc>
      </w:tr>
      <w:tr w:rsidR="00A719C6" w:rsidRPr="00A719C6" w14:paraId="759A43AE" w14:textId="77777777" w:rsidTr="00675372">
        <w:tblPrEx>
          <w:tblLook w:val="0000" w:firstRow="0" w:lastRow="0" w:firstColumn="0" w:lastColumn="0" w:noHBand="0" w:noVBand="0"/>
        </w:tblPrEx>
        <w:trPr>
          <w:gridAfter w:val="1"/>
          <w:wAfter w:w="2957" w:type="dxa"/>
        </w:trPr>
        <w:tc>
          <w:tcPr>
            <w:tcW w:w="3429" w:type="dxa"/>
            <w:gridSpan w:val="2"/>
          </w:tcPr>
          <w:p w14:paraId="358EECDE" w14:textId="77777777" w:rsidR="00620788" w:rsidRPr="00A719C6" w:rsidRDefault="00620788" w:rsidP="00511695">
            <w:pPr>
              <w:pStyle w:val="naiskr"/>
              <w:snapToGrid w:val="0"/>
              <w:spacing w:before="0" w:after="0"/>
              <w:ind w:left="170" w:right="170"/>
            </w:pPr>
          </w:p>
        </w:tc>
        <w:tc>
          <w:tcPr>
            <w:tcW w:w="7047" w:type="dxa"/>
            <w:gridSpan w:val="2"/>
            <w:tcBorders>
              <w:top w:val="single" w:sz="4" w:space="0" w:color="000000"/>
              <w:bottom w:val="single" w:sz="4" w:space="0" w:color="000000"/>
            </w:tcBorders>
          </w:tcPr>
          <w:p w14:paraId="4721C548" w14:textId="77777777" w:rsidR="00620788" w:rsidRPr="00A719C6" w:rsidRDefault="00620788" w:rsidP="00511695">
            <w:pPr>
              <w:pStyle w:val="NormalWeb"/>
              <w:snapToGrid w:val="0"/>
              <w:spacing w:before="0" w:beforeAutospacing="0" w:after="0" w:afterAutospacing="0"/>
              <w:ind w:left="170" w:right="170"/>
            </w:pPr>
          </w:p>
        </w:tc>
      </w:tr>
    </w:tbl>
    <w:p w14:paraId="3A2352F6" w14:textId="77777777" w:rsidR="00620788" w:rsidRPr="00A719C6" w:rsidRDefault="00620788" w:rsidP="00620788">
      <w:pPr>
        <w:pStyle w:val="naisf"/>
        <w:tabs>
          <w:tab w:val="left" w:pos="142"/>
        </w:tabs>
        <w:spacing w:before="0" w:after="0"/>
        <w:ind w:firstLine="0"/>
        <w:jc w:val="left"/>
      </w:pPr>
    </w:p>
    <w:p w14:paraId="78327ECE" w14:textId="77777777" w:rsidR="00620788" w:rsidRPr="00A719C6" w:rsidRDefault="00620788" w:rsidP="00620788">
      <w:pPr>
        <w:pStyle w:val="naisf"/>
        <w:numPr>
          <w:ilvl w:val="0"/>
          <w:numId w:val="4"/>
        </w:numPr>
        <w:tabs>
          <w:tab w:val="left" w:pos="142"/>
        </w:tabs>
        <w:spacing w:before="0" w:after="0"/>
        <w:jc w:val="left"/>
        <w:rPr>
          <w:b/>
        </w:rPr>
      </w:pPr>
      <w:r w:rsidRPr="00A719C6">
        <w:rPr>
          <w:b/>
        </w:rPr>
        <w:t>Jautājumi, par kuriem saskaņošanā vienošanās ir panākta</w:t>
      </w:r>
    </w:p>
    <w:p w14:paraId="44A740D0" w14:textId="77777777" w:rsidR="00620788" w:rsidRPr="00A719C6" w:rsidRDefault="00620788"/>
    <w:tbl>
      <w:tblPr>
        <w:tblW w:w="14034"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07"/>
        <w:gridCol w:w="2693"/>
        <w:gridCol w:w="3830"/>
        <w:gridCol w:w="1984"/>
        <w:gridCol w:w="4820"/>
      </w:tblGrid>
      <w:tr w:rsidR="00A719C6" w:rsidRPr="00A719C6" w14:paraId="0131BE44" w14:textId="77777777" w:rsidTr="00796F82">
        <w:tc>
          <w:tcPr>
            <w:tcW w:w="707" w:type="dxa"/>
            <w:vAlign w:val="center"/>
          </w:tcPr>
          <w:p w14:paraId="715B5A4B" w14:textId="77777777" w:rsidR="007413AF" w:rsidRPr="00A719C6" w:rsidRDefault="007413AF" w:rsidP="006F4766">
            <w:pPr>
              <w:pStyle w:val="naisc"/>
              <w:tabs>
                <w:tab w:val="left" w:pos="142"/>
              </w:tabs>
              <w:spacing w:before="0" w:after="0"/>
              <w:jc w:val="left"/>
            </w:pPr>
            <w:r w:rsidRPr="00A719C6">
              <w:t>Nr. p.k.</w:t>
            </w:r>
          </w:p>
        </w:tc>
        <w:tc>
          <w:tcPr>
            <w:tcW w:w="2693" w:type="dxa"/>
            <w:vAlign w:val="center"/>
          </w:tcPr>
          <w:p w14:paraId="58A3EFBF" w14:textId="77777777" w:rsidR="007413AF" w:rsidRPr="00A719C6" w:rsidRDefault="007413AF" w:rsidP="00260035">
            <w:pPr>
              <w:pStyle w:val="naisc"/>
              <w:tabs>
                <w:tab w:val="left" w:pos="142"/>
              </w:tabs>
              <w:spacing w:before="0" w:after="0"/>
              <w:ind w:firstLine="176"/>
              <w:jc w:val="left"/>
            </w:pPr>
            <w:r w:rsidRPr="00A719C6">
              <w:t>Saskaņošanai nosūtītā projekta redakcija (konkrēta punkta (panta) redakcija)</w:t>
            </w:r>
          </w:p>
        </w:tc>
        <w:tc>
          <w:tcPr>
            <w:tcW w:w="3830" w:type="dxa"/>
            <w:vAlign w:val="center"/>
          </w:tcPr>
          <w:p w14:paraId="24316002" w14:textId="77777777" w:rsidR="007413AF" w:rsidRPr="00A719C6" w:rsidRDefault="007413AF" w:rsidP="00260035">
            <w:pPr>
              <w:pStyle w:val="naisc"/>
              <w:tabs>
                <w:tab w:val="left" w:pos="142"/>
              </w:tabs>
              <w:spacing w:before="0" w:after="0"/>
              <w:ind w:firstLine="176"/>
              <w:jc w:val="left"/>
            </w:pPr>
            <w:r w:rsidRPr="00A719C6">
              <w:t>Atzinumā norādītais ministrijas (citas institūcijas) iebildums, kā arī saskaņošanā papildus izteiktais iebildums par projekta konkrēto punktu (pantu)</w:t>
            </w:r>
          </w:p>
        </w:tc>
        <w:tc>
          <w:tcPr>
            <w:tcW w:w="1984" w:type="dxa"/>
            <w:vAlign w:val="center"/>
          </w:tcPr>
          <w:p w14:paraId="153CFC9A" w14:textId="77777777" w:rsidR="007413AF" w:rsidRPr="00A719C6" w:rsidRDefault="007413AF" w:rsidP="00260035">
            <w:pPr>
              <w:pStyle w:val="naisc"/>
              <w:tabs>
                <w:tab w:val="left" w:pos="142"/>
              </w:tabs>
              <w:spacing w:before="0" w:after="0"/>
              <w:jc w:val="left"/>
            </w:pPr>
            <w:r w:rsidRPr="00A719C6">
              <w:t>Atbildīgās ministrijas norāde par to, ka iebildums ir ņemts vērā, vai informācija par saskaņošanā panākto alternatīvo risinājumu</w:t>
            </w:r>
          </w:p>
        </w:tc>
        <w:tc>
          <w:tcPr>
            <w:tcW w:w="4820" w:type="dxa"/>
            <w:vAlign w:val="center"/>
          </w:tcPr>
          <w:p w14:paraId="5FB36B8C" w14:textId="77777777" w:rsidR="007413AF" w:rsidRPr="00A719C6" w:rsidRDefault="007413AF" w:rsidP="00260035">
            <w:pPr>
              <w:tabs>
                <w:tab w:val="left" w:pos="142"/>
              </w:tabs>
              <w:ind w:firstLine="174"/>
            </w:pPr>
            <w:r w:rsidRPr="00A719C6">
              <w:t>Projekta attiecīgā punkta (panta) galīgā redakcija</w:t>
            </w:r>
          </w:p>
        </w:tc>
      </w:tr>
      <w:tr w:rsidR="00A719C6" w:rsidRPr="00A719C6" w14:paraId="720430BB" w14:textId="77777777" w:rsidTr="00796F82">
        <w:tc>
          <w:tcPr>
            <w:tcW w:w="707" w:type="dxa"/>
          </w:tcPr>
          <w:p w14:paraId="6C5CF976" w14:textId="77777777" w:rsidR="007413AF" w:rsidRPr="00A719C6" w:rsidRDefault="007413AF" w:rsidP="00796F82">
            <w:pPr>
              <w:pStyle w:val="naisc"/>
              <w:tabs>
                <w:tab w:val="left" w:pos="142"/>
              </w:tabs>
              <w:spacing w:before="0" w:after="0"/>
              <w:rPr>
                <w:i/>
                <w:iCs/>
              </w:rPr>
            </w:pPr>
            <w:r w:rsidRPr="00A719C6">
              <w:rPr>
                <w:i/>
                <w:iCs/>
              </w:rPr>
              <w:t>1</w:t>
            </w:r>
          </w:p>
        </w:tc>
        <w:tc>
          <w:tcPr>
            <w:tcW w:w="2693" w:type="dxa"/>
          </w:tcPr>
          <w:p w14:paraId="45DB1E00" w14:textId="77777777" w:rsidR="007413AF" w:rsidRPr="00A719C6" w:rsidRDefault="007413AF" w:rsidP="00260035">
            <w:pPr>
              <w:pStyle w:val="naisc"/>
              <w:tabs>
                <w:tab w:val="left" w:pos="142"/>
              </w:tabs>
              <w:spacing w:before="0" w:after="0"/>
              <w:ind w:firstLine="176"/>
              <w:rPr>
                <w:i/>
                <w:iCs/>
              </w:rPr>
            </w:pPr>
            <w:r w:rsidRPr="00A719C6">
              <w:rPr>
                <w:i/>
                <w:iCs/>
              </w:rPr>
              <w:t>2</w:t>
            </w:r>
          </w:p>
        </w:tc>
        <w:tc>
          <w:tcPr>
            <w:tcW w:w="3830" w:type="dxa"/>
          </w:tcPr>
          <w:p w14:paraId="021ACE3B" w14:textId="77777777" w:rsidR="007413AF" w:rsidRPr="00A719C6" w:rsidRDefault="007413AF" w:rsidP="00260035">
            <w:pPr>
              <w:pStyle w:val="naisc"/>
              <w:tabs>
                <w:tab w:val="left" w:pos="142"/>
              </w:tabs>
              <w:spacing w:before="0" w:after="0"/>
              <w:ind w:firstLine="176"/>
              <w:rPr>
                <w:i/>
                <w:iCs/>
              </w:rPr>
            </w:pPr>
            <w:r w:rsidRPr="00A719C6">
              <w:rPr>
                <w:i/>
                <w:iCs/>
              </w:rPr>
              <w:t>3</w:t>
            </w:r>
          </w:p>
        </w:tc>
        <w:tc>
          <w:tcPr>
            <w:tcW w:w="1984" w:type="dxa"/>
          </w:tcPr>
          <w:p w14:paraId="596653F2" w14:textId="77777777" w:rsidR="007413AF" w:rsidRPr="00A719C6" w:rsidRDefault="007413AF" w:rsidP="00260035">
            <w:pPr>
              <w:pStyle w:val="naisc"/>
              <w:tabs>
                <w:tab w:val="left" w:pos="142"/>
              </w:tabs>
              <w:spacing w:before="0" w:after="0"/>
              <w:rPr>
                <w:i/>
                <w:iCs/>
              </w:rPr>
            </w:pPr>
            <w:r w:rsidRPr="00A719C6">
              <w:rPr>
                <w:i/>
                <w:iCs/>
              </w:rPr>
              <w:t>4</w:t>
            </w:r>
          </w:p>
        </w:tc>
        <w:tc>
          <w:tcPr>
            <w:tcW w:w="4820" w:type="dxa"/>
          </w:tcPr>
          <w:p w14:paraId="45AF52B1" w14:textId="77777777" w:rsidR="007413AF" w:rsidRPr="00A719C6" w:rsidRDefault="007413AF" w:rsidP="00260035">
            <w:pPr>
              <w:tabs>
                <w:tab w:val="left" w:pos="142"/>
              </w:tabs>
              <w:ind w:firstLine="174"/>
              <w:jc w:val="center"/>
              <w:rPr>
                <w:i/>
                <w:iCs/>
              </w:rPr>
            </w:pPr>
            <w:r w:rsidRPr="00A719C6">
              <w:rPr>
                <w:i/>
                <w:iCs/>
              </w:rPr>
              <w:t>5</w:t>
            </w:r>
          </w:p>
        </w:tc>
      </w:tr>
      <w:tr w:rsidR="00346B23" w:rsidRPr="00A719C6" w14:paraId="4E17E93A" w14:textId="77777777" w:rsidTr="00C67EE4">
        <w:tc>
          <w:tcPr>
            <w:tcW w:w="707" w:type="dxa"/>
          </w:tcPr>
          <w:p w14:paraId="785ED45C" w14:textId="77777777" w:rsidR="00346B23" w:rsidRPr="00A719C6" w:rsidRDefault="00346B23" w:rsidP="00C67EE4">
            <w:pPr>
              <w:pStyle w:val="naisc"/>
              <w:numPr>
                <w:ilvl w:val="0"/>
                <w:numId w:val="1"/>
              </w:numPr>
              <w:tabs>
                <w:tab w:val="left" w:pos="142"/>
              </w:tabs>
              <w:spacing w:before="0" w:after="0"/>
              <w:ind w:left="142" w:firstLine="0"/>
              <w:jc w:val="left"/>
            </w:pPr>
          </w:p>
        </w:tc>
        <w:tc>
          <w:tcPr>
            <w:tcW w:w="2693" w:type="dxa"/>
          </w:tcPr>
          <w:p w14:paraId="62E876BE" w14:textId="77777777" w:rsidR="00596A08" w:rsidRPr="002D7F1A" w:rsidRDefault="00596A08" w:rsidP="002D7F1A">
            <w:pPr>
              <w:ind w:firstLine="317"/>
              <w:contextualSpacing/>
              <w:jc w:val="both"/>
            </w:pPr>
            <w:r w:rsidRPr="002D7F1A">
              <w:t xml:space="preserve">10. Lai nodrošinātu izņemto mantu glabāšanas atbilstību Administratīvās atbildības likumā ietvertajiem mērķiem, kā arī novērstu nepamatotu mantas īpašnieka vai likumīgā valdītāja (turpmāk – persona) tiesību ierobežošanu un nelietderīgu valsts budžeta līdzekļu izlietojumu mantas glabāšanai, lemjot par </w:t>
            </w:r>
            <w:r w:rsidRPr="002D7F1A">
              <w:lastRenderedPageBreak/>
              <w:t>nepieciešamību nodot glabāšanā, realizēt vai iznīcināt administratīvā pārkāpuma lietā izņemtās mantas un dokumentus, atbildīgās iestādes amatpersona, kura veic administratīvā pārkāpuma procesu, (turpmāk – amatpersona) izvērtē mantas nozīmīgumu administratīvā pārkāpuma lietā, kā arī mantas izņemšanas un glabāšanas lietderību, nepieciešamību un samērību, apsverot iegūto informāciju un ņemot vērā vismaz šādus kritērijus:</w:t>
            </w:r>
          </w:p>
          <w:p w14:paraId="0B203284" w14:textId="77777777" w:rsidR="00596A08" w:rsidRPr="002D7F1A" w:rsidRDefault="00596A08" w:rsidP="002D7F1A">
            <w:pPr>
              <w:ind w:firstLine="317"/>
              <w:contextualSpacing/>
              <w:jc w:val="both"/>
            </w:pPr>
            <w:r w:rsidRPr="002D7F1A">
              <w:t>10.1. iespējamais pamatojums izņemtās mantas konfiskācijai;</w:t>
            </w:r>
          </w:p>
          <w:p w14:paraId="6D3E9D1C" w14:textId="77777777" w:rsidR="00596A08" w:rsidRPr="002D7F1A" w:rsidRDefault="00596A08" w:rsidP="002D7F1A">
            <w:pPr>
              <w:ind w:firstLine="317"/>
              <w:contextualSpacing/>
              <w:jc w:val="both"/>
            </w:pPr>
            <w:r w:rsidRPr="002D7F1A">
              <w:t>10.2. pamatojums izņemtās mantas atzīšanai par lietisko pierādījumu un iespējas attiecīgās ziņas par faktiem pierādīt, izmantojot citus pierādīšanas līdzekļus;</w:t>
            </w:r>
          </w:p>
          <w:p w14:paraId="161E2CFE" w14:textId="77777777" w:rsidR="00596A08" w:rsidRPr="002D7F1A" w:rsidRDefault="00596A08" w:rsidP="002D7F1A">
            <w:pPr>
              <w:ind w:firstLine="317"/>
              <w:contextualSpacing/>
              <w:jc w:val="both"/>
            </w:pPr>
            <w:r w:rsidRPr="002D7F1A">
              <w:t xml:space="preserve">10.3. pamatojums </w:t>
            </w:r>
            <w:r w:rsidRPr="002D7F1A">
              <w:lastRenderedPageBreak/>
              <w:t xml:space="preserve">mantas izņemšanai uz laiku, lai nodrošinātu sabiedrisko kārtību un drošību un novērstu administratīvā pārkāpuma radītās sekas un ar to saistīto sabiedriskās kārtības apdraudējumu; </w:t>
            </w:r>
          </w:p>
          <w:p w14:paraId="1EB0BC74" w14:textId="77777777" w:rsidR="00596A08" w:rsidRPr="002D7F1A" w:rsidRDefault="00596A08" w:rsidP="002D7F1A">
            <w:pPr>
              <w:ind w:firstLine="317"/>
              <w:contextualSpacing/>
              <w:jc w:val="both"/>
            </w:pPr>
            <w:r w:rsidRPr="002D7F1A">
              <w:t>10.4. administratīvā pārkāpuma un ar to radītā kaitējuma nozīmīgums;</w:t>
            </w:r>
          </w:p>
          <w:p w14:paraId="7D3A801C" w14:textId="77777777" w:rsidR="00596A08" w:rsidRPr="002D7F1A" w:rsidRDefault="00596A08" w:rsidP="002D7F1A">
            <w:pPr>
              <w:ind w:firstLine="317"/>
              <w:contextualSpacing/>
              <w:jc w:val="both"/>
            </w:pPr>
            <w:r w:rsidRPr="002D7F1A">
              <w:t>10.5. izņemtās mantas glabāšanas, pārvietošanas, realizācijas vai iznīcināšanas iespējas un lietderība;</w:t>
            </w:r>
          </w:p>
          <w:p w14:paraId="4851A76F" w14:textId="77777777" w:rsidR="00596A08" w:rsidRPr="002D7F1A" w:rsidRDefault="00596A08" w:rsidP="002D7F1A">
            <w:pPr>
              <w:ind w:firstLine="317"/>
              <w:contextualSpacing/>
              <w:jc w:val="both"/>
            </w:pPr>
            <w:r w:rsidRPr="002D7F1A">
              <w:t>10.6. izņemtās mantas glabāšanas ietekme uz izņemtās mantas kvalitāti;</w:t>
            </w:r>
          </w:p>
          <w:p w14:paraId="6905D3EA" w14:textId="7F913180" w:rsidR="00346B23" w:rsidRPr="002D7F1A" w:rsidRDefault="00596A08" w:rsidP="002D7F1A">
            <w:pPr>
              <w:ind w:firstLine="317"/>
              <w:contextualSpacing/>
              <w:jc w:val="both"/>
            </w:pPr>
            <w:r w:rsidRPr="002D7F1A">
              <w:t>10.7. paredzamie izņemtās mantas pārvietošanas, uzglabāšanas, realizācijas un iznīcināšanas izdevumi, kā arī paredzamās iespējas segt šos izdevumus no ieņēmumiem no mantas realizācijas, ja manta tiktu konfiscēta.</w:t>
            </w:r>
          </w:p>
        </w:tc>
        <w:tc>
          <w:tcPr>
            <w:tcW w:w="3830" w:type="dxa"/>
          </w:tcPr>
          <w:p w14:paraId="1F9FBA03"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w:t>
            </w:r>
          </w:p>
          <w:p w14:paraId="6092CCCE" w14:textId="352C7ED1" w:rsidR="00AB66B6" w:rsidRPr="00A3204E" w:rsidRDefault="00AB66B6"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color w:val="000000"/>
              </w:rPr>
            </w:pPr>
            <w:r w:rsidRPr="00A3204E">
              <w:rPr>
                <w:color w:val="000000"/>
              </w:rPr>
              <w:t>Izņemšana ir saistīta ar lietā nozīmīgas mantas vai dokumenta atņemšanu uz laiku.  Izņemšanas institūts nav saistīts ar nepieciešamību pārtraukt pārkāpumu, novērstu tā sekas vai, lai kalpotu kā sodošs (represīvs) līdzeklis, kad pārkāpums radījis nozīmīgu kaitējumu. Līdzīgi, kā kriminālprocesā, mantas izņemšanai arī administratīvā pārkāpuma procesā nav piespiedu rakstura. Tādējādi projektā nav maināma izņemtās mantas institūta tiesiskā daba.</w:t>
            </w:r>
          </w:p>
          <w:p w14:paraId="7AC7DEF0" w14:textId="77777777" w:rsidR="00AB66B6" w:rsidRPr="00A3204E" w:rsidRDefault="00AB66B6"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color w:val="000000"/>
              </w:rPr>
            </w:pPr>
          </w:p>
          <w:p w14:paraId="0527038E" w14:textId="763255D1" w:rsidR="00AB66B6" w:rsidRDefault="00AB66B6"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color w:val="000000"/>
              </w:rPr>
            </w:pPr>
            <w:r w:rsidRPr="00A3204E">
              <w:rPr>
                <w:color w:val="000000"/>
              </w:rPr>
              <w:t>Vēršam uzmanību, ka saglabājot minēto regulējumu esošajā redakcijā, tas ne tikai maina izņemtās mantas institūtu, bet vienlaikus var novest pie gadījumiem, kad manta tiek izņemta, kad tai nav nozīmes lietā, kas attiecīgi paaugstina izdevumus gan valstij, gan personai. Ievērojot minēto,  aicinām svītrot projekta 10.1., 10.3. un 10.4. apakšpunktu.</w:t>
            </w:r>
            <w:r>
              <w:rPr>
                <w:color w:val="000000"/>
              </w:rPr>
              <w:t xml:space="preserve">  </w:t>
            </w:r>
          </w:p>
          <w:p w14:paraId="6A1FFAA5"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pPr>
          </w:p>
        </w:tc>
        <w:tc>
          <w:tcPr>
            <w:tcW w:w="1984" w:type="dxa"/>
          </w:tcPr>
          <w:p w14:paraId="67DF8985" w14:textId="77777777" w:rsidR="00346B23" w:rsidRPr="00A719C6" w:rsidRDefault="00346B23" w:rsidP="00C67EE4">
            <w:pPr>
              <w:pStyle w:val="naisc"/>
              <w:tabs>
                <w:tab w:val="left" w:pos="142"/>
              </w:tabs>
              <w:spacing w:before="0" w:after="0"/>
              <w:rPr>
                <w:b/>
                <w:bCs/>
              </w:rPr>
            </w:pPr>
            <w:r w:rsidRPr="00A719C6">
              <w:rPr>
                <w:b/>
                <w:bCs/>
              </w:rPr>
              <w:lastRenderedPageBreak/>
              <w:t>Ņemts vērā.</w:t>
            </w:r>
          </w:p>
          <w:p w14:paraId="05AB9DA5" w14:textId="77777777" w:rsidR="00346B23" w:rsidRPr="00A719C6" w:rsidRDefault="00346B23" w:rsidP="00C67EE4">
            <w:pPr>
              <w:pStyle w:val="naisc"/>
              <w:tabs>
                <w:tab w:val="left" w:pos="142"/>
              </w:tabs>
              <w:spacing w:before="0" w:after="0"/>
              <w:jc w:val="left"/>
              <w:rPr>
                <w:b/>
                <w:bCs/>
              </w:rPr>
            </w:pPr>
          </w:p>
        </w:tc>
        <w:tc>
          <w:tcPr>
            <w:tcW w:w="4820" w:type="dxa"/>
          </w:tcPr>
          <w:p w14:paraId="04B9B3AC" w14:textId="77777777" w:rsidR="00FC07D0" w:rsidRPr="00D33CC6" w:rsidRDefault="00FC07D0" w:rsidP="00FC07D0">
            <w:pPr>
              <w:ind w:firstLine="709"/>
              <w:contextualSpacing/>
              <w:jc w:val="both"/>
            </w:pPr>
            <w:r w:rsidRPr="00D33CC6">
              <w:t xml:space="preserve">10. Lai nodrošinātu izņemto mantu glabāšanas atbilstību Administratīvās atbildības likumā ietvertajiem mērķiem, kā arī novērstu nepamatotu mantas īpašnieka vai likumīgā valdītāja (turpmāk – persona) tiesību ierobežošanu un nelietderīgu valsts budžeta līdzekļu izlietojumu mantas glabāšanai, lemjot par nepieciešamību nodot glabāšanā, realizēt vai iznīcināt administratīvā pārkāpuma lietā izņemtās mantas un dokumentus, atbildīgās iestādes amatpersona, kura veic administratīvā pārkāpuma procesu, (turpmāk – amatpersona) izvērtē mantas nozīmīgumu administratīvā pārkāpuma lietā, kā arī mantas izņemšanas un glabāšanas lietderību, nepieciešamību un </w:t>
            </w:r>
            <w:r w:rsidRPr="00D33CC6">
              <w:lastRenderedPageBreak/>
              <w:t>samērību, apsverot iegūto informāciju un ņemot vērā vismaz šādus kritērijus:</w:t>
            </w:r>
          </w:p>
          <w:p w14:paraId="632E8FB8" w14:textId="77777777" w:rsidR="00FC07D0" w:rsidRPr="00D33CC6" w:rsidRDefault="00FC07D0" w:rsidP="00FC07D0">
            <w:pPr>
              <w:ind w:firstLine="709"/>
              <w:contextualSpacing/>
              <w:jc w:val="both"/>
            </w:pPr>
            <w:r w:rsidRPr="00D33CC6">
              <w:t>10.</w:t>
            </w:r>
            <w:r>
              <w:t>1</w:t>
            </w:r>
            <w:r w:rsidRPr="00D33CC6">
              <w:t>. pamatojums izņemtās mantas atzīšanai par lietisko pierādījumu un iespējas attiecīgās ziņas par faktiem pierādīt, izmantojot citus pierādīšanas līdzekļus;</w:t>
            </w:r>
          </w:p>
          <w:p w14:paraId="0C4C7591" w14:textId="77777777" w:rsidR="00FC07D0" w:rsidRPr="00D33CC6" w:rsidRDefault="00FC07D0" w:rsidP="00FC07D0">
            <w:pPr>
              <w:ind w:firstLine="709"/>
              <w:contextualSpacing/>
              <w:jc w:val="both"/>
            </w:pPr>
            <w:r w:rsidRPr="00D33CC6">
              <w:t>10.</w:t>
            </w:r>
            <w:r>
              <w:t>2</w:t>
            </w:r>
            <w:r w:rsidRPr="00D33CC6">
              <w:t>. izņemtās mantas glabāšanas, pārvietošanas, realizācijas vai iznīcināšanas iespējas un lietderība;</w:t>
            </w:r>
          </w:p>
          <w:p w14:paraId="6C46E87B" w14:textId="77777777" w:rsidR="00FC07D0" w:rsidRPr="00D33CC6" w:rsidRDefault="00FC07D0" w:rsidP="00FC07D0">
            <w:pPr>
              <w:ind w:firstLine="709"/>
              <w:contextualSpacing/>
              <w:jc w:val="both"/>
            </w:pPr>
            <w:r w:rsidRPr="00D33CC6">
              <w:t>10.</w:t>
            </w:r>
            <w:r>
              <w:t>3</w:t>
            </w:r>
            <w:r w:rsidRPr="00D33CC6">
              <w:t>. izņemtās mantas glabāšanas ietekme uz izņemtās mantas kvalitāti;</w:t>
            </w:r>
          </w:p>
          <w:p w14:paraId="7751A859" w14:textId="77777777" w:rsidR="00FC07D0" w:rsidRPr="00D33CC6" w:rsidRDefault="00FC07D0" w:rsidP="00FC07D0">
            <w:pPr>
              <w:ind w:firstLine="709"/>
              <w:contextualSpacing/>
              <w:jc w:val="both"/>
            </w:pPr>
            <w:r w:rsidRPr="00D33CC6">
              <w:t>10.</w:t>
            </w:r>
            <w:r>
              <w:t>4</w:t>
            </w:r>
            <w:r w:rsidRPr="00D33CC6">
              <w:t>. paredzamie izņemtās mantas pārvietošanas, uzglabāšanas, realizācijas un iznīcināšanas izdevumi, kā arī paredzamās iespējas segt šos izdevumus no ieņēmumiem no mantas realizācijas, ja manta tiktu konfiscēta.</w:t>
            </w:r>
          </w:p>
          <w:p w14:paraId="23CB6CC1" w14:textId="77777777" w:rsidR="00346B23" w:rsidRPr="00A719C6" w:rsidRDefault="00346B23" w:rsidP="00C67EE4">
            <w:pPr>
              <w:ind w:firstLine="709"/>
              <w:contextualSpacing/>
              <w:jc w:val="both"/>
            </w:pPr>
          </w:p>
        </w:tc>
      </w:tr>
      <w:tr w:rsidR="00A719C6" w:rsidRPr="00A719C6" w14:paraId="3D3903A3" w14:textId="77777777" w:rsidTr="003E3C4F">
        <w:tc>
          <w:tcPr>
            <w:tcW w:w="707" w:type="dxa"/>
          </w:tcPr>
          <w:p w14:paraId="4F5E2A7A" w14:textId="77777777" w:rsidR="00796F82" w:rsidRPr="00A719C6" w:rsidRDefault="00796F82" w:rsidP="003E3C4F">
            <w:pPr>
              <w:pStyle w:val="naisc"/>
              <w:numPr>
                <w:ilvl w:val="0"/>
                <w:numId w:val="1"/>
              </w:numPr>
              <w:tabs>
                <w:tab w:val="left" w:pos="142"/>
              </w:tabs>
              <w:spacing w:before="0" w:after="0"/>
              <w:ind w:left="142" w:firstLine="0"/>
              <w:jc w:val="left"/>
            </w:pPr>
          </w:p>
        </w:tc>
        <w:tc>
          <w:tcPr>
            <w:tcW w:w="2693" w:type="dxa"/>
          </w:tcPr>
          <w:p w14:paraId="5CF8B65F" w14:textId="77777777" w:rsidR="00F754ED" w:rsidRPr="002D7F1A" w:rsidRDefault="00F754ED" w:rsidP="002D7F1A">
            <w:pPr>
              <w:ind w:firstLine="317"/>
              <w:contextualSpacing/>
              <w:jc w:val="both"/>
            </w:pPr>
            <w:r w:rsidRPr="002D7F1A">
              <w:t xml:space="preserve">28. Ja izņemtā manta ir realizēta šo noteikumu 25. vai 26.punktā minētajā gadījumā, īpašniekam atmaksā mantas realizācijā iegūtos līdzekļus, iepriekš no tiem atskaitot līdzekļus, kas nepieciešami mantas realizācijas izdevumu segšanai. </w:t>
            </w:r>
          </w:p>
          <w:p w14:paraId="6A905F49" w14:textId="77777777" w:rsidR="00796F82" w:rsidRPr="002D7F1A" w:rsidRDefault="00796F82" w:rsidP="002D7F1A">
            <w:pPr>
              <w:ind w:firstLine="317"/>
              <w:contextualSpacing/>
              <w:jc w:val="both"/>
            </w:pPr>
          </w:p>
        </w:tc>
        <w:tc>
          <w:tcPr>
            <w:tcW w:w="3830" w:type="dxa"/>
          </w:tcPr>
          <w:p w14:paraId="3FA472F9" w14:textId="64FCD4C6" w:rsidR="00796F82" w:rsidRPr="00A719C6" w:rsidRDefault="00796F82"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w:t>
            </w:r>
          </w:p>
          <w:p w14:paraId="58DAD84C" w14:textId="6C832491" w:rsidR="00DB439D" w:rsidRPr="00A3204E" w:rsidRDefault="00DB439D"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color w:val="000000"/>
              </w:rPr>
            </w:pPr>
            <w:r w:rsidRPr="00A3204E">
              <w:rPr>
                <w:color w:val="000000"/>
              </w:rPr>
              <w:t>Administratīvās atbildības likuma 260. panta otrā daļa noteic, ka, ja personai piemērots sods un manta realizēta, tad no iegūtajiem līdzekļiem atskaita summu, kas nepieciešama naudas soda samaksai un izdevumu segšanai. Tādējādi Administratīvās atbildības likums noteic minēto summu atskaitīšanas kārtību _no sodītās personas_. Tomēr projekta 28. punkts paver iespēju minētās summas atskaitīt arī no izņemtās mantas, kas realizēta un pieder citām personām, piemēram, aizskartajam mantas īpašniekam.</w:t>
            </w:r>
          </w:p>
          <w:p w14:paraId="5EA8C9FA" w14:textId="77777777" w:rsidR="00DB439D" w:rsidRPr="00A3204E" w:rsidRDefault="00DB439D"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color w:val="000000"/>
              </w:rPr>
            </w:pPr>
          </w:p>
          <w:p w14:paraId="22DB932D" w14:textId="05A09927" w:rsidR="007326DE" w:rsidRPr="00A719C6" w:rsidRDefault="00DB439D" w:rsidP="008C7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3204E">
              <w:rPr>
                <w:color w:val="000000"/>
              </w:rPr>
              <w:t>Attiecīgi lūdzam precizēt minēto projekta punktu, norādot, ka realizācijas izdevumus sedz no sodītās personas.</w:t>
            </w:r>
          </w:p>
        </w:tc>
        <w:tc>
          <w:tcPr>
            <w:tcW w:w="1984" w:type="dxa"/>
          </w:tcPr>
          <w:p w14:paraId="5CA9DB38" w14:textId="7CB501CC" w:rsidR="00796F82" w:rsidRPr="00A719C6" w:rsidRDefault="005349AC" w:rsidP="00EF6CDB">
            <w:pPr>
              <w:pStyle w:val="naisc"/>
              <w:tabs>
                <w:tab w:val="left" w:pos="142"/>
              </w:tabs>
              <w:spacing w:before="0" w:after="0"/>
              <w:rPr>
                <w:b/>
                <w:bCs/>
              </w:rPr>
            </w:pPr>
            <w:r w:rsidRPr="00A719C6">
              <w:rPr>
                <w:b/>
                <w:bCs/>
              </w:rPr>
              <w:t>Ņ</w:t>
            </w:r>
            <w:r w:rsidR="00FE7C7E" w:rsidRPr="00A719C6">
              <w:rPr>
                <w:b/>
                <w:bCs/>
              </w:rPr>
              <w:t>emts vērā</w:t>
            </w:r>
            <w:r w:rsidR="00796F82" w:rsidRPr="00A719C6">
              <w:rPr>
                <w:b/>
                <w:bCs/>
              </w:rPr>
              <w:t>.</w:t>
            </w:r>
          </w:p>
          <w:p w14:paraId="297DCE0B" w14:textId="70E93509" w:rsidR="00FE7C7E" w:rsidRPr="00A719C6" w:rsidRDefault="00FE7C7E" w:rsidP="00260035">
            <w:pPr>
              <w:pStyle w:val="naisc"/>
              <w:tabs>
                <w:tab w:val="left" w:pos="142"/>
              </w:tabs>
              <w:spacing w:before="0" w:after="0"/>
              <w:jc w:val="left"/>
              <w:rPr>
                <w:b/>
                <w:bCs/>
              </w:rPr>
            </w:pPr>
          </w:p>
        </w:tc>
        <w:tc>
          <w:tcPr>
            <w:tcW w:w="4820" w:type="dxa"/>
          </w:tcPr>
          <w:p w14:paraId="1E54C224" w14:textId="77777777" w:rsidR="001B4D9A" w:rsidRPr="00D33CC6" w:rsidRDefault="001B4D9A" w:rsidP="001B4D9A">
            <w:pPr>
              <w:ind w:firstLine="709"/>
              <w:contextualSpacing/>
              <w:jc w:val="both"/>
            </w:pPr>
            <w:r w:rsidRPr="00D33CC6">
              <w:t xml:space="preserve">28. Ja izņemtā manta ir realizēta šo noteikumu 25. vai 26.punktā minētajā gadījumā, īpašniekam atmaksā mantas realizācijā iegūtos līdzekļus. </w:t>
            </w:r>
          </w:p>
          <w:p w14:paraId="45411303" w14:textId="77777777" w:rsidR="00796F82" w:rsidRDefault="00796F82" w:rsidP="00346B23">
            <w:pPr>
              <w:ind w:firstLine="709"/>
              <w:contextualSpacing/>
              <w:jc w:val="both"/>
            </w:pPr>
          </w:p>
          <w:p w14:paraId="5A565649" w14:textId="7D443479" w:rsidR="001B4D9A" w:rsidRPr="00A719C6" w:rsidRDefault="00BF646F" w:rsidP="00346B23">
            <w:pPr>
              <w:ind w:firstLine="709"/>
              <w:contextualSpacing/>
              <w:jc w:val="both"/>
            </w:pPr>
            <w:r>
              <w:t>Noteikums, ka p</w:t>
            </w:r>
            <w:r w:rsidR="001F40F7" w:rsidRPr="001F40F7">
              <w:t>rocesuālo izdevumu atlīdzināšanas pienākums gulstas uz sodīto personu</w:t>
            </w:r>
            <w:r>
              <w:t>, ir paredz</w:t>
            </w:r>
            <w:r w:rsidR="00BC6F11">
              <w:t>ēts Administratīvās atbildības likuma 76.panta pirmajā daļā</w:t>
            </w:r>
            <w:r w:rsidR="001F40F7" w:rsidRPr="001F40F7">
              <w:t>.</w:t>
            </w:r>
          </w:p>
        </w:tc>
      </w:tr>
      <w:tr w:rsidR="00346B23" w:rsidRPr="00A719C6" w14:paraId="6739CF16" w14:textId="77777777" w:rsidTr="003E3C4F">
        <w:tc>
          <w:tcPr>
            <w:tcW w:w="707" w:type="dxa"/>
          </w:tcPr>
          <w:p w14:paraId="63C29152" w14:textId="77777777" w:rsidR="00346B23" w:rsidRPr="00A719C6" w:rsidRDefault="00346B23" w:rsidP="00346B23">
            <w:pPr>
              <w:pStyle w:val="naisc"/>
              <w:numPr>
                <w:ilvl w:val="0"/>
                <w:numId w:val="1"/>
              </w:numPr>
              <w:tabs>
                <w:tab w:val="left" w:pos="142"/>
              </w:tabs>
              <w:spacing w:before="0" w:after="0"/>
              <w:ind w:left="142" w:firstLine="0"/>
              <w:jc w:val="left"/>
            </w:pPr>
          </w:p>
        </w:tc>
        <w:tc>
          <w:tcPr>
            <w:tcW w:w="2693" w:type="dxa"/>
          </w:tcPr>
          <w:p w14:paraId="4BBE5A99" w14:textId="77777777" w:rsidR="00604E1E" w:rsidRPr="002D7F1A" w:rsidRDefault="00604E1E" w:rsidP="002D7F1A">
            <w:pPr>
              <w:ind w:firstLine="317"/>
              <w:contextualSpacing/>
              <w:jc w:val="both"/>
            </w:pPr>
            <w:r w:rsidRPr="002D7F1A">
              <w:t xml:space="preserve">31. Ja tiek konstatēts, ka izņemtās mantas ātri bojājas vai arī to ilgstoša glabāšana rada zaudējumus valstij, amatpersona nekavējoties pieņem lēmumu par mantas realizāciju vai iznīcināšanu. Izņemtā manta ir iznīcināma, ja tai nav vērtības vai tiek konstatēti citi apstākļi, </w:t>
            </w:r>
            <w:r w:rsidRPr="002D7F1A">
              <w:lastRenderedPageBreak/>
              <w:t>kuru dēļ manta nav realizējama, piemēram:</w:t>
            </w:r>
          </w:p>
          <w:p w14:paraId="60A67838" w14:textId="77777777" w:rsidR="00604E1E" w:rsidRPr="002D7F1A" w:rsidRDefault="00604E1E" w:rsidP="002D7F1A">
            <w:pPr>
              <w:ind w:firstLine="317"/>
              <w:contextualSpacing/>
              <w:jc w:val="both"/>
            </w:pPr>
            <w:r w:rsidRPr="002D7F1A">
              <w:t xml:space="preserve">31.1. izņemtā manta nav derīga lietošanai vai tās izplatīšana ir aizliegta saskaņā ar atbilstošo jomu regulējošiem normatīvajiem aktiem; </w:t>
            </w:r>
          </w:p>
          <w:p w14:paraId="6D5EF7F9" w14:textId="77777777" w:rsidR="00604E1E" w:rsidRPr="002D7F1A" w:rsidRDefault="00604E1E" w:rsidP="002D7F1A">
            <w:pPr>
              <w:ind w:firstLine="317"/>
              <w:contextualSpacing/>
              <w:jc w:val="both"/>
            </w:pPr>
            <w:r w:rsidRPr="002D7F1A">
              <w:t>31.2. paredzamie izņemtās mantas realizācijas izdevumi pārsniedz iespējamos realizācijas ieņēmumus (izņemot gadījumus, ja mantu nodod bez maksas vai realizē, nododot pārstrādei);</w:t>
            </w:r>
          </w:p>
          <w:p w14:paraId="6F5C006B" w14:textId="77777777" w:rsidR="00604E1E" w:rsidRPr="002D7F1A" w:rsidRDefault="00604E1E" w:rsidP="002D7F1A">
            <w:pPr>
              <w:ind w:firstLine="317"/>
              <w:contextualSpacing/>
              <w:jc w:val="both"/>
            </w:pPr>
            <w:r w:rsidRPr="002D7F1A">
              <w:t>31.3. izņemtā manta rada fitosanitāro risku vai var radīt kaitējumu videi, cilvēku vai dzīvnieku veselībai.</w:t>
            </w:r>
          </w:p>
          <w:p w14:paraId="3A4DD786" w14:textId="77777777" w:rsidR="00346B23" w:rsidRPr="002D7F1A" w:rsidRDefault="00346B23" w:rsidP="002D7F1A">
            <w:pPr>
              <w:ind w:firstLine="317"/>
              <w:contextualSpacing/>
              <w:jc w:val="both"/>
            </w:pPr>
          </w:p>
        </w:tc>
        <w:tc>
          <w:tcPr>
            <w:tcW w:w="3830" w:type="dxa"/>
          </w:tcPr>
          <w:p w14:paraId="21AFBBB1"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w:t>
            </w:r>
          </w:p>
          <w:p w14:paraId="0B9AEBB0" w14:textId="45015999" w:rsidR="00BF2927" w:rsidRPr="00A3204E" w:rsidRDefault="00BF2927"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color w:val="000000"/>
              </w:rPr>
            </w:pPr>
            <w:r w:rsidRPr="00A3204E">
              <w:rPr>
                <w:color w:val="000000"/>
              </w:rPr>
              <w:t xml:space="preserve">Lūdzam ievērot likumdevēja doto pilnvarojumu Ministru kabinetam un projektā neregulēt jautājumus, kuri jau ir regulēti Administratīvās atbildības likumā. Minētais ir pamatojams ar to, ka Ministru kabinets ārējo normatīvo aktu var izdot, ja likumdevējs likumā noteicis ne vien speciālu pilnvarojumu šāda akta izdošanai, bet arī noregulējamos jautājumus. Nosacījums, ka likumā </w:t>
            </w:r>
            <w:r w:rsidRPr="00A3204E">
              <w:rPr>
                <w:color w:val="000000"/>
              </w:rPr>
              <w:lastRenderedPageBreak/>
              <w:t>jābūt gan tieši ietvertam deleģējumam izdot noteikumus, gan norādītiem šo noteikumu galvenajiem virzieniem, izriet no prasības, _lai likumdevējs pats izšķirtu svarīgākos sabiedrības dzīves jautājumus (_sk., piemēram, Satversmes tiesas 2005. gada 24. novembra sprieduma lietā Nr. 2005-03-0306 10. punktu).</w:t>
            </w:r>
          </w:p>
          <w:p w14:paraId="51506CB8" w14:textId="77777777" w:rsidR="00BF2927" w:rsidRPr="00A3204E" w:rsidRDefault="00BF2927"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color w:val="000000"/>
              </w:rPr>
            </w:pPr>
          </w:p>
          <w:p w14:paraId="6DC027F3" w14:textId="5F13CB75" w:rsidR="00346B23" w:rsidRPr="00A719C6" w:rsidRDefault="00BF2927"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3204E">
              <w:rPr>
                <w:color w:val="000000"/>
              </w:rPr>
              <w:t>Ievērojot minēto, kā arī to, ka _Administratīvās atbildības likums noteic gadījumus, kad manta ir iznīcināma vai realizējama_ (sk. Administratīvās atbildības likuma 111. panta piekto daļu un 155. panta pirmo daļu), lūdzam projektā nedublēt minēto regulējumu, kā arī nejaukt realizācijas vai iznīcināšanas tiesiskos pamatus atšķirīgos faktiskajos apstākļos, proti, apstākļos, kad manta ātri bojājas vai mantas ilgstoša glabāšana rada zaudējumus valstij (Administratīvās atbildības likuma 111. panta piektā daļa), ar apstākļiem, kad amatpersona jau pieņemot lēmumu administratīvā pārkāpuma lietā lemj par rīcību ar izņemto mantu (Administratīvās atbildības likuma 155. panta pirmā daļa). Attiecīgi lūdzam svītrot projekta 31. punktu.</w:t>
            </w:r>
          </w:p>
          <w:p w14:paraId="5751F643"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7FC98D62" w14:textId="77777777" w:rsidR="00346B23" w:rsidRPr="00A719C6" w:rsidRDefault="00346B23" w:rsidP="00346B23">
            <w:pPr>
              <w:pStyle w:val="naisc"/>
              <w:tabs>
                <w:tab w:val="left" w:pos="142"/>
              </w:tabs>
              <w:spacing w:before="0" w:after="0"/>
              <w:rPr>
                <w:b/>
                <w:bCs/>
              </w:rPr>
            </w:pPr>
            <w:r w:rsidRPr="00A719C6">
              <w:rPr>
                <w:b/>
                <w:bCs/>
              </w:rPr>
              <w:lastRenderedPageBreak/>
              <w:t>Ņemts vērā.</w:t>
            </w:r>
          </w:p>
          <w:p w14:paraId="7E614639" w14:textId="77777777" w:rsidR="00346B23" w:rsidRPr="00A719C6" w:rsidRDefault="00346B23" w:rsidP="00346B23">
            <w:pPr>
              <w:pStyle w:val="naisc"/>
              <w:tabs>
                <w:tab w:val="left" w:pos="142"/>
              </w:tabs>
              <w:spacing w:before="0" w:after="0"/>
              <w:rPr>
                <w:b/>
                <w:bCs/>
              </w:rPr>
            </w:pPr>
          </w:p>
        </w:tc>
        <w:tc>
          <w:tcPr>
            <w:tcW w:w="4820" w:type="dxa"/>
          </w:tcPr>
          <w:p w14:paraId="74CFE965" w14:textId="4C7F8694" w:rsidR="00346B23" w:rsidRPr="00A719C6" w:rsidRDefault="008D2F3B" w:rsidP="00346B23">
            <w:pPr>
              <w:ind w:firstLine="709"/>
              <w:contextualSpacing/>
              <w:jc w:val="both"/>
            </w:pPr>
            <w:r>
              <w:t xml:space="preserve">Projekta </w:t>
            </w:r>
            <w:r w:rsidR="00BC6F11">
              <w:t xml:space="preserve">31.punkts </w:t>
            </w:r>
            <w:r>
              <w:t>i</w:t>
            </w:r>
            <w:r w:rsidR="00BC6F11">
              <w:t>r svītrots.</w:t>
            </w:r>
          </w:p>
        </w:tc>
      </w:tr>
      <w:tr w:rsidR="00346B23" w:rsidRPr="00A719C6" w14:paraId="6792AD54" w14:textId="77777777" w:rsidTr="003E3C4F">
        <w:tc>
          <w:tcPr>
            <w:tcW w:w="707" w:type="dxa"/>
          </w:tcPr>
          <w:p w14:paraId="7C7B67A3" w14:textId="77777777" w:rsidR="00346B23" w:rsidRPr="00A719C6" w:rsidRDefault="00346B23" w:rsidP="00346B23">
            <w:pPr>
              <w:pStyle w:val="naisc"/>
              <w:numPr>
                <w:ilvl w:val="0"/>
                <w:numId w:val="1"/>
              </w:numPr>
              <w:tabs>
                <w:tab w:val="left" w:pos="142"/>
              </w:tabs>
              <w:spacing w:before="0" w:after="0"/>
              <w:ind w:left="142" w:firstLine="0"/>
              <w:jc w:val="left"/>
            </w:pPr>
          </w:p>
        </w:tc>
        <w:tc>
          <w:tcPr>
            <w:tcW w:w="2693" w:type="dxa"/>
          </w:tcPr>
          <w:p w14:paraId="07D69A86" w14:textId="77777777" w:rsidR="00D56D30" w:rsidRPr="002D7F1A" w:rsidRDefault="00D56D30" w:rsidP="002D7F1A">
            <w:pPr>
              <w:ind w:firstLine="317"/>
              <w:contextualSpacing/>
              <w:jc w:val="both"/>
            </w:pPr>
            <w:r w:rsidRPr="002D7F1A">
              <w:rPr>
                <w:color w:val="000000" w:themeColor="text1"/>
              </w:rPr>
              <w:t xml:space="preserve">58. </w:t>
            </w:r>
            <w:r w:rsidRPr="002D7F1A">
              <w:t xml:space="preserve">Ja izņemtās mantas realizācija nav sekmīga un iestāde, kura veic mantas realizāciju, atzīst turpmāku mantas realizāciju vai glabāšanu par saimnieciski neizdevīgu, mantu var realizēt, nododot to pārstrādei, vai iznīcināt, ja tai nav vērtības. </w:t>
            </w:r>
          </w:p>
          <w:p w14:paraId="2543D366" w14:textId="77777777" w:rsidR="00346B23" w:rsidRPr="002D7F1A" w:rsidRDefault="00346B23" w:rsidP="002D7F1A">
            <w:pPr>
              <w:ind w:firstLine="317"/>
              <w:contextualSpacing/>
              <w:jc w:val="both"/>
            </w:pPr>
          </w:p>
        </w:tc>
        <w:tc>
          <w:tcPr>
            <w:tcW w:w="3830" w:type="dxa"/>
          </w:tcPr>
          <w:p w14:paraId="34381227"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w:t>
            </w:r>
          </w:p>
          <w:p w14:paraId="3611BB35" w14:textId="7D202476" w:rsidR="00346B23" w:rsidRPr="008C7187" w:rsidRDefault="00491B07" w:rsidP="008C7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3204E">
              <w:rPr>
                <w:color w:val="000000"/>
              </w:rPr>
              <w:t>4. Ievērojot, ka saskaņā ar Administratīvās atbildības likumu visus lēmumus ar izņemto mantu pieņem amatpersona, kura veic administratīvā pārkāpuma procesu, lūdzam precizēt projekta 58. punktu, izsakot to šādā redakcijā: "58. Ja izņemtās mantas realizācija nav sekmīga un amatpersona, kura veic administratīvā pārkāpuma procesu, atzīst turpmāku mantas realizāciju vai glabāšanu par saimnieciski neizdevīgu, mantu var realizēt, nododot to pārstrādei, vai iznīcināt."</w:t>
            </w:r>
          </w:p>
        </w:tc>
        <w:tc>
          <w:tcPr>
            <w:tcW w:w="1984" w:type="dxa"/>
          </w:tcPr>
          <w:p w14:paraId="09EA5208" w14:textId="77777777" w:rsidR="00346B23" w:rsidRPr="00A719C6" w:rsidRDefault="00346B23" w:rsidP="00346B23">
            <w:pPr>
              <w:pStyle w:val="naisc"/>
              <w:tabs>
                <w:tab w:val="left" w:pos="142"/>
              </w:tabs>
              <w:spacing w:before="0" w:after="0"/>
              <w:rPr>
                <w:b/>
                <w:bCs/>
              </w:rPr>
            </w:pPr>
            <w:r w:rsidRPr="00A719C6">
              <w:rPr>
                <w:b/>
                <w:bCs/>
              </w:rPr>
              <w:t>Ņemts vērā.</w:t>
            </w:r>
          </w:p>
          <w:p w14:paraId="6147C136" w14:textId="77777777" w:rsidR="00346B23" w:rsidRPr="00A719C6" w:rsidRDefault="00346B23" w:rsidP="00346B23">
            <w:pPr>
              <w:pStyle w:val="naisc"/>
              <w:tabs>
                <w:tab w:val="left" w:pos="142"/>
              </w:tabs>
              <w:spacing w:before="0" w:after="0"/>
              <w:rPr>
                <w:b/>
                <w:bCs/>
              </w:rPr>
            </w:pPr>
          </w:p>
        </w:tc>
        <w:tc>
          <w:tcPr>
            <w:tcW w:w="4820" w:type="dxa"/>
          </w:tcPr>
          <w:p w14:paraId="18CC101B" w14:textId="2256863F" w:rsidR="00346B23" w:rsidRPr="00A719C6" w:rsidRDefault="00EC29D8" w:rsidP="00346B23">
            <w:pPr>
              <w:ind w:firstLine="709"/>
              <w:contextualSpacing/>
              <w:jc w:val="both"/>
            </w:pPr>
            <w:r w:rsidRPr="00997719">
              <w:rPr>
                <w:color w:val="000000" w:themeColor="text1"/>
              </w:rPr>
              <w:t xml:space="preserve">57. </w:t>
            </w:r>
            <w:r w:rsidRPr="00997719">
              <w:t xml:space="preserve">Ja izņemtās mantas realizācija nav sekmīga un </w:t>
            </w:r>
            <w:r w:rsidRPr="00997719">
              <w:rPr>
                <w:color w:val="000000"/>
              </w:rPr>
              <w:t>amatpersona, kura veic administratīvā pārkāpuma procesu</w:t>
            </w:r>
            <w:r w:rsidRPr="00997719">
              <w:t>, atzīst turpmāku mantas realizāciju vai glabāšanu par saimnieciski neizdevīgu, mantu var iznīcināt.</w:t>
            </w:r>
          </w:p>
        </w:tc>
      </w:tr>
      <w:tr w:rsidR="00346B23" w:rsidRPr="00A719C6" w14:paraId="4EBD86C8" w14:textId="77777777" w:rsidTr="003E3C4F">
        <w:tc>
          <w:tcPr>
            <w:tcW w:w="707" w:type="dxa"/>
          </w:tcPr>
          <w:p w14:paraId="0A9E7185" w14:textId="77777777" w:rsidR="00346B23" w:rsidRPr="00A719C6" w:rsidRDefault="00346B23" w:rsidP="00346B23">
            <w:pPr>
              <w:pStyle w:val="naisc"/>
              <w:numPr>
                <w:ilvl w:val="0"/>
                <w:numId w:val="1"/>
              </w:numPr>
              <w:tabs>
                <w:tab w:val="left" w:pos="142"/>
              </w:tabs>
              <w:spacing w:before="0" w:after="0"/>
              <w:ind w:left="142" w:firstLine="0"/>
              <w:jc w:val="left"/>
            </w:pPr>
          </w:p>
        </w:tc>
        <w:tc>
          <w:tcPr>
            <w:tcW w:w="2693" w:type="dxa"/>
          </w:tcPr>
          <w:p w14:paraId="684A28B7" w14:textId="77777777" w:rsidR="00770F18" w:rsidRPr="002D7F1A" w:rsidRDefault="00770F18" w:rsidP="002D7F1A">
            <w:pPr>
              <w:ind w:firstLine="317"/>
              <w:contextualSpacing/>
              <w:jc w:val="both"/>
            </w:pPr>
            <w:r w:rsidRPr="002D7F1A" w:rsidDel="00A8797B">
              <w:t>8</w:t>
            </w:r>
            <w:r w:rsidRPr="002D7F1A">
              <w:t>2</w:t>
            </w:r>
            <w:r w:rsidRPr="002D7F1A" w:rsidDel="00A8797B">
              <w:t xml:space="preserve">. </w:t>
            </w:r>
            <w:r w:rsidRPr="002D7F1A">
              <w:t>P</w:t>
            </w:r>
            <w:r w:rsidRPr="002D7F1A" w:rsidDel="00A8797B">
              <w:t xml:space="preserve">ēc lēmuma administratīvā pārkāpuma lietā spēkā stāšanās, </w:t>
            </w:r>
            <w:r w:rsidRPr="002D7F1A">
              <w:t>n</w:t>
            </w:r>
            <w:r w:rsidRPr="002D7F1A" w:rsidDel="00A8797B">
              <w:t xml:space="preserve">o ieņēmumiem, kas gūti realizējot administratīvā pārkāpuma procesā sodītajai personai piederošo izņemto mantu, </w:t>
            </w:r>
            <w:r w:rsidRPr="002D7F1A">
              <w:t>atskaita summu, kas nepieciešama ar</w:t>
            </w:r>
            <w:r w:rsidRPr="002D7F1A" w:rsidDel="00A8797B">
              <w:t xml:space="preserve"> izņemtās mantas nogādāšanu glabāšanai, glabāšanu un realizāciju saistīto izdevumu</w:t>
            </w:r>
            <w:r w:rsidRPr="002D7F1A">
              <w:t xml:space="preserve"> segšanai. </w:t>
            </w:r>
          </w:p>
          <w:p w14:paraId="0008D3B8" w14:textId="77777777" w:rsidR="00770F18" w:rsidRPr="002D7F1A" w:rsidRDefault="00770F18" w:rsidP="002D7F1A">
            <w:pPr>
              <w:ind w:firstLine="317"/>
              <w:contextualSpacing/>
              <w:jc w:val="both"/>
            </w:pPr>
          </w:p>
          <w:p w14:paraId="6DAEE826" w14:textId="77777777" w:rsidR="00770F18" w:rsidRPr="002D7F1A" w:rsidRDefault="00770F18" w:rsidP="002D7F1A">
            <w:pPr>
              <w:ind w:firstLine="317"/>
              <w:contextualSpacing/>
              <w:jc w:val="both"/>
            </w:pPr>
            <w:r w:rsidRPr="002D7F1A">
              <w:lastRenderedPageBreak/>
              <w:t>83. Par ieņēmumiem, kas gūti realizējot izņemto mantu, un pārsniedz šo noteikumu 82.punktā noteiktos izdevumus, iestāde informē amatpersonu, kura izskatīja administratīvā pārkāpuma lietu. Amatpersona lemj par šo līdzekļu izmantošanu noteiktā naudas soda samaksai.</w:t>
            </w:r>
          </w:p>
          <w:p w14:paraId="7B75A2BA" w14:textId="77777777" w:rsidR="00346B23" w:rsidRPr="002D7F1A" w:rsidRDefault="00346B23" w:rsidP="002D7F1A">
            <w:pPr>
              <w:ind w:firstLine="317"/>
              <w:contextualSpacing/>
              <w:jc w:val="both"/>
            </w:pPr>
          </w:p>
        </w:tc>
        <w:tc>
          <w:tcPr>
            <w:tcW w:w="3830" w:type="dxa"/>
          </w:tcPr>
          <w:p w14:paraId="7D59BCE4"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w:t>
            </w:r>
          </w:p>
          <w:p w14:paraId="76B07BAC" w14:textId="3E7A4B84" w:rsidR="00346B23" w:rsidRPr="00A719C6" w:rsidRDefault="00EC4B68"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3204E">
              <w:rPr>
                <w:color w:val="000000"/>
              </w:rPr>
              <w:t xml:space="preserve">Administratīvās atbildības likuma  260. panta otrā daļa noteic, ka, ja personai piemērots administratīvais sods un izņemtās mantas realizētas, tad no iegūtajiem līdzekļiem atskaita summu, kas nepieciešama naudas soda samaksai un to izdevumu segšanai, kuri ir saistīti ar izņemto mantu nogādāšanu glabāšanai, glabāšanu un realizāciju. Ja projektā ir nepieciešams regulēt minēto summu atskaitīšanas kārtību, aicinām projekta 82. punktu salāgot ar Administratīvās atbildības likuma 260.panta otro daļu, proti, nosakot, ka tiek atskaitītas summas, kas </w:t>
            </w:r>
            <w:r w:rsidRPr="00A3204E">
              <w:rPr>
                <w:color w:val="000000"/>
              </w:rPr>
              <w:lastRenderedPageBreak/>
              <w:t>nepieciešamas naudas soda samaksai un izdevumu segšanai.</w:t>
            </w:r>
          </w:p>
          <w:p w14:paraId="6AF0A83D"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6B8577A2" w14:textId="77777777" w:rsidR="00346B23" w:rsidRPr="00A719C6" w:rsidRDefault="00346B23" w:rsidP="00346B23">
            <w:pPr>
              <w:pStyle w:val="naisc"/>
              <w:tabs>
                <w:tab w:val="left" w:pos="142"/>
              </w:tabs>
              <w:spacing w:before="0" w:after="0"/>
              <w:rPr>
                <w:b/>
                <w:bCs/>
              </w:rPr>
            </w:pPr>
            <w:r w:rsidRPr="00A719C6">
              <w:rPr>
                <w:b/>
                <w:bCs/>
              </w:rPr>
              <w:lastRenderedPageBreak/>
              <w:t>Ņemts vērā.</w:t>
            </w:r>
          </w:p>
          <w:p w14:paraId="2D7310F1" w14:textId="77777777" w:rsidR="00346B23" w:rsidRPr="00A719C6" w:rsidRDefault="00346B23" w:rsidP="00346B23">
            <w:pPr>
              <w:pStyle w:val="naisc"/>
              <w:tabs>
                <w:tab w:val="left" w:pos="142"/>
              </w:tabs>
              <w:spacing w:before="0" w:after="0"/>
              <w:rPr>
                <w:b/>
                <w:bCs/>
              </w:rPr>
            </w:pPr>
          </w:p>
        </w:tc>
        <w:tc>
          <w:tcPr>
            <w:tcW w:w="4820" w:type="dxa"/>
          </w:tcPr>
          <w:p w14:paraId="68F557BE" w14:textId="77777777" w:rsidR="008D2F3B" w:rsidRPr="00CA3D85" w:rsidRDefault="008D2F3B" w:rsidP="008D2F3B">
            <w:pPr>
              <w:ind w:firstLine="709"/>
              <w:contextualSpacing/>
              <w:jc w:val="both"/>
            </w:pPr>
            <w:r w:rsidRPr="00CA3D85" w:rsidDel="00A8797B">
              <w:t>8</w:t>
            </w:r>
            <w:r w:rsidRPr="00CA3D85">
              <w:t>1</w:t>
            </w:r>
            <w:r w:rsidRPr="00CA3D85" w:rsidDel="00A8797B">
              <w:t xml:space="preserve">. </w:t>
            </w:r>
            <w:r w:rsidRPr="00CA3D85">
              <w:t>P</w:t>
            </w:r>
            <w:r w:rsidRPr="00CA3D85" w:rsidDel="00A8797B">
              <w:t xml:space="preserve">ēc lēmuma administratīvā pārkāpuma lietā spēkā stāšanās, </w:t>
            </w:r>
            <w:r w:rsidRPr="00CA3D85">
              <w:t>n</w:t>
            </w:r>
            <w:r w:rsidRPr="00CA3D85" w:rsidDel="00A8797B">
              <w:t xml:space="preserve">o ieņēmumiem, kas gūti realizējot administratīvā pārkāpuma procesā sodītajai personai piederošo izņemto mantu, </w:t>
            </w:r>
            <w:r w:rsidRPr="00CA3D85">
              <w:t>atskaita summu, kas nepieciešama ar</w:t>
            </w:r>
            <w:r w:rsidRPr="00CA3D85" w:rsidDel="00A8797B">
              <w:t xml:space="preserve"> izņemtās mantas nogādāšanu glabāšanai, glabāšanu un realizāciju saistīto izdevumu</w:t>
            </w:r>
            <w:r w:rsidRPr="00CA3D85">
              <w:t xml:space="preserve"> segšanai un noteiktā naudas soda samaksai. </w:t>
            </w:r>
          </w:p>
          <w:p w14:paraId="20F22140" w14:textId="77777777" w:rsidR="00346B23" w:rsidRDefault="00346B23" w:rsidP="00346B23">
            <w:pPr>
              <w:ind w:firstLine="709"/>
              <w:contextualSpacing/>
              <w:jc w:val="both"/>
            </w:pPr>
          </w:p>
          <w:p w14:paraId="325DACDE" w14:textId="5CFFBE97" w:rsidR="008D2F3B" w:rsidRPr="00A719C6" w:rsidRDefault="00590CAD" w:rsidP="00346B23">
            <w:pPr>
              <w:ind w:firstLine="709"/>
              <w:contextualSpacing/>
              <w:jc w:val="both"/>
            </w:pPr>
            <w:r>
              <w:t>Projekta 83.punkts ir svītrots.</w:t>
            </w:r>
          </w:p>
        </w:tc>
      </w:tr>
      <w:tr w:rsidR="00346B23" w:rsidRPr="00A719C6" w14:paraId="6AFB53F9" w14:textId="77777777" w:rsidTr="003E3C4F">
        <w:tc>
          <w:tcPr>
            <w:tcW w:w="707" w:type="dxa"/>
          </w:tcPr>
          <w:p w14:paraId="567C45D4" w14:textId="77777777" w:rsidR="00346B23" w:rsidRPr="00A719C6" w:rsidRDefault="00346B23" w:rsidP="00346B23">
            <w:pPr>
              <w:pStyle w:val="naisc"/>
              <w:numPr>
                <w:ilvl w:val="0"/>
                <w:numId w:val="1"/>
              </w:numPr>
              <w:tabs>
                <w:tab w:val="left" w:pos="142"/>
              </w:tabs>
              <w:spacing w:before="0" w:after="0"/>
              <w:ind w:left="142" w:firstLine="0"/>
              <w:jc w:val="left"/>
            </w:pPr>
          </w:p>
        </w:tc>
        <w:tc>
          <w:tcPr>
            <w:tcW w:w="2693" w:type="dxa"/>
          </w:tcPr>
          <w:p w14:paraId="788FC5E1" w14:textId="5523C504" w:rsidR="00346B23" w:rsidRPr="002D7F1A" w:rsidRDefault="00755101" w:rsidP="008C7187">
            <w:pPr>
              <w:ind w:firstLine="317"/>
              <w:contextualSpacing/>
              <w:jc w:val="both"/>
            </w:pPr>
            <w:r w:rsidRPr="002D7F1A">
              <w:t xml:space="preserve">85. Ja lēmums administratīva pārkāpuma lietā ir pieņemts saskaņā ar Latvijas Administratīvo pārkāpumu kodeksu, izdevumu, kas radušies sakarā ar administratīvā pārkāpuma lietā izņemtās mantas un dokumentu nodošanu glabāšanā, glabāšanu un iznīcināšanu, apmēru nosaka un piedziņu veic saskaņā ar Latvijas Administratīvo pārkāpumu kodeksu un Ministru kabineta </w:t>
            </w:r>
            <w:r w:rsidRPr="002D7F1A">
              <w:lastRenderedPageBreak/>
              <w:t>2010.gada 7.decembra noteikumiem Nr.1098 „Noteikumu par rīcību ar administratīvo pārkāpumu lietās izņemto mantu un dokumentiem</w:t>
            </w:r>
            <w:r w:rsidRPr="002D7F1A">
              <w:rPr>
                <w:bCs/>
              </w:rPr>
              <w:t>”.</w:t>
            </w:r>
            <w:bookmarkStart w:id="0" w:name="_GoBack"/>
            <w:bookmarkEnd w:id="0"/>
          </w:p>
        </w:tc>
        <w:tc>
          <w:tcPr>
            <w:tcW w:w="3830" w:type="dxa"/>
          </w:tcPr>
          <w:p w14:paraId="7A4B6F52"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w:t>
            </w:r>
          </w:p>
          <w:p w14:paraId="3AFA852A" w14:textId="147085B5" w:rsidR="00346B23" w:rsidRPr="00A719C6" w:rsidRDefault="001A102C"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3204E">
              <w:rPr>
                <w:color w:val="000000"/>
              </w:rPr>
              <w:t>Attiecībā par noslēguma jautājumos ietverto 85. punktu, norādām, ka situācijā, kad ir izveidojies neapzināts likuma robs, lai tomēr būtu iespējams iestādei, kurai radušies izdevumi saistībā ar izņemto mantu, ieguldītos līdzekļus atgūt, piekrītam, ka minētais projekta 85.punkts varētu tikt saglabāts, ar nosacījumu, ka tas tiek papildināts ar piebildi, ka minēto kārtību turpina piemērot "ne ilgāk, kā līdz 2020.gada 31. decembrim".</w:t>
            </w:r>
          </w:p>
          <w:p w14:paraId="3EA75036"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37D37726" w14:textId="598913E9" w:rsidR="00346B23" w:rsidRPr="00A719C6" w:rsidRDefault="000B2AEE" w:rsidP="00346B23">
            <w:pPr>
              <w:pStyle w:val="naisc"/>
              <w:tabs>
                <w:tab w:val="left" w:pos="142"/>
              </w:tabs>
              <w:spacing w:before="0" w:after="0"/>
              <w:rPr>
                <w:b/>
                <w:bCs/>
              </w:rPr>
            </w:pPr>
            <w:r>
              <w:rPr>
                <w:b/>
                <w:bCs/>
              </w:rPr>
              <w:t>Iebildums ir saskaņots.</w:t>
            </w:r>
          </w:p>
          <w:p w14:paraId="33BCEAAE" w14:textId="77777777" w:rsidR="00346B23" w:rsidRPr="00A719C6" w:rsidRDefault="00346B23" w:rsidP="00346B23">
            <w:pPr>
              <w:pStyle w:val="naisc"/>
              <w:tabs>
                <w:tab w:val="left" w:pos="142"/>
              </w:tabs>
              <w:spacing w:before="0" w:after="0"/>
              <w:rPr>
                <w:b/>
                <w:bCs/>
              </w:rPr>
            </w:pPr>
          </w:p>
        </w:tc>
        <w:tc>
          <w:tcPr>
            <w:tcW w:w="4820" w:type="dxa"/>
          </w:tcPr>
          <w:p w14:paraId="602B3C2B" w14:textId="77777777" w:rsidR="000B2AEE" w:rsidRPr="00D33CC6" w:rsidRDefault="000B2AEE" w:rsidP="000B2AEE">
            <w:pPr>
              <w:ind w:firstLine="709"/>
              <w:contextualSpacing/>
              <w:jc w:val="both"/>
            </w:pPr>
            <w:r w:rsidRPr="00D33CC6">
              <w:t>8</w:t>
            </w:r>
            <w:r>
              <w:t>3</w:t>
            </w:r>
            <w:r w:rsidRPr="00D33CC6">
              <w:t>. Ja lēmums administratīva pārkāpuma lietā ir pieņemts saskaņā ar Latvijas Administratīvo pārkāpumu kodeksu, izdevumu, kas radušies sakarā ar administratīvā pārkāpuma lietā izņemtās mantas un dokumentu nodošanu glabāšanā, glabāšanu un iznīcināšanu, apmēru nosaka un piedziņu veic saskaņā ar Latvijas Administratīvo pārkāpumu kodeksu un Ministru kabineta 2010.gada 7.decembra noteikumiem Nr.1098 „Noteikumu par rīcību ar administratīvo pārkāpumu lietās izņemto mantu un dokumentiem</w:t>
            </w:r>
            <w:r w:rsidRPr="00D33CC6">
              <w:rPr>
                <w:bCs/>
              </w:rPr>
              <w:t>”</w:t>
            </w:r>
            <w:r>
              <w:rPr>
                <w:bCs/>
              </w:rPr>
              <w:t xml:space="preserve"> </w:t>
            </w:r>
            <w:r w:rsidRPr="00226F1B">
              <w:rPr>
                <w:color w:val="000000"/>
              </w:rPr>
              <w:t>ne ilgāk, kā līdz 202</w:t>
            </w:r>
            <w:r>
              <w:rPr>
                <w:color w:val="000000"/>
              </w:rPr>
              <w:t>1</w:t>
            </w:r>
            <w:r w:rsidRPr="00226F1B">
              <w:rPr>
                <w:color w:val="000000"/>
              </w:rPr>
              <w:t>.gada 31. decembrim</w:t>
            </w:r>
            <w:r w:rsidRPr="00D33CC6">
              <w:rPr>
                <w:bCs/>
              </w:rPr>
              <w:t>.</w:t>
            </w:r>
          </w:p>
          <w:p w14:paraId="7183DE7D" w14:textId="77777777" w:rsidR="00346B23" w:rsidRPr="00A719C6" w:rsidRDefault="00346B23" w:rsidP="00346B23">
            <w:pPr>
              <w:ind w:firstLine="709"/>
              <w:contextualSpacing/>
              <w:jc w:val="both"/>
            </w:pPr>
          </w:p>
        </w:tc>
      </w:tr>
      <w:tr w:rsidR="00346B23" w:rsidRPr="00A719C6" w14:paraId="1AA89BDC" w14:textId="77777777" w:rsidTr="003E3C4F">
        <w:tc>
          <w:tcPr>
            <w:tcW w:w="707" w:type="dxa"/>
          </w:tcPr>
          <w:p w14:paraId="7E869EBD" w14:textId="77777777" w:rsidR="00346B23" w:rsidRPr="00A719C6" w:rsidRDefault="00346B23" w:rsidP="00346B23">
            <w:pPr>
              <w:pStyle w:val="naisc"/>
              <w:numPr>
                <w:ilvl w:val="0"/>
                <w:numId w:val="1"/>
              </w:numPr>
              <w:tabs>
                <w:tab w:val="left" w:pos="142"/>
              </w:tabs>
              <w:spacing w:before="0" w:after="0"/>
              <w:ind w:left="142" w:firstLine="0"/>
              <w:jc w:val="left"/>
            </w:pPr>
          </w:p>
        </w:tc>
        <w:tc>
          <w:tcPr>
            <w:tcW w:w="2693" w:type="dxa"/>
          </w:tcPr>
          <w:p w14:paraId="0D84B558" w14:textId="77777777" w:rsidR="00346B23" w:rsidRPr="00A719C6" w:rsidRDefault="00346B23" w:rsidP="00346B23">
            <w:pPr>
              <w:ind w:firstLine="709"/>
              <w:contextualSpacing/>
              <w:jc w:val="both"/>
            </w:pPr>
          </w:p>
        </w:tc>
        <w:tc>
          <w:tcPr>
            <w:tcW w:w="3830" w:type="dxa"/>
          </w:tcPr>
          <w:p w14:paraId="3FB59CD7"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w:t>
            </w:r>
          </w:p>
          <w:p w14:paraId="354EB33B" w14:textId="3B3B1CFC" w:rsidR="00346B23" w:rsidRPr="00A719C6" w:rsidRDefault="00014854"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3204E">
              <w:rPr>
                <w:color w:val="000000"/>
              </w:rPr>
              <w:t xml:space="preserve">Papildus virzot projektu izskatīšanai Ministru kabineta sēdē, aicinām sagatavot un projektam klāt pievienot Ministru kabineta protokollēmumu, nosakot, ka iestādes līdz 2020.gada 31. decembrim noslēdz starpresoru vienošanos par savstarpējiem norēķiniem attiecībā </w:t>
            </w:r>
            <w:r>
              <w:rPr>
                <w:color w:val="000000"/>
              </w:rPr>
              <w:t xml:space="preserve"> </w:t>
            </w:r>
            <w:r w:rsidRPr="00A3204E">
              <w:rPr>
                <w:color w:val="000000"/>
              </w:rPr>
              <w:t xml:space="preserve">par izdevumiem, kas radušies saistībā ar izņemtās mantas vai dokumenta </w:t>
            </w:r>
            <w:r>
              <w:rPr>
                <w:color w:val="000000"/>
              </w:rPr>
              <w:t xml:space="preserve"> </w:t>
            </w:r>
            <w:r w:rsidRPr="00A3204E">
              <w:rPr>
                <w:color w:val="000000"/>
              </w:rPr>
              <w:t>nodošanu glabāšanā, glabāšanu, iznīcināšanu vai realizēšanu.</w:t>
            </w:r>
          </w:p>
          <w:p w14:paraId="372DAE09" w14:textId="77777777" w:rsidR="00346B23" w:rsidRPr="00A719C6" w:rsidRDefault="00346B23" w:rsidP="00261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273EB115" w14:textId="77777777" w:rsidR="00346B23" w:rsidRPr="00A719C6" w:rsidRDefault="00346B23" w:rsidP="00346B23">
            <w:pPr>
              <w:pStyle w:val="naisc"/>
              <w:tabs>
                <w:tab w:val="left" w:pos="142"/>
              </w:tabs>
              <w:spacing w:before="0" w:after="0"/>
              <w:rPr>
                <w:b/>
                <w:bCs/>
              </w:rPr>
            </w:pPr>
            <w:r w:rsidRPr="00A719C6">
              <w:rPr>
                <w:b/>
                <w:bCs/>
              </w:rPr>
              <w:t>Ņemts vērā.</w:t>
            </w:r>
          </w:p>
          <w:p w14:paraId="6E7A6A88" w14:textId="77777777" w:rsidR="00346B23" w:rsidRPr="00A719C6" w:rsidRDefault="00346B23" w:rsidP="00346B23">
            <w:pPr>
              <w:pStyle w:val="naisc"/>
              <w:tabs>
                <w:tab w:val="left" w:pos="142"/>
              </w:tabs>
              <w:spacing w:before="0" w:after="0"/>
              <w:rPr>
                <w:b/>
                <w:bCs/>
              </w:rPr>
            </w:pPr>
          </w:p>
        </w:tc>
        <w:tc>
          <w:tcPr>
            <w:tcW w:w="4820" w:type="dxa"/>
          </w:tcPr>
          <w:p w14:paraId="5CD22F48" w14:textId="2A8A202D" w:rsidR="00346B23" w:rsidRDefault="00F92BC8" w:rsidP="00346B23">
            <w:pPr>
              <w:ind w:firstLine="709"/>
              <w:contextualSpacing/>
              <w:jc w:val="both"/>
            </w:pPr>
            <w:r>
              <w:t>Projektam ir pievienots Ministru kabineta sēdēs protokollēmuma projekts</w:t>
            </w:r>
            <w:r w:rsidR="00CD347F">
              <w:t xml:space="preserve"> ar šādu </w:t>
            </w:r>
            <w:r w:rsidR="00FC7859">
              <w:t>punktu</w:t>
            </w:r>
            <w:r>
              <w:t>:</w:t>
            </w:r>
          </w:p>
          <w:p w14:paraId="1909444B" w14:textId="77777777" w:rsidR="00F92BC8" w:rsidRDefault="00F92BC8" w:rsidP="00346B23">
            <w:pPr>
              <w:ind w:firstLine="709"/>
              <w:contextualSpacing/>
              <w:jc w:val="both"/>
            </w:pPr>
          </w:p>
          <w:p w14:paraId="6955C662" w14:textId="695C19F5" w:rsidR="00FC7859" w:rsidRPr="00A719C6" w:rsidRDefault="00FC7859" w:rsidP="00346B23">
            <w:pPr>
              <w:ind w:firstLine="709"/>
              <w:contextualSpacing/>
              <w:jc w:val="both"/>
            </w:pPr>
            <w:r>
              <w:t>“</w:t>
            </w:r>
            <w:r w:rsidRPr="00FC7859">
              <w:t>2. Iestādes, kuras veic administratīvā pārkāpuma procesu, un Nodrošinājuma valsts aģentūra līdz 2020.gada 31. decembrim noslēdz vienošanos par savstarpējiem norēķiniem attiecībā par izdevumiem, kas radušies saistībā ar izņemtās mantas vai dokumenta nodošanu glabāšanā, glabāšanu, iznīcināšanu vai realizēšanu.</w:t>
            </w:r>
            <w:r>
              <w:t>”</w:t>
            </w:r>
          </w:p>
        </w:tc>
      </w:tr>
    </w:tbl>
    <w:p w14:paraId="78215BD4" w14:textId="77777777" w:rsidR="004F5E47" w:rsidRPr="00A719C6" w:rsidRDefault="004F5E47" w:rsidP="00F30BB8"/>
    <w:tbl>
      <w:tblPr>
        <w:tblW w:w="13041" w:type="dxa"/>
        <w:tblLayout w:type="fixed"/>
        <w:tblLook w:val="00A0" w:firstRow="1" w:lastRow="0" w:firstColumn="1" w:lastColumn="0" w:noHBand="0" w:noVBand="0"/>
      </w:tblPr>
      <w:tblGrid>
        <w:gridCol w:w="3369"/>
        <w:gridCol w:w="7796"/>
        <w:gridCol w:w="1876"/>
      </w:tblGrid>
      <w:tr w:rsidR="00A719C6" w:rsidRPr="00A719C6" w14:paraId="0A8589CB" w14:textId="77777777" w:rsidTr="00FC7859">
        <w:trPr>
          <w:gridAfter w:val="1"/>
          <w:wAfter w:w="1876" w:type="dxa"/>
        </w:trPr>
        <w:tc>
          <w:tcPr>
            <w:tcW w:w="3369" w:type="dxa"/>
          </w:tcPr>
          <w:p w14:paraId="45AF778D" w14:textId="77777777" w:rsidR="00F30BB8" w:rsidRPr="00A719C6" w:rsidRDefault="00F30BB8" w:rsidP="00511695">
            <w:pPr>
              <w:pStyle w:val="naiskr"/>
              <w:tabs>
                <w:tab w:val="left" w:pos="142"/>
              </w:tabs>
              <w:spacing w:before="0" w:after="0"/>
            </w:pPr>
            <w:r w:rsidRPr="00A719C6">
              <w:t>Atbildīgā amatpersona</w:t>
            </w:r>
          </w:p>
        </w:tc>
        <w:tc>
          <w:tcPr>
            <w:tcW w:w="7796" w:type="dxa"/>
          </w:tcPr>
          <w:p w14:paraId="778A2A4B" w14:textId="77777777" w:rsidR="00F30BB8" w:rsidRPr="00A719C6" w:rsidRDefault="00F30BB8" w:rsidP="00511695">
            <w:pPr>
              <w:pStyle w:val="naiskr"/>
              <w:tabs>
                <w:tab w:val="left" w:pos="142"/>
              </w:tabs>
              <w:spacing w:before="0" w:after="0"/>
            </w:pPr>
          </w:p>
        </w:tc>
      </w:tr>
      <w:tr w:rsidR="00F30BB8" w:rsidRPr="00A719C6" w14:paraId="7B8D36B7" w14:textId="77777777" w:rsidTr="00FC7859">
        <w:trPr>
          <w:gridAfter w:val="1"/>
          <w:wAfter w:w="1876" w:type="dxa"/>
        </w:trPr>
        <w:tc>
          <w:tcPr>
            <w:tcW w:w="3369" w:type="dxa"/>
          </w:tcPr>
          <w:p w14:paraId="4003DEAD" w14:textId="77777777" w:rsidR="00F30BB8" w:rsidRPr="00A719C6" w:rsidRDefault="00F30BB8" w:rsidP="00511695">
            <w:pPr>
              <w:pStyle w:val="naiskr"/>
              <w:tabs>
                <w:tab w:val="left" w:pos="142"/>
              </w:tabs>
              <w:spacing w:before="0" w:after="0"/>
            </w:pPr>
          </w:p>
        </w:tc>
        <w:tc>
          <w:tcPr>
            <w:tcW w:w="7796" w:type="dxa"/>
            <w:tcBorders>
              <w:top w:val="single" w:sz="6" w:space="0" w:color="000000"/>
            </w:tcBorders>
          </w:tcPr>
          <w:p w14:paraId="6F8279F2" w14:textId="77777777" w:rsidR="00F30BB8" w:rsidRPr="00A719C6" w:rsidRDefault="00F30BB8" w:rsidP="00511695">
            <w:pPr>
              <w:pStyle w:val="naisc"/>
              <w:tabs>
                <w:tab w:val="left" w:pos="142"/>
              </w:tabs>
              <w:spacing w:before="0" w:after="0"/>
              <w:jc w:val="left"/>
              <w:rPr>
                <w:vertAlign w:val="superscript"/>
              </w:rPr>
            </w:pPr>
            <w:r w:rsidRPr="00A719C6">
              <w:rPr>
                <w:vertAlign w:val="superscript"/>
              </w:rPr>
              <w:t>(paraksts)*</w:t>
            </w:r>
          </w:p>
        </w:tc>
      </w:tr>
      <w:tr w:rsidR="00F30BB8" w:rsidRPr="00A719C6" w14:paraId="5F132FC3" w14:textId="77777777" w:rsidTr="00FC7859">
        <w:trPr>
          <w:trHeight w:val="272"/>
        </w:trPr>
        <w:tc>
          <w:tcPr>
            <w:tcW w:w="13041" w:type="dxa"/>
            <w:gridSpan w:val="3"/>
            <w:tcBorders>
              <w:bottom w:val="single" w:sz="4" w:space="0" w:color="auto"/>
            </w:tcBorders>
          </w:tcPr>
          <w:p w14:paraId="70D5B058" w14:textId="77777777" w:rsidR="00F30BB8" w:rsidRPr="00A719C6" w:rsidRDefault="00F30BB8" w:rsidP="00511695">
            <w:pPr>
              <w:pStyle w:val="naisf"/>
              <w:spacing w:before="0" w:after="0"/>
              <w:ind w:left="2160" w:firstLine="720"/>
              <w:jc w:val="left"/>
            </w:pPr>
            <w:r w:rsidRPr="00A719C6">
              <w:t>Mārtiņš Rāzna</w:t>
            </w:r>
          </w:p>
          <w:tbl>
            <w:tblPr>
              <w:tblW w:w="0" w:type="auto"/>
              <w:tblLayout w:type="fixed"/>
              <w:tblLook w:val="00A0" w:firstRow="1" w:lastRow="0" w:firstColumn="1" w:lastColumn="0" w:noHBand="0" w:noVBand="0"/>
            </w:tblPr>
            <w:tblGrid>
              <w:gridCol w:w="8268"/>
            </w:tblGrid>
            <w:tr w:rsidR="00A719C6" w:rsidRPr="00A719C6" w14:paraId="3B1B1C31" w14:textId="77777777" w:rsidTr="00FC7859">
              <w:tc>
                <w:tcPr>
                  <w:tcW w:w="8268" w:type="dxa"/>
                  <w:tcBorders>
                    <w:top w:val="single" w:sz="4" w:space="0" w:color="auto"/>
                    <w:left w:val="nil"/>
                    <w:bottom w:val="single" w:sz="4" w:space="0" w:color="000000"/>
                    <w:right w:val="nil"/>
                  </w:tcBorders>
                  <w:hideMark/>
                </w:tcPr>
                <w:p w14:paraId="564F3BA1" w14:textId="77777777" w:rsidR="00F30BB8" w:rsidRPr="00A719C6" w:rsidRDefault="00F30BB8" w:rsidP="00511695">
                  <w:pPr>
                    <w:spacing w:before="120"/>
                  </w:pPr>
                  <w:r w:rsidRPr="00A719C6">
                    <w:t xml:space="preserve">Nodrošinājuma valsts aģentūras Administratīvi – juridiskā un iepirkumu </w:t>
                  </w:r>
                </w:p>
                <w:p w14:paraId="38AF60A3" w14:textId="77777777" w:rsidR="00F30BB8" w:rsidRPr="00A719C6" w:rsidRDefault="00F30BB8" w:rsidP="00511695">
                  <w:pPr>
                    <w:spacing w:before="120"/>
                  </w:pPr>
                  <w:r w:rsidRPr="00A719C6">
                    <w:t>nodrošinājuma departamenta Juridiskās nodaļas juriskonsults</w:t>
                  </w:r>
                </w:p>
              </w:tc>
            </w:tr>
            <w:tr w:rsidR="00A719C6" w:rsidRPr="00A719C6" w14:paraId="3D8B92B8" w14:textId="77777777" w:rsidTr="00511695">
              <w:tc>
                <w:tcPr>
                  <w:tcW w:w="8268" w:type="dxa"/>
                  <w:tcBorders>
                    <w:top w:val="single" w:sz="4" w:space="0" w:color="000000"/>
                    <w:left w:val="nil"/>
                    <w:bottom w:val="nil"/>
                    <w:right w:val="nil"/>
                  </w:tcBorders>
                  <w:hideMark/>
                </w:tcPr>
                <w:p w14:paraId="1A154883" w14:textId="59BFD935" w:rsidR="00F30BB8" w:rsidRPr="00A719C6" w:rsidRDefault="00F30BB8" w:rsidP="00511695"/>
              </w:tc>
            </w:tr>
            <w:tr w:rsidR="00A719C6" w:rsidRPr="00A719C6" w14:paraId="1DC57F89" w14:textId="77777777" w:rsidTr="00511695">
              <w:tc>
                <w:tcPr>
                  <w:tcW w:w="8268" w:type="dxa"/>
                  <w:tcBorders>
                    <w:top w:val="nil"/>
                    <w:left w:val="nil"/>
                    <w:bottom w:val="single" w:sz="4" w:space="0" w:color="000000"/>
                    <w:right w:val="nil"/>
                  </w:tcBorders>
                  <w:hideMark/>
                </w:tcPr>
                <w:p w14:paraId="45DBD6A0" w14:textId="77777777" w:rsidR="00F30BB8" w:rsidRPr="00A719C6" w:rsidRDefault="00F30BB8" w:rsidP="00511695">
                  <w:r w:rsidRPr="00A719C6">
                    <w:t>Tālr. 29454798, Martins.Razna@agentura.iem.gov.lv</w:t>
                  </w:r>
                </w:p>
              </w:tc>
            </w:tr>
            <w:tr w:rsidR="00A719C6" w:rsidRPr="00A719C6" w14:paraId="7C51FB8A" w14:textId="77777777" w:rsidTr="00511695">
              <w:tc>
                <w:tcPr>
                  <w:tcW w:w="8268" w:type="dxa"/>
                  <w:tcBorders>
                    <w:top w:val="single" w:sz="4" w:space="0" w:color="000000"/>
                    <w:left w:val="nil"/>
                    <w:bottom w:val="nil"/>
                    <w:right w:val="nil"/>
                  </w:tcBorders>
                </w:tcPr>
                <w:p w14:paraId="5556C1B4" w14:textId="4FE0CDD7" w:rsidR="00F30BB8" w:rsidRPr="00A719C6" w:rsidRDefault="00F30BB8" w:rsidP="00511695">
                  <w:r w:rsidRPr="00A719C6">
                    <w:t>(tālruņa un faksa numurs, e-pasta adrese)</w:t>
                  </w:r>
                </w:p>
              </w:tc>
            </w:tr>
          </w:tbl>
          <w:p w14:paraId="702BE593" w14:textId="77777777" w:rsidR="00F30BB8" w:rsidRPr="00A719C6" w:rsidRDefault="00F30BB8" w:rsidP="00511695">
            <w:pPr>
              <w:tabs>
                <w:tab w:val="left" w:pos="142"/>
              </w:tabs>
            </w:pPr>
          </w:p>
        </w:tc>
      </w:tr>
    </w:tbl>
    <w:p w14:paraId="76442E83" w14:textId="77777777" w:rsidR="001B290D" w:rsidRPr="00A719C6" w:rsidRDefault="001B290D" w:rsidP="00CA39E4"/>
    <w:sectPr w:rsidR="001B290D" w:rsidRPr="00A719C6" w:rsidSect="008C7187">
      <w:headerReference w:type="default" r:id="rId9"/>
      <w:footerReference w:type="defaul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75636" w14:textId="77777777" w:rsidR="00F703AB" w:rsidRDefault="00F703AB" w:rsidP="00D47B90">
      <w:r>
        <w:separator/>
      </w:r>
    </w:p>
  </w:endnote>
  <w:endnote w:type="continuationSeparator" w:id="0">
    <w:p w14:paraId="209C49D5" w14:textId="77777777" w:rsidR="00F703AB" w:rsidRDefault="00F703AB" w:rsidP="00D4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18E8" w14:textId="6A6531C2" w:rsidR="00A32212" w:rsidRDefault="00A32212">
    <w:pPr>
      <w:pStyle w:val="Footer"/>
      <w:jc w:val="center"/>
    </w:pPr>
  </w:p>
  <w:p w14:paraId="0132F699" w14:textId="50A069E8" w:rsidR="00A32212" w:rsidRPr="009A2654" w:rsidRDefault="004308CC" w:rsidP="0028375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IEMIzz_140420_AAL</w:t>
    </w:r>
    <w:r>
      <w:rPr>
        <w:sz w:val="20"/>
        <w:szCs w:val="20"/>
      </w:rPr>
      <w:fldChar w:fldCharType="end"/>
    </w:r>
    <w:r w:rsidR="00A32212">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E0C09" w14:textId="77777777" w:rsidR="00F703AB" w:rsidRDefault="00F703AB" w:rsidP="00D47B90">
      <w:r>
        <w:separator/>
      </w:r>
    </w:p>
  </w:footnote>
  <w:footnote w:type="continuationSeparator" w:id="0">
    <w:p w14:paraId="6A5CEE9F" w14:textId="77777777" w:rsidR="00F703AB" w:rsidRDefault="00F703AB" w:rsidP="00D4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79905"/>
      <w:docPartObj>
        <w:docPartGallery w:val="Page Numbers (Top of Page)"/>
        <w:docPartUnique/>
      </w:docPartObj>
    </w:sdtPr>
    <w:sdtEndPr>
      <w:rPr>
        <w:noProof/>
      </w:rPr>
    </w:sdtEndPr>
    <w:sdtContent>
      <w:p w14:paraId="6A7D379F" w14:textId="021DF5F4" w:rsidR="008C7187" w:rsidRDefault="008C7187">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04D628E6" w14:textId="77777777" w:rsidR="008C7187" w:rsidRDefault="008C7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C6C"/>
    <w:multiLevelType w:val="hybridMultilevel"/>
    <w:tmpl w:val="84A652B8"/>
    <w:lvl w:ilvl="0" w:tplc="06ECF564">
      <w:start w:val="48"/>
      <w:numFmt w:val="bullet"/>
      <w:lvlText w:val="–"/>
      <w:lvlJc w:val="left"/>
      <w:pPr>
        <w:ind w:left="644" w:hanging="360"/>
      </w:pPr>
      <w:rPr>
        <w:rFonts w:ascii="Times New Roman" w:eastAsia="Times New Roman"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1">
    <w:nsid w:val="20A33719"/>
    <w:multiLevelType w:val="hybridMultilevel"/>
    <w:tmpl w:val="001A1C08"/>
    <w:lvl w:ilvl="0" w:tplc="4BE64E8E">
      <w:start w:val="87"/>
      <w:numFmt w:val="bullet"/>
      <w:lvlText w:val="-"/>
      <w:lvlJc w:val="left"/>
      <w:pPr>
        <w:ind w:left="1100" w:hanging="360"/>
      </w:pPr>
      <w:rPr>
        <w:rFonts w:ascii="Times New Roman" w:eastAsia="Times New Roman" w:hAnsi="Times New Roman" w:cs="Times New Roman" w:hint="default"/>
      </w:rPr>
    </w:lvl>
    <w:lvl w:ilvl="1" w:tplc="04260003">
      <w:start w:val="1"/>
      <w:numFmt w:val="bullet"/>
      <w:lvlText w:val="o"/>
      <w:lvlJc w:val="left"/>
      <w:pPr>
        <w:ind w:left="1820" w:hanging="360"/>
      </w:pPr>
      <w:rPr>
        <w:rFonts w:ascii="Courier New" w:hAnsi="Courier New" w:cs="Courier New" w:hint="default"/>
      </w:rPr>
    </w:lvl>
    <w:lvl w:ilvl="2" w:tplc="04260005">
      <w:start w:val="1"/>
      <w:numFmt w:val="bullet"/>
      <w:lvlText w:val=""/>
      <w:lvlJc w:val="left"/>
      <w:pPr>
        <w:ind w:left="2540" w:hanging="360"/>
      </w:pPr>
      <w:rPr>
        <w:rFonts w:ascii="Wingdings" w:hAnsi="Wingdings" w:hint="default"/>
      </w:rPr>
    </w:lvl>
    <w:lvl w:ilvl="3" w:tplc="04260001">
      <w:start w:val="1"/>
      <w:numFmt w:val="bullet"/>
      <w:lvlText w:val=""/>
      <w:lvlJc w:val="left"/>
      <w:pPr>
        <w:ind w:left="3260" w:hanging="360"/>
      </w:pPr>
      <w:rPr>
        <w:rFonts w:ascii="Symbol" w:hAnsi="Symbol" w:hint="default"/>
      </w:rPr>
    </w:lvl>
    <w:lvl w:ilvl="4" w:tplc="04260003">
      <w:start w:val="1"/>
      <w:numFmt w:val="bullet"/>
      <w:lvlText w:val="o"/>
      <w:lvlJc w:val="left"/>
      <w:pPr>
        <w:ind w:left="3980" w:hanging="360"/>
      </w:pPr>
      <w:rPr>
        <w:rFonts w:ascii="Courier New" w:hAnsi="Courier New" w:cs="Courier New" w:hint="default"/>
      </w:rPr>
    </w:lvl>
    <w:lvl w:ilvl="5" w:tplc="04260005">
      <w:start w:val="1"/>
      <w:numFmt w:val="bullet"/>
      <w:lvlText w:val=""/>
      <w:lvlJc w:val="left"/>
      <w:pPr>
        <w:ind w:left="4700" w:hanging="360"/>
      </w:pPr>
      <w:rPr>
        <w:rFonts w:ascii="Wingdings" w:hAnsi="Wingdings" w:hint="default"/>
      </w:rPr>
    </w:lvl>
    <w:lvl w:ilvl="6" w:tplc="04260001">
      <w:start w:val="1"/>
      <w:numFmt w:val="bullet"/>
      <w:lvlText w:val=""/>
      <w:lvlJc w:val="left"/>
      <w:pPr>
        <w:ind w:left="5420" w:hanging="360"/>
      </w:pPr>
      <w:rPr>
        <w:rFonts w:ascii="Symbol" w:hAnsi="Symbol" w:hint="default"/>
      </w:rPr>
    </w:lvl>
    <w:lvl w:ilvl="7" w:tplc="04260003">
      <w:start w:val="1"/>
      <w:numFmt w:val="bullet"/>
      <w:lvlText w:val="o"/>
      <w:lvlJc w:val="left"/>
      <w:pPr>
        <w:ind w:left="6140" w:hanging="360"/>
      </w:pPr>
      <w:rPr>
        <w:rFonts w:ascii="Courier New" w:hAnsi="Courier New" w:cs="Courier New" w:hint="default"/>
      </w:rPr>
    </w:lvl>
    <w:lvl w:ilvl="8" w:tplc="04260005">
      <w:start w:val="1"/>
      <w:numFmt w:val="bullet"/>
      <w:lvlText w:val=""/>
      <w:lvlJc w:val="left"/>
      <w:pPr>
        <w:ind w:left="6860" w:hanging="360"/>
      </w:pPr>
      <w:rPr>
        <w:rFonts w:ascii="Wingdings" w:hAnsi="Wingdings" w:hint="default"/>
      </w:rPr>
    </w:lvl>
  </w:abstractNum>
  <w:abstractNum w:abstractNumId="2">
    <w:nsid w:val="27385492"/>
    <w:multiLevelType w:val="multilevel"/>
    <w:tmpl w:val="B0844956"/>
    <w:lvl w:ilvl="0">
      <w:start w:val="1"/>
      <w:numFmt w:val="decimal"/>
      <w:lvlText w:val="%1."/>
      <w:lvlJc w:val="left"/>
      <w:pPr>
        <w:ind w:left="629" w:hanging="360"/>
      </w:pPr>
      <w:rPr>
        <w:rFonts w:hint="default"/>
        <w:b w:val="0"/>
      </w:rPr>
    </w:lvl>
    <w:lvl w:ilvl="1">
      <w:start w:val="1"/>
      <w:numFmt w:val="decimal"/>
      <w:isLgl/>
      <w:lvlText w:val="%1.%2."/>
      <w:lvlJc w:val="left"/>
      <w:pPr>
        <w:ind w:left="629" w:hanging="360"/>
      </w:pPr>
      <w:rPr>
        <w:rFonts w:hint="default"/>
      </w:rPr>
    </w:lvl>
    <w:lvl w:ilvl="2">
      <w:start w:val="1"/>
      <w:numFmt w:val="decimal"/>
      <w:isLgl/>
      <w:lvlText w:val="%1.%2.%3."/>
      <w:lvlJc w:val="left"/>
      <w:pPr>
        <w:ind w:left="989" w:hanging="720"/>
      </w:pPr>
      <w:rPr>
        <w:rFonts w:hint="default"/>
      </w:rPr>
    </w:lvl>
    <w:lvl w:ilvl="3">
      <w:start w:val="1"/>
      <w:numFmt w:val="decimal"/>
      <w:isLgl/>
      <w:lvlText w:val="%1.%2.%3.%4."/>
      <w:lvlJc w:val="left"/>
      <w:pPr>
        <w:ind w:left="989" w:hanging="720"/>
      </w:pPr>
      <w:rPr>
        <w:rFonts w:hint="default"/>
      </w:rPr>
    </w:lvl>
    <w:lvl w:ilvl="4">
      <w:start w:val="1"/>
      <w:numFmt w:val="decimal"/>
      <w:isLgl/>
      <w:lvlText w:val="%1.%2.%3.%4.%5."/>
      <w:lvlJc w:val="left"/>
      <w:pPr>
        <w:ind w:left="1349" w:hanging="1080"/>
      </w:pPr>
      <w:rPr>
        <w:rFonts w:hint="default"/>
      </w:rPr>
    </w:lvl>
    <w:lvl w:ilvl="5">
      <w:start w:val="1"/>
      <w:numFmt w:val="decimal"/>
      <w:isLgl/>
      <w:lvlText w:val="%1.%2.%3.%4.%5.%6."/>
      <w:lvlJc w:val="left"/>
      <w:pPr>
        <w:ind w:left="1349" w:hanging="1080"/>
      </w:pPr>
      <w:rPr>
        <w:rFonts w:hint="default"/>
      </w:rPr>
    </w:lvl>
    <w:lvl w:ilvl="6">
      <w:start w:val="1"/>
      <w:numFmt w:val="decimal"/>
      <w:isLgl/>
      <w:lvlText w:val="%1.%2.%3.%4.%5.%6.%7."/>
      <w:lvlJc w:val="left"/>
      <w:pPr>
        <w:ind w:left="1709" w:hanging="1440"/>
      </w:pPr>
      <w:rPr>
        <w:rFonts w:hint="default"/>
      </w:rPr>
    </w:lvl>
    <w:lvl w:ilvl="7">
      <w:start w:val="1"/>
      <w:numFmt w:val="decimal"/>
      <w:isLgl/>
      <w:lvlText w:val="%1.%2.%3.%4.%5.%6.%7.%8."/>
      <w:lvlJc w:val="left"/>
      <w:pPr>
        <w:ind w:left="1709" w:hanging="1440"/>
      </w:pPr>
      <w:rPr>
        <w:rFonts w:hint="default"/>
      </w:rPr>
    </w:lvl>
    <w:lvl w:ilvl="8">
      <w:start w:val="1"/>
      <w:numFmt w:val="decimal"/>
      <w:isLgl/>
      <w:lvlText w:val="%1.%2.%3.%4.%5.%6.%7.%8.%9."/>
      <w:lvlJc w:val="left"/>
      <w:pPr>
        <w:ind w:left="2069" w:hanging="1800"/>
      </w:pPr>
      <w:rPr>
        <w:rFonts w:hint="default"/>
      </w:rPr>
    </w:lvl>
  </w:abstractNum>
  <w:abstractNum w:abstractNumId="3">
    <w:nsid w:val="27BF164F"/>
    <w:multiLevelType w:val="hybridMultilevel"/>
    <w:tmpl w:val="20D635C4"/>
    <w:lvl w:ilvl="0" w:tplc="3CF4D6BA">
      <w:start w:val="6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nsid w:val="35A0075B"/>
    <w:multiLevelType w:val="hybridMultilevel"/>
    <w:tmpl w:val="06C4CA74"/>
    <w:lvl w:ilvl="0" w:tplc="08645B3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4D7E1B05"/>
    <w:multiLevelType w:val="hybridMultilevel"/>
    <w:tmpl w:val="C27A47CC"/>
    <w:lvl w:ilvl="0" w:tplc="7DD60F2E">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7166233E"/>
    <w:multiLevelType w:val="hybridMultilevel"/>
    <w:tmpl w:val="52C0ED2C"/>
    <w:lvl w:ilvl="0" w:tplc="0426000F">
      <w:start w:val="1"/>
      <w:numFmt w:val="decimal"/>
      <w:lvlText w:val="%1."/>
      <w:lvlJc w:val="left"/>
      <w:pPr>
        <w:ind w:left="100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C2B614D"/>
    <w:multiLevelType w:val="hybridMultilevel"/>
    <w:tmpl w:val="2592B3AE"/>
    <w:lvl w:ilvl="0" w:tplc="EDFA0F1C">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num w:numId="1">
    <w:abstractNumId w:val="6"/>
  </w:num>
  <w:num w:numId="2">
    <w:abstractNumId w:val="2"/>
  </w:num>
  <w:num w:numId="3">
    <w:abstractNumId w:val="3"/>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AF"/>
    <w:rsid w:val="00001794"/>
    <w:rsid w:val="00001BC6"/>
    <w:rsid w:val="000023E5"/>
    <w:rsid w:val="00003ABB"/>
    <w:rsid w:val="00005CD3"/>
    <w:rsid w:val="000070FE"/>
    <w:rsid w:val="000074EB"/>
    <w:rsid w:val="000079A7"/>
    <w:rsid w:val="00011AE2"/>
    <w:rsid w:val="00014854"/>
    <w:rsid w:val="000153ED"/>
    <w:rsid w:val="0001799C"/>
    <w:rsid w:val="000205B8"/>
    <w:rsid w:val="0002320A"/>
    <w:rsid w:val="000245D1"/>
    <w:rsid w:val="00026FC4"/>
    <w:rsid w:val="000321CD"/>
    <w:rsid w:val="0003310D"/>
    <w:rsid w:val="00035ACE"/>
    <w:rsid w:val="00037733"/>
    <w:rsid w:val="00040C16"/>
    <w:rsid w:val="00041616"/>
    <w:rsid w:val="00041A76"/>
    <w:rsid w:val="000450BB"/>
    <w:rsid w:val="00050222"/>
    <w:rsid w:val="0005077F"/>
    <w:rsid w:val="00051CE8"/>
    <w:rsid w:val="00053DDD"/>
    <w:rsid w:val="00054236"/>
    <w:rsid w:val="00061F86"/>
    <w:rsid w:val="000632E9"/>
    <w:rsid w:val="000700B6"/>
    <w:rsid w:val="0007397C"/>
    <w:rsid w:val="000745AB"/>
    <w:rsid w:val="00076808"/>
    <w:rsid w:val="00076BE8"/>
    <w:rsid w:val="0007708F"/>
    <w:rsid w:val="000771C4"/>
    <w:rsid w:val="00077F4E"/>
    <w:rsid w:val="000803CF"/>
    <w:rsid w:val="0008077E"/>
    <w:rsid w:val="000822C4"/>
    <w:rsid w:val="0008271E"/>
    <w:rsid w:val="00084A29"/>
    <w:rsid w:val="000854C1"/>
    <w:rsid w:val="00085D2B"/>
    <w:rsid w:val="000860FB"/>
    <w:rsid w:val="000917E6"/>
    <w:rsid w:val="00092D01"/>
    <w:rsid w:val="0009322B"/>
    <w:rsid w:val="00093AB0"/>
    <w:rsid w:val="00097750"/>
    <w:rsid w:val="000A2E17"/>
    <w:rsid w:val="000A4877"/>
    <w:rsid w:val="000A6C63"/>
    <w:rsid w:val="000A7A82"/>
    <w:rsid w:val="000B0835"/>
    <w:rsid w:val="000B2AEE"/>
    <w:rsid w:val="000B366E"/>
    <w:rsid w:val="000B3B83"/>
    <w:rsid w:val="000B4162"/>
    <w:rsid w:val="000B56A3"/>
    <w:rsid w:val="000B733F"/>
    <w:rsid w:val="000C2EDF"/>
    <w:rsid w:val="000C4201"/>
    <w:rsid w:val="000C63AA"/>
    <w:rsid w:val="000C696A"/>
    <w:rsid w:val="000D37BA"/>
    <w:rsid w:val="000D3B2E"/>
    <w:rsid w:val="000D67EF"/>
    <w:rsid w:val="000E4983"/>
    <w:rsid w:val="000E530B"/>
    <w:rsid w:val="000E5C58"/>
    <w:rsid w:val="000E5E4C"/>
    <w:rsid w:val="000E606F"/>
    <w:rsid w:val="000E7AAE"/>
    <w:rsid w:val="000F0125"/>
    <w:rsid w:val="000F622A"/>
    <w:rsid w:val="000F6642"/>
    <w:rsid w:val="00100129"/>
    <w:rsid w:val="00100756"/>
    <w:rsid w:val="00100847"/>
    <w:rsid w:val="00101DD8"/>
    <w:rsid w:val="001040CA"/>
    <w:rsid w:val="00105527"/>
    <w:rsid w:val="00105DB0"/>
    <w:rsid w:val="00110FCD"/>
    <w:rsid w:val="001119CC"/>
    <w:rsid w:val="00111CBE"/>
    <w:rsid w:val="00111E2A"/>
    <w:rsid w:val="0011345E"/>
    <w:rsid w:val="001153CE"/>
    <w:rsid w:val="00116F74"/>
    <w:rsid w:val="001172FC"/>
    <w:rsid w:val="001177C5"/>
    <w:rsid w:val="001207F6"/>
    <w:rsid w:val="001217C5"/>
    <w:rsid w:val="001220E6"/>
    <w:rsid w:val="00123429"/>
    <w:rsid w:val="0012343E"/>
    <w:rsid w:val="00124245"/>
    <w:rsid w:val="001251BD"/>
    <w:rsid w:val="0012624D"/>
    <w:rsid w:val="00130500"/>
    <w:rsid w:val="001365C3"/>
    <w:rsid w:val="00137B62"/>
    <w:rsid w:val="001412AD"/>
    <w:rsid w:val="00143165"/>
    <w:rsid w:val="00144709"/>
    <w:rsid w:val="0014545F"/>
    <w:rsid w:val="00146DC9"/>
    <w:rsid w:val="00146E0F"/>
    <w:rsid w:val="001477CE"/>
    <w:rsid w:val="001512D1"/>
    <w:rsid w:val="0015131F"/>
    <w:rsid w:val="00156E54"/>
    <w:rsid w:val="00157D74"/>
    <w:rsid w:val="00161855"/>
    <w:rsid w:val="0016233B"/>
    <w:rsid w:val="00167C80"/>
    <w:rsid w:val="0017273F"/>
    <w:rsid w:val="0017702A"/>
    <w:rsid w:val="00180BA7"/>
    <w:rsid w:val="00180D03"/>
    <w:rsid w:val="00182616"/>
    <w:rsid w:val="00182A83"/>
    <w:rsid w:val="0018413D"/>
    <w:rsid w:val="001848CF"/>
    <w:rsid w:val="00184DAC"/>
    <w:rsid w:val="0018666A"/>
    <w:rsid w:val="001901A9"/>
    <w:rsid w:val="001937AC"/>
    <w:rsid w:val="00194189"/>
    <w:rsid w:val="001A102C"/>
    <w:rsid w:val="001A15B2"/>
    <w:rsid w:val="001A16CD"/>
    <w:rsid w:val="001A4316"/>
    <w:rsid w:val="001A4E7F"/>
    <w:rsid w:val="001A6A72"/>
    <w:rsid w:val="001A75A9"/>
    <w:rsid w:val="001A7E3B"/>
    <w:rsid w:val="001B290D"/>
    <w:rsid w:val="001B2AAA"/>
    <w:rsid w:val="001B4086"/>
    <w:rsid w:val="001B44ED"/>
    <w:rsid w:val="001B4D9A"/>
    <w:rsid w:val="001B75BA"/>
    <w:rsid w:val="001C00B5"/>
    <w:rsid w:val="001C163B"/>
    <w:rsid w:val="001C1641"/>
    <w:rsid w:val="001C1A4A"/>
    <w:rsid w:val="001C30B3"/>
    <w:rsid w:val="001C5138"/>
    <w:rsid w:val="001C5EE3"/>
    <w:rsid w:val="001D0B81"/>
    <w:rsid w:val="001D0DED"/>
    <w:rsid w:val="001D29B5"/>
    <w:rsid w:val="001D4884"/>
    <w:rsid w:val="001D5CBB"/>
    <w:rsid w:val="001D5DFE"/>
    <w:rsid w:val="001D73B9"/>
    <w:rsid w:val="001D7A36"/>
    <w:rsid w:val="001E0BCF"/>
    <w:rsid w:val="001E19E3"/>
    <w:rsid w:val="001E20BF"/>
    <w:rsid w:val="001E653E"/>
    <w:rsid w:val="001F0045"/>
    <w:rsid w:val="001F0317"/>
    <w:rsid w:val="001F20AA"/>
    <w:rsid w:val="001F40F7"/>
    <w:rsid w:val="001F6A56"/>
    <w:rsid w:val="001F6BA7"/>
    <w:rsid w:val="00200217"/>
    <w:rsid w:val="0020124B"/>
    <w:rsid w:val="00201AE9"/>
    <w:rsid w:val="00201B8D"/>
    <w:rsid w:val="00201D3D"/>
    <w:rsid w:val="002021D9"/>
    <w:rsid w:val="0020321C"/>
    <w:rsid w:val="0020791E"/>
    <w:rsid w:val="002102C8"/>
    <w:rsid w:val="00212305"/>
    <w:rsid w:val="00214622"/>
    <w:rsid w:val="00214C0D"/>
    <w:rsid w:val="00215687"/>
    <w:rsid w:val="002162C4"/>
    <w:rsid w:val="00216F91"/>
    <w:rsid w:val="00225FF7"/>
    <w:rsid w:val="0022747C"/>
    <w:rsid w:val="00231A73"/>
    <w:rsid w:val="002330C3"/>
    <w:rsid w:val="002337AC"/>
    <w:rsid w:val="00233F7F"/>
    <w:rsid w:val="00235649"/>
    <w:rsid w:val="00235EB6"/>
    <w:rsid w:val="00236D2C"/>
    <w:rsid w:val="0024097A"/>
    <w:rsid w:val="00241A4D"/>
    <w:rsid w:val="002424B1"/>
    <w:rsid w:val="00242C5C"/>
    <w:rsid w:val="00242E04"/>
    <w:rsid w:val="002449CC"/>
    <w:rsid w:val="00245971"/>
    <w:rsid w:val="00247C97"/>
    <w:rsid w:val="00252620"/>
    <w:rsid w:val="00254770"/>
    <w:rsid w:val="00260035"/>
    <w:rsid w:val="0026096F"/>
    <w:rsid w:val="0026150E"/>
    <w:rsid w:val="00263AC9"/>
    <w:rsid w:val="00270A26"/>
    <w:rsid w:val="00270FAC"/>
    <w:rsid w:val="00274786"/>
    <w:rsid w:val="00276733"/>
    <w:rsid w:val="0028072C"/>
    <w:rsid w:val="00282E4D"/>
    <w:rsid w:val="00283759"/>
    <w:rsid w:val="00284500"/>
    <w:rsid w:val="00285A99"/>
    <w:rsid w:val="002872CE"/>
    <w:rsid w:val="00287CCD"/>
    <w:rsid w:val="0029243D"/>
    <w:rsid w:val="00293D45"/>
    <w:rsid w:val="002A017B"/>
    <w:rsid w:val="002A0EE6"/>
    <w:rsid w:val="002A15EB"/>
    <w:rsid w:val="002A25A7"/>
    <w:rsid w:val="002A5AB0"/>
    <w:rsid w:val="002A645E"/>
    <w:rsid w:val="002B0600"/>
    <w:rsid w:val="002B4F78"/>
    <w:rsid w:val="002B6389"/>
    <w:rsid w:val="002B7972"/>
    <w:rsid w:val="002C0989"/>
    <w:rsid w:val="002C1165"/>
    <w:rsid w:val="002D2683"/>
    <w:rsid w:val="002D5CBE"/>
    <w:rsid w:val="002D7F1A"/>
    <w:rsid w:val="002E0F2C"/>
    <w:rsid w:val="002E2284"/>
    <w:rsid w:val="002E6F14"/>
    <w:rsid w:val="002E7BF5"/>
    <w:rsid w:val="002F6035"/>
    <w:rsid w:val="002F7962"/>
    <w:rsid w:val="002F7BC2"/>
    <w:rsid w:val="003030BF"/>
    <w:rsid w:val="00311A2E"/>
    <w:rsid w:val="00313418"/>
    <w:rsid w:val="003204BE"/>
    <w:rsid w:val="003240B9"/>
    <w:rsid w:val="003247CA"/>
    <w:rsid w:val="00324A4A"/>
    <w:rsid w:val="00325C85"/>
    <w:rsid w:val="00325D0A"/>
    <w:rsid w:val="00326528"/>
    <w:rsid w:val="003303A0"/>
    <w:rsid w:val="0033212A"/>
    <w:rsid w:val="003327FC"/>
    <w:rsid w:val="00334AB0"/>
    <w:rsid w:val="00335063"/>
    <w:rsid w:val="003406F3"/>
    <w:rsid w:val="003415F8"/>
    <w:rsid w:val="0034531C"/>
    <w:rsid w:val="00346B23"/>
    <w:rsid w:val="003504EB"/>
    <w:rsid w:val="003516D5"/>
    <w:rsid w:val="00352EBA"/>
    <w:rsid w:val="003552D9"/>
    <w:rsid w:val="003567F1"/>
    <w:rsid w:val="00356C57"/>
    <w:rsid w:val="00356FFF"/>
    <w:rsid w:val="003659A2"/>
    <w:rsid w:val="00372091"/>
    <w:rsid w:val="003720A4"/>
    <w:rsid w:val="00373D57"/>
    <w:rsid w:val="0037421C"/>
    <w:rsid w:val="00375088"/>
    <w:rsid w:val="00380281"/>
    <w:rsid w:val="003808FF"/>
    <w:rsid w:val="003825EB"/>
    <w:rsid w:val="00383158"/>
    <w:rsid w:val="00383D18"/>
    <w:rsid w:val="00384041"/>
    <w:rsid w:val="003900A2"/>
    <w:rsid w:val="003905F3"/>
    <w:rsid w:val="003906C7"/>
    <w:rsid w:val="00391A79"/>
    <w:rsid w:val="00393C7B"/>
    <w:rsid w:val="00395D73"/>
    <w:rsid w:val="00396B14"/>
    <w:rsid w:val="0039773A"/>
    <w:rsid w:val="003A19F4"/>
    <w:rsid w:val="003A2932"/>
    <w:rsid w:val="003A3DCD"/>
    <w:rsid w:val="003A4135"/>
    <w:rsid w:val="003B1DEF"/>
    <w:rsid w:val="003B3058"/>
    <w:rsid w:val="003B4FF4"/>
    <w:rsid w:val="003B5C07"/>
    <w:rsid w:val="003B602A"/>
    <w:rsid w:val="003B6170"/>
    <w:rsid w:val="003B7235"/>
    <w:rsid w:val="003B73CA"/>
    <w:rsid w:val="003C0744"/>
    <w:rsid w:val="003C39E5"/>
    <w:rsid w:val="003C7D63"/>
    <w:rsid w:val="003C7DB7"/>
    <w:rsid w:val="003D0916"/>
    <w:rsid w:val="003D0B62"/>
    <w:rsid w:val="003D102D"/>
    <w:rsid w:val="003D1547"/>
    <w:rsid w:val="003D254B"/>
    <w:rsid w:val="003D2E08"/>
    <w:rsid w:val="003D5263"/>
    <w:rsid w:val="003D64EC"/>
    <w:rsid w:val="003D715D"/>
    <w:rsid w:val="003E0572"/>
    <w:rsid w:val="003E089E"/>
    <w:rsid w:val="003E33C0"/>
    <w:rsid w:val="003E3C4F"/>
    <w:rsid w:val="003E43A5"/>
    <w:rsid w:val="003E531B"/>
    <w:rsid w:val="003E75DB"/>
    <w:rsid w:val="003F3548"/>
    <w:rsid w:val="003F60AD"/>
    <w:rsid w:val="003F67FA"/>
    <w:rsid w:val="00400468"/>
    <w:rsid w:val="00402994"/>
    <w:rsid w:val="0040299B"/>
    <w:rsid w:val="0040312E"/>
    <w:rsid w:val="004032B8"/>
    <w:rsid w:val="00404265"/>
    <w:rsid w:val="00411B97"/>
    <w:rsid w:val="004146CE"/>
    <w:rsid w:val="0041542F"/>
    <w:rsid w:val="004203F8"/>
    <w:rsid w:val="00422B2D"/>
    <w:rsid w:val="00424A16"/>
    <w:rsid w:val="00425477"/>
    <w:rsid w:val="00426637"/>
    <w:rsid w:val="004266D4"/>
    <w:rsid w:val="004273AD"/>
    <w:rsid w:val="004305E5"/>
    <w:rsid w:val="004308CC"/>
    <w:rsid w:val="00430D76"/>
    <w:rsid w:val="00431F49"/>
    <w:rsid w:val="00434C99"/>
    <w:rsid w:val="00436B74"/>
    <w:rsid w:val="004375F8"/>
    <w:rsid w:val="00437FCC"/>
    <w:rsid w:val="004417FB"/>
    <w:rsid w:val="00441E34"/>
    <w:rsid w:val="0044405F"/>
    <w:rsid w:val="0044489A"/>
    <w:rsid w:val="00450EAE"/>
    <w:rsid w:val="004511DD"/>
    <w:rsid w:val="0045316E"/>
    <w:rsid w:val="00453202"/>
    <w:rsid w:val="00460CF3"/>
    <w:rsid w:val="00461AF2"/>
    <w:rsid w:val="0046230A"/>
    <w:rsid w:val="00463819"/>
    <w:rsid w:val="004669A1"/>
    <w:rsid w:val="00470C89"/>
    <w:rsid w:val="00472E5C"/>
    <w:rsid w:val="00473813"/>
    <w:rsid w:val="004738CB"/>
    <w:rsid w:val="00477880"/>
    <w:rsid w:val="00480126"/>
    <w:rsid w:val="004818E0"/>
    <w:rsid w:val="00482099"/>
    <w:rsid w:val="00484654"/>
    <w:rsid w:val="0048496C"/>
    <w:rsid w:val="00485033"/>
    <w:rsid w:val="004867CE"/>
    <w:rsid w:val="00486B02"/>
    <w:rsid w:val="0048723D"/>
    <w:rsid w:val="00491AF8"/>
    <w:rsid w:val="00491B07"/>
    <w:rsid w:val="004A3DDB"/>
    <w:rsid w:val="004A573C"/>
    <w:rsid w:val="004A5FD1"/>
    <w:rsid w:val="004A77A7"/>
    <w:rsid w:val="004A7C33"/>
    <w:rsid w:val="004A7CE0"/>
    <w:rsid w:val="004B2AD2"/>
    <w:rsid w:val="004B7F31"/>
    <w:rsid w:val="004C1867"/>
    <w:rsid w:val="004C1A5B"/>
    <w:rsid w:val="004C2D18"/>
    <w:rsid w:val="004C31FB"/>
    <w:rsid w:val="004C3FE7"/>
    <w:rsid w:val="004C595A"/>
    <w:rsid w:val="004C679D"/>
    <w:rsid w:val="004C67B1"/>
    <w:rsid w:val="004C6F60"/>
    <w:rsid w:val="004C7DD9"/>
    <w:rsid w:val="004D30EF"/>
    <w:rsid w:val="004D416A"/>
    <w:rsid w:val="004D4243"/>
    <w:rsid w:val="004D7B07"/>
    <w:rsid w:val="004E1EC5"/>
    <w:rsid w:val="004F1003"/>
    <w:rsid w:val="004F1FB9"/>
    <w:rsid w:val="004F2090"/>
    <w:rsid w:val="004F3551"/>
    <w:rsid w:val="004F5CFC"/>
    <w:rsid w:val="004F5E47"/>
    <w:rsid w:val="004F7B40"/>
    <w:rsid w:val="00500B21"/>
    <w:rsid w:val="00500D89"/>
    <w:rsid w:val="00502712"/>
    <w:rsid w:val="0050296E"/>
    <w:rsid w:val="0050491A"/>
    <w:rsid w:val="00505588"/>
    <w:rsid w:val="00511695"/>
    <w:rsid w:val="00511CED"/>
    <w:rsid w:val="00513559"/>
    <w:rsid w:val="00513EA5"/>
    <w:rsid w:val="00514429"/>
    <w:rsid w:val="00516061"/>
    <w:rsid w:val="0051620C"/>
    <w:rsid w:val="00520098"/>
    <w:rsid w:val="00520223"/>
    <w:rsid w:val="00521169"/>
    <w:rsid w:val="00523670"/>
    <w:rsid w:val="00523C55"/>
    <w:rsid w:val="0052427B"/>
    <w:rsid w:val="00525075"/>
    <w:rsid w:val="00531BC7"/>
    <w:rsid w:val="00532050"/>
    <w:rsid w:val="005349AC"/>
    <w:rsid w:val="005360C3"/>
    <w:rsid w:val="0054289D"/>
    <w:rsid w:val="0054412A"/>
    <w:rsid w:val="005446AC"/>
    <w:rsid w:val="005446DF"/>
    <w:rsid w:val="00544CEA"/>
    <w:rsid w:val="0054527D"/>
    <w:rsid w:val="005456AA"/>
    <w:rsid w:val="00546653"/>
    <w:rsid w:val="00551502"/>
    <w:rsid w:val="0055200C"/>
    <w:rsid w:val="00554BD2"/>
    <w:rsid w:val="00555A03"/>
    <w:rsid w:val="00556146"/>
    <w:rsid w:val="0055645E"/>
    <w:rsid w:val="00556E84"/>
    <w:rsid w:val="00557522"/>
    <w:rsid w:val="0056046D"/>
    <w:rsid w:val="005631A7"/>
    <w:rsid w:val="005644CB"/>
    <w:rsid w:val="00564915"/>
    <w:rsid w:val="00565CC1"/>
    <w:rsid w:val="0056719F"/>
    <w:rsid w:val="00570C76"/>
    <w:rsid w:val="0057324C"/>
    <w:rsid w:val="00573861"/>
    <w:rsid w:val="005738F1"/>
    <w:rsid w:val="005741CE"/>
    <w:rsid w:val="0057439D"/>
    <w:rsid w:val="0057496D"/>
    <w:rsid w:val="00575450"/>
    <w:rsid w:val="00576E6F"/>
    <w:rsid w:val="0057768F"/>
    <w:rsid w:val="00582D1B"/>
    <w:rsid w:val="00583471"/>
    <w:rsid w:val="00585E1D"/>
    <w:rsid w:val="00587E4A"/>
    <w:rsid w:val="0059051E"/>
    <w:rsid w:val="00590CAD"/>
    <w:rsid w:val="005915DF"/>
    <w:rsid w:val="005920DE"/>
    <w:rsid w:val="00595430"/>
    <w:rsid w:val="00595486"/>
    <w:rsid w:val="00596A08"/>
    <w:rsid w:val="00597A6F"/>
    <w:rsid w:val="005A00DF"/>
    <w:rsid w:val="005A0D06"/>
    <w:rsid w:val="005A2CEE"/>
    <w:rsid w:val="005A4020"/>
    <w:rsid w:val="005A5ED8"/>
    <w:rsid w:val="005A7527"/>
    <w:rsid w:val="005A76D8"/>
    <w:rsid w:val="005B01DA"/>
    <w:rsid w:val="005B05F0"/>
    <w:rsid w:val="005B0A3B"/>
    <w:rsid w:val="005B0B49"/>
    <w:rsid w:val="005B0D47"/>
    <w:rsid w:val="005B125A"/>
    <w:rsid w:val="005B559A"/>
    <w:rsid w:val="005B5A08"/>
    <w:rsid w:val="005B67B9"/>
    <w:rsid w:val="005B742D"/>
    <w:rsid w:val="005C0B15"/>
    <w:rsid w:val="005C28D1"/>
    <w:rsid w:val="005C507B"/>
    <w:rsid w:val="005C5E20"/>
    <w:rsid w:val="005D3CB2"/>
    <w:rsid w:val="005D73E9"/>
    <w:rsid w:val="005E29D3"/>
    <w:rsid w:val="005E3B2C"/>
    <w:rsid w:val="005E7CF6"/>
    <w:rsid w:val="005F0FF9"/>
    <w:rsid w:val="005F2288"/>
    <w:rsid w:val="005F30CF"/>
    <w:rsid w:val="005F504D"/>
    <w:rsid w:val="005F5B0E"/>
    <w:rsid w:val="0060124F"/>
    <w:rsid w:val="00604E1E"/>
    <w:rsid w:val="00607F57"/>
    <w:rsid w:val="00610D7B"/>
    <w:rsid w:val="006128E7"/>
    <w:rsid w:val="006136D9"/>
    <w:rsid w:val="006148DA"/>
    <w:rsid w:val="00615057"/>
    <w:rsid w:val="0061552A"/>
    <w:rsid w:val="00616B72"/>
    <w:rsid w:val="006173ED"/>
    <w:rsid w:val="00617650"/>
    <w:rsid w:val="00617856"/>
    <w:rsid w:val="00620788"/>
    <w:rsid w:val="0062090E"/>
    <w:rsid w:val="00622FD0"/>
    <w:rsid w:val="006234BB"/>
    <w:rsid w:val="006239A9"/>
    <w:rsid w:val="006241E6"/>
    <w:rsid w:val="00624E12"/>
    <w:rsid w:val="00625BBE"/>
    <w:rsid w:val="006266E2"/>
    <w:rsid w:val="00626AD7"/>
    <w:rsid w:val="00640D12"/>
    <w:rsid w:val="00641496"/>
    <w:rsid w:val="00642092"/>
    <w:rsid w:val="00642160"/>
    <w:rsid w:val="00643455"/>
    <w:rsid w:val="006441BD"/>
    <w:rsid w:val="006443B0"/>
    <w:rsid w:val="0064576E"/>
    <w:rsid w:val="006506ED"/>
    <w:rsid w:val="00650C4D"/>
    <w:rsid w:val="006513D5"/>
    <w:rsid w:val="00651672"/>
    <w:rsid w:val="0065358B"/>
    <w:rsid w:val="0066005B"/>
    <w:rsid w:val="00663533"/>
    <w:rsid w:val="0066388B"/>
    <w:rsid w:val="00667890"/>
    <w:rsid w:val="0067210E"/>
    <w:rsid w:val="006730A3"/>
    <w:rsid w:val="006740E4"/>
    <w:rsid w:val="00675372"/>
    <w:rsid w:val="00675D80"/>
    <w:rsid w:val="00676F95"/>
    <w:rsid w:val="00684E8C"/>
    <w:rsid w:val="006869DD"/>
    <w:rsid w:val="00690105"/>
    <w:rsid w:val="006919E2"/>
    <w:rsid w:val="00695E47"/>
    <w:rsid w:val="006A000E"/>
    <w:rsid w:val="006A218E"/>
    <w:rsid w:val="006A2422"/>
    <w:rsid w:val="006A6149"/>
    <w:rsid w:val="006B3EF6"/>
    <w:rsid w:val="006B7767"/>
    <w:rsid w:val="006B7D44"/>
    <w:rsid w:val="006C00A9"/>
    <w:rsid w:val="006C01C7"/>
    <w:rsid w:val="006C1D8B"/>
    <w:rsid w:val="006C1FB2"/>
    <w:rsid w:val="006C2582"/>
    <w:rsid w:val="006C259A"/>
    <w:rsid w:val="006C425B"/>
    <w:rsid w:val="006C49BB"/>
    <w:rsid w:val="006D08EE"/>
    <w:rsid w:val="006D14B8"/>
    <w:rsid w:val="006D19F2"/>
    <w:rsid w:val="006D288E"/>
    <w:rsid w:val="006D3D7C"/>
    <w:rsid w:val="006D6A57"/>
    <w:rsid w:val="006E0715"/>
    <w:rsid w:val="006E280F"/>
    <w:rsid w:val="006E3C87"/>
    <w:rsid w:val="006E4A25"/>
    <w:rsid w:val="006E58B9"/>
    <w:rsid w:val="006F2B49"/>
    <w:rsid w:val="006F313B"/>
    <w:rsid w:val="006F4288"/>
    <w:rsid w:val="006F4766"/>
    <w:rsid w:val="006F5389"/>
    <w:rsid w:val="006F5B49"/>
    <w:rsid w:val="007003E8"/>
    <w:rsid w:val="00704769"/>
    <w:rsid w:val="00706D4B"/>
    <w:rsid w:val="007075EF"/>
    <w:rsid w:val="00710668"/>
    <w:rsid w:val="007155DC"/>
    <w:rsid w:val="007202B8"/>
    <w:rsid w:val="007264C3"/>
    <w:rsid w:val="00726B49"/>
    <w:rsid w:val="007326DE"/>
    <w:rsid w:val="007367A0"/>
    <w:rsid w:val="007413AF"/>
    <w:rsid w:val="0074391B"/>
    <w:rsid w:val="007442EB"/>
    <w:rsid w:val="00745BE4"/>
    <w:rsid w:val="007501AD"/>
    <w:rsid w:val="0075098C"/>
    <w:rsid w:val="00751E55"/>
    <w:rsid w:val="007529C5"/>
    <w:rsid w:val="00753551"/>
    <w:rsid w:val="007538F8"/>
    <w:rsid w:val="00753B19"/>
    <w:rsid w:val="00755101"/>
    <w:rsid w:val="00762B5F"/>
    <w:rsid w:val="007667AA"/>
    <w:rsid w:val="007670E1"/>
    <w:rsid w:val="00767CE5"/>
    <w:rsid w:val="00770F18"/>
    <w:rsid w:val="00771598"/>
    <w:rsid w:val="0077176E"/>
    <w:rsid w:val="00772BCC"/>
    <w:rsid w:val="007737E7"/>
    <w:rsid w:val="007739DA"/>
    <w:rsid w:val="00776366"/>
    <w:rsid w:val="007767D2"/>
    <w:rsid w:val="00780DB9"/>
    <w:rsid w:val="00783D20"/>
    <w:rsid w:val="00786DED"/>
    <w:rsid w:val="00790F67"/>
    <w:rsid w:val="00791FC2"/>
    <w:rsid w:val="00792A2D"/>
    <w:rsid w:val="00794BF9"/>
    <w:rsid w:val="00796F82"/>
    <w:rsid w:val="007A064A"/>
    <w:rsid w:val="007A0659"/>
    <w:rsid w:val="007A3D1B"/>
    <w:rsid w:val="007A4D41"/>
    <w:rsid w:val="007A5332"/>
    <w:rsid w:val="007A5517"/>
    <w:rsid w:val="007A5B3E"/>
    <w:rsid w:val="007B0D09"/>
    <w:rsid w:val="007B2631"/>
    <w:rsid w:val="007B2710"/>
    <w:rsid w:val="007B34E8"/>
    <w:rsid w:val="007B595D"/>
    <w:rsid w:val="007B5C01"/>
    <w:rsid w:val="007B6C0F"/>
    <w:rsid w:val="007C3F9B"/>
    <w:rsid w:val="007D0752"/>
    <w:rsid w:val="007D6975"/>
    <w:rsid w:val="007D7537"/>
    <w:rsid w:val="007E44C3"/>
    <w:rsid w:val="007E5635"/>
    <w:rsid w:val="007E6D00"/>
    <w:rsid w:val="007E7D35"/>
    <w:rsid w:val="007F497C"/>
    <w:rsid w:val="007F7086"/>
    <w:rsid w:val="00802DA0"/>
    <w:rsid w:val="00804D8E"/>
    <w:rsid w:val="00812620"/>
    <w:rsid w:val="00814803"/>
    <w:rsid w:val="00815574"/>
    <w:rsid w:val="0081636B"/>
    <w:rsid w:val="00820B1D"/>
    <w:rsid w:val="00821BEF"/>
    <w:rsid w:val="00822E7B"/>
    <w:rsid w:val="00823257"/>
    <w:rsid w:val="00826DD0"/>
    <w:rsid w:val="008304B9"/>
    <w:rsid w:val="00830E45"/>
    <w:rsid w:val="00834152"/>
    <w:rsid w:val="00836FDC"/>
    <w:rsid w:val="0083723E"/>
    <w:rsid w:val="00837526"/>
    <w:rsid w:val="00837CEA"/>
    <w:rsid w:val="00840FBB"/>
    <w:rsid w:val="0084406F"/>
    <w:rsid w:val="00844AE6"/>
    <w:rsid w:val="008452B6"/>
    <w:rsid w:val="00851719"/>
    <w:rsid w:val="00851982"/>
    <w:rsid w:val="00852601"/>
    <w:rsid w:val="00854529"/>
    <w:rsid w:val="0085587D"/>
    <w:rsid w:val="00855A81"/>
    <w:rsid w:val="00856CF1"/>
    <w:rsid w:val="00857C03"/>
    <w:rsid w:val="00857CE5"/>
    <w:rsid w:val="00863B5E"/>
    <w:rsid w:val="00865A11"/>
    <w:rsid w:val="00870BAE"/>
    <w:rsid w:val="00871FC7"/>
    <w:rsid w:val="00873E3B"/>
    <w:rsid w:val="0087482D"/>
    <w:rsid w:val="0087594A"/>
    <w:rsid w:val="00875A99"/>
    <w:rsid w:val="008806D5"/>
    <w:rsid w:val="00882A0B"/>
    <w:rsid w:val="008838EE"/>
    <w:rsid w:val="00884801"/>
    <w:rsid w:val="00885690"/>
    <w:rsid w:val="00887D27"/>
    <w:rsid w:val="00891555"/>
    <w:rsid w:val="0089318D"/>
    <w:rsid w:val="00893323"/>
    <w:rsid w:val="00895065"/>
    <w:rsid w:val="008A0826"/>
    <w:rsid w:val="008A1593"/>
    <w:rsid w:val="008A41D8"/>
    <w:rsid w:val="008A57A5"/>
    <w:rsid w:val="008A590D"/>
    <w:rsid w:val="008B0681"/>
    <w:rsid w:val="008B06BD"/>
    <w:rsid w:val="008B09E9"/>
    <w:rsid w:val="008B0BBD"/>
    <w:rsid w:val="008B38FA"/>
    <w:rsid w:val="008B6654"/>
    <w:rsid w:val="008C0A5D"/>
    <w:rsid w:val="008C0D67"/>
    <w:rsid w:val="008C102D"/>
    <w:rsid w:val="008C2D2C"/>
    <w:rsid w:val="008C335D"/>
    <w:rsid w:val="008C3CCC"/>
    <w:rsid w:val="008C55C4"/>
    <w:rsid w:val="008C7187"/>
    <w:rsid w:val="008C7831"/>
    <w:rsid w:val="008C7A30"/>
    <w:rsid w:val="008C7B81"/>
    <w:rsid w:val="008D22E3"/>
    <w:rsid w:val="008D2E4D"/>
    <w:rsid w:val="008D2F3B"/>
    <w:rsid w:val="008D547E"/>
    <w:rsid w:val="008D5ED6"/>
    <w:rsid w:val="008D7258"/>
    <w:rsid w:val="008E12B5"/>
    <w:rsid w:val="008E24D8"/>
    <w:rsid w:val="008E3F0F"/>
    <w:rsid w:val="008E42C4"/>
    <w:rsid w:val="008E4878"/>
    <w:rsid w:val="008E5A2D"/>
    <w:rsid w:val="008E6115"/>
    <w:rsid w:val="008E65D5"/>
    <w:rsid w:val="008E6D40"/>
    <w:rsid w:val="008E7A40"/>
    <w:rsid w:val="008E7C27"/>
    <w:rsid w:val="008F4563"/>
    <w:rsid w:val="008F7772"/>
    <w:rsid w:val="00900D74"/>
    <w:rsid w:val="00900FBF"/>
    <w:rsid w:val="009013EA"/>
    <w:rsid w:val="009017DF"/>
    <w:rsid w:val="00902D71"/>
    <w:rsid w:val="0090397B"/>
    <w:rsid w:val="009104B4"/>
    <w:rsid w:val="0091103E"/>
    <w:rsid w:val="009114C2"/>
    <w:rsid w:val="009118E6"/>
    <w:rsid w:val="0091264B"/>
    <w:rsid w:val="00912B39"/>
    <w:rsid w:val="00914629"/>
    <w:rsid w:val="00917470"/>
    <w:rsid w:val="00917784"/>
    <w:rsid w:val="00917947"/>
    <w:rsid w:val="00917DEE"/>
    <w:rsid w:val="00925A36"/>
    <w:rsid w:val="00927261"/>
    <w:rsid w:val="00927C03"/>
    <w:rsid w:val="0093017F"/>
    <w:rsid w:val="00930E87"/>
    <w:rsid w:val="0093130F"/>
    <w:rsid w:val="0093136B"/>
    <w:rsid w:val="009336F7"/>
    <w:rsid w:val="009339B7"/>
    <w:rsid w:val="009349D0"/>
    <w:rsid w:val="009353C9"/>
    <w:rsid w:val="00936033"/>
    <w:rsid w:val="00937797"/>
    <w:rsid w:val="0093789A"/>
    <w:rsid w:val="00941D6D"/>
    <w:rsid w:val="00942ED6"/>
    <w:rsid w:val="0094331F"/>
    <w:rsid w:val="009441CB"/>
    <w:rsid w:val="00945DB1"/>
    <w:rsid w:val="00946989"/>
    <w:rsid w:val="00946E46"/>
    <w:rsid w:val="00947BF8"/>
    <w:rsid w:val="00950941"/>
    <w:rsid w:val="00952AD4"/>
    <w:rsid w:val="00953766"/>
    <w:rsid w:val="009537A2"/>
    <w:rsid w:val="00953A0D"/>
    <w:rsid w:val="00957C14"/>
    <w:rsid w:val="009601BC"/>
    <w:rsid w:val="00962584"/>
    <w:rsid w:val="00962A17"/>
    <w:rsid w:val="00964FA4"/>
    <w:rsid w:val="009650EA"/>
    <w:rsid w:val="00966D01"/>
    <w:rsid w:val="00966DD3"/>
    <w:rsid w:val="009701FB"/>
    <w:rsid w:val="00970788"/>
    <w:rsid w:val="00970801"/>
    <w:rsid w:val="00971BF6"/>
    <w:rsid w:val="0097233B"/>
    <w:rsid w:val="00972858"/>
    <w:rsid w:val="00972B03"/>
    <w:rsid w:val="00973871"/>
    <w:rsid w:val="009754CC"/>
    <w:rsid w:val="00975931"/>
    <w:rsid w:val="009768D6"/>
    <w:rsid w:val="00976F89"/>
    <w:rsid w:val="00977169"/>
    <w:rsid w:val="00981480"/>
    <w:rsid w:val="00982000"/>
    <w:rsid w:val="00982AFE"/>
    <w:rsid w:val="00982FD5"/>
    <w:rsid w:val="00983507"/>
    <w:rsid w:val="009843DF"/>
    <w:rsid w:val="00984A33"/>
    <w:rsid w:val="00984D04"/>
    <w:rsid w:val="009857A8"/>
    <w:rsid w:val="00985C77"/>
    <w:rsid w:val="00986E1D"/>
    <w:rsid w:val="00987882"/>
    <w:rsid w:val="0099299E"/>
    <w:rsid w:val="00992EED"/>
    <w:rsid w:val="009930CC"/>
    <w:rsid w:val="00995090"/>
    <w:rsid w:val="009951A1"/>
    <w:rsid w:val="009A142A"/>
    <w:rsid w:val="009A3B0D"/>
    <w:rsid w:val="009A6608"/>
    <w:rsid w:val="009A7903"/>
    <w:rsid w:val="009A79C1"/>
    <w:rsid w:val="009A7B4D"/>
    <w:rsid w:val="009B183B"/>
    <w:rsid w:val="009B1E86"/>
    <w:rsid w:val="009B41EF"/>
    <w:rsid w:val="009B7A37"/>
    <w:rsid w:val="009B7B0B"/>
    <w:rsid w:val="009C2555"/>
    <w:rsid w:val="009C347F"/>
    <w:rsid w:val="009C357E"/>
    <w:rsid w:val="009C3D80"/>
    <w:rsid w:val="009C421A"/>
    <w:rsid w:val="009C4B5D"/>
    <w:rsid w:val="009C66C9"/>
    <w:rsid w:val="009C71EB"/>
    <w:rsid w:val="009D24BD"/>
    <w:rsid w:val="009D2DC7"/>
    <w:rsid w:val="009D3D19"/>
    <w:rsid w:val="009D5B98"/>
    <w:rsid w:val="009D6BCA"/>
    <w:rsid w:val="009D72BE"/>
    <w:rsid w:val="009E0611"/>
    <w:rsid w:val="009E0CB9"/>
    <w:rsid w:val="009E4A8D"/>
    <w:rsid w:val="009E596D"/>
    <w:rsid w:val="009E59B8"/>
    <w:rsid w:val="009E78E0"/>
    <w:rsid w:val="009F23EA"/>
    <w:rsid w:val="009F4390"/>
    <w:rsid w:val="00A01195"/>
    <w:rsid w:val="00A017C1"/>
    <w:rsid w:val="00A06E3C"/>
    <w:rsid w:val="00A0706A"/>
    <w:rsid w:val="00A07F6C"/>
    <w:rsid w:val="00A11D8F"/>
    <w:rsid w:val="00A1265A"/>
    <w:rsid w:val="00A13E1E"/>
    <w:rsid w:val="00A14BA3"/>
    <w:rsid w:val="00A1537A"/>
    <w:rsid w:val="00A1685A"/>
    <w:rsid w:val="00A16F9E"/>
    <w:rsid w:val="00A21A4E"/>
    <w:rsid w:val="00A2221A"/>
    <w:rsid w:val="00A2242D"/>
    <w:rsid w:val="00A25AE8"/>
    <w:rsid w:val="00A30B85"/>
    <w:rsid w:val="00A30D1D"/>
    <w:rsid w:val="00A312D7"/>
    <w:rsid w:val="00A32212"/>
    <w:rsid w:val="00A335A1"/>
    <w:rsid w:val="00A349B4"/>
    <w:rsid w:val="00A34B99"/>
    <w:rsid w:val="00A35754"/>
    <w:rsid w:val="00A36171"/>
    <w:rsid w:val="00A36317"/>
    <w:rsid w:val="00A37032"/>
    <w:rsid w:val="00A40E13"/>
    <w:rsid w:val="00A41636"/>
    <w:rsid w:val="00A42161"/>
    <w:rsid w:val="00A43533"/>
    <w:rsid w:val="00A44F9E"/>
    <w:rsid w:val="00A5059F"/>
    <w:rsid w:val="00A50939"/>
    <w:rsid w:val="00A50FE4"/>
    <w:rsid w:val="00A510F1"/>
    <w:rsid w:val="00A605B4"/>
    <w:rsid w:val="00A6136A"/>
    <w:rsid w:val="00A63631"/>
    <w:rsid w:val="00A63802"/>
    <w:rsid w:val="00A649FE"/>
    <w:rsid w:val="00A65576"/>
    <w:rsid w:val="00A70D6A"/>
    <w:rsid w:val="00A719C6"/>
    <w:rsid w:val="00A724B3"/>
    <w:rsid w:val="00A726C6"/>
    <w:rsid w:val="00A76E35"/>
    <w:rsid w:val="00A83E23"/>
    <w:rsid w:val="00A8476A"/>
    <w:rsid w:val="00A86DD9"/>
    <w:rsid w:val="00A87E2B"/>
    <w:rsid w:val="00A90219"/>
    <w:rsid w:val="00A903F4"/>
    <w:rsid w:val="00A9526A"/>
    <w:rsid w:val="00A96023"/>
    <w:rsid w:val="00AA019D"/>
    <w:rsid w:val="00AA11BF"/>
    <w:rsid w:val="00AA1B69"/>
    <w:rsid w:val="00AB18F5"/>
    <w:rsid w:val="00AB2ED6"/>
    <w:rsid w:val="00AB39CA"/>
    <w:rsid w:val="00AB65DB"/>
    <w:rsid w:val="00AB66B6"/>
    <w:rsid w:val="00AC352A"/>
    <w:rsid w:val="00AC3B43"/>
    <w:rsid w:val="00AC4E1A"/>
    <w:rsid w:val="00AD006D"/>
    <w:rsid w:val="00AD11EA"/>
    <w:rsid w:val="00AD1B70"/>
    <w:rsid w:val="00AD218C"/>
    <w:rsid w:val="00AD2262"/>
    <w:rsid w:val="00AD2F82"/>
    <w:rsid w:val="00AD5619"/>
    <w:rsid w:val="00AD6B17"/>
    <w:rsid w:val="00AD70AC"/>
    <w:rsid w:val="00AE35B8"/>
    <w:rsid w:val="00AE75C8"/>
    <w:rsid w:val="00AF179A"/>
    <w:rsid w:val="00AF18D3"/>
    <w:rsid w:val="00AF3584"/>
    <w:rsid w:val="00AF38AF"/>
    <w:rsid w:val="00AF5AEE"/>
    <w:rsid w:val="00B014D9"/>
    <w:rsid w:val="00B04E06"/>
    <w:rsid w:val="00B05851"/>
    <w:rsid w:val="00B058AC"/>
    <w:rsid w:val="00B06AB5"/>
    <w:rsid w:val="00B07146"/>
    <w:rsid w:val="00B07356"/>
    <w:rsid w:val="00B12BAF"/>
    <w:rsid w:val="00B144D9"/>
    <w:rsid w:val="00B17617"/>
    <w:rsid w:val="00B17985"/>
    <w:rsid w:val="00B17EFD"/>
    <w:rsid w:val="00B21765"/>
    <w:rsid w:val="00B2545F"/>
    <w:rsid w:val="00B25BCB"/>
    <w:rsid w:val="00B26BEE"/>
    <w:rsid w:val="00B27A91"/>
    <w:rsid w:val="00B32133"/>
    <w:rsid w:val="00B339C0"/>
    <w:rsid w:val="00B351B3"/>
    <w:rsid w:val="00B35A36"/>
    <w:rsid w:val="00B36CEA"/>
    <w:rsid w:val="00B43AF4"/>
    <w:rsid w:val="00B43E66"/>
    <w:rsid w:val="00B470F3"/>
    <w:rsid w:val="00B47EED"/>
    <w:rsid w:val="00B5055C"/>
    <w:rsid w:val="00B506EB"/>
    <w:rsid w:val="00B51076"/>
    <w:rsid w:val="00B52C9E"/>
    <w:rsid w:val="00B5540C"/>
    <w:rsid w:val="00B56C8A"/>
    <w:rsid w:val="00B56EDB"/>
    <w:rsid w:val="00B5733A"/>
    <w:rsid w:val="00B60694"/>
    <w:rsid w:val="00B63017"/>
    <w:rsid w:val="00B63AB7"/>
    <w:rsid w:val="00B63B31"/>
    <w:rsid w:val="00B63C29"/>
    <w:rsid w:val="00B65D65"/>
    <w:rsid w:val="00B665BD"/>
    <w:rsid w:val="00B675C2"/>
    <w:rsid w:val="00B71E02"/>
    <w:rsid w:val="00B72CFE"/>
    <w:rsid w:val="00B72E75"/>
    <w:rsid w:val="00B72F34"/>
    <w:rsid w:val="00B74451"/>
    <w:rsid w:val="00B748F9"/>
    <w:rsid w:val="00B81F9A"/>
    <w:rsid w:val="00B85253"/>
    <w:rsid w:val="00B863BE"/>
    <w:rsid w:val="00B87595"/>
    <w:rsid w:val="00B91EFC"/>
    <w:rsid w:val="00B96499"/>
    <w:rsid w:val="00B97C9F"/>
    <w:rsid w:val="00B97E23"/>
    <w:rsid w:val="00BA1510"/>
    <w:rsid w:val="00BA2B99"/>
    <w:rsid w:val="00BA3132"/>
    <w:rsid w:val="00BA369C"/>
    <w:rsid w:val="00BA5048"/>
    <w:rsid w:val="00BB0422"/>
    <w:rsid w:val="00BB0805"/>
    <w:rsid w:val="00BB0ECA"/>
    <w:rsid w:val="00BB3BEA"/>
    <w:rsid w:val="00BB637D"/>
    <w:rsid w:val="00BB7C17"/>
    <w:rsid w:val="00BC035B"/>
    <w:rsid w:val="00BC24C3"/>
    <w:rsid w:val="00BC423A"/>
    <w:rsid w:val="00BC48A8"/>
    <w:rsid w:val="00BC4E1B"/>
    <w:rsid w:val="00BC662A"/>
    <w:rsid w:val="00BC6F11"/>
    <w:rsid w:val="00BD0006"/>
    <w:rsid w:val="00BD0154"/>
    <w:rsid w:val="00BD1D66"/>
    <w:rsid w:val="00BD3B17"/>
    <w:rsid w:val="00BD6A00"/>
    <w:rsid w:val="00BE1555"/>
    <w:rsid w:val="00BE4F63"/>
    <w:rsid w:val="00BE6198"/>
    <w:rsid w:val="00BE65C8"/>
    <w:rsid w:val="00BE783A"/>
    <w:rsid w:val="00BF0718"/>
    <w:rsid w:val="00BF0B4C"/>
    <w:rsid w:val="00BF27B4"/>
    <w:rsid w:val="00BF2927"/>
    <w:rsid w:val="00BF2C23"/>
    <w:rsid w:val="00BF3576"/>
    <w:rsid w:val="00BF38B6"/>
    <w:rsid w:val="00BF4540"/>
    <w:rsid w:val="00BF5033"/>
    <w:rsid w:val="00BF5469"/>
    <w:rsid w:val="00BF61F2"/>
    <w:rsid w:val="00BF646F"/>
    <w:rsid w:val="00BF78BC"/>
    <w:rsid w:val="00C0042B"/>
    <w:rsid w:val="00C00A60"/>
    <w:rsid w:val="00C018D2"/>
    <w:rsid w:val="00C0234E"/>
    <w:rsid w:val="00C0317D"/>
    <w:rsid w:val="00C04F93"/>
    <w:rsid w:val="00C0731E"/>
    <w:rsid w:val="00C115D8"/>
    <w:rsid w:val="00C16064"/>
    <w:rsid w:val="00C203C2"/>
    <w:rsid w:val="00C249EF"/>
    <w:rsid w:val="00C3029E"/>
    <w:rsid w:val="00C30B8A"/>
    <w:rsid w:val="00C33371"/>
    <w:rsid w:val="00C33BD4"/>
    <w:rsid w:val="00C34B69"/>
    <w:rsid w:val="00C4234C"/>
    <w:rsid w:val="00C4249A"/>
    <w:rsid w:val="00C43CB9"/>
    <w:rsid w:val="00C5034A"/>
    <w:rsid w:val="00C519B0"/>
    <w:rsid w:val="00C56EA2"/>
    <w:rsid w:val="00C60251"/>
    <w:rsid w:val="00C6430A"/>
    <w:rsid w:val="00C64CAE"/>
    <w:rsid w:val="00C65D97"/>
    <w:rsid w:val="00C7168E"/>
    <w:rsid w:val="00C71E99"/>
    <w:rsid w:val="00C7346E"/>
    <w:rsid w:val="00C73859"/>
    <w:rsid w:val="00C73DC3"/>
    <w:rsid w:val="00C75A4F"/>
    <w:rsid w:val="00C760E5"/>
    <w:rsid w:val="00C76608"/>
    <w:rsid w:val="00C76885"/>
    <w:rsid w:val="00C7721E"/>
    <w:rsid w:val="00C83A4E"/>
    <w:rsid w:val="00C84623"/>
    <w:rsid w:val="00C84C54"/>
    <w:rsid w:val="00C856E3"/>
    <w:rsid w:val="00C90207"/>
    <w:rsid w:val="00C90521"/>
    <w:rsid w:val="00C91FD1"/>
    <w:rsid w:val="00C93FBB"/>
    <w:rsid w:val="00C95799"/>
    <w:rsid w:val="00C965A4"/>
    <w:rsid w:val="00C97ADE"/>
    <w:rsid w:val="00CA197C"/>
    <w:rsid w:val="00CA39E4"/>
    <w:rsid w:val="00CA4C96"/>
    <w:rsid w:val="00CA51F7"/>
    <w:rsid w:val="00CA6573"/>
    <w:rsid w:val="00CA7DB0"/>
    <w:rsid w:val="00CB0384"/>
    <w:rsid w:val="00CC058D"/>
    <w:rsid w:val="00CC06B8"/>
    <w:rsid w:val="00CC22C7"/>
    <w:rsid w:val="00CC2A73"/>
    <w:rsid w:val="00CC33CE"/>
    <w:rsid w:val="00CC4229"/>
    <w:rsid w:val="00CC5922"/>
    <w:rsid w:val="00CD054C"/>
    <w:rsid w:val="00CD28F6"/>
    <w:rsid w:val="00CD347F"/>
    <w:rsid w:val="00CD40C5"/>
    <w:rsid w:val="00CD4DA7"/>
    <w:rsid w:val="00CD750C"/>
    <w:rsid w:val="00CE05CC"/>
    <w:rsid w:val="00CE1DD2"/>
    <w:rsid w:val="00CE5032"/>
    <w:rsid w:val="00CE667C"/>
    <w:rsid w:val="00CE736F"/>
    <w:rsid w:val="00CF0383"/>
    <w:rsid w:val="00CF0792"/>
    <w:rsid w:val="00CF11AA"/>
    <w:rsid w:val="00CF13CB"/>
    <w:rsid w:val="00CF1FA3"/>
    <w:rsid w:val="00CF3FF8"/>
    <w:rsid w:val="00CF4E28"/>
    <w:rsid w:val="00CF64DE"/>
    <w:rsid w:val="00D004E3"/>
    <w:rsid w:val="00D0324E"/>
    <w:rsid w:val="00D034CC"/>
    <w:rsid w:val="00D0449A"/>
    <w:rsid w:val="00D05083"/>
    <w:rsid w:val="00D05D68"/>
    <w:rsid w:val="00D05FFD"/>
    <w:rsid w:val="00D07EFB"/>
    <w:rsid w:val="00D10E95"/>
    <w:rsid w:val="00D2462F"/>
    <w:rsid w:val="00D265D4"/>
    <w:rsid w:val="00D26D61"/>
    <w:rsid w:val="00D3049A"/>
    <w:rsid w:val="00D31A5B"/>
    <w:rsid w:val="00D31CD1"/>
    <w:rsid w:val="00D37CED"/>
    <w:rsid w:val="00D43301"/>
    <w:rsid w:val="00D4606E"/>
    <w:rsid w:val="00D47B90"/>
    <w:rsid w:val="00D502E0"/>
    <w:rsid w:val="00D5090A"/>
    <w:rsid w:val="00D50E31"/>
    <w:rsid w:val="00D51D22"/>
    <w:rsid w:val="00D5380A"/>
    <w:rsid w:val="00D53AC5"/>
    <w:rsid w:val="00D55AC8"/>
    <w:rsid w:val="00D5686F"/>
    <w:rsid w:val="00D56D30"/>
    <w:rsid w:val="00D578EE"/>
    <w:rsid w:val="00D57E84"/>
    <w:rsid w:val="00D60457"/>
    <w:rsid w:val="00D60EC4"/>
    <w:rsid w:val="00D61BA7"/>
    <w:rsid w:val="00D64880"/>
    <w:rsid w:val="00D64BC1"/>
    <w:rsid w:val="00D66347"/>
    <w:rsid w:val="00D664BC"/>
    <w:rsid w:val="00D66A1D"/>
    <w:rsid w:val="00D66E03"/>
    <w:rsid w:val="00D709BF"/>
    <w:rsid w:val="00D7106D"/>
    <w:rsid w:val="00D714A6"/>
    <w:rsid w:val="00D71BB3"/>
    <w:rsid w:val="00D72D98"/>
    <w:rsid w:val="00D74168"/>
    <w:rsid w:val="00D74B7B"/>
    <w:rsid w:val="00D757DB"/>
    <w:rsid w:val="00D76044"/>
    <w:rsid w:val="00D76885"/>
    <w:rsid w:val="00D77E19"/>
    <w:rsid w:val="00D80A1C"/>
    <w:rsid w:val="00D80B29"/>
    <w:rsid w:val="00D80EB9"/>
    <w:rsid w:val="00D81357"/>
    <w:rsid w:val="00D81CC6"/>
    <w:rsid w:val="00D821AB"/>
    <w:rsid w:val="00D8478C"/>
    <w:rsid w:val="00D84E73"/>
    <w:rsid w:val="00D8505C"/>
    <w:rsid w:val="00D867B4"/>
    <w:rsid w:val="00D87BE1"/>
    <w:rsid w:val="00D90B4C"/>
    <w:rsid w:val="00D919B0"/>
    <w:rsid w:val="00D92B33"/>
    <w:rsid w:val="00DA0C84"/>
    <w:rsid w:val="00DA1203"/>
    <w:rsid w:val="00DA19FF"/>
    <w:rsid w:val="00DA22C0"/>
    <w:rsid w:val="00DA382F"/>
    <w:rsid w:val="00DA635D"/>
    <w:rsid w:val="00DA6800"/>
    <w:rsid w:val="00DA6C2F"/>
    <w:rsid w:val="00DB439D"/>
    <w:rsid w:val="00DB4B78"/>
    <w:rsid w:val="00DB504E"/>
    <w:rsid w:val="00DB776D"/>
    <w:rsid w:val="00DB7877"/>
    <w:rsid w:val="00DC05D4"/>
    <w:rsid w:val="00DC18A9"/>
    <w:rsid w:val="00DC540D"/>
    <w:rsid w:val="00DC630F"/>
    <w:rsid w:val="00DC7F8B"/>
    <w:rsid w:val="00DD2CB1"/>
    <w:rsid w:val="00DD2FCE"/>
    <w:rsid w:val="00DD4CE3"/>
    <w:rsid w:val="00DD587D"/>
    <w:rsid w:val="00DE43E4"/>
    <w:rsid w:val="00DE4FF8"/>
    <w:rsid w:val="00DE5090"/>
    <w:rsid w:val="00DE5D11"/>
    <w:rsid w:val="00DE66C9"/>
    <w:rsid w:val="00DE67B6"/>
    <w:rsid w:val="00DF3B36"/>
    <w:rsid w:val="00DF3B6F"/>
    <w:rsid w:val="00DF445F"/>
    <w:rsid w:val="00DF46C8"/>
    <w:rsid w:val="00DF5234"/>
    <w:rsid w:val="00E0064D"/>
    <w:rsid w:val="00E03C2C"/>
    <w:rsid w:val="00E045DD"/>
    <w:rsid w:val="00E0461E"/>
    <w:rsid w:val="00E04B49"/>
    <w:rsid w:val="00E0725D"/>
    <w:rsid w:val="00E10232"/>
    <w:rsid w:val="00E103FF"/>
    <w:rsid w:val="00E10ABD"/>
    <w:rsid w:val="00E150BD"/>
    <w:rsid w:val="00E15D64"/>
    <w:rsid w:val="00E17CAA"/>
    <w:rsid w:val="00E2087F"/>
    <w:rsid w:val="00E2278C"/>
    <w:rsid w:val="00E24032"/>
    <w:rsid w:val="00E241D6"/>
    <w:rsid w:val="00E2623D"/>
    <w:rsid w:val="00E26A4B"/>
    <w:rsid w:val="00E26F9D"/>
    <w:rsid w:val="00E32D15"/>
    <w:rsid w:val="00E330BB"/>
    <w:rsid w:val="00E350EE"/>
    <w:rsid w:val="00E4057B"/>
    <w:rsid w:val="00E428D2"/>
    <w:rsid w:val="00E43C2A"/>
    <w:rsid w:val="00E453AC"/>
    <w:rsid w:val="00E45BAE"/>
    <w:rsid w:val="00E4664A"/>
    <w:rsid w:val="00E52C9D"/>
    <w:rsid w:val="00E54A1B"/>
    <w:rsid w:val="00E5568D"/>
    <w:rsid w:val="00E57749"/>
    <w:rsid w:val="00E62BB2"/>
    <w:rsid w:val="00E63C3E"/>
    <w:rsid w:val="00E64898"/>
    <w:rsid w:val="00E66A04"/>
    <w:rsid w:val="00E676DE"/>
    <w:rsid w:val="00E70255"/>
    <w:rsid w:val="00E70416"/>
    <w:rsid w:val="00E7110E"/>
    <w:rsid w:val="00E75D02"/>
    <w:rsid w:val="00E763B6"/>
    <w:rsid w:val="00E76682"/>
    <w:rsid w:val="00E76ED9"/>
    <w:rsid w:val="00E76F95"/>
    <w:rsid w:val="00E818D8"/>
    <w:rsid w:val="00E8198A"/>
    <w:rsid w:val="00E829B9"/>
    <w:rsid w:val="00E83AD9"/>
    <w:rsid w:val="00E85B90"/>
    <w:rsid w:val="00E8785A"/>
    <w:rsid w:val="00E9079E"/>
    <w:rsid w:val="00E92FE5"/>
    <w:rsid w:val="00E95842"/>
    <w:rsid w:val="00E9586B"/>
    <w:rsid w:val="00E95968"/>
    <w:rsid w:val="00EA6D13"/>
    <w:rsid w:val="00EB0C7C"/>
    <w:rsid w:val="00EB5E78"/>
    <w:rsid w:val="00EC0097"/>
    <w:rsid w:val="00EC0770"/>
    <w:rsid w:val="00EC29D8"/>
    <w:rsid w:val="00EC319D"/>
    <w:rsid w:val="00EC34FE"/>
    <w:rsid w:val="00EC3E2C"/>
    <w:rsid w:val="00EC4B68"/>
    <w:rsid w:val="00EC510D"/>
    <w:rsid w:val="00EC5B1F"/>
    <w:rsid w:val="00ED0040"/>
    <w:rsid w:val="00ED15A3"/>
    <w:rsid w:val="00ED1965"/>
    <w:rsid w:val="00ED3224"/>
    <w:rsid w:val="00ED39A2"/>
    <w:rsid w:val="00ED48CF"/>
    <w:rsid w:val="00EE1F6C"/>
    <w:rsid w:val="00EE441A"/>
    <w:rsid w:val="00EE4986"/>
    <w:rsid w:val="00EE7C82"/>
    <w:rsid w:val="00EF14E5"/>
    <w:rsid w:val="00EF18FA"/>
    <w:rsid w:val="00EF271B"/>
    <w:rsid w:val="00EF35A9"/>
    <w:rsid w:val="00EF53E1"/>
    <w:rsid w:val="00EF6CDB"/>
    <w:rsid w:val="00EF6FA5"/>
    <w:rsid w:val="00EF75EA"/>
    <w:rsid w:val="00F00119"/>
    <w:rsid w:val="00F02DF6"/>
    <w:rsid w:val="00F05336"/>
    <w:rsid w:val="00F06610"/>
    <w:rsid w:val="00F11301"/>
    <w:rsid w:val="00F143E4"/>
    <w:rsid w:val="00F2151D"/>
    <w:rsid w:val="00F21FBC"/>
    <w:rsid w:val="00F30BB8"/>
    <w:rsid w:val="00F330E1"/>
    <w:rsid w:val="00F344D3"/>
    <w:rsid w:val="00F34B63"/>
    <w:rsid w:val="00F35794"/>
    <w:rsid w:val="00F366C3"/>
    <w:rsid w:val="00F37537"/>
    <w:rsid w:val="00F4301A"/>
    <w:rsid w:val="00F50658"/>
    <w:rsid w:val="00F5078D"/>
    <w:rsid w:val="00F50CE6"/>
    <w:rsid w:val="00F51DB5"/>
    <w:rsid w:val="00F53928"/>
    <w:rsid w:val="00F54070"/>
    <w:rsid w:val="00F544F8"/>
    <w:rsid w:val="00F563DD"/>
    <w:rsid w:val="00F569AA"/>
    <w:rsid w:val="00F61B2B"/>
    <w:rsid w:val="00F64057"/>
    <w:rsid w:val="00F6442C"/>
    <w:rsid w:val="00F648F3"/>
    <w:rsid w:val="00F6727B"/>
    <w:rsid w:val="00F67998"/>
    <w:rsid w:val="00F703AB"/>
    <w:rsid w:val="00F70668"/>
    <w:rsid w:val="00F7310D"/>
    <w:rsid w:val="00F74BB4"/>
    <w:rsid w:val="00F754ED"/>
    <w:rsid w:val="00F76753"/>
    <w:rsid w:val="00F80146"/>
    <w:rsid w:val="00F814DE"/>
    <w:rsid w:val="00F83B1C"/>
    <w:rsid w:val="00F86E65"/>
    <w:rsid w:val="00F86F26"/>
    <w:rsid w:val="00F87173"/>
    <w:rsid w:val="00F90248"/>
    <w:rsid w:val="00F92BC8"/>
    <w:rsid w:val="00F93C6E"/>
    <w:rsid w:val="00F942BA"/>
    <w:rsid w:val="00F950F0"/>
    <w:rsid w:val="00F95577"/>
    <w:rsid w:val="00F964A0"/>
    <w:rsid w:val="00F96657"/>
    <w:rsid w:val="00F9684C"/>
    <w:rsid w:val="00F97A6F"/>
    <w:rsid w:val="00FA023D"/>
    <w:rsid w:val="00FA2215"/>
    <w:rsid w:val="00FA5DF3"/>
    <w:rsid w:val="00FA6369"/>
    <w:rsid w:val="00FA6E14"/>
    <w:rsid w:val="00FB10E8"/>
    <w:rsid w:val="00FB75FC"/>
    <w:rsid w:val="00FB7AFA"/>
    <w:rsid w:val="00FC07D0"/>
    <w:rsid w:val="00FC1678"/>
    <w:rsid w:val="00FC1BF0"/>
    <w:rsid w:val="00FC2728"/>
    <w:rsid w:val="00FC4D1C"/>
    <w:rsid w:val="00FC4E11"/>
    <w:rsid w:val="00FC5818"/>
    <w:rsid w:val="00FC7859"/>
    <w:rsid w:val="00FD076E"/>
    <w:rsid w:val="00FD0A82"/>
    <w:rsid w:val="00FD2EB1"/>
    <w:rsid w:val="00FD4074"/>
    <w:rsid w:val="00FD4C08"/>
    <w:rsid w:val="00FD4FA6"/>
    <w:rsid w:val="00FD6A7A"/>
    <w:rsid w:val="00FE093D"/>
    <w:rsid w:val="00FE170C"/>
    <w:rsid w:val="00FE344A"/>
    <w:rsid w:val="00FE48FC"/>
    <w:rsid w:val="00FE59BB"/>
    <w:rsid w:val="00FE5A04"/>
    <w:rsid w:val="00FE75AB"/>
    <w:rsid w:val="00FE7C5F"/>
    <w:rsid w:val="00FE7C7E"/>
    <w:rsid w:val="00FF27A8"/>
    <w:rsid w:val="00FF35D7"/>
    <w:rsid w:val="00FF65FE"/>
    <w:rsid w:val="00FF7497"/>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8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413AF"/>
    <w:pPr>
      <w:spacing w:before="75" w:after="75"/>
      <w:jc w:val="center"/>
    </w:pPr>
  </w:style>
  <w:style w:type="paragraph" w:styleId="HTMLPreformatted">
    <w:name w:val="HTML Preformatted"/>
    <w:basedOn w:val="Normal"/>
    <w:link w:val="HTMLPreformattedChar"/>
    <w:uiPriority w:val="99"/>
    <w:unhideWhenUsed/>
    <w:rsid w:val="002A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017B"/>
    <w:rPr>
      <w:rFonts w:ascii="Courier New" w:eastAsia="Times New Roman" w:hAnsi="Courier New" w:cs="Courier New"/>
      <w:sz w:val="20"/>
      <w:szCs w:val="20"/>
      <w:lang w:eastAsia="lv-LV"/>
    </w:rPr>
  </w:style>
  <w:style w:type="character" w:styleId="Hyperlink">
    <w:name w:val="Hyperlink"/>
    <w:basedOn w:val="DefaultParagraphFont"/>
    <w:uiPriority w:val="99"/>
    <w:semiHidden/>
    <w:unhideWhenUsed/>
    <w:rsid w:val="00544CEA"/>
    <w:rPr>
      <w:color w:val="0000FF"/>
      <w:u w:val="single"/>
    </w:rPr>
  </w:style>
  <w:style w:type="paragraph" w:styleId="ListParagraph">
    <w:name w:val="List Paragraph"/>
    <w:basedOn w:val="Normal"/>
    <w:uiPriority w:val="34"/>
    <w:qFormat/>
    <w:rsid w:val="0033212A"/>
    <w:pPr>
      <w:ind w:left="720"/>
      <w:contextualSpacing/>
    </w:pPr>
  </w:style>
  <w:style w:type="paragraph" w:styleId="BalloonText">
    <w:name w:val="Balloon Text"/>
    <w:basedOn w:val="Normal"/>
    <w:link w:val="BalloonTextChar"/>
    <w:uiPriority w:val="99"/>
    <w:semiHidden/>
    <w:unhideWhenUsed/>
    <w:rsid w:val="0059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6F"/>
    <w:rPr>
      <w:rFonts w:ascii="Segoe UI" w:eastAsia="Times New Roman" w:hAnsi="Segoe UI" w:cs="Segoe UI"/>
      <w:sz w:val="18"/>
      <w:szCs w:val="18"/>
      <w:lang w:eastAsia="lv-LV"/>
    </w:rPr>
  </w:style>
  <w:style w:type="paragraph" w:styleId="NormalWeb">
    <w:name w:val="Normal (Web)"/>
    <w:basedOn w:val="Normal"/>
    <w:uiPriority w:val="99"/>
    <w:rsid w:val="00620788"/>
    <w:pPr>
      <w:spacing w:before="100" w:beforeAutospacing="1" w:after="100" w:afterAutospacing="1"/>
    </w:pPr>
  </w:style>
  <w:style w:type="paragraph" w:customStyle="1" w:styleId="naisf">
    <w:name w:val="naisf"/>
    <w:basedOn w:val="Normal"/>
    <w:rsid w:val="00620788"/>
    <w:pPr>
      <w:spacing w:before="75" w:after="75"/>
      <w:ind w:firstLine="375"/>
      <w:jc w:val="both"/>
    </w:pPr>
  </w:style>
  <w:style w:type="paragraph" w:customStyle="1" w:styleId="naislab">
    <w:name w:val="naislab"/>
    <w:basedOn w:val="Normal"/>
    <w:uiPriority w:val="99"/>
    <w:rsid w:val="00620788"/>
    <w:pPr>
      <w:spacing w:before="75" w:after="75"/>
      <w:jc w:val="right"/>
    </w:pPr>
  </w:style>
  <w:style w:type="paragraph" w:customStyle="1" w:styleId="naiskr">
    <w:name w:val="naiskr"/>
    <w:basedOn w:val="Normal"/>
    <w:rsid w:val="00620788"/>
    <w:pPr>
      <w:spacing w:before="75" w:after="75"/>
    </w:pPr>
  </w:style>
  <w:style w:type="paragraph" w:customStyle="1" w:styleId="RakstzCharCharRakstzCharCharRakstz">
    <w:name w:val="Rakstz. Char Char Rakstz. Char Char Rakstz."/>
    <w:basedOn w:val="Normal"/>
    <w:rsid w:val="00620788"/>
    <w:pPr>
      <w:spacing w:after="160" w:line="240" w:lineRule="exact"/>
    </w:pPr>
    <w:rPr>
      <w:rFonts w:ascii="Tahoma" w:hAnsi="Tahoma" w:cs="Tahoma"/>
      <w:sz w:val="20"/>
      <w:szCs w:val="20"/>
      <w:lang w:val="en-US" w:eastAsia="en-US"/>
    </w:rPr>
  </w:style>
  <w:style w:type="paragraph" w:styleId="Header">
    <w:name w:val="header"/>
    <w:basedOn w:val="Normal"/>
    <w:link w:val="HeaderChar"/>
    <w:uiPriority w:val="99"/>
    <w:unhideWhenUsed/>
    <w:rsid w:val="00D47B90"/>
    <w:pPr>
      <w:tabs>
        <w:tab w:val="center" w:pos="4513"/>
        <w:tab w:val="right" w:pos="9026"/>
      </w:tabs>
    </w:pPr>
  </w:style>
  <w:style w:type="character" w:customStyle="1" w:styleId="HeaderChar">
    <w:name w:val="Header Char"/>
    <w:basedOn w:val="DefaultParagraphFont"/>
    <w:link w:val="Header"/>
    <w:uiPriority w:val="99"/>
    <w:rsid w:val="00D47B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7B90"/>
    <w:pPr>
      <w:tabs>
        <w:tab w:val="center" w:pos="4513"/>
        <w:tab w:val="right" w:pos="9026"/>
      </w:tabs>
    </w:pPr>
  </w:style>
  <w:style w:type="character" w:customStyle="1" w:styleId="FooterChar">
    <w:name w:val="Footer Char"/>
    <w:basedOn w:val="DefaultParagraphFont"/>
    <w:link w:val="Footer"/>
    <w:uiPriority w:val="99"/>
    <w:rsid w:val="00D47B90"/>
    <w:rPr>
      <w:rFonts w:ascii="Times New Roman" w:eastAsia="Times New Roman" w:hAnsi="Times New Roman" w:cs="Times New Roman"/>
      <w:sz w:val="24"/>
      <w:szCs w:val="24"/>
      <w:lang w:eastAsia="lv-LV"/>
    </w:rPr>
  </w:style>
  <w:style w:type="paragraph" w:styleId="Revision">
    <w:name w:val="Revision"/>
    <w:hidden/>
    <w:uiPriority w:val="99"/>
    <w:semiHidden/>
    <w:rsid w:val="009349D0"/>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B6654"/>
    <w:pPr>
      <w:spacing w:before="100" w:beforeAutospacing="1" w:after="100" w:afterAutospacing="1"/>
    </w:pPr>
  </w:style>
  <w:style w:type="paragraph" w:customStyle="1" w:styleId="NoSpacing1">
    <w:name w:val="No Spacing1"/>
    <w:qFormat/>
    <w:rsid w:val="008B6654"/>
    <w:pPr>
      <w:spacing w:after="0" w:line="240" w:lineRule="auto"/>
    </w:pPr>
    <w:rPr>
      <w:rFonts w:ascii="Calibri" w:eastAsia="Calibri" w:hAnsi="Calibri" w:cs="Times New Roman"/>
    </w:rPr>
  </w:style>
  <w:style w:type="table" w:styleId="TableGrid">
    <w:name w:val="Table Grid"/>
    <w:basedOn w:val="TableNormal"/>
    <w:rsid w:val="008B66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DDB"/>
    <w:rPr>
      <w:sz w:val="16"/>
      <w:szCs w:val="16"/>
    </w:rPr>
  </w:style>
  <w:style w:type="paragraph" w:styleId="CommentText">
    <w:name w:val="annotation text"/>
    <w:basedOn w:val="Normal"/>
    <w:link w:val="CommentTextChar"/>
    <w:semiHidden/>
    <w:unhideWhenUsed/>
    <w:rsid w:val="004A3DDB"/>
    <w:rPr>
      <w:sz w:val="20"/>
      <w:szCs w:val="20"/>
    </w:rPr>
  </w:style>
  <w:style w:type="character" w:customStyle="1" w:styleId="CommentTextChar">
    <w:name w:val="Comment Text Char"/>
    <w:basedOn w:val="DefaultParagraphFont"/>
    <w:link w:val="CommentText"/>
    <w:semiHidden/>
    <w:rsid w:val="004A3DD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A3DDB"/>
    <w:rPr>
      <w:b/>
      <w:bCs/>
    </w:rPr>
  </w:style>
  <w:style w:type="character" w:customStyle="1" w:styleId="CommentSubjectChar">
    <w:name w:val="Comment Subject Char"/>
    <w:basedOn w:val="CommentTextChar"/>
    <w:link w:val="CommentSubject"/>
    <w:uiPriority w:val="99"/>
    <w:semiHidden/>
    <w:rsid w:val="004A3DDB"/>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413AF"/>
    <w:pPr>
      <w:spacing w:before="75" w:after="75"/>
      <w:jc w:val="center"/>
    </w:pPr>
  </w:style>
  <w:style w:type="paragraph" w:styleId="HTMLPreformatted">
    <w:name w:val="HTML Preformatted"/>
    <w:basedOn w:val="Normal"/>
    <w:link w:val="HTMLPreformattedChar"/>
    <w:uiPriority w:val="99"/>
    <w:unhideWhenUsed/>
    <w:rsid w:val="002A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017B"/>
    <w:rPr>
      <w:rFonts w:ascii="Courier New" w:eastAsia="Times New Roman" w:hAnsi="Courier New" w:cs="Courier New"/>
      <w:sz w:val="20"/>
      <w:szCs w:val="20"/>
      <w:lang w:eastAsia="lv-LV"/>
    </w:rPr>
  </w:style>
  <w:style w:type="character" w:styleId="Hyperlink">
    <w:name w:val="Hyperlink"/>
    <w:basedOn w:val="DefaultParagraphFont"/>
    <w:uiPriority w:val="99"/>
    <w:semiHidden/>
    <w:unhideWhenUsed/>
    <w:rsid w:val="00544CEA"/>
    <w:rPr>
      <w:color w:val="0000FF"/>
      <w:u w:val="single"/>
    </w:rPr>
  </w:style>
  <w:style w:type="paragraph" w:styleId="ListParagraph">
    <w:name w:val="List Paragraph"/>
    <w:basedOn w:val="Normal"/>
    <w:uiPriority w:val="34"/>
    <w:qFormat/>
    <w:rsid w:val="0033212A"/>
    <w:pPr>
      <w:ind w:left="720"/>
      <w:contextualSpacing/>
    </w:pPr>
  </w:style>
  <w:style w:type="paragraph" w:styleId="BalloonText">
    <w:name w:val="Balloon Text"/>
    <w:basedOn w:val="Normal"/>
    <w:link w:val="BalloonTextChar"/>
    <w:uiPriority w:val="99"/>
    <w:semiHidden/>
    <w:unhideWhenUsed/>
    <w:rsid w:val="0059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6F"/>
    <w:rPr>
      <w:rFonts w:ascii="Segoe UI" w:eastAsia="Times New Roman" w:hAnsi="Segoe UI" w:cs="Segoe UI"/>
      <w:sz w:val="18"/>
      <w:szCs w:val="18"/>
      <w:lang w:eastAsia="lv-LV"/>
    </w:rPr>
  </w:style>
  <w:style w:type="paragraph" w:styleId="NormalWeb">
    <w:name w:val="Normal (Web)"/>
    <w:basedOn w:val="Normal"/>
    <w:uiPriority w:val="99"/>
    <w:rsid w:val="00620788"/>
    <w:pPr>
      <w:spacing w:before="100" w:beforeAutospacing="1" w:after="100" w:afterAutospacing="1"/>
    </w:pPr>
  </w:style>
  <w:style w:type="paragraph" w:customStyle="1" w:styleId="naisf">
    <w:name w:val="naisf"/>
    <w:basedOn w:val="Normal"/>
    <w:rsid w:val="00620788"/>
    <w:pPr>
      <w:spacing w:before="75" w:after="75"/>
      <w:ind w:firstLine="375"/>
      <w:jc w:val="both"/>
    </w:pPr>
  </w:style>
  <w:style w:type="paragraph" w:customStyle="1" w:styleId="naislab">
    <w:name w:val="naislab"/>
    <w:basedOn w:val="Normal"/>
    <w:uiPriority w:val="99"/>
    <w:rsid w:val="00620788"/>
    <w:pPr>
      <w:spacing w:before="75" w:after="75"/>
      <w:jc w:val="right"/>
    </w:pPr>
  </w:style>
  <w:style w:type="paragraph" w:customStyle="1" w:styleId="naiskr">
    <w:name w:val="naiskr"/>
    <w:basedOn w:val="Normal"/>
    <w:rsid w:val="00620788"/>
    <w:pPr>
      <w:spacing w:before="75" w:after="75"/>
    </w:pPr>
  </w:style>
  <w:style w:type="paragraph" w:customStyle="1" w:styleId="RakstzCharCharRakstzCharCharRakstz">
    <w:name w:val="Rakstz. Char Char Rakstz. Char Char Rakstz."/>
    <w:basedOn w:val="Normal"/>
    <w:rsid w:val="00620788"/>
    <w:pPr>
      <w:spacing w:after="160" w:line="240" w:lineRule="exact"/>
    </w:pPr>
    <w:rPr>
      <w:rFonts w:ascii="Tahoma" w:hAnsi="Tahoma" w:cs="Tahoma"/>
      <w:sz w:val="20"/>
      <w:szCs w:val="20"/>
      <w:lang w:val="en-US" w:eastAsia="en-US"/>
    </w:rPr>
  </w:style>
  <w:style w:type="paragraph" w:styleId="Header">
    <w:name w:val="header"/>
    <w:basedOn w:val="Normal"/>
    <w:link w:val="HeaderChar"/>
    <w:uiPriority w:val="99"/>
    <w:unhideWhenUsed/>
    <w:rsid w:val="00D47B90"/>
    <w:pPr>
      <w:tabs>
        <w:tab w:val="center" w:pos="4513"/>
        <w:tab w:val="right" w:pos="9026"/>
      </w:tabs>
    </w:pPr>
  </w:style>
  <w:style w:type="character" w:customStyle="1" w:styleId="HeaderChar">
    <w:name w:val="Header Char"/>
    <w:basedOn w:val="DefaultParagraphFont"/>
    <w:link w:val="Header"/>
    <w:uiPriority w:val="99"/>
    <w:rsid w:val="00D47B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7B90"/>
    <w:pPr>
      <w:tabs>
        <w:tab w:val="center" w:pos="4513"/>
        <w:tab w:val="right" w:pos="9026"/>
      </w:tabs>
    </w:pPr>
  </w:style>
  <w:style w:type="character" w:customStyle="1" w:styleId="FooterChar">
    <w:name w:val="Footer Char"/>
    <w:basedOn w:val="DefaultParagraphFont"/>
    <w:link w:val="Footer"/>
    <w:uiPriority w:val="99"/>
    <w:rsid w:val="00D47B90"/>
    <w:rPr>
      <w:rFonts w:ascii="Times New Roman" w:eastAsia="Times New Roman" w:hAnsi="Times New Roman" w:cs="Times New Roman"/>
      <w:sz w:val="24"/>
      <w:szCs w:val="24"/>
      <w:lang w:eastAsia="lv-LV"/>
    </w:rPr>
  </w:style>
  <w:style w:type="paragraph" w:styleId="Revision">
    <w:name w:val="Revision"/>
    <w:hidden/>
    <w:uiPriority w:val="99"/>
    <w:semiHidden/>
    <w:rsid w:val="009349D0"/>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B6654"/>
    <w:pPr>
      <w:spacing w:before="100" w:beforeAutospacing="1" w:after="100" w:afterAutospacing="1"/>
    </w:pPr>
  </w:style>
  <w:style w:type="paragraph" w:customStyle="1" w:styleId="NoSpacing1">
    <w:name w:val="No Spacing1"/>
    <w:qFormat/>
    <w:rsid w:val="008B6654"/>
    <w:pPr>
      <w:spacing w:after="0" w:line="240" w:lineRule="auto"/>
    </w:pPr>
    <w:rPr>
      <w:rFonts w:ascii="Calibri" w:eastAsia="Calibri" w:hAnsi="Calibri" w:cs="Times New Roman"/>
    </w:rPr>
  </w:style>
  <w:style w:type="table" w:styleId="TableGrid">
    <w:name w:val="Table Grid"/>
    <w:basedOn w:val="TableNormal"/>
    <w:rsid w:val="008B66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DDB"/>
    <w:rPr>
      <w:sz w:val="16"/>
      <w:szCs w:val="16"/>
    </w:rPr>
  </w:style>
  <w:style w:type="paragraph" w:styleId="CommentText">
    <w:name w:val="annotation text"/>
    <w:basedOn w:val="Normal"/>
    <w:link w:val="CommentTextChar"/>
    <w:semiHidden/>
    <w:unhideWhenUsed/>
    <w:rsid w:val="004A3DDB"/>
    <w:rPr>
      <w:sz w:val="20"/>
      <w:szCs w:val="20"/>
    </w:rPr>
  </w:style>
  <w:style w:type="character" w:customStyle="1" w:styleId="CommentTextChar">
    <w:name w:val="Comment Text Char"/>
    <w:basedOn w:val="DefaultParagraphFont"/>
    <w:link w:val="CommentText"/>
    <w:semiHidden/>
    <w:rsid w:val="004A3DD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A3DDB"/>
    <w:rPr>
      <w:b/>
      <w:bCs/>
    </w:rPr>
  </w:style>
  <w:style w:type="character" w:customStyle="1" w:styleId="CommentSubjectChar">
    <w:name w:val="Comment Subject Char"/>
    <w:basedOn w:val="CommentTextChar"/>
    <w:link w:val="CommentSubject"/>
    <w:uiPriority w:val="99"/>
    <w:semiHidden/>
    <w:rsid w:val="004A3DD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865">
      <w:bodyDiv w:val="1"/>
      <w:marLeft w:val="0"/>
      <w:marRight w:val="0"/>
      <w:marTop w:val="0"/>
      <w:marBottom w:val="0"/>
      <w:divBdr>
        <w:top w:val="none" w:sz="0" w:space="0" w:color="auto"/>
        <w:left w:val="none" w:sz="0" w:space="0" w:color="auto"/>
        <w:bottom w:val="none" w:sz="0" w:space="0" w:color="auto"/>
        <w:right w:val="none" w:sz="0" w:space="0" w:color="auto"/>
      </w:divBdr>
    </w:div>
    <w:div w:id="23559577">
      <w:bodyDiv w:val="1"/>
      <w:marLeft w:val="0"/>
      <w:marRight w:val="0"/>
      <w:marTop w:val="0"/>
      <w:marBottom w:val="0"/>
      <w:divBdr>
        <w:top w:val="none" w:sz="0" w:space="0" w:color="auto"/>
        <w:left w:val="none" w:sz="0" w:space="0" w:color="auto"/>
        <w:bottom w:val="none" w:sz="0" w:space="0" w:color="auto"/>
        <w:right w:val="none" w:sz="0" w:space="0" w:color="auto"/>
      </w:divBdr>
    </w:div>
    <w:div w:id="33116334">
      <w:bodyDiv w:val="1"/>
      <w:marLeft w:val="0"/>
      <w:marRight w:val="0"/>
      <w:marTop w:val="0"/>
      <w:marBottom w:val="0"/>
      <w:divBdr>
        <w:top w:val="none" w:sz="0" w:space="0" w:color="auto"/>
        <w:left w:val="none" w:sz="0" w:space="0" w:color="auto"/>
        <w:bottom w:val="none" w:sz="0" w:space="0" w:color="auto"/>
        <w:right w:val="none" w:sz="0" w:space="0" w:color="auto"/>
      </w:divBdr>
    </w:div>
    <w:div w:id="44451438">
      <w:bodyDiv w:val="1"/>
      <w:marLeft w:val="0"/>
      <w:marRight w:val="0"/>
      <w:marTop w:val="0"/>
      <w:marBottom w:val="0"/>
      <w:divBdr>
        <w:top w:val="none" w:sz="0" w:space="0" w:color="auto"/>
        <w:left w:val="none" w:sz="0" w:space="0" w:color="auto"/>
        <w:bottom w:val="none" w:sz="0" w:space="0" w:color="auto"/>
        <w:right w:val="none" w:sz="0" w:space="0" w:color="auto"/>
      </w:divBdr>
    </w:div>
    <w:div w:id="106699091">
      <w:bodyDiv w:val="1"/>
      <w:marLeft w:val="0"/>
      <w:marRight w:val="0"/>
      <w:marTop w:val="0"/>
      <w:marBottom w:val="0"/>
      <w:divBdr>
        <w:top w:val="none" w:sz="0" w:space="0" w:color="auto"/>
        <w:left w:val="none" w:sz="0" w:space="0" w:color="auto"/>
        <w:bottom w:val="none" w:sz="0" w:space="0" w:color="auto"/>
        <w:right w:val="none" w:sz="0" w:space="0" w:color="auto"/>
      </w:divBdr>
    </w:div>
    <w:div w:id="140855166">
      <w:bodyDiv w:val="1"/>
      <w:marLeft w:val="0"/>
      <w:marRight w:val="0"/>
      <w:marTop w:val="0"/>
      <w:marBottom w:val="0"/>
      <w:divBdr>
        <w:top w:val="none" w:sz="0" w:space="0" w:color="auto"/>
        <w:left w:val="none" w:sz="0" w:space="0" w:color="auto"/>
        <w:bottom w:val="none" w:sz="0" w:space="0" w:color="auto"/>
        <w:right w:val="none" w:sz="0" w:space="0" w:color="auto"/>
      </w:divBdr>
    </w:div>
    <w:div w:id="268901326">
      <w:bodyDiv w:val="1"/>
      <w:marLeft w:val="0"/>
      <w:marRight w:val="0"/>
      <w:marTop w:val="0"/>
      <w:marBottom w:val="0"/>
      <w:divBdr>
        <w:top w:val="none" w:sz="0" w:space="0" w:color="auto"/>
        <w:left w:val="none" w:sz="0" w:space="0" w:color="auto"/>
        <w:bottom w:val="none" w:sz="0" w:space="0" w:color="auto"/>
        <w:right w:val="none" w:sz="0" w:space="0" w:color="auto"/>
      </w:divBdr>
    </w:div>
    <w:div w:id="317998158">
      <w:bodyDiv w:val="1"/>
      <w:marLeft w:val="0"/>
      <w:marRight w:val="0"/>
      <w:marTop w:val="0"/>
      <w:marBottom w:val="0"/>
      <w:divBdr>
        <w:top w:val="none" w:sz="0" w:space="0" w:color="auto"/>
        <w:left w:val="none" w:sz="0" w:space="0" w:color="auto"/>
        <w:bottom w:val="none" w:sz="0" w:space="0" w:color="auto"/>
        <w:right w:val="none" w:sz="0" w:space="0" w:color="auto"/>
      </w:divBdr>
    </w:div>
    <w:div w:id="335353379">
      <w:bodyDiv w:val="1"/>
      <w:marLeft w:val="0"/>
      <w:marRight w:val="0"/>
      <w:marTop w:val="0"/>
      <w:marBottom w:val="0"/>
      <w:divBdr>
        <w:top w:val="none" w:sz="0" w:space="0" w:color="auto"/>
        <w:left w:val="none" w:sz="0" w:space="0" w:color="auto"/>
        <w:bottom w:val="none" w:sz="0" w:space="0" w:color="auto"/>
        <w:right w:val="none" w:sz="0" w:space="0" w:color="auto"/>
      </w:divBdr>
    </w:div>
    <w:div w:id="476265311">
      <w:bodyDiv w:val="1"/>
      <w:marLeft w:val="0"/>
      <w:marRight w:val="0"/>
      <w:marTop w:val="0"/>
      <w:marBottom w:val="0"/>
      <w:divBdr>
        <w:top w:val="none" w:sz="0" w:space="0" w:color="auto"/>
        <w:left w:val="none" w:sz="0" w:space="0" w:color="auto"/>
        <w:bottom w:val="none" w:sz="0" w:space="0" w:color="auto"/>
        <w:right w:val="none" w:sz="0" w:space="0" w:color="auto"/>
      </w:divBdr>
    </w:div>
    <w:div w:id="531461055">
      <w:bodyDiv w:val="1"/>
      <w:marLeft w:val="0"/>
      <w:marRight w:val="0"/>
      <w:marTop w:val="0"/>
      <w:marBottom w:val="0"/>
      <w:divBdr>
        <w:top w:val="none" w:sz="0" w:space="0" w:color="auto"/>
        <w:left w:val="none" w:sz="0" w:space="0" w:color="auto"/>
        <w:bottom w:val="none" w:sz="0" w:space="0" w:color="auto"/>
        <w:right w:val="none" w:sz="0" w:space="0" w:color="auto"/>
      </w:divBdr>
    </w:div>
    <w:div w:id="590089354">
      <w:bodyDiv w:val="1"/>
      <w:marLeft w:val="0"/>
      <w:marRight w:val="0"/>
      <w:marTop w:val="0"/>
      <w:marBottom w:val="0"/>
      <w:divBdr>
        <w:top w:val="none" w:sz="0" w:space="0" w:color="auto"/>
        <w:left w:val="none" w:sz="0" w:space="0" w:color="auto"/>
        <w:bottom w:val="none" w:sz="0" w:space="0" w:color="auto"/>
        <w:right w:val="none" w:sz="0" w:space="0" w:color="auto"/>
      </w:divBdr>
    </w:div>
    <w:div w:id="644239122">
      <w:bodyDiv w:val="1"/>
      <w:marLeft w:val="0"/>
      <w:marRight w:val="0"/>
      <w:marTop w:val="0"/>
      <w:marBottom w:val="0"/>
      <w:divBdr>
        <w:top w:val="none" w:sz="0" w:space="0" w:color="auto"/>
        <w:left w:val="none" w:sz="0" w:space="0" w:color="auto"/>
        <w:bottom w:val="none" w:sz="0" w:space="0" w:color="auto"/>
        <w:right w:val="none" w:sz="0" w:space="0" w:color="auto"/>
      </w:divBdr>
    </w:div>
    <w:div w:id="659189246">
      <w:bodyDiv w:val="1"/>
      <w:marLeft w:val="0"/>
      <w:marRight w:val="0"/>
      <w:marTop w:val="0"/>
      <w:marBottom w:val="0"/>
      <w:divBdr>
        <w:top w:val="none" w:sz="0" w:space="0" w:color="auto"/>
        <w:left w:val="none" w:sz="0" w:space="0" w:color="auto"/>
        <w:bottom w:val="none" w:sz="0" w:space="0" w:color="auto"/>
        <w:right w:val="none" w:sz="0" w:space="0" w:color="auto"/>
      </w:divBdr>
    </w:div>
    <w:div w:id="737561057">
      <w:bodyDiv w:val="1"/>
      <w:marLeft w:val="0"/>
      <w:marRight w:val="0"/>
      <w:marTop w:val="0"/>
      <w:marBottom w:val="0"/>
      <w:divBdr>
        <w:top w:val="none" w:sz="0" w:space="0" w:color="auto"/>
        <w:left w:val="none" w:sz="0" w:space="0" w:color="auto"/>
        <w:bottom w:val="none" w:sz="0" w:space="0" w:color="auto"/>
        <w:right w:val="none" w:sz="0" w:space="0" w:color="auto"/>
      </w:divBdr>
    </w:div>
    <w:div w:id="867066638">
      <w:bodyDiv w:val="1"/>
      <w:marLeft w:val="0"/>
      <w:marRight w:val="0"/>
      <w:marTop w:val="0"/>
      <w:marBottom w:val="0"/>
      <w:divBdr>
        <w:top w:val="none" w:sz="0" w:space="0" w:color="auto"/>
        <w:left w:val="none" w:sz="0" w:space="0" w:color="auto"/>
        <w:bottom w:val="none" w:sz="0" w:space="0" w:color="auto"/>
        <w:right w:val="none" w:sz="0" w:space="0" w:color="auto"/>
      </w:divBdr>
    </w:div>
    <w:div w:id="947850626">
      <w:bodyDiv w:val="1"/>
      <w:marLeft w:val="0"/>
      <w:marRight w:val="0"/>
      <w:marTop w:val="0"/>
      <w:marBottom w:val="0"/>
      <w:divBdr>
        <w:top w:val="none" w:sz="0" w:space="0" w:color="auto"/>
        <w:left w:val="none" w:sz="0" w:space="0" w:color="auto"/>
        <w:bottom w:val="none" w:sz="0" w:space="0" w:color="auto"/>
        <w:right w:val="none" w:sz="0" w:space="0" w:color="auto"/>
      </w:divBdr>
    </w:div>
    <w:div w:id="981617075">
      <w:bodyDiv w:val="1"/>
      <w:marLeft w:val="0"/>
      <w:marRight w:val="0"/>
      <w:marTop w:val="0"/>
      <w:marBottom w:val="0"/>
      <w:divBdr>
        <w:top w:val="none" w:sz="0" w:space="0" w:color="auto"/>
        <w:left w:val="none" w:sz="0" w:space="0" w:color="auto"/>
        <w:bottom w:val="none" w:sz="0" w:space="0" w:color="auto"/>
        <w:right w:val="none" w:sz="0" w:space="0" w:color="auto"/>
      </w:divBdr>
    </w:div>
    <w:div w:id="1002204065">
      <w:bodyDiv w:val="1"/>
      <w:marLeft w:val="0"/>
      <w:marRight w:val="0"/>
      <w:marTop w:val="0"/>
      <w:marBottom w:val="0"/>
      <w:divBdr>
        <w:top w:val="none" w:sz="0" w:space="0" w:color="auto"/>
        <w:left w:val="none" w:sz="0" w:space="0" w:color="auto"/>
        <w:bottom w:val="none" w:sz="0" w:space="0" w:color="auto"/>
        <w:right w:val="none" w:sz="0" w:space="0" w:color="auto"/>
      </w:divBdr>
    </w:div>
    <w:div w:id="1035689958">
      <w:bodyDiv w:val="1"/>
      <w:marLeft w:val="0"/>
      <w:marRight w:val="0"/>
      <w:marTop w:val="0"/>
      <w:marBottom w:val="0"/>
      <w:divBdr>
        <w:top w:val="none" w:sz="0" w:space="0" w:color="auto"/>
        <w:left w:val="none" w:sz="0" w:space="0" w:color="auto"/>
        <w:bottom w:val="none" w:sz="0" w:space="0" w:color="auto"/>
        <w:right w:val="none" w:sz="0" w:space="0" w:color="auto"/>
      </w:divBdr>
    </w:div>
    <w:div w:id="1037121915">
      <w:bodyDiv w:val="1"/>
      <w:marLeft w:val="0"/>
      <w:marRight w:val="0"/>
      <w:marTop w:val="0"/>
      <w:marBottom w:val="0"/>
      <w:divBdr>
        <w:top w:val="none" w:sz="0" w:space="0" w:color="auto"/>
        <w:left w:val="none" w:sz="0" w:space="0" w:color="auto"/>
        <w:bottom w:val="none" w:sz="0" w:space="0" w:color="auto"/>
        <w:right w:val="none" w:sz="0" w:space="0" w:color="auto"/>
      </w:divBdr>
    </w:div>
    <w:div w:id="1120143778">
      <w:bodyDiv w:val="1"/>
      <w:marLeft w:val="0"/>
      <w:marRight w:val="0"/>
      <w:marTop w:val="0"/>
      <w:marBottom w:val="0"/>
      <w:divBdr>
        <w:top w:val="none" w:sz="0" w:space="0" w:color="auto"/>
        <w:left w:val="none" w:sz="0" w:space="0" w:color="auto"/>
        <w:bottom w:val="none" w:sz="0" w:space="0" w:color="auto"/>
        <w:right w:val="none" w:sz="0" w:space="0" w:color="auto"/>
      </w:divBdr>
    </w:div>
    <w:div w:id="1188255346">
      <w:bodyDiv w:val="1"/>
      <w:marLeft w:val="0"/>
      <w:marRight w:val="0"/>
      <w:marTop w:val="0"/>
      <w:marBottom w:val="0"/>
      <w:divBdr>
        <w:top w:val="none" w:sz="0" w:space="0" w:color="auto"/>
        <w:left w:val="none" w:sz="0" w:space="0" w:color="auto"/>
        <w:bottom w:val="none" w:sz="0" w:space="0" w:color="auto"/>
        <w:right w:val="none" w:sz="0" w:space="0" w:color="auto"/>
      </w:divBdr>
    </w:div>
    <w:div w:id="1261335404">
      <w:bodyDiv w:val="1"/>
      <w:marLeft w:val="0"/>
      <w:marRight w:val="0"/>
      <w:marTop w:val="0"/>
      <w:marBottom w:val="0"/>
      <w:divBdr>
        <w:top w:val="none" w:sz="0" w:space="0" w:color="auto"/>
        <w:left w:val="none" w:sz="0" w:space="0" w:color="auto"/>
        <w:bottom w:val="none" w:sz="0" w:space="0" w:color="auto"/>
        <w:right w:val="none" w:sz="0" w:space="0" w:color="auto"/>
      </w:divBdr>
    </w:div>
    <w:div w:id="1352954487">
      <w:bodyDiv w:val="1"/>
      <w:marLeft w:val="0"/>
      <w:marRight w:val="0"/>
      <w:marTop w:val="0"/>
      <w:marBottom w:val="0"/>
      <w:divBdr>
        <w:top w:val="none" w:sz="0" w:space="0" w:color="auto"/>
        <w:left w:val="none" w:sz="0" w:space="0" w:color="auto"/>
        <w:bottom w:val="none" w:sz="0" w:space="0" w:color="auto"/>
        <w:right w:val="none" w:sz="0" w:space="0" w:color="auto"/>
      </w:divBdr>
    </w:div>
    <w:div w:id="1364553977">
      <w:bodyDiv w:val="1"/>
      <w:marLeft w:val="0"/>
      <w:marRight w:val="0"/>
      <w:marTop w:val="0"/>
      <w:marBottom w:val="0"/>
      <w:divBdr>
        <w:top w:val="none" w:sz="0" w:space="0" w:color="auto"/>
        <w:left w:val="none" w:sz="0" w:space="0" w:color="auto"/>
        <w:bottom w:val="none" w:sz="0" w:space="0" w:color="auto"/>
        <w:right w:val="none" w:sz="0" w:space="0" w:color="auto"/>
      </w:divBdr>
    </w:div>
    <w:div w:id="1385955891">
      <w:bodyDiv w:val="1"/>
      <w:marLeft w:val="0"/>
      <w:marRight w:val="0"/>
      <w:marTop w:val="0"/>
      <w:marBottom w:val="0"/>
      <w:divBdr>
        <w:top w:val="none" w:sz="0" w:space="0" w:color="auto"/>
        <w:left w:val="none" w:sz="0" w:space="0" w:color="auto"/>
        <w:bottom w:val="none" w:sz="0" w:space="0" w:color="auto"/>
        <w:right w:val="none" w:sz="0" w:space="0" w:color="auto"/>
      </w:divBdr>
    </w:div>
    <w:div w:id="1505632500">
      <w:bodyDiv w:val="1"/>
      <w:marLeft w:val="0"/>
      <w:marRight w:val="0"/>
      <w:marTop w:val="0"/>
      <w:marBottom w:val="0"/>
      <w:divBdr>
        <w:top w:val="none" w:sz="0" w:space="0" w:color="auto"/>
        <w:left w:val="none" w:sz="0" w:space="0" w:color="auto"/>
        <w:bottom w:val="none" w:sz="0" w:space="0" w:color="auto"/>
        <w:right w:val="none" w:sz="0" w:space="0" w:color="auto"/>
      </w:divBdr>
    </w:div>
    <w:div w:id="1508448893">
      <w:bodyDiv w:val="1"/>
      <w:marLeft w:val="0"/>
      <w:marRight w:val="0"/>
      <w:marTop w:val="0"/>
      <w:marBottom w:val="0"/>
      <w:divBdr>
        <w:top w:val="none" w:sz="0" w:space="0" w:color="auto"/>
        <w:left w:val="none" w:sz="0" w:space="0" w:color="auto"/>
        <w:bottom w:val="none" w:sz="0" w:space="0" w:color="auto"/>
        <w:right w:val="none" w:sz="0" w:space="0" w:color="auto"/>
      </w:divBdr>
    </w:div>
    <w:div w:id="1657345809">
      <w:bodyDiv w:val="1"/>
      <w:marLeft w:val="0"/>
      <w:marRight w:val="0"/>
      <w:marTop w:val="0"/>
      <w:marBottom w:val="0"/>
      <w:divBdr>
        <w:top w:val="none" w:sz="0" w:space="0" w:color="auto"/>
        <w:left w:val="none" w:sz="0" w:space="0" w:color="auto"/>
        <w:bottom w:val="none" w:sz="0" w:space="0" w:color="auto"/>
        <w:right w:val="none" w:sz="0" w:space="0" w:color="auto"/>
      </w:divBdr>
    </w:div>
    <w:div w:id="1723794059">
      <w:bodyDiv w:val="1"/>
      <w:marLeft w:val="0"/>
      <w:marRight w:val="0"/>
      <w:marTop w:val="0"/>
      <w:marBottom w:val="0"/>
      <w:divBdr>
        <w:top w:val="none" w:sz="0" w:space="0" w:color="auto"/>
        <w:left w:val="none" w:sz="0" w:space="0" w:color="auto"/>
        <w:bottom w:val="none" w:sz="0" w:space="0" w:color="auto"/>
        <w:right w:val="none" w:sz="0" w:space="0" w:color="auto"/>
      </w:divBdr>
    </w:div>
    <w:div w:id="1760759674">
      <w:bodyDiv w:val="1"/>
      <w:marLeft w:val="0"/>
      <w:marRight w:val="0"/>
      <w:marTop w:val="0"/>
      <w:marBottom w:val="0"/>
      <w:divBdr>
        <w:top w:val="none" w:sz="0" w:space="0" w:color="auto"/>
        <w:left w:val="none" w:sz="0" w:space="0" w:color="auto"/>
        <w:bottom w:val="none" w:sz="0" w:space="0" w:color="auto"/>
        <w:right w:val="none" w:sz="0" w:space="0" w:color="auto"/>
      </w:divBdr>
    </w:div>
    <w:div w:id="1801148113">
      <w:bodyDiv w:val="1"/>
      <w:marLeft w:val="0"/>
      <w:marRight w:val="0"/>
      <w:marTop w:val="0"/>
      <w:marBottom w:val="0"/>
      <w:divBdr>
        <w:top w:val="none" w:sz="0" w:space="0" w:color="auto"/>
        <w:left w:val="none" w:sz="0" w:space="0" w:color="auto"/>
        <w:bottom w:val="none" w:sz="0" w:space="0" w:color="auto"/>
        <w:right w:val="none" w:sz="0" w:space="0" w:color="auto"/>
      </w:divBdr>
    </w:div>
    <w:div w:id="1815415169">
      <w:bodyDiv w:val="1"/>
      <w:marLeft w:val="0"/>
      <w:marRight w:val="0"/>
      <w:marTop w:val="0"/>
      <w:marBottom w:val="0"/>
      <w:divBdr>
        <w:top w:val="none" w:sz="0" w:space="0" w:color="auto"/>
        <w:left w:val="none" w:sz="0" w:space="0" w:color="auto"/>
        <w:bottom w:val="none" w:sz="0" w:space="0" w:color="auto"/>
        <w:right w:val="none" w:sz="0" w:space="0" w:color="auto"/>
      </w:divBdr>
    </w:div>
    <w:div w:id="1881090650">
      <w:bodyDiv w:val="1"/>
      <w:marLeft w:val="0"/>
      <w:marRight w:val="0"/>
      <w:marTop w:val="0"/>
      <w:marBottom w:val="0"/>
      <w:divBdr>
        <w:top w:val="none" w:sz="0" w:space="0" w:color="auto"/>
        <w:left w:val="none" w:sz="0" w:space="0" w:color="auto"/>
        <w:bottom w:val="none" w:sz="0" w:space="0" w:color="auto"/>
        <w:right w:val="none" w:sz="0" w:space="0" w:color="auto"/>
      </w:divBdr>
    </w:div>
    <w:div w:id="1911499486">
      <w:bodyDiv w:val="1"/>
      <w:marLeft w:val="0"/>
      <w:marRight w:val="0"/>
      <w:marTop w:val="0"/>
      <w:marBottom w:val="0"/>
      <w:divBdr>
        <w:top w:val="none" w:sz="0" w:space="0" w:color="auto"/>
        <w:left w:val="none" w:sz="0" w:space="0" w:color="auto"/>
        <w:bottom w:val="none" w:sz="0" w:space="0" w:color="auto"/>
        <w:right w:val="none" w:sz="0" w:space="0" w:color="auto"/>
      </w:divBdr>
    </w:div>
    <w:div w:id="1958640841">
      <w:bodyDiv w:val="1"/>
      <w:marLeft w:val="0"/>
      <w:marRight w:val="0"/>
      <w:marTop w:val="0"/>
      <w:marBottom w:val="0"/>
      <w:divBdr>
        <w:top w:val="none" w:sz="0" w:space="0" w:color="auto"/>
        <w:left w:val="none" w:sz="0" w:space="0" w:color="auto"/>
        <w:bottom w:val="none" w:sz="0" w:space="0" w:color="auto"/>
        <w:right w:val="none" w:sz="0" w:space="0" w:color="auto"/>
      </w:divBdr>
    </w:div>
    <w:div w:id="1988124327">
      <w:bodyDiv w:val="1"/>
      <w:marLeft w:val="0"/>
      <w:marRight w:val="0"/>
      <w:marTop w:val="0"/>
      <w:marBottom w:val="0"/>
      <w:divBdr>
        <w:top w:val="none" w:sz="0" w:space="0" w:color="auto"/>
        <w:left w:val="none" w:sz="0" w:space="0" w:color="auto"/>
        <w:bottom w:val="none" w:sz="0" w:space="0" w:color="auto"/>
        <w:right w:val="none" w:sz="0" w:space="0" w:color="auto"/>
      </w:divBdr>
    </w:div>
    <w:div w:id="2021467032">
      <w:bodyDiv w:val="1"/>
      <w:marLeft w:val="0"/>
      <w:marRight w:val="0"/>
      <w:marTop w:val="0"/>
      <w:marBottom w:val="0"/>
      <w:divBdr>
        <w:top w:val="none" w:sz="0" w:space="0" w:color="auto"/>
        <w:left w:val="none" w:sz="0" w:space="0" w:color="auto"/>
        <w:bottom w:val="none" w:sz="0" w:space="0" w:color="auto"/>
        <w:right w:val="none" w:sz="0" w:space="0" w:color="auto"/>
      </w:divBdr>
    </w:div>
    <w:div w:id="20244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25FB-FBDB-48FC-A1EF-34AE8B1B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Razna</dc:creator>
  <cp:keywords/>
  <dc:description/>
  <cp:lastModifiedBy>Inga Kola</cp:lastModifiedBy>
  <cp:revision>42</cp:revision>
  <dcterms:created xsi:type="dcterms:W3CDTF">2020-04-15T09:56:00Z</dcterms:created>
  <dcterms:modified xsi:type="dcterms:W3CDTF">2020-04-16T10:34:00Z</dcterms:modified>
</cp:coreProperties>
</file>