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E5FC" w14:textId="77777777" w:rsidR="00B8550A" w:rsidRPr="00C16545" w:rsidRDefault="00B8550A" w:rsidP="00B85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rīkojuma projekta</w:t>
      </w:r>
      <w:r w:rsidR="002D66AD"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</w:t>
      </w:r>
      <w:r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Par grozījumu Ministru kabineta 2020.gada 5.maija rīkojumā Nr.238 “Par finanšu līdzekļu piešķiršanu no valsts budžeta programmas </w:t>
      </w:r>
    </w:p>
    <w:p w14:paraId="57B66B56" w14:textId="7384BD00" w:rsidR="002D66AD" w:rsidRPr="00C16545" w:rsidRDefault="00B8550A" w:rsidP="00B85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“Līdzekļi neparedzētiem gadījumiem””</w:t>
      </w:r>
      <w:r w:rsidR="002D66AD"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02173A"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sākotnējās ietekmes </w:t>
      </w:r>
    </w:p>
    <w:p w14:paraId="2848139D" w14:textId="0B29A548" w:rsidR="00894C55" w:rsidRPr="00C16545" w:rsidRDefault="00894C55" w:rsidP="002D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7025336B" w14:textId="77777777" w:rsidR="00E5323B" w:rsidRPr="00C1654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16545" w:rsidRPr="00C16545" w14:paraId="50336FA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715A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16545" w:rsidRPr="00C16545" w14:paraId="1AE1CD6D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FB7D" w14:textId="3CAA91E1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932C3" w14:textId="2EFD68E6" w:rsidR="00787F73" w:rsidRPr="00C16545" w:rsidRDefault="00787F73" w:rsidP="00787F7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Ministru kabineta rīkojuma projekts “Par grozījumu Ministru kabineta 2020.gada 5.maija rīkojumā Nr.238 “Par finanšu līdzekļu piešķiršanu no valsts budžeta programmas “Līdzekļi neparedzētiem gadījumiem””” (turpmāk – Ministru kabineta rīkojuma projekts) ir izstrādāts, lai nodrošinātu bezdarbnieka pabalsta izmaksu nepārtrauktību 2020.gadā.</w:t>
            </w:r>
          </w:p>
          <w:p w14:paraId="7295D722" w14:textId="418ACB15" w:rsidR="00787F73" w:rsidRPr="00C16545" w:rsidRDefault="00787F73" w:rsidP="00787F7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Labklājības ministrija</w:t>
            </w:r>
            <w:r w:rsidR="00490F4B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(turpmāk – LM)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kā īstermiņa situācijas risinājumu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izdevumu bezdarbnieka pabalsta nepārtrauktības nodrošināšanai ierosina novirzīt daļu no ar Ministru kabineta 2020.gada 5.maija rīkojumā Nr.238 “Par finanšu līdzekļu piešķiršanu no valsts budžeta programmas “Līdzekļi neparedzētiem gadījumiem”” piešķirtajiem līdzekļiem </w:t>
            </w:r>
            <w:r w:rsidR="00490F4B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LM</w:t>
            </w:r>
            <w:r w:rsidR="00606140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(Valsts sociālās apdrošināšanas aģentūrai) bezdarbnieka palīdzības pabalstam.</w:t>
            </w:r>
          </w:p>
          <w:p w14:paraId="06BCFA7A" w14:textId="4C978C6E" w:rsidR="00E5323B" w:rsidRPr="00C16545" w:rsidRDefault="00787F73" w:rsidP="0060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Ministru kabineta rīkojuma projekts stājas spēkā pēc tā pieņemšanas.</w:t>
            </w:r>
          </w:p>
        </w:tc>
      </w:tr>
    </w:tbl>
    <w:p w14:paraId="63927D6D" w14:textId="77777777" w:rsidR="00E5323B" w:rsidRPr="00C165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16545" w:rsidRPr="00C16545" w14:paraId="64040F9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AC99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16545" w:rsidRPr="00C16545" w14:paraId="21CCD4B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3167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FC55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A286" w14:textId="6DE6DB06" w:rsidR="002C74FD" w:rsidRPr="00C16545" w:rsidRDefault="001235D7" w:rsidP="0035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sz w:val="24"/>
                <w:szCs w:val="24"/>
              </w:rPr>
              <w:t>COVID-19 izsludināt</w:t>
            </w:r>
            <w:r w:rsidR="003B33A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C16545">
              <w:rPr>
                <w:rFonts w:ascii="Times New Roman" w:hAnsi="Times New Roman" w:cs="Times New Roman"/>
                <w:sz w:val="24"/>
                <w:szCs w:val="24"/>
              </w:rPr>
              <w:t xml:space="preserve"> ārkārt</w:t>
            </w:r>
            <w:r w:rsidR="00E810BA" w:rsidRPr="00C16545">
              <w:rPr>
                <w:rFonts w:ascii="Times New Roman" w:hAnsi="Times New Roman" w:cs="Times New Roman"/>
                <w:sz w:val="24"/>
                <w:szCs w:val="24"/>
              </w:rPr>
              <w:t>ēj</w:t>
            </w:r>
            <w:r w:rsidR="003B33A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E810BA" w:rsidRPr="00C1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45">
              <w:rPr>
                <w:rFonts w:ascii="Times New Roman" w:hAnsi="Times New Roman" w:cs="Times New Roman"/>
                <w:sz w:val="24"/>
                <w:szCs w:val="24"/>
              </w:rPr>
              <w:t>situācij</w:t>
            </w:r>
            <w:r w:rsidR="003B33AA">
              <w:rPr>
                <w:rFonts w:ascii="Times New Roman" w:hAnsi="Times New Roman" w:cs="Times New Roman"/>
                <w:sz w:val="24"/>
                <w:szCs w:val="24"/>
              </w:rPr>
              <w:t>as radītās sekas.</w:t>
            </w:r>
          </w:p>
        </w:tc>
      </w:tr>
      <w:tr w:rsidR="00C16545" w:rsidRPr="00C16545" w14:paraId="20BAA78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F2E8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9A79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8A633" w14:textId="76630F45" w:rsidR="00536678" w:rsidRPr="00C16545" w:rsidRDefault="00706F09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Pamatojoties uz </w:t>
            </w:r>
            <w:r w:rsidR="00536678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5.maija rīkojumu Nr.238 “Par finanšu līdzekļu piešķiršanu no valsts budžeta programmas “Līdzekļi neparedzētiem gadījumiem””, no valsts budžeta programmas 02.00.00 </w:t>
            </w:r>
            <w:r w:rsidR="00AC39E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Līdzekļi neparedzētiem gadījumiem</w:t>
            </w:r>
            <w:r w:rsidR="00AC39E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7872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LM</w:t>
            </w:r>
            <w:r w:rsidR="00AC39E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(Valsts sociālās apdrošināšanas aģentūrai) ir 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piešķirt</w:t>
            </w:r>
            <w:r w:rsidR="00AC39E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finansējum</w:t>
            </w:r>
            <w:r w:rsidR="00AC39E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kas nepārsniedz 30 250 893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536678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, tai skaitā:</w:t>
            </w:r>
          </w:p>
          <w:p w14:paraId="4589789C" w14:textId="2D560D45" w:rsidR="00536678" w:rsidRPr="00C16545" w:rsidRDefault="00536678" w:rsidP="00876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30 217 860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6E7872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bezdarbnieka palīdzības pabalsta izmaks</w:t>
            </w:r>
            <w:r w:rsidR="006E7872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ai;</w:t>
            </w:r>
          </w:p>
          <w:p w14:paraId="13F2202F" w14:textId="34FF70CF" w:rsidR="00876B82" w:rsidRPr="00C16545" w:rsidRDefault="00536678" w:rsidP="00876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33 033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, lai segtu sociālās apdrošināšanas informācijas sistēmas (SAIS) funkcionalitātes nodrošināšanas izdevumus.</w:t>
            </w:r>
          </w:p>
          <w:p w14:paraId="5A0B3435" w14:textId="6CE3B598" w:rsidR="00876B82" w:rsidRPr="00C16545" w:rsidRDefault="00D66939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Saskaņā ar Finanšu ministrijas 2020.gada 6.maija rīkojumu Nr.149 “Par līdzekļu piešķiršanu” minēto mērķu nodrošināšanai veikta līdzekļu pārdale no valsts budžeta programmas 02.00.00 “Līdzekļi neparedzētiem gadījumiem” uz LM pamatbudžeta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programmu 99.00.00 “Līdzekļu neparedzētiem gadījumiem izlietojums” 10 105 653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apmērā, tajā skaitā 10 072 620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, lai nodrošinātu bezdarbnieka palīdzības pabalstu izmaksu.</w:t>
            </w:r>
          </w:p>
          <w:p w14:paraId="0212476E" w14:textId="6CABCD6E" w:rsidR="00D66939" w:rsidRPr="00C16545" w:rsidRDefault="00D66939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Atbilstoši faktiskajiem izpildes </w:t>
            </w:r>
            <w:r w:rsidR="00614FD4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datiem uz 2020.gada 25.jūniju,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izdevumi </w:t>
            </w:r>
            <w:r w:rsidR="00614FD4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bezdarbnieka palīdzības pabalst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</w:rPr>
              <w:t>a izmaksai sastāda</w:t>
            </w:r>
            <w:r w:rsidR="00614FD4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469 036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614FD4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t.i., </w:t>
            </w:r>
            <w:r w:rsidR="00285845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4,7% no faktiski piešķirtajiem līdzekļiem un </w:t>
            </w:r>
            <w:r w:rsidR="00EB4DBC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1,6% no apstiprinātā finansējuma. </w:t>
            </w:r>
          </w:p>
          <w:p w14:paraId="11BD79F1" w14:textId="33A375B8" w:rsidR="00961003" w:rsidRDefault="00EB4DBC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LM prognozē, ka 2020.gadā kopumā izdevumiem bezdarbnieka palīdzības pabalsta nodrošināšanai varētu būt ietaupījums</w:t>
            </w:r>
            <w:r w:rsidR="00961003">
              <w:rPr>
                <w:rFonts w:ascii="Times New Roman" w:hAnsi="Times New Roman" w:cs="Times New Roman"/>
                <w:iCs/>
                <w:sz w:val="24"/>
                <w:szCs w:val="24"/>
              </w:rPr>
              <w:t>, tomēr</w:t>
            </w:r>
            <w:r w:rsidR="00961003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šobrīd nav iespējams precīzi prognozēt izdevumu nepieciešamību bezdarbnieka palīdzības pabalsta nodrošināšanai 2020.gadā kopumā</w:t>
            </w:r>
            <w:r w:rsidR="009610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provizoriski nepārsniedzot ar </w:t>
            </w:r>
            <w:r w:rsidR="00961003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Finanšu ministrijas 2020.gada 6.maija rīkojumu Nr.149 “Par līdzekļu piešķiršanu”</w:t>
            </w:r>
            <w:r w:rsidR="009610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piešķirto finansējumu 10 072 620 </w:t>
            </w:r>
            <w:proofErr w:type="spellStart"/>
            <w:r w:rsidR="00961003" w:rsidRPr="009610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610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4D63DA2" w14:textId="57953DEE" w:rsidR="00EB4DBC" w:rsidRPr="00C16545" w:rsidRDefault="00961003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Līdz ar to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LM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ierosina novirzīt atlikušo (ar Finanšu ministrijas rīkojumiem nepārdalīto) finansējumu – ne vairāk kā 20 145 240 </w:t>
            </w:r>
            <w:proofErr w:type="spellStart"/>
            <w:r w:rsidR="000548AA" w:rsidRPr="00054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novirzīt bezdarbnieka pabalsta izmaksas nepārtrauktības nodrošināšanai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8CAEC94" w14:textId="0F72048D" w:rsidR="00EB4DBC" w:rsidRPr="00C16545" w:rsidRDefault="00EB4DBC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2554B0" w14:textId="756886D1" w:rsidR="00B665D6" w:rsidRPr="00C16545" w:rsidRDefault="00C2227B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COVID-19 radītie riski un izsludinātā ārkārt</w:t>
            </w:r>
            <w:r w:rsidR="003B33AA">
              <w:rPr>
                <w:rFonts w:ascii="Times New Roman" w:hAnsi="Times New Roman" w:cs="Times New Roman"/>
                <w:iCs/>
                <w:sz w:val="24"/>
                <w:szCs w:val="24"/>
              </w:rPr>
              <w:t>ējā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situācija  ir veicinājusi bezdarbnieku skaita, tostarp bezdarbnieka pabalsta saņēmēju skaita strauju pieaugumu, kā rezultātā strauji pieaug valsts sociālās apdrošināšanas budžeta izdevumi bezdarbnieka pabalstu izmaksai</w:t>
            </w:r>
            <w:r w:rsidR="002F116A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. Vi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enlaikus</w:t>
            </w:r>
            <w:r w:rsidR="002F116A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COVID-19 ietekmē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16A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mazinās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46849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valsts sociālās apdrošināšanas budžeta ieņēmumi</w:t>
            </w:r>
            <w:r w:rsidR="002F116A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, l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īdz ar to, speciālā budžeta apakšprogrammā 04.02.00 “Nodarbinātības speciālais budžets”, ir izveidojusies situācija, ka resursi būs nepietiekami, lai nodrošinātu pabalstu izmaksu. Atbilstoši budžeta izpildei, š.g. 5 mēnešos ieņēmumi apakšprogrammā 04.02.00 “Nodarbinātības speciālais budžets” ir saņemti 58,7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jeb 37,8% no gada plāna (155,3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kā rezultātā izdevumi par 25,9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pārsniedza ieņēmumus (izdevumi š.g. 5 mēnešos sasniedza 84,6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jeb 53,2% no gada plāna (159,0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ko galvenokārt ietekmēja izdevumi bezdarbnieka pabalsta izmaksai, kas š.g. 5 mēnešos bija 71,5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jeb 57,5% no gada plāna (124,3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tādejādi samazinot apakšprogrammas 04.02.00 “Nodarbinātības speciālais budžets” budžeta atlikumu no 56,5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uz š.g. 1.janvāri līdz 30,6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uz š.g. 31.maiju, t.sk. 20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investēti Valsts kases termiņnoguldījumā.</w:t>
            </w:r>
          </w:p>
          <w:p w14:paraId="04147EFF" w14:textId="6C218B6F" w:rsidR="002F116A" w:rsidRPr="00C16545" w:rsidRDefault="00A324EB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Līdz ar to uz 2020.gada 31.maiju apakšprogrammas 04.02.00 “Nodarbinātības speciālais budžets”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pieejamie resursi ir 10,6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kas ir nepietiekami, lai segtu izdevumus, jo bezdarbnieka pabalsta izmaksas š.g. jūnijā tiek prognozētas 18,5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apmērā. Informācijai – aprīļa mēneša izdevumi bezdarbnieka pabalsta izmaksai bija 13,8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savukārt maija mēneša izdevumi bezdarbnieka pabalsta izmaksai bija 16,7 </w:t>
            </w:r>
            <w:proofErr w:type="spellStart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milj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Līdz ar to kopumā š.g. aprīļa – jūnija izdevumi bezdarbnieka pabalsta izmaksai sasniedza 49,0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3385D8E" w14:textId="36164988" w:rsidR="00A324EB" w:rsidRPr="00C16545" w:rsidRDefault="00E0403A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Pašlaik tiek prognozēts, ka līdz gada beigām bezdarbnieka pabalstu izmaksai būs vajadzīgi resursi vēl 124,3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apmērā, kas par 71,5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pārsniedz pieejamos resursus, no tiem 10,6 milj. </w:t>
            </w:r>
            <w:proofErr w:type="spellStart"/>
            <w:r w:rsidR="00F67D34" w:rsidRPr="00F6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iespējams segt no apakšprogrammas 04.02.00 “Nodarbinātības speciālais budžets” atlikuma uz 2020.gada 31.maiju.</w:t>
            </w:r>
          </w:p>
          <w:p w14:paraId="1375BC5D" w14:textId="20DD02CA" w:rsidR="00961003" w:rsidRPr="00C16545" w:rsidRDefault="00317F3C" w:rsidP="0096100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Atlikušo summu L</w:t>
            </w:r>
            <w:r w:rsidR="006C0F1E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ierosina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daļēji iegūt</w:t>
            </w:r>
            <w:r w:rsidR="00A01BC1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 Ministru kabineta rīkojuma projektu, novirzot bezdarbnieka pabalsta izmaksai daļu</w:t>
            </w:r>
            <w:r w:rsid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(ne vairāk kā 20 145 240 </w:t>
            </w:r>
            <w:proofErr w:type="spellStart"/>
            <w:r w:rsidR="000548AA" w:rsidRPr="000548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0548A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A01BC1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 piešķirtajiem līdzekļiem bezdarbnieka palīdzības pabalstam, kas būtu kā 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da</w:t>
            </w:r>
            <w:r w:rsidR="009610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ļējs īstermiņa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A01BC1" w:rsidRPr="00C165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risinājums</w:t>
            </w:r>
            <w:r w:rsidR="00A01BC1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izdevumu bezdarbnieka pabalsta nepārtrauktības nodrošināšanai</w:t>
            </w:r>
            <w:r w:rsidR="009610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ar to nodrošinot provizoriski 2 bezdarbnieka pabalsta izmaksu porcijas, tādejādi nodrošinot bezdarbnieka pabalsta izmaksas jūlijā un augusta 1.porciju. </w:t>
            </w:r>
          </w:p>
          <w:p w14:paraId="0EDC337E" w14:textId="32388111" w:rsidR="00CE7721" w:rsidRPr="00C16545" w:rsidRDefault="00CE7721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Ministru kabineta rīkojuma projektam nav 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papildus 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ietekmes uz valsts budžeta izdevumiem kopumā</w:t>
            </w:r>
            <w:r w:rsidR="003B628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58C277E" w14:textId="77777777" w:rsidR="00CE7721" w:rsidRPr="00C16545" w:rsidRDefault="00A01BC1" w:rsidP="00876B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Vienlaikus LM strādā pie </w:t>
            </w:r>
            <w:r w:rsidR="00CE7721"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turpmākā risinājuma bezdarbnieka pabalsta izmaksu nepārtrauktības nodrošināšanai, tai skaitā izvērtējot optimālākos risinājuma variantus:</w:t>
            </w:r>
          </w:p>
          <w:p w14:paraId="0243C13E" w14:textId="77777777" w:rsidR="000548AA" w:rsidRDefault="00CE7721" w:rsidP="000548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8AA">
              <w:rPr>
                <w:rFonts w:ascii="Times New Roman" w:hAnsi="Times New Roman" w:cs="Times New Roman"/>
                <w:iCs/>
                <w:sz w:val="24"/>
                <w:szCs w:val="24"/>
              </w:rPr>
              <w:t>valsts sociālās apdrošināšanas speciālo budžetu ieņēmumu īpatsvaru izmaiņām, atbilstoši likuma “Par valsts budžetu 2020.gadam</w:t>
            </w:r>
            <w:r w:rsidR="0050255D" w:rsidRP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1BF0" w:rsidRPr="000548AA">
              <w:rPr>
                <w:rFonts w:ascii="Times New Roman" w:hAnsi="Times New Roman" w:cs="Times New Roman"/>
                <w:iCs/>
                <w:sz w:val="24"/>
                <w:szCs w:val="24"/>
              </w:rPr>
              <w:t>22.panta 2.daļas 2.punktam;</w:t>
            </w:r>
            <w:r w:rsidR="000548AA" w:rsidRPr="000548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AA94B0D" w14:textId="585CFC31" w:rsidR="00691BF0" w:rsidRPr="000548AA" w:rsidRDefault="000548AA" w:rsidP="000548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8AA">
              <w:rPr>
                <w:rFonts w:ascii="Times New Roman" w:hAnsi="Times New Roman" w:cs="Times New Roman"/>
                <w:iCs/>
                <w:sz w:val="24"/>
                <w:szCs w:val="24"/>
              </w:rPr>
              <w:t>papildu līdzekļu pieprasījuma sagatavošana no valsts budžeta programmas 02.00.00 “Līdzekļi neparedzētiem gadījumiem”;</w:t>
            </w:r>
          </w:p>
          <w:p w14:paraId="3509FC02" w14:textId="0255E3E4" w:rsidR="006E7872" w:rsidRPr="00C16545" w:rsidRDefault="00CB1863" w:rsidP="003C54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iCs/>
                <w:sz w:val="24"/>
                <w:szCs w:val="24"/>
              </w:rPr>
              <w:t>speciālā budžeta izdevumu apropriācijas palielināšana, kas nodrošinātu sociālās apdrošināšanas speciālā budžeta pakalpojumu nepārtrauktību 2020.gadā kopumā.</w:t>
            </w:r>
          </w:p>
          <w:p w14:paraId="170B1F40" w14:textId="61E7AA16" w:rsidR="000371A4" w:rsidRPr="00C16545" w:rsidRDefault="000371A4" w:rsidP="00876B82">
            <w:pPr>
              <w:pStyle w:val="ListParagraph"/>
              <w:spacing w:after="0" w:line="240" w:lineRule="auto"/>
              <w:ind w:left="0" w:firstLine="24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6545" w:rsidRPr="00C16545" w14:paraId="5409407C" w14:textId="77777777" w:rsidTr="00FB3AC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BDC1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704D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515FC" w14:textId="403F5B5A" w:rsidR="00E5323B" w:rsidRPr="00C16545" w:rsidRDefault="000371A4" w:rsidP="0050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sociālās apdrošināšanas aģentūra.</w:t>
            </w:r>
          </w:p>
        </w:tc>
      </w:tr>
      <w:tr w:rsidR="00C16545" w:rsidRPr="00C16545" w14:paraId="7371B7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BAA05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348B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9137" w14:textId="36FA201E" w:rsidR="00FD33BC" w:rsidRPr="00C16545" w:rsidRDefault="00B96C2C" w:rsidP="00E810BA">
            <w:pPr>
              <w:pStyle w:val="tv213"/>
              <w:jc w:val="both"/>
            </w:pPr>
            <w:r w:rsidRPr="00C16545">
              <w:t>Nav.</w:t>
            </w:r>
          </w:p>
        </w:tc>
      </w:tr>
    </w:tbl>
    <w:p w14:paraId="6CA73455" w14:textId="77777777" w:rsidR="00E5323B" w:rsidRPr="00C165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16545" w:rsidRPr="00C16545" w14:paraId="4FB0D09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90BF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C16545" w:rsidRPr="00C16545" w14:paraId="0E715F37" w14:textId="77777777" w:rsidTr="002E17C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3B11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CE6B2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1A5AE" w14:textId="77777777" w:rsidR="00787F73" w:rsidRPr="00C16545" w:rsidRDefault="00787F73" w:rsidP="00787F73">
            <w:pPr>
              <w:pStyle w:val="NoSpacing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545">
              <w:rPr>
                <w:rFonts w:ascii="Times New Roman" w:hAnsi="Times New Roman" w:cs="Times New Roman"/>
                <w:sz w:val="24"/>
                <w:szCs w:val="24"/>
              </w:rPr>
              <w:t xml:space="preserve">Bezdarbnieka pabalsta saņēmēji. </w:t>
            </w:r>
          </w:p>
          <w:p w14:paraId="791DC556" w14:textId="77777777" w:rsidR="00787F73" w:rsidRPr="00C16545" w:rsidRDefault="00787F73" w:rsidP="00787F73">
            <w:pPr>
              <w:pStyle w:val="NoSpacing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2020.gada maijā bija 47 739 bezdarbnieka pabalsta saņēmēji, kas salīdzinot ar 2019.gada maiju (32 077) ir par 48,8% vairāk.</w:t>
            </w:r>
          </w:p>
          <w:p w14:paraId="57DB2D9A" w14:textId="2B01A4D8" w:rsidR="00B96C2C" w:rsidRPr="00C16545" w:rsidRDefault="00787F73" w:rsidP="00787F73">
            <w:pPr>
              <w:pStyle w:val="NoSpacing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 likumam “Par valsts budžetu 2020.gadam”, 2020.gadā bezdarbnieka pabalsta saņēmēju skaits vidēji mēnesī tika plānots 30 275 personas.</w:t>
            </w:r>
          </w:p>
        </w:tc>
      </w:tr>
      <w:tr w:rsidR="00C16545" w:rsidRPr="00C16545" w14:paraId="04BC3A3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7488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5E0B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9C7A1" w14:textId="65E85758" w:rsidR="00E5323B" w:rsidRPr="00C16545" w:rsidRDefault="00EB1DDC" w:rsidP="00EB1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1D7131A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0C54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C803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D83C" w14:textId="1D6BCACD" w:rsidR="00E5323B" w:rsidRPr="00C16545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737064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259F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F696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D0AE" w14:textId="4B4FC94D" w:rsidR="00E5323B" w:rsidRPr="00C16545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A05DB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459026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E372" w14:textId="68B1B0EA" w:rsidR="00DE0875" w:rsidRPr="00C16545" w:rsidRDefault="00E5323B" w:rsidP="00434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  <w:p w14:paraId="51ED2E46" w14:textId="77777777" w:rsidR="00655F2C" w:rsidRPr="00C16545" w:rsidRDefault="00655F2C" w:rsidP="00DE0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0189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9146" w14:textId="101AA17B" w:rsidR="00E5323B" w:rsidRPr="00C16545" w:rsidRDefault="00434C69" w:rsidP="00334346">
            <w:pPr>
              <w:pStyle w:val="tv213"/>
              <w:jc w:val="both"/>
            </w:pPr>
            <w:r w:rsidRPr="00C16545">
              <w:t>Nav.</w:t>
            </w:r>
          </w:p>
        </w:tc>
      </w:tr>
    </w:tbl>
    <w:p w14:paraId="3CB6D176" w14:textId="274C1782" w:rsidR="00C95D4E" w:rsidRPr="00C165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23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991"/>
        <w:gridCol w:w="990"/>
        <w:gridCol w:w="868"/>
        <w:gridCol w:w="852"/>
        <w:gridCol w:w="882"/>
        <w:gridCol w:w="867"/>
        <w:gridCol w:w="1654"/>
      </w:tblGrid>
      <w:tr w:rsidR="00C16545" w:rsidRPr="00C16545" w14:paraId="7210D50B" w14:textId="77777777" w:rsidTr="008A2BCB">
        <w:trPr>
          <w:cantSplit/>
        </w:trPr>
        <w:tc>
          <w:tcPr>
            <w:tcW w:w="9103" w:type="dxa"/>
            <w:gridSpan w:val="8"/>
            <w:shd w:val="clear" w:color="auto" w:fill="auto"/>
            <w:vAlign w:val="center"/>
            <w:hideMark/>
          </w:tcPr>
          <w:p w14:paraId="45C357E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545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C16545" w:rsidRPr="00C16545" w14:paraId="31AB8AC8" w14:textId="77777777" w:rsidTr="008A2BCB">
        <w:trPr>
          <w:cantSplit/>
        </w:trPr>
        <w:tc>
          <w:tcPr>
            <w:tcW w:w="1999" w:type="dxa"/>
            <w:vMerge w:val="restart"/>
            <w:shd w:val="clear" w:color="auto" w:fill="FFFFFF"/>
            <w:vAlign w:val="center"/>
          </w:tcPr>
          <w:p w14:paraId="0AC9FEC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14:paraId="02410FC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2020.gads</w:t>
            </w:r>
          </w:p>
        </w:tc>
        <w:tc>
          <w:tcPr>
            <w:tcW w:w="5123" w:type="dxa"/>
            <w:gridSpan w:val="5"/>
            <w:shd w:val="clear" w:color="auto" w:fill="FFFFFF"/>
            <w:vAlign w:val="center"/>
            <w:hideMark/>
          </w:tcPr>
          <w:p w14:paraId="15066709" w14:textId="4344311E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Turpmākie trīs gadi (</w:t>
            </w:r>
            <w:proofErr w:type="spellStart"/>
            <w:r w:rsidR="00F67D34" w:rsidRPr="00F67D34">
              <w:rPr>
                <w:rFonts w:ascii="Times New Roman" w:hAnsi="Times New Roman"/>
                <w:i/>
                <w:sz w:val="18"/>
                <w:szCs w:val="20"/>
              </w:rPr>
              <w:t>euro</w:t>
            </w:r>
            <w:proofErr w:type="spellEnd"/>
            <w:r w:rsidRPr="00C16545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C16545" w:rsidRPr="00C16545" w14:paraId="209A173F" w14:textId="77777777" w:rsidTr="008A2BCB">
        <w:trPr>
          <w:cantSplit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CF7E237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vAlign w:val="center"/>
            <w:hideMark/>
          </w:tcPr>
          <w:p w14:paraId="6CAE1D5D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FFFFFF"/>
            <w:vAlign w:val="center"/>
            <w:hideMark/>
          </w:tcPr>
          <w:p w14:paraId="6EA95A4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  <w:tc>
          <w:tcPr>
            <w:tcW w:w="1749" w:type="dxa"/>
            <w:gridSpan w:val="2"/>
            <w:shd w:val="clear" w:color="auto" w:fill="FFFFFF"/>
            <w:vAlign w:val="center"/>
            <w:hideMark/>
          </w:tcPr>
          <w:p w14:paraId="71F8C8A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2022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14:paraId="70379D4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2023</w:t>
            </w:r>
          </w:p>
        </w:tc>
      </w:tr>
      <w:tr w:rsidR="00C16545" w:rsidRPr="00C16545" w14:paraId="04EBB51F" w14:textId="77777777" w:rsidTr="008A2BCB">
        <w:trPr>
          <w:cantSplit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527A8D0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42800CEB" w14:textId="7DF25603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saskaņā ar valsts budžetu kārtējam gadam</w:t>
            </w:r>
            <w:r w:rsidR="007C43F3" w:rsidRPr="00C16545">
              <w:rPr>
                <w:rFonts w:ascii="Times New Roman" w:hAnsi="Times New Roman"/>
                <w:sz w:val="18"/>
                <w:szCs w:val="20"/>
              </w:rPr>
              <w:t>*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57C7DF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53FA655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saskaņā ar vidēja termiņa budžeta ietvaru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14:paraId="480DD1C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izmaiņas, salīdzinot ar vidēja termiņa budžeta ietvaru 2021. gadam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14:paraId="5535BB1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0956A47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>izmaiņas, salīdzinot ar vidēja termiņa budžeta ietvaru 2022. gadam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14:paraId="5BEF430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16545">
              <w:rPr>
                <w:rFonts w:ascii="Times New Roman" w:hAnsi="Times New Roman"/>
                <w:sz w:val="18"/>
                <w:szCs w:val="20"/>
              </w:rPr>
              <w:t xml:space="preserve">izmaiņas, salīdzinot ar vidēja termiņa budžeta ietvaru </w:t>
            </w:r>
            <w:r w:rsidRPr="00C16545">
              <w:rPr>
                <w:rFonts w:ascii="Times New Roman" w:hAnsi="Times New Roman"/>
                <w:sz w:val="18"/>
                <w:szCs w:val="20"/>
              </w:rPr>
              <w:br/>
              <w:t>2022. gadam</w:t>
            </w:r>
          </w:p>
        </w:tc>
      </w:tr>
      <w:tr w:rsidR="00C16545" w:rsidRPr="00C16545" w14:paraId="2D9A1A4A" w14:textId="77777777" w:rsidTr="008A2BCB">
        <w:trPr>
          <w:cantSplit/>
          <w:trHeight w:val="57"/>
        </w:trPr>
        <w:tc>
          <w:tcPr>
            <w:tcW w:w="1999" w:type="dxa"/>
            <w:shd w:val="clear" w:color="auto" w:fill="FFFFFF"/>
            <w:vAlign w:val="center"/>
            <w:hideMark/>
          </w:tcPr>
          <w:p w14:paraId="61901B9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70801619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CDCA28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3754398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14:paraId="352F250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14:paraId="6CACD14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3CE5E9D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14:paraId="5B497F0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16545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</w:tr>
      <w:tr w:rsidR="00C16545" w:rsidRPr="00C16545" w14:paraId="12BE9B67" w14:textId="77777777" w:rsidTr="008A2BCB">
        <w:trPr>
          <w:cantSplit/>
        </w:trPr>
        <w:tc>
          <w:tcPr>
            <w:tcW w:w="1999" w:type="dxa"/>
            <w:shd w:val="clear" w:color="auto" w:fill="F2F2F2" w:themeFill="background1" w:themeFillShade="F2"/>
            <w:hideMark/>
          </w:tcPr>
          <w:p w14:paraId="0BEF42F5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1. Budžeta ieņēmumi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14:paraId="74E85BB6" w14:textId="7966D17B" w:rsidR="00695F0E" w:rsidRPr="00C16545" w:rsidRDefault="007C43F3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30 250 89</w:t>
            </w:r>
            <w:r w:rsidR="00BE4C97" w:rsidRPr="00C16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1113437D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  <w:hideMark/>
          </w:tcPr>
          <w:p w14:paraId="2B10DB5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  <w:hideMark/>
          </w:tcPr>
          <w:p w14:paraId="40BA822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14:paraId="4E1FCFD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  <w:hideMark/>
          </w:tcPr>
          <w:p w14:paraId="35750B07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14:paraId="6634CD8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0E32123B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355C779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1.1. valsts pamatbudžets, tai skaitā ieņēmumi no maksas pakalpojumiem un citi pašu ieņēmumi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764A609" w14:textId="787F4DB9" w:rsidR="00695F0E" w:rsidRPr="00C16545" w:rsidRDefault="007C43F3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30 250 89</w:t>
            </w:r>
            <w:r w:rsidR="00BE4C97" w:rsidRPr="00C16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427A5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05D2C7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1805DB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4976EE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86435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9D291D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65D0F704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31F21BD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1.2.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022E45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9F3FB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95BA6E9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C1EF19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A27097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A4063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D8FEF0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64331004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1CA145BF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1.3.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1FD7C7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49BBC8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59CCAA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B18592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02185F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1C0E6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C611A19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3D6A0009" w14:textId="77777777" w:rsidTr="008A2BCB">
        <w:trPr>
          <w:cantSplit/>
        </w:trPr>
        <w:tc>
          <w:tcPr>
            <w:tcW w:w="1999" w:type="dxa"/>
            <w:shd w:val="clear" w:color="auto" w:fill="F2F2F2" w:themeFill="background1" w:themeFillShade="F2"/>
            <w:hideMark/>
          </w:tcPr>
          <w:p w14:paraId="15FA48B1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2. Budžeta izdevumi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14:paraId="3DC35C9B" w14:textId="46D59DBB" w:rsidR="00695F0E" w:rsidRPr="00C16545" w:rsidRDefault="007C43F3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30 250 89</w:t>
            </w:r>
            <w:r w:rsidR="00BE4C97" w:rsidRPr="00C16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0AC489E4" w14:textId="1CC24616" w:rsidR="00695F0E" w:rsidRPr="00C16545" w:rsidRDefault="00A01BC1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0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  <w:hideMark/>
          </w:tcPr>
          <w:p w14:paraId="30EAB2A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  <w:hideMark/>
          </w:tcPr>
          <w:p w14:paraId="36D4FE7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14:paraId="243426B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  <w:hideMark/>
          </w:tcPr>
          <w:p w14:paraId="7FBD95B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14:paraId="27247A0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751C076C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26903A8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2.1.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6221E0B" w14:textId="0C10DB97" w:rsidR="00695F0E" w:rsidRPr="00C16545" w:rsidRDefault="007C43F3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30 250 89</w:t>
            </w:r>
            <w:r w:rsidR="00BE4C97" w:rsidRPr="00C16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14:paraId="65E74D08" w14:textId="0C19451B" w:rsidR="00695F0E" w:rsidRPr="00C16545" w:rsidRDefault="00A01BC1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0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5831F3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2519617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EF7B5D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006D50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126B5D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6A3C1307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4F55AB2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2.2. valsts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493C6D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43F1CF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447E05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475451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1E7552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BA609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317FC7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1D7A551A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1DB2D22E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2.3.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035F1F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091A1D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DF9DB9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569213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D2B34A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D8F10E7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48856E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0E96F77C" w14:textId="77777777" w:rsidTr="008A2BCB">
        <w:trPr>
          <w:cantSplit/>
        </w:trPr>
        <w:tc>
          <w:tcPr>
            <w:tcW w:w="1999" w:type="dxa"/>
            <w:shd w:val="clear" w:color="auto" w:fill="F2F2F2" w:themeFill="background1" w:themeFillShade="F2"/>
            <w:hideMark/>
          </w:tcPr>
          <w:p w14:paraId="791F8BFA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3. Finansiālā ietekme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  <w:hideMark/>
          </w:tcPr>
          <w:p w14:paraId="4A49E53D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2F2F2" w:themeFill="background1" w:themeFillShade="F2"/>
            <w:hideMark/>
          </w:tcPr>
          <w:p w14:paraId="0FEC32E6" w14:textId="7159B681" w:rsidR="00695F0E" w:rsidRPr="00C16545" w:rsidRDefault="00317F3C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  <w:hideMark/>
          </w:tcPr>
          <w:p w14:paraId="73695DF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  <w:hideMark/>
          </w:tcPr>
          <w:p w14:paraId="2C45F63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  <w:hideMark/>
          </w:tcPr>
          <w:p w14:paraId="13027139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  <w:hideMark/>
          </w:tcPr>
          <w:p w14:paraId="5FBE4CC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  <w:hideMark/>
          </w:tcPr>
          <w:p w14:paraId="2293790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2FB829F5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50A0FFC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3.1. valsts pamatbudžets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B8143D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913908D" w14:textId="58F14481" w:rsidR="00695F0E" w:rsidRPr="00C16545" w:rsidRDefault="00317F3C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E9D531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48908A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81D8EB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0F9B89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72C0B3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63541AFF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472E6D14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3.2. speciālais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B1B604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449264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54DA11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E29FDDE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BFD19E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7D83844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CF3781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00289519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2C9C8B65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3.3. pašvaldību budžets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C9C649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CC49A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632601D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59E073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A8771D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926388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A53E94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7B315CC2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2FEC86F9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002BC5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4008BE8" w14:textId="4F7ACBF4" w:rsidR="00317F3C" w:rsidRPr="00C16545" w:rsidRDefault="00317F3C" w:rsidP="0031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0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4041A7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C79647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80FD30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200E4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2CFDBD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26608E47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2FC06B47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5. Precizēta finansiālā ietekme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3E0437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D88AFF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14:paraId="0FD3E6CF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F4A56A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14:paraId="71EA70F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9FCDE6B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4ED805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7A6E2ECB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613EEE04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5.1. valsts pamatbudžets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463E007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3A3EBF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14:paraId="529FE7F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9330B8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14:paraId="38C0E6F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B68C587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D6EB04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06A0EE8B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7006241E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5.2. speciālais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36A4953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2FC9A92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14:paraId="0FC2B31A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B5D9AAD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14:paraId="1103BB7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73B64D3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C97CD0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3D393390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66EC0709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5.3. pašvaldību budžets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14:paraId="07D6DB7C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8AED72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vMerge/>
            <w:shd w:val="clear" w:color="auto" w:fill="auto"/>
            <w:vAlign w:val="center"/>
            <w:hideMark/>
          </w:tcPr>
          <w:p w14:paraId="4680A200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FD3A1A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vMerge/>
            <w:shd w:val="clear" w:color="auto" w:fill="auto"/>
            <w:vAlign w:val="center"/>
            <w:hideMark/>
          </w:tcPr>
          <w:p w14:paraId="04EC9035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264F841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6949586" w14:textId="77777777" w:rsidR="00695F0E" w:rsidRPr="00C16545" w:rsidRDefault="00695F0E" w:rsidP="0069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6545" w:rsidRPr="00C16545" w14:paraId="2F125E67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567BEBDC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104" w:type="dxa"/>
            <w:gridSpan w:val="7"/>
            <w:vMerge w:val="restart"/>
            <w:shd w:val="clear" w:color="auto" w:fill="auto"/>
            <w:hideMark/>
          </w:tcPr>
          <w:p w14:paraId="0446B195" w14:textId="6BD2104A" w:rsidR="00512601" w:rsidRPr="00C16545" w:rsidRDefault="007C43F3" w:rsidP="0069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*</w:t>
            </w:r>
            <w:r w:rsidR="00512601" w:rsidRPr="00C165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</w:t>
            </w:r>
            <w:r w:rsidR="00512601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Saskaņā ar  MK  </w:t>
            </w:r>
            <w:r w:rsidR="00512601" w:rsidRPr="00C165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2020.gada 5.maija rīkojumu Nr.238 “Par finanšu līdzekļu piešķiršanu no valsts budžeta programmas “Līdzekļi neparedzētiem gadījumiem””, lai izmaksātu bezdarbnieka palīdzības pabalstu, paredzēts piešķirt 30 217 860 </w:t>
            </w:r>
            <w:proofErr w:type="spellStart"/>
            <w:r w:rsidR="00F67D34"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512601" w:rsidRPr="00C165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apmērā un, lai segtu sociālās apdrošināšanas informācijas sistēmas (SAIS) funkcionalitātes nodrošināšanas izdevumus, paredzēts piešķirt 33 033 </w:t>
            </w:r>
            <w:proofErr w:type="spellStart"/>
            <w:r w:rsidR="00F67D34"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512601" w:rsidRPr="00C165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apmērā, savukārt, saskaņā ar Finanšu ministrijas </w:t>
            </w:r>
            <w:r w:rsidR="00880E77" w:rsidRPr="00C165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2020.gada 6.maija rīkojumu Nr.149 </w:t>
            </w:r>
            <w:r w:rsidR="00880E77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minēto mērķu nodrošināšanai veikta līdzekļu pārdale no valsts budžeta programmas “Līdzekļi neparedzētiem gadījumiem” uz LM pamatbudžeta programmu 99.00.00 “Līdzekļu neparedzētiem gadījumiem izlietojums” </w:t>
            </w:r>
            <w:r w:rsidR="00137D68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10 105 653</w:t>
            </w:r>
            <w:r w:rsidR="00880E77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67D34" w:rsidRPr="00F67D3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880E77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 apmērā</w:t>
            </w:r>
            <w:r w:rsidR="00137D68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, tajā skaitā 10 072 620 </w:t>
            </w:r>
            <w:proofErr w:type="spellStart"/>
            <w:r w:rsidR="00F67D34" w:rsidRPr="00F67D3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137D68" w:rsidRPr="00C1654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lv-LV"/>
              </w:rPr>
              <w:t xml:space="preserve">, lai nodrošinātu </w:t>
            </w:r>
            <w:r w:rsidR="00137D68" w:rsidRPr="00C165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bezdarbnieka palīdzības pabalstu izmaksu.</w:t>
            </w:r>
          </w:p>
          <w:p w14:paraId="12E60954" w14:textId="77777777" w:rsidR="00137D68" w:rsidRPr="00C16545" w:rsidRDefault="00137D68" w:rsidP="0069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  <w:p w14:paraId="5A66A69B" w14:textId="5787208B" w:rsidR="006174D0" w:rsidRPr="00C16545" w:rsidRDefault="00CB1863" w:rsidP="009B5D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545">
              <w:rPr>
                <w:rFonts w:ascii="Times New Roman" w:hAnsi="Times New Roman"/>
              </w:rPr>
              <w:t xml:space="preserve">Ministru kabineta rīkojuma projektam nav finansiālas ietekmes uz 2020.gada budžetu un turpmākajiem gadiem. </w:t>
            </w:r>
          </w:p>
        </w:tc>
      </w:tr>
      <w:tr w:rsidR="00C16545" w:rsidRPr="00C16545" w14:paraId="26A12C48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6EBC63F1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6.1. detalizēts ieņēmumu aprēķins</w:t>
            </w:r>
          </w:p>
        </w:tc>
        <w:tc>
          <w:tcPr>
            <w:tcW w:w="7104" w:type="dxa"/>
            <w:gridSpan w:val="7"/>
            <w:vMerge/>
            <w:shd w:val="clear" w:color="auto" w:fill="auto"/>
            <w:vAlign w:val="center"/>
            <w:hideMark/>
          </w:tcPr>
          <w:p w14:paraId="4C52FC2D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545" w:rsidRPr="00C16545" w14:paraId="735A466F" w14:textId="77777777" w:rsidTr="008A2BCB">
        <w:trPr>
          <w:cantSplit/>
        </w:trPr>
        <w:tc>
          <w:tcPr>
            <w:tcW w:w="1999" w:type="dxa"/>
            <w:shd w:val="clear" w:color="auto" w:fill="auto"/>
            <w:hideMark/>
          </w:tcPr>
          <w:p w14:paraId="102C8925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6.2. detalizēts izdevumu aprēķins</w:t>
            </w:r>
          </w:p>
        </w:tc>
        <w:tc>
          <w:tcPr>
            <w:tcW w:w="7104" w:type="dxa"/>
            <w:gridSpan w:val="7"/>
            <w:vMerge/>
            <w:shd w:val="clear" w:color="auto" w:fill="auto"/>
            <w:vAlign w:val="center"/>
            <w:hideMark/>
          </w:tcPr>
          <w:p w14:paraId="179612C1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545" w:rsidRPr="00C16545" w14:paraId="58AA817C" w14:textId="77777777" w:rsidTr="008A2BCB">
        <w:trPr>
          <w:cantSplit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4D05BC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7. Amata vietu skaita izmaiņas</w:t>
            </w:r>
          </w:p>
        </w:tc>
        <w:tc>
          <w:tcPr>
            <w:tcW w:w="7104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4AE1EF6A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Nav.</w:t>
            </w:r>
          </w:p>
        </w:tc>
      </w:tr>
      <w:tr w:rsidR="00C16545" w:rsidRPr="00C16545" w14:paraId="41B49AD4" w14:textId="77777777" w:rsidTr="00AB1DB0">
        <w:trPr>
          <w:cantSplit/>
        </w:trPr>
        <w:tc>
          <w:tcPr>
            <w:tcW w:w="1999" w:type="dxa"/>
            <w:shd w:val="clear" w:color="auto" w:fill="auto"/>
            <w:hideMark/>
          </w:tcPr>
          <w:p w14:paraId="203652EE" w14:textId="77777777" w:rsidR="00695F0E" w:rsidRPr="00C16545" w:rsidRDefault="00695F0E" w:rsidP="00695F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545">
              <w:rPr>
                <w:rFonts w:ascii="Times New Roman" w:hAnsi="Times New Roman"/>
                <w:sz w:val="20"/>
                <w:szCs w:val="20"/>
              </w:rPr>
              <w:t>8. Cita informācija</w:t>
            </w:r>
          </w:p>
        </w:tc>
        <w:tc>
          <w:tcPr>
            <w:tcW w:w="7104" w:type="dxa"/>
            <w:gridSpan w:val="7"/>
            <w:shd w:val="clear" w:color="auto" w:fill="auto"/>
            <w:vAlign w:val="center"/>
          </w:tcPr>
          <w:p w14:paraId="5F1848FA" w14:textId="080CD02B" w:rsidR="00695F0E" w:rsidRPr="00C16545" w:rsidRDefault="00CB1863" w:rsidP="00CB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14:paraId="77D8861B" w14:textId="45AF061F" w:rsidR="002E17CF" w:rsidRPr="00C16545" w:rsidRDefault="002E17C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16545" w:rsidRPr="00C16545" w14:paraId="65381F5F" w14:textId="77777777" w:rsidTr="00FF0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B511" w14:textId="77777777" w:rsidR="002E17CF" w:rsidRPr="00C16545" w:rsidRDefault="002E17CF" w:rsidP="002E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87F73" w:rsidRPr="00C16545" w14:paraId="03A6F22C" w14:textId="77777777" w:rsidTr="00FF0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6351" w14:textId="5BEC967E" w:rsidR="002E17CF" w:rsidRPr="00C16545" w:rsidRDefault="002E17CF" w:rsidP="002E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603413" w:rsidRPr="00C1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8EAF10E" w14:textId="77777777" w:rsidR="002E17CF" w:rsidRPr="00C16545" w:rsidRDefault="002E17C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16545" w:rsidRPr="00C16545" w14:paraId="64CD0846" w14:textId="77777777" w:rsidTr="00FF0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5F05" w14:textId="77777777" w:rsidR="002E17CF" w:rsidRPr="00C16545" w:rsidRDefault="002E17CF" w:rsidP="002E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87F73" w:rsidRPr="00C16545" w14:paraId="678F9285" w14:textId="77777777" w:rsidTr="00FF06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4DE2" w14:textId="1E564ED2" w:rsidR="002E17CF" w:rsidRPr="00C16545" w:rsidRDefault="002E17CF" w:rsidP="002E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603413" w:rsidRPr="00C1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F33DF0F" w14:textId="2C5B7256" w:rsidR="00E5323B" w:rsidRPr="00C165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16545" w:rsidRPr="00C16545" w14:paraId="666B39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06B5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16545" w:rsidRPr="00C16545" w14:paraId="2B02D8DD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5449D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1E65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B69F" w14:textId="701A891B" w:rsidR="00E5323B" w:rsidRPr="00C16545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0341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22FC65BD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6DBA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516F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CF980" w14:textId="450AC133" w:rsidR="00E5323B" w:rsidRPr="00C16545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0341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1D5BA27E" w14:textId="77777777" w:rsidTr="00EB35D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7CD04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E5A0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5F66E" w14:textId="48A2AD0D" w:rsidR="00E5323B" w:rsidRPr="00C16545" w:rsidRDefault="00861BE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0341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1A873DD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8F04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8517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87C3" w14:textId="23D5984D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0341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5B9667" w14:textId="77777777" w:rsidR="00E5323B" w:rsidRPr="00C1654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1654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16545" w:rsidRPr="00C16545" w14:paraId="0F4D26F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C396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16545" w:rsidRPr="00C16545" w14:paraId="377316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750E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055F4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5080" w14:textId="39747D83" w:rsidR="00E5323B" w:rsidRPr="00C16545" w:rsidRDefault="001235D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sociālās aprosināšanas aģentūra</w:t>
            </w:r>
            <w:r w:rsidR="00C074AA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00A3AC9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A561F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CA97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C8D7" w14:textId="1F459B62" w:rsidR="00E5323B" w:rsidRPr="00C16545" w:rsidRDefault="00EB35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417FD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16545" w:rsidRPr="00C16545" w14:paraId="52F2F7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1A19C" w14:textId="77777777" w:rsidR="00655F2C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9557" w14:textId="77777777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34BD" w14:textId="54408DE0" w:rsidR="00E5323B" w:rsidRPr="00C1654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03413" w:rsidRPr="00C16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6F0066E" w14:textId="77777777" w:rsidR="00CF0920" w:rsidRPr="00C16545" w:rsidRDefault="00CF0920" w:rsidP="00CF092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0622C2" w14:textId="4608F51D" w:rsidR="00CF0920" w:rsidRDefault="00CF0920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16545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C16545">
        <w:rPr>
          <w:rFonts w:ascii="Times New Roman" w:hAnsi="Times New Roman"/>
          <w:color w:val="auto"/>
          <w:sz w:val="28"/>
          <w:lang w:val="de-DE"/>
        </w:rPr>
        <w:tab/>
        <w:t>R. </w:t>
      </w:r>
      <w:proofErr w:type="spellStart"/>
      <w:r w:rsidRPr="00C16545">
        <w:rPr>
          <w:rFonts w:ascii="Times New Roman" w:hAnsi="Times New Roman"/>
          <w:color w:val="auto"/>
          <w:sz w:val="28"/>
          <w:lang w:val="de-DE"/>
        </w:rPr>
        <w:t>Petraviča</w:t>
      </w:r>
      <w:proofErr w:type="spellEnd"/>
    </w:p>
    <w:p w14:paraId="60B036AB" w14:textId="358F95A1" w:rsidR="003B33AA" w:rsidRDefault="003B33AA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6C097E" w14:textId="2BB515F8" w:rsidR="003B33AA" w:rsidRDefault="003B33AA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1893D9" w14:textId="77777777" w:rsidR="003B33AA" w:rsidRDefault="003B33AA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D4F66F" w14:textId="4AFF0566" w:rsidR="003B33AA" w:rsidRDefault="003B33AA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7EE44F" w14:textId="19EA5808" w:rsidR="003B33AA" w:rsidRPr="003B33AA" w:rsidRDefault="003B33AA" w:rsidP="003B33AA">
      <w:pPr>
        <w:pStyle w:val="Body"/>
        <w:tabs>
          <w:tab w:val="left" w:pos="652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auto"/>
        </w:rPr>
      </w:pPr>
      <w:bookmarkStart w:id="0" w:name="_Hlk44320703"/>
      <w:bookmarkStart w:id="1" w:name="_GoBack"/>
      <w:r w:rsidRPr="003B33AA">
        <w:rPr>
          <w:rFonts w:ascii="Times New Roman" w:hAnsi="Times New Roman" w:cs="Times New Roman"/>
          <w:color w:val="auto"/>
        </w:rPr>
        <w:t>Ilze Štrausa 67021741</w:t>
      </w:r>
    </w:p>
    <w:p w14:paraId="4E3FDD68" w14:textId="4539A56D" w:rsidR="003B33AA" w:rsidRPr="003B33AA" w:rsidRDefault="003B33AA" w:rsidP="003B33AA">
      <w:pPr>
        <w:pStyle w:val="Body"/>
        <w:tabs>
          <w:tab w:val="left" w:pos="652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auto"/>
        </w:rPr>
      </w:pPr>
      <w:hyperlink r:id="rId8" w:history="1">
        <w:r w:rsidRPr="003B33AA">
          <w:rPr>
            <w:rStyle w:val="Hyperlink"/>
            <w:rFonts w:ascii="Times New Roman" w:hAnsi="Times New Roman" w:cs="Times New Roman"/>
          </w:rPr>
          <w:t>Ilze.Strausa@lm.gov.lv</w:t>
        </w:r>
      </w:hyperlink>
    </w:p>
    <w:bookmarkEnd w:id="0"/>
    <w:bookmarkEnd w:id="1"/>
    <w:p w14:paraId="4F08BDDB" w14:textId="77777777" w:rsidR="003B33AA" w:rsidRPr="00C16545" w:rsidRDefault="003B33AA" w:rsidP="00C1654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B33AA" w:rsidRPr="00C16545" w:rsidSect="00A0615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6BC1" w14:textId="77777777" w:rsidR="00563FBC" w:rsidRDefault="00563FBC" w:rsidP="00894C55">
      <w:pPr>
        <w:spacing w:after="0" w:line="240" w:lineRule="auto"/>
      </w:pPr>
      <w:r>
        <w:separator/>
      </w:r>
    </w:p>
  </w:endnote>
  <w:endnote w:type="continuationSeparator" w:id="0">
    <w:p w14:paraId="78961010" w14:textId="77777777" w:rsidR="00563FBC" w:rsidRDefault="00563FB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EAEC" w14:textId="6F860C1F" w:rsidR="00B95B8A" w:rsidRPr="00B95B8A" w:rsidRDefault="00B95B8A" w:rsidP="00B95B8A">
    <w:pPr>
      <w:pStyle w:val="FootnoteText"/>
      <w:rPr>
        <w:rFonts w:ascii="Times New Roman" w:hAnsi="Times New Roman" w:cs="Times New Roman"/>
        <w:lang w:val="en-GB"/>
      </w:rPr>
    </w:pPr>
    <w:r w:rsidRPr="00B95B8A">
      <w:rPr>
        <w:rFonts w:ascii="Times New Roman" w:hAnsi="Times New Roman" w:cs="Times New Roman"/>
        <w:lang w:val="en-GB"/>
      </w:rPr>
      <w:t>LManot_300620_LNG_groz</w:t>
    </w:r>
  </w:p>
  <w:p w14:paraId="7ABA72DD" w14:textId="29646FBB" w:rsidR="00B95B8A" w:rsidRDefault="00B95B8A">
    <w:pPr>
      <w:pStyle w:val="Footer"/>
    </w:pPr>
  </w:p>
  <w:p w14:paraId="3DAC3CCE" w14:textId="77777777" w:rsidR="00B95B8A" w:rsidRDefault="00B95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EC4D" w14:textId="00A4F059" w:rsidR="00B95B8A" w:rsidRPr="00B95B8A" w:rsidRDefault="00B95B8A" w:rsidP="00B95B8A">
    <w:pPr>
      <w:pStyle w:val="FootnoteText"/>
      <w:rPr>
        <w:rFonts w:ascii="Times New Roman" w:hAnsi="Times New Roman" w:cs="Times New Roman"/>
        <w:lang w:val="en-GB"/>
      </w:rPr>
    </w:pPr>
    <w:r w:rsidRPr="00B95B8A">
      <w:rPr>
        <w:rFonts w:ascii="Times New Roman" w:hAnsi="Times New Roman" w:cs="Times New Roman"/>
        <w:lang w:val="en-GB"/>
      </w:rPr>
      <w:t>LManot_300620_LNG_groz</w:t>
    </w:r>
  </w:p>
  <w:p w14:paraId="6B8FF1D0" w14:textId="1BC2FCCC" w:rsidR="009A2654" w:rsidRPr="000371A4" w:rsidRDefault="009A2654" w:rsidP="0003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3176" w14:textId="77777777" w:rsidR="00563FBC" w:rsidRDefault="00563FBC" w:rsidP="00894C55">
      <w:pPr>
        <w:spacing w:after="0" w:line="240" w:lineRule="auto"/>
      </w:pPr>
      <w:r>
        <w:separator/>
      </w:r>
    </w:p>
  </w:footnote>
  <w:footnote w:type="continuationSeparator" w:id="0">
    <w:p w14:paraId="3744EC68" w14:textId="77777777" w:rsidR="00563FBC" w:rsidRDefault="00563FB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64C0B77" w14:textId="384672F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64AD7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0E46"/>
    <w:multiLevelType w:val="hybridMultilevel"/>
    <w:tmpl w:val="81AE921A"/>
    <w:lvl w:ilvl="0" w:tplc="8D5CA8FE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4C760ABF"/>
    <w:multiLevelType w:val="hybridMultilevel"/>
    <w:tmpl w:val="00EE1A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880"/>
    <w:multiLevelType w:val="hybridMultilevel"/>
    <w:tmpl w:val="6DB66064"/>
    <w:lvl w:ilvl="0" w:tplc="D9089C8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5AEF5F44"/>
    <w:multiLevelType w:val="hybridMultilevel"/>
    <w:tmpl w:val="6826EE70"/>
    <w:lvl w:ilvl="0" w:tplc="EEE8D2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4464"/>
    <w:multiLevelType w:val="hybridMultilevel"/>
    <w:tmpl w:val="4A749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481"/>
    <w:rsid w:val="0001407C"/>
    <w:rsid w:val="00014C9D"/>
    <w:rsid w:val="000173FE"/>
    <w:rsid w:val="0002173A"/>
    <w:rsid w:val="00034FCA"/>
    <w:rsid w:val="000371A4"/>
    <w:rsid w:val="000548AA"/>
    <w:rsid w:val="00064F1D"/>
    <w:rsid w:val="000739F4"/>
    <w:rsid w:val="00096287"/>
    <w:rsid w:val="00097FEF"/>
    <w:rsid w:val="000C582C"/>
    <w:rsid w:val="000C5AD8"/>
    <w:rsid w:val="000D708E"/>
    <w:rsid w:val="000E3DDA"/>
    <w:rsid w:val="00105566"/>
    <w:rsid w:val="00106BF1"/>
    <w:rsid w:val="001235D7"/>
    <w:rsid w:val="0013222F"/>
    <w:rsid w:val="00137D68"/>
    <w:rsid w:val="001402DE"/>
    <w:rsid w:val="00152362"/>
    <w:rsid w:val="001540CF"/>
    <w:rsid w:val="00174AE6"/>
    <w:rsid w:val="00175135"/>
    <w:rsid w:val="0018710A"/>
    <w:rsid w:val="001961BF"/>
    <w:rsid w:val="001B000B"/>
    <w:rsid w:val="001E1FA3"/>
    <w:rsid w:val="001E2D8D"/>
    <w:rsid w:val="001E4184"/>
    <w:rsid w:val="001F5511"/>
    <w:rsid w:val="001F79E8"/>
    <w:rsid w:val="00212FAF"/>
    <w:rsid w:val="00215F4D"/>
    <w:rsid w:val="0023710A"/>
    <w:rsid w:val="00243426"/>
    <w:rsid w:val="002655CC"/>
    <w:rsid w:val="00273E78"/>
    <w:rsid w:val="002759E3"/>
    <w:rsid w:val="002772ED"/>
    <w:rsid w:val="00285845"/>
    <w:rsid w:val="002878E6"/>
    <w:rsid w:val="00295C1D"/>
    <w:rsid w:val="00296C97"/>
    <w:rsid w:val="002A6836"/>
    <w:rsid w:val="002C1900"/>
    <w:rsid w:val="002C251A"/>
    <w:rsid w:val="002C74FD"/>
    <w:rsid w:val="002D2A48"/>
    <w:rsid w:val="002D66AD"/>
    <w:rsid w:val="002E17CF"/>
    <w:rsid w:val="002E1C05"/>
    <w:rsid w:val="002E4FCF"/>
    <w:rsid w:val="002F116A"/>
    <w:rsid w:val="0030381A"/>
    <w:rsid w:val="00306B0C"/>
    <w:rsid w:val="00307F86"/>
    <w:rsid w:val="0031199F"/>
    <w:rsid w:val="00313214"/>
    <w:rsid w:val="00317F3C"/>
    <w:rsid w:val="00327D11"/>
    <w:rsid w:val="00334346"/>
    <w:rsid w:val="00342C80"/>
    <w:rsid w:val="00343576"/>
    <w:rsid w:val="00356064"/>
    <w:rsid w:val="0035617D"/>
    <w:rsid w:val="003924AE"/>
    <w:rsid w:val="003B0BF9"/>
    <w:rsid w:val="003B33AA"/>
    <w:rsid w:val="003B6283"/>
    <w:rsid w:val="003C72E3"/>
    <w:rsid w:val="003E0791"/>
    <w:rsid w:val="003E70DA"/>
    <w:rsid w:val="003E722D"/>
    <w:rsid w:val="003F28AC"/>
    <w:rsid w:val="003F52C7"/>
    <w:rsid w:val="00434C69"/>
    <w:rsid w:val="00445304"/>
    <w:rsid w:val="004454FE"/>
    <w:rsid w:val="00446849"/>
    <w:rsid w:val="00456492"/>
    <w:rsid w:val="00456CB9"/>
    <w:rsid w:val="00456E40"/>
    <w:rsid w:val="00471F27"/>
    <w:rsid w:val="00490F4B"/>
    <w:rsid w:val="0049137C"/>
    <w:rsid w:val="004A7612"/>
    <w:rsid w:val="004C4455"/>
    <w:rsid w:val="004D1335"/>
    <w:rsid w:val="004D5221"/>
    <w:rsid w:val="004D710D"/>
    <w:rsid w:val="004E55F4"/>
    <w:rsid w:val="004F6576"/>
    <w:rsid w:val="0050178F"/>
    <w:rsid w:val="0050255D"/>
    <w:rsid w:val="00503688"/>
    <w:rsid w:val="00512601"/>
    <w:rsid w:val="005326FB"/>
    <w:rsid w:val="00536678"/>
    <w:rsid w:val="00537E9B"/>
    <w:rsid w:val="00563FBC"/>
    <w:rsid w:val="005668A0"/>
    <w:rsid w:val="00577218"/>
    <w:rsid w:val="00585BCC"/>
    <w:rsid w:val="00586F86"/>
    <w:rsid w:val="005C6C81"/>
    <w:rsid w:val="005D2079"/>
    <w:rsid w:val="00603413"/>
    <w:rsid w:val="00606140"/>
    <w:rsid w:val="006122E4"/>
    <w:rsid w:val="00614FD4"/>
    <w:rsid w:val="00615123"/>
    <w:rsid w:val="006174D0"/>
    <w:rsid w:val="00640E70"/>
    <w:rsid w:val="0064785A"/>
    <w:rsid w:val="00655F2C"/>
    <w:rsid w:val="00666FE0"/>
    <w:rsid w:val="006838FE"/>
    <w:rsid w:val="00686DD4"/>
    <w:rsid w:val="00690596"/>
    <w:rsid w:val="00691BF0"/>
    <w:rsid w:val="0069397E"/>
    <w:rsid w:val="00694EE8"/>
    <w:rsid w:val="00695F0E"/>
    <w:rsid w:val="006A32AD"/>
    <w:rsid w:val="006A44A0"/>
    <w:rsid w:val="006B4B0C"/>
    <w:rsid w:val="006C0F1E"/>
    <w:rsid w:val="006C38EC"/>
    <w:rsid w:val="006C40AC"/>
    <w:rsid w:val="006D2EF3"/>
    <w:rsid w:val="006E1081"/>
    <w:rsid w:val="006E1D43"/>
    <w:rsid w:val="006E3D7C"/>
    <w:rsid w:val="006E7872"/>
    <w:rsid w:val="006F4A30"/>
    <w:rsid w:val="00706F09"/>
    <w:rsid w:val="00711F61"/>
    <w:rsid w:val="00720585"/>
    <w:rsid w:val="0072300A"/>
    <w:rsid w:val="00773A77"/>
    <w:rsid w:val="00773AF6"/>
    <w:rsid w:val="00781B70"/>
    <w:rsid w:val="00783BCC"/>
    <w:rsid w:val="00787F73"/>
    <w:rsid w:val="00795F71"/>
    <w:rsid w:val="00796362"/>
    <w:rsid w:val="007A2BA1"/>
    <w:rsid w:val="007B5A5F"/>
    <w:rsid w:val="007C15AD"/>
    <w:rsid w:val="007C43F3"/>
    <w:rsid w:val="007D66BC"/>
    <w:rsid w:val="007E5110"/>
    <w:rsid w:val="007E5F7A"/>
    <w:rsid w:val="007E73AB"/>
    <w:rsid w:val="007F1F35"/>
    <w:rsid w:val="0080334C"/>
    <w:rsid w:val="00816C11"/>
    <w:rsid w:val="008221FA"/>
    <w:rsid w:val="0084763C"/>
    <w:rsid w:val="008564E5"/>
    <w:rsid w:val="00857B3D"/>
    <w:rsid w:val="00860E49"/>
    <w:rsid w:val="00861BE8"/>
    <w:rsid w:val="00876B82"/>
    <w:rsid w:val="00880E77"/>
    <w:rsid w:val="00882B2C"/>
    <w:rsid w:val="00887D59"/>
    <w:rsid w:val="00894C55"/>
    <w:rsid w:val="008B312D"/>
    <w:rsid w:val="008B53BC"/>
    <w:rsid w:val="008B6E74"/>
    <w:rsid w:val="008D2B4B"/>
    <w:rsid w:val="00910BCB"/>
    <w:rsid w:val="00943484"/>
    <w:rsid w:val="00946019"/>
    <w:rsid w:val="00954271"/>
    <w:rsid w:val="00961003"/>
    <w:rsid w:val="0098453A"/>
    <w:rsid w:val="009906EB"/>
    <w:rsid w:val="0099718F"/>
    <w:rsid w:val="009A2654"/>
    <w:rsid w:val="009B008B"/>
    <w:rsid w:val="009B5DCB"/>
    <w:rsid w:val="009D3F50"/>
    <w:rsid w:val="009D7652"/>
    <w:rsid w:val="00A01BC1"/>
    <w:rsid w:val="00A02E9F"/>
    <w:rsid w:val="00A050F9"/>
    <w:rsid w:val="00A05DB3"/>
    <w:rsid w:val="00A0615B"/>
    <w:rsid w:val="00A10FC3"/>
    <w:rsid w:val="00A2229F"/>
    <w:rsid w:val="00A27606"/>
    <w:rsid w:val="00A324EB"/>
    <w:rsid w:val="00A32DF9"/>
    <w:rsid w:val="00A41CB2"/>
    <w:rsid w:val="00A6073E"/>
    <w:rsid w:val="00A654C3"/>
    <w:rsid w:val="00A75324"/>
    <w:rsid w:val="00A77365"/>
    <w:rsid w:val="00A82EFC"/>
    <w:rsid w:val="00A97968"/>
    <w:rsid w:val="00AB0CAB"/>
    <w:rsid w:val="00AB1DB0"/>
    <w:rsid w:val="00AB5004"/>
    <w:rsid w:val="00AC39EC"/>
    <w:rsid w:val="00AC4A5C"/>
    <w:rsid w:val="00AE0216"/>
    <w:rsid w:val="00AE15DD"/>
    <w:rsid w:val="00AE52EE"/>
    <w:rsid w:val="00AE5567"/>
    <w:rsid w:val="00AF1239"/>
    <w:rsid w:val="00B16480"/>
    <w:rsid w:val="00B2165C"/>
    <w:rsid w:val="00B24493"/>
    <w:rsid w:val="00B36E0B"/>
    <w:rsid w:val="00B417FD"/>
    <w:rsid w:val="00B47FC7"/>
    <w:rsid w:val="00B665D6"/>
    <w:rsid w:val="00B73318"/>
    <w:rsid w:val="00B7487E"/>
    <w:rsid w:val="00B8550A"/>
    <w:rsid w:val="00B8597C"/>
    <w:rsid w:val="00B95B8A"/>
    <w:rsid w:val="00B96C2C"/>
    <w:rsid w:val="00BA20AA"/>
    <w:rsid w:val="00BB1A86"/>
    <w:rsid w:val="00BC341E"/>
    <w:rsid w:val="00BD29FA"/>
    <w:rsid w:val="00BD4425"/>
    <w:rsid w:val="00BE0476"/>
    <w:rsid w:val="00BE4C97"/>
    <w:rsid w:val="00BE4E7B"/>
    <w:rsid w:val="00BE6853"/>
    <w:rsid w:val="00C074AA"/>
    <w:rsid w:val="00C16545"/>
    <w:rsid w:val="00C2227B"/>
    <w:rsid w:val="00C25B49"/>
    <w:rsid w:val="00C74611"/>
    <w:rsid w:val="00C95D4E"/>
    <w:rsid w:val="00CA7859"/>
    <w:rsid w:val="00CB1863"/>
    <w:rsid w:val="00CC0D2D"/>
    <w:rsid w:val="00CC4B7A"/>
    <w:rsid w:val="00CC6A2A"/>
    <w:rsid w:val="00CE07B4"/>
    <w:rsid w:val="00CE2690"/>
    <w:rsid w:val="00CE5657"/>
    <w:rsid w:val="00CE7721"/>
    <w:rsid w:val="00CF0920"/>
    <w:rsid w:val="00CF2B48"/>
    <w:rsid w:val="00D133F8"/>
    <w:rsid w:val="00D14A3E"/>
    <w:rsid w:val="00D32F27"/>
    <w:rsid w:val="00D3304D"/>
    <w:rsid w:val="00D41A04"/>
    <w:rsid w:val="00D66939"/>
    <w:rsid w:val="00D74B1F"/>
    <w:rsid w:val="00D84A73"/>
    <w:rsid w:val="00DA061F"/>
    <w:rsid w:val="00DA537F"/>
    <w:rsid w:val="00DE0875"/>
    <w:rsid w:val="00DE11ED"/>
    <w:rsid w:val="00DF192C"/>
    <w:rsid w:val="00E0403A"/>
    <w:rsid w:val="00E0523F"/>
    <w:rsid w:val="00E07C5A"/>
    <w:rsid w:val="00E35E20"/>
    <w:rsid w:val="00E36383"/>
    <w:rsid w:val="00E3716B"/>
    <w:rsid w:val="00E413AE"/>
    <w:rsid w:val="00E46251"/>
    <w:rsid w:val="00E5323B"/>
    <w:rsid w:val="00E63D7B"/>
    <w:rsid w:val="00E810BA"/>
    <w:rsid w:val="00E8749E"/>
    <w:rsid w:val="00E90C01"/>
    <w:rsid w:val="00EA486E"/>
    <w:rsid w:val="00EB1DDC"/>
    <w:rsid w:val="00EB35DB"/>
    <w:rsid w:val="00EB4688"/>
    <w:rsid w:val="00EB4DBC"/>
    <w:rsid w:val="00EC3962"/>
    <w:rsid w:val="00EC52D0"/>
    <w:rsid w:val="00EE564E"/>
    <w:rsid w:val="00F03F5A"/>
    <w:rsid w:val="00F10BC5"/>
    <w:rsid w:val="00F15E2F"/>
    <w:rsid w:val="00F24048"/>
    <w:rsid w:val="00F27F54"/>
    <w:rsid w:val="00F55690"/>
    <w:rsid w:val="00F57B0C"/>
    <w:rsid w:val="00F64AD7"/>
    <w:rsid w:val="00F67D34"/>
    <w:rsid w:val="00F95D29"/>
    <w:rsid w:val="00FA171A"/>
    <w:rsid w:val="00FA25F3"/>
    <w:rsid w:val="00FA4F84"/>
    <w:rsid w:val="00FB3ACE"/>
    <w:rsid w:val="00FD33B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5A12A6F"/>
  <w15:docId w15:val="{9896E810-190C-4E35-8AB9-4412449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0F9"/>
    <w:pPr>
      <w:widowControl w:val="0"/>
      <w:spacing w:after="200" w:line="240" w:lineRule="auto"/>
      <w:jc w:val="both"/>
    </w:pPr>
    <w:rPr>
      <w:rFonts w:ascii="Times New Roman" w:eastAsia="Calibri" w:hAnsi="Times New Roman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F9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064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68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68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C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4048"/>
    <w:rPr>
      <w:b/>
      <w:bCs/>
    </w:rPr>
  </w:style>
  <w:style w:type="paragraph" w:customStyle="1" w:styleId="tv213">
    <w:name w:val="tv213"/>
    <w:basedOn w:val="Normal"/>
    <w:rsid w:val="00E8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CF092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oSpacingChar">
    <w:name w:val="No Spacing Char"/>
    <w:link w:val="NoSpacing"/>
    <w:uiPriority w:val="1"/>
    <w:locked/>
    <w:rsid w:val="00787F73"/>
  </w:style>
  <w:style w:type="paragraph" w:styleId="NoSpacing">
    <w:name w:val="No Spacing"/>
    <w:link w:val="NoSpacingChar"/>
    <w:uiPriority w:val="1"/>
    <w:qFormat/>
    <w:rsid w:val="00787F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B33A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B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traus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0D9F-7131-45A7-9BC8-986F648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7033</Words>
  <Characters>4010</Characters>
  <Application>Microsoft Office Word</Application>
  <DocSecurity>4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“Grozījums likumā “Par apdrošināšanu bezdarba gadījumam”” sākotnējās ietekmes</vt:lpstr>
    </vt:vector>
  </TitlesOfParts>
  <Company>Iestādes nosaukums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“Grozījums likumā “Par apdrošināšanu bezdarba gadījumam”” sākotnējās ietekmes</dc:title>
  <dc:subject>Anotācija</dc:subject>
  <dc:creator>Inese Upīte</dc:creator>
  <dc:description>670008557, Inese.Upite@lm.gov.lv</dc:description>
  <cp:lastModifiedBy>Inese Upite</cp:lastModifiedBy>
  <cp:revision>2</cp:revision>
  <cp:lastPrinted>2020-04-16T12:14:00Z</cp:lastPrinted>
  <dcterms:created xsi:type="dcterms:W3CDTF">2020-06-29T08:02:00Z</dcterms:created>
  <dcterms:modified xsi:type="dcterms:W3CDTF">2020-06-29T08:02:00Z</dcterms:modified>
</cp:coreProperties>
</file>