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07BC1" w:rsidP="0063734A" w:rsidRDefault="00C07BC1" w14:paraId="666826FD" w14:textId="77777777">
      <w:pPr>
        <w:ind w:firstLine="0"/>
        <w:jc w:val="center"/>
        <w:rPr>
          <w:rFonts w:cs="Times New Roman"/>
          <w:b/>
          <w:sz w:val="28"/>
          <w:szCs w:val="28"/>
        </w:rPr>
      </w:pPr>
      <w:bookmarkStart w:name="_Toc503880828" w:id="0"/>
    </w:p>
    <w:p w:rsidR="00C07BC1" w:rsidP="0063734A" w:rsidRDefault="00C07BC1" w14:paraId="2FAD32E4" w14:textId="77777777">
      <w:pPr>
        <w:ind w:firstLine="0"/>
        <w:jc w:val="center"/>
        <w:rPr>
          <w:rFonts w:cs="Times New Roman"/>
          <w:b/>
          <w:sz w:val="28"/>
          <w:szCs w:val="28"/>
        </w:rPr>
      </w:pPr>
    </w:p>
    <w:p w:rsidR="00C07BC1" w:rsidP="0063734A" w:rsidRDefault="00C07BC1" w14:paraId="0FD61203" w14:textId="77777777">
      <w:pPr>
        <w:ind w:firstLine="0"/>
        <w:jc w:val="center"/>
        <w:rPr>
          <w:rFonts w:cs="Times New Roman"/>
          <w:b/>
          <w:sz w:val="28"/>
          <w:szCs w:val="28"/>
        </w:rPr>
      </w:pPr>
    </w:p>
    <w:p w:rsidR="00C07BC1" w:rsidP="0063734A" w:rsidRDefault="00C07BC1" w14:paraId="4DA5FCEC" w14:textId="77777777">
      <w:pPr>
        <w:ind w:firstLine="0"/>
        <w:jc w:val="center"/>
        <w:rPr>
          <w:rFonts w:cs="Times New Roman"/>
          <w:b/>
          <w:sz w:val="28"/>
          <w:szCs w:val="28"/>
        </w:rPr>
      </w:pPr>
    </w:p>
    <w:p w:rsidR="00C07BC1" w:rsidP="0063734A" w:rsidRDefault="00C07BC1" w14:paraId="298617B5" w14:textId="77777777">
      <w:pPr>
        <w:ind w:firstLine="0"/>
        <w:jc w:val="center"/>
        <w:rPr>
          <w:rFonts w:cs="Times New Roman"/>
          <w:b/>
          <w:sz w:val="28"/>
          <w:szCs w:val="28"/>
        </w:rPr>
      </w:pPr>
    </w:p>
    <w:p w:rsidR="00C07BC1" w:rsidP="0063734A" w:rsidRDefault="00C07BC1" w14:paraId="26054961" w14:textId="77777777">
      <w:pPr>
        <w:ind w:firstLine="0"/>
        <w:jc w:val="center"/>
        <w:rPr>
          <w:rFonts w:cs="Times New Roman"/>
          <w:b/>
          <w:sz w:val="28"/>
          <w:szCs w:val="28"/>
        </w:rPr>
      </w:pPr>
    </w:p>
    <w:p w:rsidR="00C07BC1" w:rsidP="0063734A" w:rsidRDefault="00C07BC1" w14:paraId="3C69DCD1" w14:textId="77777777">
      <w:pPr>
        <w:ind w:firstLine="0"/>
        <w:jc w:val="center"/>
        <w:rPr>
          <w:rFonts w:cs="Times New Roman"/>
          <w:b/>
          <w:sz w:val="28"/>
          <w:szCs w:val="28"/>
        </w:rPr>
      </w:pPr>
    </w:p>
    <w:p w:rsidR="00C07BC1" w:rsidP="0063734A" w:rsidRDefault="00C07BC1" w14:paraId="4457FDE8" w14:textId="77777777">
      <w:pPr>
        <w:ind w:firstLine="0"/>
        <w:jc w:val="center"/>
        <w:rPr>
          <w:rFonts w:cs="Times New Roman"/>
          <w:b/>
          <w:sz w:val="28"/>
          <w:szCs w:val="28"/>
        </w:rPr>
      </w:pPr>
    </w:p>
    <w:p w:rsidR="00C07BC1" w:rsidP="0063734A" w:rsidRDefault="00C07BC1" w14:paraId="70E9A853" w14:textId="77777777">
      <w:pPr>
        <w:ind w:firstLine="0"/>
        <w:jc w:val="center"/>
        <w:rPr>
          <w:rFonts w:cs="Times New Roman"/>
          <w:b/>
          <w:sz w:val="28"/>
          <w:szCs w:val="28"/>
        </w:rPr>
      </w:pPr>
    </w:p>
    <w:p w:rsidR="00C07BC1" w:rsidP="0063734A" w:rsidRDefault="00C07BC1" w14:paraId="38D71F6E" w14:textId="77777777">
      <w:pPr>
        <w:ind w:firstLine="0"/>
        <w:jc w:val="center"/>
        <w:rPr>
          <w:rFonts w:cs="Times New Roman"/>
          <w:b/>
          <w:sz w:val="28"/>
          <w:szCs w:val="28"/>
        </w:rPr>
      </w:pPr>
    </w:p>
    <w:p w:rsidR="00C07BC1" w:rsidP="0063734A" w:rsidRDefault="00C07BC1" w14:paraId="6127FA11" w14:textId="77777777">
      <w:pPr>
        <w:ind w:firstLine="0"/>
        <w:jc w:val="center"/>
        <w:rPr>
          <w:rFonts w:cs="Times New Roman"/>
          <w:b/>
          <w:sz w:val="28"/>
          <w:szCs w:val="28"/>
        </w:rPr>
      </w:pPr>
    </w:p>
    <w:p w:rsidR="00C07BC1" w:rsidP="0063734A" w:rsidRDefault="00C07BC1" w14:paraId="0FB26A18" w14:textId="77777777">
      <w:pPr>
        <w:ind w:firstLine="0"/>
        <w:jc w:val="center"/>
        <w:rPr>
          <w:rFonts w:cs="Times New Roman"/>
          <w:b/>
          <w:sz w:val="28"/>
          <w:szCs w:val="28"/>
        </w:rPr>
      </w:pPr>
    </w:p>
    <w:p w:rsidR="00C07BC1" w:rsidP="0063734A" w:rsidRDefault="00C07BC1" w14:paraId="00289D1A" w14:textId="77777777">
      <w:pPr>
        <w:ind w:firstLine="0"/>
        <w:jc w:val="center"/>
        <w:rPr>
          <w:rFonts w:cs="Times New Roman"/>
          <w:b/>
          <w:sz w:val="28"/>
          <w:szCs w:val="28"/>
        </w:rPr>
      </w:pPr>
    </w:p>
    <w:p w:rsidR="00C07BC1" w:rsidP="0063734A" w:rsidRDefault="00C07BC1" w14:paraId="26710274" w14:textId="77777777">
      <w:pPr>
        <w:ind w:firstLine="0"/>
        <w:jc w:val="center"/>
        <w:rPr>
          <w:rFonts w:cs="Times New Roman"/>
          <w:b/>
          <w:sz w:val="28"/>
          <w:szCs w:val="28"/>
        </w:rPr>
      </w:pPr>
    </w:p>
    <w:p w:rsidRPr="00CA0592" w:rsidR="000368BB" w:rsidP="0063734A" w:rsidRDefault="00C07BC1" w14:paraId="3864FD48" w14:textId="311FA7B1">
      <w:pPr>
        <w:ind w:firstLine="0"/>
        <w:jc w:val="center"/>
        <w:rPr>
          <w:rFonts w:cs="Times New Roman"/>
          <w:b/>
          <w:sz w:val="28"/>
          <w:szCs w:val="28"/>
        </w:rPr>
      </w:pPr>
      <w:r w:rsidRPr="00CA0592">
        <w:rPr>
          <w:rFonts w:cs="Times New Roman"/>
          <w:b/>
          <w:sz w:val="28"/>
          <w:szCs w:val="28"/>
        </w:rPr>
        <w:t>Konceptuālais</w:t>
      </w:r>
      <w:r w:rsidRPr="00CA0592" w:rsidR="0063734A">
        <w:rPr>
          <w:rFonts w:cs="Times New Roman"/>
          <w:b/>
          <w:sz w:val="28"/>
          <w:szCs w:val="28"/>
        </w:rPr>
        <w:t xml:space="preserve"> ziņojums </w:t>
      </w:r>
    </w:p>
    <w:p w:rsidRPr="00CA0592" w:rsidR="0054739F" w:rsidP="0063734A" w:rsidRDefault="000368BB" w14:paraId="3EEA2927" w14:textId="21064BAF">
      <w:pPr>
        <w:ind w:firstLine="0"/>
        <w:jc w:val="center"/>
        <w:rPr>
          <w:rFonts w:cs="Times New Roman"/>
          <w:sz w:val="28"/>
          <w:szCs w:val="28"/>
        </w:rPr>
      </w:pPr>
      <w:r w:rsidRPr="00CA0592">
        <w:rPr>
          <w:rFonts w:cs="Times New Roman"/>
          <w:b/>
          <w:sz w:val="28"/>
          <w:szCs w:val="28"/>
        </w:rPr>
        <w:t>“P</w:t>
      </w:r>
      <w:r w:rsidRPr="00CA0592" w:rsidR="0063734A">
        <w:rPr>
          <w:rFonts w:cs="Times New Roman"/>
          <w:b/>
          <w:sz w:val="28"/>
          <w:szCs w:val="28"/>
        </w:rPr>
        <w:t xml:space="preserve">ar </w:t>
      </w:r>
      <w:proofErr w:type="spellStart"/>
      <w:r w:rsidRPr="00CA0592" w:rsidR="0063734A">
        <w:rPr>
          <w:rFonts w:cs="Times New Roman"/>
          <w:b/>
          <w:sz w:val="28"/>
          <w:szCs w:val="28"/>
        </w:rPr>
        <w:t>intel</w:t>
      </w:r>
      <w:r w:rsidRPr="00CA0592" w:rsidR="00F47D88">
        <w:rPr>
          <w:rFonts w:cs="Times New Roman"/>
          <w:b/>
          <w:sz w:val="28"/>
          <w:szCs w:val="28"/>
        </w:rPr>
        <w:t>ektisko</w:t>
      </w:r>
      <w:proofErr w:type="spellEnd"/>
      <w:r w:rsidRPr="00CA0592" w:rsidR="0063734A">
        <w:rPr>
          <w:rFonts w:cs="Times New Roman"/>
          <w:b/>
          <w:sz w:val="28"/>
          <w:szCs w:val="28"/>
        </w:rPr>
        <w:t xml:space="preserve"> transporta sistēmu ieviešanu Latvijas autotransporta jomā un to </w:t>
      </w:r>
      <w:proofErr w:type="spellStart"/>
      <w:r w:rsidRPr="00CA0592" w:rsidR="0063734A">
        <w:rPr>
          <w:rFonts w:cs="Times New Roman"/>
          <w:b/>
          <w:sz w:val="28"/>
          <w:szCs w:val="28"/>
        </w:rPr>
        <w:t>saskarnēm</w:t>
      </w:r>
      <w:proofErr w:type="spellEnd"/>
      <w:r w:rsidRPr="00CA0592" w:rsidR="0063734A">
        <w:rPr>
          <w:rFonts w:cs="Times New Roman"/>
          <w:b/>
          <w:sz w:val="28"/>
          <w:szCs w:val="28"/>
        </w:rPr>
        <w:t xml:space="preserve"> ar citiem transporta veidiem</w:t>
      </w:r>
      <w:r w:rsidRPr="00CA0592">
        <w:rPr>
          <w:rFonts w:cs="Times New Roman"/>
          <w:b/>
          <w:sz w:val="28"/>
          <w:szCs w:val="28"/>
        </w:rPr>
        <w:t>”</w:t>
      </w:r>
    </w:p>
    <w:p w:rsidRPr="00CA0592" w:rsidR="00C07BC1" w:rsidRDefault="00C07BC1" w14:paraId="205BB372" w14:textId="77777777">
      <w:pPr>
        <w:ind w:firstLine="0"/>
        <w:contextualSpacing w:val="0"/>
        <w:jc w:val="left"/>
        <w:rPr>
          <w:rFonts w:cs="Times New Roman"/>
          <w:b/>
          <w:caps/>
          <w:sz w:val="28"/>
        </w:rPr>
      </w:pPr>
      <w:bookmarkStart w:name="_Toc510614385" w:id="1"/>
      <w:r w:rsidRPr="00CA0592">
        <w:br w:type="page"/>
      </w:r>
    </w:p>
    <w:sdt>
      <w:sdtPr>
        <w:rPr>
          <w:rFonts w:ascii="Times New Roman" w:hAnsi="Times New Roman" w:eastAsiaTheme="minorHAnsi" w:cstheme="minorBidi"/>
          <w:color w:val="auto"/>
          <w:sz w:val="24"/>
          <w:szCs w:val="24"/>
          <w:lang w:val="lv-LV"/>
        </w:rPr>
        <w:id w:val="885150630"/>
        <w:docPartObj>
          <w:docPartGallery w:val="Table of Contents"/>
          <w:docPartUnique/>
        </w:docPartObj>
      </w:sdtPr>
      <w:sdtEndPr>
        <w:rPr>
          <w:b/>
          <w:bCs/>
          <w:noProof/>
        </w:rPr>
      </w:sdtEndPr>
      <w:sdtContent>
        <w:p w:rsidRPr="00CA0592" w:rsidR="00FC78B2" w:rsidP="00FC78B2" w:rsidRDefault="00FC78B2" w14:paraId="2129AC22" w14:textId="273DEC1D">
          <w:pPr>
            <w:pStyle w:val="TOCHeading"/>
            <w:jc w:val="center"/>
            <w:rPr>
              <w:rFonts w:ascii="Times New Roman" w:hAnsi="Times New Roman" w:cs="Times New Roman"/>
              <w:b/>
              <w:bCs/>
              <w:color w:val="auto"/>
            </w:rPr>
          </w:pPr>
          <w:r w:rsidRPr="00CA0592">
            <w:rPr>
              <w:rFonts w:ascii="Times New Roman" w:hAnsi="Times New Roman" w:cs="Times New Roman"/>
              <w:b/>
              <w:bCs/>
              <w:color w:val="auto"/>
            </w:rPr>
            <w:t>SATURS</w:t>
          </w:r>
        </w:p>
        <w:p w:rsidR="00EF7D02" w:rsidRDefault="00FC78B2" w14:paraId="3376E344" w14:textId="07EAAADE">
          <w:pPr>
            <w:pStyle w:val="TOC1"/>
            <w:tabs>
              <w:tab w:val="right" w:leader="dot" w:pos="8296"/>
            </w:tabs>
            <w:rPr>
              <w:rFonts w:asciiTheme="minorHAnsi" w:hAnsiTheme="minorHAnsi" w:eastAsiaTheme="minorEastAsia"/>
              <w:b w:val="0"/>
              <w:noProof/>
              <w:sz w:val="22"/>
              <w:szCs w:val="22"/>
              <w:lang w:eastAsia="lv-LV"/>
            </w:rPr>
          </w:pPr>
          <w:r w:rsidRPr="00CA0592">
            <w:rPr>
              <w:rFonts w:cs="Times New Roman"/>
            </w:rPr>
            <w:fldChar w:fldCharType="begin"/>
          </w:r>
          <w:r w:rsidRPr="00CA0592">
            <w:rPr>
              <w:rFonts w:cs="Times New Roman"/>
            </w:rPr>
            <w:instrText xml:space="preserve"> TOC \o "1-3" \h \z \u </w:instrText>
          </w:r>
          <w:r w:rsidRPr="00CA0592">
            <w:rPr>
              <w:rFonts w:cs="Times New Roman"/>
            </w:rPr>
            <w:fldChar w:fldCharType="separate"/>
          </w:r>
          <w:hyperlink w:history="1" w:anchor="_Toc41576559">
            <w:r w:rsidRPr="0027611A" w:rsidR="00EF7D02">
              <w:rPr>
                <w:rStyle w:val="Hyperlink"/>
                <w:noProof/>
              </w:rPr>
              <w:t>LIETOTIE SAĪSINĀJUMI</w:t>
            </w:r>
            <w:r w:rsidR="00EF7D02">
              <w:rPr>
                <w:noProof/>
                <w:webHidden/>
              </w:rPr>
              <w:tab/>
            </w:r>
            <w:r w:rsidR="00EF7D02">
              <w:rPr>
                <w:noProof/>
                <w:webHidden/>
              </w:rPr>
              <w:fldChar w:fldCharType="begin"/>
            </w:r>
            <w:r w:rsidR="00EF7D02">
              <w:rPr>
                <w:noProof/>
                <w:webHidden/>
              </w:rPr>
              <w:instrText xml:space="preserve"> PAGEREF _Toc41576559 \h </w:instrText>
            </w:r>
            <w:r w:rsidR="00EF7D02">
              <w:rPr>
                <w:noProof/>
                <w:webHidden/>
              </w:rPr>
            </w:r>
            <w:r w:rsidR="00EF7D02">
              <w:rPr>
                <w:noProof/>
                <w:webHidden/>
              </w:rPr>
              <w:fldChar w:fldCharType="separate"/>
            </w:r>
            <w:r w:rsidR="002B0009">
              <w:rPr>
                <w:noProof/>
                <w:webHidden/>
              </w:rPr>
              <w:t>3</w:t>
            </w:r>
            <w:r w:rsidR="00EF7D02">
              <w:rPr>
                <w:noProof/>
                <w:webHidden/>
              </w:rPr>
              <w:fldChar w:fldCharType="end"/>
            </w:r>
          </w:hyperlink>
        </w:p>
        <w:p w:rsidR="00EF7D02" w:rsidRDefault="001B73AD" w14:paraId="72F98044" w14:textId="3A03D2A3">
          <w:pPr>
            <w:pStyle w:val="TOC1"/>
            <w:tabs>
              <w:tab w:val="left" w:pos="1320"/>
              <w:tab w:val="right" w:leader="dot" w:pos="8296"/>
            </w:tabs>
            <w:rPr>
              <w:rFonts w:asciiTheme="minorHAnsi" w:hAnsiTheme="minorHAnsi" w:eastAsiaTheme="minorEastAsia"/>
              <w:b w:val="0"/>
              <w:noProof/>
              <w:sz w:val="22"/>
              <w:szCs w:val="22"/>
              <w:lang w:eastAsia="lv-LV"/>
            </w:rPr>
          </w:pPr>
          <w:hyperlink w:history="1" w:anchor="_Toc41576560">
            <w:r w:rsidRPr="0027611A" w:rsidR="00EF7D02">
              <w:rPr>
                <w:rStyle w:val="Hyperlink"/>
                <w:noProof/>
              </w:rPr>
              <w:t>1.</w:t>
            </w:r>
            <w:r w:rsidR="00EF7D02">
              <w:rPr>
                <w:rFonts w:asciiTheme="minorHAnsi" w:hAnsiTheme="minorHAnsi" w:eastAsiaTheme="minorEastAsia"/>
                <w:b w:val="0"/>
                <w:noProof/>
                <w:sz w:val="22"/>
                <w:szCs w:val="22"/>
                <w:lang w:eastAsia="lv-LV"/>
              </w:rPr>
              <w:tab/>
            </w:r>
            <w:r w:rsidRPr="0027611A" w:rsidR="00EF7D02">
              <w:rPr>
                <w:rStyle w:val="Hyperlink"/>
                <w:noProof/>
              </w:rPr>
              <w:t>KOPSAVILKUMS</w:t>
            </w:r>
            <w:r w:rsidR="00EF7D02">
              <w:rPr>
                <w:noProof/>
                <w:webHidden/>
              </w:rPr>
              <w:tab/>
            </w:r>
            <w:r w:rsidR="00EF7D02">
              <w:rPr>
                <w:noProof/>
                <w:webHidden/>
              </w:rPr>
              <w:fldChar w:fldCharType="begin"/>
            </w:r>
            <w:r w:rsidR="00EF7D02">
              <w:rPr>
                <w:noProof/>
                <w:webHidden/>
              </w:rPr>
              <w:instrText xml:space="preserve"> PAGEREF _Toc41576560 \h </w:instrText>
            </w:r>
            <w:r w:rsidR="00EF7D02">
              <w:rPr>
                <w:noProof/>
                <w:webHidden/>
              </w:rPr>
            </w:r>
            <w:r w:rsidR="00EF7D02">
              <w:rPr>
                <w:noProof/>
                <w:webHidden/>
              </w:rPr>
              <w:fldChar w:fldCharType="separate"/>
            </w:r>
            <w:r w:rsidR="002B0009">
              <w:rPr>
                <w:noProof/>
                <w:webHidden/>
              </w:rPr>
              <w:t>4</w:t>
            </w:r>
            <w:r w:rsidR="00EF7D02">
              <w:rPr>
                <w:noProof/>
                <w:webHidden/>
              </w:rPr>
              <w:fldChar w:fldCharType="end"/>
            </w:r>
          </w:hyperlink>
        </w:p>
        <w:p w:rsidR="00EF7D02" w:rsidRDefault="001B73AD" w14:paraId="68BAA55D" w14:textId="0DBA716D">
          <w:pPr>
            <w:pStyle w:val="TOC1"/>
            <w:tabs>
              <w:tab w:val="left" w:pos="1320"/>
              <w:tab w:val="right" w:leader="dot" w:pos="8296"/>
            </w:tabs>
            <w:rPr>
              <w:rFonts w:asciiTheme="minorHAnsi" w:hAnsiTheme="minorHAnsi" w:eastAsiaTheme="minorEastAsia"/>
              <w:b w:val="0"/>
              <w:noProof/>
              <w:sz w:val="22"/>
              <w:szCs w:val="22"/>
              <w:lang w:eastAsia="lv-LV"/>
            </w:rPr>
          </w:pPr>
          <w:hyperlink w:history="1" w:anchor="_Toc41576561">
            <w:r w:rsidRPr="0027611A" w:rsidR="00EF7D02">
              <w:rPr>
                <w:rStyle w:val="Hyperlink"/>
                <w:noProof/>
              </w:rPr>
              <w:t>2.</w:t>
            </w:r>
            <w:r w:rsidR="00EF7D02">
              <w:rPr>
                <w:rFonts w:asciiTheme="minorHAnsi" w:hAnsiTheme="minorHAnsi" w:eastAsiaTheme="minorEastAsia"/>
                <w:b w:val="0"/>
                <w:noProof/>
                <w:sz w:val="22"/>
                <w:szCs w:val="22"/>
                <w:lang w:eastAsia="lv-LV"/>
              </w:rPr>
              <w:tab/>
            </w:r>
            <w:r w:rsidRPr="0027611A" w:rsidR="00EF7D02">
              <w:rPr>
                <w:rStyle w:val="Hyperlink"/>
                <w:noProof/>
              </w:rPr>
              <w:t>ESOŠĀS SITUĀCIJAS APRAKSTS</w:t>
            </w:r>
            <w:r w:rsidR="00EF7D02">
              <w:rPr>
                <w:noProof/>
                <w:webHidden/>
              </w:rPr>
              <w:tab/>
            </w:r>
            <w:r w:rsidR="00EF7D02">
              <w:rPr>
                <w:noProof/>
                <w:webHidden/>
              </w:rPr>
              <w:fldChar w:fldCharType="begin"/>
            </w:r>
            <w:r w:rsidR="00EF7D02">
              <w:rPr>
                <w:noProof/>
                <w:webHidden/>
              </w:rPr>
              <w:instrText xml:space="preserve"> PAGEREF _Toc41576561 \h </w:instrText>
            </w:r>
            <w:r w:rsidR="00EF7D02">
              <w:rPr>
                <w:noProof/>
                <w:webHidden/>
              </w:rPr>
            </w:r>
            <w:r w:rsidR="00EF7D02">
              <w:rPr>
                <w:noProof/>
                <w:webHidden/>
              </w:rPr>
              <w:fldChar w:fldCharType="separate"/>
            </w:r>
            <w:r w:rsidR="002B0009">
              <w:rPr>
                <w:noProof/>
                <w:webHidden/>
              </w:rPr>
              <w:t>5</w:t>
            </w:r>
            <w:r w:rsidR="00EF7D02">
              <w:rPr>
                <w:noProof/>
                <w:webHidden/>
              </w:rPr>
              <w:fldChar w:fldCharType="end"/>
            </w:r>
          </w:hyperlink>
        </w:p>
        <w:p w:rsidR="00EF7D02" w:rsidRDefault="001B73AD" w14:paraId="5B66D9F1" w14:textId="7E2C5ACE">
          <w:pPr>
            <w:pStyle w:val="TOC2"/>
            <w:tabs>
              <w:tab w:val="left" w:pos="1760"/>
              <w:tab w:val="right" w:leader="dot" w:pos="8296"/>
            </w:tabs>
            <w:rPr>
              <w:rFonts w:asciiTheme="minorHAnsi" w:hAnsiTheme="minorHAnsi" w:eastAsiaTheme="minorEastAsia"/>
              <w:noProof/>
              <w:sz w:val="22"/>
              <w:szCs w:val="22"/>
              <w:lang w:eastAsia="lv-LV"/>
            </w:rPr>
          </w:pPr>
          <w:hyperlink w:history="1" w:anchor="_Toc41576562">
            <w:r w:rsidRPr="0027611A" w:rsidR="00EF7D02">
              <w:rPr>
                <w:rStyle w:val="Hyperlink"/>
                <w:noProof/>
              </w:rPr>
              <w:t>2.1.</w:t>
            </w:r>
            <w:r w:rsidR="00EF7D02">
              <w:rPr>
                <w:rFonts w:asciiTheme="minorHAnsi" w:hAnsiTheme="minorHAnsi" w:eastAsiaTheme="minorEastAsia"/>
                <w:noProof/>
                <w:sz w:val="22"/>
                <w:szCs w:val="22"/>
                <w:lang w:eastAsia="lv-LV"/>
              </w:rPr>
              <w:tab/>
            </w:r>
            <w:r w:rsidRPr="0027611A" w:rsidR="00EF7D02">
              <w:rPr>
                <w:rStyle w:val="Hyperlink"/>
                <w:noProof/>
              </w:rPr>
              <w:t>ITS ieviešana Eiropas Savienībā</w:t>
            </w:r>
            <w:r w:rsidR="00EF7D02">
              <w:rPr>
                <w:noProof/>
                <w:webHidden/>
              </w:rPr>
              <w:tab/>
            </w:r>
            <w:r w:rsidR="00EF7D02">
              <w:rPr>
                <w:noProof/>
                <w:webHidden/>
              </w:rPr>
              <w:fldChar w:fldCharType="begin"/>
            </w:r>
            <w:r w:rsidR="00EF7D02">
              <w:rPr>
                <w:noProof/>
                <w:webHidden/>
              </w:rPr>
              <w:instrText xml:space="preserve"> PAGEREF _Toc41576562 \h </w:instrText>
            </w:r>
            <w:r w:rsidR="00EF7D02">
              <w:rPr>
                <w:noProof/>
                <w:webHidden/>
              </w:rPr>
            </w:r>
            <w:r w:rsidR="00EF7D02">
              <w:rPr>
                <w:noProof/>
                <w:webHidden/>
              </w:rPr>
              <w:fldChar w:fldCharType="separate"/>
            </w:r>
            <w:r w:rsidR="002B0009">
              <w:rPr>
                <w:noProof/>
                <w:webHidden/>
              </w:rPr>
              <w:t>5</w:t>
            </w:r>
            <w:r w:rsidR="00EF7D02">
              <w:rPr>
                <w:noProof/>
                <w:webHidden/>
              </w:rPr>
              <w:fldChar w:fldCharType="end"/>
            </w:r>
          </w:hyperlink>
        </w:p>
        <w:p w:rsidR="00EF7D02" w:rsidRDefault="001B73AD" w14:paraId="13C3E7BE" w14:textId="73235561">
          <w:pPr>
            <w:pStyle w:val="TOC2"/>
            <w:tabs>
              <w:tab w:val="left" w:pos="1760"/>
              <w:tab w:val="right" w:leader="dot" w:pos="8296"/>
            </w:tabs>
            <w:rPr>
              <w:rFonts w:asciiTheme="minorHAnsi" w:hAnsiTheme="minorHAnsi" w:eastAsiaTheme="minorEastAsia"/>
              <w:noProof/>
              <w:sz w:val="22"/>
              <w:szCs w:val="22"/>
              <w:lang w:eastAsia="lv-LV"/>
            </w:rPr>
          </w:pPr>
          <w:hyperlink w:history="1" w:anchor="_Toc41576563">
            <w:r w:rsidRPr="0027611A" w:rsidR="00EF7D02">
              <w:rPr>
                <w:rStyle w:val="Hyperlink"/>
                <w:noProof/>
              </w:rPr>
              <w:t>2.2.</w:t>
            </w:r>
            <w:r w:rsidR="00EF7D02">
              <w:rPr>
                <w:rFonts w:asciiTheme="minorHAnsi" w:hAnsiTheme="minorHAnsi" w:eastAsiaTheme="minorEastAsia"/>
                <w:noProof/>
                <w:sz w:val="22"/>
                <w:szCs w:val="22"/>
                <w:lang w:eastAsia="lv-LV"/>
              </w:rPr>
              <w:tab/>
            </w:r>
            <w:r w:rsidRPr="0027611A" w:rsidR="00EF7D02">
              <w:rPr>
                <w:rStyle w:val="Hyperlink"/>
                <w:noProof/>
              </w:rPr>
              <w:t>ITS Direktīva</w:t>
            </w:r>
            <w:r w:rsidR="00EF7D02">
              <w:rPr>
                <w:noProof/>
                <w:webHidden/>
              </w:rPr>
              <w:tab/>
            </w:r>
            <w:r w:rsidR="00EF7D02">
              <w:rPr>
                <w:noProof/>
                <w:webHidden/>
              </w:rPr>
              <w:fldChar w:fldCharType="begin"/>
            </w:r>
            <w:r w:rsidR="00EF7D02">
              <w:rPr>
                <w:noProof/>
                <w:webHidden/>
              </w:rPr>
              <w:instrText xml:space="preserve"> PAGEREF _Toc41576563 \h </w:instrText>
            </w:r>
            <w:r w:rsidR="00EF7D02">
              <w:rPr>
                <w:noProof/>
                <w:webHidden/>
              </w:rPr>
            </w:r>
            <w:r w:rsidR="00EF7D02">
              <w:rPr>
                <w:noProof/>
                <w:webHidden/>
              </w:rPr>
              <w:fldChar w:fldCharType="separate"/>
            </w:r>
            <w:r w:rsidR="002B0009">
              <w:rPr>
                <w:noProof/>
                <w:webHidden/>
              </w:rPr>
              <w:t>5</w:t>
            </w:r>
            <w:r w:rsidR="00EF7D02">
              <w:rPr>
                <w:noProof/>
                <w:webHidden/>
              </w:rPr>
              <w:fldChar w:fldCharType="end"/>
            </w:r>
          </w:hyperlink>
        </w:p>
        <w:p w:rsidR="00EF7D02" w:rsidRDefault="001B73AD" w14:paraId="5D9E1ACB" w14:textId="6F837EEF">
          <w:pPr>
            <w:pStyle w:val="TOC2"/>
            <w:tabs>
              <w:tab w:val="left" w:pos="1760"/>
              <w:tab w:val="right" w:leader="dot" w:pos="8296"/>
            </w:tabs>
            <w:rPr>
              <w:rFonts w:asciiTheme="minorHAnsi" w:hAnsiTheme="minorHAnsi" w:eastAsiaTheme="minorEastAsia"/>
              <w:noProof/>
              <w:sz w:val="22"/>
              <w:szCs w:val="22"/>
              <w:lang w:eastAsia="lv-LV"/>
            </w:rPr>
          </w:pPr>
          <w:hyperlink w:history="1" w:anchor="_Toc41576564">
            <w:r w:rsidRPr="0027611A" w:rsidR="00EF7D02">
              <w:rPr>
                <w:rStyle w:val="Hyperlink"/>
                <w:noProof/>
              </w:rPr>
              <w:t>2.3.</w:t>
            </w:r>
            <w:r w:rsidR="00EF7D02">
              <w:rPr>
                <w:rFonts w:asciiTheme="minorHAnsi" w:hAnsiTheme="minorHAnsi" w:eastAsiaTheme="minorEastAsia"/>
                <w:noProof/>
                <w:sz w:val="22"/>
                <w:szCs w:val="22"/>
                <w:lang w:eastAsia="lv-LV"/>
              </w:rPr>
              <w:tab/>
            </w:r>
            <w:r w:rsidRPr="0027611A" w:rsidR="00EF7D02">
              <w:rPr>
                <w:rStyle w:val="Hyperlink"/>
                <w:noProof/>
              </w:rPr>
              <w:t>ITS Deleģētās Regulas</w:t>
            </w:r>
            <w:r w:rsidR="00EF7D02">
              <w:rPr>
                <w:noProof/>
                <w:webHidden/>
              </w:rPr>
              <w:tab/>
            </w:r>
            <w:r w:rsidR="00EF7D02">
              <w:rPr>
                <w:noProof/>
                <w:webHidden/>
              </w:rPr>
              <w:fldChar w:fldCharType="begin"/>
            </w:r>
            <w:r w:rsidR="00EF7D02">
              <w:rPr>
                <w:noProof/>
                <w:webHidden/>
              </w:rPr>
              <w:instrText xml:space="preserve"> PAGEREF _Toc41576564 \h </w:instrText>
            </w:r>
            <w:r w:rsidR="00EF7D02">
              <w:rPr>
                <w:noProof/>
                <w:webHidden/>
              </w:rPr>
            </w:r>
            <w:r w:rsidR="00EF7D02">
              <w:rPr>
                <w:noProof/>
                <w:webHidden/>
              </w:rPr>
              <w:fldChar w:fldCharType="separate"/>
            </w:r>
            <w:r w:rsidR="002B0009">
              <w:rPr>
                <w:noProof/>
                <w:webHidden/>
              </w:rPr>
              <w:t>6</w:t>
            </w:r>
            <w:r w:rsidR="00EF7D02">
              <w:rPr>
                <w:noProof/>
                <w:webHidden/>
              </w:rPr>
              <w:fldChar w:fldCharType="end"/>
            </w:r>
          </w:hyperlink>
        </w:p>
        <w:p w:rsidR="00EF7D02" w:rsidRDefault="001B73AD" w14:paraId="1576D57C" w14:textId="5D226FBD">
          <w:pPr>
            <w:pStyle w:val="TOC3"/>
            <w:tabs>
              <w:tab w:val="left" w:pos="1960"/>
              <w:tab w:val="right" w:leader="dot" w:pos="8296"/>
            </w:tabs>
            <w:rPr>
              <w:rFonts w:asciiTheme="minorHAnsi" w:hAnsiTheme="minorHAnsi" w:eastAsiaTheme="minorEastAsia"/>
              <w:noProof/>
              <w:sz w:val="22"/>
              <w:szCs w:val="22"/>
              <w:lang w:eastAsia="lv-LV"/>
            </w:rPr>
          </w:pPr>
          <w:hyperlink w:history="1" w:anchor="_Toc41576565">
            <w:r w:rsidRPr="0027611A" w:rsidR="00EF7D02">
              <w:rPr>
                <w:rStyle w:val="Hyperlink"/>
                <w:noProof/>
              </w:rPr>
              <w:t>2.3.1.</w:t>
            </w:r>
            <w:r w:rsidR="00EF7D02">
              <w:rPr>
                <w:rFonts w:asciiTheme="minorHAnsi" w:hAnsiTheme="minorHAnsi" w:eastAsiaTheme="minorEastAsia"/>
                <w:noProof/>
                <w:sz w:val="22"/>
                <w:szCs w:val="22"/>
                <w:lang w:eastAsia="lv-LV"/>
              </w:rPr>
              <w:tab/>
            </w:r>
            <w:r w:rsidRPr="0027611A" w:rsidR="00EF7D02">
              <w:rPr>
                <w:rStyle w:val="Hyperlink"/>
                <w:noProof/>
              </w:rPr>
              <w:t>Regula Nr.885/2013</w:t>
            </w:r>
            <w:r w:rsidR="00EF7D02">
              <w:rPr>
                <w:noProof/>
                <w:webHidden/>
              </w:rPr>
              <w:tab/>
            </w:r>
            <w:r w:rsidR="00EF7D02">
              <w:rPr>
                <w:noProof/>
                <w:webHidden/>
              </w:rPr>
              <w:fldChar w:fldCharType="begin"/>
            </w:r>
            <w:r w:rsidR="00EF7D02">
              <w:rPr>
                <w:noProof/>
                <w:webHidden/>
              </w:rPr>
              <w:instrText xml:space="preserve"> PAGEREF _Toc41576565 \h </w:instrText>
            </w:r>
            <w:r w:rsidR="00EF7D02">
              <w:rPr>
                <w:noProof/>
                <w:webHidden/>
              </w:rPr>
            </w:r>
            <w:r w:rsidR="00EF7D02">
              <w:rPr>
                <w:noProof/>
                <w:webHidden/>
              </w:rPr>
              <w:fldChar w:fldCharType="separate"/>
            </w:r>
            <w:r w:rsidR="002B0009">
              <w:rPr>
                <w:noProof/>
                <w:webHidden/>
              </w:rPr>
              <w:t>6</w:t>
            </w:r>
            <w:r w:rsidR="00EF7D02">
              <w:rPr>
                <w:noProof/>
                <w:webHidden/>
              </w:rPr>
              <w:fldChar w:fldCharType="end"/>
            </w:r>
          </w:hyperlink>
        </w:p>
        <w:p w:rsidR="00EF7D02" w:rsidRDefault="001B73AD" w14:paraId="0AE8B391" w14:textId="723A4770">
          <w:pPr>
            <w:pStyle w:val="TOC3"/>
            <w:tabs>
              <w:tab w:val="left" w:pos="1960"/>
              <w:tab w:val="right" w:leader="dot" w:pos="8296"/>
            </w:tabs>
            <w:rPr>
              <w:rFonts w:asciiTheme="minorHAnsi" w:hAnsiTheme="minorHAnsi" w:eastAsiaTheme="minorEastAsia"/>
              <w:noProof/>
              <w:sz w:val="22"/>
              <w:szCs w:val="22"/>
              <w:lang w:eastAsia="lv-LV"/>
            </w:rPr>
          </w:pPr>
          <w:hyperlink w:history="1" w:anchor="_Toc41576566">
            <w:r w:rsidRPr="0027611A" w:rsidR="00EF7D02">
              <w:rPr>
                <w:rStyle w:val="Hyperlink"/>
                <w:noProof/>
              </w:rPr>
              <w:t>2.3.2.</w:t>
            </w:r>
            <w:r w:rsidR="00EF7D02">
              <w:rPr>
                <w:rFonts w:asciiTheme="minorHAnsi" w:hAnsiTheme="minorHAnsi" w:eastAsiaTheme="minorEastAsia"/>
                <w:noProof/>
                <w:sz w:val="22"/>
                <w:szCs w:val="22"/>
                <w:lang w:eastAsia="lv-LV"/>
              </w:rPr>
              <w:tab/>
            </w:r>
            <w:r w:rsidRPr="0027611A" w:rsidR="00EF7D02">
              <w:rPr>
                <w:rStyle w:val="Hyperlink"/>
                <w:noProof/>
              </w:rPr>
              <w:t>Regula Nr.886/2013</w:t>
            </w:r>
            <w:r w:rsidR="00EF7D02">
              <w:rPr>
                <w:noProof/>
                <w:webHidden/>
              </w:rPr>
              <w:tab/>
            </w:r>
            <w:r w:rsidR="00EF7D02">
              <w:rPr>
                <w:noProof/>
                <w:webHidden/>
              </w:rPr>
              <w:fldChar w:fldCharType="begin"/>
            </w:r>
            <w:r w:rsidR="00EF7D02">
              <w:rPr>
                <w:noProof/>
                <w:webHidden/>
              </w:rPr>
              <w:instrText xml:space="preserve"> PAGEREF _Toc41576566 \h </w:instrText>
            </w:r>
            <w:r w:rsidR="00EF7D02">
              <w:rPr>
                <w:noProof/>
                <w:webHidden/>
              </w:rPr>
            </w:r>
            <w:r w:rsidR="00EF7D02">
              <w:rPr>
                <w:noProof/>
                <w:webHidden/>
              </w:rPr>
              <w:fldChar w:fldCharType="separate"/>
            </w:r>
            <w:r w:rsidR="002B0009">
              <w:rPr>
                <w:noProof/>
                <w:webHidden/>
              </w:rPr>
              <w:t>6</w:t>
            </w:r>
            <w:r w:rsidR="00EF7D02">
              <w:rPr>
                <w:noProof/>
                <w:webHidden/>
              </w:rPr>
              <w:fldChar w:fldCharType="end"/>
            </w:r>
          </w:hyperlink>
        </w:p>
        <w:p w:rsidR="00EF7D02" w:rsidRDefault="001B73AD" w14:paraId="1C3D7A06" w14:textId="0D2E626A">
          <w:pPr>
            <w:pStyle w:val="TOC3"/>
            <w:tabs>
              <w:tab w:val="left" w:pos="1960"/>
              <w:tab w:val="right" w:leader="dot" w:pos="8296"/>
            </w:tabs>
            <w:rPr>
              <w:rFonts w:asciiTheme="minorHAnsi" w:hAnsiTheme="minorHAnsi" w:eastAsiaTheme="minorEastAsia"/>
              <w:noProof/>
              <w:sz w:val="22"/>
              <w:szCs w:val="22"/>
              <w:lang w:eastAsia="lv-LV"/>
            </w:rPr>
          </w:pPr>
          <w:hyperlink w:history="1" w:anchor="_Toc41576567">
            <w:r w:rsidRPr="0027611A" w:rsidR="00EF7D02">
              <w:rPr>
                <w:rStyle w:val="Hyperlink"/>
                <w:noProof/>
              </w:rPr>
              <w:t>2.3.3.</w:t>
            </w:r>
            <w:r w:rsidR="00EF7D02">
              <w:rPr>
                <w:rFonts w:asciiTheme="minorHAnsi" w:hAnsiTheme="minorHAnsi" w:eastAsiaTheme="minorEastAsia"/>
                <w:noProof/>
                <w:sz w:val="22"/>
                <w:szCs w:val="22"/>
                <w:lang w:eastAsia="lv-LV"/>
              </w:rPr>
              <w:tab/>
            </w:r>
            <w:r w:rsidRPr="0027611A" w:rsidR="00EF7D02">
              <w:rPr>
                <w:rStyle w:val="Hyperlink"/>
                <w:noProof/>
              </w:rPr>
              <w:t>Regula Nr.2015/962</w:t>
            </w:r>
            <w:r w:rsidR="00EF7D02">
              <w:rPr>
                <w:noProof/>
                <w:webHidden/>
              </w:rPr>
              <w:tab/>
            </w:r>
            <w:r w:rsidR="00EF7D02">
              <w:rPr>
                <w:noProof/>
                <w:webHidden/>
              </w:rPr>
              <w:fldChar w:fldCharType="begin"/>
            </w:r>
            <w:r w:rsidR="00EF7D02">
              <w:rPr>
                <w:noProof/>
                <w:webHidden/>
              </w:rPr>
              <w:instrText xml:space="preserve"> PAGEREF _Toc41576567 \h </w:instrText>
            </w:r>
            <w:r w:rsidR="00EF7D02">
              <w:rPr>
                <w:noProof/>
                <w:webHidden/>
              </w:rPr>
            </w:r>
            <w:r w:rsidR="00EF7D02">
              <w:rPr>
                <w:noProof/>
                <w:webHidden/>
              </w:rPr>
              <w:fldChar w:fldCharType="separate"/>
            </w:r>
            <w:r w:rsidR="002B0009">
              <w:rPr>
                <w:noProof/>
                <w:webHidden/>
              </w:rPr>
              <w:t>7</w:t>
            </w:r>
            <w:r w:rsidR="00EF7D02">
              <w:rPr>
                <w:noProof/>
                <w:webHidden/>
              </w:rPr>
              <w:fldChar w:fldCharType="end"/>
            </w:r>
          </w:hyperlink>
        </w:p>
        <w:p w:rsidR="00EF7D02" w:rsidRDefault="001B73AD" w14:paraId="7D7F026E" w14:textId="66865E97">
          <w:pPr>
            <w:pStyle w:val="TOC3"/>
            <w:tabs>
              <w:tab w:val="left" w:pos="1960"/>
              <w:tab w:val="right" w:leader="dot" w:pos="8296"/>
            </w:tabs>
            <w:rPr>
              <w:rFonts w:asciiTheme="minorHAnsi" w:hAnsiTheme="minorHAnsi" w:eastAsiaTheme="minorEastAsia"/>
              <w:noProof/>
              <w:sz w:val="22"/>
              <w:szCs w:val="22"/>
              <w:lang w:eastAsia="lv-LV"/>
            </w:rPr>
          </w:pPr>
          <w:hyperlink w:history="1" w:anchor="_Toc41576568">
            <w:r w:rsidRPr="0027611A" w:rsidR="00EF7D02">
              <w:rPr>
                <w:rStyle w:val="Hyperlink"/>
                <w:noProof/>
              </w:rPr>
              <w:t>2.3.4.</w:t>
            </w:r>
            <w:r w:rsidR="00EF7D02">
              <w:rPr>
                <w:rFonts w:asciiTheme="minorHAnsi" w:hAnsiTheme="minorHAnsi" w:eastAsiaTheme="minorEastAsia"/>
                <w:noProof/>
                <w:sz w:val="22"/>
                <w:szCs w:val="22"/>
                <w:lang w:eastAsia="lv-LV"/>
              </w:rPr>
              <w:tab/>
            </w:r>
            <w:r w:rsidRPr="0027611A" w:rsidR="00EF7D02">
              <w:rPr>
                <w:rStyle w:val="Hyperlink"/>
                <w:noProof/>
              </w:rPr>
              <w:t>Regula Nr.2017/1926</w:t>
            </w:r>
            <w:r w:rsidR="00EF7D02">
              <w:rPr>
                <w:noProof/>
                <w:webHidden/>
              </w:rPr>
              <w:tab/>
            </w:r>
            <w:r w:rsidR="00EF7D02">
              <w:rPr>
                <w:noProof/>
                <w:webHidden/>
              </w:rPr>
              <w:fldChar w:fldCharType="begin"/>
            </w:r>
            <w:r w:rsidR="00EF7D02">
              <w:rPr>
                <w:noProof/>
                <w:webHidden/>
              </w:rPr>
              <w:instrText xml:space="preserve"> PAGEREF _Toc41576568 \h </w:instrText>
            </w:r>
            <w:r w:rsidR="00EF7D02">
              <w:rPr>
                <w:noProof/>
                <w:webHidden/>
              </w:rPr>
            </w:r>
            <w:r w:rsidR="00EF7D02">
              <w:rPr>
                <w:noProof/>
                <w:webHidden/>
              </w:rPr>
              <w:fldChar w:fldCharType="separate"/>
            </w:r>
            <w:r w:rsidR="002B0009">
              <w:rPr>
                <w:noProof/>
                <w:webHidden/>
              </w:rPr>
              <w:t>8</w:t>
            </w:r>
            <w:r w:rsidR="00EF7D02">
              <w:rPr>
                <w:noProof/>
                <w:webHidden/>
              </w:rPr>
              <w:fldChar w:fldCharType="end"/>
            </w:r>
          </w:hyperlink>
        </w:p>
        <w:p w:rsidR="00EF7D02" w:rsidRDefault="001B73AD" w14:paraId="0C8D3664" w14:textId="1356D872">
          <w:pPr>
            <w:pStyle w:val="TOC3"/>
            <w:tabs>
              <w:tab w:val="left" w:pos="1960"/>
              <w:tab w:val="right" w:leader="dot" w:pos="8296"/>
            </w:tabs>
            <w:rPr>
              <w:rFonts w:asciiTheme="minorHAnsi" w:hAnsiTheme="minorHAnsi" w:eastAsiaTheme="minorEastAsia"/>
              <w:noProof/>
              <w:sz w:val="22"/>
              <w:szCs w:val="22"/>
              <w:lang w:eastAsia="lv-LV"/>
            </w:rPr>
          </w:pPr>
          <w:hyperlink w:history="1" w:anchor="_Toc41576569">
            <w:r w:rsidRPr="0027611A" w:rsidR="00EF7D02">
              <w:rPr>
                <w:rStyle w:val="Hyperlink"/>
                <w:noProof/>
              </w:rPr>
              <w:t>2.3.5.</w:t>
            </w:r>
            <w:r w:rsidR="00EF7D02">
              <w:rPr>
                <w:rFonts w:asciiTheme="minorHAnsi" w:hAnsiTheme="minorHAnsi" w:eastAsiaTheme="minorEastAsia"/>
                <w:noProof/>
                <w:sz w:val="22"/>
                <w:szCs w:val="22"/>
                <w:lang w:eastAsia="lv-LV"/>
              </w:rPr>
              <w:tab/>
            </w:r>
            <w:r w:rsidRPr="0027611A" w:rsidR="00EF7D02">
              <w:rPr>
                <w:rStyle w:val="Hyperlink"/>
                <w:noProof/>
              </w:rPr>
              <w:t>Regula Nr.305/2013</w:t>
            </w:r>
            <w:r w:rsidR="00EF7D02">
              <w:rPr>
                <w:noProof/>
                <w:webHidden/>
              </w:rPr>
              <w:tab/>
            </w:r>
            <w:r w:rsidR="00EF7D02">
              <w:rPr>
                <w:noProof/>
                <w:webHidden/>
              </w:rPr>
              <w:fldChar w:fldCharType="begin"/>
            </w:r>
            <w:r w:rsidR="00EF7D02">
              <w:rPr>
                <w:noProof/>
                <w:webHidden/>
              </w:rPr>
              <w:instrText xml:space="preserve"> PAGEREF _Toc41576569 \h </w:instrText>
            </w:r>
            <w:r w:rsidR="00EF7D02">
              <w:rPr>
                <w:noProof/>
                <w:webHidden/>
              </w:rPr>
            </w:r>
            <w:r w:rsidR="00EF7D02">
              <w:rPr>
                <w:noProof/>
                <w:webHidden/>
              </w:rPr>
              <w:fldChar w:fldCharType="separate"/>
            </w:r>
            <w:r w:rsidR="002B0009">
              <w:rPr>
                <w:noProof/>
                <w:webHidden/>
              </w:rPr>
              <w:t>9</w:t>
            </w:r>
            <w:r w:rsidR="00EF7D02">
              <w:rPr>
                <w:noProof/>
                <w:webHidden/>
              </w:rPr>
              <w:fldChar w:fldCharType="end"/>
            </w:r>
          </w:hyperlink>
        </w:p>
        <w:p w:rsidR="00EF7D02" w:rsidRDefault="001B73AD" w14:paraId="206C5AB2" w14:textId="584C3A7C">
          <w:pPr>
            <w:pStyle w:val="TOC2"/>
            <w:tabs>
              <w:tab w:val="left" w:pos="1760"/>
              <w:tab w:val="right" w:leader="dot" w:pos="8296"/>
            </w:tabs>
            <w:rPr>
              <w:rFonts w:asciiTheme="minorHAnsi" w:hAnsiTheme="minorHAnsi" w:eastAsiaTheme="minorEastAsia"/>
              <w:noProof/>
              <w:sz w:val="22"/>
              <w:szCs w:val="22"/>
              <w:lang w:eastAsia="lv-LV"/>
            </w:rPr>
          </w:pPr>
          <w:hyperlink w:history="1" w:anchor="_Toc41576570">
            <w:r w:rsidRPr="0027611A" w:rsidR="00EF7D02">
              <w:rPr>
                <w:rStyle w:val="Hyperlink"/>
                <w:noProof/>
              </w:rPr>
              <w:t>2.4.</w:t>
            </w:r>
            <w:r w:rsidR="00EF7D02">
              <w:rPr>
                <w:rFonts w:asciiTheme="minorHAnsi" w:hAnsiTheme="minorHAnsi" w:eastAsiaTheme="minorEastAsia"/>
                <w:noProof/>
                <w:sz w:val="22"/>
                <w:szCs w:val="22"/>
                <w:lang w:eastAsia="lv-LV"/>
              </w:rPr>
              <w:tab/>
            </w:r>
            <w:r w:rsidRPr="0027611A" w:rsidR="00EF7D02">
              <w:rPr>
                <w:rStyle w:val="Hyperlink"/>
                <w:noProof/>
              </w:rPr>
              <w:t>5G attīstība</w:t>
            </w:r>
            <w:r w:rsidR="00EF7D02">
              <w:rPr>
                <w:noProof/>
                <w:webHidden/>
              </w:rPr>
              <w:tab/>
            </w:r>
            <w:r w:rsidR="00EF7D02">
              <w:rPr>
                <w:noProof/>
                <w:webHidden/>
              </w:rPr>
              <w:fldChar w:fldCharType="begin"/>
            </w:r>
            <w:r w:rsidR="00EF7D02">
              <w:rPr>
                <w:noProof/>
                <w:webHidden/>
              </w:rPr>
              <w:instrText xml:space="preserve"> PAGEREF _Toc41576570 \h </w:instrText>
            </w:r>
            <w:r w:rsidR="00EF7D02">
              <w:rPr>
                <w:noProof/>
                <w:webHidden/>
              </w:rPr>
            </w:r>
            <w:r w:rsidR="00EF7D02">
              <w:rPr>
                <w:noProof/>
                <w:webHidden/>
              </w:rPr>
              <w:fldChar w:fldCharType="separate"/>
            </w:r>
            <w:r w:rsidR="002B0009">
              <w:rPr>
                <w:noProof/>
                <w:webHidden/>
              </w:rPr>
              <w:t>9</w:t>
            </w:r>
            <w:r w:rsidR="00EF7D02">
              <w:rPr>
                <w:noProof/>
                <w:webHidden/>
              </w:rPr>
              <w:fldChar w:fldCharType="end"/>
            </w:r>
          </w:hyperlink>
        </w:p>
        <w:p w:rsidR="00EF7D02" w:rsidRDefault="001B73AD" w14:paraId="77E01343" w14:textId="04D50563">
          <w:pPr>
            <w:pStyle w:val="TOC2"/>
            <w:tabs>
              <w:tab w:val="left" w:pos="1760"/>
              <w:tab w:val="right" w:leader="dot" w:pos="8296"/>
            </w:tabs>
            <w:rPr>
              <w:rFonts w:asciiTheme="minorHAnsi" w:hAnsiTheme="minorHAnsi" w:eastAsiaTheme="minorEastAsia"/>
              <w:noProof/>
              <w:sz w:val="22"/>
              <w:szCs w:val="22"/>
              <w:lang w:eastAsia="lv-LV"/>
            </w:rPr>
          </w:pPr>
          <w:hyperlink w:history="1" w:anchor="_Toc41576571">
            <w:r w:rsidRPr="0027611A" w:rsidR="00EF7D02">
              <w:rPr>
                <w:rStyle w:val="Hyperlink"/>
                <w:noProof/>
              </w:rPr>
              <w:t>2.5.</w:t>
            </w:r>
            <w:r w:rsidR="00EF7D02">
              <w:rPr>
                <w:rFonts w:asciiTheme="minorHAnsi" w:hAnsiTheme="minorHAnsi" w:eastAsiaTheme="minorEastAsia"/>
                <w:noProof/>
                <w:sz w:val="22"/>
                <w:szCs w:val="22"/>
                <w:lang w:eastAsia="lv-LV"/>
              </w:rPr>
              <w:tab/>
            </w:r>
            <w:r w:rsidRPr="0027611A" w:rsidR="00EF7D02">
              <w:rPr>
                <w:rStyle w:val="Hyperlink"/>
                <w:noProof/>
              </w:rPr>
              <w:t>Situācija Latvijā</w:t>
            </w:r>
            <w:r w:rsidR="00EF7D02">
              <w:rPr>
                <w:noProof/>
                <w:webHidden/>
              </w:rPr>
              <w:tab/>
            </w:r>
            <w:r w:rsidR="00EF7D02">
              <w:rPr>
                <w:noProof/>
                <w:webHidden/>
              </w:rPr>
              <w:fldChar w:fldCharType="begin"/>
            </w:r>
            <w:r w:rsidR="00EF7D02">
              <w:rPr>
                <w:noProof/>
                <w:webHidden/>
              </w:rPr>
              <w:instrText xml:space="preserve"> PAGEREF _Toc41576571 \h </w:instrText>
            </w:r>
            <w:r w:rsidR="00EF7D02">
              <w:rPr>
                <w:noProof/>
                <w:webHidden/>
              </w:rPr>
            </w:r>
            <w:r w:rsidR="00EF7D02">
              <w:rPr>
                <w:noProof/>
                <w:webHidden/>
              </w:rPr>
              <w:fldChar w:fldCharType="separate"/>
            </w:r>
            <w:r w:rsidR="002B0009">
              <w:rPr>
                <w:noProof/>
                <w:webHidden/>
              </w:rPr>
              <w:t>10</w:t>
            </w:r>
            <w:r w:rsidR="00EF7D02">
              <w:rPr>
                <w:noProof/>
                <w:webHidden/>
              </w:rPr>
              <w:fldChar w:fldCharType="end"/>
            </w:r>
          </w:hyperlink>
        </w:p>
        <w:p w:rsidR="00EF7D02" w:rsidRDefault="001B73AD" w14:paraId="6A4FDECF" w14:textId="527B1459">
          <w:pPr>
            <w:pStyle w:val="TOC2"/>
            <w:tabs>
              <w:tab w:val="left" w:pos="1760"/>
              <w:tab w:val="right" w:leader="dot" w:pos="8296"/>
            </w:tabs>
            <w:rPr>
              <w:rFonts w:asciiTheme="minorHAnsi" w:hAnsiTheme="minorHAnsi" w:eastAsiaTheme="minorEastAsia"/>
              <w:noProof/>
              <w:sz w:val="22"/>
              <w:szCs w:val="22"/>
              <w:lang w:eastAsia="lv-LV"/>
            </w:rPr>
          </w:pPr>
          <w:hyperlink w:history="1" w:anchor="_Toc41576572">
            <w:r w:rsidRPr="0027611A" w:rsidR="00EF7D02">
              <w:rPr>
                <w:rStyle w:val="Hyperlink"/>
                <w:noProof/>
              </w:rPr>
              <w:t>2.6.</w:t>
            </w:r>
            <w:r w:rsidR="00EF7D02">
              <w:rPr>
                <w:rFonts w:asciiTheme="minorHAnsi" w:hAnsiTheme="minorHAnsi" w:eastAsiaTheme="minorEastAsia"/>
                <w:noProof/>
                <w:sz w:val="22"/>
                <w:szCs w:val="22"/>
                <w:lang w:eastAsia="lv-LV"/>
              </w:rPr>
              <w:tab/>
            </w:r>
            <w:r w:rsidRPr="0027611A" w:rsidR="00EF7D02">
              <w:rPr>
                <w:rStyle w:val="Hyperlink"/>
                <w:noProof/>
              </w:rPr>
              <w:t>Izpēte par ITS ieviešanu Latvijas autotransporta jomā</w:t>
            </w:r>
            <w:r w:rsidR="00EF7D02">
              <w:rPr>
                <w:noProof/>
                <w:webHidden/>
              </w:rPr>
              <w:tab/>
            </w:r>
            <w:r w:rsidR="00EF7D02">
              <w:rPr>
                <w:noProof/>
                <w:webHidden/>
              </w:rPr>
              <w:fldChar w:fldCharType="begin"/>
            </w:r>
            <w:r w:rsidR="00EF7D02">
              <w:rPr>
                <w:noProof/>
                <w:webHidden/>
              </w:rPr>
              <w:instrText xml:space="preserve"> PAGEREF _Toc41576572 \h </w:instrText>
            </w:r>
            <w:r w:rsidR="00EF7D02">
              <w:rPr>
                <w:noProof/>
                <w:webHidden/>
              </w:rPr>
            </w:r>
            <w:r w:rsidR="00EF7D02">
              <w:rPr>
                <w:noProof/>
                <w:webHidden/>
              </w:rPr>
              <w:fldChar w:fldCharType="separate"/>
            </w:r>
            <w:r w:rsidR="002B0009">
              <w:rPr>
                <w:noProof/>
                <w:webHidden/>
              </w:rPr>
              <w:t>13</w:t>
            </w:r>
            <w:r w:rsidR="00EF7D02">
              <w:rPr>
                <w:noProof/>
                <w:webHidden/>
              </w:rPr>
              <w:fldChar w:fldCharType="end"/>
            </w:r>
          </w:hyperlink>
        </w:p>
        <w:p w:rsidR="00EF7D02" w:rsidRDefault="001B73AD" w14:paraId="15239394" w14:textId="62AA92D4">
          <w:pPr>
            <w:pStyle w:val="TOC3"/>
            <w:tabs>
              <w:tab w:val="left" w:pos="1960"/>
              <w:tab w:val="right" w:leader="dot" w:pos="8296"/>
            </w:tabs>
            <w:rPr>
              <w:rFonts w:asciiTheme="minorHAnsi" w:hAnsiTheme="minorHAnsi" w:eastAsiaTheme="minorEastAsia"/>
              <w:noProof/>
              <w:sz w:val="22"/>
              <w:szCs w:val="22"/>
              <w:lang w:eastAsia="lv-LV"/>
            </w:rPr>
          </w:pPr>
          <w:hyperlink w:history="1" w:anchor="_Toc41576573">
            <w:r w:rsidRPr="0027611A" w:rsidR="00EF7D02">
              <w:rPr>
                <w:rStyle w:val="Hyperlink"/>
                <w:noProof/>
              </w:rPr>
              <w:t>2.6.1.</w:t>
            </w:r>
            <w:r w:rsidR="00EF7D02">
              <w:rPr>
                <w:rFonts w:asciiTheme="minorHAnsi" w:hAnsiTheme="minorHAnsi" w:eastAsiaTheme="minorEastAsia"/>
                <w:noProof/>
                <w:sz w:val="22"/>
                <w:szCs w:val="22"/>
                <w:lang w:eastAsia="lv-LV"/>
              </w:rPr>
              <w:tab/>
            </w:r>
            <w:r w:rsidRPr="0027611A" w:rsidR="00EF7D02">
              <w:rPr>
                <w:rStyle w:val="Hyperlink"/>
                <w:noProof/>
              </w:rPr>
              <w:t>Izpētē identificētie prioritāri ieviešamie projekti</w:t>
            </w:r>
            <w:r w:rsidR="00EF7D02">
              <w:rPr>
                <w:noProof/>
                <w:webHidden/>
              </w:rPr>
              <w:tab/>
            </w:r>
            <w:r w:rsidR="00EF7D02">
              <w:rPr>
                <w:noProof/>
                <w:webHidden/>
              </w:rPr>
              <w:fldChar w:fldCharType="begin"/>
            </w:r>
            <w:r w:rsidR="00EF7D02">
              <w:rPr>
                <w:noProof/>
                <w:webHidden/>
              </w:rPr>
              <w:instrText xml:space="preserve"> PAGEREF _Toc41576573 \h </w:instrText>
            </w:r>
            <w:r w:rsidR="00EF7D02">
              <w:rPr>
                <w:noProof/>
                <w:webHidden/>
              </w:rPr>
            </w:r>
            <w:r w:rsidR="00EF7D02">
              <w:rPr>
                <w:noProof/>
                <w:webHidden/>
              </w:rPr>
              <w:fldChar w:fldCharType="separate"/>
            </w:r>
            <w:r w:rsidR="002B0009">
              <w:rPr>
                <w:noProof/>
                <w:webHidden/>
              </w:rPr>
              <w:t>13</w:t>
            </w:r>
            <w:r w:rsidR="00EF7D02">
              <w:rPr>
                <w:noProof/>
                <w:webHidden/>
              </w:rPr>
              <w:fldChar w:fldCharType="end"/>
            </w:r>
          </w:hyperlink>
        </w:p>
        <w:p w:rsidR="00EF7D02" w:rsidRDefault="001B73AD" w14:paraId="10E14938" w14:textId="6F315859">
          <w:pPr>
            <w:pStyle w:val="TOC2"/>
            <w:tabs>
              <w:tab w:val="left" w:pos="1760"/>
              <w:tab w:val="right" w:leader="dot" w:pos="8296"/>
            </w:tabs>
            <w:rPr>
              <w:rFonts w:asciiTheme="minorHAnsi" w:hAnsiTheme="minorHAnsi" w:eastAsiaTheme="minorEastAsia"/>
              <w:noProof/>
              <w:sz w:val="22"/>
              <w:szCs w:val="22"/>
              <w:lang w:eastAsia="lv-LV"/>
            </w:rPr>
          </w:pPr>
          <w:hyperlink w:history="1" w:anchor="_Toc41576574">
            <w:r w:rsidRPr="0027611A" w:rsidR="00EF7D02">
              <w:rPr>
                <w:rStyle w:val="Hyperlink"/>
                <w:noProof/>
              </w:rPr>
              <w:t>2.7.</w:t>
            </w:r>
            <w:r w:rsidR="00EF7D02">
              <w:rPr>
                <w:rFonts w:asciiTheme="minorHAnsi" w:hAnsiTheme="minorHAnsi" w:eastAsiaTheme="minorEastAsia"/>
                <w:noProof/>
                <w:sz w:val="22"/>
                <w:szCs w:val="22"/>
                <w:lang w:eastAsia="lv-LV"/>
              </w:rPr>
              <w:tab/>
            </w:r>
            <w:r w:rsidRPr="0027611A" w:rsidR="00EF7D02">
              <w:rPr>
                <w:rStyle w:val="Hyperlink"/>
                <w:noProof/>
              </w:rPr>
              <w:t>Esošās situācijas saglabāšanas risks</w:t>
            </w:r>
            <w:r w:rsidR="00EF7D02">
              <w:rPr>
                <w:noProof/>
                <w:webHidden/>
              </w:rPr>
              <w:tab/>
            </w:r>
            <w:r w:rsidR="00EF7D02">
              <w:rPr>
                <w:noProof/>
                <w:webHidden/>
              </w:rPr>
              <w:fldChar w:fldCharType="begin"/>
            </w:r>
            <w:r w:rsidR="00EF7D02">
              <w:rPr>
                <w:noProof/>
                <w:webHidden/>
              </w:rPr>
              <w:instrText xml:space="preserve"> PAGEREF _Toc41576574 \h </w:instrText>
            </w:r>
            <w:r w:rsidR="00EF7D02">
              <w:rPr>
                <w:noProof/>
                <w:webHidden/>
              </w:rPr>
            </w:r>
            <w:r w:rsidR="00EF7D02">
              <w:rPr>
                <w:noProof/>
                <w:webHidden/>
              </w:rPr>
              <w:fldChar w:fldCharType="separate"/>
            </w:r>
            <w:r w:rsidR="002B0009">
              <w:rPr>
                <w:noProof/>
                <w:webHidden/>
              </w:rPr>
              <w:t>14</w:t>
            </w:r>
            <w:r w:rsidR="00EF7D02">
              <w:rPr>
                <w:noProof/>
                <w:webHidden/>
              </w:rPr>
              <w:fldChar w:fldCharType="end"/>
            </w:r>
          </w:hyperlink>
        </w:p>
        <w:p w:rsidR="00EF7D02" w:rsidRDefault="001B73AD" w14:paraId="2DC2A284" w14:textId="3C2D5D8F">
          <w:pPr>
            <w:pStyle w:val="TOC1"/>
            <w:tabs>
              <w:tab w:val="left" w:pos="1320"/>
              <w:tab w:val="right" w:leader="dot" w:pos="8296"/>
            </w:tabs>
            <w:rPr>
              <w:rFonts w:asciiTheme="minorHAnsi" w:hAnsiTheme="minorHAnsi" w:eastAsiaTheme="minorEastAsia"/>
              <w:b w:val="0"/>
              <w:noProof/>
              <w:sz w:val="22"/>
              <w:szCs w:val="22"/>
              <w:lang w:eastAsia="lv-LV"/>
            </w:rPr>
          </w:pPr>
          <w:hyperlink w:history="1" w:anchor="_Toc41576575">
            <w:r w:rsidRPr="0027611A" w:rsidR="00EF7D02">
              <w:rPr>
                <w:rStyle w:val="Hyperlink"/>
                <w:noProof/>
              </w:rPr>
              <w:t>3.</w:t>
            </w:r>
            <w:r w:rsidR="00EF7D02">
              <w:rPr>
                <w:rFonts w:asciiTheme="minorHAnsi" w:hAnsiTheme="minorHAnsi" w:eastAsiaTheme="minorEastAsia"/>
                <w:b w:val="0"/>
                <w:noProof/>
                <w:sz w:val="22"/>
                <w:szCs w:val="22"/>
                <w:lang w:eastAsia="lv-LV"/>
              </w:rPr>
              <w:tab/>
            </w:r>
            <w:r w:rsidRPr="0027611A" w:rsidR="00EF7D02">
              <w:rPr>
                <w:rStyle w:val="Hyperlink"/>
                <w:noProof/>
              </w:rPr>
              <w:t>TRANSPORTA NOZARES INFORMĀCIJAS NACIONĀLĀ PIEKĻUVES PUNKTA IZVEIDOŠANA</w:t>
            </w:r>
            <w:r w:rsidR="00EF7D02">
              <w:rPr>
                <w:noProof/>
                <w:webHidden/>
              </w:rPr>
              <w:tab/>
            </w:r>
            <w:r w:rsidR="00EF7D02">
              <w:rPr>
                <w:noProof/>
                <w:webHidden/>
              </w:rPr>
              <w:fldChar w:fldCharType="begin"/>
            </w:r>
            <w:r w:rsidR="00EF7D02">
              <w:rPr>
                <w:noProof/>
                <w:webHidden/>
              </w:rPr>
              <w:instrText xml:space="preserve"> PAGEREF _Toc41576575 \h </w:instrText>
            </w:r>
            <w:r w:rsidR="00EF7D02">
              <w:rPr>
                <w:noProof/>
                <w:webHidden/>
              </w:rPr>
            </w:r>
            <w:r w:rsidR="00EF7D02">
              <w:rPr>
                <w:noProof/>
                <w:webHidden/>
              </w:rPr>
              <w:fldChar w:fldCharType="separate"/>
            </w:r>
            <w:r w:rsidR="002B0009">
              <w:rPr>
                <w:noProof/>
                <w:webHidden/>
              </w:rPr>
              <w:t>15</w:t>
            </w:r>
            <w:r w:rsidR="00EF7D02">
              <w:rPr>
                <w:noProof/>
                <w:webHidden/>
              </w:rPr>
              <w:fldChar w:fldCharType="end"/>
            </w:r>
          </w:hyperlink>
        </w:p>
        <w:p w:rsidR="00EF7D02" w:rsidRDefault="001B73AD" w14:paraId="1EE16C22" w14:textId="2A0EADFC">
          <w:pPr>
            <w:pStyle w:val="TOC2"/>
            <w:tabs>
              <w:tab w:val="left" w:pos="1760"/>
              <w:tab w:val="right" w:leader="dot" w:pos="8296"/>
            </w:tabs>
            <w:rPr>
              <w:rFonts w:asciiTheme="minorHAnsi" w:hAnsiTheme="minorHAnsi" w:eastAsiaTheme="minorEastAsia"/>
              <w:noProof/>
              <w:sz w:val="22"/>
              <w:szCs w:val="22"/>
              <w:lang w:eastAsia="lv-LV"/>
            </w:rPr>
          </w:pPr>
          <w:hyperlink w:history="1" w:anchor="_Toc41576576">
            <w:r w:rsidRPr="0027611A" w:rsidR="00EF7D02">
              <w:rPr>
                <w:rStyle w:val="Hyperlink"/>
                <w:noProof/>
              </w:rPr>
              <w:t>3.1.</w:t>
            </w:r>
            <w:r w:rsidR="00EF7D02">
              <w:rPr>
                <w:rFonts w:asciiTheme="minorHAnsi" w:hAnsiTheme="minorHAnsi" w:eastAsiaTheme="minorEastAsia"/>
                <w:noProof/>
                <w:sz w:val="22"/>
                <w:szCs w:val="22"/>
                <w:lang w:eastAsia="lv-LV"/>
              </w:rPr>
              <w:tab/>
            </w:r>
            <w:r w:rsidRPr="0027611A" w:rsidR="00EF7D02">
              <w:rPr>
                <w:rStyle w:val="Hyperlink"/>
                <w:noProof/>
              </w:rPr>
              <w:t>NPP izveidošanas mērķis</w:t>
            </w:r>
            <w:r w:rsidR="00EF7D02">
              <w:rPr>
                <w:noProof/>
                <w:webHidden/>
              </w:rPr>
              <w:tab/>
            </w:r>
            <w:r w:rsidR="00EF7D02">
              <w:rPr>
                <w:noProof/>
                <w:webHidden/>
              </w:rPr>
              <w:fldChar w:fldCharType="begin"/>
            </w:r>
            <w:r w:rsidR="00EF7D02">
              <w:rPr>
                <w:noProof/>
                <w:webHidden/>
              </w:rPr>
              <w:instrText xml:space="preserve"> PAGEREF _Toc41576576 \h </w:instrText>
            </w:r>
            <w:r w:rsidR="00EF7D02">
              <w:rPr>
                <w:noProof/>
                <w:webHidden/>
              </w:rPr>
            </w:r>
            <w:r w:rsidR="00EF7D02">
              <w:rPr>
                <w:noProof/>
                <w:webHidden/>
              </w:rPr>
              <w:fldChar w:fldCharType="separate"/>
            </w:r>
            <w:r w:rsidR="002B0009">
              <w:rPr>
                <w:noProof/>
                <w:webHidden/>
              </w:rPr>
              <w:t>15</w:t>
            </w:r>
            <w:r w:rsidR="00EF7D02">
              <w:rPr>
                <w:noProof/>
                <w:webHidden/>
              </w:rPr>
              <w:fldChar w:fldCharType="end"/>
            </w:r>
          </w:hyperlink>
        </w:p>
        <w:p w:rsidR="00EF7D02" w:rsidRDefault="001B73AD" w14:paraId="48FE2772" w14:textId="6A261283">
          <w:pPr>
            <w:pStyle w:val="TOC3"/>
            <w:tabs>
              <w:tab w:val="left" w:pos="1960"/>
              <w:tab w:val="right" w:leader="dot" w:pos="8296"/>
            </w:tabs>
            <w:rPr>
              <w:rFonts w:asciiTheme="minorHAnsi" w:hAnsiTheme="minorHAnsi" w:eastAsiaTheme="minorEastAsia"/>
              <w:noProof/>
              <w:sz w:val="22"/>
              <w:szCs w:val="22"/>
              <w:lang w:eastAsia="lv-LV"/>
            </w:rPr>
          </w:pPr>
          <w:hyperlink w:history="1" w:anchor="_Toc41576577">
            <w:r w:rsidRPr="0027611A" w:rsidR="00EF7D02">
              <w:rPr>
                <w:rStyle w:val="Hyperlink"/>
                <w:noProof/>
              </w:rPr>
              <w:t>3.1.1.</w:t>
            </w:r>
            <w:r w:rsidR="00EF7D02">
              <w:rPr>
                <w:rFonts w:asciiTheme="minorHAnsi" w:hAnsiTheme="minorHAnsi" w:eastAsiaTheme="minorEastAsia"/>
                <w:noProof/>
                <w:sz w:val="22"/>
                <w:szCs w:val="22"/>
                <w:lang w:eastAsia="lv-LV"/>
              </w:rPr>
              <w:tab/>
            </w:r>
            <w:r w:rsidRPr="0027611A" w:rsidR="00EF7D02">
              <w:rPr>
                <w:rStyle w:val="Hyperlink"/>
                <w:noProof/>
              </w:rPr>
              <w:t>NPP pārvaldība un normatīvais regulējums</w:t>
            </w:r>
            <w:r w:rsidR="00EF7D02">
              <w:rPr>
                <w:noProof/>
                <w:webHidden/>
              </w:rPr>
              <w:tab/>
            </w:r>
            <w:r w:rsidR="00EF7D02">
              <w:rPr>
                <w:noProof/>
                <w:webHidden/>
              </w:rPr>
              <w:fldChar w:fldCharType="begin"/>
            </w:r>
            <w:r w:rsidR="00EF7D02">
              <w:rPr>
                <w:noProof/>
                <w:webHidden/>
              </w:rPr>
              <w:instrText xml:space="preserve"> PAGEREF _Toc41576577 \h </w:instrText>
            </w:r>
            <w:r w:rsidR="00EF7D02">
              <w:rPr>
                <w:noProof/>
                <w:webHidden/>
              </w:rPr>
            </w:r>
            <w:r w:rsidR="00EF7D02">
              <w:rPr>
                <w:noProof/>
                <w:webHidden/>
              </w:rPr>
              <w:fldChar w:fldCharType="separate"/>
            </w:r>
            <w:r w:rsidR="002B0009">
              <w:rPr>
                <w:noProof/>
                <w:webHidden/>
              </w:rPr>
              <w:t>15</w:t>
            </w:r>
            <w:r w:rsidR="00EF7D02">
              <w:rPr>
                <w:noProof/>
                <w:webHidden/>
              </w:rPr>
              <w:fldChar w:fldCharType="end"/>
            </w:r>
          </w:hyperlink>
        </w:p>
        <w:p w:rsidR="00EF7D02" w:rsidRDefault="001B73AD" w14:paraId="593C2B1C" w14:textId="2ADE2D2D">
          <w:pPr>
            <w:pStyle w:val="TOC3"/>
            <w:tabs>
              <w:tab w:val="left" w:pos="1960"/>
              <w:tab w:val="right" w:leader="dot" w:pos="8296"/>
            </w:tabs>
            <w:rPr>
              <w:rFonts w:asciiTheme="minorHAnsi" w:hAnsiTheme="minorHAnsi" w:eastAsiaTheme="minorEastAsia"/>
              <w:noProof/>
              <w:sz w:val="22"/>
              <w:szCs w:val="22"/>
              <w:lang w:eastAsia="lv-LV"/>
            </w:rPr>
          </w:pPr>
          <w:hyperlink w:history="1" w:anchor="_Toc41576578">
            <w:r w:rsidRPr="0027611A" w:rsidR="00EF7D02">
              <w:rPr>
                <w:rStyle w:val="Hyperlink"/>
                <w:noProof/>
              </w:rPr>
              <w:t>3.1.2.</w:t>
            </w:r>
            <w:r w:rsidR="00EF7D02">
              <w:rPr>
                <w:rFonts w:asciiTheme="minorHAnsi" w:hAnsiTheme="minorHAnsi" w:eastAsiaTheme="minorEastAsia"/>
                <w:noProof/>
                <w:sz w:val="22"/>
                <w:szCs w:val="22"/>
                <w:lang w:eastAsia="lv-LV"/>
              </w:rPr>
              <w:tab/>
            </w:r>
            <w:r w:rsidRPr="0027611A" w:rsidR="00EF7D02">
              <w:rPr>
                <w:rStyle w:val="Hyperlink"/>
                <w:noProof/>
              </w:rPr>
              <w:t>NPP izveides rezultatīvie rādītāji</w:t>
            </w:r>
            <w:r w:rsidR="00EF7D02">
              <w:rPr>
                <w:noProof/>
                <w:webHidden/>
              </w:rPr>
              <w:tab/>
            </w:r>
            <w:r w:rsidR="00EF7D02">
              <w:rPr>
                <w:noProof/>
                <w:webHidden/>
              </w:rPr>
              <w:fldChar w:fldCharType="begin"/>
            </w:r>
            <w:r w:rsidR="00EF7D02">
              <w:rPr>
                <w:noProof/>
                <w:webHidden/>
              </w:rPr>
              <w:instrText xml:space="preserve"> PAGEREF _Toc41576578 \h </w:instrText>
            </w:r>
            <w:r w:rsidR="00EF7D02">
              <w:rPr>
                <w:noProof/>
                <w:webHidden/>
              </w:rPr>
            </w:r>
            <w:r w:rsidR="00EF7D02">
              <w:rPr>
                <w:noProof/>
                <w:webHidden/>
              </w:rPr>
              <w:fldChar w:fldCharType="separate"/>
            </w:r>
            <w:r w:rsidR="002B0009">
              <w:rPr>
                <w:noProof/>
                <w:webHidden/>
              </w:rPr>
              <w:t>16</w:t>
            </w:r>
            <w:r w:rsidR="00EF7D02">
              <w:rPr>
                <w:noProof/>
                <w:webHidden/>
              </w:rPr>
              <w:fldChar w:fldCharType="end"/>
            </w:r>
          </w:hyperlink>
        </w:p>
        <w:p w:rsidR="00EF7D02" w:rsidRDefault="001B73AD" w14:paraId="744EC42F" w14:textId="19789220">
          <w:pPr>
            <w:pStyle w:val="TOC3"/>
            <w:tabs>
              <w:tab w:val="left" w:pos="1960"/>
              <w:tab w:val="right" w:leader="dot" w:pos="8296"/>
            </w:tabs>
            <w:rPr>
              <w:rFonts w:asciiTheme="minorHAnsi" w:hAnsiTheme="minorHAnsi" w:eastAsiaTheme="minorEastAsia"/>
              <w:noProof/>
              <w:sz w:val="22"/>
              <w:szCs w:val="22"/>
              <w:lang w:eastAsia="lv-LV"/>
            </w:rPr>
          </w:pPr>
          <w:hyperlink w:history="1" w:anchor="_Toc41576579">
            <w:r w:rsidRPr="0027611A" w:rsidR="00EF7D02">
              <w:rPr>
                <w:rStyle w:val="Hyperlink"/>
                <w:noProof/>
              </w:rPr>
              <w:t>3.1.3.</w:t>
            </w:r>
            <w:r w:rsidR="00EF7D02">
              <w:rPr>
                <w:rFonts w:asciiTheme="minorHAnsi" w:hAnsiTheme="minorHAnsi" w:eastAsiaTheme="minorEastAsia"/>
                <w:noProof/>
                <w:sz w:val="22"/>
                <w:szCs w:val="22"/>
                <w:lang w:eastAsia="lv-LV"/>
              </w:rPr>
              <w:tab/>
            </w:r>
            <w:r w:rsidRPr="0027611A" w:rsidR="00EF7D02">
              <w:rPr>
                <w:rStyle w:val="Hyperlink"/>
                <w:noProof/>
              </w:rPr>
              <w:t>NPP izveides iespējamais administratīvais slogs un sociālekonomiskais ieguvums</w:t>
            </w:r>
            <w:r w:rsidR="00EF7D02">
              <w:rPr>
                <w:noProof/>
                <w:webHidden/>
              </w:rPr>
              <w:tab/>
            </w:r>
            <w:r w:rsidR="00EF7D02">
              <w:rPr>
                <w:noProof/>
                <w:webHidden/>
              </w:rPr>
              <w:fldChar w:fldCharType="begin"/>
            </w:r>
            <w:r w:rsidR="00EF7D02">
              <w:rPr>
                <w:noProof/>
                <w:webHidden/>
              </w:rPr>
              <w:instrText xml:space="preserve"> PAGEREF _Toc41576579 \h </w:instrText>
            </w:r>
            <w:r w:rsidR="00EF7D02">
              <w:rPr>
                <w:noProof/>
                <w:webHidden/>
              </w:rPr>
            </w:r>
            <w:r w:rsidR="00EF7D02">
              <w:rPr>
                <w:noProof/>
                <w:webHidden/>
              </w:rPr>
              <w:fldChar w:fldCharType="separate"/>
            </w:r>
            <w:r w:rsidR="002B0009">
              <w:rPr>
                <w:noProof/>
                <w:webHidden/>
              </w:rPr>
              <w:t>16</w:t>
            </w:r>
            <w:r w:rsidR="00EF7D02">
              <w:rPr>
                <w:noProof/>
                <w:webHidden/>
              </w:rPr>
              <w:fldChar w:fldCharType="end"/>
            </w:r>
          </w:hyperlink>
        </w:p>
        <w:p w:rsidR="00EF7D02" w:rsidRDefault="001B73AD" w14:paraId="0CC93850" w14:textId="7C1C0C35">
          <w:pPr>
            <w:pStyle w:val="TOC2"/>
            <w:tabs>
              <w:tab w:val="left" w:pos="1760"/>
              <w:tab w:val="right" w:leader="dot" w:pos="8296"/>
            </w:tabs>
            <w:rPr>
              <w:rFonts w:asciiTheme="minorHAnsi" w:hAnsiTheme="minorHAnsi" w:eastAsiaTheme="minorEastAsia"/>
              <w:noProof/>
              <w:sz w:val="22"/>
              <w:szCs w:val="22"/>
              <w:lang w:eastAsia="lv-LV"/>
            </w:rPr>
          </w:pPr>
          <w:hyperlink w:history="1" w:anchor="_Toc41576580">
            <w:r w:rsidRPr="0027611A" w:rsidR="00EF7D02">
              <w:rPr>
                <w:rStyle w:val="Hyperlink"/>
                <w:noProof/>
              </w:rPr>
              <w:t>3.2.</w:t>
            </w:r>
            <w:r w:rsidR="00EF7D02">
              <w:rPr>
                <w:rFonts w:asciiTheme="minorHAnsi" w:hAnsiTheme="minorHAnsi" w:eastAsiaTheme="minorEastAsia"/>
                <w:noProof/>
                <w:sz w:val="22"/>
                <w:szCs w:val="22"/>
                <w:lang w:eastAsia="lv-LV"/>
              </w:rPr>
              <w:tab/>
            </w:r>
            <w:r w:rsidRPr="0027611A" w:rsidR="00EF7D02">
              <w:rPr>
                <w:rStyle w:val="Hyperlink"/>
                <w:noProof/>
              </w:rPr>
              <w:t>NPP izveides riski</w:t>
            </w:r>
            <w:r w:rsidR="00EF7D02">
              <w:rPr>
                <w:noProof/>
                <w:webHidden/>
              </w:rPr>
              <w:tab/>
            </w:r>
            <w:r w:rsidR="00EF7D02">
              <w:rPr>
                <w:noProof/>
                <w:webHidden/>
              </w:rPr>
              <w:fldChar w:fldCharType="begin"/>
            </w:r>
            <w:r w:rsidR="00EF7D02">
              <w:rPr>
                <w:noProof/>
                <w:webHidden/>
              </w:rPr>
              <w:instrText xml:space="preserve"> PAGEREF _Toc41576580 \h </w:instrText>
            </w:r>
            <w:r w:rsidR="00EF7D02">
              <w:rPr>
                <w:noProof/>
                <w:webHidden/>
              </w:rPr>
            </w:r>
            <w:r w:rsidR="00EF7D02">
              <w:rPr>
                <w:noProof/>
                <w:webHidden/>
              </w:rPr>
              <w:fldChar w:fldCharType="separate"/>
            </w:r>
            <w:r w:rsidR="002B0009">
              <w:rPr>
                <w:noProof/>
                <w:webHidden/>
              </w:rPr>
              <w:t>16</w:t>
            </w:r>
            <w:r w:rsidR="00EF7D02">
              <w:rPr>
                <w:noProof/>
                <w:webHidden/>
              </w:rPr>
              <w:fldChar w:fldCharType="end"/>
            </w:r>
          </w:hyperlink>
        </w:p>
        <w:p w:rsidR="00EF7D02" w:rsidRDefault="001B73AD" w14:paraId="1E8204A5" w14:textId="2716C20D">
          <w:pPr>
            <w:pStyle w:val="TOC2"/>
            <w:tabs>
              <w:tab w:val="left" w:pos="1760"/>
              <w:tab w:val="right" w:leader="dot" w:pos="8296"/>
            </w:tabs>
            <w:rPr>
              <w:rFonts w:asciiTheme="minorHAnsi" w:hAnsiTheme="minorHAnsi" w:eastAsiaTheme="minorEastAsia"/>
              <w:noProof/>
              <w:sz w:val="22"/>
              <w:szCs w:val="22"/>
              <w:lang w:eastAsia="lv-LV"/>
            </w:rPr>
          </w:pPr>
          <w:hyperlink w:history="1" w:anchor="_Toc41576581">
            <w:r w:rsidRPr="0027611A" w:rsidR="00EF7D02">
              <w:rPr>
                <w:rStyle w:val="Hyperlink"/>
                <w:noProof/>
              </w:rPr>
              <w:t>3.3.</w:t>
            </w:r>
            <w:r w:rsidR="00EF7D02">
              <w:rPr>
                <w:rFonts w:asciiTheme="minorHAnsi" w:hAnsiTheme="minorHAnsi" w:eastAsiaTheme="minorEastAsia"/>
                <w:noProof/>
                <w:sz w:val="22"/>
                <w:szCs w:val="22"/>
                <w:lang w:eastAsia="lv-LV"/>
              </w:rPr>
              <w:tab/>
            </w:r>
            <w:r w:rsidRPr="0027611A" w:rsidR="00EF7D02">
              <w:rPr>
                <w:rStyle w:val="Hyperlink"/>
                <w:noProof/>
              </w:rPr>
              <w:t>NPP izveides ietekme uz valsts budžetu</w:t>
            </w:r>
            <w:r w:rsidR="00EF7D02">
              <w:rPr>
                <w:noProof/>
                <w:webHidden/>
              </w:rPr>
              <w:tab/>
            </w:r>
            <w:r w:rsidR="00EF7D02">
              <w:rPr>
                <w:noProof/>
                <w:webHidden/>
              </w:rPr>
              <w:fldChar w:fldCharType="begin"/>
            </w:r>
            <w:r w:rsidR="00EF7D02">
              <w:rPr>
                <w:noProof/>
                <w:webHidden/>
              </w:rPr>
              <w:instrText xml:space="preserve"> PAGEREF _Toc41576581 \h </w:instrText>
            </w:r>
            <w:r w:rsidR="00EF7D02">
              <w:rPr>
                <w:noProof/>
                <w:webHidden/>
              </w:rPr>
            </w:r>
            <w:r w:rsidR="00EF7D02">
              <w:rPr>
                <w:noProof/>
                <w:webHidden/>
              </w:rPr>
              <w:fldChar w:fldCharType="separate"/>
            </w:r>
            <w:r w:rsidR="002B0009">
              <w:rPr>
                <w:noProof/>
                <w:webHidden/>
              </w:rPr>
              <w:t>17</w:t>
            </w:r>
            <w:r w:rsidR="00EF7D02">
              <w:rPr>
                <w:noProof/>
                <w:webHidden/>
              </w:rPr>
              <w:fldChar w:fldCharType="end"/>
            </w:r>
          </w:hyperlink>
        </w:p>
        <w:p w:rsidR="00EF7D02" w:rsidRDefault="001B73AD" w14:paraId="7CF8EE87" w14:textId="5A1A1F91">
          <w:pPr>
            <w:pStyle w:val="TOC3"/>
            <w:tabs>
              <w:tab w:val="left" w:pos="1960"/>
              <w:tab w:val="right" w:leader="dot" w:pos="8296"/>
            </w:tabs>
            <w:rPr>
              <w:rFonts w:asciiTheme="minorHAnsi" w:hAnsiTheme="minorHAnsi" w:eastAsiaTheme="minorEastAsia"/>
              <w:noProof/>
              <w:sz w:val="22"/>
              <w:szCs w:val="22"/>
              <w:lang w:eastAsia="lv-LV"/>
            </w:rPr>
          </w:pPr>
          <w:hyperlink w:history="1" w:anchor="_Toc41576582">
            <w:r w:rsidRPr="0027611A" w:rsidR="00EF7D02">
              <w:rPr>
                <w:rStyle w:val="Hyperlink"/>
                <w:noProof/>
              </w:rPr>
              <w:t>3.3.1.</w:t>
            </w:r>
            <w:r w:rsidR="00EF7D02">
              <w:rPr>
                <w:rFonts w:asciiTheme="minorHAnsi" w:hAnsiTheme="minorHAnsi" w:eastAsiaTheme="minorEastAsia"/>
                <w:noProof/>
                <w:sz w:val="22"/>
                <w:szCs w:val="22"/>
                <w:lang w:eastAsia="lv-LV"/>
              </w:rPr>
              <w:tab/>
            </w:r>
            <w:r w:rsidRPr="0027611A" w:rsidR="00EF7D02">
              <w:rPr>
                <w:rStyle w:val="Hyperlink"/>
                <w:noProof/>
              </w:rPr>
              <w:t>NPP izveides iespējamie finansējuma avoti</w:t>
            </w:r>
            <w:r w:rsidR="00EF7D02">
              <w:rPr>
                <w:noProof/>
                <w:webHidden/>
              </w:rPr>
              <w:tab/>
            </w:r>
            <w:r w:rsidR="00EF7D02">
              <w:rPr>
                <w:noProof/>
                <w:webHidden/>
              </w:rPr>
              <w:fldChar w:fldCharType="begin"/>
            </w:r>
            <w:r w:rsidR="00EF7D02">
              <w:rPr>
                <w:noProof/>
                <w:webHidden/>
              </w:rPr>
              <w:instrText xml:space="preserve"> PAGEREF _Toc41576582 \h </w:instrText>
            </w:r>
            <w:r w:rsidR="00EF7D02">
              <w:rPr>
                <w:noProof/>
                <w:webHidden/>
              </w:rPr>
            </w:r>
            <w:r w:rsidR="00EF7D02">
              <w:rPr>
                <w:noProof/>
                <w:webHidden/>
              </w:rPr>
              <w:fldChar w:fldCharType="separate"/>
            </w:r>
            <w:r w:rsidR="002B0009">
              <w:rPr>
                <w:noProof/>
                <w:webHidden/>
              </w:rPr>
              <w:t>17</w:t>
            </w:r>
            <w:r w:rsidR="00EF7D02">
              <w:rPr>
                <w:noProof/>
                <w:webHidden/>
              </w:rPr>
              <w:fldChar w:fldCharType="end"/>
            </w:r>
          </w:hyperlink>
        </w:p>
        <w:p w:rsidR="00EF7D02" w:rsidRDefault="001B73AD" w14:paraId="74E3A0E8" w14:textId="42248815">
          <w:pPr>
            <w:pStyle w:val="TOC3"/>
            <w:tabs>
              <w:tab w:val="left" w:pos="1960"/>
              <w:tab w:val="right" w:leader="dot" w:pos="8296"/>
            </w:tabs>
            <w:rPr>
              <w:rFonts w:asciiTheme="minorHAnsi" w:hAnsiTheme="minorHAnsi" w:eastAsiaTheme="minorEastAsia"/>
              <w:noProof/>
              <w:sz w:val="22"/>
              <w:szCs w:val="22"/>
              <w:lang w:eastAsia="lv-LV"/>
            </w:rPr>
          </w:pPr>
          <w:hyperlink w:history="1" w:anchor="_Toc41576583">
            <w:r w:rsidRPr="0027611A" w:rsidR="00EF7D02">
              <w:rPr>
                <w:rStyle w:val="Hyperlink"/>
                <w:noProof/>
              </w:rPr>
              <w:t>3.3.2.</w:t>
            </w:r>
            <w:r w:rsidR="00EF7D02">
              <w:rPr>
                <w:rFonts w:asciiTheme="minorHAnsi" w:hAnsiTheme="minorHAnsi" w:eastAsiaTheme="minorEastAsia"/>
                <w:noProof/>
                <w:sz w:val="22"/>
                <w:szCs w:val="22"/>
                <w:lang w:eastAsia="lv-LV"/>
              </w:rPr>
              <w:tab/>
            </w:r>
            <w:r w:rsidRPr="0027611A" w:rsidR="00EF7D02">
              <w:rPr>
                <w:rStyle w:val="Hyperlink"/>
                <w:noProof/>
              </w:rPr>
              <w:t>NPP izveides administratīvais slogs uz citām institūcijām</w:t>
            </w:r>
            <w:r w:rsidR="00EF7D02">
              <w:rPr>
                <w:noProof/>
                <w:webHidden/>
              </w:rPr>
              <w:tab/>
            </w:r>
            <w:r w:rsidR="00EF7D02">
              <w:rPr>
                <w:noProof/>
                <w:webHidden/>
              </w:rPr>
              <w:fldChar w:fldCharType="begin"/>
            </w:r>
            <w:r w:rsidR="00EF7D02">
              <w:rPr>
                <w:noProof/>
                <w:webHidden/>
              </w:rPr>
              <w:instrText xml:space="preserve"> PAGEREF _Toc41576583 \h </w:instrText>
            </w:r>
            <w:r w:rsidR="00EF7D02">
              <w:rPr>
                <w:noProof/>
                <w:webHidden/>
              </w:rPr>
            </w:r>
            <w:r w:rsidR="00EF7D02">
              <w:rPr>
                <w:noProof/>
                <w:webHidden/>
              </w:rPr>
              <w:fldChar w:fldCharType="separate"/>
            </w:r>
            <w:r w:rsidR="002B0009">
              <w:rPr>
                <w:noProof/>
                <w:webHidden/>
              </w:rPr>
              <w:t>18</w:t>
            </w:r>
            <w:r w:rsidR="00EF7D02">
              <w:rPr>
                <w:noProof/>
                <w:webHidden/>
              </w:rPr>
              <w:fldChar w:fldCharType="end"/>
            </w:r>
          </w:hyperlink>
        </w:p>
        <w:p w:rsidR="00EF7D02" w:rsidRDefault="001B73AD" w14:paraId="5BA0EBD3" w14:textId="2C63F4D9">
          <w:pPr>
            <w:pStyle w:val="TOC3"/>
            <w:tabs>
              <w:tab w:val="left" w:pos="1960"/>
              <w:tab w:val="right" w:leader="dot" w:pos="8296"/>
            </w:tabs>
            <w:rPr>
              <w:rFonts w:asciiTheme="minorHAnsi" w:hAnsiTheme="minorHAnsi" w:eastAsiaTheme="minorEastAsia"/>
              <w:noProof/>
              <w:sz w:val="22"/>
              <w:szCs w:val="22"/>
              <w:lang w:eastAsia="lv-LV"/>
            </w:rPr>
          </w:pPr>
          <w:hyperlink w:history="1" w:anchor="_Toc41576584">
            <w:r w:rsidRPr="0027611A" w:rsidR="00EF7D02">
              <w:rPr>
                <w:rStyle w:val="Hyperlink"/>
                <w:noProof/>
              </w:rPr>
              <w:t>3.3.3.</w:t>
            </w:r>
            <w:r w:rsidR="00EF7D02">
              <w:rPr>
                <w:rFonts w:asciiTheme="minorHAnsi" w:hAnsiTheme="minorHAnsi" w:eastAsiaTheme="minorEastAsia"/>
                <w:noProof/>
                <w:sz w:val="22"/>
                <w:szCs w:val="22"/>
                <w:lang w:eastAsia="lv-LV"/>
              </w:rPr>
              <w:tab/>
            </w:r>
            <w:r w:rsidRPr="0027611A" w:rsidR="00EF7D02">
              <w:rPr>
                <w:rStyle w:val="Hyperlink"/>
                <w:noProof/>
              </w:rPr>
              <w:t>Ietekmes uz valsts budžetu kopsavilkums</w:t>
            </w:r>
            <w:r w:rsidR="00EF7D02">
              <w:rPr>
                <w:noProof/>
                <w:webHidden/>
              </w:rPr>
              <w:tab/>
            </w:r>
            <w:r w:rsidR="00EF7D02">
              <w:rPr>
                <w:noProof/>
                <w:webHidden/>
              </w:rPr>
              <w:fldChar w:fldCharType="begin"/>
            </w:r>
            <w:r w:rsidR="00EF7D02">
              <w:rPr>
                <w:noProof/>
                <w:webHidden/>
              </w:rPr>
              <w:instrText xml:space="preserve"> PAGEREF _Toc41576584 \h </w:instrText>
            </w:r>
            <w:r w:rsidR="00EF7D02">
              <w:rPr>
                <w:noProof/>
                <w:webHidden/>
              </w:rPr>
            </w:r>
            <w:r w:rsidR="00EF7D02">
              <w:rPr>
                <w:noProof/>
                <w:webHidden/>
              </w:rPr>
              <w:fldChar w:fldCharType="separate"/>
            </w:r>
            <w:r w:rsidR="002B0009">
              <w:rPr>
                <w:noProof/>
                <w:webHidden/>
              </w:rPr>
              <w:t>18</w:t>
            </w:r>
            <w:r w:rsidR="00EF7D02">
              <w:rPr>
                <w:noProof/>
                <w:webHidden/>
              </w:rPr>
              <w:fldChar w:fldCharType="end"/>
            </w:r>
          </w:hyperlink>
        </w:p>
        <w:p w:rsidR="00EF7D02" w:rsidRDefault="001B73AD" w14:paraId="4783EE1F" w14:textId="66A4C421">
          <w:pPr>
            <w:pStyle w:val="TOC1"/>
            <w:tabs>
              <w:tab w:val="left" w:pos="1320"/>
              <w:tab w:val="right" w:leader="dot" w:pos="8296"/>
            </w:tabs>
            <w:rPr>
              <w:rFonts w:asciiTheme="minorHAnsi" w:hAnsiTheme="minorHAnsi" w:eastAsiaTheme="minorEastAsia"/>
              <w:b w:val="0"/>
              <w:noProof/>
              <w:sz w:val="22"/>
              <w:szCs w:val="22"/>
              <w:lang w:eastAsia="lv-LV"/>
            </w:rPr>
          </w:pPr>
          <w:hyperlink w:history="1" w:anchor="_Toc41576585">
            <w:r w:rsidRPr="0027611A" w:rsidR="00EF7D02">
              <w:rPr>
                <w:rStyle w:val="Hyperlink"/>
                <w:noProof/>
              </w:rPr>
              <w:t>4.</w:t>
            </w:r>
            <w:r w:rsidR="00EF7D02">
              <w:rPr>
                <w:rFonts w:asciiTheme="minorHAnsi" w:hAnsiTheme="minorHAnsi" w:eastAsiaTheme="minorEastAsia"/>
                <w:b w:val="0"/>
                <w:noProof/>
                <w:sz w:val="22"/>
                <w:szCs w:val="22"/>
                <w:lang w:eastAsia="lv-LV"/>
              </w:rPr>
              <w:tab/>
            </w:r>
            <w:r w:rsidRPr="0027611A" w:rsidR="00EF7D02">
              <w:rPr>
                <w:rStyle w:val="Hyperlink"/>
                <w:noProof/>
              </w:rPr>
              <w:t>IESPĒJAMĀ TURPMĀKĀ RĪCĪBA</w:t>
            </w:r>
            <w:r w:rsidR="00EF7D02">
              <w:rPr>
                <w:noProof/>
                <w:webHidden/>
              </w:rPr>
              <w:tab/>
            </w:r>
            <w:r w:rsidR="00EF7D02">
              <w:rPr>
                <w:noProof/>
                <w:webHidden/>
              </w:rPr>
              <w:fldChar w:fldCharType="begin"/>
            </w:r>
            <w:r w:rsidR="00EF7D02">
              <w:rPr>
                <w:noProof/>
                <w:webHidden/>
              </w:rPr>
              <w:instrText xml:space="preserve"> PAGEREF _Toc41576585 \h </w:instrText>
            </w:r>
            <w:r w:rsidR="00EF7D02">
              <w:rPr>
                <w:noProof/>
                <w:webHidden/>
              </w:rPr>
            </w:r>
            <w:r w:rsidR="00EF7D02">
              <w:rPr>
                <w:noProof/>
                <w:webHidden/>
              </w:rPr>
              <w:fldChar w:fldCharType="separate"/>
            </w:r>
            <w:r w:rsidR="002B0009">
              <w:rPr>
                <w:noProof/>
                <w:webHidden/>
              </w:rPr>
              <w:t>21</w:t>
            </w:r>
            <w:r w:rsidR="00EF7D02">
              <w:rPr>
                <w:noProof/>
                <w:webHidden/>
              </w:rPr>
              <w:fldChar w:fldCharType="end"/>
            </w:r>
          </w:hyperlink>
        </w:p>
        <w:p w:rsidR="00570820" w:rsidP="00570820" w:rsidRDefault="00FC78B2" w14:paraId="53F8F595" w14:textId="2B52E764">
          <w:pPr>
            <w:ind w:firstLine="0"/>
          </w:pPr>
          <w:r w:rsidRPr="00CA0592">
            <w:rPr>
              <w:rFonts w:cs="Times New Roman"/>
              <w:b/>
              <w:bCs/>
              <w:noProof/>
            </w:rPr>
            <w:fldChar w:fldCharType="end"/>
          </w:r>
        </w:p>
        <w:p w:rsidRPr="00CA0592" w:rsidR="00FC78B2" w:rsidRDefault="001B73AD" w14:paraId="56BD4AC0" w14:textId="355E2E81"/>
      </w:sdtContent>
    </w:sdt>
    <w:p w:rsidRPr="00CA0592" w:rsidR="00FC78B2" w:rsidRDefault="00FC78B2" w14:paraId="4B18A076" w14:textId="768E484B">
      <w:pPr>
        <w:ind w:firstLine="0"/>
        <w:contextualSpacing w:val="0"/>
        <w:jc w:val="left"/>
        <w:rPr>
          <w:rFonts w:cs="Times New Roman"/>
          <w:b/>
          <w:caps/>
          <w:sz w:val="28"/>
        </w:rPr>
      </w:pPr>
      <w:r w:rsidRPr="00CA0592">
        <w:rPr>
          <w:rFonts w:cs="Times New Roman"/>
          <w:b/>
          <w:caps/>
          <w:sz w:val="28"/>
        </w:rPr>
        <w:br w:type="page"/>
      </w:r>
    </w:p>
    <w:p w:rsidRPr="00CA0592" w:rsidR="00192525" w:rsidP="00284BEF" w:rsidRDefault="0066014D" w14:paraId="6324BA74" w14:textId="3727BEEC">
      <w:pPr>
        <w:pStyle w:val="Heading1"/>
        <w:numPr>
          <w:ilvl w:val="0"/>
          <w:numId w:val="0"/>
        </w:numPr>
        <w:ind w:left="720"/>
        <w:jc w:val="center"/>
      </w:pPr>
      <w:bookmarkStart w:name="_Toc41576559" w:id="2"/>
      <w:r w:rsidRPr="00CA0592">
        <w:lastRenderedPageBreak/>
        <w:t>LIETOTIE</w:t>
      </w:r>
      <w:r w:rsidRPr="00CA0592" w:rsidR="00C07BC1">
        <w:t xml:space="preserve"> </w:t>
      </w:r>
      <w:r w:rsidRPr="00CA0592">
        <w:t>SAĪSINĀJUMI</w:t>
      </w:r>
      <w:bookmarkEnd w:id="2"/>
    </w:p>
    <w:p w:rsidRPr="00CA0592" w:rsidR="00C07BC1" w:rsidP="00C07BC1" w:rsidRDefault="00C07BC1" w14:paraId="434912D6" w14:textId="77777777">
      <w:pPr>
        <w:spacing w:before="60" w:after="120"/>
        <w:ind w:firstLine="0"/>
        <w:rPr>
          <w:color w:val="000000"/>
        </w:rPr>
      </w:pPr>
      <w:r w:rsidRPr="00CA0592">
        <w:rPr>
          <w:b/>
          <w:bCs/>
          <w:color w:val="000000"/>
        </w:rPr>
        <w:t>5G</w:t>
      </w:r>
      <w:r w:rsidRPr="00CA0592">
        <w:rPr>
          <w:color w:val="000000"/>
        </w:rPr>
        <w:t xml:space="preserve"> </w:t>
      </w:r>
      <w:r w:rsidRPr="00CA0592">
        <w:rPr>
          <w:rFonts w:cs="Times New Roman"/>
          <w:b/>
          <w:bCs/>
        </w:rPr>
        <w:t>–</w:t>
      </w:r>
      <w:r w:rsidRPr="00CA0592">
        <w:rPr>
          <w:color w:val="000000"/>
        </w:rPr>
        <w:t xml:space="preserve"> Piektās paaudzes publisko mobilo elektronisko sakaru tīkls</w:t>
      </w:r>
    </w:p>
    <w:p w:rsidRPr="00CA0592" w:rsidR="00C07BC1" w:rsidP="00C07BC1" w:rsidRDefault="00C07BC1" w14:paraId="656471C2" w14:textId="77777777">
      <w:pPr>
        <w:spacing w:before="60" w:after="120"/>
        <w:ind w:firstLine="0"/>
      </w:pPr>
      <w:r w:rsidRPr="00CA0592">
        <w:rPr>
          <w:b/>
          <w:bCs/>
          <w:color w:val="000000"/>
        </w:rPr>
        <w:t>ATD</w:t>
      </w:r>
      <w:r w:rsidRPr="00CA0592">
        <w:rPr>
          <w:color w:val="000000"/>
        </w:rPr>
        <w:t xml:space="preserve"> </w:t>
      </w:r>
      <w:r w:rsidRPr="00CA0592">
        <w:rPr>
          <w:rFonts w:cs="Times New Roman"/>
          <w:b/>
          <w:bCs/>
        </w:rPr>
        <w:t>–</w:t>
      </w:r>
      <w:r w:rsidRPr="00CA0592">
        <w:rPr>
          <w:color w:val="000000"/>
        </w:rPr>
        <w:t xml:space="preserve"> </w:t>
      </w:r>
      <w:r w:rsidRPr="00CA0592">
        <w:t xml:space="preserve">VSIA “Autotransporta direkcija” </w:t>
      </w:r>
    </w:p>
    <w:p w:rsidRPr="00CA0592" w:rsidR="00C07BC1" w:rsidP="00C07BC1" w:rsidRDefault="00C07BC1" w14:paraId="596D0D65" w14:textId="77777777">
      <w:pPr>
        <w:spacing w:before="60" w:after="120"/>
        <w:ind w:firstLine="0"/>
        <w:rPr>
          <w:rFonts w:cs="Times New Roman"/>
        </w:rPr>
      </w:pPr>
      <w:r w:rsidRPr="00CA0592">
        <w:rPr>
          <w:rFonts w:cs="Times New Roman"/>
          <w:b/>
          <w:bCs/>
        </w:rPr>
        <w:t>Darbības programma</w:t>
      </w:r>
      <w:r w:rsidRPr="00CA0592">
        <w:rPr>
          <w:rFonts w:cs="Times New Roman"/>
        </w:rPr>
        <w:t xml:space="preserve"> - Eiropas Savienības struktūrfondu un Kohēzijas fonda 2014.-2020. gada plānošanas perioda darbības programma “Izaugsme un nodarbinātība” </w:t>
      </w:r>
    </w:p>
    <w:p w:rsidRPr="00CA0592" w:rsidR="00C07BC1" w:rsidP="00C07BC1" w:rsidRDefault="00C07BC1" w14:paraId="47A7C770" w14:textId="77777777">
      <w:pPr>
        <w:spacing w:before="60" w:after="120"/>
        <w:ind w:firstLine="0"/>
        <w:rPr>
          <w:rFonts w:cs="Times New Roman"/>
        </w:rPr>
      </w:pPr>
      <w:r w:rsidRPr="00CA0592">
        <w:rPr>
          <w:rFonts w:cs="Times New Roman"/>
          <w:b/>
          <w:bCs/>
        </w:rPr>
        <w:t>EISI</w:t>
      </w:r>
      <w:r w:rsidRPr="00CA0592">
        <w:rPr>
          <w:rFonts w:cs="Times New Roman"/>
        </w:rPr>
        <w:t xml:space="preserve"> - Eiropas infrastruktūras savienošanas instruments</w:t>
      </w:r>
    </w:p>
    <w:p w:rsidRPr="00CA0592" w:rsidR="00C07BC1" w:rsidP="00C07BC1" w:rsidRDefault="00C07BC1" w14:paraId="0A9AF52C" w14:textId="77777777">
      <w:pPr>
        <w:spacing w:after="120"/>
        <w:ind w:firstLine="0"/>
        <w:rPr>
          <w:rFonts w:cs="Times New Roman"/>
          <w:b/>
          <w:bCs/>
        </w:rPr>
      </w:pPr>
      <w:r w:rsidRPr="00CA0592">
        <w:rPr>
          <w:rFonts w:cs="Times New Roman"/>
          <w:b/>
          <w:bCs/>
        </w:rPr>
        <w:t xml:space="preserve">EK </w:t>
      </w:r>
      <w:r w:rsidRPr="00CA0592">
        <w:rPr>
          <w:rFonts w:cs="Times New Roman"/>
        </w:rPr>
        <w:t>– Eiropas Komisija</w:t>
      </w:r>
    </w:p>
    <w:p w:rsidRPr="00CA0592" w:rsidR="00C07BC1" w:rsidP="00C07BC1" w:rsidRDefault="00C07BC1" w14:paraId="75BC5885" w14:textId="77777777">
      <w:pPr>
        <w:spacing w:after="120"/>
        <w:ind w:firstLine="0"/>
        <w:rPr>
          <w:rFonts w:cs="Times New Roman"/>
        </w:rPr>
      </w:pPr>
      <w:r w:rsidRPr="00CA0592">
        <w:rPr>
          <w:rFonts w:cs="Times New Roman"/>
          <w:b/>
          <w:bCs/>
        </w:rPr>
        <w:t xml:space="preserve">ES – </w:t>
      </w:r>
      <w:r w:rsidRPr="00CA0592">
        <w:rPr>
          <w:rFonts w:cs="Times New Roman"/>
        </w:rPr>
        <w:t>Eiropas Savienība</w:t>
      </w:r>
    </w:p>
    <w:p w:rsidRPr="00CA0592" w:rsidR="00C07BC1" w:rsidP="00C07BC1" w:rsidRDefault="00C07BC1" w14:paraId="559CE7B7" w14:textId="77777777">
      <w:pPr>
        <w:spacing w:after="120"/>
        <w:ind w:firstLine="0"/>
        <w:rPr>
          <w:rFonts w:cs="Times New Roman"/>
        </w:rPr>
      </w:pPr>
      <w:r w:rsidRPr="00CA0592">
        <w:rPr>
          <w:rFonts w:cs="Times New Roman"/>
          <w:b/>
          <w:bCs/>
        </w:rPr>
        <w:t>ES fondi</w:t>
      </w:r>
      <w:r w:rsidRPr="00CA0592">
        <w:rPr>
          <w:rFonts w:cs="Times New Roman"/>
        </w:rPr>
        <w:t xml:space="preserve"> </w:t>
      </w:r>
      <w:r w:rsidRPr="00CA0592">
        <w:rPr>
          <w:rFonts w:cs="Times New Roman"/>
          <w:b/>
          <w:bCs/>
        </w:rPr>
        <w:t>–</w:t>
      </w:r>
      <w:r w:rsidRPr="00CA0592">
        <w:rPr>
          <w:rFonts w:cs="Times New Roman"/>
        </w:rPr>
        <w:t xml:space="preserve"> Eiropas Savienības struktūrfondu un Kohēzijas fonda</w:t>
      </w:r>
    </w:p>
    <w:p w:rsidRPr="00CA0592" w:rsidR="00C07BC1" w:rsidP="00C07BC1" w:rsidRDefault="00C07BC1" w14:paraId="7F724BFE" w14:textId="77777777">
      <w:pPr>
        <w:spacing w:after="120"/>
        <w:ind w:firstLine="0"/>
        <w:rPr>
          <w:rFonts w:cs="Times New Roman"/>
        </w:rPr>
      </w:pPr>
      <w:r w:rsidRPr="00CA0592">
        <w:rPr>
          <w:rFonts w:cs="Times New Roman"/>
          <w:b/>
          <w:bCs/>
        </w:rPr>
        <w:t>ĢIS</w:t>
      </w:r>
      <w:r w:rsidRPr="00CA0592">
        <w:rPr>
          <w:rFonts w:cs="Times New Roman"/>
        </w:rPr>
        <w:t xml:space="preserve"> </w:t>
      </w:r>
      <w:r w:rsidRPr="00CA0592">
        <w:rPr>
          <w:rFonts w:cs="Times New Roman"/>
          <w:b/>
          <w:bCs/>
        </w:rPr>
        <w:t>–</w:t>
      </w:r>
      <w:r w:rsidRPr="00CA0592">
        <w:rPr>
          <w:rFonts w:cs="Times New Roman"/>
        </w:rPr>
        <w:t xml:space="preserve"> ģeogrāfiskās informācijas sistēma </w:t>
      </w:r>
    </w:p>
    <w:p w:rsidRPr="00CA0592" w:rsidR="00C07BC1" w:rsidP="00C07BC1" w:rsidRDefault="00C07BC1" w14:paraId="5EDA3A6B" w14:textId="77777777">
      <w:pPr>
        <w:spacing w:after="120"/>
        <w:ind w:firstLine="0"/>
        <w:rPr>
          <w:rFonts w:cs="Times New Roman"/>
        </w:rPr>
      </w:pPr>
      <w:r w:rsidRPr="00CA0592">
        <w:rPr>
          <w:rFonts w:cs="Times New Roman"/>
          <w:b/>
          <w:bCs/>
        </w:rPr>
        <w:t>IKT</w:t>
      </w:r>
      <w:r w:rsidRPr="00CA0592">
        <w:rPr>
          <w:rFonts w:cs="Times New Roman"/>
        </w:rPr>
        <w:t xml:space="preserve"> – informācijas un telekomunikāciju tehnoloģijas </w:t>
      </w:r>
    </w:p>
    <w:p w:rsidRPr="00CA0592" w:rsidR="00C07BC1" w:rsidP="00C07BC1" w:rsidRDefault="00C07BC1" w14:paraId="7500117B" w14:textId="77777777">
      <w:pPr>
        <w:spacing w:after="120"/>
        <w:ind w:firstLine="0"/>
        <w:rPr>
          <w:rFonts w:cs="Times New Roman"/>
        </w:rPr>
      </w:pPr>
      <w:r w:rsidRPr="00CA0592">
        <w:rPr>
          <w:rFonts w:cs="Times New Roman"/>
          <w:b/>
          <w:bCs/>
        </w:rPr>
        <w:t>ITS</w:t>
      </w:r>
      <w:r w:rsidRPr="00CA0592">
        <w:rPr>
          <w:rFonts w:cs="Times New Roman"/>
        </w:rPr>
        <w:t xml:space="preserve"> – </w:t>
      </w:r>
      <w:proofErr w:type="spellStart"/>
      <w:r w:rsidRPr="00CA0592">
        <w:rPr>
          <w:rFonts w:cs="Times New Roman"/>
        </w:rPr>
        <w:t>intelektiskas</w:t>
      </w:r>
      <w:proofErr w:type="spellEnd"/>
      <w:r w:rsidRPr="00CA0592">
        <w:rPr>
          <w:rFonts w:cs="Times New Roman"/>
        </w:rPr>
        <w:t xml:space="preserve"> transporta sistēmas</w:t>
      </w:r>
    </w:p>
    <w:p w:rsidRPr="00CA0592" w:rsidR="00C07BC1" w:rsidP="00C07BC1" w:rsidRDefault="00C07BC1" w14:paraId="1EAB8A21" w14:textId="77777777">
      <w:pPr>
        <w:spacing w:after="120"/>
        <w:ind w:firstLine="0"/>
        <w:rPr>
          <w:rFonts w:cs="Times New Roman"/>
        </w:rPr>
      </w:pPr>
      <w:r w:rsidRPr="00CA0592">
        <w:rPr>
          <w:rFonts w:cs="Times New Roman"/>
          <w:b/>
          <w:bCs/>
        </w:rPr>
        <w:t>ITS Direktīva</w:t>
      </w:r>
      <w:r w:rsidRPr="00CA0592">
        <w:rPr>
          <w:rFonts w:cs="Times New Roman"/>
        </w:rPr>
        <w:t xml:space="preserve"> - Eiropas Parlamenta un Padomes 2010.gada 7.jūlija Direktīvas 2010/40/ES par pamatu inteliģento transporta sistēmu ieviešanai autotransporta jomā un </w:t>
      </w:r>
      <w:proofErr w:type="spellStart"/>
      <w:r w:rsidRPr="00CA0592">
        <w:rPr>
          <w:rFonts w:cs="Times New Roman"/>
        </w:rPr>
        <w:t>saskarnēm</w:t>
      </w:r>
      <w:proofErr w:type="spellEnd"/>
      <w:r w:rsidRPr="00CA0592">
        <w:rPr>
          <w:rFonts w:cs="Times New Roman"/>
        </w:rPr>
        <w:t xml:space="preserve"> ar citiem transporta veidiem</w:t>
      </w:r>
    </w:p>
    <w:p w:rsidRPr="00CA0592" w:rsidR="00C07BC1" w:rsidP="00C07BC1" w:rsidRDefault="00C07BC1" w14:paraId="35DEE3F0" w14:textId="77777777">
      <w:pPr>
        <w:spacing w:after="120"/>
        <w:ind w:firstLine="0"/>
        <w:rPr>
          <w:rFonts w:cs="Times New Roman"/>
        </w:rPr>
      </w:pPr>
      <w:r w:rsidRPr="00CA0592">
        <w:rPr>
          <w:b/>
          <w:bCs/>
        </w:rPr>
        <w:t xml:space="preserve">ITS deleģētās regulas </w:t>
      </w:r>
      <w:r w:rsidRPr="00CA0592">
        <w:t>- no ITS Direktīvas izrietošo deleģētās regulas</w:t>
      </w:r>
    </w:p>
    <w:p w:rsidRPr="00CA0592" w:rsidR="00C07BC1" w:rsidP="00C07BC1" w:rsidRDefault="00C07BC1" w14:paraId="42DB40C2" w14:textId="77777777">
      <w:pPr>
        <w:spacing w:after="120"/>
        <w:ind w:firstLine="0"/>
        <w:rPr>
          <w:rFonts w:cs="Times New Roman"/>
        </w:rPr>
      </w:pPr>
      <w:r w:rsidRPr="00CA0592">
        <w:rPr>
          <w:rFonts w:cs="Times New Roman"/>
          <w:b/>
          <w:bCs/>
        </w:rPr>
        <w:t>ITS Rīcības plāns</w:t>
      </w:r>
      <w:r w:rsidRPr="00CA0592">
        <w:rPr>
          <w:rFonts w:cs="Times New Roman"/>
        </w:rPr>
        <w:t xml:space="preserve"> - EK Rīcības plāns inteliģento transporta sistēmu ieviešanai</w:t>
      </w:r>
      <w:r w:rsidRPr="00CA0592">
        <w:rPr>
          <w:rFonts w:cs="Times New Roman"/>
          <w:vertAlign w:val="superscript"/>
        </w:rPr>
        <w:footnoteReference w:id="2"/>
      </w:r>
    </w:p>
    <w:p w:rsidRPr="00CA0592" w:rsidR="00C07BC1" w:rsidP="00C07BC1" w:rsidRDefault="00C07BC1" w14:paraId="705032C2" w14:textId="77777777">
      <w:pPr>
        <w:spacing w:after="120"/>
        <w:ind w:firstLine="0"/>
        <w:rPr>
          <w:rFonts w:cs="Times New Roman"/>
        </w:rPr>
      </w:pPr>
      <w:r w:rsidRPr="00CA0592">
        <w:rPr>
          <w:rFonts w:cs="Times New Roman"/>
          <w:b/>
          <w:bCs/>
        </w:rPr>
        <w:t>IZPĒTE</w:t>
      </w:r>
      <w:r w:rsidRPr="00CA0592">
        <w:rPr>
          <w:rFonts w:cs="Times New Roman"/>
        </w:rPr>
        <w:t xml:space="preserve"> – pēc LVC pasūtījuma veiktā izpēte ar nosaukumu “Izpēte par inteliģento transporta sistēmu (ITS) ieviešanu Latvijas autotransporta jomā”</w:t>
      </w:r>
      <w:r w:rsidRPr="00CA0592">
        <w:rPr>
          <w:rStyle w:val="FootnoteReference"/>
          <w:rFonts w:cs="Times New Roman"/>
        </w:rPr>
        <w:t xml:space="preserve"> </w:t>
      </w:r>
      <w:r w:rsidRPr="00CA0592">
        <w:rPr>
          <w:rStyle w:val="FootnoteReference"/>
          <w:rFonts w:cs="Times New Roman"/>
        </w:rPr>
        <w:footnoteReference w:id="3"/>
      </w:r>
    </w:p>
    <w:p w:rsidRPr="00CA0592" w:rsidR="00C07BC1" w:rsidP="00C07BC1" w:rsidRDefault="00C07BC1" w14:paraId="4FB825FA" w14:textId="77777777">
      <w:pPr>
        <w:spacing w:after="120"/>
        <w:ind w:firstLine="0"/>
        <w:rPr>
          <w:rFonts w:cs="Times New Roman"/>
        </w:rPr>
      </w:pPr>
      <w:r w:rsidRPr="00CA0592">
        <w:rPr>
          <w:rFonts w:cs="Times New Roman"/>
          <w:b/>
          <w:bCs/>
        </w:rPr>
        <w:t>LESD</w:t>
      </w:r>
      <w:r w:rsidRPr="00CA0592">
        <w:rPr>
          <w:rFonts w:cs="Times New Roman"/>
        </w:rPr>
        <w:t xml:space="preserve"> </w:t>
      </w:r>
      <w:r w:rsidRPr="00CA0592">
        <w:rPr>
          <w:rFonts w:cs="Times New Roman"/>
          <w:b/>
          <w:bCs/>
        </w:rPr>
        <w:t>–</w:t>
      </w:r>
      <w:r w:rsidRPr="00CA0592">
        <w:rPr>
          <w:rFonts w:cs="Times New Roman"/>
        </w:rPr>
        <w:t xml:space="preserve"> līgums par Eiropas Savienības darbību</w:t>
      </w:r>
    </w:p>
    <w:p w:rsidRPr="00CA0592" w:rsidR="00C07BC1" w:rsidP="00C07BC1" w:rsidRDefault="00C07BC1" w14:paraId="6695B811" w14:textId="77777777">
      <w:pPr>
        <w:spacing w:after="120"/>
        <w:ind w:firstLine="0"/>
        <w:rPr>
          <w:rFonts w:cs="Times New Roman"/>
        </w:rPr>
      </w:pPr>
      <w:r w:rsidRPr="00CA0592">
        <w:rPr>
          <w:rFonts w:cs="Times New Roman"/>
          <w:b/>
          <w:bCs/>
        </w:rPr>
        <w:t>LVC</w:t>
      </w:r>
      <w:r w:rsidRPr="00CA0592">
        <w:rPr>
          <w:rFonts w:cs="Times New Roman"/>
        </w:rPr>
        <w:t xml:space="preserve"> </w:t>
      </w:r>
      <w:r w:rsidRPr="00CA0592">
        <w:rPr>
          <w:rFonts w:cs="Times New Roman"/>
          <w:b/>
          <w:bCs/>
        </w:rPr>
        <w:t>–</w:t>
      </w:r>
      <w:r w:rsidRPr="00CA0592">
        <w:rPr>
          <w:rFonts w:cs="Times New Roman"/>
        </w:rPr>
        <w:t xml:space="preserve"> VAS “Latvijas Valsts ceļi” </w:t>
      </w:r>
    </w:p>
    <w:p w:rsidRPr="00CA0592" w:rsidR="00C07BC1" w:rsidP="00C07BC1" w:rsidRDefault="00C07BC1" w14:paraId="18C3529F" w14:textId="77777777">
      <w:pPr>
        <w:spacing w:after="120"/>
        <w:ind w:firstLine="0"/>
        <w:rPr>
          <w:rFonts w:cs="Times New Roman"/>
        </w:rPr>
      </w:pPr>
      <w:r w:rsidRPr="00CA0592">
        <w:rPr>
          <w:rFonts w:cs="Times New Roman"/>
          <w:b/>
          <w:bCs/>
        </w:rPr>
        <w:t>KPI</w:t>
      </w:r>
      <w:r w:rsidRPr="00CA0592">
        <w:rPr>
          <w:rFonts w:cs="Times New Roman"/>
        </w:rPr>
        <w:t xml:space="preserve"> </w:t>
      </w:r>
      <w:r w:rsidRPr="00CA0592">
        <w:rPr>
          <w:rFonts w:cs="Times New Roman"/>
          <w:b/>
          <w:bCs/>
        </w:rPr>
        <w:t>–</w:t>
      </w:r>
      <w:r w:rsidRPr="00CA0592">
        <w:rPr>
          <w:rFonts w:cs="Times New Roman"/>
        </w:rPr>
        <w:t xml:space="preserve"> galvenie darbības rādītāji</w:t>
      </w:r>
    </w:p>
    <w:p w:rsidRPr="00CA0592" w:rsidR="00C07BC1" w:rsidP="00C07BC1" w:rsidRDefault="00C07BC1" w14:paraId="18456D90" w14:textId="77777777">
      <w:pPr>
        <w:spacing w:after="120"/>
        <w:ind w:firstLine="0"/>
        <w:rPr>
          <w:rFonts w:cs="Times New Roman"/>
        </w:rPr>
      </w:pPr>
      <w:r w:rsidRPr="00CA0592">
        <w:rPr>
          <w:rFonts w:cs="Times New Roman"/>
          <w:b/>
          <w:bCs/>
        </w:rPr>
        <w:t>NPP</w:t>
      </w:r>
      <w:r w:rsidRPr="00CA0592">
        <w:rPr>
          <w:rFonts w:cs="Times New Roman"/>
        </w:rPr>
        <w:t xml:space="preserve"> </w:t>
      </w:r>
      <w:r w:rsidRPr="00CA0592">
        <w:rPr>
          <w:rFonts w:cs="Times New Roman"/>
          <w:b/>
          <w:bCs/>
        </w:rPr>
        <w:t>–</w:t>
      </w:r>
      <w:r w:rsidRPr="00CA0592">
        <w:rPr>
          <w:rFonts w:cs="Times New Roman"/>
        </w:rPr>
        <w:t xml:space="preserve"> transporta nozares informācijas nacionālais (valsts) piekļuves punkts</w:t>
      </w:r>
      <w:r w:rsidRPr="00CA0592">
        <w:rPr>
          <w:rStyle w:val="FootnoteReference"/>
          <w:rFonts w:cs="Times New Roman"/>
        </w:rPr>
        <w:footnoteReference w:id="4"/>
      </w:r>
    </w:p>
    <w:p w:rsidRPr="00CA0592" w:rsidR="00C07BC1" w:rsidP="00C07BC1" w:rsidRDefault="00C07BC1" w14:paraId="3A88F1F3" w14:textId="77777777">
      <w:pPr>
        <w:spacing w:after="120"/>
        <w:ind w:firstLine="0"/>
        <w:rPr>
          <w:rFonts w:cs="Times New Roman"/>
        </w:rPr>
      </w:pPr>
      <w:r w:rsidRPr="00CA0592">
        <w:rPr>
          <w:rFonts w:cs="Times New Roman"/>
          <w:b/>
          <w:bCs/>
        </w:rPr>
        <w:t>Regula Nr.885/2013</w:t>
      </w:r>
      <w:r w:rsidRPr="00CA0592">
        <w:rPr>
          <w:rFonts w:cs="Times New Roman"/>
        </w:rPr>
        <w:t xml:space="preserve"> </w:t>
      </w:r>
      <w:r w:rsidRPr="00CA0592">
        <w:rPr>
          <w:rFonts w:cs="Times New Roman"/>
          <w:b/>
          <w:bCs/>
        </w:rPr>
        <w:t>–</w:t>
      </w:r>
      <w:r w:rsidRPr="00CA0592">
        <w:rPr>
          <w:rFonts w:cs="Times New Roman"/>
        </w:rPr>
        <w:t xml:space="preserve"> Komisijas 2013.gada 15.maija Deleģētā regula Nr.885/2013, ar ko papildina Eiropas Parlamenta un Padomes ITS direktīvu 2010/40/ES attiecībā uz informācijas pakalpojumu sniegšanu saistībā ar drošām stāvvietām kravas automobiļiem un komerciālajiem transportlīdzekļiem</w:t>
      </w:r>
    </w:p>
    <w:p w:rsidRPr="00CA0592" w:rsidR="00C07BC1" w:rsidP="00C07BC1" w:rsidRDefault="00C07BC1" w14:paraId="32B6B971" w14:textId="77777777">
      <w:pPr>
        <w:spacing w:after="120"/>
        <w:ind w:firstLine="0"/>
        <w:rPr>
          <w:rFonts w:cs="Times New Roman"/>
        </w:rPr>
      </w:pPr>
      <w:r w:rsidRPr="00CA0592">
        <w:rPr>
          <w:rFonts w:cs="Times New Roman"/>
          <w:b/>
          <w:bCs/>
        </w:rPr>
        <w:t>Regula Nr.886/2013</w:t>
      </w:r>
      <w:r w:rsidRPr="00CA0592">
        <w:rPr>
          <w:rFonts w:cs="Times New Roman"/>
        </w:rPr>
        <w:t xml:space="preserve"> </w:t>
      </w:r>
      <w:r w:rsidRPr="00CA0592">
        <w:rPr>
          <w:rFonts w:cs="Times New Roman"/>
          <w:b/>
          <w:bCs/>
        </w:rPr>
        <w:t>–</w:t>
      </w:r>
      <w:r w:rsidRPr="00CA0592">
        <w:rPr>
          <w:rFonts w:cs="Times New Roman"/>
        </w:rPr>
        <w:t xml:space="preserve"> Komisijas 2013.gada 15.maija Deleģētā regula Nr.886/2013, ar ko papildina Eiropas Parlamenta un Padomes Direktīvu 2010/40/ES attiecībā uz datiem un procedūrām, lai lietotājiem, ja iespējams, nodrošinātu vispārējas ar ceļu satiksmes drošību saistītas bezmaksas informācijas minimumu</w:t>
      </w:r>
    </w:p>
    <w:p w:rsidRPr="00CA0592" w:rsidR="00C07BC1" w:rsidP="00C07BC1" w:rsidRDefault="00C07BC1" w14:paraId="26F4E670" w14:textId="77777777">
      <w:pPr>
        <w:spacing w:before="60" w:after="120"/>
        <w:ind w:firstLine="0"/>
        <w:rPr>
          <w:rFonts w:cs="Times New Roman"/>
        </w:rPr>
      </w:pPr>
      <w:r w:rsidRPr="00CA0592">
        <w:rPr>
          <w:rFonts w:cs="Times New Roman"/>
          <w:b/>
          <w:bCs/>
        </w:rPr>
        <w:t>Regula Nr.2015/962</w:t>
      </w:r>
      <w:r w:rsidRPr="00CA0592">
        <w:rPr>
          <w:rFonts w:cs="Times New Roman"/>
        </w:rPr>
        <w:t xml:space="preserve"> </w:t>
      </w:r>
      <w:r w:rsidRPr="00CA0592">
        <w:rPr>
          <w:rFonts w:cs="Times New Roman"/>
          <w:b/>
          <w:bCs/>
        </w:rPr>
        <w:t>–</w:t>
      </w:r>
      <w:r w:rsidRPr="00CA0592">
        <w:rPr>
          <w:rFonts w:cs="Times New Roman"/>
        </w:rPr>
        <w:t xml:space="preserve"> Komisijas 2014.gada 18.decembra Deleģētā regula Nr.2015/962, ar ko papildina Eiropas Parlamenta un Padomes Direktīvu 2010/40/ES attiecībā uz reāllaika satiksmes informācijas pakalpojumu nodrošināšanu visā ES</w:t>
      </w:r>
    </w:p>
    <w:p w:rsidRPr="00CA0592" w:rsidR="00C07BC1" w:rsidP="00C07BC1" w:rsidRDefault="00C07BC1" w14:paraId="1C392DFB" w14:textId="77777777">
      <w:pPr>
        <w:spacing w:after="120"/>
        <w:ind w:firstLine="0"/>
        <w:rPr>
          <w:rFonts w:cs="Times New Roman"/>
        </w:rPr>
      </w:pPr>
      <w:r w:rsidRPr="00CA0592">
        <w:rPr>
          <w:rFonts w:cs="Times New Roman"/>
          <w:b/>
          <w:bCs/>
        </w:rPr>
        <w:t>Regula Nr.2017/1926</w:t>
      </w:r>
      <w:r w:rsidRPr="00CA0592">
        <w:rPr>
          <w:rFonts w:cs="Times New Roman"/>
        </w:rPr>
        <w:t xml:space="preserve"> </w:t>
      </w:r>
      <w:r w:rsidRPr="00CA0592">
        <w:rPr>
          <w:rFonts w:cs="Times New Roman"/>
          <w:b/>
          <w:bCs/>
        </w:rPr>
        <w:t>–</w:t>
      </w:r>
      <w:r w:rsidRPr="00CA0592">
        <w:rPr>
          <w:rFonts w:cs="Times New Roman"/>
        </w:rPr>
        <w:t xml:space="preserve"> Komisijas 2017.gada 31.maija Deleģētā regula Nr.2017/1926, ar ko papildina Eiropas Parlamenta un Padomes Direktīvu 2010/40/ES attiecībā uz ES mēroga multimodālu maršruta informācijas pakalpojumu sniegšanu </w:t>
      </w:r>
    </w:p>
    <w:p w:rsidRPr="00CA0592" w:rsidR="00C07BC1" w:rsidP="00C07BC1" w:rsidRDefault="00C07BC1" w14:paraId="58A5C11C" w14:textId="77777777">
      <w:pPr>
        <w:spacing w:before="60" w:after="120"/>
        <w:ind w:firstLine="0"/>
        <w:rPr>
          <w:rFonts w:cs="Times New Roman"/>
        </w:rPr>
      </w:pPr>
      <w:r w:rsidRPr="00CA0592">
        <w:rPr>
          <w:rFonts w:cs="Times New Roman"/>
          <w:b/>
          <w:bCs/>
        </w:rPr>
        <w:t>Regula Nr.305/2013</w:t>
      </w:r>
      <w:r w:rsidRPr="00CA0592">
        <w:rPr>
          <w:rFonts w:cs="Times New Roman"/>
        </w:rPr>
        <w:t xml:space="preserve"> </w:t>
      </w:r>
      <w:r w:rsidRPr="00CA0592">
        <w:rPr>
          <w:rFonts w:cs="Times New Roman"/>
          <w:b/>
          <w:bCs/>
        </w:rPr>
        <w:t>–</w:t>
      </w:r>
      <w:r w:rsidRPr="00CA0592">
        <w:rPr>
          <w:rFonts w:cs="Times New Roman"/>
        </w:rPr>
        <w:t xml:space="preserve"> Komisijas 2012.gada 26.novembra Deleģētā regula Nr.305/2013, ar ko Eiropas Parlamenta un padomes Direktīvu 2010/40/ES papildina attiecībā uz </w:t>
      </w:r>
      <w:proofErr w:type="spellStart"/>
      <w:r w:rsidRPr="00CA0592">
        <w:rPr>
          <w:rFonts w:cs="Times New Roman"/>
        </w:rPr>
        <w:t>sadarbspējīgu</w:t>
      </w:r>
      <w:proofErr w:type="spellEnd"/>
      <w:r w:rsidRPr="00CA0592">
        <w:rPr>
          <w:rFonts w:cs="Times New Roman"/>
        </w:rPr>
        <w:t xml:space="preserve"> ES mēroga </w:t>
      </w:r>
      <w:proofErr w:type="spellStart"/>
      <w:r w:rsidRPr="00CA0592">
        <w:rPr>
          <w:rFonts w:cs="Times New Roman"/>
        </w:rPr>
        <w:t>eCall</w:t>
      </w:r>
      <w:proofErr w:type="spellEnd"/>
      <w:r w:rsidRPr="00CA0592">
        <w:rPr>
          <w:rFonts w:cs="Times New Roman"/>
        </w:rPr>
        <w:t xml:space="preserve"> pakalpojuma saskaņotu nodrošināšanu </w:t>
      </w:r>
    </w:p>
    <w:p w:rsidRPr="00CA0592" w:rsidR="00C07BC1" w:rsidP="00C07BC1" w:rsidRDefault="00C07BC1" w14:paraId="69EE4196" w14:textId="77777777">
      <w:pPr>
        <w:spacing w:before="60" w:after="120"/>
        <w:ind w:firstLine="0"/>
        <w:rPr>
          <w:rFonts w:cs="Times New Roman"/>
        </w:rPr>
      </w:pPr>
      <w:r w:rsidRPr="00CA0592">
        <w:rPr>
          <w:rFonts w:cs="Times New Roman"/>
          <w:b/>
          <w:bCs/>
        </w:rPr>
        <w:t>SIC</w:t>
      </w:r>
      <w:r w:rsidRPr="00CA0592">
        <w:rPr>
          <w:rFonts w:cs="Times New Roman"/>
        </w:rPr>
        <w:t xml:space="preserve"> </w:t>
      </w:r>
      <w:r w:rsidRPr="00CA0592">
        <w:rPr>
          <w:rFonts w:cs="Times New Roman"/>
          <w:b/>
          <w:bCs/>
        </w:rPr>
        <w:t>–</w:t>
      </w:r>
      <w:r w:rsidRPr="00CA0592">
        <w:rPr>
          <w:rFonts w:cs="Times New Roman"/>
        </w:rPr>
        <w:t xml:space="preserve"> valsts akciju sabiedrības “Latvijas Valsts ceļi” Satiksmes informācijas centrs </w:t>
      </w:r>
    </w:p>
    <w:p w:rsidRPr="00CA0592" w:rsidR="00C07BC1" w:rsidP="00C07BC1" w:rsidRDefault="00C07BC1" w14:paraId="1104B8AB" w14:textId="77777777"/>
    <w:p w:rsidRPr="00CA0592" w:rsidR="001A2923" w:rsidP="00C07BC1" w:rsidRDefault="00FC78B2" w14:paraId="24B69DB1" w14:textId="30A70ADA">
      <w:pPr>
        <w:pStyle w:val="Heading1"/>
        <w:jc w:val="center"/>
      </w:pPr>
      <w:bookmarkStart w:name="_Toc41576560" w:id="3"/>
      <w:bookmarkEnd w:id="0"/>
      <w:bookmarkEnd w:id="1"/>
      <w:r w:rsidRPr="00CA0592">
        <w:lastRenderedPageBreak/>
        <w:t>KOPSAVILKUMS</w:t>
      </w:r>
      <w:bookmarkEnd w:id="3"/>
    </w:p>
    <w:p w:rsidRPr="00CA0592" w:rsidR="00C07BC1" w:rsidP="00C07BC1" w:rsidRDefault="00C07BC1" w14:paraId="4FD24B6D" w14:textId="77777777">
      <w:pPr>
        <w:rPr>
          <w:rFonts w:cs="Times New Roman"/>
        </w:rPr>
      </w:pPr>
      <w:bookmarkStart w:name="_Hlk29992879" w:id="4"/>
      <w:r w:rsidRPr="00CA0592">
        <w:rPr>
          <w:rFonts w:cs="Times New Roman"/>
        </w:rPr>
        <w:t>ITS ir sistēmas, kurās uz mūsdienu IKT pamata veidotie mobilitātes atbalsta pakalpojumi, papildina tradicionālo transporta infrastruktūru un satiksmes organizāciju.</w:t>
      </w:r>
    </w:p>
    <w:p w:rsidRPr="00CA0592" w:rsidR="00C07BC1" w:rsidP="00C07BC1" w:rsidRDefault="00C07BC1" w14:paraId="51A472EE" w14:textId="77777777">
      <w:pPr>
        <w:rPr>
          <w:rFonts w:cs="Times New Roman"/>
        </w:rPr>
      </w:pPr>
      <w:r w:rsidRPr="00CA0592">
        <w:rPr>
          <w:rFonts w:cs="Times New Roman"/>
        </w:rPr>
        <w:t xml:space="preserve">ITS pamatā ir datu iegūšana un vispusīga izmantošana transporta drošības, efektivitātes un pieejamības uzlabošanai. Saskaņā ar ITS Direktīvu pieņemto definīciju ITS ietvars attiecas uz autoceļu transportu, kā arī tā </w:t>
      </w:r>
      <w:proofErr w:type="spellStart"/>
      <w:r w:rsidRPr="00CA0592">
        <w:rPr>
          <w:rFonts w:cs="Times New Roman"/>
        </w:rPr>
        <w:t>saskarnēm</w:t>
      </w:r>
      <w:proofErr w:type="spellEnd"/>
      <w:r w:rsidRPr="00CA0592">
        <w:rPr>
          <w:rFonts w:cs="Times New Roman"/>
        </w:rPr>
        <w:t xml:space="preserve"> ar citiem transporta veidiem.</w:t>
      </w:r>
    </w:p>
    <w:p w:rsidRPr="00CA0592" w:rsidR="00C07BC1" w:rsidP="00C07BC1" w:rsidRDefault="00C07BC1" w14:paraId="2CDA089A" w14:textId="0E02593B">
      <w:pPr>
        <w:pStyle w:val="Bulletpoints"/>
        <w:numPr>
          <w:ilvl w:val="0"/>
          <w:numId w:val="0"/>
        </w:numPr>
        <w:ind w:left="9" w:firstLine="711"/>
      </w:pPr>
      <w:r w:rsidRPr="00CA0592">
        <w:t xml:space="preserve">ITS aktualitāte pēdējo gadu laikā Latvijā ir augusi, kas skaidrojams ar to, ka Latvijas transporta sistēmas attīstās, ienākot viedajām tehnoloģijām, notiek datu </w:t>
      </w:r>
      <w:proofErr w:type="spellStart"/>
      <w:r w:rsidRPr="00CA0592">
        <w:t>digitalizācija</w:t>
      </w:r>
      <w:proofErr w:type="spellEnd"/>
      <w:r w:rsidRPr="00CA0592">
        <w:t>, kā arī tamdēļ, ka tiek īstenoti nozīmīgi projekti, kuros iekļauti atsevišķi ITS elementi (skatīt 2.</w:t>
      </w:r>
      <w:r w:rsidR="002B0009">
        <w:t>5</w:t>
      </w:r>
      <w:r w:rsidRPr="00CA0592">
        <w:t>. apakšnodaļu “Situācija Latvijā”). Papildu</w:t>
      </w:r>
      <w:r w:rsidR="00AA53C4">
        <w:t>s</w:t>
      </w:r>
      <w:r w:rsidRPr="00CA0592">
        <w:t xml:space="preserve"> iepriekš minētajam gan industrija, gan arī ceļu lietotāji izrāda arvien lielāku vispārīgu interesi par ITS pakalpojumiem un mūsdienīgiem satiksmes risinājumiem uz Latvijas ceļiem.</w:t>
      </w:r>
      <w:bookmarkEnd w:id="4"/>
      <w:r w:rsidRPr="00CA0592">
        <w:t xml:space="preserve"> Tādējādi ITS lietotņu un pakalpojumu ieviešana un ar to saistītā ITS Direktīvas un no ITS </w:t>
      </w:r>
      <w:bookmarkStart w:name="_Hlk29992995" w:id="5"/>
      <w:r w:rsidRPr="00CA0592">
        <w:t>deleģēto regulu prasību izpilde ir kļuvusi neizbēgama</w:t>
      </w:r>
      <w:bookmarkEnd w:id="5"/>
      <w:r w:rsidRPr="00CA0592">
        <w:t xml:space="preserve">. </w:t>
      </w:r>
    </w:p>
    <w:p w:rsidRPr="00CA0592" w:rsidR="00C07BC1" w:rsidP="00C07BC1" w:rsidRDefault="00C07BC1" w14:paraId="4388C440" w14:textId="7E9D6CAE">
      <w:pPr>
        <w:pStyle w:val="Bulletpoints"/>
        <w:numPr>
          <w:ilvl w:val="0"/>
          <w:numId w:val="0"/>
        </w:numPr>
        <w:ind w:left="9" w:firstLine="711"/>
      </w:pPr>
      <w:r w:rsidRPr="00CA0592">
        <w:t xml:space="preserve">ITS deleģēto regulu viena no pamatprasībām, ja tiek ieviesti ITS pakalpojumi un lietotnes, ir transporta nozares informācijas nacionālā (valsts) piekļuves punktu izveide. </w:t>
      </w:r>
      <w:bookmarkStart w:name="_Hlk40432008" w:id="6"/>
      <w:r w:rsidRPr="002F204E" w:rsidR="00925104">
        <w:t>2020. gada 14. maijā Eiropas Komisija ir ierosinājusi četras pārkāpuma procedūras pret Latvijas Republiku saistībā ar Regulu Nr.885/2013, Nr.886/2013, Nr.</w:t>
      </w:r>
      <w:r w:rsidRPr="003E6020" w:rsidR="00925104">
        <w:rPr>
          <w:color w:val="000000"/>
          <w:shd w:val="clear" w:color="auto" w:fill="FFFFFF"/>
        </w:rPr>
        <w:t xml:space="preserve">2015/962, Nr.2017/1926 neizpildi attiecībā uz valsts piekļuves punkta izveidi. </w:t>
      </w:r>
      <w:bookmarkEnd w:id="6"/>
    </w:p>
    <w:p w:rsidRPr="00CA0592" w:rsidR="00C07BC1" w:rsidP="00C07BC1" w:rsidRDefault="00C07BC1" w14:paraId="70DDAFF3" w14:textId="77777777">
      <w:pPr>
        <w:rPr>
          <w:rFonts w:cs="Times New Roman"/>
        </w:rPr>
      </w:pPr>
    </w:p>
    <w:p w:rsidRPr="00CA0592" w:rsidR="00C07BC1" w:rsidP="00C07BC1" w:rsidRDefault="00C07BC1" w14:paraId="03B40247" w14:textId="77777777">
      <w:pPr>
        <w:rPr>
          <w:rFonts w:cs="Times New Roman"/>
        </w:rPr>
      </w:pPr>
      <w:r w:rsidRPr="00CA0592">
        <w:rPr>
          <w:rFonts w:cs="Times New Roman"/>
        </w:rPr>
        <w:t>Konceptuālais ziņojums izstrādāts, lai noteiktu nepieciešamos pasākumus ITS veiksmīgai ieviešanai, ņemot vērā Latvijas vajadzības un Latvijas pienākumu izpildīt ITS Direktīvas prasības, kā arī no piecām, pašlaik pieņemtajām, ITS deleģētajām regulām izrietošās prasības.</w:t>
      </w:r>
    </w:p>
    <w:p w:rsidRPr="00CA0592" w:rsidR="00C07BC1" w:rsidP="00C07BC1" w:rsidRDefault="00C07BC1" w14:paraId="2BC82128" w14:textId="2E2FCD8D">
      <w:pPr>
        <w:rPr>
          <w:rFonts w:cs="Times New Roman"/>
        </w:rPr>
      </w:pPr>
      <w:r w:rsidRPr="00CA0592">
        <w:rPr>
          <w:rFonts w:cs="Times New Roman"/>
        </w:rPr>
        <w:t>Identificēts, ka prioritāri Latvijā jāizveido NPP, kā arī jāstiprina LVC</w:t>
      </w:r>
      <w:r w:rsidRPr="00CA0592">
        <w:t xml:space="preserve"> un SIC </w:t>
      </w:r>
      <w:r w:rsidRPr="00CA0592">
        <w:rPr>
          <w:rFonts w:cs="Times New Roman"/>
        </w:rPr>
        <w:t>institucionālās spējas ITS pakalpojumu attīstībai un nodrošināšanai. LVC kā institūcija</w:t>
      </w:r>
      <w:r w:rsidR="00526750">
        <w:rPr>
          <w:rFonts w:cs="Times New Roman"/>
        </w:rPr>
        <w:t>,</w:t>
      </w:r>
      <w:r w:rsidRPr="00CA0592">
        <w:rPr>
          <w:rFonts w:cs="Times New Roman"/>
        </w:rPr>
        <w:t xml:space="preserve"> uz kuras tehniskā un cilvēkresursu nodrošinājuma pamata NPP paredzēts veidot, izvēlēta atbilstoši ES praksei, kur NPP lielākoties atrodas valsts ceļu administratoru pakļautībā. </w:t>
      </w:r>
    </w:p>
    <w:p w:rsidRPr="00606A48" w:rsidR="00606A48" w:rsidP="00606A48" w:rsidRDefault="00C07BC1" w14:paraId="067A24A8" w14:textId="1C5AB195">
      <w:r w:rsidRPr="00CA0592">
        <w:t xml:space="preserve">Satiksmes ministrija ir sagatavojusi un iesniegusi Finanšu ministrijai turpmākai virzīšanai EK grozījumu ierosinājumus Darbības programma, kas tostarp paredz NPP izveidei pārdalīt ES fondu finansējumu 5 000 000 EUR </w:t>
      </w:r>
      <w:r w:rsidRPr="00C56154">
        <w:t>apmērā un paredzēt valsts budžeta finansējumu 882 353 EUR apmērā līdz 2023.gadam.</w:t>
      </w:r>
      <w:r w:rsidRPr="00C56154" w:rsidR="00C65C16">
        <w:t xml:space="preserve"> </w:t>
      </w:r>
      <w:r w:rsidRPr="00C56154" w:rsidR="00606A48">
        <w:t xml:space="preserve">Darbības programmas grozījumi nacionālā līmenī ir apstiprināti ar Ministru kabineta 2019.gada 3.decembra rīkojumu Nr.611 “Grozījumi Eiropas Savienības struktūrfondu un Kohēzijas fonda 2014.-2020. gada plānošanas perioda darbības programmā </w:t>
      </w:r>
      <w:r w:rsidR="00526750">
        <w:t>“</w:t>
      </w:r>
      <w:r w:rsidRPr="00C56154" w:rsidR="00606A48">
        <w:t>Izaugsme un nodarbinātība</w:t>
      </w:r>
      <w:r w:rsidR="00526750">
        <w:t>”</w:t>
      </w:r>
      <w:r w:rsidRPr="00C56154" w:rsidR="00606A48">
        <w:t>” un ar 2020.gada 28.aprīļa lēmumu apstiprināti EK.</w:t>
      </w:r>
    </w:p>
    <w:p w:rsidRPr="00CA0592" w:rsidR="00C07BC1" w:rsidP="00C07BC1" w:rsidRDefault="00C07BC1" w14:paraId="1F302441" w14:textId="14EB98DF"/>
    <w:p w:rsidRPr="00CA0592" w:rsidR="00C07BC1" w:rsidP="00C07BC1" w:rsidRDefault="00C07BC1" w14:paraId="2D5472E3" w14:textId="236650E4"/>
    <w:p w:rsidRPr="00CA0592" w:rsidR="00C07BC1" w:rsidP="00C07BC1" w:rsidRDefault="00C07BC1" w14:paraId="273A0EAD" w14:textId="77777777"/>
    <w:p w:rsidRPr="00CA0592" w:rsidR="00C07BC1" w:rsidP="001F17F0" w:rsidRDefault="00C07BC1" w14:paraId="65AF8DA7" w14:textId="77777777">
      <w:pPr>
        <w:spacing w:after="120"/>
        <w:rPr>
          <w:rFonts w:cs="Times New Roman"/>
        </w:rPr>
      </w:pPr>
    </w:p>
    <w:p w:rsidRPr="00CA0592" w:rsidR="001A2923" w:rsidP="001F17F0" w:rsidRDefault="003375C8" w14:paraId="46EAFF68" w14:textId="7F8D2ACA">
      <w:pPr>
        <w:spacing w:after="120"/>
        <w:rPr>
          <w:rFonts w:cs="Times New Roman"/>
        </w:rPr>
      </w:pPr>
      <w:r w:rsidRPr="00CA0592">
        <w:rPr>
          <w:rFonts w:cs="Times New Roman"/>
        </w:rPr>
        <w:br w:type="page"/>
      </w:r>
    </w:p>
    <w:p w:rsidRPr="00CA0592" w:rsidR="00631045" w:rsidP="00284BEF" w:rsidRDefault="00FC78B2" w14:paraId="6508DB7A" w14:textId="4F27FE6B">
      <w:pPr>
        <w:pStyle w:val="Heading1"/>
        <w:jc w:val="center"/>
      </w:pPr>
      <w:bookmarkStart w:name="_Toc507966078" w:id="7"/>
      <w:bookmarkStart w:name="_Toc507999747" w:id="8"/>
      <w:bookmarkStart w:name="_Toc508093087" w:id="9"/>
      <w:bookmarkStart w:name="_Toc508094512" w:id="10"/>
      <w:bookmarkStart w:name="_Toc508112191" w:id="11"/>
      <w:bookmarkStart w:name="_Toc508199071" w:id="12"/>
      <w:bookmarkStart w:name="_Toc508273675" w:id="13"/>
      <w:bookmarkStart w:name="_Toc508278110" w:id="14"/>
      <w:bookmarkStart w:name="_Toc508278124" w:id="15"/>
      <w:bookmarkStart w:name="_Toc508278501" w:id="16"/>
      <w:bookmarkStart w:name="_Toc508349907" w:id="17"/>
      <w:bookmarkStart w:name="_Toc508563880" w:id="18"/>
      <w:bookmarkStart w:name="_Toc508564906" w:id="19"/>
      <w:bookmarkStart w:name="_Toc509231301" w:id="20"/>
      <w:bookmarkStart w:name="_Toc41576561" w:id="21"/>
      <w:bookmarkEnd w:id="7"/>
      <w:bookmarkEnd w:id="8"/>
      <w:bookmarkEnd w:id="9"/>
      <w:bookmarkEnd w:id="10"/>
      <w:bookmarkEnd w:id="11"/>
      <w:bookmarkEnd w:id="12"/>
      <w:bookmarkEnd w:id="13"/>
      <w:bookmarkEnd w:id="14"/>
      <w:bookmarkEnd w:id="15"/>
      <w:bookmarkEnd w:id="16"/>
      <w:bookmarkEnd w:id="17"/>
      <w:bookmarkEnd w:id="18"/>
      <w:bookmarkEnd w:id="19"/>
      <w:bookmarkEnd w:id="20"/>
      <w:r w:rsidRPr="00CA0592">
        <w:lastRenderedPageBreak/>
        <w:t>ESOŠĀS SITUĀCIJAS APRAKSTS</w:t>
      </w:r>
      <w:bookmarkEnd w:id="21"/>
    </w:p>
    <w:p w:rsidRPr="00CA0592" w:rsidR="00C07BC1" w:rsidP="00C07BC1" w:rsidRDefault="00C07BC1" w14:paraId="7E66A869" w14:textId="39D90249">
      <w:pPr>
        <w:pStyle w:val="Heading2"/>
      </w:pPr>
      <w:bookmarkStart w:name="_Toc41576562" w:id="22"/>
      <w:r w:rsidRPr="00CA0592">
        <w:t>ITS ieviešana Eiropas Savienībā</w:t>
      </w:r>
      <w:bookmarkEnd w:id="22"/>
    </w:p>
    <w:p w:rsidRPr="00CA0592" w:rsidR="00C07BC1" w:rsidP="00C07BC1" w:rsidRDefault="00C07BC1" w14:paraId="63798264" w14:textId="77777777">
      <w:pPr>
        <w:rPr>
          <w:rFonts w:cs="Times New Roman"/>
        </w:rPr>
      </w:pPr>
      <w:r w:rsidRPr="00CA0592">
        <w:rPr>
          <w:rFonts w:cs="Times New Roman"/>
        </w:rPr>
        <w:t xml:space="preserve">Eiropas pilsoņiem un komersantiem ITS ir nozīmīgas konkurētspējīgas un ilgtspējīgas transporta sistēmas nodrošināšanai. ITS ir Eiropas transporta politikas pamatā, savukārt ITS Rīcības plāns un ITS Direktīva ir divi ES politikas pamatelementi, kas izstrādāti, lai uzlabotu ITS ieviešanu dalībvalstīs. </w:t>
      </w:r>
    </w:p>
    <w:p w:rsidRPr="00CA0592" w:rsidR="00C07BC1" w:rsidP="00C07BC1" w:rsidRDefault="00C07BC1" w14:paraId="478C2080" w14:textId="4EF870A4">
      <w:pPr>
        <w:spacing w:before="60" w:after="60"/>
        <w:rPr>
          <w:rFonts w:cs="Times New Roman"/>
        </w:rPr>
      </w:pPr>
      <w:r w:rsidRPr="00CA0592">
        <w:rPr>
          <w:rFonts w:cs="Times New Roman"/>
        </w:rPr>
        <w:t xml:space="preserve">ITS Rīcības plāns tika izstrādāts, lai paātrinātu un koordinētu ITS ieviešanu autotransportā, tostarp </w:t>
      </w:r>
      <w:proofErr w:type="spellStart"/>
      <w:r w:rsidRPr="00CA0592">
        <w:rPr>
          <w:rFonts w:cs="Times New Roman"/>
        </w:rPr>
        <w:t>saskarnēs</w:t>
      </w:r>
      <w:proofErr w:type="spellEnd"/>
      <w:r w:rsidRPr="00CA0592">
        <w:rPr>
          <w:rFonts w:cs="Times New Roman"/>
        </w:rPr>
        <w:t xml:space="preserve"> ar citiem transporta veidiem ES robežās. ITS Rīcības plāna mērķis bija nodrošināt sistēmu savietojamību un savstarpējo </w:t>
      </w:r>
      <w:proofErr w:type="spellStart"/>
      <w:r w:rsidRPr="00CA0592">
        <w:rPr>
          <w:rFonts w:cs="Times New Roman"/>
        </w:rPr>
        <w:t>izmantojamību</w:t>
      </w:r>
      <w:proofErr w:type="spellEnd"/>
      <w:r w:rsidRPr="00CA0592">
        <w:rPr>
          <w:rFonts w:cs="Times New Roman"/>
        </w:rPr>
        <w:t xml:space="preserve">, kā arī veicināt ITS pakalpojumu ģeogrāfisko nepārtrauktību. </w:t>
      </w:r>
    </w:p>
    <w:p w:rsidRPr="00CA0592" w:rsidR="00C07BC1" w:rsidP="00C07BC1" w:rsidRDefault="00C07BC1" w14:paraId="2C06353F" w14:textId="05357A6C">
      <w:pPr>
        <w:spacing w:before="60" w:after="60"/>
        <w:rPr>
          <w:rFonts w:cs="Times New Roman"/>
        </w:rPr>
      </w:pPr>
    </w:p>
    <w:p w:rsidRPr="00CA0592" w:rsidR="00C07BC1" w:rsidP="00C07BC1" w:rsidRDefault="00C07BC1" w14:paraId="0E49F360" w14:textId="77777777">
      <w:pPr>
        <w:pStyle w:val="Heading2"/>
      </w:pPr>
      <w:bookmarkStart w:name="_Toc41576563" w:id="23"/>
      <w:r w:rsidRPr="00CA0592">
        <w:t>ITS Direktīva</w:t>
      </w:r>
      <w:bookmarkEnd w:id="23"/>
    </w:p>
    <w:p w:rsidRPr="00CA0592" w:rsidR="00C07BC1" w:rsidP="00C07BC1" w:rsidRDefault="00C07BC1" w14:paraId="7D73DB98" w14:textId="77777777">
      <w:pPr>
        <w:spacing w:before="60" w:after="60"/>
        <w:rPr>
          <w:rFonts w:cs="Times New Roman"/>
        </w:rPr>
      </w:pPr>
      <w:r w:rsidRPr="00CA0592">
        <w:rPr>
          <w:rFonts w:cs="Times New Roman"/>
        </w:rPr>
        <w:t xml:space="preserve">Reaģējot uz ITS Rīcības plānu, ES 2010. gadā pieņēma ITS Direktīvu, lai noteiktu regulējumu koordinētas un saskaņotas ITS ieviešanas un izmantošanas atbalstam ES. ITS Direktīva ir galvenais normatīvais instruments </w:t>
      </w:r>
      <w:r w:rsidRPr="00CA0592">
        <w:rPr>
          <w:rFonts w:cs="Times New Roman"/>
          <w:bCs/>
        </w:rPr>
        <w:t>ITS ieviešanai ES</w:t>
      </w:r>
      <w:r w:rsidRPr="00CA0592">
        <w:rPr>
          <w:rFonts w:cs="Times New Roman"/>
        </w:rPr>
        <w:t>.</w:t>
      </w:r>
    </w:p>
    <w:p w:rsidRPr="00CA0592" w:rsidR="00C07BC1" w:rsidP="00C07BC1" w:rsidRDefault="00C07BC1" w14:paraId="60BC4EB4" w14:textId="6C8EF174">
      <w:pPr>
        <w:rPr>
          <w:rFonts w:cs="Times New Roman"/>
        </w:rPr>
      </w:pPr>
      <w:r w:rsidRPr="00CA0592">
        <w:rPr>
          <w:rFonts w:cs="Times New Roman"/>
        </w:rPr>
        <w:t>ITS Direktīva noteic, ka dalībvalstis veic vajadzīgos pasākumus, lai nodrošinātu, ka specifikācijas, ko EK pieņēmusi saskaņā ar šo direktīvu un šīs direktīvas izklāstītajiem principiem, piemēro ITS lietotnēm un pakalpojumiem, kad tie tiek ieviesti. Tajā pašā laikā dalībvalstīm tiek atstātas tiesības lemt par šo lietotņu un pakalpojumu ieviešanu savā teritorijā (ITS Direktīvas 5.pants).</w:t>
      </w:r>
    </w:p>
    <w:p w:rsidRPr="00CA0592" w:rsidR="00C07BC1" w:rsidP="00C07BC1" w:rsidRDefault="00C07BC1" w14:paraId="33242C3A" w14:textId="77777777">
      <w:pPr>
        <w:spacing w:before="60" w:after="60"/>
        <w:rPr>
          <w:rFonts w:cs="Times New Roman"/>
          <w:b/>
          <w:bCs/>
          <w:sz w:val="20"/>
          <w:szCs w:val="18"/>
        </w:rPr>
      </w:pPr>
      <w:r w:rsidRPr="00CA0592">
        <w:rPr>
          <w:rFonts w:cs="Times New Roman"/>
        </w:rPr>
        <w:t>Lai varētu nodrošināt koordinētu un efektīvu ITS ieviešanu visā ES, ITS Direktīva ir definējusi četras prioritārās jomas specifikāciju un standartu izstrādei un ieviešanai, kā arī šajās prioritārajās jomās ir noteikusi sešas prioritārās darbības specifikāciju un standartu izstrādei un izmantošanai, kas redzamas 1.tabulā.</w:t>
      </w:r>
    </w:p>
    <w:p w:rsidRPr="00CA0592" w:rsidR="00C07BC1" w:rsidP="00C07BC1" w:rsidRDefault="00C07BC1" w14:paraId="0DC188F0" w14:textId="301769F5">
      <w:pPr>
        <w:pStyle w:val="Caption"/>
        <w:rPr>
          <w:b w:val="0"/>
          <w:bCs w:val="0"/>
          <w:sz w:val="22"/>
          <w:szCs w:val="20"/>
        </w:rPr>
      </w:pPr>
      <w:r w:rsidRPr="00CA0592">
        <w:rPr>
          <w:b w:val="0"/>
          <w:bCs w:val="0"/>
          <w:noProof/>
          <w:sz w:val="22"/>
          <w:szCs w:val="20"/>
        </w:rPr>
        <w:fldChar w:fldCharType="begin"/>
      </w:r>
      <w:r w:rsidRPr="00CA0592">
        <w:rPr>
          <w:b w:val="0"/>
          <w:bCs w:val="0"/>
          <w:noProof/>
          <w:sz w:val="22"/>
          <w:szCs w:val="20"/>
        </w:rPr>
        <w:instrText xml:space="preserve"> SEQ Tabula \* ARABIC </w:instrText>
      </w:r>
      <w:r w:rsidRPr="00CA0592">
        <w:rPr>
          <w:b w:val="0"/>
          <w:bCs w:val="0"/>
          <w:noProof/>
          <w:sz w:val="22"/>
          <w:szCs w:val="20"/>
        </w:rPr>
        <w:fldChar w:fldCharType="separate"/>
      </w:r>
      <w:r w:rsidR="002B0009">
        <w:rPr>
          <w:b w:val="0"/>
          <w:bCs w:val="0"/>
          <w:noProof/>
          <w:sz w:val="22"/>
          <w:szCs w:val="20"/>
        </w:rPr>
        <w:t>1</w:t>
      </w:r>
      <w:r w:rsidRPr="00CA0592">
        <w:rPr>
          <w:b w:val="0"/>
          <w:bCs w:val="0"/>
          <w:noProof/>
          <w:sz w:val="22"/>
          <w:szCs w:val="20"/>
        </w:rPr>
        <w:fldChar w:fldCharType="end"/>
      </w:r>
      <w:r w:rsidRPr="00CA0592">
        <w:rPr>
          <w:b w:val="0"/>
          <w:bCs w:val="0"/>
          <w:sz w:val="22"/>
          <w:szCs w:val="20"/>
        </w:rPr>
        <w:t>. tabula  “ITS Direktīvas prioritārās jomas un darbības”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19"/>
        <w:gridCol w:w="7577"/>
      </w:tblGrid>
      <w:tr w:rsidRPr="00CA0592" w:rsidR="00C07BC1" w:rsidTr="00FC78B2" w14:paraId="43725BA0" w14:textId="77777777">
        <w:tc>
          <w:tcPr>
            <w:tcW w:w="433" w:type="pct"/>
            <w:shd w:val="clear" w:color="auto" w:fill="auto"/>
          </w:tcPr>
          <w:p w:rsidRPr="00CA0592" w:rsidR="00C07BC1" w:rsidP="00FC78B2" w:rsidRDefault="00C07BC1" w14:paraId="54AF06D3" w14:textId="77777777">
            <w:pPr>
              <w:keepLines/>
              <w:spacing w:before="40" w:after="40"/>
              <w:ind w:firstLine="29"/>
              <w:jc w:val="center"/>
              <w:rPr>
                <w:rFonts w:cs="Times New Roman"/>
                <w:b/>
              </w:rPr>
            </w:pPr>
            <w:r w:rsidRPr="00CA0592">
              <w:rPr>
                <w:rFonts w:cs="Times New Roman"/>
                <w:b/>
              </w:rPr>
              <w:t>Nr.</w:t>
            </w:r>
          </w:p>
        </w:tc>
        <w:tc>
          <w:tcPr>
            <w:tcW w:w="4567" w:type="pct"/>
            <w:shd w:val="clear" w:color="auto" w:fill="auto"/>
          </w:tcPr>
          <w:p w:rsidRPr="00CA0592" w:rsidR="00C07BC1" w:rsidP="00FC78B2" w:rsidRDefault="00C07BC1" w14:paraId="59A5A9DD" w14:textId="77777777">
            <w:pPr>
              <w:keepLines/>
              <w:spacing w:before="40" w:after="40"/>
              <w:ind w:firstLine="29"/>
              <w:jc w:val="center"/>
              <w:rPr>
                <w:rFonts w:cs="Times New Roman"/>
                <w:b/>
              </w:rPr>
            </w:pPr>
            <w:r w:rsidRPr="00CA0592">
              <w:rPr>
                <w:rFonts w:cs="Times New Roman"/>
                <w:b/>
              </w:rPr>
              <w:t>Prioritārās jomas</w:t>
            </w:r>
          </w:p>
        </w:tc>
      </w:tr>
      <w:tr w:rsidRPr="00CA0592" w:rsidR="00C07BC1" w:rsidTr="00FC78B2" w14:paraId="7F93C92B" w14:textId="77777777">
        <w:tc>
          <w:tcPr>
            <w:tcW w:w="433" w:type="pct"/>
            <w:shd w:val="clear" w:color="auto" w:fill="auto"/>
          </w:tcPr>
          <w:p w:rsidRPr="00CA0592" w:rsidR="00C07BC1" w:rsidP="00FC78B2" w:rsidRDefault="00C07BC1" w14:paraId="1531E8E3" w14:textId="77777777">
            <w:pPr>
              <w:keepLines/>
              <w:spacing w:before="40" w:after="40"/>
              <w:ind w:firstLine="29"/>
              <w:jc w:val="center"/>
              <w:rPr>
                <w:rFonts w:cs="Times New Roman"/>
                <w:bCs/>
              </w:rPr>
            </w:pPr>
            <w:r w:rsidRPr="00CA0592">
              <w:rPr>
                <w:rFonts w:cs="Times New Roman"/>
                <w:bCs/>
              </w:rPr>
              <w:t>1.</w:t>
            </w:r>
          </w:p>
        </w:tc>
        <w:tc>
          <w:tcPr>
            <w:tcW w:w="4567" w:type="pct"/>
            <w:shd w:val="clear" w:color="auto" w:fill="auto"/>
          </w:tcPr>
          <w:p w:rsidRPr="00CA0592" w:rsidR="00C07BC1" w:rsidP="00FC78B2" w:rsidRDefault="00C07BC1" w14:paraId="36C00530" w14:textId="77777777">
            <w:pPr>
              <w:keepLines/>
              <w:spacing w:before="40" w:after="40"/>
              <w:ind w:firstLine="0"/>
              <w:rPr>
                <w:rFonts w:cs="Times New Roman"/>
                <w:bCs/>
              </w:rPr>
            </w:pPr>
            <w:r w:rsidRPr="00CA0592">
              <w:rPr>
                <w:rFonts w:cs="Times New Roman"/>
                <w:bCs/>
              </w:rPr>
              <w:t>Ceļa, satiksmes un maršruta datu optimāla izmantošana</w:t>
            </w:r>
          </w:p>
        </w:tc>
      </w:tr>
      <w:tr w:rsidRPr="00CA0592" w:rsidR="00C07BC1" w:rsidTr="00FC78B2" w14:paraId="71ABFD26" w14:textId="77777777">
        <w:tc>
          <w:tcPr>
            <w:tcW w:w="433" w:type="pct"/>
            <w:shd w:val="clear" w:color="auto" w:fill="auto"/>
          </w:tcPr>
          <w:p w:rsidRPr="00CA0592" w:rsidR="00C07BC1" w:rsidP="00FC78B2" w:rsidRDefault="00C07BC1" w14:paraId="63996271" w14:textId="77777777">
            <w:pPr>
              <w:keepLines/>
              <w:spacing w:before="40" w:after="40"/>
              <w:ind w:firstLine="29"/>
              <w:jc w:val="center"/>
              <w:rPr>
                <w:rFonts w:cs="Times New Roman"/>
                <w:bCs/>
              </w:rPr>
            </w:pPr>
            <w:r w:rsidRPr="00CA0592">
              <w:rPr>
                <w:rFonts w:cs="Times New Roman"/>
                <w:bCs/>
              </w:rPr>
              <w:t>2.</w:t>
            </w:r>
          </w:p>
        </w:tc>
        <w:tc>
          <w:tcPr>
            <w:tcW w:w="4567" w:type="pct"/>
            <w:shd w:val="clear" w:color="auto" w:fill="auto"/>
          </w:tcPr>
          <w:p w:rsidRPr="00CA0592" w:rsidR="00C07BC1" w:rsidP="00FC78B2" w:rsidRDefault="00C07BC1" w14:paraId="0E627194" w14:textId="77777777">
            <w:pPr>
              <w:keepLines/>
              <w:spacing w:before="40" w:after="40"/>
              <w:ind w:firstLine="0"/>
              <w:rPr>
                <w:rFonts w:cs="Times New Roman"/>
              </w:rPr>
            </w:pPr>
            <w:r w:rsidRPr="00CA0592">
              <w:rPr>
                <w:rFonts w:cs="Times New Roman"/>
                <w:bCs/>
              </w:rPr>
              <w:t>Satiksmes un kravu pārvadājumu pārvaldības ITS pakalpojumu nepārtrauktība</w:t>
            </w:r>
          </w:p>
        </w:tc>
      </w:tr>
      <w:tr w:rsidRPr="00CA0592" w:rsidR="00C07BC1" w:rsidTr="00FC78B2" w14:paraId="36188B1C" w14:textId="77777777">
        <w:trPr>
          <w:trHeight w:val="397"/>
        </w:trPr>
        <w:tc>
          <w:tcPr>
            <w:tcW w:w="433" w:type="pct"/>
            <w:shd w:val="clear" w:color="auto" w:fill="auto"/>
          </w:tcPr>
          <w:p w:rsidRPr="00CA0592" w:rsidR="00C07BC1" w:rsidP="00FC78B2" w:rsidRDefault="00C07BC1" w14:paraId="6E1B9875" w14:textId="77777777">
            <w:pPr>
              <w:keepLines/>
              <w:spacing w:before="40" w:after="40"/>
              <w:ind w:firstLine="29"/>
              <w:jc w:val="center"/>
              <w:rPr>
                <w:rFonts w:cs="Times New Roman"/>
                <w:bCs/>
              </w:rPr>
            </w:pPr>
            <w:r w:rsidRPr="00CA0592">
              <w:rPr>
                <w:rFonts w:cs="Times New Roman"/>
                <w:bCs/>
              </w:rPr>
              <w:t>3.</w:t>
            </w:r>
          </w:p>
        </w:tc>
        <w:tc>
          <w:tcPr>
            <w:tcW w:w="4567" w:type="pct"/>
            <w:shd w:val="clear" w:color="auto" w:fill="auto"/>
          </w:tcPr>
          <w:p w:rsidRPr="00CA0592" w:rsidR="00C07BC1" w:rsidP="00FC78B2" w:rsidRDefault="00C07BC1" w14:paraId="33B4B1DF" w14:textId="77777777">
            <w:pPr>
              <w:keepLines/>
              <w:spacing w:before="40" w:after="40"/>
              <w:ind w:firstLine="0"/>
              <w:rPr>
                <w:rFonts w:cs="Times New Roman"/>
              </w:rPr>
            </w:pPr>
            <w:r w:rsidRPr="00CA0592">
              <w:rPr>
                <w:rFonts w:cs="Times New Roman"/>
                <w:bCs/>
              </w:rPr>
              <w:t>ITS lietotnes saistībā ar ceļu satiksmes drošumu un drošību</w:t>
            </w:r>
          </w:p>
        </w:tc>
      </w:tr>
      <w:tr w:rsidRPr="00CA0592" w:rsidR="00C07BC1" w:rsidTr="00FC78B2" w14:paraId="5C74329C" w14:textId="77777777">
        <w:tc>
          <w:tcPr>
            <w:tcW w:w="433" w:type="pct"/>
            <w:shd w:val="clear" w:color="auto" w:fill="auto"/>
          </w:tcPr>
          <w:p w:rsidRPr="00CA0592" w:rsidR="00C07BC1" w:rsidP="00FC78B2" w:rsidRDefault="00C07BC1" w14:paraId="669D7581" w14:textId="77777777">
            <w:pPr>
              <w:keepLines/>
              <w:spacing w:before="40" w:after="40"/>
              <w:ind w:firstLine="29"/>
              <w:jc w:val="center"/>
              <w:rPr>
                <w:rFonts w:cs="Times New Roman"/>
                <w:bCs/>
              </w:rPr>
            </w:pPr>
            <w:r w:rsidRPr="00CA0592">
              <w:rPr>
                <w:rFonts w:cs="Times New Roman"/>
                <w:bCs/>
              </w:rPr>
              <w:t>4.</w:t>
            </w:r>
          </w:p>
        </w:tc>
        <w:tc>
          <w:tcPr>
            <w:tcW w:w="4567" w:type="pct"/>
            <w:shd w:val="clear" w:color="auto" w:fill="auto"/>
          </w:tcPr>
          <w:p w:rsidRPr="00CA0592" w:rsidR="00C07BC1" w:rsidP="00FC78B2" w:rsidRDefault="00C07BC1" w14:paraId="41B1C8E1" w14:textId="77777777">
            <w:pPr>
              <w:keepLines/>
              <w:spacing w:before="40" w:after="40"/>
              <w:ind w:firstLine="0"/>
              <w:rPr>
                <w:rFonts w:cs="Times New Roman"/>
              </w:rPr>
            </w:pPr>
            <w:r w:rsidRPr="00CA0592">
              <w:rPr>
                <w:rFonts w:cs="Times New Roman"/>
                <w:bCs/>
              </w:rPr>
              <w:t>Transportlīdzekļa saiknes izveide ar transporta infrastruktūru</w:t>
            </w:r>
          </w:p>
        </w:tc>
      </w:tr>
      <w:tr w:rsidRPr="00CA0592" w:rsidR="00C07BC1" w:rsidTr="00FC78B2" w14:paraId="23B0D8A3" w14:textId="77777777">
        <w:tc>
          <w:tcPr>
            <w:tcW w:w="433" w:type="pct"/>
            <w:shd w:val="clear" w:color="auto" w:fill="auto"/>
          </w:tcPr>
          <w:p w:rsidRPr="00CA0592" w:rsidR="00C07BC1" w:rsidP="00FC78B2" w:rsidRDefault="00C07BC1" w14:paraId="70C66076" w14:textId="77777777">
            <w:pPr>
              <w:keepLines/>
              <w:spacing w:before="40" w:after="40"/>
              <w:ind w:firstLine="29"/>
              <w:jc w:val="center"/>
              <w:rPr>
                <w:rFonts w:cs="Times New Roman"/>
                <w:b/>
              </w:rPr>
            </w:pPr>
            <w:proofErr w:type="spellStart"/>
            <w:r w:rsidRPr="00CA0592">
              <w:rPr>
                <w:rFonts w:cs="Times New Roman"/>
                <w:b/>
              </w:rPr>
              <w:t>Apz</w:t>
            </w:r>
            <w:proofErr w:type="spellEnd"/>
            <w:r w:rsidRPr="00CA0592">
              <w:rPr>
                <w:rFonts w:cs="Times New Roman"/>
                <w:b/>
              </w:rPr>
              <w:t>.</w:t>
            </w:r>
          </w:p>
        </w:tc>
        <w:tc>
          <w:tcPr>
            <w:tcW w:w="4567" w:type="pct"/>
            <w:shd w:val="clear" w:color="auto" w:fill="auto"/>
          </w:tcPr>
          <w:p w:rsidRPr="00CA0592" w:rsidR="00C07BC1" w:rsidP="00FC78B2" w:rsidRDefault="00C07BC1" w14:paraId="056F8E40" w14:textId="77777777">
            <w:pPr>
              <w:keepLines/>
              <w:spacing w:before="40" w:after="40"/>
              <w:ind w:firstLine="29"/>
              <w:jc w:val="center"/>
              <w:rPr>
                <w:rFonts w:cs="Times New Roman"/>
                <w:b/>
              </w:rPr>
            </w:pPr>
            <w:r w:rsidRPr="00CA0592">
              <w:rPr>
                <w:rFonts w:cs="Times New Roman"/>
                <w:b/>
              </w:rPr>
              <w:t>Prioritārās darbības</w:t>
            </w:r>
          </w:p>
        </w:tc>
      </w:tr>
      <w:tr w:rsidRPr="00CA0592" w:rsidR="00C07BC1" w:rsidTr="00FC78B2" w14:paraId="454F1956" w14:textId="77777777">
        <w:tc>
          <w:tcPr>
            <w:tcW w:w="433" w:type="pct"/>
            <w:shd w:val="clear" w:color="auto" w:fill="auto"/>
          </w:tcPr>
          <w:p w:rsidRPr="00CA0592" w:rsidR="00C07BC1" w:rsidP="00FC78B2" w:rsidRDefault="00C07BC1" w14:paraId="52739F35" w14:textId="77777777">
            <w:pPr>
              <w:keepLines/>
              <w:spacing w:before="40" w:after="40"/>
              <w:ind w:firstLine="29"/>
              <w:jc w:val="center"/>
              <w:rPr>
                <w:rFonts w:cs="Times New Roman"/>
                <w:bCs/>
              </w:rPr>
            </w:pPr>
            <w:r w:rsidRPr="00CA0592">
              <w:rPr>
                <w:rFonts w:cs="Times New Roman"/>
                <w:bCs/>
              </w:rPr>
              <w:t>A</w:t>
            </w:r>
          </w:p>
        </w:tc>
        <w:tc>
          <w:tcPr>
            <w:tcW w:w="4567" w:type="pct"/>
            <w:shd w:val="clear" w:color="auto" w:fill="auto"/>
          </w:tcPr>
          <w:p w:rsidRPr="00CA0592" w:rsidR="00C07BC1" w:rsidP="00FC78B2" w:rsidRDefault="00C07BC1" w14:paraId="38AFA4B9" w14:textId="77777777">
            <w:pPr>
              <w:keepLines/>
              <w:spacing w:before="40" w:after="40"/>
              <w:ind w:firstLine="0"/>
              <w:rPr>
                <w:rFonts w:cs="Times New Roman"/>
                <w:bCs/>
              </w:rPr>
            </w:pPr>
            <w:r w:rsidRPr="00CA0592">
              <w:rPr>
                <w:rFonts w:cs="Times New Roman"/>
                <w:bCs/>
              </w:rPr>
              <w:t>Nodrošināt multimodālus maršruta informācijas pakalpojumus visā ES</w:t>
            </w:r>
          </w:p>
        </w:tc>
      </w:tr>
      <w:tr w:rsidRPr="00CA0592" w:rsidR="00C07BC1" w:rsidTr="00FC78B2" w14:paraId="6A9109BA" w14:textId="77777777">
        <w:tc>
          <w:tcPr>
            <w:tcW w:w="433" w:type="pct"/>
            <w:shd w:val="clear" w:color="auto" w:fill="auto"/>
          </w:tcPr>
          <w:p w:rsidRPr="00CA0592" w:rsidR="00C07BC1" w:rsidP="00FC78B2" w:rsidRDefault="00C07BC1" w14:paraId="068BC0B4" w14:textId="77777777">
            <w:pPr>
              <w:keepLines/>
              <w:spacing w:before="40" w:after="40"/>
              <w:ind w:firstLine="29"/>
              <w:jc w:val="center"/>
              <w:rPr>
                <w:rFonts w:cs="Times New Roman"/>
                <w:bCs/>
              </w:rPr>
            </w:pPr>
            <w:r w:rsidRPr="00CA0592">
              <w:rPr>
                <w:rFonts w:cs="Times New Roman"/>
                <w:bCs/>
              </w:rPr>
              <w:t>B</w:t>
            </w:r>
          </w:p>
        </w:tc>
        <w:tc>
          <w:tcPr>
            <w:tcW w:w="4567" w:type="pct"/>
            <w:shd w:val="clear" w:color="auto" w:fill="auto"/>
          </w:tcPr>
          <w:p w:rsidRPr="00CA0592" w:rsidR="00C07BC1" w:rsidP="00FC78B2" w:rsidRDefault="00C07BC1" w14:paraId="3A6C5F4E" w14:textId="77777777">
            <w:pPr>
              <w:keepLines/>
              <w:spacing w:before="40" w:after="40"/>
              <w:ind w:firstLine="0"/>
              <w:rPr>
                <w:rFonts w:cs="Times New Roman"/>
                <w:bCs/>
              </w:rPr>
            </w:pPr>
            <w:r w:rsidRPr="00CA0592">
              <w:rPr>
                <w:rFonts w:cs="Times New Roman"/>
                <w:bCs/>
              </w:rPr>
              <w:t>Nodrošināt multimodālus reālā laika satiksmes pakalpojumus visā ES</w:t>
            </w:r>
          </w:p>
        </w:tc>
      </w:tr>
      <w:tr w:rsidRPr="00CA0592" w:rsidR="00C07BC1" w:rsidTr="00FC78B2" w14:paraId="1DAE3C27" w14:textId="77777777">
        <w:tc>
          <w:tcPr>
            <w:tcW w:w="433" w:type="pct"/>
            <w:shd w:val="clear" w:color="auto" w:fill="auto"/>
          </w:tcPr>
          <w:p w:rsidRPr="00CA0592" w:rsidR="00C07BC1" w:rsidP="00FC78B2" w:rsidRDefault="00C07BC1" w14:paraId="592F0EF8" w14:textId="77777777">
            <w:pPr>
              <w:keepLines/>
              <w:spacing w:before="40" w:after="40"/>
              <w:ind w:firstLine="29"/>
              <w:jc w:val="center"/>
              <w:rPr>
                <w:rFonts w:cs="Times New Roman"/>
                <w:bCs/>
              </w:rPr>
            </w:pPr>
            <w:r w:rsidRPr="00CA0592">
              <w:rPr>
                <w:rFonts w:cs="Times New Roman"/>
                <w:bCs/>
              </w:rPr>
              <w:t>C</w:t>
            </w:r>
          </w:p>
        </w:tc>
        <w:tc>
          <w:tcPr>
            <w:tcW w:w="4567" w:type="pct"/>
            <w:shd w:val="clear" w:color="auto" w:fill="auto"/>
          </w:tcPr>
          <w:p w:rsidRPr="00CA0592" w:rsidR="00C07BC1" w:rsidP="00FC78B2" w:rsidRDefault="00C07BC1" w14:paraId="7D5E173B" w14:textId="77777777">
            <w:pPr>
              <w:keepLines/>
              <w:spacing w:before="40" w:after="40"/>
              <w:ind w:firstLine="0"/>
              <w:rPr>
                <w:rFonts w:cs="Times New Roman"/>
                <w:bCs/>
              </w:rPr>
            </w:pPr>
            <w:r w:rsidRPr="00CA0592">
              <w:rPr>
                <w:rFonts w:cs="Times New Roman"/>
                <w:bCs/>
              </w:rPr>
              <w:t>Nodrošināt datus un procedūras, lai lietotājus, ja iespējams, bez maksas nodrošinātu ar ceļu drošību saistītu minimālo vispārējo satiksmes informāciju</w:t>
            </w:r>
          </w:p>
        </w:tc>
      </w:tr>
      <w:tr w:rsidRPr="00CA0592" w:rsidR="00C07BC1" w:rsidTr="00FC78B2" w14:paraId="61E52E51" w14:textId="77777777">
        <w:tc>
          <w:tcPr>
            <w:tcW w:w="433" w:type="pct"/>
            <w:shd w:val="clear" w:color="auto" w:fill="auto"/>
          </w:tcPr>
          <w:p w:rsidRPr="00CA0592" w:rsidR="00C07BC1" w:rsidP="00FC78B2" w:rsidRDefault="00C07BC1" w14:paraId="4046789D" w14:textId="77777777">
            <w:pPr>
              <w:keepLines/>
              <w:spacing w:before="40" w:after="40"/>
              <w:ind w:firstLine="29"/>
              <w:jc w:val="center"/>
              <w:rPr>
                <w:rFonts w:cs="Times New Roman"/>
                <w:bCs/>
              </w:rPr>
            </w:pPr>
            <w:r w:rsidRPr="00CA0592">
              <w:rPr>
                <w:rFonts w:cs="Times New Roman"/>
                <w:bCs/>
              </w:rPr>
              <w:t>D</w:t>
            </w:r>
          </w:p>
        </w:tc>
        <w:tc>
          <w:tcPr>
            <w:tcW w:w="4567" w:type="pct"/>
            <w:shd w:val="clear" w:color="auto" w:fill="auto"/>
          </w:tcPr>
          <w:p w:rsidRPr="00CA0592" w:rsidR="00C07BC1" w:rsidP="00FC78B2" w:rsidRDefault="00C07BC1" w14:paraId="6A8DEDB5" w14:textId="77777777">
            <w:pPr>
              <w:keepLines/>
              <w:spacing w:before="40" w:after="40"/>
              <w:ind w:firstLine="0"/>
              <w:rPr>
                <w:rFonts w:cs="Times New Roman"/>
                <w:bCs/>
              </w:rPr>
            </w:pPr>
            <w:r w:rsidRPr="00CA0592">
              <w:rPr>
                <w:rFonts w:cs="Times New Roman"/>
                <w:bCs/>
              </w:rPr>
              <w:t xml:space="preserve">Saskaņoti nodrošināt visā ES piemērojamu, </w:t>
            </w:r>
            <w:proofErr w:type="spellStart"/>
            <w:r w:rsidRPr="00CA0592">
              <w:rPr>
                <w:rFonts w:cs="Times New Roman"/>
                <w:bCs/>
              </w:rPr>
              <w:t>sadarbspējīgu</w:t>
            </w:r>
            <w:proofErr w:type="spellEnd"/>
            <w:r w:rsidRPr="00CA0592">
              <w:rPr>
                <w:rFonts w:cs="Times New Roman"/>
                <w:bCs/>
              </w:rPr>
              <w:t xml:space="preserve"> </w:t>
            </w:r>
            <w:r w:rsidRPr="00CA0592">
              <w:rPr>
                <w:rFonts w:cs="Times New Roman"/>
                <w:bCs/>
                <w:i/>
              </w:rPr>
              <w:t xml:space="preserve">e-Zvans </w:t>
            </w:r>
            <w:r w:rsidRPr="00CA0592">
              <w:rPr>
                <w:rFonts w:cs="Times New Roman"/>
                <w:bCs/>
              </w:rPr>
              <w:t>sistēmu</w:t>
            </w:r>
          </w:p>
        </w:tc>
      </w:tr>
      <w:tr w:rsidRPr="00CA0592" w:rsidR="00C07BC1" w:rsidTr="00FC78B2" w14:paraId="6DC14397" w14:textId="77777777">
        <w:tc>
          <w:tcPr>
            <w:tcW w:w="433" w:type="pct"/>
            <w:shd w:val="clear" w:color="auto" w:fill="auto"/>
          </w:tcPr>
          <w:p w:rsidRPr="00CA0592" w:rsidR="00C07BC1" w:rsidP="00FC78B2" w:rsidRDefault="00C07BC1" w14:paraId="302EB30B" w14:textId="77777777">
            <w:pPr>
              <w:keepLines/>
              <w:spacing w:before="40" w:after="40"/>
              <w:ind w:firstLine="29"/>
              <w:jc w:val="center"/>
              <w:rPr>
                <w:rFonts w:cs="Times New Roman"/>
                <w:bCs/>
              </w:rPr>
            </w:pPr>
            <w:r w:rsidRPr="00CA0592">
              <w:rPr>
                <w:rFonts w:cs="Times New Roman"/>
                <w:bCs/>
              </w:rPr>
              <w:t>E</w:t>
            </w:r>
          </w:p>
        </w:tc>
        <w:tc>
          <w:tcPr>
            <w:tcW w:w="4567" w:type="pct"/>
            <w:shd w:val="clear" w:color="auto" w:fill="auto"/>
          </w:tcPr>
          <w:p w:rsidRPr="00CA0592" w:rsidR="00C07BC1" w:rsidP="00FC78B2" w:rsidRDefault="00C07BC1" w14:paraId="0A9769C4" w14:textId="77777777">
            <w:pPr>
              <w:keepLines/>
              <w:spacing w:before="40" w:after="40"/>
              <w:ind w:firstLine="0"/>
              <w:rPr>
                <w:rFonts w:cs="Times New Roman"/>
                <w:bCs/>
              </w:rPr>
            </w:pPr>
            <w:r w:rsidRPr="00CA0592">
              <w:rPr>
                <w:rFonts w:cs="Times New Roman"/>
                <w:bCs/>
              </w:rPr>
              <w:t>Kravu un komerciālajiem transportlīdzekļiem nodrošināt informācijas pakalpojumus par drošām stāvvietām</w:t>
            </w:r>
          </w:p>
        </w:tc>
      </w:tr>
      <w:tr w:rsidRPr="00CA0592" w:rsidR="00C07BC1" w:rsidTr="00FC78B2" w14:paraId="0745F21D" w14:textId="77777777">
        <w:tc>
          <w:tcPr>
            <w:tcW w:w="433" w:type="pct"/>
            <w:shd w:val="clear" w:color="auto" w:fill="auto"/>
          </w:tcPr>
          <w:p w:rsidRPr="00CA0592" w:rsidR="00C07BC1" w:rsidP="00FC78B2" w:rsidRDefault="00C07BC1" w14:paraId="2A4AEB52" w14:textId="77777777">
            <w:pPr>
              <w:keepLines/>
              <w:spacing w:before="40" w:after="40"/>
              <w:ind w:firstLine="29"/>
              <w:jc w:val="center"/>
              <w:rPr>
                <w:rFonts w:cs="Times New Roman"/>
                <w:bCs/>
              </w:rPr>
            </w:pPr>
            <w:r w:rsidRPr="00CA0592">
              <w:rPr>
                <w:rFonts w:cs="Times New Roman"/>
                <w:bCs/>
              </w:rPr>
              <w:t>F</w:t>
            </w:r>
          </w:p>
        </w:tc>
        <w:tc>
          <w:tcPr>
            <w:tcW w:w="4567" w:type="pct"/>
            <w:shd w:val="clear" w:color="auto" w:fill="auto"/>
          </w:tcPr>
          <w:p w:rsidRPr="00CA0592" w:rsidR="00C07BC1" w:rsidDel="00156A82" w:rsidP="00FC78B2" w:rsidRDefault="00C07BC1" w14:paraId="17327F2F" w14:textId="77777777">
            <w:pPr>
              <w:keepLines/>
              <w:spacing w:before="40" w:after="40"/>
              <w:ind w:firstLine="0"/>
              <w:rPr>
                <w:rFonts w:cs="Times New Roman"/>
                <w:bCs/>
              </w:rPr>
            </w:pPr>
            <w:r w:rsidRPr="00CA0592">
              <w:rPr>
                <w:rFonts w:cs="Times New Roman"/>
                <w:bCs/>
              </w:rPr>
              <w:t>Kravu un komerciālajiem transportlīdzekļiem nodrošināt rezervēšanas pakalpojumus drošām stāvvietām</w:t>
            </w:r>
          </w:p>
        </w:tc>
      </w:tr>
    </w:tbl>
    <w:p w:rsidRPr="00CA0592" w:rsidR="00C07BC1" w:rsidP="00C07BC1" w:rsidRDefault="00C07BC1" w14:paraId="6FA62E1D" w14:textId="6EC5CACE">
      <w:pPr>
        <w:pStyle w:val="Heading2"/>
      </w:pPr>
      <w:bookmarkStart w:name="_Toc41576564" w:id="24"/>
      <w:r w:rsidRPr="00CA0592">
        <w:lastRenderedPageBreak/>
        <w:t>ITS Deleģētās Regulas</w:t>
      </w:r>
      <w:bookmarkEnd w:id="24"/>
    </w:p>
    <w:p w:rsidRPr="00CA0592" w:rsidR="00C07BC1" w:rsidP="00C07BC1" w:rsidRDefault="00C07BC1" w14:paraId="301BEA1C" w14:textId="54818D87">
      <w:pPr>
        <w:spacing w:before="60" w:after="60"/>
        <w:rPr>
          <w:rFonts w:cs="Times New Roman"/>
        </w:rPr>
      </w:pPr>
      <w:r w:rsidRPr="00CA0592">
        <w:rPr>
          <w:rFonts w:cs="Times New Roman"/>
        </w:rPr>
        <w:t>ITS Direktīva uzliek EK par pienākumu sagatavot un pieņemt Deleģētās Regulas ITS Direktīvā definētajām prioritārajām jomām. Pašlaik ir pieņemtas piecas Deleģētās Regulas.</w:t>
      </w:r>
    </w:p>
    <w:p w:rsidRPr="00CA0592" w:rsidR="00C07BC1" w:rsidP="00C07BC1" w:rsidRDefault="00C07BC1" w14:paraId="6542FE0B" w14:textId="77777777">
      <w:pPr>
        <w:pStyle w:val="Heading3"/>
      </w:pPr>
      <w:bookmarkStart w:name="_Toc41576565" w:id="25"/>
      <w:r w:rsidRPr="00CA0592">
        <w:t>Regula Nr.885/2013</w:t>
      </w:r>
      <w:bookmarkEnd w:id="25"/>
    </w:p>
    <w:p w:rsidRPr="00CA0592" w:rsidR="00C07BC1" w:rsidP="00C07BC1" w:rsidRDefault="00C07BC1" w14:paraId="7958E61C" w14:textId="02914128">
      <w:pPr>
        <w:spacing w:before="60" w:after="60"/>
        <w:rPr>
          <w:rFonts w:cs="Times New Roman"/>
        </w:rPr>
      </w:pPr>
      <w:r w:rsidRPr="00CA0592">
        <w:rPr>
          <w:rFonts w:cs="Times New Roman"/>
        </w:rPr>
        <w:t xml:space="preserve">Regula Nr.885/2013 nosaka specifikācijas, kas vajadzīgas, lai nodrošinātu savietojamību, </w:t>
      </w:r>
      <w:proofErr w:type="spellStart"/>
      <w:r w:rsidRPr="00CA0592">
        <w:rPr>
          <w:rFonts w:cs="Times New Roman"/>
        </w:rPr>
        <w:t>sadarbspēju</w:t>
      </w:r>
      <w:proofErr w:type="spellEnd"/>
      <w:r w:rsidRPr="00CA0592">
        <w:rPr>
          <w:rFonts w:cs="Times New Roman"/>
        </w:rPr>
        <w:t xml:space="preserve"> un nepārtrauktību, ES līmenī saskaņā ar Direktīvu 2010/40/ES</w:t>
      </w:r>
      <w:r w:rsidR="00097075">
        <w:rPr>
          <w:rFonts w:cs="Times New Roman"/>
        </w:rPr>
        <w:t>,</w:t>
      </w:r>
      <w:r w:rsidRPr="00CA0592">
        <w:rPr>
          <w:rFonts w:cs="Times New Roman"/>
        </w:rPr>
        <w:t xml:space="preserve"> ieviešot un izmantojot informācijas pakalpojumu saistībā ar drošām stāvvietām kravas automobiļiem un komerciālajiem transportlīdzekļiem. Tā attiecas uz informācijas sniegšanu Eiropas ceļu tīklā (TERN).</w:t>
      </w:r>
    </w:p>
    <w:p w:rsidRPr="00CA0592" w:rsidR="00C07BC1" w:rsidP="00C07BC1" w:rsidRDefault="00C07BC1" w14:paraId="6280AB64" w14:textId="77777777">
      <w:pPr>
        <w:spacing w:before="60" w:after="60"/>
        <w:rPr>
          <w:rFonts w:cs="Times New Roman"/>
        </w:rPr>
      </w:pPr>
      <w:r w:rsidRPr="00CA0592">
        <w:rPr>
          <w:rFonts w:cs="Times New Roman"/>
        </w:rPr>
        <w:t xml:space="preserve">Regula Nr.885/2013 noteic, ka datus par drošiem publiskiem un privātiem stāvlaukumiem, kas raksturo stāvlaukumu un kas sniedzami lietotājiem, vāc un sniedz publiskie vai privātie stāvlaukumu </w:t>
      </w:r>
      <w:proofErr w:type="spellStart"/>
      <w:r w:rsidRPr="00CA0592">
        <w:rPr>
          <w:rFonts w:cs="Times New Roman"/>
        </w:rPr>
        <w:t>apsaimniekotāji</w:t>
      </w:r>
      <w:proofErr w:type="spellEnd"/>
      <w:r w:rsidRPr="00CA0592">
        <w:rPr>
          <w:rFonts w:cs="Times New Roman"/>
        </w:rPr>
        <w:t xml:space="preserve"> un pakalpojumu sniedzēji. Publiskie vai privātie stāvlaukumu </w:t>
      </w:r>
      <w:proofErr w:type="spellStart"/>
      <w:r w:rsidRPr="00CA0592">
        <w:rPr>
          <w:rFonts w:cs="Times New Roman"/>
        </w:rPr>
        <w:t>apsaimniekotāji</w:t>
      </w:r>
      <w:proofErr w:type="spellEnd"/>
      <w:r w:rsidRPr="00CA0592">
        <w:rPr>
          <w:rFonts w:cs="Times New Roman"/>
        </w:rPr>
        <w:t xml:space="preserve"> un pakalpojumu sniedzēji izmanto DATEX II (CEN/TS 16157) profilus vai citus starptautiski savietojamus formātus, lai nodrošinātu informācijas pakalpojumu savstarpēju </w:t>
      </w:r>
      <w:proofErr w:type="spellStart"/>
      <w:r w:rsidRPr="00CA0592">
        <w:rPr>
          <w:rFonts w:cs="Times New Roman"/>
        </w:rPr>
        <w:t>izmantojamību</w:t>
      </w:r>
      <w:proofErr w:type="spellEnd"/>
      <w:r w:rsidRPr="00CA0592">
        <w:rPr>
          <w:rFonts w:cs="Times New Roman"/>
        </w:rPr>
        <w:t xml:space="preserve"> visā ES.</w:t>
      </w:r>
    </w:p>
    <w:p w:rsidRPr="00CA0592" w:rsidR="00C07BC1" w:rsidP="00C07BC1" w:rsidRDefault="00C07BC1" w14:paraId="7D3C18D4" w14:textId="77777777">
      <w:pPr>
        <w:spacing w:before="60" w:after="60"/>
        <w:rPr>
          <w:rFonts w:cs="Times New Roman"/>
        </w:rPr>
      </w:pPr>
      <w:r w:rsidRPr="00CA0592">
        <w:rPr>
          <w:rFonts w:cs="Times New Roman"/>
        </w:rPr>
        <w:t>Regula Nr.885/2013 nosaka, kādus datus ir jāvāc un kā ir jāveic datu koplietošana un apmaiņa</w:t>
      </w:r>
      <w:r w:rsidRPr="00CA0592">
        <w:rPr>
          <w:rStyle w:val="FootnoteReference"/>
          <w:rFonts w:cs="Times New Roman"/>
        </w:rPr>
        <w:footnoteReference w:id="5"/>
      </w:r>
      <w:r w:rsidRPr="00CA0592">
        <w:rPr>
          <w:rFonts w:cs="Times New Roman"/>
        </w:rPr>
        <w:t xml:space="preserve">. Nozīmīgs aspekts attiecībā uz datu koplietošanu un apmaiņu ir: </w:t>
      </w:r>
    </w:p>
    <w:p w:rsidRPr="00CA0592" w:rsidR="00C07BC1" w:rsidP="00C07BC1" w:rsidRDefault="00C07BC1" w14:paraId="059186BD" w14:textId="77777777">
      <w:pPr>
        <w:pStyle w:val="ListParagraph"/>
        <w:numPr>
          <w:ilvl w:val="0"/>
          <w:numId w:val="4"/>
        </w:numPr>
        <w:spacing w:before="60" w:after="60"/>
        <w:rPr>
          <w:rFonts w:cs="Times New Roman"/>
        </w:rPr>
      </w:pPr>
      <w:r w:rsidRPr="00CA0592">
        <w:rPr>
          <w:rFonts w:cs="Times New Roman"/>
        </w:rPr>
        <w:t xml:space="preserve">publiskajiem vai privātajiem stāvlaukumu </w:t>
      </w:r>
      <w:proofErr w:type="spellStart"/>
      <w:r w:rsidRPr="00CA0592">
        <w:rPr>
          <w:rFonts w:cs="Times New Roman"/>
        </w:rPr>
        <w:t>apsaimniekotājiem</w:t>
      </w:r>
      <w:proofErr w:type="spellEnd"/>
      <w:r w:rsidRPr="00CA0592">
        <w:rPr>
          <w:rFonts w:cs="Times New Roman"/>
        </w:rPr>
        <w:t xml:space="preserve"> un pakalpojumu sniedzējiem šos datus ir jākoplieto un ar tiem jāapmainās, izmantojot DATEX II (CEN/TS 16157) formātu vai jebkādu ar DATEX II savietojamu starptautisku mašīnlasāmu formātu;</w:t>
      </w:r>
    </w:p>
    <w:p w:rsidRPr="00CA0592" w:rsidR="00C07BC1" w:rsidP="00C07BC1" w:rsidRDefault="00C07BC1" w14:paraId="3AEAAEBE" w14:textId="77777777">
      <w:pPr>
        <w:pStyle w:val="ListParagraph"/>
        <w:numPr>
          <w:ilvl w:val="0"/>
          <w:numId w:val="4"/>
        </w:numPr>
        <w:spacing w:before="60" w:after="60"/>
        <w:rPr>
          <w:rFonts w:cs="Times New Roman"/>
        </w:rPr>
      </w:pPr>
      <w:r w:rsidRPr="00CA0592">
        <w:rPr>
          <w:rFonts w:cs="Times New Roman"/>
        </w:rPr>
        <w:t>statiskajiem datiem ir jābūt pieejamiem, izmantojot valsts vai starptautisku piekļuves punktu;</w:t>
      </w:r>
    </w:p>
    <w:p w:rsidRPr="00CA0592" w:rsidR="00C07BC1" w:rsidP="00C07BC1" w:rsidRDefault="00C07BC1" w14:paraId="583E7DB2" w14:textId="77777777">
      <w:pPr>
        <w:pStyle w:val="ListParagraph"/>
        <w:numPr>
          <w:ilvl w:val="0"/>
          <w:numId w:val="4"/>
        </w:numPr>
        <w:spacing w:before="60" w:after="60"/>
        <w:rPr>
          <w:rFonts w:cs="Times New Roman"/>
        </w:rPr>
      </w:pPr>
      <w:r w:rsidRPr="00CA0592">
        <w:rPr>
          <w:rFonts w:cs="Times New Roman"/>
        </w:rPr>
        <w:t xml:space="preserve">attiecībā uz dinamiskajiem datiem dalībvalstis (vai valsts iestādes) ir atbildīgas par tāda centrāla valsts vai starptautiska piekļuves punkta izveidi un uzturēšanu, kurš sniedz informāciju par katra stāvlaukumu </w:t>
      </w:r>
      <w:proofErr w:type="spellStart"/>
      <w:r w:rsidRPr="00CA0592">
        <w:rPr>
          <w:rFonts w:cs="Times New Roman"/>
        </w:rPr>
        <w:t>apsaimniekotāja</w:t>
      </w:r>
      <w:proofErr w:type="spellEnd"/>
      <w:r w:rsidRPr="00CA0592">
        <w:rPr>
          <w:rFonts w:cs="Times New Roman"/>
        </w:rPr>
        <w:t xml:space="preserve"> un/vai pakalpojumu sniedzēja visiem atsevišķiem piekļuves punktiem to teritorijā lietotāju interesēs.</w:t>
      </w:r>
    </w:p>
    <w:p w:rsidRPr="00CA0592" w:rsidR="00C07BC1" w:rsidP="00C07BC1" w:rsidRDefault="00C07BC1" w14:paraId="70690B39" w14:textId="06ADF4FF">
      <w:pPr>
        <w:spacing w:before="60" w:after="60"/>
        <w:rPr>
          <w:rFonts w:cs="Times New Roman"/>
        </w:rPr>
      </w:pPr>
      <w:r w:rsidRPr="00CA0592">
        <w:t>Regula Nr.885/2013 stājās spēkā 2013. gada 8. oktobrī. To piemēro no 2015. gada 1. oktobra attiecībā uz šīs regulas spēkā stāšanās dienā jau ieviesto pakalpojumu sniegšanu, no 2013. gada 1. oktobra attiecībā uz pakalpojumu sniegšanu, kas tiks ieviesta pēc dienas, kad šī regula stājas spēkā</w:t>
      </w:r>
      <w:r w:rsidRPr="00CA0592">
        <w:rPr>
          <w:rFonts w:cs="Times New Roman"/>
        </w:rPr>
        <w:t>.</w:t>
      </w:r>
    </w:p>
    <w:p w:rsidRPr="00CA0592" w:rsidR="00EF3367" w:rsidP="00EF3367" w:rsidRDefault="00EF3367" w14:paraId="636DDDD3" w14:textId="77777777">
      <w:pPr>
        <w:pStyle w:val="Heading3"/>
      </w:pPr>
      <w:bookmarkStart w:name="_Toc41576566" w:id="26"/>
      <w:r w:rsidRPr="00CA0592">
        <w:t>Regula Nr.886/2013</w:t>
      </w:r>
      <w:bookmarkEnd w:id="26"/>
    </w:p>
    <w:p w:rsidRPr="00CA0592" w:rsidR="00EF3367" w:rsidP="00EF3367" w:rsidRDefault="00EF3367" w14:paraId="387B0764" w14:textId="77777777">
      <w:pPr>
        <w:spacing w:before="60" w:after="60"/>
        <w:rPr>
          <w:rFonts w:cs="Times New Roman"/>
        </w:rPr>
      </w:pPr>
      <w:r w:rsidRPr="00CA0592">
        <w:rPr>
          <w:rFonts w:cs="Times New Roman"/>
        </w:rPr>
        <w:t xml:space="preserve">Regula Nr.886/2013 nosaka specifikācijas, kas vajadzīgas, lai nodrošinātu savietojamību, </w:t>
      </w:r>
      <w:proofErr w:type="spellStart"/>
      <w:r w:rsidRPr="00CA0592">
        <w:rPr>
          <w:rFonts w:cs="Times New Roman"/>
        </w:rPr>
        <w:t>sadarbspēju</w:t>
      </w:r>
      <w:proofErr w:type="spellEnd"/>
      <w:r w:rsidRPr="00CA0592">
        <w:rPr>
          <w:rFonts w:cs="Times New Roman"/>
        </w:rPr>
        <w:t xml:space="preserve"> un nepārtrauktību datu un procedūru ieviešanai un izmantošanai, lai lietotājiem, ja iespējams, bez maksas nodrošinātu vispārējas ar ceļu satiksmes drošību saistītas informācijas minimumu</w:t>
      </w:r>
      <w:r w:rsidRPr="00CA0592">
        <w:rPr>
          <w:rStyle w:val="FootnoteReference"/>
          <w:rFonts w:cs="Times New Roman"/>
        </w:rPr>
        <w:footnoteReference w:id="6"/>
      </w:r>
      <w:r w:rsidRPr="00CA0592">
        <w:rPr>
          <w:rFonts w:cs="Times New Roman"/>
        </w:rPr>
        <w:t xml:space="preserve"> ES līmenī saskaņā ar Direktīvu </w:t>
      </w:r>
      <w:r w:rsidRPr="00CA0592">
        <w:rPr>
          <w:rFonts w:cs="Times New Roman"/>
        </w:rPr>
        <w:lastRenderedPageBreak/>
        <w:t>2010/40/ES. To piemēro vispārējas ar ceļu satiksmes drošību saistītas informācijas minimuma pakalpojumu</w:t>
      </w:r>
      <w:r w:rsidRPr="00CA0592">
        <w:rPr>
          <w:rStyle w:val="FootnoteReference"/>
          <w:rFonts w:cs="Times New Roman"/>
        </w:rPr>
        <w:footnoteReference w:id="7"/>
      </w:r>
      <w:r w:rsidRPr="00CA0592">
        <w:rPr>
          <w:rFonts w:cs="Times New Roman"/>
        </w:rPr>
        <w:t xml:space="preserve"> sniegšanai Eiropas ceļu tīklā. </w:t>
      </w:r>
    </w:p>
    <w:p w:rsidRPr="00CA0592" w:rsidR="00EF3367" w:rsidP="00EF3367" w:rsidRDefault="00EF3367" w14:paraId="62D75E8B" w14:textId="77777777">
      <w:pPr>
        <w:spacing w:before="60" w:after="60"/>
        <w:rPr>
          <w:rFonts w:cs="Times New Roman"/>
        </w:rPr>
      </w:pPr>
      <w:r w:rsidRPr="00CA0592">
        <w:rPr>
          <w:rFonts w:cs="Times New Roman"/>
        </w:rPr>
        <w:t>Regulā Nr.886/2013 ir definēti notikumi un apstākļi, kas iekļauti vispārējas ar ceļu satiksmes drošību saistītas informācijas minimuma pakalpojumā</w:t>
      </w:r>
      <w:r w:rsidRPr="00CA0592">
        <w:rPr>
          <w:rStyle w:val="FootnoteReference"/>
          <w:rFonts w:cs="Times New Roman"/>
        </w:rPr>
        <w:footnoteReference w:id="8"/>
      </w:r>
      <w:r w:rsidRPr="00CA0592">
        <w:rPr>
          <w:rFonts w:cs="Times New Roman"/>
        </w:rPr>
        <w:t>:</w:t>
      </w:r>
    </w:p>
    <w:p w:rsidRPr="00CA0592" w:rsidR="00EF3367" w:rsidP="00EF3367" w:rsidRDefault="00EF3367" w14:paraId="7B52E4D1" w14:textId="77777777">
      <w:pPr>
        <w:pStyle w:val="ListParagraph"/>
        <w:numPr>
          <w:ilvl w:val="0"/>
          <w:numId w:val="5"/>
        </w:numPr>
        <w:spacing w:before="60" w:after="60"/>
        <w:rPr>
          <w:rFonts w:cs="Times New Roman"/>
        </w:rPr>
      </w:pPr>
      <w:r w:rsidRPr="00CA0592">
        <w:rPr>
          <w:rFonts w:cs="Times New Roman"/>
        </w:rPr>
        <w:t>īslaicīgi slidens ceļš;</w:t>
      </w:r>
    </w:p>
    <w:p w:rsidRPr="00CA0592" w:rsidR="00EF3367" w:rsidP="00EF3367" w:rsidRDefault="00EF3367" w14:paraId="36211C77" w14:textId="77777777">
      <w:pPr>
        <w:pStyle w:val="ListParagraph"/>
        <w:numPr>
          <w:ilvl w:val="0"/>
          <w:numId w:val="5"/>
        </w:numPr>
        <w:spacing w:before="60" w:after="60"/>
        <w:rPr>
          <w:rFonts w:cs="Times New Roman"/>
        </w:rPr>
      </w:pPr>
      <w:r w:rsidRPr="00CA0592">
        <w:rPr>
          <w:rFonts w:cs="Times New Roman"/>
        </w:rPr>
        <w:t>dzīvnieki, cilvēki, šķēršļi, atkritumi uz ceļa;</w:t>
      </w:r>
    </w:p>
    <w:p w:rsidRPr="00CA0592" w:rsidR="00EF3367" w:rsidP="00EF3367" w:rsidRDefault="00EF3367" w14:paraId="2F4DC27F" w14:textId="77777777">
      <w:pPr>
        <w:pStyle w:val="ListParagraph"/>
        <w:numPr>
          <w:ilvl w:val="0"/>
          <w:numId w:val="5"/>
        </w:numPr>
        <w:spacing w:before="60" w:after="60"/>
        <w:rPr>
          <w:rFonts w:cs="Times New Roman"/>
        </w:rPr>
      </w:pPr>
      <w:r w:rsidRPr="00CA0592">
        <w:rPr>
          <w:rFonts w:cs="Times New Roman"/>
        </w:rPr>
        <w:t>nenorobežota negadījuma vieta;</w:t>
      </w:r>
    </w:p>
    <w:p w:rsidRPr="00CA0592" w:rsidR="00EF3367" w:rsidP="00EF3367" w:rsidRDefault="00EF3367" w14:paraId="552B3DA1" w14:textId="77777777">
      <w:pPr>
        <w:pStyle w:val="ListParagraph"/>
        <w:numPr>
          <w:ilvl w:val="0"/>
          <w:numId w:val="5"/>
        </w:numPr>
        <w:spacing w:before="60" w:after="60"/>
        <w:rPr>
          <w:rFonts w:cs="Times New Roman"/>
        </w:rPr>
      </w:pPr>
      <w:r w:rsidRPr="00CA0592">
        <w:rPr>
          <w:rFonts w:cs="Times New Roman"/>
        </w:rPr>
        <w:t>īstermiņa ceļa darbi;</w:t>
      </w:r>
    </w:p>
    <w:p w:rsidRPr="00CA0592" w:rsidR="00EF3367" w:rsidP="00EF3367" w:rsidRDefault="00EF3367" w14:paraId="76E82BDE" w14:textId="77777777">
      <w:pPr>
        <w:pStyle w:val="ListParagraph"/>
        <w:numPr>
          <w:ilvl w:val="0"/>
          <w:numId w:val="5"/>
        </w:numPr>
        <w:spacing w:before="60" w:after="60"/>
        <w:rPr>
          <w:rFonts w:cs="Times New Roman"/>
        </w:rPr>
      </w:pPr>
      <w:r w:rsidRPr="00CA0592">
        <w:rPr>
          <w:rFonts w:cs="Times New Roman"/>
        </w:rPr>
        <w:t>slikta redzamība;</w:t>
      </w:r>
    </w:p>
    <w:p w:rsidRPr="00CA0592" w:rsidR="00EF3367" w:rsidP="00EF3367" w:rsidRDefault="00EF3367" w14:paraId="43E7D072" w14:textId="77777777">
      <w:pPr>
        <w:pStyle w:val="ListParagraph"/>
        <w:numPr>
          <w:ilvl w:val="0"/>
          <w:numId w:val="5"/>
        </w:numPr>
        <w:spacing w:before="60" w:after="60"/>
        <w:rPr>
          <w:rFonts w:cs="Times New Roman"/>
        </w:rPr>
      </w:pPr>
      <w:r w:rsidRPr="00CA0592">
        <w:rPr>
          <w:rFonts w:cs="Times New Roman"/>
        </w:rPr>
        <w:t>autovadītājs, kas pa brauktuvi brauc nepareizā virzienā;</w:t>
      </w:r>
    </w:p>
    <w:p w:rsidRPr="00CA0592" w:rsidR="00EF3367" w:rsidP="00EF3367" w:rsidRDefault="00EF3367" w14:paraId="2F34755D" w14:textId="77777777">
      <w:pPr>
        <w:pStyle w:val="ListParagraph"/>
        <w:numPr>
          <w:ilvl w:val="0"/>
          <w:numId w:val="5"/>
        </w:numPr>
        <w:spacing w:before="60" w:after="60"/>
        <w:rPr>
          <w:rFonts w:cs="Times New Roman"/>
        </w:rPr>
      </w:pPr>
      <w:r w:rsidRPr="00CA0592">
        <w:rPr>
          <w:rFonts w:cs="Times New Roman"/>
        </w:rPr>
        <w:t>nekontrolēta ceļa aizšķērsošana;</w:t>
      </w:r>
    </w:p>
    <w:p w:rsidRPr="00CA0592" w:rsidR="00EF3367" w:rsidP="00EF3367" w:rsidRDefault="00EF3367" w14:paraId="0A87435C" w14:textId="77777777">
      <w:pPr>
        <w:pStyle w:val="ListParagraph"/>
        <w:numPr>
          <w:ilvl w:val="0"/>
          <w:numId w:val="5"/>
        </w:numPr>
        <w:spacing w:before="60" w:after="60"/>
        <w:rPr>
          <w:rFonts w:cs="Times New Roman"/>
        </w:rPr>
      </w:pPr>
      <w:r w:rsidRPr="00CA0592">
        <w:rPr>
          <w:rFonts w:cs="Times New Roman"/>
        </w:rPr>
        <w:t>ārkārtas laika apstākļi.</w:t>
      </w:r>
    </w:p>
    <w:p w:rsidRPr="00CA0592" w:rsidR="00EF3367" w:rsidP="00EF3367" w:rsidRDefault="00EF3367" w14:paraId="022FDA58" w14:textId="77777777">
      <w:pPr>
        <w:spacing w:before="60" w:after="60"/>
        <w:rPr>
          <w:rFonts w:cs="Times New Roman"/>
        </w:rPr>
      </w:pPr>
      <w:r w:rsidRPr="00CA0592">
        <w:rPr>
          <w:rFonts w:cs="Times New Roman"/>
        </w:rPr>
        <w:t xml:space="preserve">Regula Nr.886/2013 nosaka kādam ir jābūt informācijas saturam, kuru sniedz par notikumiem vai apstākļiem, kas saistīti ar ceļu satiksmes drošību, kā arī nosaka, ka publiskā un/vai privātā sektora ceļu pārvaldītāji un/vai pakalpojumu sniedzējiem ir jākoplieto un jāapmainās ar ceļu drošību saistītus datus. Šajā nolūkā tie dara šos datus pieejamus DATEX II (CEN/TS 16157) formātā vai jebkādā mašīnlasāmā formātā, kas ir pilnībā savietojams un </w:t>
      </w:r>
      <w:proofErr w:type="spellStart"/>
      <w:r w:rsidRPr="00CA0592">
        <w:rPr>
          <w:rFonts w:cs="Times New Roman"/>
        </w:rPr>
        <w:t>sadarbspējīgs</w:t>
      </w:r>
      <w:proofErr w:type="spellEnd"/>
      <w:r w:rsidRPr="00CA0592">
        <w:rPr>
          <w:rFonts w:cs="Times New Roman"/>
        </w:rPr>
        <w:t xml:space="preserve"> ar DATEX II, izmantojot piekļuves punktu.</w:t>
      </w:r>
    </w:p>
    <w:p w:rsidRPr="00CA0592" w:rsidR="00EF3367" w:rsidP="00EF3367" w:rsidRDefault="00EF3367" w14:paraId="00D8251C" w14:textId="18B713B3">
      <w:pPr>
        <w:spacing w:before="60" w:after="60"/>
      </w:pPr>
      <w:r w:rsidRPr="00CA0592">
        <w:t>Regula Nr.886/2013 stājās spēkā 2013. gada 8. oktobrī. To piemēro no 2013. gada 1. oktobra. Tomēr attiecībā uz šīs regulas spēkā stāšanās dienā jau ieviesto informācijas pakalpojumu to piemēro no 2015. gada 1. oktobra.</w:t>
      </w:r>
    </w:p>
    <w:p w:rsidRPr="00CA0592" w:rsidR="00EF3367" w:rsidP="00EF3367" w:rsidRDefault="00EF3367" w14:paraId="7D05F962" w14:textId="77777777">
      <w:pPr>
        <w:pStyle w:val="Heading3"/>
      </w:pPr>
      <w:bookmarkStart w:name="_Toc41576567" w:id="27"/>
      <w:r w:rsidRPr="00CA0592">
        <w:t>Regula Nr.2015/962</w:t>
      </w:r>
      <w:bookmarkEnd w:id="27"/>
    </w:p>
    <w:p w:rsidRPr="00CA0592" w:rsidR="00EF3367" w:rsidP="00EF3367" w:rsidRDefault="00EF3367" w14:paraId="41B8C99C" w14:textId="77777777">
      <w:pPr>
        <w:spacing w:before="60" w:after="60"/>
        <w:rPr>
          <w:rFonts w:cs="Times New Roman"/>
        </w:rPr>
      </w:pPr>
      <w:r w:rsidRPr="00CA0592">
        <w:rPr>
          <w:rFonts w:cs="Times New Roman"/>
        </w:rPr>
        <w:t xml:space="preserve">Regulā Nr.2015/962 noteiktas specifikācijas, kas vajadzīgas, lai nodrošinātu autoceļu un satiksmes datu pieejamību, apmaiņu, atkārtotu izmantošanu un atjaunināšanu, ko par autoceļiem atbildīgās iestādes, autoceļu </w:t>
      </w:r>
      <w:proofErr w:type="spellStart"/>
      <w:r w:rsidRPr="00CA0592">
        <w:rPr>
          <w:rFonts w:cs="Times New Roman"/>
        </w:rPr>
        <w:t>apsaimniekotāji</w:t>
      </w:r>
      <w:proofErr w:type="spellEnd"/>
      <w:r w:rsidRPr="00CA0592">
        <w:rPr>
          <w:rFonts w:cs="Times New Roman"/>
        </w:rPr>
        <w:t xml:space="preserve"> un pakalpojumu sniedzēji veic, lai visā ES nodrošinātu reāllaika satiksmes informācijas pakalpojumus. Tā attiecas uz Eiropas autoceļu visaptverošo tīklu, kā arī uz šajā tīklā neiekļautajām automaģistrālēm un valstu iestāžu noteiktajām prioritārajām zonām, ja valstu iestādes to uzskata par vajadzīgu.</w:t>
      </w:r>
    </w:p>
    <w:p w:rsidRPr="00CA0592" w:rsidR="00EF3367" w:rsidP="00EF3367" w:rsidRDefault="00EF3367" w14:paraId="691B40B5" w14:textId="77777777">
      <w:pPr>
        <w:spacing w:before="60" w:after="60"/>
        <w:rPr>
          <w:rFonts w:cs="Times New Roman"/>
        </w:rPr>
      </w:pPr>
      <w:r w:rsidRPr="00CA0592">
        <w:rPr>
          <w:rFonts w:cs="Times New Roman"/>
        </w:rPr>
        <w:t xml:space="preserve">Saskaņā ar Regulu Nr.2015/962 katra dalībvalsts izveido valsts piekļuves punktu. Valsts piekļuves punkts ir vienots punkts, kas lietotājiem ļauj piekļūt autoceļu un satiksmes datiem, tostarp atjauninātajiem datiem, kurus nodrošina par autoceļiem atbildīgās iestādes, autoceļu </w:t>
      </w:r>
      <w:proofErr w:type="spellStart"/>
      <w:r w:rsidRPr="00CA0592">
        <w:rPr>
          <w:rFonts w:cs="Times New Roman"/>
        </w:rPr>
        <w:t>apsaimniekotāji</w:t>
      </w:r>
      <w:proofErr w:type="spellEnd"/>
      <w:r w:rsidRPr="00CA0592">
        <w:rPr>
          <w:rFonts w:cs="Times New Roman"/>
        </w:rPr>
        <w:t xml:space="preserve"> un pakalpojumu sniedzēji un kuri attiecas uz konkrētas dalībvalsts teritoriju.</w:t>
      </w:r>
      <w:r w:rsidRPr="00CA0592">
        <w:rPr>
          <w:rStyle w:val="FootnoteReference"/>
          <w:rFonts w:cs="Times New Roman"/>
        </w:rPr>
        <w:footnoteReference w:id="9"/>
      </w:r>
    </w:p>
    <w:p w:rsidRPr="00CA0592" w:rsidR="00EF3367" w:rsidP="00EF3367" w:rsidRDefault="00EF3367" w14:paraId="558E5431" w14:textId="77777777">
      <w:pPr>
        <w:spacing w:before="60" w:after="60"/>
        <w:rPr>
          <w:rFonts w:cs="Times New Roman"/>
        </w:rPr>
      </w:pPr>
      <w:r w:rsidRPr="00CA0592">
        <w:rPr>
          <w:rFonts w:cs="Times New Roman"/>
        </w:rPr>
        <w:t xml:space="preserve">Regula Nr.2015/962 noteic, ka, lai veicinātu savietojamu, </w:t>
      </w:r>
      <w:proofErr w:type="spellStart"/>
      <w:r w:rsidRPr="00CA0592">
        <w:rPr>
          <w:rFonts w:cs="Times New Roman"/>
        </w:rPr>
        <w:t>sadarbspējīgu</w:t>
      </w:r>
      <w:proofErr w:type="spellEnd"/>
      <w:r w:rsidRPr="00CA0592">
        <w:rPr>
          <w:rFonts w:cs="Times New Roman"/>
        </w:rPr>
        <w:t xml:space="preserve"> un nepārtrauktu reāllaika satiksmes informācijas pakalpojumu sniegšanu visā ES, par autoceļiem atbildīgās iestādes un autoceļu </w:t>
      </w:r>
      <w:proofErr w:type="spellStart"/>
      <w:r w:rsidRPr="00CA0592">
        <w:rPr>
          <w:rFonts w:cs="Times New Roman"/>
        </w:rPr>
        <w:t>apsaimniekotāji</w:t>
      </w:r>
      <w:proofErr w:type="spellEnd"/>
      <w:r w:rsidRPr="00CA0592">
        <w:rPr>
          <w:rFonts w:cs="Times New Roman"/>
        </w:rPr>
        <w:t xml:space="preserve"> statiskos datus par autoceļiem, kurus tie savāc un atjaunina saskaņā ar Regulu Nr.2015/962, sniedz standartizētā formātā, ja tāds ir pieejams, vai jebkādā citā mašīnlasāmā formātā, </w:t>
      </w:r>
      <w:r w:rsidRPr="00CA0592">
        <w:rPr>
          <w:rFonts w:cs="Times New Roman"/>
        </w:rPr>
        <w:lastRenderedPageBreak/>
        <w:t xml:space="preserve">savukārt dinamiskos datus par autoceļu stāvokli un satiksmes datus, kurus tie savāc saskaņā ar Regulu Nr.2015/962, sniedz DATEX II (CEN/TS 16157 un turpmākās atjauninātās redakcijas) formātā vai jebkādā citā mašīnlasāmā formātā, kas pilnībā savietojams un </w:t>
      </w:r>
      <w:proofErr w:type="spellStart"/>
      <w:r w:rsidRPr="00CA0592">
        <w:rPr>
          <w:rFonts w:cs="Times New Roman"/>
        </w:rPr>
        <w:t>sadarbspējīgs</w:t>
      </w:r>
      <w:proofErr w:type="spellEnd"/>
      <w:r w:rsidRPr="00CA0592">
        <w:rPr>
          <w:rFonts w:cs="Times New Roman"/>
        </w:rPr>
        <w:t xml:space="preserve"> ar DATEX II.</w:t>
      </w:r>
    </w:p>
    <w:p w:rsidRPr="00CA0592" w:rsidR="00EF3367" w:rsidP="00EF3367" w:rsidRDefault="00EF3367" w14:paraId="5040BFFB" w14:textId="77777777">
      <w:pPr>
        <w:spacing w:before="60" w:after="60"/>
        <w:rPr>
          <w:rFonts w:cs="Times New Roman"/>
        </w:rPr>
      </w:pPr>
      <w:r w:rsidRPr="00CA0592">
        <w:t>Regula Nr.2015/962 stājās spēkā 2015. gada 13. jūlijā. To piemēro no 2017. gada 13. jūlija.</w:t>
      </w:r>
    </w:p>
    <w:p w:rsidRPr="00CA0592" w:rsidR="00EF3367" w:rsidP="00EF3367" w:rsidRDefault="00EF3367" w14:paraId="427B839B" w14:textId="7A5B2E55">
      <w:pPr>
        <w:pStyle w:val="Heading3"/>
      </w:pPr>
      <w:bookmarkStart w:name="_Toc41576568" w:id="28"/>
      <w:r w:rsidRPr="00CA0592">
        <w:t>Regula Nr.2017/1926</w:t>
      </w:r>
      <w:bookmarkEnd w:id="28"/>
    </w:p>
    <w:p w:rsidRPr="00CA0592" w:rsidR="00EF3367" w:rsidP="00EF3367" w:rsidRDefault="00EF3367" w14:paraId="7ABCB618" w14:textId="77777777">
      <w:pPr>
        <w:rPr>
          <w:rFonts w:cs="Times New Roman"/>
        </w:rPr>
      </w:pPr>
      <w:r w:rsidRPr="00CA0592">
        <w:rPr>
          <w:rFonts w:cs="Times New Roman"/>
        </w:rPr>
        <w:t>Regula Nr.2017/1926 nosaka specifikācijas, kas nepieciešamas, lai nodrošinātu to, ka ES mēroga multimodāli maršruta informācijas pakalpojumi ir precīzi un ITS lietotājiem pieejami pāri robežām. Šo regulu piemēro visam ES transporta tīklam.</w:t>
      </w:r>
    </w:p>
    <w:p w:rsidRPr="00CA0592" w:rsidR="00EF3367" w:rsidP="00EF3367" w:rsidRDefault="00EF3367" w14:paraId="34A2C23C" w14:textId="77777777">
      <w:pPr>
        <w:rPr>
          <w:rFonts w:cs="Times New Roman"/>
        </w:rPr>
      </w:pPr>
      <w:r w:rsidRPr="00CA0592">
        <w:rPr>
          <w:rFonts w:cs="Times New Roman"/>
        </w:rPr>
        <w:t>Saskaņā ar Regulu Nr.2017/1926 katra dalībvalsts izveido valsts piekļuves punktu. Valsts piekļuves punkts ir vienots punkts, kas lietotājiem ļauj piekļūt vismaz šīs regulas pielikumā noteiktajiem dažādu transporta veidu statiskajiem maršruta un satiksmes datiem un vēsturiskajiem satiksmes datiem, ko sniedz transporta iestādes, pārvadātāji, infrastruktūru pārvaldītāji vai transporta pēc pieprasījuma pakalpojumu sniedzēji konkrētās dalībvalsts teritorijā.</w:t>
      </w:r>
      <w:r w:rsidRPr="00CA0592">
        <w:rPr>
          <w:rStyle w:val="FootnoteReference"/>
          <w:rFonts w:cs="Times New Roman"/>
        </w:rPr>
        <w:footnoteReference w:id="10"/>
      </w:r>
    </w:p>
    <w:p w:rsidRPr="00CA0592" w:rsidR="00EF3367" w:rsidP="00EF3367" w:rsidRDefault="00EF3367" w14:paraId="63025A07" w14:textId="77777777">
      <w:pPr>
        <w:rPr>
          <w:rFonts w:cs="Times New Roman"/>
        </w:rPr>
      </w:pPr>
      <w:r w:rsidRPr="00CA0592">
        <w:rPr>
          <w:rFonts w:cs="Times New Roman"/>
        </w:rPr>
        <w:t>Transporta iestādes, pārvadātāji, infrastruktūru pārvaldītāji vai transporta pēc pieprasījuma pakalpojumu sniedzēji sniedz Regulas Nr.2017/1926 pielikuma 1.punktā uzskaitītos dažādu transporta veidu statiskos maršruta un satiksmes datus un vēsturiskos satiksmes datus, izmantojot:</w:t>
      </w:r>
    </w:p>
    <w:p w:rsidRPr="00CA0592" w:rsidR="00EF3367" w:rsidP="00EF3367" w:rsidRDefault="00EF3367" w14:paraId="6C449D66" w14:textId="77777777">
      <w:pPr>
        <w:pStyle w:val="ListParagraph"/>
        <w:numPr>
          <w:ilvl w:val="0"/>
          <w:numId w:val="20"/>
        </w:numPr>
        <w:rPr>
          <w:rFonts w:cs="Times New Roman"/>
        </w:rPr>
      </w:pPr>
      <w:r w:rsidRPr="00CA0592">
        <w:rPr>
          <w:rFonts w:cs="Times New Roman"/>
        </w:rPr>
        <w:t>attiecībā uz autotransportu – Deleģētās regulas (ES) 2015/962 4. pantā noteiktos standartus;</w:t>
      </w:r>
    </w:p>
    <w:p w:rsidRPr="00CA0592" w:rsidR="00EF3367" w:rsidP="00EF3367" w:rsidRDefault="00EF3367" w14:paraId="1F57509C" w14:textId="77777777">
      <w:pPr>
        <w:pStyle w:val="ListParagraph"/>
        <w:numPr>
          <w:ilvl w:val="0"/>
          <w:numId w:val="20"/>
        </w:numPr>
        <w:rPr>
          <w:rFonts w:cs="Times New Roman"/>
        </w:rPr>
      </w:pPr>
      <w:r w:rsidRPr="00CA0592">
        <w:rPr>
          <w:rFonts w:cs="Times New Roman"/>
        </w:rPr>
        <w:t xml:space="preserve">attiecībā uz citiem transporta veidiem – vienu no turpmāk minētajiem standartiem un tehniskajām specifikācijām: </w:t>
      </w:r>
      <w:proofErr w:type="spellStart"/>
      <w:r w:rsidRPr="00CA0592">
        <w:rPr>
          <w:rFonts w:cs="Times New Roman"/>
        </w:rPr>
        <w:t>NeTEx</w:t>
      </w:r>
      <w:proofErr w:type="spellEnd"/>
      <w:r w:rsidRPr="00CA0592">
        <w:rPr>
          <w:rFonts w:cs="Times New Roman"/>
        </w:rPr>
        <w:t xml:space="preserve"> CEN/TS 16614 un turpmākās redakcijas, Regulā (ES) Nr. 454/2011 noteiktos tehniskos dokumentus un turpmākās redakcijas, IATA izstrādātos tehniskos dokumentus vai jebkādu mašīnlasāmu formātu, kas ir pilnībā savietojams un </w:t>
      </w:r>
      <w:proofErr w:type="spellStart"/>
      <w:r w:rsidRPr="00CA0592">
        <w:rPr>
          <w:rFonts w:cs="Times New Roman"/>
        </w:rPr>
        <w:t>sadarbspējīgs</w:t>
      </w:r>
      <w:proofErr w:type="spellEnd"/>
      <w:r w:rsidRPr="00CA0592">
        <w:rPr>
          <w:rFonts w:cs="Times New Roman"/>
        </w:rPr>
        <w:t xml:space="preserve"> ar minētajiem standartiem un tehniskajā specifikācijām;</w:t>
      </w:r>
    </w:p>
    <w:p w:rsidRPr="00CA0592" w:rsidR="00EF3367" w:rsidP="00EF3367" w:rsidRDefault="00EF3367" w14:paraId="73BC4291" w14:textId="77777777">
      <w:pPr>
        <w:pStyle w:val="ListParagraph"/>
        <w:numPr>
          <w:ilvl w:val="0"/>
          <w:numId w:val="20"/>
        </w:numPr>
        <w:rPr>
          <w:rFonts w:cs="Times New Roman"/>
        </w:rPr>
      </w:pPr>
      <w:r w:rsidRPr="00CA0592">
        <w:rPr>
          <w:rFonts w:cs="Times New Roman"/>
        </w:rPr>
        <w:t>attiecībā uz telpiskiem tīkliem – Direktīvas 2007/2/EK 7. pantā definētās prasības.</w:t>
      </w:r>
    </w:p>
    <w:p w:rsidRPr="00CA0592" w:rsidR="00EF3367" w:rsidP="00EF3367" w:rsidRDefault="00EF3367" w14:paraId="1852A2F9" w14:textId="77777777">
      <w:pPr>
        <w:spacing w:before="120"/>
        <w:contextualSpacing w:val="0"/>
        <w:rPr>
          <w:rFonts w:eastAsia="Times New Roman" w:cs="Times New Roman"/>
          <w:color w:val="000000"/>
          <w:lang w:eastAsia="lv-LV"/>
        </w:rPr>
      </w:pPr>
      <w:r w:rsidRPr="00CA0592">
        <w:rPr>
          <w:rFonts w:eastAsia="Times New Roman" w:cs="Times New Roman"/>
          <w:color w:val="000000"/>
          <w:lang w:eastAsia="lv-LV"/>
        </w:rPr>
        <w:t>Ja dalībvalstis nolemj Regulas Nr.2017/1926 pielikuma 2. punktā uzskaitītos dažādu transporta veidu dinamiskos maršruta un satiksmes datus sniegt, izmantojot valsts piekļuves punktu, transporta iestādes, pārvadātāji, infrastruktūru pārvaldītāji vai transporta pēc pieprasījuma pakalpojumu sniedzēji izmanto:</w:t>
      </w:r>
    </w:p>
    <w:p w:rsidRPr="00CA0592" w:rsidR="00EF3367" w:rsidP="00EF3367" w:rsidRDefault="00EF3367" w14:paraId="3542EC52" w14:textId="77777777">
      <w:pPr>
        <w:pStyle w:val="ListParagraph"/>
        <w:numPr>
          <w:ilvl w:val="0"/>
          <w:numId w:val="22"/>
        </w:numPr>
        <w:rPr>
          <w:rFonts w:eastAsia="Times New Roman" w:cs="Times New Roman"/>
          <w:color w:val="000000"/>
          <w:lang w:eastAsia="lv-LV"/>
        </w:rPr>
      </w:pPr>
      <w:r w:rsidRPr="00CA0592">
        <w:rPr>
          <w:rFonts w:cs="Times New Roman"/>
        </w:rPr>
        <w:t>attiecībā</w:t>
      </w:r>
      <w:r w:rsidRPr="00CA0592">
        <w:rPr>
          <w:rFonts w:eastAsia="Times New Roman" w:cs="Times New Roman"/>
          <w:color w:val="000000"/>
          <w:lang w:eastAsia="lv-LV"/>
        </w:rPr>
        <w:t xml:space="preserve"> uz autotransportu – Regulas Nr.2015/962 5. un 6. pantā noteiktos standartus;</w:t>
      </w:r>
    </w:p>
    <w:p w:rsidRPr="00CA0592" w:rsidR="00EF3367" w:rsidP="00EF3367" w:rsidRDefault="00EF3367" w14:paraId="6370D2AA" w14:textId="77777777">
      <w:pPr>
        <w:pStyle w:val="ListParagraph"/>
        <w:numPr>
          <w:ilvl w:val="0"/>
          <w:numId w:val="22"/>
        </w:numPr>
        <w:rPr>
          <w:rFonts w:eastAsia="Times New Roman" w:cs="Times New Roman"/>
          <w:color w:val="000000"/>
          <w:lang w:eastAsia="lv-LV"/>
        </w:rPr>
      </w:pPr>
      <w:r w:rsidRPr="00CA0592">
        <w:rPr>
          <w:rFonts w:eastAsia="Times New Roman" w:cs="Times New Roman"/>
          <w:color w:val="000000"/>
          <w:lang w:eastAsia="lv-LV"/>
        </w:rPr>
        <w:t xml:space="preserve">attiecībā uz citiem transporta veidiem – SIRI CEN/TS 15531 un turpmākās redakcijas, Regulā (ES) Nr. 454/2011 noteiktos tehniskos dokumentus vai jebkādu mašīnlasāmu formātu, kas ir pilnībā savietojams un </w:t>
      </w:r>
      <w:proofErr w:type="spellStart"/>
      <w:r w:rsidRPr="00CA0592">
        <w:rPr>
          <w:rFonts w:eastAsia="Times New Roman" w:cs="Times New Roman"/>
          <w:color w:val="000000"/>
          <w:lang w:eastAsia="lv-LV"/>
        </w:rPr>
        <w:t>sadarbspējīgs</w:t>
      </w:r>
      <w:proofErr w:type="spellEnd"/>
      <w:r w:rsidRPr="00CA0592">
        <w:rPr>
          <w:rFonts w:eastAsia="Times New Roman" w:cs="Times New Roman"/>
          <w:color w:val="000000"/>
          <w:lang w:eastAsia="lv-LV"/>
        </w:rPr>
        <w:t xml:space="preserve"> ar minētajiem standartiem un tehniskajiem dokumentiem.</w:t>
      </w:r>
    </w:p>
    <w:p w:rsidRPr="00CA0592" w:rsidR="00EF3367" w:rsidP="00EF3367" w:rsidRDefault="00EF3367" w14:paraId="7A4EAB88" w14:textId="77777777">
      <w:pPr>
        <w:rPr>
          <w:rFonts w:cs="Times New Roman"/>
        </w:rPr>
      </w:pPr>
      <w:r w:rsidRPr="00CA0592">
        <w:rPr>
          <w:rFonts w:cs="Times New Roman"/>
        </w:rPr>
        <w:t>Regula Nr.2017/1926 noteic, ka API</w:t>
      </w:r>
      <w:r w:rsidRPr="00CA0592">
        <w:rPr>
          <w:rStyle w:val="FootnoteReference"/>
          <w:rFonts w:cs="Times New Roman"/>
        </w:rPr>
        <w:footnoteReference w:id="11"/>
      </w:r>
      <w:r w:rsidRPr="00CA0592">
        <w:rPr>
          <w:rFonts w:cs="Times New Roman"/>
        </w:rPr>
        <w:t xml:space="preserve">, kas piekļuvi šis regulas pielikumā uzskaitītajiem statiskajiem maršruta un satiksmes datiem un </w:t>
      </w:r>
      <w:r w:rsidRPr="00CA0592">
        <w:rPr>
          <w:rFonts w:cs="Times New Roman"/>
          <w:color w:val="000000"/>
          <w:shd w:val="clear" w:color="auto" w:fill="FFFFFF"/>
        </w:rPr>
        <w:t>dinamiskajiem maršruta un satiksmes datiem</w:t>
      </w:r>
      <w:r w:rsidRPr="00CA0592">
        <w:rPr>
          <w:rFonts w:cs="Times New Roman"/>
        </w:rPr>
        <w:t xml:space="preserve"> nodrošina, izmantojot valsts piekļuves punktu, ir publiski pieejamas, ļaujot lietotājiem un galalietotājiem reģistrēties, lai iegūtu piekļuvi.</w:t>
      </w:r>
    </w:p>
    <w:p w:rsidRPr="00CA0592" w:rsidR="00EF3367" w:rsidP="00EF3367" w:rsidRDefault="00EF3367" w14:paraId="37177033" w14:textId="13A3B49B">
      <w:r w:rsidRPr="00CA0592">
        <w:lastRenderedPageBreak/>
        <w:t>Regula Nr.2017/1926 stājās spēkā 2017. gada 10. novembrī.</w:t>
      </w:r>
    </w:p>
    <w:p w:rsidRPr="00CA0592" w:rsidR="00EF3367" w:rsidP="00EF3367" w:rsidRDefault="00EF3367" w14:paraId="0A54645F" w14:textId="05F88C3B">
      <w:pPr>
        <w:pStyle w:val="Heading3"/>
      </w:pPr>
      <w:bookmarkStart w:name="_Toc41576569" w:id="29"/>
      <w:r w:rsidRPr="00CA0592">
        <w:t>Regula Nr.305/2013</w:t>
      </w:r>
      <w:bookmarkEnd w:id="29"/>
    </w:p>
    <w:p w:rsidRPr="00CA0592" w:rsidR="00EF3367" w:rsidP="00EF3367" w:rsidRDefault="00EF3367" w14:paraId="02D770F8" w14:textId="77777777">
      <w:pPr>
        <w:spacing w:before="60" w:after="60"/>
        <w:rPr>
          <w:rFonts w:cs="Times New Roman"/>
        </w:rPr>
      </w:pPr>
      <w:r w:rsidRPr="00CA0592">
        <w:rPr>
          <w:rFonts w:cs="Times New Roman"/>
        </w:rPr>
        <w:t xml:space="preserve">Regula Nr.305/2013 nosaka specifikācijas ārkārtas izsaukumu centrāļu (ĀIC) infrastruktūras modernizēšanai, kas ir jāveic </w:t>
      </w:r>
      <w:proofErr w:type="spellStart"/>
      <w:r w:rsidRPr="00CA0592">
        <w:rPr>
          <w:rFonts w:cs="Times New Roman"/>
        </w:rPr>
        <w:t>eCall</w:t>
      </w:r>
      <w:proofErr w:type="spellEnd"/>
      <w:r w:rsidRPr="00CA0592">
        <w:rPr>
          <w:rFonts w:cs="Times New Roman"/>
        </w:rPr>
        <w:t xml:space="preserve"> izsaukumu pienācīgas saņemšanas un apstrādes nodrošināšanai, lai panāktu saskaņoti sniegta ES mēroga </w:t>
      </w:r>
      <w:proofErr w:type="spellStart"/>
      <w:r w:rsidRPr="00CA0592">
        <w:rPr>
          <w:rFonts w:cs="Times New Roman"/>
        </w:rPr>
        <w:t>eCall</w:t>
      </w:r>
      <w:proofErr w:type="spellEnd"/>
      <w:r w:rsidRPr="00CA0592">
        <w:rPr>
          <w:rFonts w:cs="Times New Roman"/>
        </w:rPr>
        <w:t xml:space="preserve"> pakalpojuma savietojamību, </w:t>
      </w:r>
      <w:proofErr w:type="spellStart"/>
      <w:r w:rsidRPr="00CA0592">
        <w:rPr>
          <w:rFonts w:cs="Times New Roman"/>
        </w:rPr>
        <w:t>sadarbspēju</w:t>
      </w:r>
      <w:proofErr w:type="spellEnd"/>
      <w:r w:rsidRPr="00CA0592">
        <w:rPr>
          <w:rFonts w:cs="Times New Roman"/>
        </w:rPr>
        <w:t xml:space="preserve"> un nepārtrauktību.</w:t>
      </w:r>
    </w:p>
    <w:p w:rsidRPr="00CA0592" w:rsidR="00EF3367" w:rsidP="00EF3367" w:rsidRDefault="00EF3367" w14:paraId="1E159BBC" w14:textId="77777777">
      <w:pPr>
        <w:spacing w:before="60" w:after="60"/>
        <w:rPr>
          <w:rFonts w:cs="Times New Roman"/>
        </w:rPr>
      </w:pPr>
      <w:r w:rsidRPr="00CA0592">
        <w:t>Regula Nr.305/2013 stājās spēkā 2013. gada 23. aprīlī. To piemēro infrastruktūrām, ko ievieš pēc šīs regulas stāšanās spēkā dienas. Sākot ar 2014. gada 23. aprīli, to piemēro infrastruktūrām, kas šīs regulas stāšanās spēkā dienā jau bija ieviestas.</w:t>
      </w:r>
    </w:p>
    <w:p w:rsidRPr="00CA0592" w:rsidR="00EF3367" w:rsidP="00EF3367" w:rsidRDefault="00EF3367" w14:paraId="2B286D48" w14:textId="3997A575">
      <w:pPr>
        <w:pStyle w:val="Heading2"/>
      </w:pPr>
      <w:bookmarkStart w:name="_Toc41576570" w:id="30"/>
      <w:r w:rsidRPr="00CA0592">
        <w:t>5G attīstība</w:t>
      </w:r>
      <w:bookmarkEnd w:id="30"/>
    </w:p>
    <w:p w:rsidRPr="00CA0592" w:rsidR="00EF3367" w:rsidP="00EF3367" w:rsidRDefault="00EF3367" w14:paraId="40DBC53B" w14:textId="77777777">
      <w:pPr>
        <w:spacing w:before="60" w:after="60"/>
        <w:rPr>
          <w:rFonts w:cs="Times New Roman"/>
        </w:rPr>
      </w:pPr>
      <w:r w:rsidRPr="00CA0592">
        <w:rPr>
          <w:rFonts w:cs="Times New Roman"/>
        </w:rPr>
        <w:t>EK 2016. gada 14. septembrī publicēja paziņojumu “Konkurētspējīga digitālā vienotā tirgus savienojamība. Virzība uz Eiropas Gigabitu sabiedrību”</w:t>
      </w:r>
      <w:r w:rsidRPr="00CA0592">
        <w:rPr>
          <w:rFonts w:cs="Times New Roman"/>
        </w:rPr>
        <w:footnoteReference w:id="12"/>
      </w:r>
      <w:r w:rsidRPr="00CA0592">
        <w:rPr>
          <w:rFonts w:cs="Times New Roman"/>
        </w:rPr>
        <w:t>, kurā ir izklāstīti trīs stratēģiskie mērķi attiecībā uz elektronisko sakaru tīklu izvēršanu līdz 2025. gadam. To nolūks ir veidot gigabitu sabiedrību, kas balstīta uz ļoti augstas veiktspējas elektronisko sakaru tīkliem, nodrošinot digitālā vienotā tirgus priekšrocības ES. Viens no šiem stratēģiskajiem mērķiem ir nepārtraukts 5G pārklājums lielākajās pilsētās</w:t>
      </w:r>
      <w:r w:rsidRPr="00CA0592">
        <w:rPr>
          <w:rFonts w:cs="Times New Roman"/>
        </w:rPr>
        <w:footnoteReference w:id="13"/>
      </w:r>
      <w:r w:rsidRPr="00CA0592">
        <w:rPr>
          <w:rFonts w:cs="Times New Roman"/>
        </w:rPr>
        <w:t>, kā arī visās TEN-T tīkla sauszemes transporta maģistrālēs, iekļaujot Latvijas ostu un lidostu mezglpunktus</w:t>
      </w:r>
      <w:r w:rsidRPr="00CA0592">
        <w:rPr>
          <w:rFonts w:cs="Times New Roman"/>
        </w:rPr>
        <w:footnoteReference w:id="14"/>
      </w:r>
      <w:r w:rsidRPr="00CA0592">
        <w:rPr>
          <w:rFonts w:cs="Times New Roman"/>
        </w:rPr>
        <w:t>.</w:t>
      </w:r>
    </w:p>
    <w:p w:rsidRPr="00CA0592" w:rsidR="00EF3367" w:rsidP="00EF3367" w:rsidRDefault="00EF3367" w14:paraId="4A2A529B" w14:textId="77777777">
      <w:pPr>
        <w:spacing w:before="60" w:after="60"/>
        <w:rPr>
          <w:rFonts w:cs="Times New Roman"/>
        </w:rPr>
      </w:pPr>
      <w:r w:rsidRPr="00CA0592">
        <w:rPr>
          <w:rFonts w:cs="Times New Roman"/>
        </w:rPr>
        <w:t>ES dalībvalstu apņemšanās īstenot 5G mērķus apliecināta 2017.gada 19.oktobra Eiropadomes secinājumos un par elektronisko sakaru nozari atbildīgo ministru deklarācijā</w:t>
      </w:r>
      <w:r w:rsidRPr="00CA0592">
        <w:rPr>
          <w:rFonts w:cs="Times New Roman"/>
        </w:rPr>
        <w:footnoteReference w:id="15"/>
      </w:r>
      <w:r w:rsidRPr="00CA0592">
        <w:rPr>
          <w:rFonts w:cs="Times New Roman"/>
        </w:rPr>
        <w:t xml:space="preserve"> par 5G publisko mobilo elektronisko sakaru tīkla attīstības veicināšanu. Ņemot vērā prognozējamo pieaugošo datu apjomu, kas tiks pārraidīts elektronisko sakaru tīklos, un attīstoties dažādiem digitālajiem risinājumiem, transporta nozares </w:t>
      </w:r>
      <w:proofErr w:type="spellStart"/>
      <w:r w:rsidRPr="00CA0592">
        <w:rPr>
          <w:rFonts w:cs="Times New Roman"/>
        </w:rPr>
        <w:t>digitalizācijas</w:t>
      </w:r>
      <w:proofErr w:type="spellEnd"/>
      <w:r w:rsidRPr="00CA0592">
        <w:rPr>
          <w:rFonts w:cs="Times New Roman"/>
        </w:rPr>
        <w:t xml:space="preserve"> tendence, tostarp arī ITS pakalpojumu attīstība, korelē ar 5G publisko mobilo elektronisko sakaru tīklu attīstību.</w:t>
      </w:r>
    </w:p>
    <w:p w:rsidRPr="00CA0592" w:rsidR="00EF3367" w:rsidP="00EF3367" w:rsidRDefault="00EF3367" w14:paraId="54AFECE8" w14:textId="77777777">
      <w:pPr>
        <w:spacing w:before="60" w:after="60"/>
      </w:pPr>
      <w:r w:rsidRPr="00CA0592">
        <w:rPr>
          <w:color w:val="000000"/>
        </w:rPr>
        <w:t xml:space="preserve">2018. gada septembrī Baltijas valstu transporta ministri parakstīja Saprašanās memorandu par savienotās un automatizētās braukšanas un 5G tehnoloģiju attīstību </w:t>
      </w:r>
      <w:proofErr w:type="spellStart"/>
      <w:r w:rsidRPr="00CA0592">
        <w:rPr>
          <w:color w:val="000000"/>
        </w:rPr>
        <w:t>Via</w:t>
      </w:r>
      <w:proofErr w:type="spellEnd"/>
      <w:r w:rsidRPr="00CA0592">
        <w:rPr>
          <w:color w:val="000000"/>
        </w:rPr>
        <w:t xml:space="preserve"> </w:t>
      </w:r>
      <w:proofErr w:type="spellStart"/>
      <w:r w:rsidRPr="00CA0592">
        <w:rPr>
          <w:color w:val="000000"/>
        </w:rPr>
        <w:t>Baltica</w:t>
      </w:r>
      <w:proofErr w:type="spellEnd"/>
      <w:r w:rsidRPr="00CA0592">
        <w:rPr>
          <w:color w:val="000000"/>
        </w:rPr>
        <w:t xml:space="preserve">  koridorā. Šī memoranda mērķis ir veicināt savienotu automatizētu braukšanu un atbalstīt ilgtspējīgu mobilitāti, uzlabot satiksmes drošību un veicināt inovācijas. Vienlaikus, noslēgtais memorands veicina iespēju piesaistīt ES finansējumu ITS un 5G izvēršanai </w:t>
      </w:r>
      <w:proofErr w:type="spellStart"/>
      <w:r w:rsidRPr="00CA0592">
        <w:rPr>
          <w:color w:val="000000"/>
        </w:rPr>
        <w:t>Via</w:t>
      </w:r>
      <w:proofErr w:type="spellEnd"/>
      <w:r w:rsidRPr="00CA0592">
        <w:rPr>
          <w:color w:val="000000"/>
        </w:rPr>
        <w:t xml:space="preserve"> </w:t>
      </w:r>
      <w:proofErr w:type="spellStart"/>
      <w:r w:rsidRPr="00CA0592">
        <w:rPr>
          <w:color w:val="000000"/>
        </w:rPr>
        <w:t>Baltica</w:t>
      </w:r>
      <w:proofErr w:type="spellEnd"/>
      <w:r w:rsidRPr="00CA0592">
        <w:rPr>
          <w:color w:val="000000"/>
        </w:rPr>
        <w:t xml:space="preserve"> koridorā, lai uzlabotu savienoto un automatizēto transportlīdzekļu izmantošanu, kā arī lai savienotu Baltijas valstis ar citiem būtiskiem Eiro</w:t>
      </w:r>
      <w:bookmarkStart w:name="_Toc510614394" w:id="31"/>
      <w:r w:rsidRPr="00CA0592">
        <w:rPr>
          <w:color w:val="000000"/>
        </w:rPr>
        <w:t xml:space="preserve">pas transporta koridoriem. Svarīgs apņemšanās elements ir nodrošināt tieši pārrobežu sadarbību, lai izveidotās sistēmas darbotos bez ierobežojumiem gan pierobežu rajonos, gan visā transporta koridora garumā. Transportlīdzekļi izmantos 5G publisko mobilo elektronisko sakaru tīklus datu pārraidei savstarpēji un saziņai ar apkārtējo infrastruktūru, kā arī datu savākšanai no dažāda veida infrastruktūras sensoriem turpmākai apstrādei. Tādēļ 5G priekšrocības (piemēram, maza signāla aizture, daudzu ierīču vienlaicīga atrašanās tīklā, drošs un nepārtraukts datu pārraides savienojums) ir svarīgs priekšnosacījums </w:t>
      </w:r>
      <w:r w:rsidRPr="00CA0592">
        <w:t xml:space="preserve">ITS sekmīgai darbībai. </w:t>
      </w:r>
    </w:p>
    <w:p w:rsidRPr="00CA0592" w:rsidR="00EF3367" w:rsidP="00EF3367" w:rsidRDefault="00EF3367" w14:paraId="7C206FFF" w14:textId="77777777">
      <w:pPr>
        <w:spacing w:before="60" w:after="60"/>
      </w:pPr>
      <w:r w:rsidRPr="00CA0592">
        <w:lastRenderedPageBreak/>
        <w:t xml:space="preserve">Priekšnosacījums 5G izvēršanai gar ceļiem un arī ITS darbībai ir optiskās šķiedras kabeļiem paredzētas kabeļu kanalizācijas un elektroapgādes infrastruktūras esamība gar ceļiem. Papildus elektronisko sakaru kabeļu kanalizācijas izveidei jāparedz arī vieta mobilo elektronisko sakaru tīklu bāzes stacijām, kuru biežums ir atkarīgs no izmantojamās frekvences un vides. Sākotnēji 5G ieviešana gar ceļiem tiek plānota, izmantojot zemāku frekvenci (piemēram, 700 </w:t>
      </w:r>
      <w:proofErr w:type="spellStart"/>
      <w:r w:rsidRPr="00CA0592">
        <w:t>MHz</w:t>
      </w:r>
      <w:proofErr w:type="spellEnd"/>
      <w:r w:rsidRPr="00CA0592">
        <w:t xml:space="preserve"> radiofrekvenču spektra joslu), kas ārpus pilsētām sniedz priekšrocības pārklājuma nodrošināšanā. Vēlāk, pieaugot pārraidāmo datu apjomiem, tiks izmantota 3,5 GHz radiofrekvenču spektra josla, kas prasīs blīvāku mobilo elektronisko sakaru tīklu bāzes staciju izvietojumu - pilsētās uz ielām aptuveni ik pa 350 m, ārpus pilsētām uz ceļiem aptuveni ik pa 500 m.</w:t>
      </w:r>
    </w:p>
    <w:p w:rsidRPr="00CA0592" w:rsidR="00EF3367" w:rsidP="00EF3367" w:rsidRDefault="00EF3367" w14:paraId="0375832D" w14:textId="77777777">
      <w:pPr>
        <w:spacing w:before="60" w:after="60"/>
      </w:pPr>
      <w:r w:rsidRPr="00CA0592">
        <w:t xml:space="preserve">ITS darbībai iespējams izmantot 5G </w:t>
      </w:r>
      <w:proofErr w:type="spellStart"/>
      <w:r w:rsidRPr="00CA0592">
        <w:rPr>
          <w:i/>
          <w:iCs/>
        </w:rPr>
        <w:t>slicing</w:t>
      </w:r>
      <w:proofErr w:type="spellEnd"/>
      <w:r w:rsidRPr="00CA0592">
        <w:rPr>
          <w:rStyle w:val="FootnoteReference"/>
          <w:i/>
          <w:iCs/>
        </w:rPr>
        <w:footnoteReference w:id="16"/>
      </w:r>
      <w:r w:rsidRPr="00CA0592">
        <w:t xml:space="preserve"> tehnoloģiju, lai nodrošinātu augstu tīkla pieejamību un citus īpaši pielāgotus parametrus ITS  un CAM (</w:t>
      </w:r>
      <w:proofErr w:type="spellStart"/>
      <w:r w:rsidRPr="00CA0592">
        <w:rPr>
          <w:i/>
        </w:rPr>
        <w:t>connected</w:t>
      </w:r>
      <w:proofErr w:type="spellEnd"/>
      <w:r w:rsidRPr="00CA0592">
        <w:rPr>
          <w:i/>
        </w:rPr>
        <w:t xml:space="preserve"> </w:t>
      </w:r>
      <w:proofErr w:type="spellStart"/>
      <w:r w:rsidRPr="00CA0592">
        <w:rPr>
          <w:i/>
        </w:rPr>
        <w:t>autonomous</w:t>
      </w:r>
      <w:proofErr w:type="spellEnd"/>
      <w:r w:rsidRPr="00CA0592">
        <w:rPr>
          <w:i/>
        </w:rPr>
        <w:t xml:space="preserve"> </w:t>
      </w:r>
      <w:proofErr w:type="spellStart"/>
      <w:r w:rsidRPr="00CA0592">
        <w:rPr>
          <w:i/>
        </w:rPr>
        <w:t>mobility</w:t>
      </w:r>
      <w:proofErr w:type="spellEnd"/>
      <w:r w:rsidRPr="00CA0592">
        <w:t>) darbībai transporta koridoros. Tādēļ 5G sniegs principiāli jaunas iespējas ITS attīstībai.</w:t>
      </w:r>
    </w:p>
    <w:p w:rsidRPr="00CA0592" w:rsidR="00EF3367" w:rsidP="00EF3367" w:rsidRDefault="00EF3367" w14:paraId="568A5161" w14:textId="61528DB2">
      <w:pPr>
        <w:pStyle w:val="Heading2"/>
      </w:pPr>
      <w:bookmarkStart w:name="_Toc41576571" w:id="32"/>
      <w:bookmarkEnd w:id="31"/>
      <w:r w:rsidRPr="00CA0592">
        <w:t>Situācija Latvijā</w:t>
      </w:r>
      <w:bookmarkEnd w:id="32"/>
    </w:p>
    <w:p w:rsidRPr="00CA0592" w:rsidR="00EF3367" w:rsidP="00EF3367" w:rsidRDefault="00EF3367" w14:paraId="55CD540B" w14:textId="77777777">
      <w:pPr>
        <w:spacing w:before="60" w:after="60"/>
        <w:rPr>
          <w:rFonts w:cs="Times New Roman"/>
        </w:rPr>
      </w:pPr>
      <w:r w:rsidRPr="00CA0592">
        <w:rPr>
          <w:rFonts w:cs="Times New Roman"/>
        </w:rPr>
        <w:t>Latvijā nav ITS jomu reglamentējoša politikas plānošanas dokumenta, kā arī nav specifiska ITS jomai paredzēta plānota finansējuma avota, līdz šim visas iniciatīvas īstenotas kopējā ar transporta jomu saistītā finansējuma ietvaros, kā daļa no satiksmes drošību uzlabojošiem pasākumiem. Šāda situācija apgrūtina paveikto darbu un kopējo investīciju ITS jomā novērtēšanu. Kā arī nav vērtēti kopējie projektu un/vai pamatdarbības funkciju panākumu rādītāji, lai novērtētu sniegto ITS pakalpojumu vai atbalsta funkciju kvalitāti, apjomu un atbilstību autoceļu lietotāju (vai citu ITS pakalpojumu patērētāju, piemēram, operatīvo dienestu) vajadzībām.</w:t>
      </w:r>
    </w:p>
    <w:p w:rsidRPr="00CA0592" w:rsidR="00EF3367" w:rsidP="00EF3367" w:rsidRDefault="00EF3367" w14:paraId="411E1512" w14:textId="77777777">
      <w:pPr>
        <w:spacing w:before="60" w:after="60"/>
        <w:rPr>
          <w:rFonts w:cs="Times New Roman"/>
        </w:rPr>
      </w:pPr>
      <w:r w:rsidRPr="00CA0592">
        <w:rPr>
          <w:rFonts w:cs="Times New Roman"/>
        </w:rPr>
        <w:t xml:space="preserve">Šobrīd publiskajā pārvaldē autoceļu un transporta datu pārvaldība ir decentralizēta un nav harmonizēta to efektīvas koplietošanas nodrošināšanai. Datus par satiksmi, autoceļiem un to izmaiņām uztur vairākas publiskās pārvaldes iestādes, taču nav skaidri definētas to savstarpējās atbildības datu izmaiņu uzturēšanai un apziņošanai, kā arī nav vienotu reglamentētu standartu ar transportu saistītu datu klasifikācijā un apmaiņā starp dažādām publiskās pārvaldes iestādēm (datu apmaiņas kārtību nosaka divpusēji līgumi individuāli katrā gadījumā). Standartizācijas trūkums palielina jaunu ITS pakalpojumu izveides izmaksas un sarežģītību, kā arī rada potenciālu vairāku avotu datu </w:t>
      </w:r>
      <w:proofErr w:type="spellStart"/>
      <w:r w:rsidRPr="00CA0592">
        <w:rPr>
          <w:rFonts w:cs="Times New Roman"/>
        </w:rPr>
        <w:t>nesavietojamību</w:t>
      </w:r>
      <w:proofErr w:type="spellEnd"/>
      <w:r w:rsidRPr="00CA0592">
        <w:rPr>
          <w:rFonts w:cs="Times New Roman"/>
        </w:rPr>
        <w:t xml:space="preserve"> un samazina to kopējās analīzes iespējas.</w:t>
      </w:r>
    </w:p>
    <w:p w:rsidRPr="00CA0592" w:rsidR="00EF3367" w:rsidP="00EF3367" w:rsidRDefault="00EF3367" w14:paraId="3A1B1CAB" w14:textId="77777777">
      <w:pPr>
        <w:spacing w:before="60" w:after="60"/>
        <w:rPr>
          <w:rFonts w:cs="Times New Roman"/>
        </w:rPr>
      </w:pPr>
      <w:r w:rsidRPr="00CA0592">
        <w:rPr>
          <w:rFonts w:cs="Times New Roman"/>
        </w:rPr>
        <w:t xml:space="preserve">Latvijai pašreizējā situācijā pastāv iespējas izmantot kaimiņvalstu un ES vadošo dalībvalstu praksi ITS ieviešanā, izmantojot modernus un ārvalstīs praksē pārbaudītus risinājumus, tādējādi ietaupot līdzekļus, kas citādi būtu nepieciešami pakāpenisku starp-risinājumu ieviešanā. </w:t>
      </w:r>
    </w:p>
    <w:p w:rsidRPr="00CA0592" w:rsidR="00EF3367" w:rsidP="00EF3367" w:rsidRDefault="00EF3367" w14:paraId="3D27B0C0" w14:textId="77777777">
      <w:pPr>
        <w:spacing w:before="60" w:after="60"/>
        <w:ind w:firstLine="0"/>
        <w:rPr>
          <w:rFonts w:cs="Times New Roman"/>
          <w:b/>
          <w:bCs/>
        </w:rPr>
      </w:pPr>
    </w:p>
    <w:p w:rsidRPr="00CA0592" w:rsidR="00EF3367" w:rsidP="00EF3367" w:rsidRDefault="00EF3367" w14:paraId="36B48D6B" w14:textId="77777777">
      <w:pPr>
        <w:spacing w:before="60" w:after="60"/>
        <w:ind w:firstLine="0"/>
        <w:rPr>
          <w:rFonts w:cs="Times New Roman"/>
          <w:b/>
          <w:bCs/>
        </w:rPr>
      </w:pPr>
      <w:r w:rsidRPr="00CA0592">
        <w:rPr>
          <w:rFonts w:cs="Times New Roman"/>
          <w:b/>
          <w:bCs/>
        </w:rPr>
        <w:t>VAS “Latvijas Valsts ceļi” satiksmes informācijas centrs</w:t>
      </w:r>
    </w:p>
    <w:p w:rsidRPr="00CA0592" w:rsidR="00EF3367" w:rsidP="00EF3367" w:rsidRDefault="00EF3367" w14:paraId="47A20947" w14:textId="77777777">
      <w:pPr>
        <w:tabs>
          <w:tab w:val="left" w:pos="720"/>
          <w:tab w:val="center" w:pos="4320"/>
          <w:tab w:val="right" w:pos="8640"/>
        </w:tabs>
        <w:ind w:firstLine="567"/>
        <w:rPr>
          <w:rFonts w:cs="Times New Roman"/>
        </w:rPr>
      </w:pPr>
      <w:r w:rsidRPr="00CA0592">
        <w:rPr>
          <w:rFonts w:cs="Times New Roman"/>
        </w:rPr>
        <w:t xml:space="preserve">Latvijā kopš 2006. gada darbojas SIC, kas pilda diennakts informatīvā dienesta funkcijas par situāciju uz valsts autoceļiem, apkalpojot informatīvo tālruņa līniju un nodrošinot informatīvus materiālus par satiksmi publicitātei. SIC kompetence ietver: </w:t>
      </w:r>
      <w:r w:rsidRPr="00CA0592">
        <w:rPr>
          <w:rFonts w:cs="Times New Roman"/>
        </w:rPr>
        <w:lastRenderedPageBreak/>
        <w:t xml:space="preserve">sekošanu līdzi situācijai uz valsts autoceļiem, informācijas sniegšanu par situāciju uz ceļiem tā lietotājiem un pārvaldītājiem, ceļu sensoru rādījumu novērošanu, pastāvīgu sakaru uzturēšanu un datu sniegšanu valsts operatīvajiem dienestiem, meteorologiem un ceļu darbu veicējiem. SIC gatavo situācijas pārskatus par braukšanas apstākļiem un paziņojumus plašsaziņas līdzekļiem par satiksmes ierobežojumiem, traucējumiem un apdraudējumiem. SIC izmanto sociālos tīklus </w:t>
      </w:r>
      <w:proofErr w:type="spellStart"/>
      <w:r w:rsidRPr="00CA0592">
        <w:rPr>
          <w:rFonts w:cs="Times New Roman"/>
          <w:i/>
        </w:rPr>
        <w:t>twitter</w:t>
      </w:r>
      <w:proofErr w:type="spellEnd"/>
      <w:r w:rsidRPr="00CA0592">
        <w:rPr>
          <w:rFonts w:cs="Times New Roman"/>
          <w:i/>
        </w:rPr>
        <w:t xml:space="preserve"> </w:t>
      </w:r>
      <w:r w:rsidRPr="00CA0592">
        <w:rPr>
          <w:rFonts w:cs="Times New Roman"/>
        </w:rPr>
        <w:t xml:space="preserve">un </w:t>
      </w:r>
      <w:proofErr w:type="spellStart"/>
      <w:r w:rsidRPr="00CA0592">
        <w:rPr>
          <w:rFonts w:cs="Times New Roman"/>
          <w:i/>
        </w:rPr>
        <w:t>facebook</w:t>
      </w:r>
      <w:proofErr w:type="spellEnd"/>
      <w:r w:rsidRPr="00CA0592">
        <w:rPr>
          <w:rFonts w:cs="Times New Roman"/>
        </w:rPr>
        <w:t>, ievietojot aktuālo informāciju par satiksmi un interaktīvi sniedzot informāciju par satiksmi tās dalībniekiem.</w:t>
      </w:r>
    </w:p>
    <w:p w:rsidRPr="00CA0592" w:rsidR="00EF3367" w:rsidP="00EF3367" w:rsidRDefault="00EF3367" w14:paraId="2E4AC69B" w14:textId="77777777">
      <w:pPr>
        <w:tabs>
          <w:tab w:val="left" w:pos="720"/>
          <w:tab w:val="center" w:pos="4320"/>
          <w:tab w:val="right" w:pos="8640"/>
        </w:tabs>
        <w:ind w:firstLine="567"/>
        <w:rPr>
          <w:rFonts w:cs="Times New Roman"/>
        </w:rPr>
      </w:pPr>
      <w:r w:rsidRPr="00CA0592">
        <w:rPr>
          <w:rFonts w:cs="Times New Roman"/>
        </w:rPr>
        <w:t xml:space="preserve">Ņemot vērā, ka sociālās navigācijas un reāllaika satiksmes informācijas lietotni </w:t>
      </w:r>
      <w:proofErr w:type="spellStart"/>
      <w:r w:rsidRPr="00CA0592">
        <w:rPr>
          <w:rFonts w:cs="Times New Roman"/>
          <w:i/>
        </w:rPr>
        <w:t>Waze</w:t>
      </w:r>
      <w:proofErr w:type="spellEnd"/>
      <w:r w:rsidRPr="00CA0592">
        <w:rPr>
          <w:rFonts w:cs="Times New Roman"/>
          <w:i/>
        </w:rPr>
        <w:t xml:space="preserve"> </w:t>
      </w:r>
      <w:r w:rsidRPr="00CA0592">
        <w:rPr>
          <w:rFonts w:cs="Times New Roman"/>
        </w:rPr>
        <w:t xml:space="preserve">regulāri izmanto aptuveni viena piektā daļa no Latvijas aktīvajiem autovadītājiem, kopš 2014.gada rudens LVC ir uzsākusi sadarbību ar lietotni </w:t>
      </w:r>
      <w:proofErr w:type="spellStart"/>
      <w:r w:rsidRPr="00CA0592">
        <w:rPr>
          <w:rFonts w:cs="Times New Roman"/>
          <w:i/>
        </w:rPr>
        <w:t>Waze</w:t>
      </w:r>
      <w:proofErr w:type="spellEnd"/>
      <w:r w:rsidRPr="00CA0592">
        <w:rPr>
          <w:rFonts w:cs="Times New Roman"/>
        </w:rPr>
        <w:t xml:space="preserve">. LVC sniedz lietotnei informāciju par braukšanas apstākļiem uz valsts galvenajiem autoceļiem, informāciju par būvdarbiem, sporta pasākumiem, plūdiem un jebkādiem citiem gadījumiem, kas var izraisīt kavēšanos, un palīdzēt plānot autobraucēju maršrutu. LVC, veicinot satiksmes drošību, izmanto lietotni </w:t>
      </w:r>
      <w:proofErr w:type="spellStart"/>
      <w:r w:rsidRPr="00CA0592">
        <w:rPr>
          <w:rFonts w:cs="Times New Roman"/>
          <w:i/>
        </w:rPr>
        <w:t>Waze</w:t>
      </w:r>
      <w:proofErr w:type="spellEnd"/>
      <w:r w:rsidRPr="00CA0592">
        <w:rPr>
          <w:rFonts w:cs="Times New Roman"/>
        </w:rPr>
        <w:t xml:space="preserve">, lai informētu autovadītājus arī par tādām periodiskām aktualitātēm kā ziemas riepu maiņa, maksimāli pieļaujamā ātruma izmaiņas uz valsts galvenajiem autoceļiem u.c. Ziņojumi </w:t>
      </w:r>
      <w:proofErr w:type="spellStart"/>
      <w:r w:rsidRPr="00CA0592">
        <w:rPr>
          <w:rFonts w:cs="Times New Roman"/>
          <w:i/>
        </w:rPr>
        <w:t>Waze</w:t>
      </w:r>
      <w:proofErr w:type="spellEnd"/>
      <w:r w:rsidRPr="00CA0592">
        <w:rPr>
          <w:rFonts w:cs="Times New Roman"/>
          <w:i/>
        </w:rPr>
        <w:t xml:space="preserve"> </w:t>
      </w:r>
      <w:r w:rsidRPr="00CA0592">
        <w:rPr>
          <w:rFonts w:cs="Times New Roman"/>
        </w:rPr>
        <w:t>lietotājiem tiek sūtīti arī gadījumos, kad krasi ir pasliktinājušies braukšanas apstākļi, piemēram, laikapstākļu izmaiņu gadījumos, kad tiek ietekmēta situācija uz ceļiem.</w:t>
      </w:r>
    </w:p>
    <w:p w:rsidRPr="00CA0592" w:rsidR="00EF3367" w:rsidP="00EF3367" w:rsidRDefault="00EF3367" w14:paraId="05B1EBAC" w14:textId="77777777">
      <w:pPr>
        <w:tabs>
          <w:tab w:val="left" w:pos="720"/>
          <w:tab w:val="center" w:pos="4320"/>
          <w:tab w:val="right" w:pos="8640"/>
        </w:tabs>
        <w:ind w:firstLine="567"/>
        <w:rPr>
          <w:rFonts w:cs="Times New Roman"/>
        </w:rPr>
      </w:pPr>
      <w:r w:rsidRPr="00CA0592">
        <w:rPr>
          <w:rFonts w:cs="Times New Roman"/>
        </w:rPr>
        <w:t xml:space="preserve">Informācija par satiksmi ir pieejama arī LVC tīmekļa vietnē </w:t>
      </w:r>
      <w:hyperlink w:history="1" r:id="rId8">
        <w:r w:rsidRPr="00CA0592">
          <w:rPr>
            <w:rStyle w:val="Hyperlink"/>
            <w:rFonts w:cs="Times New Roman"/>
          </w:rPr>
          <w:t>www.lvceli.lv</w:t>
        </w:r>
      </w:hyperlink>
      <w:r w:rsidRPr="00CA0592">
        <w:rPr>
          <w:rFonts w:cs="Times New Roman"/>
        </w:rPr>
        <w:t xml:space="preserve">. Norādītajā tīmekļa vietnē ceļu satiksmes dalībniekiem ir pieejama informācija par tiešsaistes satiksmes datiem valsts autoceļu tīklā, informācija kartē tiek atjaunota reizi divās stundās, atjaunināšanu veic valsts akciju sabiedrības “Latvijas autoceļu uzturētājs” speciālisti, kuri apseko ceļu tīklu. Tīmekļa vietnē, izmantojot ĢIS, ir iespējams iegūt informāciju par aktuālajiem būvobjektiem un to dēļ noteiktajiem satiksmes ierobežojumiem, kā arī paredzamo laiku ceļa posma veikšanai. Tāpat tīmekļa vietnē autovadītājiem ir pieejama ĢIS formātā ceļu posmu, kurā ir liels ceļu satiksmes negadījumu skaits, “melno punktu” karte uz valsts autoceļiem. Uz valsts autoceļiem patlaban ir uzstādītas 68 </w:t>
      </w:r>
      <w:proofErr w:type="spellStart"/>
      <w:r w:rsidRPr="00CA0592">
        <w:rPr>
          <w:rFonts w:cs="Times New Roman"/>
        </w:rPr>
        <w:t>meteostacijas</w:t>
      </w:r>
      <w:proofErr w:type="spellEnd"/>
      <w:r w:rsidRPr="00CA0592">
        <w:rPr>
          <w:rFonts w:cs="Times New Roman"/>
        </w:rPr>
        <w:t xml:space="preserve">, kas aprīkotas ar videokamerām, no kurām ir iespējams iegūt informāciju par ceļu stāvokli un tādiem braukšanas apstākļiem kā redzamība, gaisa un ceļa virsmas temperatūra, vēja stiprums un gaisa mitrums, </w:t>
      </w:r>
      <w:proofErr w:type="spellStart"/>
      <w:r w:rsidRPr="00CA0592">
        <w:rPr>
          <w:rFonts w:cs="Times New Roman"/>
        </w:rPr>
        <w:t>meteostaciju</w:t>
      </w:r>
      <w:proofErr w:type="spellEnd"/>
      <w:r w:rsidRPr="00CA0592">
        <w:rPr>
          <w:rFonts w:cs="Times New Roman"/>
        </w:rPr>
        <w:t xml:space="preserve"> dati tiek atjaunoti reizi 15 minūtēs. Uz valsts ceļiem ir 32 pastāvīgie satiksmes uzskaites punkti, kuri fiksē automobiļu tipu un ātrumu, no tiem 5 pastāvīgie satiksmes uzskaites punkti ir ar svēršana kustībā (</w:t>
      </w:r>
      <w:proofErr w:type="spellStart"/>
      <w:r w:rsidRPr="00CA0592">
        <w:rPr>
          <w:rFonts w:cs="Times New Roman"/>
        </w:rPr>
        <w:t>weight</w:t>
      </w:r>
      <w:proofErr w:type="spellEnd"/>
      <w:r w:rsidRPr="00CA0592">
        <w:rPr>
          <w:rFonts w:cs="Times New Roman"/>
        </w:rPr>
        <w:t xml:space="preserve"> </w:t>
      </w:r>
      <w:proofErr w:type="spellStart"/>
      <w:r w:rsidRPr="00CA0592">
        <w:rPr>
          <w:rFonts w:cs="Times New Roman"/>
        </w:rPr>
        <w:t>in</w:t>
      </w:r>
      <w:proofErr w:type="spellEnd"/>
      <w:r w:rsidRPr="00CA0592">
        <w:rPr>
          <w:rFonts w:cs="Times New Roman"/>
        </w:rPr>
        <w:t xml:space="preserve"> </w:t>
      </w:r>
      <w:proofErr w:type="spellStart"/>
      <w:r w:rsidRPr="00CA0592">
        <w:rPr>
          <w:rFonts w:cs="Times New Roman"/>
        </w:rPr>
        <w:t>motion</w:t>
      </w:r>
      <w:proofErr w:type="spellEnd"/>
      <w:r w:rsidRPr="00CA0592">
        <w:rPr>
          <w:rFonts w:cs="Times New Roman"/>
        </w:rPr>
        <w:t>) funkciju, lai iegūtu datus par transportlīdzekļa masu.</w:t>
      </w:r>
    </w:p>
    <w:p w:rsidRPr="00CA0592" w:rsidR="00EF3367" w:rsidP="00EF3367" w:rsidRDefault="00EF3367" w14:paraId="15AAE447" w14:textId="77777777">
      <w:pPr>
        <w:tabs>
          <w:tab w:val="left" w:pos="720"/>
          <w:tab w:val="center" w:pos="4320"/>
          <w:tab w:val="right" w:pos="8640"/>
        </w:tabs>
        <w:ind w:firstLine="0"/>
        <w:rPr>
          <w:rFonts w:cs="Times New Roman"/>
        </w:rPr>
      </w:pPr>
    </w:p>
    <w:p w:rsidRPr="00CA0592" w:rsidR="00EF3367" w:rsidP="00EF3367" w:rsidRDefault="00EF3367" w14:paraId="58043382" w14:textId="77777777">
      <w:pPr>
        <w:tabs>
          <w:tab w:val="left" w:pos="720"/>
          <w:tab w:val="center" w:pos="4320"/>
          <w:tab w:val="right" w:pos="8640"/>
        </w:tabs>
        <w:ind w:firstLine="0"/>
        <w:rPr>
          <w:rFonts w:cs="Times New Roman"/>
        </w:rPr>
      </w:pPr>
      <w:r w:rsidRPr="00CA0592">
        <w:rPr>
          <w:rFonts w:cs="Times New Roman"/>
          <w:b/>
          <w:bCs/>
        </w:rPr>
        <w:t>Latvijas un Igaunijas ITS kopprojekts „</w:t>
      </w:r>
      <w:proofErr w:type="spellStart"/>
      <w:r w:rsidRPr="00CA0592">
        <w:rPr>
          <w:rFonts w:cs="Times New Roman"/>
          <w:b/>
          <w:bCs/>
        </w:rPr>
        <w:t>Smart</w:t>
      </w:r>
      <w:proofErr w:type="spellEnd"/>
      <w:r w:rsidRPr="00CA0592">
        <w:rPr>
          <w:rFonts w:cs="Times New Roman"/>
          <w:b/>
          <w:bCs/>
        </w:rPr>
        <w:t xml:space="preserve"> E67</w:t>
      </w:r>
      <w:r w:rsidRPr="00CA0592">
        <w:rPr>
          <w:rFonts w:cs="Times New Roman"/>
        </w:rPr>
        <w:t xml:space="preserve">” </w:t>
      </w:r>
    </w:p>
    <w:p w:rsidRPr="00CA0592" w:rsidR="00EF3367" w:rsidP="00EF3367" w:rsidRDefault="00EF3367" w14:paraId="3438F983" w14:textId="77777777">
      <w:pPr>
        <w:tabs>
          <w:tab w:val="left" w:pos="720"/>
          <w:tab w:val="center" w:pos="4320"/>
          <w:tab w:val="right" w:pos="8640"/>
        </w:tabs>
        <w:ind w:firstLine="567"/>
        <w:rPr>
          <w:rFonts w:cs="Times New Roman"/>
        </w:rPr>
      </w:pPr>
      <w:r w:rsidRPr="00CA0592">
        <w:rPr>
          <w:rFonts w:cs="Times New Roman"/>
        </w:rPr>
        <w:t>2015.-2019.g. periodā notika ES līdzfinansējuma programmas “</w:t>
      </w:r>
      <w:proofErr w:type="spellStart"/>
      <w:r w:rsidRPr="00CA0592">
        <w:rPr>
          <w:rFonts w:cs="Times New Roman"/>
        </w:rPr>
        <w:t>Interreg</w:t>
      </w:r>
      <w:proofErr w:type="spellEnd"/>
      <w:r w:rsidRPr="00CA0592">
        <w:rPr>
          <w:rFonts w:cs="Times New Roman"/>
        </w:rPr>
        <w:t xml:space="preserve"> </w:t>
      </w:r>
      <w:proofErr w:type="spellStart"/>
      <w:r w:rsidRPr="00CA0592">
        <w:rPr>
          <w:rFonts w:cs="Times New Roman"/>
        </w:rPr>
        <w:t>Central</w:t>
      </w:r>
      <w:proofErr w:type="spellEnd"/>
      <w:r w:rsidRPr="00CA0592">
        <w:rPr>
          <w:rFonts w:cs="Times New Roman"/>
        </w:rPr>
        <w:t xml:space="preserve"> </w:t>
      </w:r>
      <w:proofErr w:type="spellStart"/>
      <w:r w:rsidRPr="00CA0592">
        <w:rPr>
          <w:rFonts w:cs="Times New Roman"/>
        </w:rPr>
        <w:t>Baltic</w:t>
      </w:r>
      <w:proofErr w:type="spellEnd"/>
      <w:r w:rsidRPr="00CA0592">
        <w:rPr>
          <w:rFonts w:cs="Times New Roman"/>
        </w:rPr>
        <w:t xml:space="preserve"> 2014.-2020.” Latvijas un Igaunijas kopprojekta „</w:t>
      </w:r>
      <w:proofErr w:type="spellStart"/>
      <w:r w:rsidRPr="00CA0592">
        <w:rPr>
          <w:rFonts w:cs="Times New Roman"/>
        </w:rPr>
        <w:t>Smart</w:t>
      </w:r>
      <w:proofErr w:type="spellEnd"/>
      <w:r w:rsidRPr="00CA0592">
        <w:rPr>
          <w:rFonts w:cs="Times New Roman"/>
        </w:rPr>
        <w:t xml:space="preserve"> E67” īstenošana, kuras ietvaros tika veikta ceļu ITS instalāciju uzstādīšana E67 transporta koridorā. Projekta mērķis – ieviešot </w:t>
      </w:r>
      <w:proofErr w:type="spellStart"/>
      <w:r w:rsidRPr="00CA0592">
        <w:rPr>
          <w:rFonts w:cs="Times New Roman"/>
        </w:rPr>
        <w:t>intelektiskas</w:t>
      </w:r>
      <w:proofErr w:type="spellEnd"/>
      <w:r w:rsidRPr="00CA0592">
        <w:rPr>
          <w:rFonts w:cs="Times New Roman"/>
        </w:rPr>
        <w:t xml:space="preserve"> transporta vadības sistēmas, uzlabot pasažieru transporta plūsmas un kravu pārvadājumu efektivitāti un drošību, kā arī samazināt CO2 izmešu daudzumu uz autoceļa E67 Tallina – Rīga – Bauska – Lietuvas robeža. </w:t>
      </w:r>
      <w:r w:rsidRPr="00CA0592">
        <w:t>Projekta plānotais sasniedzamais rezultatīvais rādītājs bija samazināt braukšanas laika ar ITS aprīkotajā ceļa posmā par 0</w:t>
      </w:r>
      <w:r w:rsidRPr="00CA0592">
        <w:rPr>
          <w:rFonts w:cs="Times New Roman"/>
        </w:rPr>
        <w:t>,</w:t>
      </w:r>
      <w:r w:rsidRPr="00CA0592">
        <w:t>57%, taču projektu ieviešot tika sasniegts braukšanas laika samazinājums 0</w:t>
      </w:r>
      <w:r w:rsidRPr="00CA0592">
        <w:rPr>
          <w:rFonts w:cs="Times New Roman"/>
        </w:rPr>
        <w:t>,</w:t>
      </w:r>
      <w:r w:rsidRPr="00CA0592">
        <w:t>747% jeb 192 000h/gadā.</w:t>
      </w:r>
    </w:p>
    <w:p w:rsidRPr="00CA0592" w:rsidR="00EF3367" w:rsidP="00EF3367" w:rsidRDefault="00EF3367" w14:paraId="08C8F707" w14:textId="77777777">
      <w:pPr>
        <w:tabs>
          <w:tab w:val="left" w:pos="720"/>
          <w:tab w:val="center" w:pos="4320"/>
          <w:tab w:val="right" w:pos="8640"/>
        </w:tabs>
        <w:ind w:firstLine="567"/>
        <w:rPr>
          <w:rFonts w:cs="Times New Roman"/>
        </w:rPr>
      </w:pPr>
      <w:r w:rsidRPr="00CA0592">
        <w:rPr>
          <w:rFonts w:cs="Times New Roman"/>
        </w:rPr>
        <w:t>Projekta ietvaros E67 Latvijā ir:</w:t>
      </w:r>
    </w:p>
    <w:p w:rsidRPr="00CA0592" w:rsidR="00EF3367" w:rsidP="00EF3367" w:rsidRDefault="00EF3367" w14:paraId="20B97241" w14:textId="77777777">
      <w:pPr>
        <w:pStyle w:val="ListParagraph"/>
        <w:numPr>
          <w:ilvl w:val="0"/>
          <w:numId w:val="17"/>
        </w:numPr>
        <w:tabs>
          <w:tab w:val="center" w:pos="4320"/>
          <w:tab w:val="right" w:pos="8640"/>
        </w:tabs>
        <w:rPr>
          <w:rFonts w:cs="Times New Roman"/>
        </w:rPr>
      </w:pPr>
      <w:r w:rsidRPr="00CA0592">
        <w:rPr>
          <w:rFonts w:cs="Times New Roman"/>
        </w:rPr>
        <w:t>4 elektroniskās maksimālā ātruma ierobežojuma ceļa zīmes, kurās tiek attēlotais atļautā braukšanas ātruma ierobežojums tiek mainīts atkarībā no aktuālajiem laika apstākļiem un citiem apstākļiem uz ceļa;</w:t>
      </w:r>
    </w:p>
    <w:p w:rsidRPr="00CA0592" w:rsidR="00EF3367" w:rsidP="00EF3367" w:rsidRDefault="00EF3367" w14:paraId="0560EFA0" w14:textId="77777777">
      <w:pPr>
        <w:pStyle w:val="ListParagraph"/>
        <w:numPr>
          <w:ilvl w:val="0"/>
          <w:numId w:val="17"/>
        </w:numPr>
        <w:tabs>
          <w:tab w:val="left" w:pos="720"/>
          <w:tab w:val="center" w:pos="4320"/>
          <w:tab w:val="right" w:pos="8640"/>
        </w:tabs>
        <w:rPr>
          <w:rFonts w:cs="Times New Roman"/>
        </w:rPr>
      </w:pPr>
      <w:r w:rsidRPr="00CA0592">
        <w:rPr>
          <w:rFonts w:cs="Times New Roman"/>
        </w:rPr>
        <w:lastRenderedPageBreak/>
        <w:t>26 elektroniskās brīdinājuma un informācijas ceļa zīmes pie ceļu meteoroloģiskajām stacijām, kurās tiek attēlota aktuālā informācija par brauktuves apstākļiem, piemēram, tā slidenumu;</w:t>
      </w:r>
    </w:p>
    <w:p w:rsidRPr="00CA0592" w:rsidR="00EF3367" w:rsidP="00EF3367" w:rsidRDefault="00EF3367" w14:paraId="72D56F97" w14:textId="77777777">
      <w:pPr>
        <w:pStyle w:val="ListParagraph"/>
        <w:numPr>
          <w:ilvl w:val="0"/>
          <w:numId w:val="17"/>
        </w:numPr>
        <w:tabs>
          <w:tab w:val="left" w:pos="720"/>
          <w:tab w:val="center" w:pos="4320"/>
          <w:tab w:val="right" w:pos="8640"/>
        </w:tabs>
        <w:rPr>
          <w:rFonts w:cs="Times New Roman"/>
        </w:rPr>
      </w:pPr>
      <w:r w:rsidRPr="00CA0592">
        <w:rPr>
          <w:rFonts w:cs="Times New Roman"/>
        </w:rPr>
        <w:t xml:space="preserve">2 </w:t>
      </w:r>
      <w:proofErr w:type="spellStart"/>
      <w:r w:rsidRPr="00CA0592">
        <w:rPr>
          <w:rFonts w:cs="Times New Roman"/>
        </w:rPr>
        <w:t>lielizmēra</w:t>
      </w:r>
      <w:proofErr w:type="spellEnd"/>
      <w:r w:rsidRPr="00CA0592">
        <w:rPr>
          <w:rFonts w:cs="Times New Roman"/>
        </w:rPr>
        <w:t xml:space="preserve"> mainīgas informācijas ceļa zīmes, kurās tiek </w:t>
      </w:r>
      <w:proofErr w:type="spellStart"/>
      <w:r w:rsidRPr="00CA0592">
        <w:rPr>
          <w:rFonts w:cs="Times New Roman"/>
        </w:rPr>
        <w:t>attēļota</w:t>
      </w:r>
      <w:proofErr w:type="spellEnd"/>
      <w:r w:rsidRPr="00CA0592">
        <w:rPr>
          <w:rFonts w:cs="Times New Roman"/>
        </w:rPr>
        <w:t xml:space="preserve"> aktuālā informācija par braukšanas apstākļiem autoceļa posmā vai par satiksmes ierobežojumiem tajā;</w:t>
      </w:r>
    </w:p>
    <w:p w:rsidRPr="00CA0592" w:rsidR="00EF3367" w:rsidP="00EF3367" w:rsidRDefault="00EF3367" w14:paraId="0126E2FA" w14:textId="77777777">
      <w:pPr>
        <w:pStyle w:val="ListParagraph"/>
        <w:numPr>
          <w:ilvl w:val="0"/>
          <w:numId w:val="17"/>
        </w:numPr>
        <w:tabs>
          <w:tab w:val="left" w:pos="720"/>
          <w:tab w:val="center" w:pos="4320"/>
          <w:tab w:val="right" w:pos="8640"/>
        </w:tabs>
        <w:rPr>
          <w:rFonts w:cs="Times New Roman"/>
        </w:rPr>
      </w:pPr>
      <w:r w:rsidRPr="00CA0592">
        <w:rPr>
          <w:rFonts w:cs="Times New Roman"/>
        </w:rPr>
        <w:t>modernizēti 10 esošo luksofori un pielāgoti adaptīvam darba režīmam/luksoforu savstarpēja sinhronizācija, kas nozīmē, ka daži no tiem ir aprīkoti ar sensoriem, kas maina luksofora režīmu, lai no mazākas nozīmes autoceļa droši ļautu izbraukt transportlīdzekļiem;</w:t>
      </w:r>
    </w:p>
    <w:p w:rsidRPr="00CA0592" w:rsidR="00EF3367" w:rsidP="00EF3367" w:rsidRDefault="00EF3367" w14:paraId="4BDE52AF" w14:textId="77777777">
      <w:pPr>
        <w:pStyle w:val="ListParagraph"/>
        <w:numPr>
          <w:ilvl w:val="0"/>
          <w:numId w:val="17"/>
        </w:numPr>
        <w:tabs>
          <w:tab w:val="left" w:pos="720"/>
          <w:tab w:val="center" w:pos="4320"/>
          <w:tab w:val="right" w:pos="8640"/>
        </w:tabs>
        <w:rPr>
          <w:rFonts w:cs="Times New Roman"/>
        </w:rPr>
      </w:pPr>
      <w:r w:rsidRPr="00CA0592">
        <w:rPr>
          <w:rFonts w:cs="Times New Roman"/>
        </w:rPr>
        <w:t>5 jaunas meteoroloģiskās stacijas un modernizētas 8 esošās meteoroloģiskās stacijas, kuras nodrošina precīzāku meteoroloģiskās informācijas sniegšanu;</w:t>
      </w:r>
    </w:p>
    <w:p w:rsidRPr="00CA0592" w:rsidR="00EF3367" w:rsidP="00EF3367" w:rsidRDefault="00EF3367" w14:paraId="2B16D074" w14:textId="77777777">
      <w:pPr>
        <w:pStyle w:val="ListParagraph"/>
        <w:numPr>
          <w:ilvl w:val="0"/>
          <w:numId w:val="17"/>
        </w:numPr>
        <w:tabs>
          <w:tab w:val="left" w:pos="720"/>
          <w:tab w:val="center" w:pos="4320"/>
          <w:tab w:val="right" w:pos="8640"/>
        </w:tabs>
        <w:rPr>
          <w:rFonts w:cs="Times New Roman"/>
        </w:rPr>
      </w:pPr>
      <w:r w:rsidRPr="00CA0592">
        <w:rPr>
          <w:rFonts w:cs="Times New Roman"/>
        </w:rPr>
        <w:t>2 satiksmes negadījumu identificēšanas sistēmas, kuras fiksē un sniedz informāciju SIC gadījumos, kad šajās vietās notiek satiksmes negadījumi.</w:t>
      </w:r>
    </w:p>
    <w:p w:rsidRPr="00CA0592" w:rsidR="00EF3367" w:rsidP="00EF3367" w:rsidRDefault="00EF3367" w14:paraId="2547BF05" w14:textId="77777777">
      <w:pPr>
        <w:tabs>
          <w:tab w:val="left" w:pos="720"/>
          <w:tab w:val="center" w:pos="4320"/>
          <w:tab w:val="right" w:pos="8640"/>
        </w:tabs>
        <w:ind w:firstLine="0"/>
        <w:rPr>
          <w:rFonts w:cs="Times New Roman"/>
        </w:rPr>
      </w:pPr>
    </w:p>
    <w:p w:rsidRPr="00CA0592" w:rsidR="00EF3367" w:rsidP="00EF3367" w:rsidRDefault="00EF3367" w14:paraId="4C77E43A" w14:textId="77777777">
      <w:pPr>
        <w:tabs>
          <w:tab w:val="left" w:pos="720"/>
          <w:tab w:val="center" w:pos="4320"/>
          <w:tab w:val="right" w:pos="8640"/>
        </w:tabs>
        <w:ind w:firstLine="0"/>
        <w:rPr>
          <w:rFonts w:cs="Times New Roman"/>
          <w:b/>
          <w:bCs/>
        </w:rPr>
      </w:pPr>
      <w:r w:rsidRPr="00CA0592">
        <w:rPr>
          <w:rFonts w:cs="Times New Roman"/>
          <w:b/>
          <w:bCs/>
        </w:rPr>
        <w:t>Sabiedriskā transporta maršruta plānošanas lietotnes</w:t>
      </w:r>
    </w:p>
    <w:p w:rsidRPr="00CA0592" w:rsidR="00EF3367" w:rsidP="00EF3367" w:rsidRDefault="00EF3367" w14:paraId="2E7B74DD" w14:textId="77777777">
      <w:pPr>
        <w:tabs>
          <w:tab w:val="left" w:pos="720"/>
          <w:tab w:val="center" w:pos="4320"/>
          <w:tab w:val="right" w:pos="8640"/>
        </w:tabs>
      </w:pPr>
      <w:r w:rsidRPr="00CA0592">
        <w:t xml:space="preserve">Latvijā ir pieejamas vairākas sabiedriskā transporta maršrutu plānošanas, maršrutu sarakstu un biļešu cenu lietotnes, piemēram, </w:t>
      </w:r>
      <w:proofErr w:type="spellStart"/>
      <w:r w:rsidRPr="00CA0592">
        <w:t>GoogleMaps</w:t>
      </w:r>
      <w:proofErr w:type="spellEnd"/>
      <w:r w:rsidRPr="00CA0592">
        <w:t xml:space="preserve">, </w:t>
      </w:r>
      <w:proofErr w:type="spellStart"/>
      <w:r w:rsidRPr="00CA0592">
        <w:t>Here</w:t>
      </w:r>
      <w:proofErr w:type="spellEnd"/>
      <w:r w:rsidRPr="00CA0592">
        <w:t xml:space="preserve">, </w:t>
      </w:r>
      <w:proofErr w:type="spellStart"/>
      <w:r w:rsidRPr="00CA0592">
        <w:t>Trafi</w:t>
      </w:r>
      <w:proofErr w:type="spellEnd"/>
      <w:r w:rsidRPr="00CA0592">
        <w:t xml:space="preserve">, Rīgas satiksmes maršruta plānotājs, 1188 u.c. </w:t>
      </w:r>
    </w:p>
    <w:p w:rsidRPr="00CA0592" w:rsidR="00EF3367" w:rsidP="00EF3367" w:rsidRDefault="00EF3367" w14:paraId="513F1C6C" w14:textId="77777777">
      <w:pPr>
        <w:tabs>
          <w:tab w:val="left" w:pos="720"/>
          <w:tab w:val="center" w:pos="4320"/>
          <w:tab w:val="right" w:pos="8640"/>
        </w:tabs>
        <w:rPr>
          <w:rFonts w:cs="Times New Roman"/>
        </w:rPr>
      </w:pPr>
      <w:r w:rsidRPr="00CA0592">
        <w:t xml:space="preserve">ATD ir izstrādājusi starppilsētu un vietējās nozīmes kustības sarakstu, tarifa tabulu un maršrutu vektorgrafikas datu sniegšanai integrāciju ar 1188 uzziņu dienestu ar SOAP XML integrācijas saslēgumu, kā arī sniedz šos datus Google </w:t>
      </w:r>
      <w:proofErr w:type="spellStart"/>
      <w:r w:rsidRPr="00CA0592">
        <w:t>maps</w:t>
      </w:r>
      <w:proofErr w:type="spellEnd"/>
      <w:r w:rsidRPr="00CA0592">
        <w:t xml:space="preserve"> tīmekļa karšu servisam GTFS formātā.  Kā arī ATD atvērto datu portālā ir publicējusi starppilsētu un vietējās nozīmes sabiedriskā transporta kustības sarakstus GTFS formātā un sabiedriskā transporta reģionālās nozīmes maršrutu (autobusu) pieturvietu datus.</w:t>
      </w:r>
    </w:p>
    <w:p w:rsidRPr="00CA0592" w:rsidR="00EF3367" w:rsidP="00EF3367" w:rsidRDefault="00EF3367" w14:paraId="7D3248C7" w14:textId="77777777">
      <w:pPr>
        <w:tabs>
          <w:tab w:val="left" w:pos="720"/>
          <w:tab w:val="center" w:pos="4320"/>
          <w:tab w:val="right" w:pos="8640"/>
        </w:tabs>
        <w:ind w:firstLine="0"/>
        <w:rPr>
          <w:rFonts w:cs="Times New Roman"/>
        </w:rPr>
      </w:pPr>
    </w:p>
    <w:p w:rsidRPr="00CA0592" w:rsidR="00EF3367" w:rsidP="00EF3367" w:rsidRDefault="00EF3367" w14:paraId="0D1EE991" w14:textId="77777777">
      <w:pPr>
        <w:tabs>
          <w:tab w:val="left" w:pos="720"/>
          <w:tab w:val="center" w:pos="4320"/>
          <w:tab w:val="right" w:pos="8640"/>
        </w:tabs>
        <w:ind w:firstLine="0"/>
        <w:rPr>
          <w:rFonts w:cs="Times New Roman"/>
          <w:b/>
          <w:bCs/>
        </w:rPr>
      </w:pPr>
      <w:proofErr w:type="spellStart"/>
      <w:r w:rsidRPr="00CA0592">
        <w:rPr>
          <w:rFonts w:cs="Times New Roman"/>
          <w:b/>
          <w:bCs/>
        </w:rPr>
        <w:t>eZvana</w:t>
      </w:r>
      <w:proofErr w:type="spellEnd"/>
      <w:r w:rsidRPr="00CA0592">
        <w:rPr>
          <w:rFonts w:cs="Times New Roman"/>
          <w:b/>
          <w:bCs/>
        </w:rPr>
        <w:t xml:space="preserve"> sistēma</w:t>
      </w:r>
    </w:p>
    <w:p w:rsidRPr="00CA0592" w:rsidR="00EF3367" w:rsidP="00EF3367" w:rsidRDefault="00EF3367" w14:paraId="75F3091C" w14:textId="77777777">
      <w:pPr>
        <w:spacing w:before="60" w:after="60"/>
        <w:rPr>
          <w:rFonts w:cs="Times New Roman"/>
        </w:rPr>
      </w:pPr>
      <w:r w:rsidRPr="00CA0592">
        <w:t xml:space="preserve">Latvijas mobilo sakaru operatori no 2017.gada 1.janvāra nodrošina </w:t>
      </w:r>
      <w:proofErr w:type="spellStart"/>
      <w:r w:rsidRPr="00CA0592">
        <w:t>eZvana</w:t>
      </w:r>
      <w:proofErr w:type="spellEnd"/>
      <w:r w:rsidRPr="00CA0592">
        <w:t xml:space="preserve"> identifikāciju publisko mobilo sakaru tīklos un no 2017.gada 1.marta – </w:t>
      </w:r>
      <w:proofErr w:type="spellStart"/>
      <w:r w:rsidRPr="00CA0592">
        <w:t>eZvana</w:t>
      </w:r>
      <w:proofErr w:type="spellEnd"/>
      <w:r w:rsidRPr="00CA0592">
        <w:t xml:space="preserve"> izsaukuma maršrutēšanu uz vienotā ārkārtas palīdzības izsaukuma numuru 112, savukārt no 2017.gada 1.oktobra Valsts ugunsdzēsības un glābšanas dienests nodrošina </w:t>
      </w:r>
      <w:proofErr w:type="spellStart"/>
      <w:r w:rsidRPr="00CA0592">
        <w:t>eZvana</w:t>
      </w:r>
      <w:proofErr w:type="spellEnd"/>
      <w:r w:rsidRPr="00CA0592">
        <w:t xml:space="preserve"> izsaukumu pieņemšanu un apstrādi. 2017.gada 1.oktobī </w:t>
      </w:r>
      <w:proofErr w:type="spellStart"/>
      <w:r w:rsidRPr="00CA0592">
        <w:t>Iekšlietu</w:t>
      </w:r>
      <w:proofErr w:type="spellEnd"/>
      <w:r w:rsidRPr="00CA0592">
        <w:t xml:space="preserve"> ministrija uzsāka publicitātes pasākumus saistībā ar </w:t>
      </w:r>
      <w:proofErr w:type="spellStart"/>
      <w:r w:rsidRPr="00CA0592">
        <w:t>eZvana</w:t>
      </w:r>
      <w:proofErr w:type="spellEnd"/>
      <w:r w:rsidRPr="00CA0592">
        <w:t xml:space="preserve"> sistēmas darbības uzsākšanu.</w:t>
      </w:r>
    </w:p>
    <w:p w:rsidRPr="00CA0592" w:rsidR="00EF3367" w:rsidP="00EF3367" w:rsidRDefault="00EF3367" w14:paraId="07B1622C" w14:textId="77777777">
      <w:r w:rsidRPr="00CA0592">
        <w:rPr>
          <w:rFonts w:cs="Times New Roman"/>
        </w:rPr>
        <w:t xml:space="preserve">Latvijā ir uzstādīti 100 stacionārie </w:t>
      </w:r>
      <w:proofErr w:type="spellStart"/>
      <w:r w:rsidRPr="00CA0592">
        <w:rPr>
          <w:rFonts w:cs="Times New Roman"/>
        </w:rPr>
        <w:t>fotoradari</w:t>
      </w:r>
      <w:proofErr w:type="spellEnd"/>
      <w:r w:rsidRPr="00CA0592">
        <w:rPr>
          <w:rFonts w:cs="Times New Roman"/>
        </w:rPr>
        <w:t xml:space="preserve">. Šie stacionārie </w:t>
      </w:r>
      <w:proofErr w:type="spellStart"/>
      <w:r w:rsidRPr="00CA0592">
        <w:rPr>
          <w:rFonts w:cs="Times New Roman"/>
        </w:rPr>
        <w:t>fotoradari</w:t>
      </w:r>
      <w:proofErr w:type="spellEnd"/>
      <w:r w:rsidRPr="00CA0592">
        <w:rPr>
          <w:rFonts w:cs="Times New Roman"/>
        </w:rPr>
        <w:t xml:space="preserve"> veic ne tikai atļautā braukšanas ātruma pārkāpumu kontroli, bet </w:t>
      </w:r>
      <w:r w:rsidRPr="00CA0592">
        <w:t>pēc atļautā braukšanas ātruma pārkāpumu fiksēšanas, informācijas sistēmās tiek pārbaudīta arī tehniskās apskates un transportlīdzekļu īpašnieku obligātās civiltiesiskās atbildības apdrošināšanas esamība, kā arī autoceļu lietošanas nodevas apmaksas fakts. Lai uzlabotu autoceļu lietošanas nodevas samaksas kontroli, pilotprojekta ietvaros uz valsts autoceļiem tika uzstādīti divi tehniskie līdzekļi, kas autoceļu lietošanas nodevas nemaksātājus fiksē automatizēti, proti, pārkāpumi tiek fiksēti, neapturot transportlīdzekli.</w:t>
      </w:r>
    </w:p>
    <w:p w:rsidRPr="00CA0592" w:rsidR="00EF3367" w:rsidP="00EF3367" w:rsidRDefault="00EF3367" w14:paraId="3B0FF426" w14:textId="77777777">
      <w:pPr>
        <w:ind w:firstLine="0"/>
        <w:rPr>
          <w:b/>
          <w:bCs/>
        </w:rPr>
      </w:pPr>
    </w:p>
    <w:p w:rsidRPr="00CA0592" w:rsidR="00EF3367" w:rsidP="00EF3367" w:rsidRDefault="00EF3367" w14:paraId="6E161830" w14:textId="77777777">
      <w:pPr>
        <w:ind w:firstLine="0"/>
        <w:rPr>
          <w:b/>
          <w:bCs/>
        </w:rPr>
      </w:pPr>
      <w:r w:rsidRPr="00CA0592">
        <w:rPr>
          <w:b/>
          <w:bCs/>
        </w:rPr>
        <w:t>E-</w:t>
      </w:r>
      <w:proofErr w:type="spellStart"/>
      <w:r w:rsidRPr="00CA0592">
        <w:rPr>
          <w:b/>
          <w:bCs/>
        </w:rPr>
        <w:t>mobi</w:t>
      </w:r>
      <w:proofErr w:type="spellEnd"/>
      <w:r w:rsidRPr="00CA0592">
        <w:rPr>
          <w:b/>
          <w:bCs/>
        </w:rPr>
        <w:t xml:space="preserve"> portāls un e-</w:t>
      </w:r>
      <w:proofErr w:type="spellStart"/>
      <w:r w:rsidRPr="00CA0592">
        <w:rPr>
          <w:b/>
          <w:bCs/>
        </w:rPr>
        <w:t>mobi</w:t>
      </w:r>
      <w:proofErr w:type="spellEnd"/>
      <w:r w:rsidRPr="00CA0592">
        <w:rPr>
          <w:b/>
          <w:bCs/>
        </w:rPr>
        <w:t xml:space="preserve"> aplikācija</w:t>
      </w:r>
    </w:p>
    <w:p w:rsidRPr="00CA0592" w:rsidR="00EF3367" w:rsidP="00EF3367" w:rsidRDefault="00EF3367" w14:paraId="60AAE717" w14:textId="0B25F7D1">
      <w:r w:rsidRPr="00CA0592">
        <w:t>VAS “Ceļu satiksmes drošības direkcija” ir izveidojusi e-</w:t>
      </w:r>
      <w:proofErr w:type="spellStart"/>
      <w:r w:rsidRPr="00CA0592">
        <w:t>mobi</w:t>
      </w:r>
      <w:proofErr w:type="spellEnd"/>
      <w:r w:rsidRPr="00CA0592">
        <w:t xml:space="preserve"> portālu un e-</w:t>
      </w:r>
      <w:proofErr w:type="spellStart"/>
      <w:r w:rsidRPr="00CA0592">
        <w:t>mobi</w:t>
      </w:r>
      <w:proofErr w:type="spellEnd"/>
      <w:r w:rsidRPr="00CA0592">
        <w:t xml:space="preserve"> aplikāciju, kurā elektromobiļu īpašnieki var ātri un ērti atrast uzlādes punktus un to atrašanās vietas. Papildus precīzai atrašanās vietai jebkurā laikā var uzzināt uzlādes punktu statusu, kontaktdakšas veidu un uzlādes jaudu.</w:t>
      </w:r>
    </w:p>
    <w:p w:rsidRPr="00CA0592" w:rsidR="005B0CC4" w:rsidP="0066014D" w:rsidRDefault="005B0CC4" w14:paraId="09E3A875" w14:textId="5F6A5D07">
      <w:pPr>
        <w:pStyle w:val="Heading2"/>
      </w:pPr>
      <w:bookmarkStart w:name="_Toc41576572" w:id="33"/>
      <w:r w:rsidRPr="00CA0592">
        <w:lastRenderedPageBreak/>
        <w:t>Izpēte par ITS ieviešanu Latvijas autotransporta jomā</w:t>
      </w:r>
      <w:bookmarkEnd w:id="33"/>
      <w:r w:rsidRPr="00CA0592">
        <w:t xml:space="preserve"> </w:t>
      </w:r>
    </w:p>
    <w:p w:rsidRPr="00CA0592" w:rsidR="005B0CC4" w:rsidP="005B0CC4" w:rsidRDefault="005B0CC4" w14:paraId="32ABF21F" w14:textId="77777777">
      <w:pPr>
        <w:spacing w:after="120"/>
        <w:ind w:firstLine="567"/>
        <w:rPr>
          <w:rFonts w:cs="Times New Roman"/>
        </w:rPr>
      </w:pPr>
      <w:r w:rsidRPr="00CA0592">
        <w:rPr>
          <w:rFonts w:cs="Times New Roman"/>
        </w:rPr>
        <w:t>IZPĒTE bija nepieciešama, lai apzinātu pašreizējo ITS attīstības situāciju Latvijā un sniegtu pamatotas rekomendācijas nacionālas nozīmes ITS pakalpojumu saskaņotai ieviešanai un sasaistei ar citiem transporta veidiem, kā arī identificētu secīgi, kādus projektus ir nepieciešams veikt koordinētai ITS attīstībai Latvijā (izstrādātu ieteicamo nacionālo ietvaru).</w:t>
      </w:r>
    </w:p>
    <w:p w:rsidRPr="00CA0592" w:rsidR="005B0CC4" w:rsidP="005B0CC4" w:rsidRDefault="005B0CC4" w14:paraId="09744EA8" w14:textId="77777777">
      <w:pPr>
        <w:spacing w:after="120"/>
        <w:ind w:firstLine="567"/>
        <w:rPr>
          <w:rFonts w:cs="Times New Roman"/>
        </w:rPr>
      </w:pPr>
      <w:r w:rsidRPr="00CA0592">
        <w:rPr>
          <w:rFonts w:cs="Times New Roman"/>
        </w:rPr>
        <w:t>IZPĒTE tika veikta pēc LVC pasūtījuma un pabeigta 2017.gada 7. septembrī.</w:t>
      </w:r>
    </w:p>
    <w:p w:rsidRPr="00CA0592" w:rsidR="005B0CC4" w:rsidP="005B0CC4" w:rsidRDefault="005B0CC4" w14:paraId="4DFA29C5" w14:textId="77777777">
      <w:pPr>
        <w:ind w:firstLine="567"/>
        <w:rPr>
          <w:rFonts w:cs="Times New Roman"/>
        </w:rPr>
      </w:pPr>
      <w:r w:rsidRPr="00CA0592">
        <w:rPr>
          <w:rFonts w:cs="Times New Roman"/>
        </w:rPr>
        <w:t>Izpētes ietvaros tika izstrādāta Latvijas ITS stratēģija. Stratēģijas  izstrādes pirmajā posmā veikta literatūras un tiešsaistes avotu izpēte, kā arī īstenotas intervijas ar ieinteresētajām pusēm par:</w:t>
      </w:r>
    </w:p>
    <w:p w:rsidRPr="00CA0592" w:rsidR="005B0CC4" w:rsidP="005B0CC4" w:rsidRDefault="005B0CC4" w14:paraId="112140E3" w14:textId="77777777">
      <w:pPr>
        <w:pStyle w:val="Bulletpoints"/>
        <w:numPr>
          <w:ilvl w:val="0"/>
          <w:numId w:val="15"/>
        </w:numPr>
        <w:ind w:left="1134" w:hanging="567"/>
      </w:pPr>
      <w:r w:rsidRPr="00CA0592">
        <w:t>globālo ITS sektoru;</w:t>
      </w:r>
    </w:p>
    <w:p w:rsidRPr="00CA0592" w:rsidR="005B0CC4" w:rsidP="005B0CC4" w:rsidRDefault="005B0CC4" w14:paraId="43C30188" w14:textId="77777777">
      <w:pPr>
        <w:pStyle w:val="Bulletpoints"/>
        <w:numPr>
          <w:ilvl w:val="0"/>
          <w:numId w:val="15"/>
        </w:numPr>
        <w:ind w:left="1134" w:hanging="567"/>
      </w:pPr>
      <w:r w:rsidRPr="00CA0592">
        <w:t>ES harmonizēto ITS ieviešanu;</w:t>
      </w:r>
    </w:p>
    <w:p w:rsidRPr="00CA0592" w:rsidR="005B0CC4" w:rsidP="005B0CC4" w:rsidRDefault="005B0CC4" w14:paraId="2B1E99AC" w14:textId="77777777">
      <w:pPr>
        <w:pStyle w:val="Bulletpoints"/>
        <w:numPr>
          <w:ilvl w:val="0"/>
          <w:numId w:val="15"/>
        </w:numPr>
        <w:ind w:left="1134" w:hanging="567"/>
      </w:pPr>
      <w:r w:rsidRPr="00CA0592">
        <w:t>ārzemju kompleksās ITS ieviešanas pieredzi;</w:t>
      </w:r>
    </w:p>
    <w:p w:rsidRPr="00CA0592" w:rsidR="005B0CC4" w:rsidP="005B0CC4" w:rsidRDefault="005B0CC4" w14:paraId="4FFA181A" w14:textId="77777777">
      <w:pPr>
        <w:pStyle w:val="Bulletpoints"/>
        <w:numPr>
          <w:ilvl w:val="0"/>
          <w:numId w:val="15"/>
        </w:numPr>
        <w:ind w:left="1134" w:hanging="567"/>
      </w:pPr>
      <w:r w:rsidRPr="00CA0592">
        <w:t>Latvijas ITS sektora līdzšinējo evolūciju.</w:t>
      </w:r>
    </w:p>
    <w:p w:rsidRPr="00CA0592" w:rsidR="005B0CC4" w:rsidP="005B0CC4" w:rsidRDefault="005B0CC4" w14:paraId="487B7543" w14:textId="77777777">
      <w:pPr>
        <w:ind w:firstLine="567"/>
        <w:rPr>
          <w:rFonts w:cs="Times New Roman"/>
        </w:rPr>
      </w:pPr>
      <w:r w:rsidRPr="00CA0592">
        <w:rPr>
          <w:rFonts w:cs="Times New Roman"/>
        </w:rPr>
        <w:t>Dokumentā iekļauti būtiskie aspekti ITS pakalpojumu ieviešanai Latvijā. Stratēģijas izstrādes otrajā posmā veikta gala ziņojuma izstrāde:</w:t>
      </w:r>
    </w:p>
    <w:p w:rsidRPr="00CA0592" w:rsidR="005B0CC4" w:rsidP="005B0CC4" w:rsidRDefault="005B0CC4" w14:paraId="434E60AF" w14:textId="77777777">
      <w:pPr>
        <w:pStyle w:val="Bulletpoints"/>
        <w:numPr>
          <w:ilvl w:val="0"/>
          <w:numId w:val="16"/>
        </w:numPr>
        <w:ind w:left="1134" w:hanging="567"/>
      </w:pPr>
      <w:r w:rsidRPr="00CA0592">
        <w:t>definēti priekšlikumi Latvijas ITS stratēģijas mērķiem un prioritāri ieviešamiem pakalpojumiem;</w:t>
      </w:r>
    </w:p>
    <w:p w:rsidRPr="00CA0592" w:rsidR="005B0CC4" w:rsidP="005B0CC4" w:rsidRDefault="005B0CC4" w14:paraId="30DFEF25" w14:textId="77777777">
      <w:pPr>
        <w:pStyle w:val="Bulletpoints"/>
        <w:numPr>
          <w:ilvl w:val="0"/>
          <w:numId w:val="16"/>
        </w:numPr>
        <w:ind w:left="1134" w:hanging="567"/>
      </w:pPr>
      <w:r w:rsidRPr="00CA0592">
        <w:t>izstrādāts priekšlikums Latvijas ITS stratēģijas ieviešanas plānam, definējot juridiskos, organizatoriskos un tehnoloģiskos ITS ieviešanas pasākumus 5 gadu perspektīvā.</w:t>
      </w:r>
    </w:p>
    <w:p w:rsidRPr="00CA0592" w:rsidR="005B0CC4" w:rsidP="005B0CC4" w:rsidRDefault="005B0CC4" w14:paraId="0E7FCA96" w14:textId="0661C77A">
      <w:pPr>
        <w:pStyle w:val="Heading3"/>
      </w:pPr>
      <w:bookmarkStart w:name="_Toc41576573" w:id="34"/>
      <w:r w:rsidRPr="00CA0592">
        <w:t>Izpētē identificētie prioritāri ieviešamie projekti</w:t>
      </w:r>
      <w:bookmarkEnd w:id="34"/>
    </w:p>
    <w:p w:rsidRPr="00CA0592" w:rsidR="005B0CC4" w:rsidP="005B0CC4" w:rsidRDefault="005B0CC4" w14:paraId="39EFF8C5" w14:textId="77777777">
      <w:pPr>
        <w:rPr>
          <w:rFonts w:cs="Times New Roman"/>
        </w:rPr>
      </w:pPr>
      <w:r w:rsidRPr="00CA0592">
        <w:rPr>
          <w:rFonts w:cs="Times New Roman"/>
        </w:rPr>
        <w:t>Ņemot vērā globālo pieredzi ITS jomā, valstisko un nevalstisko organizāciju vajadzības autosatiksmes jomā, ITS Direktīvu un no ITS Direktīvas izrietošo Deleģēto aktu prasības, IZPĒTĒ tika identificēti ITS projekti, ko nepieciešams realizēt Latvijā:</w:t>
      </w:r>
    </w:p>
    <w:p w:rsidRPr="00CA0592" w:rsidR="005B0CC4" w:rsidP="005B0CC4" w:rsidRDefault="005B0CC4" w14:paraId="46276BB7" w14:textId="77777777">
      <w:pPr>
        <w:pStyle w:val="ListParagraph"/>
        <w:widowControl w:val="0"/>
        <w:numPr>
          <w:ilvl w:val="0"/>
          <w:numId w:val="9"/>
        </w:numPr>
        <w:tabs>
          <w:tab w:val="left" w:pos="720"/>
          <w:tab w:val="center" w:pos="4320"/>
          <w:tab w:val="right" w:pos="8640"/>
        </w:tabs>
        <w:rPr>
          <w:rFonts w:cs="Times New Roman"/>
        </w:rPr>
      </w:pPr>
      <w:r w:rsidRPr="00CA0592">
        <w:rPr>
          <w:rFonts w:cs="Times New Roman"/>
        </w:rPr>
        <w:t>ITS tehnoloģisko risinājumu izstrāde un ieviešana:</w:t>
      </w:r>
    </w:p>
    <w:p w:rsidRPr="00CA0592" w:rsidR="005B0CC4" w:rsidP="005B0CC4" w:rsidRDefault="005B0CC4" w14:paraId="715C36A0" w14:textId="77777777">
      <w:pPr>
        <w:pStyle w:val="ListParagraph"/>
        <w:widowControl w:val="0"/>
        <w:numPr>
          <w:ilvl w:val="1"/>
          <w:numId w:val="9"/>
        </w:numPr>
        <w:tabs>
          <w:tab w:val="center" w:pos="4320"/>
          <w:tab w:val="right" w:pos="8640"/>
        </w:tabs>
        <w:ind w:left="851" w:hanging="567"/>
        <w:rPr>
          <w:rFonts w:cs="Times New Roman"/>
        </w:rPr>
      </w:pPr>
      <w:r w:rsidRPr="00CA0592">
        <w:rPr>
          <w:rFonts w:cs="Times New Roman"/>
        </w:rPr>
        <w:t xml:space="preserve">Nacionālā piekļuves punkta izstrāde un ieviešana (izmaksas 2 100 000 – 2 520 000 </w:t>
      </w:r>
      <w:proofErr w:type="spellStart"/>
      <w:r w:rsidRPr="00CA0592">
        <w:rPr>
          <w:rFonts w:cs="Times New Roman"/>
          <w:i/>
          <w:iCs/>
        </w:rPr>
        <w:t>eur</w:t>
      </w:r>
      <w:r w:rsidRPr="00CA0592">
        <w:rPr>
          <w:rFonts w:cs="Times New Roman"/>
        </w:rPr>
        <w:t>o</w:t>
      </w:r>
      <w:proofErr w:type="spellEnd"/>
      <w:r w:rsidRPr="00CA0592">
        <w:rPr>
          <w:rFonts w:cs="Times New Roman"/>
        </w:rPr>
        <w:t>);</w:t>
      </w:r>
    </w:p>
    <w:p w:rsidRPr="00CA0592" w:rsidR="005B0CC4" w:rsidP="005B0CC4" w:rsidRDefault="005B0CC4" w14:paraId="79A88E95" w14:textId="77777777">
      <w:pPr>
        <w:pStyle w:val="ListParagraph"/>
        <w:widowControl w:val="0"/>
        <w:numPr>
          <w:ilvl w:val="1"/>
          <w:numId w:val="9"/>
        </w:numPr>
        <w:tabs>
          <w:tab w:val="center" w:pos="4320"/>
          <w:tab w:val="right" w:pos="8640"/>
        </w:tabs>
        <w:ind w:left="851" w:hanging="567"/>
        <w:rPr>
          <w:rFonts w:cs="Times New Roman"/>
        </w:rPr>
      </w:pPr>
      <w:r w:rsidRPr="00CA0592">
        <w:rPr>
          <w:rFonts w:cs="Times New Roman"/>
        </w:rPr>
        <w:t>Informācijas sistēmu izstrāde un ieviešana ITS pakalpojumu sniegšanai;</w:t>
      </w:r>
    </w:p>
    <w:p w:rsidRPr="00CA0592" w:rsidR="005B0CC4" w:rsidP="005B0CC4" w:rsidRDefault="005B0CC4" w14:paraId="5272F113" w14:textId="77777777">
      <w:pPr>
        <w:pStyle w:val="ListParagraph"/>
        <w:widowControl w:val="0"/>
        <w:numPr>
          <w:ilvl w:val="2"/>
          <w:numId w:val="9"/>
        </w:numPr>
        <w:tabs>
          <w:tab w:val="center" w:pos="4320"/>
          <w:tab w:val="right" w:pos="8640"/>
        </w:tabs>
        <w:ind w:left="1134" w:hanging="567"/>
        <w:rPr>
          <w:rFonts w:cs="Times New Roman"/>
        </w:rPr>
      </w:pPr>
      <w:r w:rsidRPr="00CA0592">
        <w:rPr>
          <w:rFonts w:cs="Times New Roman"/>
        </w:rPr>
        <w:t xml:space="preserve">IS izstrāde un ieviešana tiesībaizsardzības ITS pakalpojumu sniegšanai (izmaksas 11 300 000 – 12 430 000 </w:t>
      </w:r>
      <w:proofErr w:type="spellStart"/>
      <w:r w:rsidRPr="00CA0592">
        <w:rPr>
          <w:rFonts w:cs="Times New Roman"/>
        </w:rPr>
        <w:t>euro</w:t>
      </w:r>
      <w:proofErr w:type="spellEnd"/>
      <w:r w:rsidRPr="00CA0592">
        <w:rPr>
          <w:rFonts w:cs="Times New Roman"/>
        </w:rPr>
        <w:t>);</w:t>
      </w:r>
    </w:p>
    <w:p w:rsidRPr="00CA0592" w:rsidR="005B0CC4" w:rsidP="005B0CC4" w:rsidRDefault="005B0CC4" w14:paraId="1E9744FD" w14:textId="77777777">
      <w:pPr>
        <w:pStyle w:val="ListParagraph"/>
        <w:widowControl w:val="0"/>
        <w:numPr>
          <w:ilvl w:val="2"/>
          <w:numId w:val="9"/>
        </w:numPr>
        <w:tabs>
          <w:tab w:val="center" w:pos="4320"/>
          <w:tab w:val="right" w:pos="8640"/>
        </w:tabs>
        <w:ind w:left="1134" w:hanging="567"/>
        <w:rPr>
          <w:rFonts w:cs="Times New Roman"/>
        </w:rPr>
      </w:pPr>
      <w:r w:rsidRPr="00CA0592">
        <w:rPr>
          <w:rFonts w:cs="Times New Roman"/>
        </w:rPr>
        <w:t xml:space="preserve">IS izveide sabiedriskā transporta pārvaldībai un ar maršruta plānošanu saistīto ITS pakalpojumu sniegšanai (izmaksas 2 200 000 - 2 420 000 </w:t>
      </w:r>
      <w:proofErr w:type="spellStart"/>
      <w:r w:rsidRPr="00CA0592">
        <w:rPr>
          <w:rFonts w:cs="Times New Roman"/>
          <w:i/>
          <w:iCs/>
        </w:rPr>
        <w:t>euro</w:t>
      </w:r>
      <w:proofErr w:type="spellEnd"/>
      <w:r w:rsidRPr="00CA0592">
        <w:rPr>
          <w:rFonts w:cs="Times New Roman"/>
        </w:rPr>
        <w:t>);</w:t>
      </w:r>
    </w:p>
    <w:p w:rsidRPr="00CA0592" w:rsidR="005B0CC4" w:rsidP="005B0CC4" w:rsidRDefault="005B0CC4" w14:paraId="2C3E64A5" w14:textId="77777777">
      <w:pPr>
        <w:pStyle w:val="ListParagraph"/>
        <w:widowControl w:val="0"/>
        <w:numPr>
          <w:ilvl w:val="2"/>
          <w:numId w:val="9"/>
        </w:numPr>
        <w:tabs>
          <w:tab w:val="center" w:pos="4320"/>
          <w:tab w:val="right" w:pos="8640"/>
        </w:tabs>
        <w:ind w:left="1134" w:hanging="567"/>
        <w:rPr>
          <w:rFonts w:cs="Times New Roman"/>
        </w:rPr>
      </w:pPr>
      <w:r w:rsidRPr="00CA0592">
        <w:rPr>
          <w:rFonts w:cs="Times New Roman"/>
        </w:rPr>
        <w:t xml:space="preserve">IS izveide ar infrastruktūras plānošanas un pārvaldības saistīto ITS pakalpojumu sniegšanai (izmaksas 5 300 000 – 5 830 000 </w:t>
      </w:r>
      <w:proofErr w:type="spellStart"/>
      <w:r w:rsidRPr="00CA0592">
        <w:rPr>
          <w:rFonts w:cs="Times New Roman"/>
          <w:i/>
          <w:iCs/>
        </w:rPr>
        <w:t>euro</w:t>
      </w:r>
      <w:proofErr w:type="spellEnd"/>
      <w:r w:rsidRPr="00CA0592">
        <w:rPr>
          <w:rFonts w:cs="Times New Roman"/>
        </w:rPr>
        <w:t>).</w:t>
      </w:r>
    </w:p>
    <w:p w:rsidRPr="00CA0592" w:rsidR="005B0CC4" w:rsidP="005B0CC4" w:rsidRDefault="005B0CC4" w14:paraId="70A7D366" w14:textId="77777777">
      <w:pPr>
        <w:pStyle w:val="ListParagraph"/>
        <w:widowControl w:val="0"/>
        <w:numPr>
          <w:ilvl w:val="0"/>
          <w:numId w:val="9"/>
        </w:numPr>
        <w:tabs>
          <w:tab w:val="left" w:pos="720"/>
          <w:tab w:val="center" w:pos="4320"/>
          <w:tab w:val="right" w:pos="8640"/>
        </w:tabs>
        <w:rPr>
          <w:rFonts w:cs="Times New Roman"/>
        </w:rPr>
      </w:pPr>
      <w:r w:rsidRPr="00CA0592">
        <w:rPr>
          <w:rFonts w:cs="Times New Roman"/>
        </w:rPr>
        <w:t>Juridisko, metodoloģisko, organizatorisko vadlīniju izstrāde, kas nepieciešams efektīvai starpinstitūciju sadarbībai:</w:t>
      </w:r>
    </w:p>
    <w:p w:rsidRPr="00CA0592" w:rsidR="005B0CC4" w:rsidP="005B0CC4" w:rsidRDefault="005B0CC4" w14:paraId="7165D881" w14:textId="77777777">
      <w:pPr>
        <w:pStyle w:val="ListParagraph"/>
        <w:widowControl w:val="0"/>
        <w:numPr>
          <w:ilvl w:val="1"/>
          <w:numId w:val="9"/>
        </w:numPr>
        <w:tabs>
          <w:tab w:val="center" w:pos="4320"/>
          <w:tab w:val="right" w:pos="8640"/>
        </w:tabs>
        <w:ind w:left="851"/>
        <w:rPr>
          <w:rFonts w:cs="Times New Roman"/>
        </w:rPr>
      </w:pPr>
      <w:r w:rsidRPr="00CA0592">
        <w:rPr>
          <w:rFonts w:cs="Times New Roman"/>
        </w:rPr>
        <w:t xml:space="preserve"> Jaunu tiesību aktu sagatavošana, spēkā esošo tiesību aktu grozīšana, lai noteiktu pienākumus, atbildību un lomu sadalījumu ITS pakalpojumu sniegšanā, pārvaldībā un uzraudzībā (izmaksas 270 000 – 297 000 </w:t>
      </w:r>
      <w:proofErr w:type="spellStart"/>
      <w:r w:rsidRPr="00CA0592">
        <w:rPr>
          <w:rFonts w:cs="Times New Roman"/>
          <w:i/>
          <w:iCs/>
        </w:rPr>
        <w:t>euro</w:t>
      </w:r>
      <w:proofErr w:type="spellEnd"/>
      <w:r w:rsidRPr="00CA0592">
        <w:rPr>
          <w:rFonts w:cs="Times New Roman"/>
        </w:rPr>
        <w:t>);</w:t>
      </w:r>
    </w:p>
    <w:p w:rsidRPr="00CA0592" w:rsidR="005B0CC4" w:rsidP="005B0CC4" w:rsidRDefault="005B0CC4" w14:paraId="6B2FAECB" w14:textId="77777777">
      <w:pPr>
        <w:pStyle w:val="ListParagraph"/>
        <w:widowControl w:val="0"/>
        <w:numPr>
          <w:ilvl w:val="1"/>
          <w:numId w:val="9"/>
        </w:numPr>
        <w:tabs>
          <w:tab w:val="center" w:pos="4320"/>
          <w:tab w:val="right" w:pos="8640"/>
        </w:tabs>
        <w:ind w:left="851"/>
        <w:rPr>
          <w:rFonts w:cs="Times New Roman"/>
        </w:rPr>
      </w:pPr>
      <w:r w:rsidRPr="00CA0592">
        <w:rPr>
          <w:rFonts w:cs="Times New Roman"/>
        </w:rPr>
        <w:t xml:space="preserve"> Metodisko pamatu sagatavošana efektīvai ITS vadībai Latvijā (prasības ITS pakalpojumiem, datu apmaiņas standarti, galvenie darbības rādītāji (KPI) u.c.) (izmaksas 426 000 – 468 600 </w:t>
      </w:r>
      <w:proofErr w:type="spellStart"/>
      <w:r w:rsidRPr="00CA0592">
        <w:rPr>
          <w:rFonts w:cs="Times New Roman"/>
          <w:i/>
          <w:iCs/>
        </w:rPr>
        <w:t>euro</w:t>
      </w:r>
      <w:proofErr w:type="spellEnd"/>
      <w:r w:rsidRPr="00CA0592">
        <w:rPr>
          <w:rFonts w:cs="Times New Roman"/>
        </w:rPr>
        <w:t>);</w:t>
      </w:r>
    </w:p>
    <w:p w:rsidRPr="00CA0592" w:rsidR="005B0CC4" w:rsidP="005B0CC4" w:rsidRDefault="005B0CC4" w14:paraId="1F518B2C" w14:textId="77777777">
      <w:pPr>
        <w:pStyle w:val="ListParagraph"/>
        <w:widowControl w:val="0"/>
        <w:numPr>
          <w:ilvl w:val="1"/>
          <w:numId w:val="9"/>
        </w:numPr>
        <w:tabs>
          <w:tab w:val="center" w:pos="4320"/>
          <w:tab w:val="right" w:pos="8640"/>
        </w:tabs>
        <w:ind w:left="851"/>
        <w:rPr>
          <w:rFonts w:cs="Times New Roman"/>
        </w:rPr>
      </w:pPr>
      <w:r w:rsidRPr="00CA0592">
        <w:rPr>
          <w:rFonts w:cs="Times New Roman"/>
        </w:rPr>
        <w:t xml:space="preserve"> Izveidot efektīvai </w:t>
      </w:r>
      <w:proofErr w:type="spellStart"/>
      <w:r w:rsidRPr="00CA0592">
        <w:rPr>
          <w:rFonts w:cs="Times New Roman"/>
        </w:rPr>
        <w:t>starpiestāžu</w:t>
      </w:r>
      <w:proofErr w:type="spellEnd"/>
      <w:r w:rsidRPr="00CA0592">
        <w:rPr>
          <w:rFonts w:cs="Times New Roman"/>
        </w:rPr>
        <w:t xml:space="preserve"> sadarbībai nepieciešamās </w:t>
      </w:r>
      <w:proofErr w:type="spellStart"/>
      <w:r w:rsidRPr="00CA0592">
        <w:rPr>
          <w:rFonts w:cs="Times New Roman"/>
        </w:rPr>
        <w:t>lēmumpieņemšanas</w:t>
      </w:r>
      <w:proofErr w:type="spellEnd"/>
      <w:r w:rsidRPr="00CA0592">
        <w:rPr>
          <w:rFonts w:cs="Times New Roman"/>
        </w:rPr>
        <w:t xml:space="preserve"> struktūras (izmaksas 204 000 – 224 400 </w:t>
      </w:r>
      <w:proofErr w:type="spellStart"/>
      <w:r w:rsidRPr="00CA0592">
        <w:rPr>
          <w:rFonts w:cs="Times New Roman"/>
          <w:i/>
          <w:iCs/>
        </w:rPr>
        <w:t>euro</w:t>
      </w:r>
      <w:proofErr w:type="spellEnd"/>
      <w:r w:rsidRPr="00CA0592">
        <w:rPr>
          <w:rFonts w:cs="Times New Roman"/>
        </w:rPr>
        <w:t>).</w:t>
      </w:r>
    </w:p>
    <w:p w:rsidRPr="00CA0592" w:rsidR="005B0CC4" w:rsidP="005B0CC4" w:rsidRDefault="005B0CC4" w14:paraId="1654E058" w14:textId="77777777">
      <w:pPr>
        <w:pStyle w:val="ListParagraph"/>
        <w:widowControl w:val="0"/>
        <w:numPr>
          <w:ilvl w:val="0"/>
          <w:numId w:val="9"/>
        </w:numPr>
        <w:tabs>
          <w:tab w:val="left" w:pos="720"/>
          <w:tab w:val="center" w:pos="4320"/>
          <w:tab w:val="right" w:pos="8640"/>
        </w:tabs>
        <w:rPr>
          <w:rFonts w:cs="Times New Roman"/>
        </w:rPr>
      </w:pPr>
      <w:r w:rsidRPr="00CA0592">
        <w:rPr>
          <w:rFonts w:cs="Times New Roman"/>
        </w:rPr>
        <w:t xml:space="preserve">Institucionālo spēju stiprināšana ITS pakalpojumu attīstībai un nodrošināšanai (izmaksas 2 546 000 – 2 800 600 </w:t>
      </w:r>
      <w:proofErr w:type="spellStart"/>
      <w:r w:rsidRPr="00CA0592">
        <w:rPr>
          <w:rFonts w:cs="Times New Roman"/>
          <w:i/>
          <w:iCs/>
        </w:rPr>
        <w:t>euro</w:t>
      </w:r>
      <w:proofErr w:type="spellEnd"/>
      <w:r w:rsidRPr="00CA0592">
        <w:rPr>
          <w:rFonts w:cs="Times New Roman"/>
        </w:rPr>
        <w:t>).</w:t>
      </w:r>
    </w:p>
    <w:p w:rsidRPr="00CA0592" w:rsidR="005B0CC4" w:rsidP="005B0CC4" w:rsidRDefault="005B0CC4" w14:paraId="512F3CC6" w14:textId="77777777">
      <w:pPr>
        <w:rPr>
          <w:rFonts w:cs="Times New Roman"/>
        </w:rPr>
      </w:pPr>
      <w:r w:rsidRPr="00CA0592">
        <w:rPr>
          <w:rFonts w:cs="Times New Roman"/>
        </w:rPr>
        <w:lastRenderedPageBreak/>
        <w:t>IZPĒTĒ iekļauto priekšlikumu ieviešanai indikatīvi ir nepieciešami ieguldījumi 25,7 milj. EUR apjomā turpmākajos piecos gados. Pēc IZPĒTĒ iekļauto priekšlikumu ieviešanas 10 gados nepieciešams finansējums infrastruktūras uzturēšanai kopumā 46 milj. EUR apmērā.</w:t>
      </w:r>
    </w:p>
    <w:p w:rsidRPr="00CA0592" w:rsidR="005B0CC4" w:rsidP="005B0CC4" w:rsidRDefault="005B0CC4" w14:paraId="22F61701" w14:textId="77777777">
      <w:pPr>
        <w:pStyle w:val="Heading2"/>
      </w:pPr>
      <w:bookmarkStart w:name="_Toc41576574" w:id="35"/>
      <w:r w:rsidRPr="00CA0592">
        <w:t>Esošās situācijas saglabāšanas risks</w:t>
      </w:r>
      <w:bookmarkEnd w:id="35"/>
    </w:p>
    <w:p w:rsidR="005F0A80" w:rsidP="005F0A80" w:rsidRDefault="005B0CC4" w14:paraId="5E798CEE" w14:textId="1BFD9DD6">
      <w:pPr>
        <w:ind w:firstLine="567"/>
        <w:rPr>
          <w:rFonts w:cs="Times New Roman"/>
        </w:rPr>
      </w:pPr>
      <w:bookmarkStart w:name="_Hlk40431942" w:id="36"/>
      <w:r w:rsidRPr="00CA0592">
        <w:rPr>
          <w:rFonts w:cs="Times New Roman"/>
        </w:rPr>
        <w:t xml:space="preserve">Atbilstoši ITS Direktīvas 5.pantam dalībvalstīm ir jāveic vajadzīgie pasākumi, lai nodrošinātu, ka specifikācijas, ko Komisija pieņēmusi saskaņā ar ITS Direktīvas 6.pantu, piemēro ITS lietotnēm un pakalpojumiem atbilstīgi ITS Direktīvas II pielikumā izklāstītajiem </w:t>
      </w:r>
      <w:r w:rsidRPr="00C56154">
        <w:rPr>
          <w:rFonts w:cs="Times New Roman"/>
        </w:rPr>
        <w:t>principiem.</w:t>
      </w:r>
      <w:r w:rsidRPr="00C56154" w:rsidR="00606A48">
        <w:rPr>
          <w:rFonts w:cs="Times New Roman"/>
        </w:rPr>
        <w:t xml:space="preserve"> </w:t>
      </w:r>
      <w:r w:rsidRPr="00C56154" w:rsidR="005F0A80">
        <w:rPr>
          <w:rFonts w:cs="Times New Roman"/>
        </w:rPr>
        <w:t>Tādejādi NPP ieviešana tuvākajā laikā ir ļoti būtiska, to apstiprina arī tas, ka 2020. gada 14. maijā Eiropas Komisija ir ierosinājusi četras pārkāpuma procedūras pret Latvijas Republiku saistībā ar Regulu Nr.885/2013, Regulu Nr.886/2013, Regulu Nr.2015/962, Regulu Nr.2017/1926 neizpildi attiecībā uz valsts piekļuves punkta izveidi</w:t>
      </w:r>
      <w:r w:rsidRPr="00C56154" w:rsidR="002F204E">
        <w:rPr>
          <w:rFonts w:cs="Times New Roman"/>
        </w:rPr>
        <w:t xml:space="preserve"> un atbildē Latvijai ir jāsniedz skaidrs laika grafiks kādā tas tuvākajā laikā tiks izveidots un lielāka kavēšanās var novest pie ievērojamām finanšu sankcijām pret Latviju.</w:t>
      </w:r>
    </w:p>
    <w:p w:rsidRPr="00CA0592" w:rsidR="005B0CC4" w:rsidP="005B0CC4" w:rsidRDefault="005B0CC4" w14:paraId="451C1FF3" w14:textId="7F4468F1">
      <w:pPr>
        <w:ind w:firstLine="567"/>
        <w:rPr>
          <w:rFonts w:cs="Times New Roman"/>
        </w:rPr>
      </w:pPr>
    </w:p>
    <w:bookmarkEnd w:id="36"/>
    <w:p w:rsidRPr="00CA0592" w:rsidR="00FF18F2" w:rsidRDefault="00FF18F2" w14:paraId="2591C04E" w14:textId="77777777">
      <w:pPr>
        <w:ind w:firstLine="0"/>
        <w:contextualSpacing w:val="0"/>
        <w:jc w:val="left"/>
        <w:rPr>
          <w:rFonts w:cs="Times New Roman"/>
          <w:b/>
          <w:caps/>
          <w:sz w:val="28"/>
        </w:rPr>
      </w:pPr>
      <w:r w:rsidRPr="00CA0592">
        <w:br w:type="page"/>
      </w:r>
    </w:p>
    <w:p w:rsidRPr="00CA0592" w:rsidR="005B0CC4" w:rsidP="005B0CC4" w:rsidRDefault="00FC78B2" w14:paraId="2F0DFD47" w14:textId="4D82E070">
      <w:pPr>
        <w:pStyle w:val="Heading1"/>
        <w:jc w:val="center"/>
      </w:pPr>
      <w:bookmarkStart w:name="_Toc41576575" w:id="37"/>
      <w:r w:rsidRPr="00CA0592">
        <w:lastRenderedPageBreak/>
        <w:t>TRANSPORTA NOZARES</w:t>
      </w:r>
      <w:r w:rsidRPr="00CA0592" w:rsidR="005B0CC4">
        <w:t xml:space="preserve"> </w:t>
      </w:r>
      <w:r w:rsidRPr="00CA0592">
        <w:t>INFORMĀCIJAS</w:t>
      </w:r>
      <w:r w:rsidRPr="00CA0592" w:rsidR="005B0CC4">
        <w:t xml:space="preserve"> </w:t>
      </w:r>
      <w:r w:rsidRPr="00CA0592">
        <w:t>NACIONĀLĀ</w:t>
      </w:r>
      <w:r w:rsidRPr="00CA0592" w:rsidR="005B0CC4">
        <w:t xml:space="preserve"> </w:t>
      </w:r>
      <w:r w:rsidRPr="00CA0592" w:rsidR="00A634AB">
        <w:t>P</w:t>
      </w:r>
      <w:r w:rsidR="00A634AB">
        <w:t>IE</w:t>
      </w:r>
      <w:r w:rsidRPr="00CA0592" w:rsidR="00A634AB">
        <w:t xml:space="preserve">KĻUVES </w:t>
      </w:r>
      <w:r w:rsidRPr="00CA0592">
        <w:t>PUNKTA IZVEIDOŠANA</w:t>
      </w:r>
      <w:bookmarkEnd w:id="37"/>
    </w:p>
    <w:p w:rsidRPr="00CA0592" w:rsidR="005B0CC4" w:rsidP="005B0CC4" w:rsidRDefault="005B0CC4" w14:paraId="58535805" w14:textId="77777777">
      <w:pPr>
        <w:pStyle w:val="Heading2"/>
      </w:pPr>
      <w:bookmarkStart w:name="_Toc41576576" w:id="38"/>
      <w:r w:rsidRPr="00CA0592">
        <w:t>NPP izveidošanas mērķis</w:t>
      </w:r>
      <w:bookmarkEnd w:id="38"/>
    </w:p>
    <w:p w:rsidRPr="00CA0592" w:rsidR="005B0CC4" w:rsidP="005B0CC4" w:rsidRDefault="005B0CC4" w14:paraId="20A4F6A3" w14:textId="77777777">
      <w:pPr>
        <w:widowControl w:val="0"/>
        <w:spacing w:before="40" w:after="40"/>
        <w:ind w:left="57" w:right="57" w:firstLine="510"/>
        <w:rPr>
          <w:rFonts w:cs="Times New Roman"/>
        </w:rPr>
      </w:pPr>
      <w:r w:rsidRPr="00CA0592">
        <w:rPr>
          <w:rFonts w:cs="Times New Roman"/>
        </w:rPr>
        <w:t>Tiek plānots, ka īstenojot šos projektu</w:t>
      </w:r>
      <w:r w:rsidRPr="00CA0592">
        <w:t xml:space="preserve">s (projektu 1.1., projektu 3.) </w:t>
      </w:r>
      <w:r w:rsidRPr="00CA0592">
        <w:rPr>
          <w:rFonts w:cs="Times New Roman"/>
        </w:rPr>
        <w:t xml:space="preserve">tiks izpildītas ITS Direktīvas, Regulu Nr.886/2013, Nr.885/2013, Nr.2015/962 un Nr.2017/1926 prasības, tiks nodrošināta efektīva satiksmes, autoceļu, stāvlaukumu, maršrutu un ar satiksmes drošību saistītu datu pieejamība, datu apmaiņa, atkārtota izmantošana un to atjaunināšana atbilstoši šajās regulās noteiktajiem standartiem. Uzlabojoties iepriekšminēto datu apritei, šajās jomās attīstīsies ITS lietotnes un pakalpojumi, kas savukārt uzlabos ceļu satiksmes drošību, braukšanas komfortu, samazinās ceļu satiksmes dalībnieku laiku ceļā, veidos autotransporta ekspluatācijas izmaksu ietaupījumu, samazinās siltumnīcas efektu izraisošo gāzu emisijas un gaisa piesārņojumu, tādējādi sniedzot ieguldījumu pārejā uz </w:t>
      </w:r>
      <w:proofErr w:type="spellStart"/>
      <w:r w:rsidRPr="00CA0592">
        <w:rPr>
          <w:rFonts w:cs="Times New Roman"/>
        </w:rPr>
        <w:t>klimatneitrālu</w:t>
      </w:r>
      <w:proofErr w:type="spellEnd"/>
      <w:r w:rsidRPr="00CA0592">
        <w:rPr>
          <w:rFonts w:cs="Times New Roman"/>
        </w:rPr>
        <w:t xml:space="preserve"> ekonomiku. Lielākie ieguvēji no NPP izveides un datu pieejamības būs to lietotāji, kuri būtu iedalāmi divās </w:t>
      </w:r>
      <w:proofErr w:type="spellStart"/>
      <w:r w:rsidRPr="00CA0592">
        <w:rPr>
          <w:rFonts w:cs="Times New Roman"/>
        </w:rPr>
        <w:t>pamatgrupās</w:t>
      </w:r>
      <w:proofErr w:type="spellEnd"/>
      <w:r w:rsidRPr="00CA0592">
        <w:rPr>
          <w:rFonts w:cs="Times New Roman"/>
        </w:rPr>
        <w:t xml:space="preserve">: 1. – satiksmes dalībnieki, kas tiktu apgādāti ar daudzveidīgu satiksmes informāciju un drošības risinājumiem; 2. - dienesti un pakalpojumu sniedzēji (ceļu pārvaldītāji, VUGD, Valsts policija, navigācijas pakalpojumu sniedzēji u.c.), kas saņemtu efektīvus instrumentus satiksmes vadībai, kontrolei, kvalitatīvu pakalpojumu sniegšanai u.c. vajadzībām. Transporta nozares informācijas nacionālā piekļuves punkta izveide sekmēs vispārējo sabiedrības </w:t>
      </w:r>
      <w:proofErr w:type="spellStart"/>
      <w:r w:rsidRPr="00CA0592">
        <w:rPr>
          <w:rFonts w:cs="Times New Roman"/>
        </w:rPr>
        <w:t>digitalizācijas</w:t>
      </w:r>
      <w:proofErr w:type="spellEnd"/>
      <w:r w:rsidRPr="00CA0592">
        <w:rPr>
          <w:rFonts w:cs="Times New Roman"/>
        </w:rPr>
        <w:t xml:space="preserve"> līmeņa paaugstināšanos, radot multiplikatora efektu saistītajās nozarēs.</w:t>
      </w:r>
    </w:p>
    <w:p w:rsidRPr="00CA0592" w:rsidR="005B0CC4" w:rsidP="005B0CC4" w:rsidRDefault="005B0CC4" w14:paraId="73968462" w14:textId="6856827A">
      <w:pPr>
        <w:widowControl w:val="0"/>
        <w:spacing w:before="40" w:after="40"/>
        <w:ind w:left="57" w:right="57" w:firstLine="510"/>
        <w:rPr>
          <w:rFonts w:cs="Times New Roman"/>
        </w:rPr>
      </w:pPr>
      <w:r w:rsidRPr="00CA0592">
        <w:rPr>
          <w:rFonts w:cs="Times New Roman"/>
        </w:rPr>
        <w:t xml:space="preserve">Tiek plānots, ka ar NPP starpniecību tiks sniegti visi mašīnlasāmā formātā pieejamie ITS Direktīvas izrietošo </w:t>
      </w:r>
      <w:proofErr w:type="spellStart"/>
      <w:r w:rsidRPr="00CA0592">
        <w:rPr>
          <w:rFonts w:cs="Times New Roman"/>
        </w:rPr>
        <w:t>deleģeto</w:t>
      </w:r>
      <w:proofErr w:type="spellEnd"/>
      <w:r w:rsidRPr="00CA0592">
        <w:rPr>
          <w:rFonts w:cs="Times New Roman"/>
        </w:rPr>
        <w:t xml:space="preserve"> regulu noteiktie dati, </w:t>
      </w:r>
      <w:r w:rsidR="00526750">
        <w:rPr>
          <w:rFonts w:cs="Times New Roman"/>
        </w:rPr>
        <w:t>tostarp</w:t>
      </w:r>
      <w:r w:rsidRPr="00CA0592">
        <w:rPr>
          <w:rFonts w:cs="Times New Roman"/>
        </w:rPr>
        <w:t xml:space="preserve"> arī dinamiskie maršruta un satiksmes dati, kuriem Regulā Nr.2017/1926 5. panta 1. punktā dalībvalstīm ir atstāta izvēles brīvība sniegt šos datus izmantojot NPP, jo valstī nav un netiek plānoti citi risinājumi šo datu sniegšanai.</w:t>
      </w:r>
    </w:p>
    <w:p w:rsidRPr="00CA0592" w:rsidR="005B0CC4" w:rsidP="005B0CC4" w:rsidRDefault="005B0CC4" w14:paraId="70619424" w14:textId="77777777">
      <w:pPr>
        <w:widowControl w:val="0"/>
        <w:spacing w:before="40" w:after="40"/>
        <w:ind w:left="57" w:right="57" w:firstLine="510"/>
        <w:rPr>
          <w:rFonts w:cs="Times New Roman"/>
        </w:rPr>
      </w:pPr>
      <w:r w:rsidRPr="00CA0592">
        <w:rPr>
          <w:rFonts w:cs="Times New Roman"/>
        </w:rPr>
        <w:t>NPP izveides ietvaros ir jāvērtē iespēja īstenot risinājumus saistībā ar transporta pārvadājumu dokumentācijas elektronisko apriti. Izmantojot NPP nākotnē, varēs izvairīties no līdzīgu “vienas pieturas punktu” risinājumu izveides.</w:t>
      </w:r>
    </w:p>
    <w:p w:rsidRPr="00CA0592" w:rsidR="005B0CC4" w:rsidP="00FF18F2" w:rsidRDefault="005B0CC4" w14:paraId="38402A78" w14:textId="77777777">
      <w:pPr>
        <w:pStyle w:val="Heading3"/>
      </w:pPr>
      <w:bookmarkStart w:name="_Ref40687645" w:id="39"/>
      <w:bookmarkStart w:name="_Toc41576577" w:id="40"/>
      <w:r w:rsidRPr="00CA0592">
        <w:t>NPP pārvaldība un normatīvais regulējums</w:t>
      </w:r>
      <w:bookmarkEnd w:id="39"/>
      <w:bookmarkEnd w:id="40"/>
    </w:p>
    <w:p w:rsidRPr="00CA0592" w:rsidR="005B0CC4" w:rsidP="005B0CC4" w:rsidRDefault="005B0CC4" w14:paraId="39695DBE" w14:textId="77777777">
      <w:pPr>
        <w:widowControl w:val="0"/>
        <w:spacing w:before="40" w:after="40"/>
        <w:ind w:left="57" w:right="57" w:firstLine="510"/>
        <w:rPr>
          <w:rFonts w:cs="Times New Roman"/>
        </w:rPr>
      </w:pPr>
      <w:r w:rsidRPr="00CA0592">
        <w:rPr>
          <w:rFonts w:cs="Times New Roman"/>
        </w:rPr>
        <w:t>Praktiski visās ES valstīs par ITS ir atbildīgas satiksmes ministrijas vai satiksmes ministrijai pielīdzināmās ministrijas, tādējādi par atbildīgo institūciju, kas koordinē un organizē ITS politikas izstrādi un īstenošanu,</w:t>
      </w:r>
      <w:r w:rsidRPr="00CA0592" w:rsidDel="007035EC">
        <w:rPr>
          <w:rFonts w:cs="Times New Roman"/>
        </w:rPr>
        <w:t xml:space="preserve"> </w:t>
      </w:r>
      <w:r w:rsidRPr="00CA0592">
        <w:rPr>
          <w:rFonts w:cs="Times New Roman"/>
        </w:rPr>
        <w:t>būtu nepieciešams noteikt Satiksmes ministriju. Savukārt par NPP praktiski visās ES valstīs ir atbildīgas valsts ceļu administrācijas, tāpēc par NPP izveidi un turpmāko pārvaldīšanu ir nepieciešams nozīmēt VAS “Latvijas Valsts ceļi”. Šim nolūkam ir nepieciešams veikt grozījumus Ministru kabineta 2003. gada 29. aprīļa noteikumos Nr.242 “Satiksmes ministrijas nolikums”.</w:t>
      </w:r>
    </w:p>
    <w:p w:rsidRPr="00CA0592" w:rsidR="005B0CC4" w:rsidP="005B0CC4" w:rsidRDefault="005B0CC4" w14:paraId="1A3E04A3" w14:textId="77777777">
      <w:pPr>
        <w:widowControl w:val="0"/>
        <w:spacing w:before="40" w:after="40"/>
        <w:ind w:right="57" w:firstLine="510"/>
      </w:pPr>
      <w:r w:rsidRPr="00CA0592">
        <w:rPr>
          <w:rFonts w:cs="Times New Roman"/>
        </w:rPr>
        <w:t>Ar 2012. gada 27. marta grozījumiem Ceļu satiksmes likuma 1. panta 10.</w:t>
      </w:r>
      <w:r w:rsidRPr="00CA0592">
        <w:rPr>
          <w:rFonts w:cs="Times New Roman"/>
          <w:vertAlign w:val="superscript"/>
        </w:rPr>
        <w:t>1</w:t>
      </w:r>
      <w:r w:rsidRPr="00CA0592">
        <w:rPr>
          <w:rFonts w:cs="Times New Roman"/>
        </w:rPr>
        <w:t> punktā tika definēts, kas ir inteliģentas</w:t>
      </w:r>
      <w:r w:rsidRPr="00CA0592">
        <w:rPr>
          <w:rStyle w:val="FootnoteReference"/>
          <w:rFonts w:cs="Times New Roman"/>
        </w:rPr>
        <w:footnoteReference w:id="17"/>
      </w:r>
      <w:r w:rsidRPr="00CA0592">
        <w:rPr>
          <w:rFonts w:cs="Times New Roman"/>
        </w:rPr>
        <w:t xml:space="preserve"> transporta sistēmas, tika ieviesta jauna nodaļa “VI</w:t>
      </w:r>
      <w:r w:rsidRPr="00CA0592">
        <w:rPr>
          <w:rFonts w:cs="Times New Roman"/>
          <w:vertAlign w:val="superscript"/>
        </w:rPr>
        <w:t>1 </w:t>
      </w:r>
      <w:r w:rsidRPr="00CA0592">
        <w:rPr>
          <w:rFonts w:cs="Times New Roman"/>
        </w:rPr>
        <w:t>Inteliģentas transporta sistēmas”, kā arī jauns pants “42.</w:t>
      </w:r>
      <w:r w:rsidRPr="00CA0592">
        <w:rPr>
          <w:rFonts w:cs="Times New Roman"/>
          <w:vertAlign w:val="superscript"/>
        </w:rPr>
        <w:t>1</w:t>
      </w:r>
      <w:r w:rsidRPr="00CA0592">
        <w:rPr>
          <w:rFonts w:cs="Times New Roman"/>
        </w:rPr>
        <w:t xml:space="preserve"> pants “Inteliģento transporta sistēmu mērķis un darbība”. Lai noteiktu </w:t>
      </w:r>
      <w:r w:rsidRPr="00CA0592">
        <w:t>pienākumus</w:t>
      </w:r>
      <w:r w:rsidRPr="00CA0592">
        <w:rPr>
          <w:rFonts w:cs="Times New Roman"/>
        </w:rPr>
        <w:t xml:space="preserve"> datu sniegšanai transporta nozares nacionālajā piekļuves punktā, nepieciešams veikt grozījumus Ceļu </w:t>
      </w:r>
      <w:r w:rsidRPr="00CA0592">
        <w:rPr>
          <w:rFonts w:cs="Times New Roman"/>
        </w:rPr>
        <w:lastRenderedPageBreak/>
        <w:t>satiksmes likumā, papildus ir nepieciešams paredzēt deleģējumu Ministru kabinetam noteikt kārtību, kādā dati sniedzami NPP.</w:t>
      </w:r>
    </w:p>
    <w:p w:rsidRPr="00CA0592" w:rsidR="005B0CC4" w:rsidP="005B0CC4" w:rsidRDefault="005B0CC4" w14:paraId="5844A70C" w14:textId="77777777">
      <w:pPr>
        <w:widowControl w:val="0"/>
        <w:spacing w:before="40" w:after="40"/>
        <w:ind w:right="57" w:firstLine="510"/>
        <w:rPr>
          <w:rFonts w:cs="Times New Roman"/>
        </w:rPr>
      </w:pPr>
      <w:r w:rsidRPr="00CA0592">
        <w:t xml:space="preserve">Lielāka daļa pienākumu (sniegt datus NPP, ja tādi institūcijai ir pieejami mašīnlasāmā formātā) jau noteiktas ITS Direktīvas izrietošajās </w:t>
      </w:r>
      <w:proofErr w:type="spellStart"/>
      <w:r w:rsidRPr="00CA0592">
        <w:t>deleģetajās</w:t>
      </w:r>
      <w:proofErr w:type="spellEnd"/>
      <w:r w:rsidRPr="00CA0592">
        <w:t xml:space="preserve"> regulās atbilstoši LESD 288. pantam, kas nosaka, ka regulas ir </w:t>
      </w:r>
      <w:proofErr w:type="spellStart"/>
      <w:r w:rsidRPr="00CA0592">
        <w:t>vispārpiemērojamas</w:t>
      </w:r>
      <w:proofErr w:type="spellEnd"/>
      <w:r w:rsidRPr="00CA0592">
        <w:t>, tas nozīmē, ka regula kļūst par ES dalībvalsts nacionālo tiesību kopuma daļu bez nacionālo tiesību starpniecības. Vēl precīzāk definēt pienākumus ārpus ITS Direktīvas izrietošo Deleģēto regulu tvēruma, būs iespējams pēc konsultatīvā pakalpojuma un NPP specifikāciju izstrādes.</w:t>
      </w:r>
    </w:p>
    <w:p w:rsidRPr="00CA0592" w:rsidR="005B0CC4" w:rsidP="005B0CC4" w:rsidRDefault="005B0CC4" w14:paraId="5CC95C49" w14:textId="77777777">
      <w:pPr>
        <w:widowControl w:val="0"/>
        <w:spacing w:before="40" w:after="40"/>
        <w:ind w:right="57" w:firstLine="510"/>
        <w:rPr>
          <w:rFonts w:cs="Times New Roman"/>
        </w:rPr>
      </w:pPr>
      <w:r w:rsidRPr="00CA0592">
        <w:rPr>
          <w:rFonts w:cs="Times New Roman"/>
        </w:rPr>
        <w:t xml:space="preserve">Tiek plānots NPP veidot uz SIC datu bāzes un tehniskā un cilvēkresursu nodrošinājuma pamata, atbilstoši ES praksei, kur NPP lielākoties atrodas valsts ceļu </w:t>
      </w:r>
      <w:proofErr w:type="spellStart"/>
      <w:r w:rsidRPr="00CA0592">
        <w:rPr>
          <w:rFonts w:cs="Times New Roman"/>
        </w:rPr>
        <w:t>administrātoru</w:t>
      </w:r>
      <w:proofErr w:type="spellEnd"/>
      <w:r w:rsidRPr="00CA0592">
        <w:rPr>
          <w:rFonts w:cs="Times New Roman"/>
        </w:rPr>
        <w:t xml:space="preserve"> pakļautībā.</w:t>
      </w:r>
    </w:p>
    <w:p w:rsidR="005B0CC4" w:rsidP="005B0CC4" w:rsidRDefault="005B0CC4" w14:paraId="33E6500F" w14:textId="1A99EE0B">
      <w:pPr>
        <w:ind w:firstLine="510"/>
        <w:rPr>
          <w:rFonts w:eastAsia="Times New Roman" w:cs="Times New Roman"/>
          <w:color w:val="000000" w:themeColor="text1"/>
          <w:lang w:eastAsia="en-AU"/>
        </w:rPr>
      </w:pPr>
      <w:r w:rsidRPr="00CA0592">
        <w:rPr>
          <w:rFonts w:cs="Times New Roman"/>
        </w:rPr>
        <w:t xml:space="preserve">LVC SIC tiek finansēts no Satiksmes ministrijas budžeta apakšprogrammas </w:t>
      </w:r>
      <w:r w:rsidRPr="00CA0592">
        <w:rPr>
          <w:rFonts w:eastAsia="Times New Roman" w:cs="Times New Roman"/>
          <w:color w:val="000000" w:themeColor="text1"/>
          <w:u w:val="single"/>
          <w:lang w:eastAsia="en-AU"/>
        </w:rPr>
        <w:t xml:space="preserve">23.07.00 </w:t>
      </w:r>
      <w:r w:rsidRPr="00CA0592">
        <w:rPr>
          <w:rFonts w:eastAsia="Times New Roman" w:cs="Times New Roman"/>
          <w:color w:val="000000" w:themeColor="text1"/>
          <w:lang w:eastAsia="en-AU"/>
        </w:rPr>
        <w:t>“Valsts autoceļu pārvaldīšana” finansējuma, kas 2021.gadā un turpmāk plānots 11 666 000 EUR apmērā.</w:t>
      </w:r>
    </w:p>
    <w:p w:rsidRPr="00CA0592" w:rsidR="005B0CC4" w:rsidP="005B0CC4" w:rsidRDefault="009D18A0" w14:paraId="259A2CBD" w14:textId="7AEF1A39">
      <w:pPr>
        <w:widowControl w:val="0"/>
        <w:spacing w:before="40" w:after="40"/>
        <w:ind w:right="57" w:firstLine="510"/>
        <w:rPr>
          <w:rFonts w:cs="Times New Roman"/>
        </w:rPr>
      </w:pPr>
      <w:r w:rsidRPr="009D18A0">
        <w:rPr>
          <w:rFonts w:eastAsia="Times New Roman" w:cs="Times New Roman"/>
          <w:color w:val="000000" w:themeColor="text1"/>
          <w:lang w:eastAsia="en-AU"/>
        </w:rPr>
        <w:t>Lai sekmētu vienota valsts un pašvaldību ceļu tīkla izveidi Latvijā un veicinātu datu par pašvaldību ceļiem un ielām iesniegšanu mašīnlasāmā formātā</w:t>
      </w:r>
      <w:r>
        <w:rPr>
          <w:rFonts w:eastAsia="Times New Roman" w:cs="Times New Roman"/>
          <w:color w:val="000000" w:themeColor="text1"/>
          <w:lang w:eastAsia="en-AU"/>
        </w:rPr>
        <w:t>,</w:t>
      </w:r>
      <w:r w:rsidRPr="009D18A0">
        <w:rPr>
          <w:rFonts w:eastAsia="Times New Roman" w:cs="Times New Roman"/>
          <w:color w:val="000000" w:themeColor="text1"/>
          <w:lang w:eastAsia="en-AU"/>
        </w:rPr>
        <w:t xml:space="preserve"> ir nepieciešams izstrādāt grozījumus Ministru kabineta 2017. gada 27. jūnija noteikumos Nr.361 “Pašvaldību ceļu un ielu reģistrācijas un uzskaites kārtība”.</w:t>
      </w:r>
    </w:p>
    <w:p w:rsidRPr="00CA0592" w:rsidR="005B0CC4" w:rsidP="005B0CC4" w:rsidRDefault="005B0CC4" w14:paraId="26B3079C" w14:textId="77777777">
      <w:pPr>
        <w:ind w:firstLine="510"/>
        <w:rPr>
          <w:rFonts w:cs="Times New Roman"/>
        </w:rPr>
      </w:pPr>
      <w:r w:rsidRPr="00CA0592">
        <w:rPr>
          <w:rFonts w:cs="Times New Roman"/>
        </w:rPr>
        <w:t xml:space="preserve">Papildus iepriekš minētajam, nepieciešams izvērtēt transporta nozares informācijas nacionālā (valsts) piekļuves punkta datu centra iespējamo atrašanās vietu, citu starpā izvērtējot iespēju izmantot esošos valsts resursus, piemēram, valsts akciju sabiedrības "Latvijas Valsts radio un televīzijas centrs" datu centrs. </w:t>
      </w:r>
    </w:p>
    <w:p w:rsidRPr="00CA0592" w:rsidR="005B0CC4" w:rsidP="00FF18F2" w:rsidRDefault="005B0CC4" w14:paraId="77E4258B" w14:textId="6EFFD14A">
      <w:pPr>
        <w:pStyle w:val="Heading3"/>
      </w:pPr>
      <w:bookmarkStart w:name="_Toc41576578" w:id="41"/>
      <w:r w:rsidRPr="00CA0592">
        <w:t>NPP izveides rezultatīvie rādītāji</w:t>
      </w:r>
      <w:bookmarkEnd w:id="41"/>
    </w:p>
    <w:p w:rsidRPr="00CA0592" w:rsidR="005B0CC4" w:rsidP="005B0CC4" w:rsidRDefault="005B0CC4" w14:paraId="33757BA3" w14:textId="77777777">
      <w:pPr>
        <w:ind w:firstLine="576"/>
      </w:pPr>
      <w:bookmarkStart w:name="_Hlk39755523" w:id="42"/>
      <w:r w:rsidRPr="00CA0592">
        <w:t xml:space="preserve">Indikatīvi sasniedzamais rezultatīvais rādītājs īstenojot Projektu 1.1. un Projektu 3. ir līdz 2023. gadam NPP nodrošināt visiem pieejamas un </w:t>
      </w:r>
      <w:proofErr w:type="spellStart"/>
      <w:r w:rsidRPr="00CA0592">
        <w:t>atkalizmantojamas</w:t>
      </w:r>
      <w:proofErr w:type="spellEnd"/>
      <w:r w:rsidRPr="00CA0592">
        <w:t xml:space="preserve"> vismaz 20 datu kategorijas. Rādītājs tiktu uzskatīts par izpildītu, ja dati NPP ir publiski pieejami </w:t>
      </w:r>
      <w:proofErr w:type="spellStart"/>
      <w:r w:rsidRPr="00CA0592">
        <w:t>atkalizmantošanai</w:t>
      </w:r>
      <w:proofErr w:type="spellEnd"/>
      <w:r w:rsidRPr="00CA0592">
        <w:t xml:space="preserve"> ITS Deleģētajās regulās noteiktā mašīnlasāmā formātā.</w:t>
      </w:r>
      <w:bookmarkEnd w:id="42"/>
    </w:p>
    <w:p w:rsidRPr="00CA0592" w:rsidR="005B0CC4" w:rsidP="00FF18F2" w:rsidRDefault="005B0CC4" w14:paraId="0062F88D" w14:textId="4820E14A">
      <w:pPr>
        <w:pStyle w:val="Heading3"/>
      </w:pPr>
      <w:bookmarkStart w:name="_Toc41576579" w:id="43"/>
      <w:r w:rsidRPr="00CA0592">
        <w:t xml:space="preserve">NPP izveides iespējamais </w:t>
      </w:r>
      <w:r w:rsidR="004C67D9">
        <w:t xml:space="preserve">administratīvais slogs un </w:t>
      </w:r>
      <w:r w:rsidRPr="00CA0592">
        <w:t>sociālekonomiskais ieguvums</w:t>
      </w:r>
      <w:bookmarkEnd w:id="43"/>
    </w:p>
    <w:p w:rsidRPr="00CA0592" w:rsidR="005B0CC4" w:rsidP="005B0CC4" w:rsidRDefault="005B0CC4" w14:paraId="247FE86C" w14:textId="77777777">
      <w:pPr>
        <w:ind w:firstLine="567"/>
      </w:pPr>
      <w:bookmarkStart w:name="_Hlk39755556" w:id="44"/>
      <w:r w:rsidRPr="00CA0592">
        <w:t xml:space="preserve">IZPĒTES 5.3. nodaļā ir atrodams ITS pakalpojumu finansiālās un ekonomiskās ietekmes </w:t>
      </w:r>
      <w:proofErr w:type="spellStart"/>
      <w:r w:rsidRPr="00CA0592">
        <w:t>detaizēts</w:t>
      </w:r>
      <w:proofErr w:type="spellEnd"/>
      <w:r w:rsidRPr="00CA0592">
        <w:t xml:space="preserve"> </w:t>
      </w:r>
      <w:proofErr w:type="spellStart"/>
      <w:r w:rsidRPr="00CA0592">
        <w:t>izvērtējums</w:t>
      </w:r>
      <w:proofErr w:type="spellEnd"/>
      <w:r w:rsidRPr="00CA0592">
        <w:t xml:space="preserve"> un veikts ITS stratēģijā iekļauto pasākumu un projektu ieguldījumu </w:t>
      </w:r>
      <w:proofErr w:type="spellStart"/>
      <w:r w:rsidRPr="00CA0592">
        <w:t>atdeves</w:t>
      </w:r>
      <w:proofErr w:type="spellEnd"/>
      <w:r w:rsidRPr="00CA0592">
        <w:t xml:space="preserve"> efekta novērtējums, ja tiek īstenoti visi IZPĒTĒ identificētie prioritāri ieviešamie projekti. IZPĒTĒ secināts, ka kopējais sociālekonomisko ieguvumu apjoms sasniegtu 16 279 066 EUR/gadā.</w:t>
      </w:r>
    </w:p>
    <w:p w:rsidRPr="00CA0592" w:rsidR="005B0CC4" w:rsidP="005B0CC4" w:rsidRDefault="005B0CC4" w14:paraId="5A044A67" w14:textId="08BAC6EE">
      <w:pPr>
        <w:ind w:firstLine="567"/>
      </w:pPr>
      <w:r w:rsidRPr="00CA0592">
        <w:t xml:space="preserve">No IZPĒTĒ veiktā aprēķina nav iespējams izdalīt tikai NPP ieviešanas sociālekonomisko ieguvumu, jo NPP ir uzskatāms par ITS pakalpojumu pamatakmeni, kas nozīmē, ka bez tā nav iespējama veiksmīga citu ITS pakalpojumu pilnvērtīga ieviešana. </w:t>
      </w:r>
    </w:p>
    <w:p w:rsidRPr="00CA0592" w:rsidR="005B0CC4" w:rsidP="005B0CC4" w:rsidRDefault="005B0CC4" w14:paraId="252303F3" w14:textId="77777777">
      <w:pPr>
        <w:pStyle w:val="Heading2"/>
      </w:pPr>
      <w:bookmarkStart w:name="_Toc41576580" w:id="45"/>
      <w:r w:rsidRPr="00CA0592">
        <w:t>NPP izveides riski</w:t>
      </w:r>
      <w:bookmarkEnd w:id="45"/>
    </w:p>
    <w:p w:rsidRPr="00CA0592" w:rsidR="005B0CC4" w:rsidP="005B0CC4" w:rsidRDefault="005B0CC4" w14:paraId="17064532" w14:textId="77777777">
      <w:pPr>
        <w:ind w:left="567" w:firstLine="0"/>
      </w:pPr>
      <w:r w:rsidRPr="00CA0592">
        <w:t>Netiek saskatīti NPP izveides riski.</w:t>
      </w:r>
    </w:p>
    <w:p w:rsidRPr="00CA0592" w:rsidR="005B0CC4" w:rsidP="005B0CC4" w:rsidRDefault="005B0CC4" w14:paraId="006E4460" w14:textId="28BCDB09">
      <w:pPr>
        <w:pStyle w:val="Heading2"/>
      </w:pPr>
      <w:bookmarkStart w:name="_Toc41576581" w:id="46"/>
      <w:r w:rsidRPr="00CA0592">
        <w:lastRenderedPageBreak/>
        <w:t>NPP izveides ietekme uz valsts budžetu</w:t>
      </w:r>
      <w:bookmarkEnd w:id="46"/>
    </w:p>
    <w:bookmarkEnd w:id="44"/>
    <w:p w:rsidRPr="00CA0592" w:rsidR="005B0CC4" w:rsidP="005B0CC4" w:rsidRDefault="005B0CC4" w14:paraId="1A72A628" w14:textId="77777777">
      <w:pPr>
        <w:ind w:firstLine="567"/>
        <w:rPr>
          <w:rFonts w:cs="Times New Roman"/>
        </w:rPr>
      </w:pPr>
      <w:r w:rsidRPr="00CA0592">
        <w:rPr>
          <w:rFonts w:cs="Times New Roman"/>
        </w:rPr>
        <w:t>Izvērtējot IZPĒTĒ identificētos prioritāri ieviešamos ITS projektus, tika apzināts, ka tikai visu šo projektu ieviešana var nodrošināt IZPĒTĒ definēto mērķu sasniegšanu pilnā apmērā, taču ierobežota valsts finansējuma apstākļos, ieviešanai tika izvirzīti tikai divi ITS projekti ar visaugstāko prioritāti (kas ir visu pārējo projektu pamatā), kuru nepieciešamību nosaka arī ITS Direktīva un no ITS Direktīvas izrietošo Deleģēto aktu prasības:</w:t>
      </w:r>
    </w:p>
    <w:p w:rsidRPr="00CA0592" w:rsidR="005B0CC4" w:rsidP="005B0CC4" w:rsidRDefault="005B0CC4" w14:paraId="3B5CFD03" w14:textId="77777777">
      <w:pPr>
        <w:rPr>
          <w:rFonts w:cs="Times New Roman"/>
        </w:rPr>
      </w:pPr>
      <w:r w:rsidRPr="00CA0592">
        <w:rPr>
          <w:rFonts w:cs="Times New Roman"/>
        </w:rPr>
        <w:t>Projekts 1.1. Nacionālā piekļuves punkta izstrāde un ieviešana;</w:t>
      </w:r>
    </w:p>
    <w:p w:rsidRPr="00CA0592" w:rsidR="005B0CC4" w:rsidP="005B0CC4" w:rsidRDefault="005B0CC4" w14:paraId="79632391" w14:textId="77777777">
      <w:pPr>
        <w:ind w:left="720" w:firstLine="0"/>
        <w:rPr>
          <w:rFonts w:cs="Times New Roman"/>
        </w:rPr>
      </w:pPr>
      <w:r w:rsidRPr="00CA0592">
        <w:rPr>
          <w:rFonts w:cs="Times New Roman"/>
        </w:rPr>
        <w:t>Projekts 3. Institucionālo spēju stiprināšana ITS pakalpojumu attīstībai un nodrošināšanai.</w:t>
      </w:r>
    </w:p>
    <w:p w:rsidRPr="00CA0592" w:rsidR="005B0CC4" w:rsidP="005B0CC4" w:rsidRDefault="005B0CC4" w14:paraId="6B587CD1" w14:textId="77777777">
      <w:pPr>
        <w:rPr>
          <w:rFonts w:cs="Times New Roman"/>
        </w:rPr>
      </w:pPr>
      <w:r w:rsidRPr="00CA0592">
        <w:rPr>
          <w:rFonts w:cs="Times New Roman"/>
        </w:rPr>
        <w:t>Projekta 1.1. mērķis ir izveidot NPP atbilstoši ITS Direktīvai un no ITS Direktīvas izrietošajiem deleģētajiem aktiem:</w:t>
      </w:r>
    </w:p>
    <w:p w:rsidRPr="00CA0592" w:rsidR="005B0CC4" w:rsidP="005B0CC4" w:rsidRDefault="005B0CC4" w14:paraId="3CB9439B" w14:textId="77777777">
      <w:pPr>
        <w:pStyle w:val="Bulletpoints"/>
        <w:numPr>
          <w:ilvl w:val="0"/>
          <w:numId w:val="18"/>
        </w:numPr>
      </w:pPr>
      <w:r w:rsidRPr="00CA0592">
        <w:t>Regula Nr.886/2013,</w:t>
      </w:r>
    </w:p>
    <w:p w:rsidRPr="00CA0592" w:rsidR="005B0CC4" w:rsidP="005B0CC4" w:rsidRDefault="005B0CC4" w14:paraId="2A635785" w14:textId="77777777">
      <w:pPr>
        <w:pStyle w:val="Bulletpoints"/>
        <w:numPr>
          <w:ilvl w:val="0"/>
          <w:numId w:val="18"/>
        </w:numPr>
      </w:pPr>
      <w:r w:rsidRPr="00CA0592">
        <w:t xml:space="preserve">Regula Nr.885/2013, </w:t>
      </w:r>
    </w:p>
    <w:p w:rsidRPr="00CA0592" w:rsidR="005B0CC4" w:rsidP="005B0CC4" w:rsidRDefault="005B0CC4" w14:paraId="4021445C" w14:textId="77777777">
      <w:pPr>
        <w:pStyle w:val="Bulletpoints"/>
        <w:numPr>
          <w:ilvl w:val="0"/>
          <w:numId w:val="18"/>
        </w:numPr>
      </w:pPr>
      <w:r w:rsidRPr="00CA0592">
        <w:t>Regula Nr.2015/962,</w:t>
      </w:r>
    </w:p>
    <w:p w:rsidRPr="00CA0592" w:rsidR="005B0CC4" w:rsidP="005B0CC4" w:rsidRDefault="005B0CC4" w14:paraId="57485C5B" w14:textId="77777777">
      <w:pPr>
        <w:pStyle w:val="Bulletpoints"/>
        <w:numPr>
          <w:ilvl w:val="0"/>
          <w:numId w:val="18"/>
        </w:numPr>
      </w:pPr>
      <w:r w:rsidRPr="00CA0592">
        <w:t>Regula Nr.2017/1926.</w:t>
      </w:r>
    </w:p>
    <w:p w:rsidRPr="00CA0592" w:rsidR="005B0CC4" w:rsidP="005B0CC4" w:rsidRDefault="005B0CC4" w14:paraId="0E0BEE39" w14:textId="77777777">
      <w:pPr>
        <w:ind w:firstLine="0"/>
      </w:pPr>
      <w:r w:rsidRPr="00CA0592">
        <w:t>Projekts 1.1. nav īstenojams bez projekta “3. Institucionālo spēju stiprināšana ITS pakalpojumu attīstībai un nodrošināšanai” realizācijas, kas sevī ietver:</w:t>
      </w:r>
    </w:p>
    <w:p w:rsidRPr="00CA0592" w:rsidR="005B0CC4" w:rsidP="005B0CC4" w:rsidRDefault="005B0CC4" w14:paraId="7ABEA80B" w14:textId="77777777">
      <w:pPr>
        <w:pStyle w:val="ListParagraph"/>
        <w:numPr>
          <w:ilvl w:val="0"/>
          <w:numId w:val="26"/>
        </w:numPr>
      </w:pPr>
      <w:r w:rsidRPr="00CA0592">
        <w:t>ITS pakalpojumu sniegšanā un pārvaldībā iesaistīto personu atbilstošas kompetences nodrošināšanu;</w:t>
      </w:r>
    </w:p>
    <w:p w:rsidRPr="00CA0592" w:rsidR="005B0CC4" w:rsidP="005B0CC4" w:rsidRDefault="005B0CC4" w14:paraId="7F4195B1" w14:textId="77777777">
      <w:pPr>
        <w:pStyle w:val="ListParagraph"/>
        <w:numPr>
          <w:ilvl w:val="0"/>
          <w:numId w:val="26"/>
        </w:numPr>
      </w:pPr>
      <w:r w:rsidRPr="00CA0592">
        <w:t>NPP pārvaldītāja esošo darbstaciju un programmnodrošinājuma uzlabošanu.</w:t>
      </w:r>
    </w:p>
    <w:p w:rsidRPr="00CA0592" w:rsidR="005B0CC4" w:rsidP="005B0CC4" w:rsidRDefault="005B0CC4" w14:paraId="1218B67E" w14:textId="7E7AEF91">
      <w:pPr>
        <w:tabs>
          <w:tab w:val="left" w:pos="720"/>
          <w:tab w:val="center" w:pos="4320"/>
          <w:tab w:val="right" w:pos="8640"/>
        </w:tabs>
      </w:pPr>
      <w:r w:rsidRPr="00CA0592">
        <w:rPr>
          <w:rFonts w:cs="Times New Roman"/>
        </w:rPr>
        <w:t>Šo projektu īstenošanai indikatīvi ir nepieciešami 5 320 600 EUR un finansējuma rezerve 10%</w:t>
      </w:r>
      <w:r w:rsidRPr="00CA0592">
        <w:rPr>
          <w:rStyle w:val="FootnoteReference"/>
          <w:rFonts w:cs="Times New Roman"/>
        </w:rPr>
        <w:footnoteReference w:id="18"/>
      </w:r>
      <w:r w:rsidRPr="00CA0592">
        <w:rPr>
          <w:rFonts w:cs="Times New Roman"/>
        </w:rPr>
        <w:t xml:space="preserve"> apmērā, jeb 532 060 EUR, kas kopā </w:t>
      </w:r>
      <w:r w:rsidR="004668E4">
        <w:rPr>
          <w:rFonts w:cs="Times New Roman"/>
        </w:rPr>
        <w:t xml:space="preserve">ir </w:t>
      </w:r>
      <w:r w:rsidRPr="00CA0592">
        <w:rPr>
          <w:rFonts w:cs="Times New Roman"/>
        </w:rPr>
        <w:t xml:space="preserve">5 852 660 EUR. Izmaksās indikatīvi iekļautas vidējās šāda apjoma informācijas sistēmām nepieciešamās informācijas tehnoloģiju infrastruktūras, licenču izmaksas un valsts ceļu infrastruktūras pārvaldītāja LVC satiksmes informācijas centra infrastruktūras, aprīkojuma un spēju uzlabošana. Šī projekta </w:t>
      </w:r>
      <w:r w:rsidRPr="00CA0592">
        <w:rPr>
          <w:rFonts w:cs="Times New Roman"/>
          <w:szCs w:val="18"/>
        </w:rPr>
        <w:t xml:space="preserve">ieviešanas rezultātā tiks nodrošināta eksistējošu un </w:t>
      </w:r>
      <w:proofErr w:type="spellStart"/>
      <w:r w:rsidRPr="00CA0592">
        <w:rPr>
          <w:rFonts w:cs="Times New Roman"/>
          <w:szCs w:val="18"/>
        </w:rPr>
        <w:t>jaunieviestu</w:t>
      </w:r>
      <w:proofErr w:type="spellEnd"/>
      <w:r w:rsidRPr="00CA0592">
        <w:rPr>
          <w:rFonts w:cs="Times New Roman"/>
          <w:szCs w:val="18"/>
        </w:rPr>
        <w:t xml:space="preserve"> sistēmu </w:t>
      </w:r>
      <w:r w:rsidRPr="00CA0592">
        <w:t>un datu</w:t>
      </w:r>
      <w:r w:rsidRPr="00CA0592">
        <w:rPr>
          <w:rFonts w:cs="Times New Roman"/>
          <w:szCs w:val="18"/>
        </w:rPr>
        <w:t xml:space="preserve"> integrācija kopējā ITS infrastruktūrā. Paredzams, ka NPP būs pieejams arī kā publisks tīmekļa portāls, kas nodrošinās ikviena indivīda piekļuvi aktuālajai satiksmes informācijai. </w:t>
      </w:r>
      <w:r w:rsidRPr="00CA0592">
        <w:t xml:space="preserve">Šobrīd notiek </w:t>
      </w:r>
      <w:r w:rsidRPr="00CA0592">
        <w:tab/>
        <w:t xml:space="preserve">NPP izveides detalizēta analīze un programmatūras prasību specifikācijas izstrāde. NPP izveide paredzēta vienā posmā, kurā paredzētas šādas </w:t>
      </w:r>
      <w:r w:rsidRPr="00CA0592">
        <w:rPr>
          <w:rFonts w:cs="Times New Roman"/>
          <w:szCs w:val="18"/>
        </w:rPr>
        <w:t>darbības</w:t>
      </w:r>
      <w:r w:rsidRPr="00CA0592">
        <w:t>:</w:t>
      </w:r>
    </w:p>
    <w:p w:rsidRPr="00CA0592" w:rsidR="005B0CC4" w:rsidP="005B0CC4" w:rsidRDefault="005B0CC4" w14:paraId="591DB7BE" w14:textId="77777777">
      <w:pPr>
        <w:pStyle w:val="ListParagraph"/>
        <w:widowControl w:val="0"/>
        <w:numPr>
          <w:ilvl w:val="0"/>
          <w:numId w:val="7"/>
        </w:numPr>
        <w:spacing w:before="40" w:after="40"/>
        <w:ind w:right="28"/>
        <w:jc w:val="left"/>
        <w:rPr>
          <w:rFonts w:cs="Times New Roman"/>
        </w:rPr>
      </w:pPr>
      <w:r w:rsidRPr="00CA0592">
        <w:rPr>
          <w:rFonts w:cs="Times New Roman"/>
        </w:rPr>
        <w:t>NPP izstrāde un ieviešana;</w:t>
      </w:r>
    </w:p>
    <w:p w:rsidRPr="00CA0592" w:rsidR="005B0CC4" w:rsidP="005B0CC4" w:rsidRDefault="005B0CC4" w14:paraId="641EE829" w14:textId="77777777">
      <w:pPr>
        <w:pStyle w:val="ListParagraph"/>
        <w:widowControl w:val="0"/>
        <w:numPr>
          <w:ilvl w:val="0"/>
          <w:numId w:val="7"/>
        </w:numPr>
        <w:spacing w:before="40" w:after="40"/>
        <w:ind w:right="28"/>
        <w:jc w:val="left"/>
        <w:rPr>
          <w:rFonts w:cs="Times New Roman"/>
        </w:rPr>
      </w:pPr>
      <w:r w:rsidRPr="00CA0592">
        <w:rPr>
          <w:rFonts w:cs="Times New Roman"/>
        </w:rPr>
        <w:t>NPP integrācija ar ārējām IS;</w:t>
      </w:r>
    </w:p>
    <w:p w:rsidRPr="00CA0592" w:rsidR="005B0CC4" w:rsidP="005B0CC4" w:rsidRDefault="005B0CC4" w14:paraId="10BD5B91" w14:textId="77777777">
      <w:pPr>
        <w:pStyle w:val="ListParagraph"/>
        <w:widowControl w:val="0"/>
        <w:numPr>
          <w:ilvl w:val="0"/>
          <w:numId w:val="7"/>
        </w:numPr>
        <w:spacing w:before="40" w:after="40"/>
        <w:ind w:right="28"/>
        <w:jc w:val="left"/>
        <w:rPr>
          <w:rFonts w:cs="Times New Roman"/>
        </w:rPr>
      </w:pPr>
      <w:r w:rsidRPr="00CA0592">
        <w:rPr>
          <w:rFonts w:cs="Times New Roman"/>
        </w:rPr>
        <w:t>NPP publiskā tīmekļa portāla izveide.</w:t>
      </w:r>
    </w:p>
    <w:p w:rsidRPr="00CA0592" w:rsidR="005B0CC4" w:rsidP="005B0CC4" w:rsidRDefault="005B0CC4" w14:paraId="0479BD11" w14:textId="4D457DFE">
      <w:pPr>
        <w:tabs>
          <w:tab w:val="left" w:pos="720"/>
          <w:tab w:val="center" w:pos="4320"/>
          <w:tab w:val="right" w:pos="8640"/>
        </w:tabs>
        <w:rPr>
          <w:rFonts w:cs="Times New Roman"/>
        </w:rPr>
      </w:pPr>
      <w:r w:rsidRPr="00CA0592">
        <w:rPr>
          <w:rFonts w:cs="Times New Roman"/>
        </w:rPr>
        <w:t xml:space="preserve">Papildus NPP ieviešanas finansējumam ir nepieciešamas finansējums NPP sistēmas uzturēšanai, kas </w:t>
      </w:r>
      <w:r w:rsidR="004668E4">
        <w:rPr>
          <w:rFonts w:cs="Times New Roman"/>
        </w:rPr>
        <w:t xml:space="preserve">ir </w:t>
      </w:r>
      <w:r w:rsidRPr="00CA0592">
        <w:rPr>
          <w:rFonts w:cs="Times New Roman"/>
        </w:rPr>
        <w:t xml:space="preserve">10% gadā no sistēmas kapitālieguldījuma izmaksām, tas ir  aptuveni </w:t>
      </w:r>
      <w:r w:rsidR="002B37F0">
        <w:rPr>
          <w:rFonts w:cs="Times New Roman"/>
        </w:rPr>
        <w:t>588 235</w:t>
      </w:r>
      <w:r w:rsidRPr="00CA0592">
        <w:rPr>
          <w:rFonts w:cs="Times New Roman"/>
        </w:rPr>
        <w:t xml:space="preserve"> EUR gadā.</w:t>
      </w:r>
      <w:r w:rsidRPr="00CA0592">
        <w:rPr>
          <w:rStyle w:val="FootnoteReference"/>
          <w:rFonts w:cs="Times New Roman"/>
        </w:rPr>
        <w:footnoteReference w:id="19"/>
      </w:r>
      <w:r w:rsidRPr="00CA0592">
        <w:rPr>
          <w:rFonts w:cs="Times New Roman"/>
        </w:rPr>
        <w:t xml:space="preserve"> Izmaksas NPP uzturēšanai tiks precizētas konsultatīvā pakalpojuma un NPP specifikāciju izstrādes rezultātā, ievērtējot arī visas ar šiem pasākumiem saistītās izmaksas un iespējamos NPP risinājumus.</w:t>
      </w:r>
    </w:p>
    <w:p w:rsidRPr="00CA0592" w:rsidR="005B0CC4" w:rsidP="00FF18F2" w:rsidRDefault="005B0CC4" w14:paraId="4F5326E6" w14:textId="77777777">
      <w:pPr>
        <w:pStyle w:val="Heading3"/>
      </w:pPr>
      <w:bookmarkStart w:name="_Toc41576582" w:id="47"/>
      <w:r w:rsidRPr="00CA0592">
        <w:t>NPP izveides iespējamie finansējuma avoti</w:t>
      </w:r>
      <w:bookmarkEnd w:id="47"/>
    </w:p>
    <w:p w:rsidRPr="00C56154" w:rsidR="005B0CC4" w:rsidP="005B0CC4" w:rsidRDefault="005B0CC4" w14:paraId="300F12BD" w14:textId="7DFF5DE6">
      <w:pPr>
        <w:widowControl w:val="0"/>
        <w:spacing w:before="40" w:after="40"/>
        <w:ind w:right="57"/>
        <w:rPr>
          <w:color w:val="000000"/>
        </w:rPr>
      </w:pPr>
      <w:r w:rsidRPr="00C56154">
        <w:rPr>
          <w:color w:val="000000"/>
        </w:rPr>
        <w:t xml:space="preserve">NPP izveides iespējamie finansējuma avoti ir valsts budžeta līdzekļi un ES </w:t>
      </w:r>
      <w:r w:rsidRPr="00C56154">
        <w:rPr>
          <w:color w:val="000000"/>
        </w:rPr>
        <w:lastRenderedPageBreak/>
        <w:t xml:space="preserve">finansējums. </w:t>
      </w:r>
      <w:r w:rsidRPr="00C56154">
        <w:t xml:space="preserve">Satiksmes ministrijas pārziņā esošie </w:t>
      </w:r>
      <w:bookmarkStart w:name="_Hlk40695174" w:id="48"/>
      <w:r w:rsidRPr="00C56154">
        <w:t>ES fondi 2014.-2020.gada plānošanas perioda</w:t>
      </w:r>
      <w:bookmarkEnd w:id="48"/>
      <w:r w:rsidRPr="00C56154">
        <w:t xml:space="preserve"> specifiskā atbalsta mērķi (SAM) un pasākumi</w:t>
      </w:r>
      <w:r w:rsidRPr="00C56154">
        <w:rPr>
          <w:color w:val="000000"/>
        </w:rPr>
        <w:t xml:space="preserve"> neparedz</w:t>
      </w:r>
      <w:r w:rsidRPr="00C56154" w:rsidR="00E561B7">
        <w:rPr>
          <w:color w:val="000000"/>
        </w:rPr>
        <w:t>ēja</w:t>
      </w:r>
      <w:r w:rsidRPr="00C56154">
        <w:rPr>
          <w:color w:val="000000"/>
        </w:rPr>
        <w:t xml:space="preserve"> atbalstu minētajām darbībām. </w:t>
      </w:r>
    </w:p>
    <w:p w:rsidRPr="00C56154" w:rsidR="00A441DF" w:rsidP="005B0CC4" w:rsidRDefault="005B0CC4" w14:paraId="03F2067A" w14:textId="1E9975DD">
      <w:pPr>
        <w:widowControl w:val="0"/>
        <w:spacing w:before="40" w:after="40"/>
        <w:ind w:right="57"/>
        <w:rPr>
          <w:color w:val="000000"/>
        </w:rPr>
      </w:pPr>
      <w:r w:rsidRPr="00C56154">
        <w:rPr>
          <w:color w:val="000000"/>
        </w:rPr>
        <w:t xml:space="preserve">Vienlaikus, ņemot vērā starpposma snieguma ietvara izpildes rezultātu un potenciāli atbrīvojamā ES fondu finansējuma racionālu turpmāko izmantošanu, Satiksmes ministrija </w:t>
      </w:r>
      <w:r w:rsidRPr="00C56154" w:rsidR="00351B62">
        <w:rPr>
          <w:color w:val="000000"/>
        </w:rPr>
        <w:t>sagatavoja</w:t>
      </w:r>
      <w:r w:rsidRPr="00C56154">
        <w:rPr>
          <w:color w:val="000000"/>
        </w:rPr>
        <w:t xml:space="preserve"> un </w:t>
      </w:r>
      <w:r w:rsidRPr="00C56154" w:rsidR="00351B62">
        <w:rPr>
          <w:color w:val="000000"/>
        </w:rPr>
        <w:t xml:space="preserve">iesniedza </w:t>
      </w:r>
      <w:r w:rsidRPr="00C56154">
        <w:rPr>
          <w:color w:val="000000"/>
        </w:rPr>
        <w:t xml:space="preserve">Finanšu ministrijai turpmākai virzīšanai EK grozījumu ierosinājumus </w:t>
      </w:r>
      <w:r w:rsidRPr="00C56154" w:rsidR="00A441DF">
        <w:rPr>
          <w:color w:val="000000"/>
        </w:rPr>
        <w:t xml:space="preserve">grozījumiem </w:t>
      </w:r>
      <w:r w:rsidRPr="00C56154">
        <w:rPr>
          <w:color w:val="000000"/>
        </w:rPr>
        <w:t>Darbības programm</w:t>
      </w:r>
      <w:r w:rsidRPr="00C56154" w:rsidR="00A441DF">
        <w:rPr>
          <w:color w:val="000000"/>
        </w:rPr>
        <w:t>ā</w:t>
      </w:r>
      <w:r w:rsidRPr="00C56154">
        <w:rPr>
          <w:color w:val="000000"/>
        </w:rPr>
        <w:t>, kas tostarp paredz NPP izveidei pārdalīt</w:t>
      </w:r>
      <w:r w:rsidRPr="00C56154">
        <w:t xml:space="preserve"> </w:t>
      </w:r>
      <w:r w:rsidRPr="00C56154">
        <w:rPr>
          <w:color w:val="000000"/>
        </w:rPr>
        <w:t>ES fondu finansējumu 5 000 000 EUR apmērā un paredzēt valsts budžeta finansējumu 882 353 EUR apmērā</w:t>
      </w:r>
      <w:r w:rsidRPr="00C56154" w:rsidR="00A441DF">
        <w:rPr>
          <w:color w:val="000000"/>
        </w:rPr>
        <w:t>.</w:t>
      </w:r>
    </w:p>
    <w:p w:rsidRPr="00C56154" w:rsidR="005B0CC4" w:rsidP="005B0CC4" w:rsidRDefault="00A441DF" w14:paraId="4D4E9CF3" w14:textId="79161238">
      <w:pPr>
        <w:widowControl w:val="0"/>
        <w:spacing w:before="40" w:after="40"/>
        <w:ind w:right="57"/>
        <w:rPr>
          <w:color w:val="000000"/>
        </w:rPr>
      </w:pPr>
      <w:r w:rsidRPr="00C56154">
        <w:rPr>
          <w:color w:val="000000"/>
        </w:rPr>
        <w:t>Darbības programmas</w:t>
      </w:r>
      <w:r w:rsidRPr="00C56154" w:rsidR="005B0CC4">
        <w:rPr>
          <w:color w:val="000000"/>
        </w:rPr>
        <w:t xml:space="preserve"> </w:t>
      </w:r>
      <w:r w:rsidRPr="00C56154">
        <w:rPr>
          <w:color w:val="000000"/>
        </w:rPr>
        <w:t xml:space="preserve">grozījumi nacionālā līmenī </w:t>
      </w:r>
      <w:r w:rsidRPr="00C56154" w:rsidR="005B0CC4">
        <w:rPr>
          <w:color w:val="000000"/>
        </w:rPr>
        <w:t>ir apstiprināti ar Ministru kabineta 2019.gada 3.decembra rīkojumu Nr.</w:t>
      </w:r>
      <w:r w:rsidRPr="00C56154" w:rsidR="00DA3D5C">
        <w:rPr>
          <w:color w:val="000000"/>
        </w:rPr>
        <w:t xml:space="preserve">611 </w:t>
      </w:r>
      <w:r w:rsidRPr="00C56154" w:rsidR="005B0CC4">
        <w:rPr>
          <w:color w:val="000000"/>
        </w:rPr>
        <w:t>“Grozījumi Eiropas Savienības struktūrfondu un Kohēzijas fonda 2014.-2020. gada plānošanas perioda darbības programmā "Izaugsme un nodarbinātība"”</w:t>
      </w:r>
      <w:r w:rsidRPr="00C56154">
        <w:rPr>
          <w:color w:val="000000"/>
        </w:rPr>
        <w:t xml:space="preserve"> un ar 2020.gada 28.aprīļa lēmumu apstiprināti </w:t>
      </w:r>
      <w:r w:rsidRPr="00C56154" w:rsidR="00997A6D">
        <w:rPr>
          <w:color w:val="000000"/>
        </w:rPr>
        <w:t>EK</w:t>
      </w:r>
      <w:r w:rsidRPr="00C56154" w:rsidR="00606A48">
        <w:rPr>
          <w:color w:val="000000"/>
        </w:rPr>
        <w:t>.</w:t>
      </w:r>
    </w:p>
    <w:p w:rsidRPr="00C56154" w:rsidR="005B0CC4" w:rsidP="005B0CC4" w:rsidRDefault="005B0CC4" w14:paraId="5BE7EA45" w14:textId="7EA7EB6D">
      <w:pPr>
        <w:widowControl w:val="0"/>
        <w:spacing w:before="40" w:after="40"/>
        <w:ind w:right="57"/>
        <w:rPr>
          <w:color w:val="000000"/>
        </w:rPr>
      </w:pPr>
      <w:r w:rsidRPr="00C56154">
        <w:rPr>
          <w:color w:val="000000"/>
        </w:rPr>
        <w:t xml:space="preserve">Atbilstoši </w:t>
      </w:r>
      <w:r w:rsidRPr="00C56154" w:rsidR="00D960D5">
        <w:rPr>
          <w:color w:val="000000"/>
        </w:rPr>
        <w:t xml:space="preserve">apstiprinātajiem </w:t>
      </w:r>
      <w:r w:rsidRPr="00C56154">
        <w:rPr>
          <w:color w:val="000000"/>
        </w:rPr>
        <w:t xml:space="preserve">darbības programmas grozījumiem, </w:t>
      </w:r>
      <w:r w:rsidRPr="00C56154" w:rsidR="00E957CE">
        <w:rPr>
          <w:color w:val="000000"/>
        </w:rPr>
        <w:t xml:space="preserve">NPP izveidei </w:t>
      </w:r>
      <w:r w:rsidRPr="00C56154" w:rsidR="00D960D5">
        <w:rPr>
          <w:color w:val="000000"/>
        </w:rPr>
        <w:t>ir pieejams ES fondu finansējums 5 000 000 EUR apmērā</w:t>
      </w:r>
      <w:r w:rsidRPr="00C56154" w:rsidR="00E561B7">
        <w:rPr>
          <w:color w:val="000000"/>
        </w:rPr>
        <w:t>.</w:t>
      </w:r>
      <w:r w:rsidRPr="00C56154">
        <w:rPr>
          <w:color w:val="000000"/>
        </w:rPr>
        <w:t xml:space="preserve"> </w:t>
      </w:r>
      <w:r w:rsidRPr="00C56154" w:rsidR="00E561B7">
        <w:rPr>
          <w:color w:val="000000"/>
        </w:rPr>
        <w:t xml:space="preserve">NPP izveidi, ievērojot  ES fondu 2014.-2020.gada plānošanas perioda laika tvērumu,  jānodrošina </w:t>
      </w:r>
      <w:r w:rsidRPr="00C56154">
        <w:rPr>
          <w:color w:val="000000"/>
        </w:rPr>
        <w:t>līdz 2023.gada 31.decembrim.</w:t>
      </w:r>
    </w:p>
    <w:p w:rsidRPr="00CA0592" w:rsidR="005B0CC4" w:rsidP="00FF18F2" w:rsidRDefault="005B0CC4" w14:paraId="176C75EF" w14:textId="77777777">
      <w:pPr>
        <w:pStyle w:val="Heading3"/>
      </w:pPr>
      <w:bookmarkStart w:name="_Toc41576583" w:id="49"/>
      <w:r w:rsidRPr="00C56154">
        <w:t>NPP izveides administratīvais</w:t>
      </w:r>
      <w:r w:rsidRPr="00CA0592">
        <w:t xml:space="preserve"> slogs uz citām institūcijām</w:t>
      </w:r>
      <w:bookmarkEnd w:id="49"/>
    </w:p>
    <w:p w:rsidRPr="00CA0592" w:rsidR="005B0CC4" w:rsidP="005B0CC4" w:rsidRDefault="005B0CC4" w14:paraId="7D94A535" w14:textId="7178759F">
      <w:pPr>
        <w:widowControl w:val="0"/>
        <w:spacing w:before="40" w:after="40"/>
        <w:ind w:left="57" w:right="57" w:firstLine="652"/>
        <w:rPr>
          <w:color w:val="000000"/>
        </w:rPr>
      </w:pPr>
      <w:r w:rsidRPr="00CA0592">
        <w:rPr>
          <w:color w:val="000000"/>
        </w:rPr>
        <w:t>Ņemot vērā, faktu, ka institūcijām ir jau šobrīd pieejami dati mašīnlasāmā formātā, tie šobrīd ir jāsniedz NPP atbilstoši LESD 288. pantam, tamdēļ uzskatām, ka administratīvā sloga pieaugums nav paredzams.</w:t>
      </w:r>
    </w:p>
    <w:p w:rsidRPr="00CA0592" w:rsidR="005B0CC4" w:rsidP="005B0CC4" w:rsidRDefault="005B0CC4" w14:paraId="4A92EBBF" w14:textId="35A352EC">
      <w:pPr>
        <w:widowControl w:val="0"/>
        <w:spacing w:before="40" w:after="40"/>
        <w:ind w:left="57" w:right="57" w:firstLine="652"/>
        <w:rPr>
          <w:color w:val="000000"/>
        </w:rPr>
      </w:pPr>
      <w:r w:rsidRPr="00CA0592">
        <w:rPr>
          <w:color w:val="000000"/>
        </w:rPr>
        <w:t>Šobrīd vienīgās paredzētās administratīvās izmaksas un administratīvais slogs ir iekļautas NPP izstrādes, izveides un uzturēšanas izmaksās. Citas administratīvās izmaksas ir atkarīgas no citu iesaistīto pušu (pašvaldību, neatliekamo palīdzības dienestu u.t.t) brīvprātīgas vēlmes radīt jaunus no ITS Deleģēto regulu datus mašīnlasāmā formātā, papildus gan skaidrojam, ka, ja institūcijai nav pieejami regulās noteiktie dati, tie nav obligāti jārada un jāsniedz NPP.</w:t>
      </w:r>
    </w:p>
    <w:p w:rsidRPr="00CA0592" w:rsidR="00FC78B2" w:rsidP="00FF18F2" w:rsidRDefault="00FC78B2" w14:paraId="592A02FE" w14:textId="77777777">
      <w:pPr>
        <w:pStyle w:val="Heading3"/>
      </w:pPr>
      <w:bookmarkStart w:name="_Toc41576584" w:id="50"/>
      <w:r w:rsidRPr="00CA0592">
        <w:t>Ietekmes uz valsts budžetu kopsavilkums</w:t>
      </w:r>
      <w:bookmarkEnd w:id="50"/>
    </w:p>
    <w:p w:rsidRPr="00C56154" w:rsidR="00FC78B2" w:rsidP="00997A6D" w:rsidRDefault="00997A6D" w14:paraId="273227DF" w14:textId="5E161075">
      <w:r w:rsidRPr="00C56154">
        <w:t>Ņemot vērā, ka darbības programmas grozījumi, kas paredz finansējuma novirzīšanu NPP izveidei ir apstiprināti MK</w:t>
      </w:r>
      <w:r w:rsidRPr="00C56154" w:rsidR="00836DD8">
        <w:t>, tad projekta īstenošanai nepieciešamie līdzekļi normatīvajos aktos noteiktajā kārtībā tiks pieprasīti no 74.resora “Gadskārtējā valsts budžeta izpildes procesā pārdalāmais finansējums” 80.00.00 programmas “Nesadalītais finansējums Eiropas Savienības politiku instrumentu un pārējās ārvalstu finanšu palīdzības līdzfinansēto projektu un pasākumu īstenošanai”</w:t>
      </w:r>
      <w:r w:rsidRPr="00C56154" w:rsidR="00AF10B3">
        <w:t xml:space="preserve">. </w:t>
      </w:r>
    </w:p>
    <w:p w:rsidRPr="00C56154" w:rsidR="000F602B" w:rsidP="0093008E" w:rsidRDefault="00AF10B3" w14:paraId="070A6838" w14:textId="2E65F1DC">
      <w:r w:rsidRPr="00C56154">
        <w:t>Savukārt gadījumā, ja NPP izveide netiks īstenota kā Eiropas Savienības fondu projekts, tad jautājums par NPP īstenošanai nepieciešamo finansējumu</w:t>
      </w:r>
      <w:r w:rsidRPr="00C56154" w:rsidR="00586C9D">
        <w:t xml:space="preserve"> 5 882 353 EUR apmērā (1 960 784 EUR gadā no 2021. līdz 2023.gadam)</w:t>
      </w:r>
      <w:r w:rsidRPr="00C56154">
        <w:t xml:space="preserve"> būtu skatāms MK gadskārtējā valsts budžeta likumprojekta un vidējā termiņa budžeta ietvara likumprojekta sagatavošanas un izskatīšanas procesā kopā ar visu ministriju un citu centrālo valsts iestāžu iesniegtajiem prioritāro pasākumu pieteikumiem atbilstoši valsts budžeta finansiālajām iespējām</w:t>
      </w:r>
      <w:r w:rsidRPr="00C56154" w:rsidR="00586C9D">
        <w:t>.</w:t>
      </w:r>
      <w:r w:rsidRPr="00C56154" w:rsidR="00FC78B2">
        <w:t>.</w:t>
      </w:r>
    </w:p>
    <w:p w:rsidRPr="00C56154" w:rsidR="0093008E" w:rsidP="0093008E" w:rsidRDefault="0093008E" w14:paraId="5955869B" w14:textId="77777777"/>
    <w:p w:rsidR="0093008E" w:rsidP="00061F87" w:rsidRDefault="0093008E" w14:paraId="7886319F" w14:textId="3907B60E">
      <w:pPr>
        <w:sectPr w:rsidR="0093008E" w:rsidSect="001643A8">
          <w:headerReference w:type="default" r:id="rId9"/>
          <w:footerReference w:type="default" r:id="rId10"/>
          <w:pgSz w:w="11906" w:h="16838"/>
          <w:pgMar w:top="1440" w:right="1800" w:bottom="1440" w:left="1800" w:header="708" w:footer="708" w:gutter="0"/>
          <w:cols w:space="708"/>
          <w:titlePg/>
          <w:docGrid w:linePitch="360"/>
        </w:sectPr>
      </w:pPr>
      <w:r w:rsidRPr="00C56154">
        <w:t xml:space="preserve">Papildus </w:t>
      </w:r>
      <w:r w:rsidRPr="00C56154">
        <w:rPr>
          <w:rFonts w:cs="Times New Roman"/>
        </w:rPr>
        <w:t xml:space="preserve">NPP ieviešanas finansējumam indikatīvi ir nepieciešamas finansējums NPP sistēmas uzturēšanai, kas </w:t>
      </w:r>
      <w:r w:rsidRPr="00C56154" w:rsidR="009E485B">
        <w:rPr>
          <w:rFonts w:cs="Times New Roman"/>
        </w:rPr>
        <w:t>ir</w:t>
      </w:r>
      <w:r w:rsidRPr="00C56154">
        <w:rPr>
          <w:rFonts w:cs="Times New Roman"/>
        </w:rPr>
        <w:t xml:space="preserve"> 10% gadā no sistēmas kapitālieguldījuma izmaksām, tas ir  aptuveni </w:t>
      </w:r>
      <w:r w:rsidRPr="00C56154" w:rsidR="00E24967">
        <w:rPr>
          <w:rFonts w:cs="Times New Roman"/>
        </w:rPr>
        <w:t xml:space="preserve">588 235 </w:t>
      </w:r>
      <w:r w:rsidRPr="00C56154">
        <w:rPr>
          <w:rFonts w:cs="Times New Roman"/>
          <w:iCs/>
        </w:rPr>
        <w:t xml:space="preserve">EUR </w:t>
      </w:r>
      <w:r w:rsidRPr="00C56154">
        <w:rPr>
          <w:rFonts w:cs="Times New Roman"/>
        </w:rPr>
        <w:t>gadā.</w:t>
      </w:r>
      <w:r w:rsidRPr="00C56154" w:rsidR="003E74E8">
        <w:t xml:space="preserve"> NPP uzturēšanas izmaksas tiek plānotas sākot ar 2024. gadu pēc </w:t>
      </w:r>
      <w:r w:rsidRPr="00C56154" w:rsidR="00DC7EA0">
        <w:t xml:space="preserve">projekta - </w:t>
      </w:r>
      <w:r w:rsidRPr="00C56154" w:rsidR="003E74E8">
        <w:t>NPP izveide</w:t>
      </w:r>
      <w:r w:rsidRPr="00C56154" w:rsidR="00DC7EA0">
        <w:t xml:space="preserve"> -</w:t>
      </w:r>
      <w:r w:rsidRPr="00C56154" w:rsidR="00113FE8">
        <w:t xml:space="preserve"> īstenošanas</w:t>
      </w:r>
      <w:r w:rsidRPr="00C56154" w:rsidR="003E74E8">
        <w:t>.</w:t>
      </w:r>
      <w:r w:rsidRPr="00C56154" w:rsidR="00DC7EA0">
        <w:t xml:space="preserve"> Ņemot vērā, ka NPP uzturēšana </w:t>
      </w:r>
      <w:r w:rsidRPr="00C56154" w:rsidR="00DC7EA0">
        <w:lastRenderedPageBreak/>
        <w:t xml:space="preserve">būs LVC deleģētā funkcija (skatīt </w:t>
      </w:r>
      <w:r w:rsidRPr="00C56154" w:rsidR="00DC7EA0">
        <w:fldChar w:fldCharType="begin"/>
      </w:r>
      <w:r w:rsidRPr="00C56154" w:rsidR="00DC7EA0">
        <w:instrText xml:space="preserve"> REF _Ref40687645 \r \h </w:instrText>
      </w:r>
      <w:r w:rsidRPr="00C56154" w:rsidR="00606A48">
        <w:instrText xml:space="preserve"> \* MERGEFORMAT </w:instrText>
      </w:r>
      <w:r w:rsidRPr="00C56154" w:rsidR="00DC7EA0">
        <w:fldChar w:fldCharType="separate"/>
      </w:r>
      <w:r w:rsidR="002B0009">
        <w:t>3.1.1</w:t>
      </w:r>
      <w:r w:rsidRPr="00C56154" w:rsidR="00DC7EA0">
        <w:fldChar w:fldCharType="end"/>
      </w:r>
      <w:r w:rsidRPr="00C56154" w:rsidR="00DC7EA0">
        <w:t>. apakšnodaļu), šis finansējums ir piešķirams no valsts budžeta. Tas tiks pieprasīts normatīvajos aktos noteiktajā kārtībā.</w:t>
      </w:r>
    </w:p>
    <w:p w:rsidRPr="00CA0592" w:rsidR="00FC78B2" w:rsidP="00FC78B2" w:rsidRDefault="00FC78B2" w14:paraId="6FCC6AD2" w14:textId="77777777">
      <w:pPr>
        <w:pStyle w:val="BodyText"/>
        <w:ind w:right="-622"/>
        <w:jc w:val="right"/>
        <w:rPr>
          <w:rFonts w:ascii="Times New Roman" w:hAnsi="Times New Roman"/>
          <w:b/>
          <w:sz w:val="22"/>
        </w:rPr>
      </w:pPr>
      <w:r w:rsidRPr="00CA0592">
        <w:rPr>
          <w:rFonts w:ascii="Times New Roman" w:hAnsi="Times New Roman"/>
          <w:sz w:val="22"/>
        </w:rPr>
        <w:lastRenderedPageBreak/>
        <w:t>2.tabula “Kopsavilkums par nepieciešamo valsts budžeta finansējumu”</w:t>
      </w:r>
    </w:p>
    <w:tbl>
      <w:tblPr>
        <w:tblStyle w:val="TableGrid"/>
        <w:tblW w:w="5272" w:type="pct"/>
        <w:tblLayout w:type="fixed"/>
        <w:tblLook w:val="04A0" w:firstRow="1" w:lastRow="0" w:firstColumn="1" w:lastColumn="0" w:noHBand="0" w:noVBand="1"/>
      </w:tblPr>
      <w:tblGrid>
        <w:gridCol w:w="1556"/>
        <w:gridCol w:w="1415"/>
        <w:gridCol w:w="1512"/>
        <w:gridCol w:w="1144"/>
        <w:gridCol w:w="1059"/>
        <w:gridCol w:w="1082"/>
        <w:gridCol w:w="1059"/>
        <w:gridCol w:w="1097"/>
        <w:gridCol w:w="1059"/>
        <w:gridCol w:w="1256"/>
        <w:gridCol w:w="1224"/>
        <w:gridCol w:w="1244"/>
      </w:tblGrid>
      <w:tr w:rsidRPr="00CA0592" w:rsidR="0093194B" w:rsidTr="0093194B" w14:paraId="6C0A74C4" w14:textId="77777777">
        <w:trPr>
          <w:trHeight w:val="468"/>
        </w:trPr>
        <w:tc>
          <w:tcPr>
            <w:tcW w:w="529" w:type="pct"/>
            <w:vMerge w:val="restart"/>
            <w:tcBorders>
              <w:bottom w:val="single" w:color="auto" w:sz="4" w:space="0"/>
            </w:tcBorders>
            <w:vAlign w:val="center"/>
            <w:hideMark/>
          </w:tcPr>
          <w:p w:rsidRPr="00C602F0" w:rsidR="0093194B" w:rsidP="0093194B" w:rsidRDefault="0093194B" w14:paraId="102AE630" w14:textId="77777777">
            <w:pPr>
              <w:ind w:firstLine="0"/>
              <w:jc w:val="center"/>
              <w:rPr>
                <w:rFonts w:ascii="Times New Roman" w:hAnsi="Times New Roman" w:cs="Times New Roman"/>
                <w:b/>
                <w:bCs/>
                <w:sz w:val="20"/>
                <w:szCs w:val="18"/>
                <w:lang w:eastAsia="en-GB"/>
              </w:rPr>
            </w:pPr>
            <w:r w:rsidRPr="00C602F0">
              <w:rPr>
                <w:rFonts w:ascii="Times New Roman" w:hAnsi="Times New Roman" w:cs="Times New Roman"/>
                <w:b/>
                <w:bCs/>
                <w:sz w:val="20"/>
                <w:szCs w:val="18"/>
                <w:lang w:eastAsia="en-GB"/>
              </w:rPr>
              <w:t>Risinājums</w:t>
            </w:r>
          </w:p>
        </w:tc>
        <w:tc>
          <w:tcPr>
            <w:tcW w:w="481" w:type="pct"/>
            <w:vMerge w:val="restart"/>
            <w:tcBorders>
              <w:bottom w:val="single" w:color="auto" w:sz="4" w:space="0"/>
            </w:tcBorders>
            <w:vAlign w:val="center"/>
            <w:hideMark/>
          </w:tcPr>
          <w:p w:rsidRPr="00C602F0" w:rsidR="0093194B" w:rsidP="0093194B" w:rsidRDefault="0093194B" w14:paraId="58CD887E" w14:textId="77777777">
            <w:pPr>
              <w:ind w:firstLine="0"/>
              <w:jc w:val="center"/>
              <w:rPr>
                <w:rFonts w:ascii="Times New Roman" w:hAnsi="Times New Roman" w:cs="Times New Roman"/>
                <w:b/>
                <w:bCs/>
                <w:sz w:val="20"/>
                <w:szCs w:val="18"/>
                <w:lang w:eastAsia="en-GB"/>
              </w:rPr>
            </w:pPr>
            <w:r w:rsidRPr="00C602F0">
              <w:rPr>
                <w:rFonts w:cs="Times New Roman"/>
                <w:b/>
                <w:bCs/>
                <w:sz w:val="20"/>
                <w:szCs w:val="18"/>
                <w:lang w:eastAsia="en-GB"/>
              </w:rPr>
              <w:t>Risinājums (</w:t>
            </w:r>
            <w:proofErr w:type="spellStart"/>
            <w:r w:rsidRPr="00C602F0">
              <w:rPr>
                <w:rFonts w:cs="Times New Roman"/>
                <w:b/>
                <w:bCs/>
                <w:sz w:val="20"/>
                <w:szCs w:val="18"/>
                <w:lang w:eastAsia="en-GB"/>
              </w:rPr>
              <w:t>risnājuma</w:t>
            </w:r>
            <w:proofErr w:type="spellEnd"/>
            <w:r w:rsidRPr="00C602F0">
              <w:rPr>
                <w:rFonts w:cs="Times New Roman"/>
                <w:b/>
                <w:bCs/>
                <w:sz w:val="20"/>
                <w:szCs w:val="18"/>
                <w:lang w:eastAsia="en-GB"/>
              </w:rPr>
              <w:t xml:space="preserve"> varianti)</w:t>
            </w:r>
          </w:p>
        </w:tc>
        <w:tc>
          <w:tcPr>
            <w:tcW w:w="514" w:type="pct"/>
            <w:vMerge w:val="restart"/>
            <w:tcBorders>
              <w:bottom w:val="single" w:color="auto" w:sz="4" w:space="0"/>
            </w:tcBorders>
            <w:vAlign w:val="center"/>
            <w:hideMark/>
          </w:tcPr>
          <w:p w:rsidRPr="00C602F0" w:rsidR="0093194B" w:rsidP="0093194B" w:rsidRDefault="0093194B" w14:paraId="5FFA276F" w14:textId="51F16F45">
            <w:pPr>
              <w:ind w:firstLine="0"/>
              <w:jc w:val="center"/>
              <w:rPr>
                <w:rFonts w:ascii="Times New Roman" w:hAnsi="Times New Roman" w:cs="Times New Roman"/>
                <w:b/>
                <w:bCs/>
                <w:sz w:val="20"/>
                <w:szCs w:val="18"/>
                <w:lang w:eastAsia="en-GB"/>
              </w:rPr>
            </w:pPr>
            <w:r w:rsidRPr="00C602F0">
              <w:rPr>
                <w:rFonts w:cs="Times New Roman"/>
                <w:b/>
                <w:bCs/>
                <w:sz w:val="20"/>
                <w:szCs w:val="18"/>
                <w:lang w:eastAsia="en-GB"/>
              </w:rPr>
              <w:t>Budžeta programmas (apakš-programmas) kods un nosaukums</w:t>
            </w:r>
          </w:p>
        </w:tc>
        <w:tc>
          <w:tcPr>
            <w:tcW w:w="1117" w:type="pct"/>
            <w:gridSpan w:val="3"/>
            <w:tcBorders>
              <w:bottom w:val="single" w:color="auto" w:sz="4" w:space="0"/>
            </w:tcBorders>
            <w:vAlign w:val="center"/>
            <w:hideMark/>
          </w:tcPr>
          <w:p w:rsidRPr="00C602F0" w:rsidR="0093194B" w:rsidP="0093194B" w:rsidRDefault="0093194B" w14:paraId="1AC7A91D" w14:textId="77777777">
            <w:pPr>
              <w:ind w:firstLine="0"/>
              <w:jc w:val="center"/>
              <w:rPr>
                <w:rFonts w:ascii="Times New Roman" w:hAnsi="Times New Roman" w:cs="Times New Roman"/>
                <w:b/>
                <w:bCs/>
                <w:sz w:val="20"/>
                <w:szCs w:val="20"/>
                <w:lang w:eastAsia="en-GB"/>
              </w:rPr>
            </w:pPr>
            <w:r w:rsidRPr="00C602F0">
              <w:rPr>
                <w:rFonts w:cs="Times New Roman"/>
                <w:b/>
                <w:bCs/>
                <w:sz w:val="20"/>
                <w:szCs w:val="20"/>
                <w:lang w:eastAsia="en-GB"/>
              </w:rPr>
              <w:t>Vidēja termiņa budžeta ietvara likumā plānotais finansējums</w:t>
            </w:r>
          </w:p>
        </w:tc>
        <w:tc>
          <w:tcPr>
            <w:tcW w:w="1936" w:type="pct"/>
            <w:gridSpan w:val="5"/>
            <w:tcBorders>
              <w:bottom w:val="single" w:color="auto" w:sz="4" w:space="0"/>
            </w:tcBorders>
            <w:vAlign w:val="center"/>
            <w:hideMark/>
          </w:tcPr>
          <w:p w:rsidRPr="00C602F0" w:rsidR="0093194B" w:rsidP="0093194B" w:rsidRDefault="0093194B" w14:paraId="78AF8490" w14:textId="77777777">
            <w:pPr>
              <w:ind w:firstLine="0"/>
              <w:jc w:val="center"/>
              <w:rPr>
                <w:rFonts w:ascii="Times New Roman" w:hAnsi="Times New Roman" w:cs="Times New Roman"/>
                <w:b/>
                <w:bCs/>
                <w:sz w:val="20"/>
                <w:szCs w:val="20"/>
                <w:lang w:eastAsia="en-GB"/>
              </w:rPr>
            </w:pPr>
            <w:r w:rsidRPr="00C602F0">
              <w:rPr>
                <w:rFonts w:cs="Times New Roman"/>
                <w:b/>
                <w:bCs/>
                <w:sz w:val="20"/>
                <w:szCs w:val="20"/>
                <w:lang w:eastAsia="en-GB"/>
              </w:rPr>
              <w:t>Nepieciešamais papildu finansējums</w:t>
            </w:r>
          </w:p>
        </w:tc>
        <w:tc>
          <w:tcPr>
            <w:tcW w:w="423" w:type="pct"/>
            <w:vMerge w:val="restart"/>
            <w:tcBorders>
              <w:bottom w:val="single" w:color="auto" w:sz="4" w:space="0"/>
            </w:tcBorders>
            <w:vAlign w:val="center"/>
            <w:hideMark/>
          </w:tcPr>
          <w:p w:rsidRPr="00C602F0" w:rsidR="0093194B" w:rsidP="0093194B" w:rsidRDefault="0093194B" w14:paraId="007D9003" w14:textId="77777777">
            <w:pPr>
              <w:ind w:firstLine="0"/>
              <w:jc w:val="center"/>
              <w:rPr>
                <w:rFonts w:ascii="Times New Roman" w:hAnsi="Times New Roman" w:cs="Times New Roman"/>
                <w:b/>
                <w:bCs/>
                <w:sz w:val="20"/>
                <w:szCs w:val="20"/>
                <w:lang w:eastAsia="en-GB"/>
              </w:rPr>
            </w:pPr>
            <w:r w:rsidRPr="00C602F0">
              <w:rPr>
                <w:rFonts w:cs="Times New Roman"/>
                <w:b/>
                <w:bCs/>
                <w:sz w:val="20"/>
                <w:szCs w:val="20"/>
                <w:lang w:eastAsia="en-GB"/>
              </w:rPr>
              <w:t>Pasākuma īstenošanas gads (ja risinājuma (risinājuma varianta) īstenošana ir terminēta)</w:t>
            </w:r>
          </w:p>
        </w:tc>
      </w:tr>
      <w:tr w:rsidRPr="00CA0592" w:rsidR="0093194B" w:rsidTr="00097075" w14:paraId="2A0F968B" w14:textId="77777777">
        <w:trPr>
          <w:trHeight w:val="2530"/>
        </w:trPr>
        <w:tc>
          <w:tcPr>
            <w:tcW w:w="529" w:type="pct"/>
            <w:vMerge/>
            <w:tcBorders>
              <w:bottom w:val="single" w:color="auto" w:sz="4" w:space="0"/>
            </w:tcBorders>
            <w:vAlign w:val="center"/>
            <w:hideMark/>
          </w:tcPr>
          <w:p w:rsidRPr="00C602F0" w:rsidR="0093194B" w:rsidP="00FC78B2" w:rsidRDefault="0093194B" w14:paraId="3DD8BA41" w14:textId="77777777">
            <w:pPr>
              <w:rPr>
                <w:rFonts w:ascii="Times New Roman" w:hAnsi="Times New Roman" w:cs="Times New Roman"/>
                <w:b/>
                <w:bCs/>
                <w:sz w:val="24"/>
                <w:lang w:eastAsia="en-GB"/>
              </w:rPr>
            </w:pPr>
          </w:p>
        </w:tc>
        <w:tc>
          <w:tcPr>
            <w:tcW w:w="481" w:type="pct"/>
            <w:vMerge/>
            <w:tcBorders>
              <w:bottom w:val="single" w:color="auto" w:sz="4" w:space="0"/>
            </w:tcBorders>
            <w:vAlign w:val="center"/>
            <w:hideMark/>
          </w:tcPr>
          <w:p w:rsidRPr="00C602F0" w:rsidR="0093194B" w:rsidP="00FC78B2" w:rsidRDefault="0093194B" w14:paraId="3E6E2C4D" w14:textId="77777777">
            <w:pPr>
              <w:rPr>
                <w:rFonts w:ascii="Times New Roman" w:hAnsi="Times New Roman" w:cs="Times New Roman"/>
                <w:b/>
                <w:bCs/>
                <w:sz w:val="24"/>
                <w:lang w:eastAsia="en-GB"/>
              </w:rPr>
            </w:pPr>
          </w:p>
        </w:tc>
        <w:tc>
          <w:tcPr>
            <w:tcW w:w="514" w:type="pct"/>
            <w:vMerge/>
            <w:tcBorders>
              <w:bottom w:val="single" w:color="auto" w:sz="4" w:space="0"/>
            </w:tcBorders>
            <w:vAlign w:val="center"/>
            <w:hideMark/>
          </w:tcPr>
          <w:p w:rsidRPr="00C602F0" w:rsidR="0093194B" w:rsidP="00FC78B2" w:rsidRDefault="0093194B" w14:paraId="23A653E6" w14:textId="77777777">
            <w:pPr>
              <w:rPr>
                <w:rFonts w:ascii="Times New Roman" w:hAnsi="Times New Roman" w:cs="Times New Roman"/>
                <w:b/>
                <w:bCs/>
                <w:sz w:val="24"/>
                <w:lang w:eastAsia="en-GB"/>
              </w:rPr>
            </w:pPr>
          </w:p>
        </w:tc>
        <w:tc>
          <w:tcPr>
            <w:tcW w:w="389" w:type="pct"/>
            <w:tcBorders>
              <w:bottom w:val="single" w:color="auto" w:sz="4" w:space="0"/>
            </w:tcBorders>
            <w:vAlign w:val="center"/>
            <w:hideMark/>
          </w:tcPr>
          <w:p w:rsidRPr="00C602F0" w:rsidR="0093194B" w:rsidP="00D07DA8" w:rsidRDefault="0093194B" w14:paraId="3EED74CC" w14:textId="78BA5966">
            <w:pPr>
              <w:ind w:firstLine="0"/>
              <w:jc w:val="center"/>
              <w:rPr>
                <w:rFonts w:ascii="Times New Roman" w:hAnsi="Times New Roman"/>
                <w:b/>
                <w:sz w:val="20"/>
              </w:rPr>
            </w:pPr>
            <w:r w:rsidRPr="00C602F0">
              <w:rPr>
                <w:rFonts w:ascii="Times New Roman" w:hAnsi="Times New Roman" w:cs="Times New Roman"/>
                <w:b/>
                <w:bCs/>
                <w:sz w:val="20"/>
                <w:szCs w:val="20"/>
              </w:rPr>
              <w:t>2020</w:t>
            </w:r>
          </w:p>
        </w:tc>
        <w:tc>
          <w:tcPr>
            <w:tcW w:w="360" w:type="pct"/>
            <w:tcBorders>
              <w:bottom w:val="single" w:color="auto" w:sz="4" w:space="0"/>
            </w:tcBorders>
            <w:noWrap/>
            <w:vAlign w:val="center"/>
            <w:hideMark/>
          </w:tcPr>
          <w:p w:rsidRPr="00C602F0" w:rsidR="0093194B" w:rsidP="00D07DA8" w:rsidRDefault="0093194B" w14:paraId="36A69292" w14:textId="12E5FCC6">
            <w:pPr>
              <w:ind w:firstLine="0"/>
              <w:jc w:val="center"/>
              <w:rPr>
                <w:rFonts w:ascii="Times New Roman" w:hAnsi="Times New Roman"/>
                <w:b/>
                <w:sz w:val="20"/>
              </w:rPr>
            </w:pPr>
            <w:r w:rsidRPr="00C602F0">
              <w:rPr>
                <w:rFonts w:ascii="Times New Roman" w:hAnsi="Times New Roman" w:cs="Times New Roman"/>
                <w:b/>
                <w:bCs/>
                <w:sz w:val="20"/>
                <w:szCs w:val="20"/>
              </w:rPr>
              <w:t>2021</w:t>
            </w:r>
          </w:p>
        </w:tc>
        <w:tc>
          <w:tcPr>
            <w:tcW w:w="368" w:type="pct"/>
            <w:tcBorders>
              <w:bottom w:val="single" w:color="auto" w:sz="4" w:space="0"/>
            </w:tcBorders>
            <w:noWrap/>
            <w:vAlign w:val="center"/>
            <w:hideMark/>
          </w:tcPr>
          <w:p w:rsidRPr="00C602F0" w:rsidR="0093194B" w:rsidP="00D07DA8" w:rsidRDefault="0093194B" w14:paraId="2F51CA6D" w14:textId="5CF942A8">
            <w:pPr>
              <w:ind w:firstLine="0"/>
              <w:jc w:val="center"/>
              <w:rPr>
                <w:rFonts w:ascii="Times New Roman" w:hAnsi="Times New Roman"/>
                <w:b/>
                <w:sz w:val="20"/>
              </w:rPr>
            </w:pPr>
            <w:r w:rsidRPr="00C602F0">
              <w:rPr>
                <w:rFonts w:ascii="Times New Roman" w:hAnsi="Times New Roman" w:cs="Times New Roman"/>
                <w:b/>
                <w:bCs/>
                <w:sz w:val="20"/>
                <w:szCs w:val="20"/>
              </w:rPr>
              <w:t>2022</w:t>
            </w:r>
          </w:p>
        </w:tc>
        <w:tc>
          <w:tcPr>
            <w:tcW w:w="360" w:type="pct"/>
            <w:tcBorders>
              <w:bottom w:val="single" w:color="auto" w:sz="4" w:space="0"/>
            </w:tcBorders>
            <w:noWrap/>
            <w:vAlign w:val="center"/>
            <w:hideMark/>
          </w:tcPr>
          <w:p w:rsidRPr="00C602F0" w:rsidR="0093194B" w:rsidP="00D07DA8" w:rsidRDefault="0093194B" w14:paraId="6FCF73D6" w14:textId="6705E79E">
            <w:pPr>
              <w:ind w:firstLine="0"/>
              <w:jc w:val="center"/>
              <w:rPr>
                <w:rFonts w:ascii="Times New Roman" w:hAnsi="Times New Roman"/>
                <w:b/>
                <w:sz w:val="20"/>
              </w:rPr>
            </w:pPr>
            <w:r w:rsidRPr="00C602F0">
              <w:rPr>
                <w:rFonts w:ascii="Times New Roman" w:hAnsi="Times New Roman" w:cs="Times New Roman"/>
                <w:b/>
                <w:bCs/>
                <w:sz w:val="20"/>
                <w:szCs w:val="20"/>
              </w:rPr>
              <w:t>2021</w:t>
            </w:r>
          </w:p>
        </w:tc>
        <w:tc>
          <w:tcPr>
            <w:tcW w:w="373" w:type="pct"/>
            <w:tcBorders>
              <w:bottom w:val="single" w:color="auto" w:sz="4" w:space="0"/>
            </w:tcBorders>
            <w:noWrap/>
            <w:vAlign w:val="center"/>
            <w:hideMark/>
          </w:tcPr>
          <w:p w:rsidRPr="00C602F0" w:rsidR="0093194B" w:rsidP="00D07DA8" w:rsidRDefault="0093194B" w14:paraId="049BDA72" w14:textId="0514024F">
            <w:pPr>
              <w:ind w:firstLine="0"/>
              <w:jc w:val="center"/>
              <w:rPr>
                <w:rFonts w:ascii="Times New Roman" w:hAnsi="Times New Roman"/>
                <w:b/>
                <w:sz w:val="20"/>
              </w:rPr>
            </w:pPr>
            <w:r w:rsidRPr="00C602F0">
              <w:rPr>
                <w:rFonts w:ascii="Times New Roman" w:hAnsi="Times New Roman" w:cs="Times New Roman"/>
                <w:b/>
                <w:bCs/>
                <w:sz w:val="20"/>
                <w:szCs w:val="20"/>
              </w:rPr>
              <w:t>2022</w:t>
            </w:r>
          </w:p>
        </w:tc>
        <w:tc>
          <w:tcPr>
            <w:tcW w:w="360" w:type="pct"/>
            <w:tcBorders>
              <w:bottom w:val="single" w:color="auto" w:sz="4" w:space="0"/>
            </w:tcBorders>
            <w:noWrap/>
            <w:vAlign w:val="center"/>
            <w:hideMark/>
          </w:tcPr>
          <w:p w:rsidRPr="00C602F0" w:rsidR="0093194B" w:rsidP="00D07DA8" w:rsidRDefault="0093194B" w14:paraId="6A180B12" w14:textId="654B171E">
            <w:pPr>
              <w:ind w:firstLine="0"/>
              <w:jc w:val="center"/>
              <w:rPr>
                <w:rFonts w:ascii="Times New Roman" w:hAnsi="Times New Roman"/>
                <w:b/>
                <w:sz w:val="20"/>
              </w:rPr>
            </w:pPr>
            <w:r w:rsidRPr="00C602F0">
              <w:rPr>
                <w:rFonts w:ascii="Times New Roman" w:hAnsi="Times New Roman" w:cs="Times New Roman"/>
                <w:b/>
                <w:bCs/>
                <w:sz w:val="20"/>
                <w:szCs w:val="20"/>
              </w:rPr>
              <w:t>2023</w:t>
            </w:r>
          </w:p>
        </w:tc>
        <w:tc>
          <w:tcPr>
            <w:tcW w:w="427" w:type="pct"/>
            <w:tcBorders>
              <w:bottom w:val="single" w:color="auto" w:sz="4" w:space="0"/>
            </w:tcBorders>
            <w:vAlign w:val="center"/>
            <w:hideMark/>
          </w:tcPr>
          <w:p w:rsidRPr="00C602F0" w:rsidR="0093194B" w:rsidP="0093194B" w:rsidRDefault="0093194B" w14:paraId="376DB291" w14:textId="77777777">
            <w:pPr>
              <w:ind w:firstLine="0"/>
              <w:jc w:val="center"/>
              <w:rPr>
                <w:rFonts w:ascii="Times New Roman" w:hAnsi="Times New Roman" w:cs="Times New Roman"/>
                <w:b/>
                <w:bCs/>
                <w:sz w:val="20"/>
                <w:szCs w:val="20"/>
                <w:lang w:eastAsia="en-GB"/>
              </w:rPr>
            </w:pPr>
            <w:r w:rsidRPr="00C602F0">
              <w:rPr>
                <w:rFonts w:ascii="Times New Roman" w:hAnsi="Times New Roman" w:cs="Times New Roman"/>
                <w:b/>
                <w:bCs/>
                <w:sz w:val="20"/>
                <w:szCs w:val="20"/>
                <w:lang w:eastAsia="en-GB"/>
              </w:rPr>
              <w:t>turpmākajā laikposmā līdz risinājuma (risinājuma varianta) pabeigšanai (ja īstenošana ir terminēta)</w:t>
            </w:r>
          </w:p>
        </w:tc>
        <w:tc>
          <w:tcPr>
            <w:tcW w:w="416" w:type="pct"/>
            <w:tcBorders>
              <w:bottom w:val="single" w:color="auto" w:sz="4" w:space="0"/>
            </w:tcBorders>
            <w:vAlign w:val="center"/>
            <w:hideMark/>
          </w:tcPr>
          <w:p w:rsidRPr="00C602F0" w:rsidR="0093194B" w:rsidP="0093194B" w:rsidRDefault="0093194B" w14:paraId="06683647" w14:textId="77777777">
            <w:pPr>
              <w:ind w:firstLine="0"/>
              <w:jc w:val="center"/>
              <w:rPr>
                <w:rFonts w:ascii="Times New Roman" w:hAnsi="Times New Roman" w:cs="Times New Roman"/>
                <w:b/>
                <w:bCs/>
                <w:sz w:val="20"/>
                <w:szCs w:val="20"/>
                <w:lang w:eastAsia="en-GB"/>
              </w:rPr>
            </w:pPr>
            <w:r w:rsidRPr="00C602F0">
              <w:rPr>
                <w:rFonts w:ascii="Times New Roman" w:hAnsi="Times New Roman" w:cs="Times New Roman"/>
                <w:b/>
                <w:bCs/>
                <w:sz w:val="20"/>
                <w:szCs w:val="20"/>
                <w:lang w:eastAsia="en-GB"/>
              </w:rPr>
              <w:t>turpmāk ik gadu (ja risinājuma (risinājuma varianta) izpilde nav terminēta)</w:t>
            </w:r>
          </w:p>
        </w:tc>
        <w:tc>
          <w:tcPr>
            <w:tcW w:w="423" w:type="pct"/>
            <w:vMerge/>
            <w:tcBorders>
              <w:bottom w:val="single" w:color="auto" w:sz="4" w:space="0"/>
            </w:tcBorders>
            <w:vAlign w:val="center"/>
            <w:hideMark/>
          </w:tcPr>
          <w:p w:rsidRPr="00C602F0" w:rsidR="0093194B" w:rsidP="0093194B" w:rsidRDefault="0093194B" w14:paraId="66F6EDD9" w14:textId="77777777">
            <w:pPr>
              <w:jc w:val="center"/>
              <w:rPr>
                <w:rFonts w:ascii="Times New Roman" w:hAnsi="Times New Roman" w:cs="Times New Roman"/>
                <w:b/>
                <w:bCs/>
                <w:sz w:val="24"/>
                <w:lang w:eastAsia="en-GB"/>
              </w:rPr>
            </w:pPr>
          </w:p>
        </w:tc>
      </w:tr>
      <w:tr w:rsidRPr="00CA0592" w:rsidR="00FC78B2" w:rsidTr="00DA2CB8" w14:paraId="03F31560" w14:textId="77777777">
        <w:trPr>
          <w:trHeight w:val="198"/>
        </w:trPr>
        <w:tc>
          <w:tcPr>
            <w:tcW w:w="529" w:type="pct"/>
            <w:shd w:val="clear" w:color="auto" w:fill="E7E6E6" w:themeFill="background2"/>
            <w:vAlign w:val="center"/>
          </w:tcPr>
          <w:p w:rsidRPr="00C602F0" w:rsidR="00FC78B2" w:rsidP="00FC78B2" w:rsidRDefault="00FC78B2" w14:paraId="29B083CE" w14:textId="77777777">
            <w:pPr>
              <w:ind w:firstLine="0"/>
              <w:jc w:val="center"/>
              <w:rPr>
                <w:rFonts w:ascii="Times New Roman" w:hAnsi="Times New Roman" w:cs="Times New Roman"/>
                <w:bCs/>
                <w:sz w:val="18"/>
                <w:szCs w:val="18"/>
                <w:lang w:eastAsia="en-GB"/>
              </w:rPr>
            </w:pPr>
            <w:r w:rsidRPr="00C602F0">
              <w:rPr>
                <w:rFonts w:ascii="Times New Roman" w:hAnsi="Times New Roman" w:cs="Times New Roman"/>
                <w:bCs/>
                <w:sz w:val="18"/>
                <w:szCs w:val="18"/>
                <w:lang w:eastAsia="en-GB"/>
              </w:rPr>
              <w:t>1</w:t>
            </w:r>
          </w:p>
        </w:tc>
        <w:tc>
          <w:tcPr>
            <w:tcW w:w="481" w:type="pct"/>
            <w:shd w:val="clear" w:color="auto" w:fill="E7E6E6" w:themeFill="background2"/>
            <w:vAlign w:val="center"/>
          </w:tcPr>
          <w:p w:rsidRPr="00C602F0" w:rsidR="00FC78B2" w:rsidP="00FC78B2" w:rsidRDefault="00FC78B2" w14:paraId="73BD2D5B" w14:textId="77777777">
            <w:pPr>
              <w:ind w:firstLine="0"/>
              <w:jc w:val="center"/>
              <w:rPr>
                <w:rFonts w:ascii="Times New Roman" w:hAnsi="Times New Roman" w:cs="Times New Roman"/>
                <w:bCs/>
                <w:sz w:val="18"/>
                <w:szCs w:val="18"/>
                <w:lang w:eastAsia="en-GB"/>
              </w:rPr>
            </w:pPr>
            <w:r w:rsidRPr="00C602F0">
              <w:rPr>
                <w:rFonts w:cs="Times New Roman"/>
                <w:bCs/>
                <w:sz w:val="18"/>
                <w:szCs w:val="18"/>
                <w:lang w:eastAsia="en-GB"/>
              </w:rPr>
              <w:t>2</w:t>
            </w:r>
          </w:p>
        </w:tc>
        <w:tc>
          <w:tcPr>
            <w:tcW w:w="514" w:type="pct"/>
            <w:shd w:val="clear" w:color="auto" w:fill="E7E6E6" w:themeFill="background2"/>
            <w:vAlign w:val="center"/>
          </w:tcPr>
          <w:p w:rsidRPr="00C602F0" w:rsidR="00FC78B2" w:rsidP="00FC78B2" w:rsidRDefault="00FC78B2" w14:paraId="3B81ECC0" w14:textId="77777777">
            <w:pPr>
              <w:ind w:firstLine="0"/>
              <w:jc w:val="center"/>
              <w:rPr>
                <w:rFonts w:ascii="Times New Roman" w:hAnsi="Times New Roman" w:cs="Times New Roman"/>
                <w:bCs/>
                <w:sz w:val="18"/>
                <w:szCs w:val="18"/>
                <w:lang w:eastAsia="en-GB"/>
              </w:rPr>
            </w:pPr>
            <w:r w:rsidRPr="00C602F0">
              <w:rPr>
                <w:rFonts w:cs="Times New Roman"/>
                <w:bCs/>
                <w:sz w:val="18"/>
                <w:szCs w:val="18"/>
                <w:lang w:eastAsia="en-GB"/>
              </w:rPr>
              <w:t>3</w:t>
            </w:r>
          </w:p>
        </w:tc>
        <w:tc>
          <w:tcPr>
            <w:tcW w:w="389" w:type="pct"/>
            <w:shd w:val="clear" w:color="auto" w:fill="E7E6E6" w:themeFill="background2"/>
            <w:vAlign w:val="center"/>
          </w:tcPr>
          <w:p w:rsidRPr="00C602F0" w:rsidR="00FC78B2" w:rsidP="00FC78B2" w:rsidRDefault="00FC78B2" w14:paraId="026462C9" w14:textId="77777777">
            <w:pPr>
              <w:ind w:firstLine="0"/>
              <w:jc w:val="center"/>
              <w:rPr>
                <w:rFonts w:ascii="Times New Roman" w:hAnsi="Times New Roman" w:cs="Times New Roman"/>
                <w:sz w:val="18"/>
                <w:szCs w:val="18"/>
                <w:lang w:eastAsia="en-GB"/>
              </w:rPr>
            </w:pPr>
            <w:r w:rsidRPr="00C602F0">
              <w:rPr>
                <w:rFonts w:cs="Times New Roman"/>
                <w:sz w:val="18"/>
                <w:szCs w:val="18"/>
                <w:lang w:eastAsia="en-GB"/>
              </w:rPr>
              <w:t>4</w:t>
            </w:r>
          </w:p>
        </w:tc>
        <w:tc>
          <w:tcPr>
            <w:tcW w:w="360" w:type="pct"/>
            <w:shd w:val="clear" w:color="auto" w:fill="E7E6E6" w:themeFill="background2"/>
            <w:vAlign w:val="center"/>
          </w:tcPr>
          <w:p w:rsidRPr="00C602F0" w:rsidR="00FC78B2" w:rsidP="00FC78B2" w:rsidRDefault="00FC78B2" w14:paraId="602E751C" w14:textId="77777777">
            <w:pPr>
              <w:ind w:firstLine="0"/>
              <w:jc w:val="center"/>
              <w:rPr>
                <w:rFonts w:ascii="Times New Roman" w:hAnsi="Times New Roman" w:cs="Times New Roman"/>
                <w:sz w:val="18"/>
                <w:szCs w:val="18"/>
                <w:lang w:eastAsia="en-GB"/>
              </w:rPr>
            </w:pPr>
            <w:r w:rsidRPr="00C602F0">
              <w:rPr>
                <w:rFonts w:cs="Times New Roman"/>
                <w:sz w:val="18"/>
                <w:szCs w:val="18"/>
                <w:lang w:eastAsia="en-GB"/>
              </w:rPr>
              <w:t>5</w:t>
            </w:r>
          </w:p>
        </w:tc>
        <w:tc>
          <w:tcPr>
            <w:tcW w:w="368" w:type="pct"/>
            <w:shd w:val="clear" w:color="auto" w:fill="E7E6E6" w:themeFill="background2"/>
            <w:vAlign w:val="center"/>
          </w:tcPr>
          <w:p w:rsidRPr="00C602F0" w:rsidR="00FC78B2" w:rsidP="00FC78B2" w:rsidRDefault="00FC78B2" w14:paraId="714FA6F0" w14:textId="77777777">
            <w:pPr>
              <w:ind w:firstLine="0"/>
              <w:jc w:val="center"/>
              <w:rPr>
                <w:rFonts w:ascii="Times New Roman" w:hAnsi="Times New Roman" w:cs="Times New Roman"/>
                <w:sz w:val="18"/>
                <w:szCs w:val="18"/>
                <w:lang w:eastAsia="en-GB"/>
              </w:rPr>
            </w:pPr>
            <w:r w:rsidRPr="00C602F0">
              <w:rPr>
                <w:rFonts w:cs="Times New Roman"/>
                <w:sz w:val="18"/>
                <w:szCs w:val="18"/>
                <w:lang w:eastAsia="en-GB"/>
              </w:rPr>
              <w:t>6</w:t>
            </w:r>
          </w:p>
        </w:tc>
        <w:tc>
          <w:tcPr>
            <w:tcW w:w="360" w:type="pct"/>
            <w:shd w:val="clear" w:color="auto" w:fill="E7E6E6" w:themeFill="background2"/>
            <w:vAlign w:val="center"/>
          </w:tcPr>
          <w:p w:rsidRPr="00C602F0" w:rsidR="00FC78B2" w:rsidP="00FC78B2" w:rsidRDefault="00FC78B2" w14:paraId="17C42805" w14:textId="77777777">
            <w:pPr>
              <w:ind w:firstLine="0"/>
              <w:jc w:val="center"/>
              <w:rPr>
                <w:rFonts w:ascii="Times New Roman" w:hAnsi="Times New Roman" w:cs="Times New Roman"/>
                <w:sz w:val="18"/>
                <w:szCs w:val="18"/>
                <w:lang w:eastAsia="en-GB"/>
              </w:rPr>
            </w:pPr>
            <w:r w:rsidRPr="00C602F0">
              <w:rPr>
                <w:rFonts w:cs="Times New Roman"/>
                <w:sz w:val="18"/>
                <w:szCs w:val="18"/>
                <w:lang w:eastAsia="en-GB"/>
              </w:rPr>
              <w:t>7</w:t>
            </w:r>
          </w:p>
        </w:tc>
        <w:tc>
          <w:tcPr>
            <w:tcW w:w="373" w:type="pct"/>
            <w:shd w:val="clear" w:color="auto" w:fill="E7E6E6" w:themeFill="background2"/>
            <w:vAlign w:val="center"/>
          </w:tcPr>
          <w:p w:rsidRPr="00C602F0" w:rsidR="00FC78B2" w:rsidP="00FC78B2" w:rsidRDefault="00FC78B2" w14:paraId="5B4011C5" w14:textId="77777777">
            <w:pPr>
              <w:ind w:firstLine="0"/>
              <w:jc w:val="center"/>
              <w:rPr>
                <w:rFonts w:ascii="Times New Roman" w:hAnsi="Times New Roman" w:cs="Times New Roman"/>
                <w:sz w:val="18"/>
                <w:szCs w:val="18"/>
                <w:lang w:eastAsia="en-GB"/>
              </w:rPr>
            </w:pPr>
            <w:r w:rsidRPr="00C602F0">
              <w:rPr>
                <w:rFonts w:cs="Times New Roman"/>
                <w:sz w:val="18"/>
                <w:szCs w:val="18"/>
                <w:lang w:eastAsia="en-GB"/>
              </w:rPr>
              <w:t>8</w:t>
            </w:r>
          </w:p>
        </w:tc>
        <w:tc>
          <w:tcPr>
            <w:tcW w:w="360" w:type="pct"/>
            <w:shd w:val="clear" w:color="auto" w:fill="E7E6E6" w:themeFill="background2"/>
            <w:vAlign w:val="center"/>
          </w:tcPr>
          <w:p w:rsidRPr="00C602F0" w:rsidR="00FC78B2" w:rsidP="00FC78B2" w:rsidRDefault="00FC78B2" w14:paraId="43F6971F" w14:textId="77777777">
            <w:pPr>
              <w:ind w:firstLine="0"/>
              <w:jc w:val="center"/>
              <w:rPr>
                <w:rFonts w:ascii="Times New Roman" w:hAnsi="Times New Roman" w:cs="Times New Roman"/>
                <w:sz w:val="18"/>
                <w:szCs w:val="18"/>
                <w:lang w:eastAsia="en-GB"/>
              </w:rPr>
            </w:pPr>
            <w:r w:rsidRPr="00C602F0">
              <w:rPr>
                <w:rFonts w:cs="Times New Roman"/>
                <w:sz w:val="18"/>
                <w:szCs w:val="18"/>
                <w:lang w:eastAsia="en-GB"/>
              </w:rPr>
              <w:t>9</w:t>
            </w:r>
          </w:p>
        </w:tc>
        <w:tc>
          <w:tcPr>
            <w:tcW w:w="427" w:type="pct"/>
            <w:shd w:val="clear" w:color="auto" w:fill="E7E6E6" w:themeFill="background2"/>
            <w:vAlign w:val="center"/>
          </w:tcPr>
          <w:p w:rsidRPr="00C602F0" w:rsidR="00FC78B2" w:rsidP="00FC78B2" w:rsidRDefault="00FC78B2" w14:paraId="661050F5" w14:textId="77777777">
            <w:pPr>
              <w:ind w:firstLine="0"/>
              <w:jc w:val="center"/>
              <w:rPr>
                <w:rFonts w:ascii="Times New Roman" w:hAnsi="Times New Roman" w:cs="Times New Roman"/>
                <w:sz w:val="18"/>
                <w:szCs w:val="18"/>
                <w:lang w:eastAsia="en-GB"/>
              </w:rPr>
            </w:pPr>
            <w:r w:rsidRPr="00C602F0">
              <w:rPr>
                <w:rFonts w:cs="Times New Roman"/>
                <w:sz w:val="18"/>
                <w:szCs w:val="18"/>
                <w:lang w:eastAsia="en-GB"/>
              </w:rPr>
              <w:t>10</w:t>
            </w:r>
          </w:p>
        </w:tc>
        <w:tc>
          <w:tcPr>
            <w:tcW w:w="416" w:type="pct"/>
            <w:shd w:val="clear" w:color="auto" w:fill="E7E6E6" w:themeFill="background2"/>
            <w:vAlign w:val="center"/>
          </w:tcPr>
          <w:p w:rsidRPr="00C602F0" w:rsidR="00FC78B2" w:rsidP="00FC78B2" w:rsidRDefault="00FC78B2" w14:paraId="1AFEB8E6" w14:textId="77777777">
            <w:pPr>
              <w:ind w:firstLine="0"/>
              <w:jc w:val="center"/>
              <w:rPr>
                <w:rFonts w:ascii="Times New Roman" w:hAnsi="Times New Roman" w:cs="Times New Roman"/>
                <w:sz w:val="18"/>
                <w:szCs w:val="18"/>
                <w:lang w:eastAsia="en-GB"/>
              </w:rPr>
            </w:pPr>
            <w:r w:rsidRPr="00C602F0">
              <w:rPr>
                <w:rFonts w:cs="Times New Roman"/>
                <w:sz w:val="18"/>
                <w:szCs w:val="18"/>
                <w:lang w:eastAsia="en-GB"/>
              </w:rPr>
              <w:t>11</w:t>
            </w:r>
          </w:p>
        </w:tc>
        <w:tc>
          <w:tcPr>
            <w:tcW w:w="423" w:type="pct"/>
            <w:shd w:val="clear" w:color="auto" w:fill="E7E6E6" w:themeFill="background2"/>
            <w:vAlign w:val="center"/>
          </w:tcPr>
          <w:p w:rsidRPr="00C602F0" w:rsidR="00FC78B2" w:rsidP="00FC78B2" w:rsidRDefault="00FC78B2" w14:paraId="390806A1" w14:textId="77777777">
            <w:pPr>
              <w:ind w:firstLine="0"/>
              <w:jc w:val="center"/>
              <w:rPr>
                <w:rFonts w:ascii="Times New Roman" w:hAnsi="Times New Roman" w:cs="Times New Roman"/>
                <w:sz w:val="18"/>
                <w:szCs w:val="18"/>
                <w:lang w:eastAsia="en-GB"/>
              </w:rPr>
            </w:pPr>
            <w:r w:rsidRPr="00C602F0">
              <w:rPr>
                <w:rFonts w:cs="Times New Roman"/>
                <w:sz w:val="18"/>
                <w:szCs w:val="18"/>
                <w:lang w:eastAsia="en-GB"/>
              </w:rPr>
              <w:t>12</w:t>
            </w:r>
          </w:p>
        </w:tc>
      </w:tr>
      <w:tr w:rsidRPr="00CA0592" w:rsidR="00FC78B2" w:rsidTr="00DA2CB8" w14:paraId="459AFACD" w14:textId="77777777">
        <w:trPr>
          <w:trHeight w:val="900"/>
        </w:trPr>
        <w:tc>
          <w:tcPr>
            <w:tcW w:w="529" w:type="pct"/>
            <w:vAlign w:val="center"/>
            <w:hideMark/>
          </w:tcPr>
          <w:p w:rsidRPr="00C602F0" w:rsidR="00FC78B2" w:rsidP="00FC78B2" w:rsidRDefault="00FC78B2" w14:paraId="1F87B0E9" w14:textId="78303E99">
            <w:pPr>
              <w:ind w:firstLine="0"/>
              <w:rPr>
                <w:rFonts w:ascii="Times New Roman" w:hAnsi="Times New Roman" w:cs="Times New Roman"/>
                <w:b/>
                <w:bCs/>
                <w:lang w:eastAsia="en-GB"/>
              </w:rPr>
            </w:pPr>
            <w:r w:rsidRPr="00C602F0">
              <w:rPr>
                <w:rFonts w:ascii="Times New Roman" w:hAnsi="Times New Roman" w:cs="Times New Roman"/>
                <w:b/>
                <w:bCs/>
                <w:lang w:eastAsia="en-GB"/>
              </w:rPr>
              <w:t>Finansējums konceptuālā ziņojuma īstenošanai kopā</w:t>
            </w:r>
            <w:r w:rsidRPr="00C602F0" w:rsidR="00C65C16">
              <w:rPr>
                <w:rStyle w:val="FootnoteReference"/>
                <w:rFonts w:ascii="Times New Roman" w:hAnsi="Times New Roman" w:cs="Times New Roman"/>
                <w:b/>
                <w:bCs/>
                <w:lang w:eastAsia="en-GB"/>
              </w:rPr>
              <w:footnoteReference w:id="20"/>
            </w:r>
          </w:p>
        </w:tc>
        <w:tc>
          <w:tcPr>
            <w:tcW w:w="481" w:type="pct"/>
            <w:vAlign w:val="center"/>
            <w:hideMark/>
          </w:tcPr>
          <w:p w:rsidRPr="00C602F0" w:rsidR="00FC78B2" w:rsidP="00FC78B2" w:rsidRDefault="00FC78B2" w14:paraId="339A947E" w14:textId="77777777">
            <w:pPr>
              <w:jc w:val="center"/>
              <w:rPr>
                <w:rFonts w:ascii="Times New Roman" w:hAnsi="Times New Roman" w:cs="Times New Roman"/>
                <w:b/>
                <w:bCs/>
                <w:sz w:val="24"/>
                <w:lang w:eastAsia="en-GB"/>
              </w:rPr>
            </w:pPr>
            <w:r w:rsidRPr="00C602F0">
              <w:rPr>
                <w:rFonts w:ascii="Times New Roman" w:hAnsi="Times New Roman" w:cs="Times New Roman"/>
                <w:b/>
                <w:bCs/>
                <w:sz w:val="24"/>
                <w:lang w:eastAsia="en-GB"/>
              </w:rPr>
              <w:t> </w:t>
            </w:r>
          </w:p>
        </w:tc>
        <w:tc>
          <w:tcPr>
            <w:tcW w:w="514" w:type="pct"/>
            <w:vAlign w:val="center"/>
            <w:hideMark/>
          </w:tcPr>
          <w:p w:rsidRPr="00C602F0" w:rsidR="00FC78B2" w:rsidP="00FC78B2" w:rsidRDefault="00FC78B2" w14:paraId="4C3F61F1" w14:textId="77777777">
            <w:pPr>
              <w:jc w:val="center"/>
              <w:rPr>
                <w:rFonts w:ascii="Times New Roman" w:hAnsi="Times New Roman" w:cs="Times New Roman"/>
                <w:b/>
                <w:bCs/>
                <w:sz w:val="24"/>
                <w:lang w:eastAsia="en-GB"/>
              </w:rPr>
            </w:pPr>
            <w:r w:rsidRPr="00C602F0">
              <w:rPr>
                <w:rFonts w:ascii="Times New Roman" w:hAnsi="Times New Roman" w:cs="Times New Roman"/>
                <w:b/>
                <w:bCs/>
                <w:sz w:val="24"/>
                <w:lang w:eastAsia="en-GB"/>
              </w:rPr>
              <w:t> </w:t>
            </w:r>
          </w:p>
        </w:tc>
        <w:tc>
          <w:tcPr>
            <w:tcW w:w="389" w:type="pct"/>
            <w:vAlign w:val="center"/>
          </w:tcPr>
          <w:p w:rsidRPr="00C56154" w:rsidR="00FC78B2" w:rsidP="00FC78B2" w:rsidRDefault="00AD792B" w14:paraId="369D2EEC" w14:textId="045D1704">
            <w:pPr>
              <w:jc w:val="right"/>
              <w:rPr>
                <w:rFonts w:ascii="Times New Roman" w:hAnsi="Times New Roman" w:cs="Times New Roman"/>
                <w:sz w:val="24"/>
                <w:lang w:eastAsia="en-GB"/>
              </w:rPr>
            </w:pPr>
            <w:r w:rsidRPr="00C56154">
              <w:rPr>
                <w:rFonts w:ascii="Times New Roman" w:hAnsi="Times New Roman" w:cs="Times New Roman"/>
                <w:sz w:val="24"/>
                <w:lang w:eastAsia="en-GB"/>
              </w:rPr>
              <w:t>0</w:t>
            </w:r>
          </w:p>
        </w:tc>
        <w:tc>
          <w:tcPr>
            <w:tcW w:w="360" w:type="pct"/>
            <w:vAlign w:val="center"/>
          </w:tcPr>
          <w:p w:rsidRPr="00C56154" w:rsidR="00FC78B2" w:rsidP="00FC78B2" w:rsidRDefault="00AD792B" w14:paraId="471DDB71" w14:textId="21EA2B13">
            <w:pPr>
              <w:jc w:val="right"/>
              <w:rPr>
                <w:rFonts w:ascii="Times New Roman" w:hAnsi="Times New Roman" w:cs="Times New Roman"/>
                <w:sz w:val="24"/>
                <w:lang w:eastAsia="en-GB"/>
              </w:rPr>
            </w:pPr>
            <w:r w:rsidRPr="00C56154">
              <w:rPr>
                <w:rFonts w:ascii="Times New Roman" w:hAnsi="Times New Roman" w:cs="Times New Roman"/>
                <w:sz w:val="24"/>
                <w:lang w:eastAsia="en-GB"/>
              </w:rPr>
              <w:t>0</w:t>
            </w:r>
          </w:p>
        </w:tc>
        <w:tc>
          <w:tcPr>
            <w:tcW w:w="368" w:type="pct"/>
            <w:vAlign w:val="center"/>
          </w:tcPr>
          <w:p w:rsidRPr="00C56154" w:rsidR="00FC78B2" w:rsidP="00FC78B2" w:rsidRDefault="00AD792B" w14:paraId="5F78515F" w14:textId="650D15D1">
            <w:pPr>
              <w:jc w:val="right"/>
              <w:rPr>
                <w:rFonts w:ascii="Times New Roman" w:hAnsi="Times New Roman" w:cs="Times New Roman"/>
                <w:sz w:val="24"/>
                <w:lang w:eastAsia="en-GB"/>
              </w:rPr>
            </w:pPr>
            <w:r w:rsidRPr="00C56154">
              <w:rPr>
                <w:rFonts w:ascii="Times New Roman" w:hAnsi="Times New Roman" w:cs="Times New Roman"/>
                <w:sz w:val="24"/>
                <w:lang w:eastAsia="en-GB"/>
              </w:rPr>
              <w:t>0</w:t>
            </w:r>
          </w:p>
        </w:tc>
        <w:tc>
          <w:tcPr>
            <w:tcW w:w="360" w:type="pct"/>
            <w:vAlign w:val="center"/>
          </w:tcPr>
          <w:p w:rsidRPr="00C56154" w:rsidR="00FC78B2" w:rsidP="00FC78B2" w:rsidRDefault="00DA66E9" w14:paraId="25D682C1" w14:textId="2C6F788F">
            <w:pPr>
              <w:jc w:val="right"/>
              <w:rPr>
                <w:rFonts w:ascii="Times New Roman" w:hAnsi="Times New Roman" w:cs="Times New Roman"/>
                <w:sz w:val="24"/>
                <w:lang w:eastAsia="en-GB"/>
              </w:rPr>
            </w:pPr>
            <w:r w:rsidRPr="00C56154">
              <w:rPr>
                <w:rFonts w:ascii="Times New Roman" w:hAnsi="Times New Roman" w:cs="Times New Roman"/>
                <w:sz w:val="24"/>
                <w:lang w:eastAsia="en-GB"/>
              </w:rPr>
              <w:t>0</w:t>
            </w:r>
          </w:p>
        </w:tc>
        <w:tc>
          <w:tcPr>
            <w:tcW w:w="373" w:type="pct"/>
            <w:vAlign w:val="center"/>
          </w:tcPr>
          <w:p w:rsidRPr="00C56154" w:rsidR="00FC78B2" w:rsidP="00FC78B2" w:rsidRDefault="00DA66E9" w14:paraId="3162E667" w14:textId="14DFD283">
            <w:pPr>
              <w:jc w:val="right"/>
              <w:rPr>
                <w:rFonts w:ascii="Times New Roman" w:hAnsi="Times New Roman" w:cs="Times New Roman"/>
                <w:sz w:val="24"/>
                <w:lang w:eastAsia="en-GB"/>
              </w:rPr>
            </w:pPr>
            <w:r w:rsidRPr="00C56154">
              <w:rPr>
                <w:rFonts w:ascii="Times New Roman" w:hAnsi="Times New Roman" w:cs="Times New Roman"/>
                <w:sz w:val="24"/>
                <w:lang w:eastAsia="en-GB"/>
              </w:rPr>
              <w:t>0</w:t>
            </w:r>
          </w:p>
        </w:tc>
        <w:tc>
          <w:tcPr>
            <w:tcW w:w="360" w:type="pct"/>
            <w:vAlign w:val="center"/>
          </w:tcPr>
          <w:p w:rsidRPr="00C56154" w:rsidR="00FC78B2" w:rsidP="00FC78B2" w:rsidRDefault="00DA66E9" w14:paraId="3A2DD16A" w14:textId="52488146">
            <w:pPr>
              <w:jc w:val="right"/>
              <w:rPr>
                <w:rFonts w:ascii="Times New Roman" w:hAnsi="Times New Roman" w:cs="Times New Roman"/>
                <w:sz w:val="24"/>
                <w:lang w:eastAsia="en-GB"/>
              </w:rPr>
            </w:pPr>
            <w:r w:rsidRPr="00C56154">
              <w:rPr>
                <w:rFonts w:ascii="Times New Roman" w:hAnsi="Times New Roman" w:cs="Times New Roman"/>
                <w:sz w:val="24"/>
                <w:lang w:eastAsia="en-GB"/>
              </w:rPr>
              <w:t>0</w:t>
            </w:r>
          </w:p>
        </w:tc>
        <w:tc>
          <w:tcPr>
            <w:tcW w:w="427" w:type="pct"/>
            <w:vAlign w:val="center"/>
          </w:tcPr>
          <w:p w:rsidRPr="00C56154" w:rsidR="00FC78B2" w:rsidP="00FC78B2" w:rsidRDefault="00055083" w14:paraId="0AC79ABD" w14:textId="7581DC26">
            <w:pPr>
              <w:jc w:val="right"/>
              <w:rPr>
                <w:rFonts w:ascii="Times New Roman" w:hAnsi="Times New Roman" w:cs="Times New Roman"/>
                <w:sz w:val="24"/>
                <w:lang w:eastAsia="en-GB"/>
              </w:rPr>
            </w:pPr>
            <w:r w:rsidRPr="00C56154">
              <w:rPr>
                <w:rFonts w:ascii="Times New Roman" w:hAnsi="Times New Roman" w:cs="Times New Roman"/>
                <w:sz w:val="24"/>
                <w:lang w:eastAsia="en-GB"/>
              </w:rPr>
              <w:t>0</w:t>
            </w:r>
          </w:p>
        </w:tc>
        <w:tc>
          <w:tcPr>
            <w:tcW w:w="416" w:type="pct"/>
            <w:vAlign w:val="center"/>
          </w:tcPr>
          <w:p w:rsidRPr="00C56154" w:rsidR="00FC78B2" w:rsidP="00E9329F" w:rsidRDefault="00AD792B" w14:paraId="26880639" w14:textId="347792BE">
            <w:pPr>
              <w:ind w:firstLine="0"/>
              <w:jc w:val="right"/>
              <w:rPr>
                <w:rFonts w:ascii="Times New Roman" w:hAnsi="Times New Roman" w:cs="Times New Roman"/>
                <w:b/>
                <w:sz w:val="20"/>
                <w:szCs w:val="20"/>
                <w:lang w:eastAsia="en-GB"/>
              </w:rPr>
            </w:pPr>
            <w:r w:rsidRPr="00C56154">
              <w:rPr>
                <w:rFonts w:ascii="Times New Roman" w:hAnsi="Times New Roman" w:cs="Times New Roman"/>
                <w:b/>
                <w:sz w:val="20"/>
                <w:szCs w:val="20"/>
                <w:lang w:eastAsia="en-GB"/>
              </w:rPr>
              <w:t>588 235</w:t>
            </w:r>
          </w:p>
        </w:tc>
        <w:tc>
          <w:tcPr>
            <w:tcW w:w="423" w:type="pct"/>
            <w:vAlign w:val="center"/>
          </w:tcPr>
          <w:p w:rsidRPr="00C56154" w:rsidR="00FC78B2" w:rsidP="00FC78B2" w:rsidRDefault="00FC78B2" w14:paraId="4B639013" w14:textId="77777777">
            <w:pPr>
              <w:jc w:val="right"/>
              <w:rPr>
                <w:rFonts w:ascii="Times New Roman" w:hAnsi="Times New Roman" w:cs="Times New Roman"/>
                <w:sz w:val="24"/>
                <w:lang w:eastAsia="en-GB"/>
              </w:rPr>
            </w:pPr>
          </w:p>
        </w:tc>
      </w:tr>
      <w:tr w:rsidRPr="00CA0592" w:rsidR="00FC78B2" w:rsidTr="00DA2CB8" w14:paraId="37DA5ECE" w14:textId="77777777">
        <w:trPr>
          <w:trHeight w:val="250"/>
        </w:trPr>
        <w:tc>
          <w:tcPr>
            <w:tcW w:w="529" w:type="pct"/>
            <w:vAlign w:val="center"/>
            <w:hideMark/>
          </w:tcPr>
          <w:p w:rsidRPr="00C602F0" w:rsidR="00FC78B2" w:rsidP="00FC78B2" w:rsidRDefault="00FC78B2" w14:paraId="65945267" w14:textId="4C6EC513">
            <w:pPr>
              <w:ind w:firstLine="0"/>
              <w:rPr>
                <w:rFonts w:ascii="Times New Roman" w:hAnsi="Times New Roman" w:cs="Times New Roman"/>
                <w:lang w:eastAsia="en-GB"/>
              </w:rPr>
            </w:pPr>
            <w:r w:rsidRPr="00C602F0">
              <w:rPr>
                <w:rFonts w:ascii="Times New Roman" w:hAnsi="Times New Roman" w:cs="Times New Roman"/>
                <w:lang w:eastAsia="en-GB"/>
              </w:rPr>
              <w:t>tajā skaitā</w:t>
            </w:r>
          </w:p>
        </w:tc>
        <w:tc>
          <w:tcPr>
            <w:tcW w:w="481" w:type="pct"/>
            <w:vAlign w:val="center"/>
            <w:hideMark/>
          </w:tcPr>
          <w:p w:rsidRPr="00C602F0" w:rsidR="00FC78B2" w:rsidP="00FC78B2" w:rsidRDefault="00FC78B2" w14:paraId="062A21A6" w14:textId="77777777">
            <w:pPr>
              <w:jc w:val="center"/>
              <w:rPr>
                <w:rFonts w:ascii="Times New Roman" w:hAnsi="Times New Roman" w:cs="Times New Roman"/>
                <w:i/>
                <w:iCs/>
                <w:sz w:val="24"/>
                <w:lang w:eastAsia="en-GB"/>
              </w:rPr>
            </w:pPr>
            <w:r w:rsidRPr="00C602F0">
              <w:rPr>
                <w:rFonts w:ascii="Times New Roman" w:hAnsi="Times New Roman" w:cs="Times New Roman"/>
                <w:i/>
                <w:iCs/>
                <w:sz w:val="24"/>
                <w:lang w:eastAsia="en-GB"/>
              </w:rPr>
              <w:t> </w:t>
            </w:r>
          </w:p>
        </w:tc>
        <w:tc>
          <w:tcPr>
            <w:tcW w:w="514" w:type="pct"/>
            <w:vAlign w:val="center"/>
            <w:hideMark/>
          </w:tcPr>
          <w:p w:rsidRPr="00C602F0" w:rsidR="00FC78B2" w:rsidP="00FC78B2" w:rsidRDefault="00FC78B2" w14:paraId="195983D2" w14:textId="77777777">
            <w:pPr>
              <w:jc w:val="center"/>
              <w:rPr>
                <w:rFonts w:ascii="Times New Roman" w:hAnsi="Times New Roman" w:cs="Times New Roman"/>
                <w:i/>
                <w:iCs/>
                <w:sz w:val="24"/>
                <w:lang w:eastAsia="en-GB"/>
              </w:rPr>
            </w:pPr>
            <w:r w:rsidRPr="00C602F0">
              <w:rPr>
                <w:rFonts w:ascii="Times New Roman" w:hAnsi="Times New Roman" w:cs="Times New Roman"/>
                <w:i/>
                <w:iCs/>
                <w:sz w:val="24"/>
                <w:lang w:eastAsia="en-GB"/>
              </w:rPr>
              <w:t> </w:t>
            </w:r>
          </w:p>
        </w:tc>
        <w:tc>
          <w:tcPr>
            <w:tcW w:w="389" w:type="pct"/>
            <w:vAlign w:val="center"/>
            <w:hideMark/>
          </w:tcPr>
          <w:p w:rsidRPr="00C56154" w:rsidR="00FC78B2" w:rsidP="00FC78B2" w:rsidRDefault="00FC78B2" w14:paraId="1A22D0B4" w14:textId="77777777">
            <w:pPr>
              <w:jc w:val="right"/>
              <w:rPr>
                <w:rFonts w:ascii="Times New Roman" w:hAnsi="Times New Roman" w:cs="Times New Roman"/>
                <w:sz w:val="24"/>
                <w:lang w:eastAsia="en-GB"/>
              </w:rPr>
            </w:pPr>
            <w:r w:rsidRPr="00C56154">
              <w:rPr>
                <w:rFonts w:ascii="Times New Roman" w:hAnsi="Times New Roman" w:cs="Times New Roman"/>
                <w:sz w:val="24"/>
                <w:lang w:eastAsia="en-GB"/>
              </w:rPr>
              <w:t> </w:t>
            </w:r>
          </w:p>
        </w:tc>
        <w:tc>
          <w:tcPr>
            <w:tcW w:w="360" w:type="pct"/>
            <w:vAlign w:val="center"/>
            <w:hideMark/>
          </w:tcPr>
          <w:p w:rsidRPr="00C56154" w:rsidR="00FC78B2" w:rsidP="00FC78B2" w:rsidRDefault="00FC78B2" w14:paraId="44AD52D2" w14:textId="77777777">
            <w:pPr>
              <w:jc w:val="right"/>
              <w:rPr>
                <w:rFonts w:ascii="Times New Roman" w:hAnsi="Times New Roman" w:cs="Times New Roman"/>
                <w:sz w:val="24"/>
                <w:lang w:eastAsia="en-GB"/>
              </w:rPr>
            </w:pPr>
            <w:r w:rsidRPr="00C56154">
              <w:rPr>
                <w:rFonts w:ascii="Times New Roman" w:hAnsi="Times New Roman" w:cs="Times New Roman"/>
                <w:sz w:val="24"/>
                <w:lang w:eastAsia="en-GB"/>
              </w:rPr>
              <w:t> </w:t>
            </w:r>
          </w:p>
        </w:tc>
        <w:tc>
          <w:tcPr>
            <w:tcW w:w="368" w:type="pct"/>
            <w:vAlign w:val="center"/>
            <w:hideMark/>
          </w:tcPr>
          <w:p w:rsidRPr="00C56154" w:rsidR="00FC78B2" w:rsidP="00FC78B2" w:rsidRDefault="00FC78B2" w14:paraId="484F1C6D" w14:textId="77777777">
            <w:pPr>
              <w:jc w:val="right"/>
              <w:rPr>
                <w:rFonts w:ascii="Times New Roman" w:hAnsi="Times New Roman" w:cs="Times New Roman"/>
                <w:sz w:val="24"/>
                <w:lang w:eastAsia="en-GB"/>
              </w:rPr>
            </w:pPr>
            <w:r w:rsidRPr="00C56154">
              <w:rPr>
                <w:rFonts w:ascii="Times New Roman" w:hAnsi="Times New Roman" w:cs="Times New Roman"/>
                <w:sz w:val="24"/>
                <w:lang w:eastAsia="en-GB"/>
              </w:rPr>
              <w:t> </w:t>
            </w:r>
          </w:p>
        </w:tc>
        <w:tc>
          <w:tcPr>
            <w:tcW w:w="360" w:type="pct"/>
            <w:vAlign w:val="center"/>
            <w:hideMark/>
          </w:tcPr>
          <w:p w:rsidRPr="00C56154" w:rsidR="00FC78B2" w:rsidP="00FC78B2" w:rsidRDefault="00FC78B2" w14:paraId="1E026F25" w14:textId="77777777">
            <w:pPr>
              <w:jc w:val="right"/>
              <w:rPr>
                <w:rFonts w:ascii="Times New Roman" w:hAnsi="Times New Roman" w:cs="Times New Roman"/>
                <w:sz w:val="24"/>
                <w:lang w:eastAsia="en-GB"/>
              </w:rPr>
            </w:pPr>
            <w:r w:rsidRPr="00C56154">
              <w:rPr>
                <w:rFonts w:ascii="Times New Roman" w:hAnsi="Times New Roman" w:cs="Times New Roman"/>
                <w:sz w:val="24"/>
                <w:lang w:eastAsia="en-GB"/>
              </w:rPr>
              <w:t> </w:t>
            </w:r>
          </w:p>
        </w:tc>
        <w:tc>
          <w:tcPr>
            <w:tcW w:w="373" w:type="pct"/>
            <w:vAlign w:val="center"/>
            <w:hideMark/>
          </w:tcPr>
          <w:p w:rsidRPr="00C56154" w:rsidR="00FC78B2" w:rsidP="00FC78B2" w:rsidRDefault="00FC78B2" w14:paraId="5E6EA758" w14:textId="77777777">
            <w:pPr>
              <w:jc w:val="right"/>
              <w:rPr>
                <w:rFonts w:ascii="Times New Roman" w:hAnsi="Times New Roman" w:cs="Times New Roman"/>
                <w:sz w:val="24"/>
                <w:lang w:eastAsia="en-GB"/>
              </w:rPr>
            </w:pPr>
            <w:r w:rsidRPr="00C56154">
              <w:rPr>
                <w:rFonts w:ascii="Times New Roman" w:hAnsi="Times New Roman" w:cs="Times New Roman"/>
                <w:sz w:val="24"/>
                <w:lang w:eastAsia="en-GB"/>
              </w:rPr>
              <w:t> </w:t>
            </w:r>
          </w:p>
        </w:tc>
        <w:tc>
          <w:tcPr>
            <w:tcW w:w="360" w:type="pct"/>
            <w:vAlign w:val="center"/>
            <w:hideMark/>
          </w:tcPr>
          <w:p w:rsidRPr="00C56154" w:rsidR="00FC78B2" w:rsidP="00FC78B2" w:rsidRDefault="00FC78B2" w14:paraId="5616D10E" w14:textId="77777777">
            <w:pPr>
              <w:jc w:val="right"/>
              <w:rPr>
                <w:rFonts w:ascii="Times New Roman" w:hAnsi="Times New Roman" w:cs="Times New Roman"/>
                <w:sz w:val="24"/>
                <w:lang w:eastAsia="en-GB"/>
              </w:rPr>
            </w:pPr>
            <w:r w:rsidRPr="00C56154">
              <w:rPr>
                <w:rFonts w:ascii="Times New Roman" w:hAnsi="Times New Roman" w:cs="Times New Roman"/>
                <w:sz w:val="24"/>
                <w:lang w:eastAsia="en-GB"/>
              </w:rPr>
              <w:t> </w:t>
            </w:r>
          </w:p>
        </w:tc>
        <w:tc>
          <w:tcPr>
            <w:tcW w:w="427" w:type="pct"/>
            <w:vAlign w:val="center"/>
            <w:hideMark/>
          </w:tcPr>
          <w:p w:rsidRPr="00C56154" w:rsidR="00FC78B2" w:rsidP="00FC78B2" w:rsidRDefault="00FC78B2" w14:paraId="445EEA1E" w14:textId="7AE686E7">
            <w:pPr>
              <w:jc w:val="right"/>
              <w:rPr>
                <w:rFonts w:ascii="Times New Roman" w:hAnsi="Times New Roman" w:cs="Times New Roman"/>
                <w:sz w:val="24"/>
                <w:lang w:eastAsia="en-GB"/>
              </w:rPr>
            </w:pPr>
            <w:r w:rsidRPr="00C56154">
              <w:rPr>
                <w:rFonts w:ascii="Times New Roman" w:hAnsi="Times New Roman" w:cs="Times New Roman"/>
                <w:sz w:val="24"/>
                <w:lang w:eastAsia="en-GB"/>
              </w:rPr>
              <w:t> </w:t>
            </w:r>
          </w:p>
        </w:tc>
        <w:tc>
          <w:tcPr>
            <w:tcW w:w="416" w:type="pct"/>
            <w:vAlign w:val="center"/>
            <w:hideMark/>
          </w:tcPr>
          <w:p w:rsidRPr="00C56154" w:rsidR="00FC78B2" w:rsidP="00FC78B2" w:rsidRDefault="00FC78B2" w14:paraId="0848472F" w14:textId="77777777">
            <w:pPr>
              <w:jc w:val="right"/>
              <w:rPr>
                <w:rFonts w:ascii="Times New Roman" w:hAnsi="Times New Roman" w:cs="Times New Roman"/>
                <w:sz w:val="24"/>
                <w:lang w:eastAsia="en-GB"/>
              </w:rPr>
            </w:pPr>
            <w:r w:rsidRPr="00C56154">
              <w:rPr>
                <w:rFonts w:ascii="Times New Roman" w:hAnsi="Times New Roman" w:cs="Times New Roman"/>
                <w:sz w:val="24"/>
                <w:lang w:eastAsia="en-GB"/>
              </w:rPr>
              <w:t> </w:t>
            </w:r>
          </w:p>
        </w:tc>
        <w:tc>
          <w:tcPr>
            <w:tcW w:w="423" w:type="pct"/>
            <w:vAlign w:val="center"/>
            <w:hideMark/>
          </w:tcPr>
          <w:p w:rsidRPr="00C56154" w:rsidR="00FC78B2" w:rsidP="00FC78B2" w:rsidRDefault="00FC78B2" w14:paraId="57DF9816" w14:textId="77777777">
            <w:pPr>
              <w:jc w:val="right"/>
              <w:rPr>
                <w:rFonts w:ascii="Times New Roman" w:hAnsi="Times New Roman" w:cs="Times New Roman"/>
                <w:sz w:val="24"/>
                <w:lang w:eastAsia="en-GB"/>
              </w:rPr>
            </w:pPr>
            <w:r w:rsidRPr="00C56154">
              <w:rPr>
                <w:rFonts w:ascii="Times New Roman" w:hAnsi="Times New Roman" w:cs="Times New Roman"/>
                <w:sz w:val="24"/>
                <w:lang w:eastAsia="en-GB"/>
              </w:rPr>
              <w:t> </w:t>
            </w:r>
          </w:p>
        </w:tc>
      </w:tr>
      <w:tr w:rsidRPr="00CA0592" w:rsidR="00375952" w:rsidTr="00241365" w14:paraId="6825E80E" w14:textId="77777777">
        <w:trPr>
          <w:trHeight w:val="60"/>
        </w:trPr>
        <w:tc>
          <w:tcPr>
            <w:tcW w:w="1010" w:type="pct"/>
            <w:gridSpan w:val="2"/>
            <w:shd w:val="clear" w:color="auto" w:fill="auto"/>
            <w:vAlign w:val="center"/>
          </w:tcPr>
          <w:p w:rsidRPr="00C602F0" w:rsidR="00375952" w:rsidP="00375952" w:rsidRDefault="00375952" w14:paraId="3A87398C" w14:textId="6150F529">
            <w:pPr>
              <w:ind w:firstLine="0"/>
              <w:rPr>
                <w:rFonts w:ascii="Times New Roman" w:hAnsi="Times New Roman" w:cs="Times New Roman"/>
                <w:b/>
                <w:i/>
                <w:iCs/>
              </w:rPr>
            </w:pPr>
            <w:r w:rsidRPr="00C602F0">
              <w:rPr>
                <w:rFonts w:ascii="Times New Roman" w:hAnsi="Times New Roman" w:cs="Times New Roman"/>
                <w:b/>
              </w:rPr>
              <w:t xml:space="preserve">NPP </w:t>
            </w:r>
            <w:r w:rsidRPr="00C602F0">
              <w:rPr>
                <w:rFonts w:cs="Times New Roman"/>
                <w:b/>
              </w:rPr>
              <w:t>izveide</w:t>
            </w:r>
            <w:r w:rsidRPr="00C602F0" w:rsidR="000A0F4F">
              <w:rPr>
                <w:rStyle w:val="FootnoteReference"/>
                <w:rFonts w:ascii="Times New Roman" w:hAnsi="Times New Roman" w:cs="Times New Roman"/>
                <w:sz w:val="20"/>
              </w:rPr>
              <w:footnoteReference w:id="21"/>
            </w:r>
          </w:p>
        </w:tc>
        <w:tc>
          <w:tcPr>
            <w:tcW w:w="514" w:type="pct"/>
            <w:shd w:val="clear" w:color="auto" w:fill="auto"/>
            <w:vAlign w:val="center"/>
          </w:tcPr>
          <w:p w:rsidRPr="00C602F0" w:rsidR="00375952" w:rsidP="00375952" w:rsidRDefault="00375952" w14:paraId="70B7941C" w14:textId="77777777">
            <w:pPr>
              <w:ind w:firstLine="0"/>
              <w:rPr>
                <w:rFonts w:cs="Times New Roman"/>
                <w:i/>
                <w:iCs/>
                <w:sz w:val="20"/>
              </w:rPr>
            </w:pPr>
          </w:p>
        </w:tc>
        <w:tc>
          <w:tcPr>
            <w:tcW w:w="389" w:type="pct"/>
            <w:shd w:val="clear" w:color="auto" w:fill="auto"/>
            <w:vAlign w:val="center"/>
          </w:tcPr>
          <w:p w:rsidRPr="00C56154" w:rsidR="00375952" w:rsidP="00884C53" w:rsidRDefault="00AD792B" w14:paraId="4DB9F7B9" w14:textId="417B00E6">
            <w:pPr>
              <w:ind w:firstLine="0"/>
              <w:jc w:val="right"/>
              <w:rPr>
                <w:rFonts w:ascii="Times New Roman" w:hAnsi="Times New Roman" w:cs="Times New Roman"/>
                <w:sz w:val="18"/>
                <w:szCs w:val="18"/>
              </w:rPr>
            </w:pPr>
            <w:r w:rsidRPr="00C56154">
              <w:rPr>
                <w:rFonts w:ascii="Times New Roman" w:hAnsi="Times New Roman" w:cs="Times New Roman"/>
                <w:sz w:val="18"/>
                <w:szCs w:val="18"/>
              </w:rPr>
              <w:t>0</w:t>
            </w:r>
          </w:p>
        </w:tc>
        <w:tc>
          <w:tcPr>
            <w:tcW w:w="360" w:type="pct"/>
            <w:shd w:val="clear" w:color="auto" w:fill="auto"/>
            <w:vAlign w:val="center"/>
          </w:tcPr>
          <w:p w:rsidRPr="00C56154" w:rsidR="00375952" w:rsidP="00884C53" w:rsidRDefault="00AD792B" w14:paraId="7261504B" w14:textId="1E322C9D">
            <w:pPr>
              <w:ind w:firstLine="0"/>
              <w:jc w:val="right"/>
              <w:rPr>
                <w:rFonts w:ascii="Times New Roman" w:hAnsi="Times New Roman" w:cs="Times New Roman"/>
                <w:sz w:val="18"/>
                <w:szCs w:val="18"/>
              </w:rPr>
            </w:pPr>
            <w:r w:rsidRPr="00C56154">
              <w:rPr>
                <w:rFonts w:ascii="Times New Roman" w:hAnsi="Times New Roman" w:cs="Times New Roman"/>
                <w:sz w:val="18"/>
                <w:szCs w:val="18"/>
              </w:rPr>
              <w:t>0</w:t>
            </w:r>
          </w:p>
        </w:tc>
        <w:tc>
          <w:tcPr>
            <w:tcW w:w="368" w:type="pct"/>
            <w:shd w:val="clear" w:color="auto" w:fill="auto"/>
            <w:vAlign w:val="center"/>
          </w:tcPr>
          <w:p w:rsidRPr="00C56154" w:rsidR="00375952" w:rsidP="00884C53" w:rsidRDefault="00AD792B" w14:paraId="1A523027" w14:textId="39FCE020">
            <w:pPr>
              <w:ind w:firstLine="0"/>
              <w:jc w:val="right"/>
              <w:rPr>
                <w:rFonts w:ascii="Times New Roman" w:hAnsi="Times New Roman" w:cs="Times New Roman"/>
                <w:sz w:val="18"/>
                <w:szCs w:val="18"/>
              </w:rPr>
            </w:pPr>
            <w:r w:rsidRPr="00C56154">
              <w:rPr>
                <w:rFonts w:ascii="Times New Roman" w:hAnsi="Times New Roman" w:cs="Times New Roman"/>
                <w:sz w:val="18"/>
                <w:szCs w:val="18"/>
              </w:rPr>
              <w:t>0</w:t>
            </w:r>
          </w:p>
        </w:tc>
        <w:tc>
          <w:tcPr>
            <w:tcW w:w="360" w:type="pct"/>
            <w:shd w:val="clear" w:color="auto" w:fill="auto"/>
          </w:tcPr>
          <w:p w:rsidRPr="00C56154" w:rsidR="00375952" w:rsidP="00375952" w:rsidRDefault="00BB55EC" w14:paraId="5E0E1904" w14:textId="400B893B">
            <w:pPr>
              <w:ind w:firstLine="0"/>
              <w:jc w:val="right"/>
              <w:rPr>
                <w:rFonts w:ascii="Times New Roman" w:hAnsi="Times New Roman" w:cs="Times New Roman"/>
                <w:bCs/>
                <w:sz w:val="18"/>
                <w:szCs w:val="18"/>
              </w:rPr>
            </w:pPr>
            <w:r w:rsidRPr="00C56154">
              <w:rPr>
                <w:rFonts w:ascii="Times New Roman" w:hAnsi="Times New Roman" w:cs="Times New Roman"/>
                <w:bCs/>
                <w:sz w:val="18"/>
                <w:szCs w:val="18"/>
              </w:rPr>
              <w:t>0</w:t>
            </w:r>
          </w:p>
        </w:tc>
        <w:tc>
          <w:tcPr>
            <w:tcW w:w="373" w:type="pct"/>
            <w:shd w:val="clear" w:color="auto" w:fill="auto"/>
          </w:tcPr>
          <w:p w:rsidRPr="00C56154" w:rsidR="00375952" w:rsidP="00375952" w:rsidRDefault="00BB55EC" w14:paraId="5DE287EA" w14:textId="2CAC0189">
            <w:pPr>
              <w:ind w:firstLine="0"/>
              <w:jc w:val="right"/>
              <w:rPr>
                <w:rFonts w:ascii="Times New Roman" w:hAnsi="Times New Roman" w:cs="Times New Roman"/>
                <w:sz w:val="18"/>
                <w:szCs w:val="18"/>
                <w:lang w:eastAsia="en-GB"/>
              </w:rPr>
            </w:pPr>
            <w:r w:rsidRPr="00C56154">
              <w:rPr>
                <w:rFonts w:ascii="Times New Roman" w:hAnsi="Times New Roman" w:cs="Times New Roman"/>
                <w:sz w:val="18"/>
                <w:szCs w:val="18"/>
                <w:lang w:eastAsia="en-GB"/>
              </w:rPr>
              <w:t>0</w:t>
            </w:r>
          </w:p>
        </w:tc>
        <w:tc>
          <w:tcPr>
            <w:tcW w:w="360" w:type="pct"/>
            <w:shd w:val="clear" w:color="auto" w:fill="auto"/>
          </w:tcPr>
          <w:p w:rsidRPr="00C56154" w:rsidR="00375952" w:rsidP="00375952" w:rsidRDefault="00BB55EC" w14:paraId="56851790" w14:textId="393ABAEE">
            <w:pPr>
              <w:ind w:firstLine="0"/>
              <w:jc w:val="right"/>
              <w:rPr>
                <w:rFonts w:ascii="Times New Roman" w:hAnsi="Times New Roman" w:cs="Times New Roman"/>
                <w:sz w:val="18"/>
                <w:szCs w:val="18"/>
                <w:lang w:eastAsia="en-GB"/>
              </w:rPr>
            </w:pPr>
            <w:r w:rsidRPr="00C56154">
              <w:rPr>
                <w:rFonts w:ascii="Times New Roman" w:hAnsi="Times New Roman" w:cs="Times New Roman"/>
                <w:sz w:val="18"/>
                <w:szCs w:val="18"/>
                <w:lang w:eastAsia="en-GB"/>
              </w:rPr>
              <w:t>0</w:t>
            </w:r>
          </w:p>
        </w:tc>
        <w:tc>
          <w:tcPr>
            <w:tcW w:w="427" w:type="pct"/>
            <w:shd w:val="clear" w:color="auto" w:fill="auto"/>
            <w:vAlign w:val="center"/>
          </w:tcPr>
          <w:p w:rsidRPr="00C56154" w:rsidR="00375952" w:rsidP="00461FCE" w:rsidRDefault="00055083" w14:paraId="4AE5DD4F" w14:textId="6593C468">
            <w:pPr>
              <w:ind w:firstLine="0"/>
              <w:jc w:val="right"/>
              <w:rPr>
                <w:rFonts w:ascii="Times New Roman" w:hAnsi="Times New Roman" w:cs="Times New Roman"/>
                <w:sz w:val="18"/>
                <w:szCs w:val="18"/>
                <w:lang w:eastAsia="en-GB"/>
              </w:rPr>
            </w:pPr>
            <w:r w:rsidRPr="00C56154">
              <w:rPr>
                <w:rFonts w:ascii="Times New Roman" w:hAnsi="Times New Roman" w:cs="Times New Roman"/>
                <w:sz w:val="18"/>
                <w:szCs w:val="18"/>
                <w:lang w:eastAsia="en-GB"/>
              </w:rPr>
              <w:t>0</w:t>
            </w:r>
          </w:p>
        </w:tc>
        <w:tc>
          <w:tcPr>
            <w:tcW w:w="416" w:type="pct"/>
            <w:shd w:val="clear" w:color="auto" w:fill="auto"/>
            <w:vAlign w:val="center"/>
          </w:tcPr>
          <w:p w:rsidRPr="00C56154" w:rsidR="00375952" w:rsidP="00461FCE" w:rsidRDefault="00055083" w14:paraId="6F67EC0C" w14:textId="2AB53879">
            <w:pPr>
              <w:ind w:firstLine="0"/>
              <w:jc w:val="right"/>
              <w:rPr>
                <w:rFonts w:ascii="Times New Roman" w:hAnsi="Times New Roman" w:cs="Times New Roman"/>
                <w:sz w:val="18"/>
                <w:szCs w:val="18"/>
                <w:lang w:eastAsia="en-GB"/>
              </w:rPr>
            </w:pPr>
            <w:r w:rsidRPr="00C56154">
              <w:rPr>
                <w:rFonts w:ascii="Times New Roman" w:hAnsi="Times New Roman" w:cs="Times New Roman"/>
                <w:sz w:val="18"/>
                <w:szCs w:val="18"/>
                <w:lang w:eastAsia="en-GB"/>
              </w:rPr>
              <w:t>0</w:t>
            </w:r>
          </w:p>
        </w:tc>
        <w:tc>
          <w:tcPr>
            <w:tcW w:w="423" w:type="pct"/>
            <w:shd w:val="clear" w:color="auto" w:fill="auto"/>
            <w:vAlign w:val="center"/>
          </w:tcPr>
          <w:p w:rsidRPr="00C56154" w:rsidR="00375952" w:rsidP="00375952" w:rsidRDefault="00375952" w14:paraId="00D78C16" w14:textId="083458E5">
            <w:pPr>
              <w:ind w:firstLine="0"/>
              <w:jc w:val="center"/>
              <w:rPr>
                <w:rFonts w:ascii="Times New Roman" w:hAnsi="Times New Roman" w:cs="Times New Roman"/>
                <w:sz w:val="18"/>
                <w:szCs w:val="18"/>
                <w:lang w:eastAsia="en-GB"/>
              </w:rPr>
            </w:pPr>
            <w:r w:rsidRPr="00C56154">
              <w:rPr>
                <w:rFonts w:ascii="Times New Roman" w:hAnsi="Times New Roman" w:cs="Times New Roman"/>
                <w:sz w:val="18"/>
                <w:szCs w:val="18"/>
                <w:lang w:eastAsia="en-GB"/>
              </w:rPr>
              <w:t>2023</w:t>
            </w:r>
          </w:p>
        </w:tc>
      </w:tr>
      <w:tr w:rsidRPr="00CA0592" w:rsidR="00144816" w:rsidTr="00241365" w14:paraId="086C89F7" w14:textId="77777777">
        <w:trPr>
          <w:trHeight w:val="60"/>
        </w:trPr>
        <w:tc>
          <w:tcPr>
            <w:tcW w:w="529" w:type="pct"/>
            <w:shd w:val="clear" w:color="auto" w:fill="auto"/>
            <w:vAlign w:val="center"/>
          </w:tcPr>
          <w:p w:rsidRPr="00C602F0" w:rsidR="00144816" w:rsidP="007672D9" w:rsidRDefault="00144816" w14:paraId="71BEE162" w14:textId="67565EDA">
            <w:pPr>
              <w:ind w:firstLine="0"/>
              <w:rPr>
                <w:rFonts w:ascii="Times New Roman" w:hAnsi="Times New Roman" w:cs="Times New Roman"/>
                <w:b/>
                <w:bCs/>
              </w:rPr>
            </w:pPr>
            <w:r w:rsidRPr="00C602F0">
              <w:rPr>
                <w:rFonts w:ascii="Times New Roman" w:hAnsi="Times New Roman" w:cs="Times New Roman"/>
              </w:rPr>
              <w:t>Satiksmes Ministrija</w:t>
            </w:r>
          </w:p>
        </w:tc>
        <w:tc>
          <w:tcPr>
            <w:tcW w:w="481" w:type="pct"/>
            <w:shd w:val="clear" w:color="auto" w:fill="auto"/>
            <w:vAlign w:val="center"/>
          </w:tcPr>
          <w:p w:rsidRPr="00C602F0" w:rsidR="00144816" w:rsidP="00144816" w:rsidRDefault="00144816" w14:paraId="5AA47273" w14:textId="76B75182">
            <w:pPr>
              <w:ind w:firstLine="0"/>
              <w:rPr>
                <w:rFonts w:ascii="Times New Roman" w:hAnsi="Times New Roman" w:cs="Times New Roman"/>
                <w:b/>
                <w:bCs/>
              </w:rPr>
            </w:pPr>
          </w:p>
        </w:tc>
        <w:tc>
          <w:tcPr>
            <w:tcW w:w="514" w:type="pct"/>
            <w:shd w:val="clear" w:color="auto" w:fill="auto"/>
            <w:vAlign w:val="center"/>
          </w:tcPr>
          <w:p w:rsidRPr="00C602F0" w:rsidR="00144816" w:rsidP="000A0F4F" w:rsidRDefault="00144816" w14:paraId="71C77C3E" w14:textId="1D221B8C">
            <w:pPr>
              <w:ind w:firstLine="0"/>
              <w:rPr>
                <w:rFonts w:ascii="Times New Roman" w:hAnsi="Times New Roman" w:cs="Times New Roman"/>
                <w:b/>
                <w:bCs/>
                <w:sz w:val="20"/>
              </w:rPr>
            </w:pPr>
            <w:r w:rsidRPr="00C602F0">
              <w:rPr>
                <w:rFonts w:ascii="Times New Roman" w:hAnsi="Times New Roman" w:cs="Times New Roman"/>
                <w:sz w:val="20"/>
              </w:rPr>
              <w:t>Jauna budžeta programma</w:t>
            </w:r>
          </w:p>
        </w:tc>
        <w:tc>
          <w:tcPr>
            <w:tcW w:w="389" w:type="pct"/>
            <w:shd w:val="clear" w:color="auto" w:fill="auto"/>
            <w:vAlign w:val="center"/>
          </w:tcPr>
          <w:p w:rsidRPr="00C56154" w:rsidR="00144816" w:rsidP="00884C53" w:rsidRDefault="00AD792B" w14:paraId="0CF647E5" w14:textId="2638A11A">
            <w:pPr>
              <w:ind w:firstLine="0"/>
              <w:jc w:val="right"/>
              <w:rPr>
                <w:rFonts w:ascii="Times New Roman" w:hAnsi="Times New Roman" w:cs="Times New Roman"/>
                <w:b/>
                <w:bCs/>
                <w:sz w:val="18"/>
                <w:szCs w:val="18"/>
              </w:rPr>
            </w:pPr>
            <w:r w:rsidRPr="00C56154">
              <w:rPr>
                <w:rFonts w:ascii="Times New Roman" w:hAnsi="Times New Roman" w:cs="Times New Roman"/>
                <w:b/>
                <w:bCs/>
                <w:sz w:val="18"/>
                <w:szCs w:val="18"/>
              </w:rPr>
              <w:t>0</w:t>
            </w:r>
          </w:p>
        </w:tc>
        <w:tc>
          <w:tcPr>
            <w:tcW w:w="360" w:type="pct"/>
            <w:shd w:val="clear" w:color="auto" w:fill="auto"/>
            <w:vAlign w:val="center"/>
          </w:tcPr>
          <w:p w:rsidRPr="00C56154" w:rsidR="00144816" w:rsidP="00884C53" w:rsidRDefault="00AD792B" w14:paraId="5F30C8EC" w14:textId="40879098">
            <w:pPr>
              <w:ind w:firstLine="0"/>
              <w:jc w:val="right"/>
              <w:rPr>
                <w:rFonts w:ascii="Times New Roman" w:hAnsi="Times New Roman" w:cs="Times New Roman"/>
                <w:b/>
                <w:bCs/>
                <w:sz w:val="18"/>
                <w:szCs w:val="18"/>
              </w:rPr>
            </w:pPr>
            <w:r w:rsidRPr="00C56154">
              <w:rPr>
                <w:rFonts w:ascii="Times New Roman" w:hAnsi="Times New Roman" w:cs="Times New Roman"/>
                <w:sz w:val="18"/>
                <w:szCs w:val="18"/>
              </w:rPr>
              <w:t>0</w:t>
            </w:r>
          </w:p>
        </w:tc>
        <w:tc>
          <w:tcPr>
            <w:tcW w:w="368" w:type="pct"/>
            <w:shd w:val="clear" w:color="auto" w:fill="auto"/>
            <w:vAlign w:val="center"/>
          </w:tcPr>
          <w:p w:rsidRPr="00C56154" w:rsidR="00144816" w:rsidP="00884C53" w:rsidRDefault="00AD792B" w14:paraId="6D98F06E" w14:textId="2BC2DCAE">
            <w:pPr>
              <w:ind w:firstLine="0"/>
              <w:jc w:val="right"/>
              <w:rPr>
                <w:rFonts w:ascii="Times New Roman" w:hAnsi="Times New Roman" w:cs="Times New Roman"/>
                <w:b/>
                <w:bCs/>
                <w:sz w:val="18"/>
                <w:szCs w:val="18"/>
              </w:rPr>
            </w:pPr>
            <w:r w:rsidRPr="00C56154">
              <w:rPr>
                <w:rFonts w:ascii="Times New Roman" w:hAnsi="Times New Roman" w:cs="Times New Roman"/>
                <w:sz w:val="18"/>
                <w:szCs w:val="18"/>
              </w:rPr>
              <w:t>0</w:t>
            </w:r>
          </w:p>
        </w:tc>
        <w:tc>
          <w:tcPr>
            <w:tcW w:w="360" w:type="pct"/>
            <w:shd w:val="clear" w:color="auto" w:fill="auto"/>
            <w:vAlign w:val="center"/>
          </w:tcPr>
          <w:p w:rsidRPr="00C56154" w:rsidR="00144816" w:rsidP="00BB55EC" w:rsidRDefault="00BB55EC" w14:paraId="1F4C9EFA" w14:textId="5F9771D0">
            <w:pPr>
              <w:ind w:firstLine="0"/>
              <w:jc w:val="right"/>
              <w:rPr>
                <w:rFonts w:ascii="Times New Roman" w:hAnsi="Times New Roman" w:cs="Times New Roman"/>
                <w:sz w:val="18"/>
                <w:szCs w:val="18"/>
              </w:rPr>
            </w:pPr>
            <w:r w:rsidRPr="00C56154">
              <w:rPr>
                <w:rFonts w:ascii="Times New Roman" w:hAnsi="Times New Roman" w:cs="Times New Roman"/>
                <w:sz w:val="18"/>
                <w:szCs w:val="18"/>
              </w:rPr>
              <w:t>0</w:t>
            </w:r>
          </w:p>
        </w:tc>
        <w:tc>
          <w:tcPr>
            <w:tcW w:w="373" w:type="pct"/>
            <w:shd w:val="clear" w:color="auto" w:fill="auto"/>
            <w:vAlign w:val="center"/>
          </w:tcPr>
          <w:p w:rsidRPr="00C56154" w:rsidR="00144816" w:rsidP="00241365" w:rsidRDefault="00BB55EC" w14:paraId="597BAFC4" w14:textId="32AD773B">
            <w:pPr>
              <w:ind w:firstLine="0"/>
              <w:jc w:val="right"/>
              <w:rPr>
                <w:rFonts w:ascii="Times New Roman" w:hAnsi="Times New Roman" w:cs="Times New Roman"/>
                <w:sz w:val="18"/>
                <w:szCs w:val="18"/>
              </w:rPr>
            </w:pPr>
            <w:r w:rsidRPr="00C56154">
              <w:rPr>
                <w:rFonts w:ascii="Times New Roman" w:hAnsi="Times New Roman" w:cs="Times New Roman"/>
                <w:sz w:val="18"/>
                <w:szCs w:val="18"/>
              </w:rPr>
              <w:t>0</w:t>
            </w:r>
          </w:p>
        </w:tc>
        <w:tc>
          <w:tcPr>
            <w:tcW w:w="360" w:type="pct"/>
            <w:shd w:val="clear" w:color="auto" w:fill="auto"/>
            <w:vAlign w:val="center"/>
          </w:tcPr>
          <w:p w:rsidRPr="00C56154" w:rsidR="00144816" w:rsidP="00241365" w:rsidRDefault="00BB55EC" w14:paraId="7912CEF6" w14:textId="2ADF6FD8">
            <w:pPr>
              <w:ind w:firstLine="0"/>
              <w:jc w:val="right"/>
              <w:rPr>
                <w:rFonts w:ascii="Times New Roman" w:hAnsi="Times New Roman" w:cs="Times New Roman"/>
                <w:sz w:val="18"/>
                <w:szCs w:val="18"/>
              </w:rPr>
            </w:pPr>
            <w:r w:rsidRPr="00C56154">
              <w:rPr>
                <w:rFonts w:ascii="Times New Roman" w:hAnsi="Times New Roman" w:cs="Times New Roman"/>
                <w:sz w:val="18"/>
                <w:szCs w:val="18"/>
              </w:rPr>
              <w:t>0</w:t>
            </w:r>
          </w:p>
        </w:tc>
        <w:tc>
          <w:tcPr>
            <w:tcW w:w="427" w:type="pct"/>
            <w:shd w:val="clear" w:color="auto" w:fill="auto"/>
            <w:vAlign w:val="center"/>
          </w:tcPr>
          <w:p w:rsidRPr="00C56154" w:rsidR="00144816" w:rsidP="00461FCE" w:rsidRDefault="00055083" w14:paraId="619AAE9F" w14:textId="58D28251">
            <w:pPr>
              <w:ind w:firstLine="0"/>
              <w:jc w:val="right"/>
              <w:rPr>
                <w:rFonts w:ascii="Times New Roman" w:hAnsi="Times New Roman" w:cs="Times New Roman"/>
                <w:sz w:val="18"/>
                <w:szCs w:val="18"/>
              </w:rPr>
            </w:pPr>
            <w:r w:rsidRPr="00C56154">
              <w:rPr>
                <w:rFonts w:ascii="Times New Roman" w:hAnsi="Times New Roman" w:cs="Times New Roman"/>
                <w:sz w:val="18"/>
                <w:szCs w:val="18"/>
              </w:rPr>
              <w:t>0</w:t>
            </w:r>
          </w:p>
        </w:tc>
        <w:tc>
          <w:tcPr>
            <w:tcW w:w="416" w:type="pct"/>
            <w:shd w:val="clear" w:color="auto" w:fill="auto"/>
            <w:vAlign w:val="center"/>
          </w:tcPr>
          <w:p w:rsidRPr="00C56154" w:rsidR="00144816" w:rsidP="00461FCE" w:rsidRDefault="00055083" w14:paraId="062A0253" w14:textId="6EA0D339">
            <w:pPr>
              <w:ind w:firstLine="0"/>
              <w:jc w:val="right"/>
              <w:rPr>
                <w:rFonts w:ascii="Times New Roman" w:hAnsi="Times New Roman" w:cs="Times New Roman"/>
                <w:sz w:val="18"/>
                <w:szCs w:val="18"/>
              </w:rPr>
            </w:pPr>
            <w:r w:rsidRPr="00C56154">
              <w:rPr>
                <w:rFonts w:ascii="Times New Roman" w:hAnsi="Times New Roman" w:cs="Times New Roman"/>
                <w:sz w:val="18"/>
                <w:szCs w:val="18"/>
              </w:rPr>
              <w:t>0</w:t>
            </w:r>
          </w:p>
        </w:tc>
        <w:tc>
          <w:tcPr>
            <w:tcW w:w="423" w:type="pct"/>
            <w:shd w:val="clear" w:color="auto" w:fill="auto"/>
            <w:vAlign w:val="center"/>
          </w:tcPr>
          <w:p w:rsidRPr="00C56154" w:rsidR="00144816" w:rsidP="00144816" w:rsidRDefault="00144816" w14:paraId="14A7E799" w14:textId="7F5EF21E">
            <w:pPr>
              <w:ind w:firstLine="0"/>
              <w:jc w:val="center"/>
              <w:rPr>
                <w:rFonts w:ascii="Times New Roman" w:hAnsi="Times New Roman" w:cs="Times New Roman"/>
                <w:sz w:val="18"/>
                <w:szCs w:val="18"/>
              </w:rPr>
            </w:pPr>
            <w:r w:rsidRPr="00C56154">
              <w:rPr>
                <w:rFonts w:ascii="Times New Roman" w:hAnsi="Times New Roman" w:cs="Times New Roman"/>
                <w:sz w:val="18"/>
                <w:szCs w:val="18"/>
              </w:rPr>
              <w:t>2023</w:t>
            </w:r>
          </w:p>
        </w:tc>
      </w:tr>
      <w:tr w:rsidRPr="00CA0592" w:rsidR="00144816" w:rsidTr="00C949D4" w14:paraId="3C0639CE" w14:textId="77777777">
        <w:trPr>
          <w:trHeight w:val="60"/>
        </w:trPr>
        <w:tc>
          <w:tcPr>
            <w:tcW w:w="1010" w:type="pct"/>
            <w:gridSpan w:val="2"/>
            <w:shd w:val="clear" w:color="auto" w:fill="auto"/>
            <w:vAlign w:val="center"/>
            <w:hideMark/>
          </w:tcPr>
          <w:p w:rsidRPr="00C602F0" w:rsidR="00144816" w:rsidP="00E84872" w:rsidRDefault="00E84872" w14:paraId="670BFD34" w14:textId="1EDE36E4">
            <w:pPr>
              <w:ind w:firstLine="0"/>
              <w:rPr>
                <w:rFonts w:ascii="Times New Roman" w:hAnsi="Times New Roman" w:cs="Times New Roman"/>
                <w:b/>
                <w:bCs/>
                <w:sz w:val="24"/>
                <w:lang w:eastAsia="en-GB"/>
              </w:rPr>
            </w:pPr>
            <w:r w:rsidRPr="00C602F0">
              <w:rPr>
                <w:rFonts w:ascii="Times New Roman" w:hAnsi="Times New Roman" w:cs="Times New Roman"/>
                <w:b/>
                <w:bCs/>
              </w:rPr>
              <w:t xml:space="preserve">NPP </w:t>
            </w:r>
            <w:r w:rsidRPr="00C602F0" w:rsidR="00144816">
              <w:rPr>
                <w:rFonts w:ascii="Times New Roman" w:hAnsi="Times New Roman" w:cs="Times New Roman"/>
                <w:b/>
                <w:bCs/>
              </w:rPr>
              <w:t>uzturēšana</w:t>
            </w:r>
            <w:r w:rsidRPr="00C602F0" w:rsidR="003D1ECB">
              <w:rPr>
                <w:rStyle w:val="FootnoteReference"/>
                <w:rFonts w:ascii="Times New Roman" w:hAnsi="Times New Roman" w:cs="Times New Roman"/>
                <w:b/>
                <w:bCs/>
              </w:rPr>
              <w:footnoteReference w:id="22"/>
            </w:r>
          </w:p>
        </w:tc>
        <w:tc>
          <w:tcPr>
            <w:tcW w:w="514" w:type="pct"/>
            <w:shd w:val="clear" w:color="auto" w:fill="auto"/>
            <w:vAlign w:val="center"/>
            <w:hideMark/>
          </w:tcPr>
          <w:p w:rsidRPr="00C602F0" w:rsidR="00144816" w:rsidP="00144816" w:rsidRDefault="00144816" w14:paraId="51FD9107" w14:textId="77777777">
            <w:pPr>
              <w:jc w:val="center"/>
              <w:rPr>
                <w:rFonts w:ascii="Times New Roman" w:hAnsi="Times New Roman" w:cs="Times New Roman"/>
                <w:b/>
                <w:bCs/>
                <w:sz w:val="20"/>
                <w:lang w:eastAsia="en-GB"/>
              </w:rPr>
            </w:pPr>
            <w:r w:rsidRPr="00C602F0">
              <w:rPr>
                <w:rFonts w:ascii="Times New Roman" w:hAnsi="Times New Roman" w:cs="Times New Roman"/>
                <w:b/>
                <w:bCs/>
                <w:sz w:val="20"/>
              </w:rPr>
              <w:t> </w:t>
            </w:r>
          </w:p>
        </w:tc>
        <w:tc>
          <w:tcPr>
            <w:tcW w:w="389" w:type="pct"/>
            <w:shd w:val="clear" w:color="auto" w:fill="auto"/>
            <w:vAlign w:val="center"/>
          </w:tcPr>
          <w:p w:rsidRPr="00C56154" w:rsidR="00144816" w:rsidP="00BB473C" w:rsidRDefault="000320E2" w14:paraId="07B18AEB" w14:textId="383FDEEA">
            <w:pPr>
              <w:ind w:firstLine="0"/>
              <w:jc w:val="right"/>
              <w:rPr>
                <w:rFonts w:ascii="Times New Roman" w:hAnsi="Times New Roman" w:cs="Times New Roman"/>
                <w:b/>
                <w:bCs/>
                <w:sz w:val="18"/>
                <w:szCs w:val="18"/>
              </w:rPr>
            </w:pPr>
            <w:r w:rsidRPr="00C56154">
              <w:rPr>
                <w:rFonts w:ascii="Times New Roman" w:hAnsi="Times New Roman" w:cs="Times New Roman"/>
                <w:b/>
                <w:bCs/>
                <w:sz w:val="18"/>
                <w:szCs w:val="18"/>
              </w:rPr>
              <w:t>0</w:t>
            </w:r>
          </w:p>
        </w:tc>
        <w:tc>
          <w:tcPr>
            <w:tcW w:w="360" w:type="pct"/>
            <w:shd w:val="clear" w:color="auto" w:fill="auto"/>
            <w:vAlign w:val="center"/>
          </w:tcPr>
          <w:p w:rsidRPr="00C56154" w:rsidR="00144816" w:rsidP="00BB473C" w:rsidRDefault="000320E2" w14:paraId="412B16E3" w14:textId="0557945F">
            <w:pPr>
              <w:ind w:firstLine="0"/>
              <w:jc w:val="right"/>
              <w:rPr>
                <w:rFonts w:ascii="Times New Roman" w:hAnsi="Times New Roman" w:cs="Times New Roman"/>
                <w:b/>
                <w:bCs/>
                <w:sz w:val="18"/>
                <w:szCs w:val="18"/>
              </w:rPr>
            </w:pPr>
            <w:r w:rsidRPr="00C56154">
              <w:rPr>
                <w:rFonts w:ascii="Times New Roman" w:hAnsi="Times New Roman" w:cs="Times New Roman"/>
                <w:b/>
                <w:bCs/>
                <w:sz w:val="18"/>
                <w:szCs w:val="18"/>
              </w:rPr>
              <w:t>0</w:t>
            </w:r>
          </w:p>
        </w:tc>
        <w:tc>
          <w:tcPr>
            <w:tcW w:w="368" w:type="pct"/>
            <w:shd w:val="clear" w:color="auto" w:fill="auto"/>
            <w:vAlign w:val="center"/>
          </w:tcPr>
          <w:p w:rsidRPr="00C56154" w:rsidR="00144816" w:rsidP="00BB473C" w:rsidRDefault="000320E2" w14:paraId="2D19E12D" w14:textId="0BE3C06E">
            <w:pPr>
              <w:ind w:firstLine="0"/>
              <w:jc w:val="right"/>
              <w:rPr>
                <w:rFonts w:ascii="Times New Roman" w:hAnsi="Times New Roman" w:cs="Times New Roman"/>
                <w:b/>
                <w:bCs/>
                <w:sz w:val="18"/>
                <w:szCs w:val="18"/>
              </w:rPr>
            </w:pPr>
            <w:r w:rsidRPr="00C56154">
              <w:rPr>
                <w:rFonts w:ascii="Times New Roman" w:hAnsi="Times New Roman" w:cs="Times New Roman"/>
                <w:b/>
                <w:bCs/>
                <w:sz w:val="18"/>
                <w:szCs w:val="18"/>
              </w:rPr>
              <w:t>0</w:t>
            </w:r>
          </w:p>
        </w:tc>
        <w:tc>
          <w:tcPr>
            <w:tcW w:w="360" w:type="pct"/>
            <w:shd w:val="clear" w:color="auto" w:fill="auto"/>
            <w:vAlign w:val="center"/>
          </w:tcPr>
          <w:p w:rsidRPr="00C56154" w:rsidR="00144816" w:rsidP="00BB473C" w:rsidRDefault="00144816" w14:paraId="54E0459A" w14:textId="3B59ED1D">
            <w:pPr>
              <w:ind w:firstLine="0"/>
              <w:jc w:val="right"/>
              <w:rPr>
                <w:rFonts w:ascii="Times New Roman" w:hAnsi="Times New Roman" w:cs="Times New Roman"/>
                <w:b/>
                <w:bCs/>
                <w:sz w:val="18"/>
                <w:szCs w:val="18"/>
                <w:lang w:eastAsia="en-GB"/>
              </w:rPr>
            </w:pPr>
            <w:r w:rsidRPr="00C56154">
              <w:rPr>
                <w:rFonts w:ascii="Times New Roman" w:hAnsi="Times New Roman" w:cs="Times New Roman"/>
                <w:b/>
                <w:sz w:val="18"/>
                <w:szCs w:val="18"/>
              </w:rPr>
              <w:t>0</w:t>
            </w:r>
          </w:p>
        </w:tc>
        <w:tc>
          <w:tcPr>
            <w:tcW w:w="373" w:type="pct"/>
            <w:shd w:val="clear" w:color="auto" w:fill="auto"/>
            <w:vAlign w:val="center"/>
          </w:tcPr>
          <w:p w:rsidRPr="00C56154" w:rsidR="00144816" w:rsidP="00BB473C" w:rsidRDefault="00144816" w14:paraId="3ADAFF02" w14:textId="03EA515F">
            <w:pPr>
              <w:ind w:firstLine="0"/>
              <w:jc w:val="right"/>
              <w:rPr>
                <w:rFonts w:ascii="Times New Roman" w:hAnsi="Times New Roman" w:cs="Times New Roman"/>
                <w:b/>
                <w:bCs/>
                <w:sz w:val="18"/>
                <w:szCs w:val="18"/>
                <w:lang w:eastAsia="en-GB"/>
              </w:rPr>
            </w:pPr>
            <w:r w:rsidRPr="00C56154">
              <w:rPr>
                <w:rFonts w:ascii="Times New Roman" w:hAnsi="Times New Roman" w:cs="Times New Roman"/>
                <w:b/>
                <w:sz w:val="18"/>
                <w:szCs w:val="18"/>
              </w:rPr>
              <w:t>0</w:t>
            </w:r>
          </w:p>
        </w:tc>
        <w:tc>
          <w:tcPr>
            <w:tcW w:w="360" w:type="pct"/>
            <w:shd w:val="clear" w:color="auto" w:fill="auto"/>
            <w:vAlign w:val="center"/>
          </w:tcPr>
          <w:p w:rsidRPr="00C56154" w:rsidR="00144816" w:rsidP="00BB473C" w:rsidRDefault="00144816" w14:paraId="7E75D64D" w14:textId="4F406933">
            <w:pPr>
              <w:ind w:firstLine="0"/>
              <w:jc w:val="right"/>
              <w:rPr>
                <w:rFonts w:ascii="Times New Roman" w:hAnsi="Times New Roman" w:cs="Times New Roman"/>
                <w:b/>
                <w:bCs/>
                <w:sz w:val="18"/>
                <w:szCs w:val="18"/>
                <w:lang w:eastAsia="en-GB"/>
              </w:rPr>
            </w:pPr>
            <w:r w:rsidRPr="00C56154">
              <w:rPr>
                <w:rFonts w:ascii="Times New Roman" w:hAnsi="Times New Roman" w:cs="Times New Roman"/>
                <w:b/>
                <w:sz w:val="18"/>
                <w:szCs w:val="18"/>
              </w:rPr>
              <w:t>0</w:t>
            </w:r>
          </w:p>
        </w:tc>
        <w:tc>
          <w:tcPr>
            <w:tcW w:w="427" w:type="pct"/>
            <w:shd w:val="clear" w:color="auto" w:fill="auto"/>
            <w:vAlign w:val="center"/>
            <w:hideMark/>
          </w:tcPr>
          <w:p w:rsidRPr="00C56154" w:rsidR="00144816" w:rsidP="00BB473C" w:rsidRDefault="00144816" w14:paraId="09AB3B5E" w14:textId="215D9928">
            <w:pPr>
              <w:ind w:firstLine="0"/>
              <w:jc w:val="right"/>
              <w:rPr>
                <w:rFonts w:ascii="Times New Roman" w:hAnsi="Times New Roman" w:cs="Times New Roman"/>
                <w:b/>
                <w:bCs/>
                <w:sz w:val="18"/>
                <w:szCs w:val="18"/>
                <w:lang w:eastAsia="en-GB"/>
              </w:rPr>
            </w:pPr>
            <w:r w:rsidRPr="00C56154">
              <w:rPr>
                <w:rFonts w:ascii="Times New Roman" w:hAnsi="Times New Roman" w:cs="Times New Roman"/>
                <w:b/>
                <w:bCs/>
                <w:sz w:val="18"/>
                <w:szCs w:val="18"/>
                <w:lang w:eastAsia="en-GB"/>
              </w:rPr>
              <w:t>0</w:t>
            </w:r>
          </w:p>
        </w:tc>
        <w:tc>
          <w:tcPr>
            <w:tcW w:w="416" w:type="pct"/>
            <w:shd w:val="clear" w:color="auto" w:fill="auto"/>
            <w:vAlign w:val="center"/>
            <w:hideMark/>
          </w:tcPr>
          <w:p w:rsidRPr="00C56154" w:rsidR="00144816" w:rsidP="00BB473C" w:rsidRDefault="00144816" w14:paraId="09112E23" w14:textId="5642F4EC">
            <w:pPr>
              <w:ind w:firstLine="0"/>
              <w:jc w:val="right"/>
              <w:rPr>
                <w:rFonts w:ascii="Times New Roman" w:hAnsi="Times New Roman" w:cs="Times New Roman"/>
                <w:b/>
                <w:bCs/>
                <w:sz w:val="18"/>
                <w:szCs w:val="18"/>
                <w:lang w:eastAsia="en-GB"/>
              </w:rPr>
            </w:pPr>
            <w:r w:rsidRPr="00C56154">
              <w:rPr>
                <w:rFonts w:ascii="Times New Roman" w:hAnsi="Times New Roman" w:cs="Times New Roman"/>
                <w:b/>
                <w:bCs/>
                <w:sz w:val="18"/>
                <w:szCs w:val="18"/>
              </w:rPr>
              <w:t>588 235</w:t>
            </w:r>
          </w:p>
        </w:tc>
        <w:tc>
          <w:tcPr>
            <w:tcW w:w="423" w:type="pct"/>
            <w:shd w:val="clear" w:color="auto" w:fill="auto"/>
            <w:vAlign w:val="center"/>
            <w:hideMark/>
          </w:tcPr>
          <w:p w:rsidRPr="00C56154" w:rsidR="00144816" w:rsidP="00144816" w:rsidRDefault="00144816" w14:paraId="7323B5E6" w14:textId="02A9C7F2">
            <w:pPr>
              <w:ind w:firstLine="0"/>
              <w:jc w:val="center"/>
              <w:rPr>
                <w:rFonts w:ascii="Times New Roman" w:hAnsi="Times New Roman" w:cs="Times New Roman"/>
                <w:b/>
                <w:bCs/>
                <w:sz w:val="18"/>
                <w:szCs w:val="18"/>
                <w:lang w:eastAsia="en-GB"/>
              </w:rPr>
            </w:pPr>
          </w:p>
        </w:tc>
      </w:tr>
      <w:tr w:rsidRPr="00CA0592" w:rsidR="00144816" w:rsidTr="00C949D4" w14:paraId="57C6DFF6" w14:textId="77777777">
        <w:trPr>
          <w:trHeight w:val="60"/>
        </w:trPr>
        <w:tc>
          <w:tcPr>
            <w:tcW w:w="529" w:type="pct"/>
            <w:vAlign w:val="center"/>
            <w:hideMark/>
          </w:tcPr>
          <w:p w:rsidRPr="00C602F0" w:rsidR="00144816" w:rsidP="00144816" w:rsidRDefault="00144816" w14:paraId="55E47A69" w14:textId="7510B280">
            <w:pPr>
              <w:ind w:firstLine="0"/>
              <w:rPr>
                <w:rFonts w:ascii="Times New Roman" w:hAnsi="Times New Roman" w:cs="Times New Roman"/>
                <w:sz w:val="24"/>
                <w:lang w:eastAsia="en-GB"/>
              </w:rPr>
            </w:pPr>
            <w:r w:rsidRPr="00C602F0">
              <w:rPr>
                <w:rFonts w:ascii="Times New Roman" w:hAnsi="Times New Roman" w:cs="Times New Roman"/>
              </w:rPr>
              <w:t>Satiksmes Ministrija</w:t>
            </w:r>
          </w:p>
        </w:tc>
        <w:tc>
          <w:tcPr>
            <w:tcW w:w="481" w:type="pct"/>
            <w:vAlign w:val="center"/>
            <w:hideMark/>
          </w:tcPr>
          <w:p w:rsidRPr="00C602F0" w:rsidR="00144816" w:rsidP="00144816" w:rsidRDefault="00144816" w14:paraId="39390189" w14:textId="77777777">
            <w:pPr>
              <w:rPr>
                <w:rFonts w:ascii="Times New Roman" w:hAnsi="Times New Roman" w:cs="Times New Roman"/>
                <w:lang w:eastAsia="en-GB"/>
              </w:rPr>
            </w:pPr>
          </w:p>
        </w:tc>
        <w:tc>
          <w:tcPr>
            <w:tcW w:w="514" w:type="pct"/>
            <w:vAlign w:val="center"/>
            <w:hideMark/>
          </w:tcPr>
          <w:p w:rsidRPr="00C602F0" w:rsidR="00144816" w:rsidP="0029687D" w:rsidRDefault="00013B06" w14:paraId="5AFCB41E" w14:textId="01D479C2">
            <w:pPr>
              <w:ind w:firstLine="0"/>
              <w:rPr>
                <w:rFonts w:ascii="Times New Roman" w:hAnsi="Times New Roman" w:cs="Times New Roman"/>
                <w:sz w:val="20"/>
                <w:lang w:eastAsia="en-GB"/>
              </w:rPr>
            </w:pPr>
            <w:r w:rsidRPr="00C602F0">
              <w:rPr>
                <w:rFonts w:ascii="Times New Roman" w:hAnsi="Times New Roman" w:cs="Times New Roman"/>
                <w:sz w:val="20"/>
              </w:rPr>
              <w:t>23.07.00</w:t>
            </w:r>
            <w:r w:rsidRPr="00C602F0">
              <w:t xml:space="preserve"> </w:t>
            </w:r>
            <w:r w:rsidRPr="00C602F0">
              <w:rPr>
                <w:rFonts w:ascii="Times New Roman" w:hAnsi="Times New Roman" w:cs="Times New Roman"/>
                <w:sz w:val="20"/>
              </w:rPr>
              <w:t>Valsts autoceļu pārvaldīšana</w:t>
            </w:r>
            <w:r w:rsidRPr="00C602F0" w:rsidR="00144816">
              <w:rPr>
                <w:rFonts w:ascii="Times New Roman" w:hAnsi="Times New Roman" w:cs="Times New Roman"/>
                <w:sz w:val="20"/>
              </w:rPr>
              <w:t> </w:t>
            </w:r>
          </w:p>
        </w:tc>
        <w:tc>
          <w:tcPr>
            <w:tcW w:w="389" w:type="pct"/>
            <w:vAlign w:val="center"/>
          </w:tcPr>
          <w:p w:rsidRPr="00C56154" w:rsidR="00144816" w:rsidP="0029687D" w:rsidRDefault="000320E2" w14:paraId="2B96CA73" w14:textId="47D32565">
            <w:pPr>
              <w:ind w:firstLine="0"/>
              <w:jc w:val="right"/>
              <w:rPr>
                <w:rFonts w:ascii="Times New Roman" w:hAnsi="Times New Roman" w:cs="Times New Roman"/>
                <w:sz w:val="18"/>
                <w:szCs w:val="18"/>
              </w:rPr>
            </w:pPr>
            <w:r w:rsidRPr="00C56154">
              <w:rPr>
                <w:rFonts w:ascii="Times New Roman" w:hAnsi="Times New Roman" w:cs="Times New Roman"/>
                <w:sz w:val="18"/>
                <w:szCs w:val="18"/>
              </w:rPr>
              <w:t>0</w:t>
            </w:r>
          </w:p>
        </w:tc>
        <w:tc>
          <w:tcPr>
            <w:tcW w:w="360" w:type="pct"/>
            <w:vAlign w:val="center"/>
          </w:tcPr>
          <w:p w:rsidRPr="00C56154" w:rsidR="00144816" w:rsidP="0029687D" w:rsidRDefault="000320E2" w14:paraId="52E178AA" w14:textId="0A4E70FB">
            <w:pPr>
              <w:ind w:firstLine="0"/>
              <w:jc w:val="right"/>
              <w:rPr>
                <w:rFonts w:ascii="Times New Roman" w:hAnsi="Times New Roman" w:cs="Times New Roman"/>
                <w:sz w:val="18"/>
                <w:szCs w:val="18"/>
              </w:rPr>
            </w:pPr>
            <w:r w:rsidRPr="00C56154">
              <w:rPr>
                <w:rFonts w:ascii="Times New Roman" w:hAnsi="Times New Roman" w:cs="Times New Roman"/>
                <w:sz w:val="18"/>
                <w:szCs w:val="18"/>
              </w:rPr>
              <w:t>0</w:t>
            </w:r>
          </w:p>
        </w:tc>
        <w:tc>
          <w:tcPr>
            <w:tcW w:w="368" w:type="pct"/>
            <w:vAlign w:val="center"/>
          </w:tcPr>
          <w:p w:rsidRPr="00C56154" w:rsidR="00144816" w:rsidP="0029687D" w:rsidRDefault="000320E2" w14:paraId="2EDEF843" w14:textId="7E510620">
            <w:pPr>
              <w:ind w:firstLine="0"/>
              <w:jc w:val="right"/>
              <w:rPr>
                <w:rFonts w:ascii="Times New Roman" w:hAnsi="Times New Roman" w:cs="Times New Roman"/>
                <w:sz w:val="18"/>
                <w:szCs w:val="18"/>
              </w:rPr>
            </w:pPr>
            <w:r w:rsidRPr="00C56154">
              <w:rPr>
                <w:rFonts w:ascii="Times New Roman" w:hAnsi="Times New Roman" w:cs="Times New Roman"/>
                <w:sz w:val="18"/>
                <w:szCs w:val="18"/>
              </w:rPr>
              <w:t>0</w:t>
            </w:r>
          </w:p>
        </w:tc>
        <w:tc>
          <w:tcPr>
            <w:tcW w:w="360" w:type="pct"/>
            <w:vAlign w:val="center"/>
          </w:tcPr>
          <w:p w:rsidRPr="00C56154" w:rsidR="00144816" w:rsidP="0029687D" w:rsidRDefault="00144816" w14:paraId="3AE6E866" w14:textId="0564FBA1">
            <w:pPr>
              <w:ind w:firstLine="0"/>
              <w:jc w:val="right"/>
              <w:rPr>
                <w:rFonts w:ascii="Times New Roman" w:hAnsi="Times New Roman" w:cs="Times New Roman"/>
                <w:sz w:val="18"/>
                <w:szCs w:val="18"/>
                <w:lang w:eastAsia="en-GB"/>
              </w:rPr>
            </w:pPr>
            <w:r w:rsidRPr="00C56154">
              <w:rPr>
                <w:rFonts w:ascii="Times New Roman" w:hAnsi="Times New Roman" w:cs="Times New Roman"/>
                <w:sz w:val="18"/>
                <w:szCs w:val="18"/>
              </w:rPr>
              <w:t>0</w:t>
            </w:r>
          </w:p>
        </w:tc>
        <w:tc>
          <w:tcPr>
            <w:tcW w:w="373" w:type="pct"/>
            <w:vAlign w:val="center"/>
          </w:tcPr>
          <w:p w:rsidRPr="00C56154" w:rsidR="00144816" w:rsidP="0029687D" w:rsidRDefault="00144816" w14:paraId="476E6486" w14:textId="0E1608A9">
            <w:pPr>
              <w:ind w:firstLine="0"/>
              <w:jc w:val="right"/>
              <w:rPr>
                <w:rFonts w:ascii="Times New Roman" w:hAnsi="Times New Roman" w:cs="Times New Roman"/>
                <w:sz w:val="18"/>
                <w:szCs w:val="18"/>
                <w:lang w:eastAsia="en-GB"/>
              </w:rPr>
            </w:pPr>
            <w:r w:rsidRPr="00C56154">
              <w:rPr>
                <w:rFonts w:ascii="Times New Roman" w:hAnsi="Times New Roman" w:cs="Times New Roman"/>
                <w:sz w:val="18"/>
                <w:szCs w:val="18"/>
              </w:rPr>
              <w:t>0</w:t>
            </w:r>
          </w:p>
        </w:tc>
        <w:tc>
          <w:tcPr>
            <w:tcW w:w="360" w:type="pct"/>
            <w:vAlign w:val="center"/>
          </w:tcPr>
          <w:p w:rsidRPr="00C56154" w:rsidR="00144816" w:rsidP="0029687D" w:rsidRDefault="00144816" w14:paraId="71134FDA" w14:textId="7E570592">
            <w:pPr>
              <w:ind w:firstLine="0"/>
              <w:jc w:val="right"/>
              <w:rPr>
                <w:rFonts w:ascii="Times New Roman" w:hAnsi="Times New Roman" w:cs="Times New Roman"/>
                <w:sz w:val="18"/>
                <w:szCs w:val="18"/>
                <w:lang w:eastAsia="en-GB"/>
              </w:rPr>
            </w:pPr>
            <w:r w:rsidRPr="00C56154">
              <w:rPr>
                <w:rFonts w:ascii="Times New Roman" w:hAnsi="Times New Roman" w:cs="Times New Roman"/>
                <w:sz w:val="18"/>
                <w:szCs w:val="18"/>
              </w:rPr>
              <w:t>0</w:t>
            </w:r>
          </w:p>
        </w:tc>
        <w:tc>
          <w:tcPr>
            <w:tcW w:w="427" w:type="pct"/>
            <w:vAlign w:val="center"/>
            <w:hideMark/>
          </w:tcPr>
          <w:p w:rsidRPr="00C56154" w:rsidR="00144816" w:rsidP="0029687D" w:rsidRDefault="00144816" w14:paraId="0CEB62F9" w14:textId="74F2A7EE">
            <w:pPr>
              <w:ind w:firstLine="0"/>
              <w:jc w:val="right"/>
              <w:rPr>
                <w:rFonts w:ascii="Times New Roman" w:hAnsi="Times New Roman" w:cs="Times New Roman"/>
                <w:sz w:val="18"/>
                <w:szCs w:val="18"/>
                <w:lang w:eastAsia="en-GB"/>
              </w:rPr>
            </w:pPr>
            <w:r w:rsidRPr="00C56154">
              <w:rPr>
                <w:rFonts w:ascii="Times New Roman" w:hAnsi="Times New Roman" w:cs="Times New Roman"/>
                <w:sz w:val="18"/>
                <w:szCs w:val="18"/>
                <w:lang w:eastAsia="en-GB"/>
              </w:rPr>
              <w:t>0</w:t>
            </w:r>
          </w:p>
        </w:tc>
        <w:tc>
          <w:tcPr>
            <w:tcW w:w="416" w:type="pct"/>
            <w:vAlign w:val="center"/>
            <w:hideMark/>
          </w:tcPr>
          <w:p w:rsidRPr="00C56154" w:rsidR="00144816" w:rsidP="0029687D" w:rsidRDefault="00144816" w14:paraId="3D4098D7" w14:textId="15067F0C">
            <w:pPr>
              <w:ind w:firstLine="0"/>
              <w:jc w:val="right"/>
              <w:rPr>
                <w:rFonts w:ascii="Times New Roman" w:hAnsi="Times New Roman" w:cs="Times New Roman"/>
                <w:sz w:val="18"/>
                <w:szCs w:val="18"/>
                <w:lang w:eastAsia="en-GB"/>
              </w:rPr>
            </w:pPr>
            <w:r w:rsidRPr="00C56154">
              <w:rPr>
                <w:rFonts w:ascii="Times New Roman" w:hAnsi="Times New Roman" w:cs="Times New Roman"/>
                <w:sz w:val="18"/>
                <w:szCs w:val="18"/>
              </w:rPr>
              <w:t>588 235</w:t>
            </w:r>
          </w:p>
        </w:tc>
        <w:tc>
          <w:tcPr>
            <w:tcW w:w="423" w:type="pct"/>
            <w:vAlign w:val="center"/>
            <w:hideMark/>
          </w:tcPr>
          <w:p w:rsidRPr="00C56154" w:rsidR="00144816" w:rsidP="00144816" w:rsidRDefault="00144816" w14:paraId="7234344A" w14:textId="6D411101">
            <w:pPr>
              <w:ind w:firstLine="0"/>
              <w:jc w:val="center"/>
              <w:rPr>
                <w:rFonts w:ascii="Times New Roman" w:hAnsi="Times New Roman" w:cs="Times New Roman"/>
                <w:sz w:val="18"/>
                <w:szCs w:val="18"/>
                <w:lang w:eastAsia="en-GB"/>
              </w:rPr>
            </w:pPr>
          </w:p>
        </w:tc>
      </w:tr>
    </w:tbl>
    <w:p w:rsidR="001512C2" w:rsidP="000F602B" w:rsidRDefault="001512C2" w14:paraId="4A301548" w14:textId="77777777">
      <w:pPr>
        <w:pStyle w:val="Heading1"/>
        <w:jc w:val="center"/>
        <w:sectPr w:rsidR="001512C2" w:rsidSect="001512C2">
          <w:pgSz w:w="16838" w:h="11906" w:orient="landscape"/>
          <w:pgMar w:top="1418" w:right="1440" w:bottom="1276" w:left="1440" w:header="708" w:footer="708" w:gutter="0"/>
          <w:cols w:space="708"/>
          <w:docGrid w:linePitch="360"/>
        </w:sectPr>
      </w:pPr>
    </w:p>
    <w:p w:rsidRPr="00CA0592" w:rsidR="000F602B" w:rsidP="000F602B" w:rsidRDefault="001512C2" w14:paraId="1B52F680" w14:textId="1AC9C8FB">
      <w:pPr>
        <w:pStyle w:val="Heading1"/>
        <w:jc w:val="center"/>
      </w:pPr>
      <w:bookmarkStart w:name="_Toc41576585" w:id="51"/>
      <w:r>
        <w:lastRenderedPageBreak/>
        <w:t>IE</w:t>
      </w:r>
      <w:r w:rsidRPr="00CA0592" w:rsidR="000F602B">
        <w:t>SPĒJAMĀ TURPMĀKĀ RĪCĪBA</w:t>
      </w:r>
      <w:bookmarkEnd w:id="51"/>
    </w:p>
    <w:p w:rsidRPr="00CA0592" w:rsidR="000F602B" w:rsidP="004375A6" w:rsidRDefault="000F602B" w14:paraId="58C73C27" w14:textId="77777777">
      <w:r w:rsidRPr="00CA0592">
        <w:t>Turpmāk nepieciešams steidzamības kārtā veikt nepieciešamās darbības, lai nodrošinātu sekmīgu Darbības programmas finansējuma pārdali.</w:t>
      </w:r>
    </w:p>
    <w:p w:rsidRPr="00CA0592" w:rsidR="000F602B" w:rsidP="004375A6" w:rsidRDefault="000F602B" w14:paraId="6E5B9216" w14:textId="77777777">
      <w:r w:rsidRPr="00CA0592">
        <w:t>Iespējamās turpmākās darbības ir šādas:</w:t>
      </w:r>
    </w:p>
    <w:p w:rsidRPr="00CA0592" w:rsidR="000F602B" w:rsidP="000F602B" w:rsidRDefault="000F602B" w14:paraId="4A0041BD" w14:textId="77777777">
      <w:pPr>
        <w:pStyle w:val="ListParagraph"/>
        <w:widowControl w:val="0"/>
        <w:numPr>
          <w:ilvl w:val="0"/>
          <w:numId w:val="8"/>
        </w:numPr>
        <w:spacing w:before="40" w:after="40"/>
        <w:ind w:left="1134" w:right="57" w:hanging="425"/>
        <w:rPr>
          <w:rFonts w:cs="Times New Roman"/>
        </w:rPr>
      </w:pPr>
      <w:r w:rsidRPr="00CA0592">
        <w:rPr>
          <w:rFonts w:cs="Times New Roman"/>
        </w:rPr>
        <w:t>Noteikt Ministru kabineta 2003. gada 29. aprīļa noteikumos Nr.242 “Satiksmes ministrijas nolikums” Satiksmes ministriju par atbildīgo institūciju, kas koordinē un organizē ITS politikas izstrādi un īstenošanu un deleģē valsts akciju sabiedrībai “Latvijas Valsts ceļi” izveidot un uzturēt NPP.</w:t>
      </w:r>
    </w:p>
    <w:p w:rsidRPr="00CA0592" w:rsidR="000F602B" w:rsidP="000F602B" w:rsidRDefault="000F602B" w14:paraId="5FF7F7B8" w14:textId="3A7C84A2">
      <w:pPr>
        <w:pStyle w:val="ListParagraph"/>
        <w:widowControl w:val="0"/>
        <w:numPr>
          <w:ilvl w:val="0"/>
          <w:numId w:val="8"/>
        </w:numPr>
        <w:spacing w:before="40" w:after="40"/>
        <w:ind w:left="1134" w:right="57" w:hanging="425"/>
        <w:rPr>
          <w:rFonts w:cs="Times New Roman"/>
        </w:rPr>
      </w:pPr>
      <w:r w:rsidRPr="00CA0592">
        <w:rPr>
          <w:rFonts w:cs="Times New Roman"/>
        </w:rPr>
        <w:t xml:space="preserve">Veikt grozījumus Ceļu satiksmes likumā, nosakot </w:t>
      </w:r>
      <w:r w:rsidRPr="00CA0592">
        <w:t>pienākumus</w:t>
      </w:r>
      <w:r w:rsidRPr="00CA0592">
        <w:rPr>
          <w:rFonts w:cs="Times New Roman"/>
        </w:rPr>
        <w:t xml:space="preserve"> datu sniegšanai NPP</w:t>
      </w:r>
      <w:r w:rsidRPr="00CA0592">
        <w:t xml:space="preserve"> un paredzot deleģējumu Ministru kabinetam noteikt kārtību, kādā dati sniedzami NPP</w:t>
      </w:r>
      <w:r w:rsidRPr="00CA0592">
        <w:rPr>
          <w:rFonts w:cs="Times New Roman"/>
        </w:rPr>
        <w:t>.</w:t>
      </w:r>
    </w:p>
    <w:p w:rsidR="000F602B" w:rsidP="000F602B" w:rsidRDefault="000F602B" w14:paraId="46E74701" w14:textId="77777777">
      <w:pPr>
        <w:pStyle w:val="ListParagraph"/>
        <w:widowControl w:val="0"/>
        <w:numPr>
          <w:ilvl w:val="0"/>
          <w:numId w:val="8"/>
        </w:numPr>
        <w:spacing w:before="40" w:after="40"/>
        <w:ind w:left="1134" w:right="57" w:hanging="425"/>
        <w:rPr>
          <w:rFonts w:cs="Times New Roman"/>
        </w:rPr>
      </w:pPr>
      <w:r w:rsidRPr="00CA0592">
        <w:rPr>
          <w:rFonts w:cs="Times New Roman"/>
        </w:rPr>
        <w:t>Satiksmes ministrijai izvērtēt NPP uzturēšanai nepieciešamo finansējumu.</w:t>
      </w:r>
    </w:p>
    <w:p w:rsidRPr="00CA0592" w:rsidR="000F602B" w:rsidP="000F602B" w:rsidRDefault="000F602B" w14:paraId="319BC030" w14:textId="77777777">
      <w:pPr>
        <w:pStyle w:val="ListParagraph"/>
        <w:widowControl w:val="0"/>
        <w:numPr>
          <w:ilvl w:val="0"/>
          <w:numId w:val="8"/>
        </w:numPr>
        <w:spacing w:before="40" w:after="40"/>
        <w:ind w:left="1134" w:right="57" w:hanging="425"/>
        <w:rPr>
          <w:rFonts w:cs="Times New Roman"/>
        </w:rPr>
      </w:pPr>
      <w:r>
        <w:rPr>
          <w:rFonts w:cs="Times New Roman"/>
        </w:rPr>
        <w:t>Lai</w:t>
      </w:r>
      <w:r w:rsidRPr="00F7714F">
        <w:t xml:space="preserve"> </w:t>
      </w:r>
      <w:r w:rsidRPr="00F7714F">
        <w:rPr>
          <w:rFonts w:cs="Times New Roman"/>
        </w:rPr>
        <w:t>veicinātu datu par pašvaldību ceļiem un ielām iesniegšanu mašīnlasāmā formātā</w:t>
      </w:r>
      <w:r>
        <w:rPr>
          <w:rFonts w:cs="Times New Roman"/>
        </w:rPr>
        <w:t>,</w:t>
      </w:r>
      <w:r w:rsidRPr="00F7714F">
        <w:rPr>
          <w:rFonts w:cs="Times New Roman"/>
        </w:rPr>
        <w:t xml:space="preserve"> </w:t>
      </w:r>
      <w:r>
        <w:rPr>
          <w:rFonts w:cs="Times New Roman"/>
        </w:rPr>
        <w:t xml:space="preserve">Satiksmes ministrijai </w:t>
      </w:r>
      <w:r w:rsidRPr="00F7714F">
        <w:rPr>
          <w:rFonts w:cs="Times New Roman"/>
        </w:rPr>
        <w:t>izstrādāt grozījumus Ministru kabineta 2017. gada 27. jūnija noteikumos Nr.361 “Pašvaldību ceļu un ielu reģistrācijas un uzskaites kārtība”.</w:t>
      </w:r>
    </w:p>
    <w:p w:rsidR="00EF3367" w:rsidP="00FC78B2" w:rsidRDefault="00EF3367" w14:paraId="3712D60F" w14:textId="6E3DC99E">
      <w:pPr>
        <w:tabs>
          <w:tab w:val="left" w:pos="7938"/>
        </w:tabs>
      </w:pPr>
    </w:p>
    <w:p w:rsidR="000F602B" w:rsidP="00FC78B2" w:rsidRDefault="000F602B" w14:paraId="536C9920" w14:textId="083B3BAB">
      <w:pPr>
        <w:tabs>
          <w:tab w:val="left" w:pos="7938"/>
        </w:tabs>
      </w:pPr>
    </w:p>
    <w:p w:rsidRPr="00027FE2" w:rsidR="000F602B" w:rsidP="000F602B" w:rsidRDefault="000F602B" w14:paraId="37722694" w14:textId="77777777">
      <w:pPr>
        <w:ind w:left="142" w:firstLine="567"/>
        <w:rPr>
          <w:rFonts w:cs="Times New Roman"/>
        </w:rPr>
      </w:pPr>
      <w:r w:rsidRPr="00027FE2">
        <w:rPr>
          <w:rFonts w:cs="Times New Roman"/>
        </w:rPr>
        <w:t>Satiksmes ministrs</w:t>
      </w:r>
      <w:r w:rsidRPr="00027FE2">
        <w:rPr>
          <w:rFonts w:cs="Times New Roman"/>
        </w:rPr>
        <w:tab/>
      </w:r>
      <w:r w:rsidRPr="00027FE2">
        <w:rPr>
          <w:rFonts w:cs="Times New Roman"/>
        </w:rPr>
        <w:tab/>
      </w:r>
      <w:r w:rsidRPr="00027FE2">
        <w:rPr>
          <w:rFonts w:cs="Times New Roman"/>
        </w:rPr>
        <w:tab/>
      </w:r>
      <w:r w:rsidRPr="00027FE2">
        <w:rPr>
          <w:rFonts w:cs="Times New Roman"/>
        </w:rPr>
        <w:tab/>
      </w:r>
      <w:r w:rsidRPr="00027FE2">
        <w:rPr>
          <w:rFonts w:cs="Times New Roman"/>
        </w:rPr>
        <w:tab/>
      </w:r>
      <w:r>
        <w:rPr>
          <w:rFonts w:cs="Times New Roman"/>
        </w:rPr>
        <w:t xml:space="preserve">          </w:t>
      </w:r>
      <w:r w:rsidRPr="00027FE2">
        <w:rPr>
          <w:rFonts w:cs="Times New Roman"/>
        </w:rPr>
        <w:t xml:space="preserve">T. </w:t>
      </w:r>
      <w:proofErr w:type="spellStart"/>
      <w:r w:rsidRPr="00027FE2">
        <w:rPr>
          <w:rFonts w:cs="Times New Roman"/>
        </w:rPr>
        <w:t>Linkaits</w:t>
      </w:r>
      <w:proofErr w:type="spellEnd"/>
    </w:p>
    <w:p w:rsidRPr="00027FE2" w:rsidR="000F602B" w:rsidP="000F602B" w:rsidRDefault="000F602B" w14:paraId="313ED41B" w14:textId="77777777">
      <w:pPr>
        <w:ind w:left="142" w:firstLine="142"/>
        <w:rPr>
          <w:rFonts w:cs="Times New Roman"/>
        </w:rPr>
      </w:pPr>
    </w:p>
    <w:p w:rsidRPr="00027FE2" w:rsidR="000F602B" w:rsidP="000F602B" w:rsidRDefault="000F602B" w14:paraId="525BEF91" w14:textId="77777777">
      <w:pPr>
        <w:ind w:left="142" w:firstLine="142"/>
        <w:rPr>
          <w:rFonts w:cs="Times New Roman"/>
        </w:rPr>
      </w:pPr>
    </w:p>
    <w:p w:rsidRPr="00237B3A" w:rsidR="000F602B" w:rsidP="000F602B" w:rsidRDefault="000F602B" w14:paraId="2C026CC3" w14:textId="77777777">
      <w:pPr>
        <w:ind w:left="142" w:firstLine="567"/>
        <w:rPr>
          <w:rFonts w:cs="Times New Roman"/>
        </w:rPr>
      </w:pPr>
      <w:r w:rsidRPr="00027FE2">
        <w:rPr>
          <w:rFonts w:cs="Times New Roman"/>
        </w:rPr>
        <w:t>Vīza: valsts sekretāre</w:t>
      </w:r>
      <w:r w:rsidRPr="00027FE2">
        <w:rPr>
          <w:rFonts w:cs="Times New Roman"/>
        </w:rPr>
        <w:tab/>
      </w:r>
      <w:r w:rsidRPr="00027FE2">
        <w:rPr>
          <w:rFonts w:cs="Times New Roman"/>
        </w:rPr>
        <w:tab/>
      </w:r>
      <w:r w:rsidRPr="00027FE2">
        <w:rPr>
          <w:rFonts w:cs="Times New Roman"/>
        </w:rPr>
        <w:tab/>
      </w:r>
      <w:r w:rsidRPr="00027FE2">
        <w:rPr>
          <w:rFonts w:cs="Times New Roman"/>
        </w:rPr>
        <w:tab/>
      </w:r>
      <w:r w:rsidRPr="00027FE2">
        <w:rPr>
          <w:rFonts w:cs="Times New Roman"/>
        </w:rPr>
        <w:tab/>
        <w:t xml:space="preserve">           </w:t>
      </w:r>
      <w:proofErr w:type="spellStart"/>
      <w:r w:rsidRPr="00027FE2">
        <w:rPr>
          <w:rFonts w:cs="Times New Roman"/>
        </w:rPr>
        <w:t>I.Stepanova</w:t>
      </w:r>
      <w:proofErr w:type="spellEnd"/>
    </w:p>
    <w:p w:rsidRPr="00EF3367" w:rsidR="000F602B" w:rsidP="00FC78B2" w:rsidRDefault="000F602B" w14:paraId="636CB6D5" w14:textId="77777777">
      <w:pPr>
        <w:tabs>
          <w:tab w:val="left" w:pos="7938"/>
        </w:tabs>
      </w:pPr>
    </w:p>
    <w:sectPr w:rsidRPr="00EF3367" w:rsidR="000F602B" w:rsidSect="001512C2">
      <w:pgSz w:w="11906" w:h="16838"/>
      <w:pgMar w:top="1440" w:right="1418"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8E13FB" w14:textId="77777777" w:rsidR="00097075" w:rsidRDefault="00097075" w:rsidP="001D7CD4">
      <w:r>
        <w:separator/>
      </w:r>
    </w:p>
  </w:endnote>
  <w:endnote w:type="continuationSeparator" w:id="0">
    <w:p w14:paraId="5AD1E729" w14:textId="77777777" w:rsidR="00097075" w:rsidRDefault="00097075" w:rsidP="001D7CD4">
      <w:r>
        <w:continuationSeparator/>
      </w:r>
    </w:p>
  </w:endnote>
  <w:endnote w:type="continuationNotice" w:id="1">
    <w:p w14:paraId="6644331E" w14:textId="77777777" w:rsidR="00097075" w:rsidRDefault="000970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BDA44" w14:textId="1EEC46DD" w:rsidR="00097075" w:rsidRDefault="00097075" w:rsidP="00237B3A">
    <w:pPr>
      <w:pStyle w:val="Footer"/>
      <w:ind w:firstLine="0"/>
    </w:pPr>
    <w:r>
      <w:t>KZ_280520_ITS</w:t>
    </w:r>
  </w:p>
  <w:p w14:paraId="32141D1E" w14:textId="77777777" w:rsidR="00097075" w:rsidRDefault="000970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009A4A" w14:textId="77777777" w:rsidR="00097075" w:rsidRDefault="00097075" w:rsidP="001D7CD4">
      <w:r>
        <w:separator/>
      </w:r>
    </w:p>
  </w:footnote>
  <w:footnote w:type="continuationSeparator" w:id="0">
    <w:p w14:paraId="5F0AC2E2" w14:textId="77777777" w:rsidR="00097075" w:rsidRDefault="00097075" w:rsidP="001D7CD4">
      <w:r>
        <w:continuationSeparator/>
      </w:r>
    </w:p>
  </w:footnote>
  <w:footnote w:type="continuationNotice" w:id="1">
    <w:p w14:paraId="387B822C" w14:textId="77777777" w:rsidR="00097075" w:rsidRDefault="00097075"/>
  </w:footnote>
  <w:footnote w:id="2">
    <w:p w14:paraId="7456FF57" w14:textId="77777777" w:rsidR="00097075" w:rsidRPr="002D7948" w:rsidRDefault="00097075" w:rsidP="00C07BC1">
      <w:pPr>
        <w:pStyle w:val="footnotes"/>
      </w:pPr>
      <w:r w:rsidRPr="002D7948">
        <w:rPr>
          <w:rStyle w:val="FootnoteReference"/>
        </w:rPr>
        <w:footnoteRef/>
      </w:r>
      <w:r w:rsidRPr="002D7948">
        <w:t xml:space="preserve"> EK paziņojums – Rīcības plāns inteliģento transporta sistēmu ieviešanai Eiropā COM(2008)886.</w:t>
      </w:r>
    </w:p>
  </w:footnote>
  <w:footnote w:id="3">
    <w:p w14:paraId="488EA35E" w14:textId="77777777" w:rsidR="00097075" w:rsidRDefault="00097075" w:rsidP="00C07BC1">
      <w:pPr>
        <w:pStyle w:val="FootnoteText"/>
        <w:jc w:val="left"/>
      </w:pPr>
      <w:r w:rsidRPr="002D7948">
        <w:rPr>
          <w:rStyle w:val="FootnoteReference"/>
        </w:rPr>
        <w:footnoteRef/>
      </w:r>
      <w:r w:rsidRPr="002D7948">
        <w:t xml:space="preserve"> Skatīt: </w:t>
      </w:r>
      <w:hyperlink r:id="rId1" w:history="1">
        <w:r w:rsidRPr="002D7948">
          <w:rPr>
            <w:rStyle w:val="Hyperlink"/>
          </w:rPr>
          <w:t>https://lvceli.lv/wp-content/uploads/2020/04/LV-ITS-Strategy-and-Action-Plan_2017.pdf</w:t>
        </w:r>
      </w:hyperlink>
      <w:r>
        <w:t xml:space="preserve"> </w:t>
      </w:r>
    </w:p>
  </w:footnote>
  <w:footnote w:id="4">
    <w:p w14:paraId="231E233E" w14:textId="77777777" w:rsidR="00097075" w:rsidRPr="0018175F" w:rsidRDefault="00097075" w:rsidP="00C07BC1">
      <w:pPr>
        <w:pStyle w:val="FootnoteText"/>
      </w:pPr>
      <w:r w:rsidRPr="0065066A">
        <w:rPr>
          <w:rStyle w:val="FootnoteReference"/>
        </w:rPr>
        <w:footnoteRef/>
      </w:r>
      <w:r w:rsidRPr="0065066A">
        <w:t xml:space="preserve"> Nacionālie piekļuves punkti var būt dažādi, tie var būt gan kā datu bāze (data base), datu noliktava (data warehouse), rep</w:t>
      </w:r>
      <w:r>
        <w:t>o</w:t>
      </w:r>
      <w:r w:rsidRPr="0065066A">
        <w:t>zitorijs (repository), reģi</w:t>
      </w:r>
      <w:r>
        <w:t>s</w:t>
      </w:r>
      <w:r w:rsidRPr="0065066A">
        <w:t>trs (register), tīmekļa portāls (web portal) vai līdzīga veida atkarībā no aptvertajiem datiem, un tie var nodrošināt atrašanas pakalpojumus (discovery services), atvieglojot pieprasīto datu kopu (data sets) sapludināšanu, saspiešanu vai analizēšanu.</w:t>
      </w:r>
    </w:p>
  </w:footnote>
  <w:footnote w:id="5">
    <w:p w14:paraId="08E089B0" w14:textId="77777777" w:rsidR="00097075" w:rsidRPr="000C6806" w:rsidRDefault="00097075" w:rsidP="00C07BC1">
      <w:pPr>
        <w:pStyle w:val="FootnoteText"/>
      </w:pPr>
      <w:r>
        <w:rPr>
          <w:rStyle w:val="FootnoteReference"/>
        </w:rPr>
        <w:footnoteRef/>
      </w:r>
      <w:r>
        <w:t xml:space="preserve"> </w:t>
      </w:r>
      <w:r w:rsidRPr="0028695F">
        <w:t>Par Regulā Nr.885/20</w:t>
      </w:r>
      <w:r>
        <w:t>13 noteikto datu vākšanu skatīt</w:t>
      </w:r>
      <w:r w:rsidRPr="0028695F">
        <w:t xml:space="preserve"> </w:t>
      </w:r>
      <w:r>
        <w:t>pielikuma 1.tabulā</w:t>
      </w:r>
      <w:r w:rsidRPr="0028695F">
        <w:t xml:space="preserve">. </w:t>
      </w:r>
      <w:r>
        <w:t xml:space="preserve">Pielikuma 1.tabulas </w:t>
      </w:r>
      <w:r w:rsidRPr="0028695F">
        <w:t>1. kolonā ir regulā noteiktās datu kategorijas; 2. kolonā ir regulā noteiktās atbildīgās institūcijas; 4. kolonā ir ceļa tīkls uz kuru regulā ir attiecināta datu vākšana</w:t>
      </w:r>
      <w:r>
        <w:t>.</w:t>
      </w:r>
    </w:p>
  </w:footnote>
  <w:footnote w:id="6">
    <w:p w14:paraId="7F144D0E" w14:textId="77777777" w:rsidR="00097075" w:rsidRPr="00282019" w:rsidRDefault="00097075" w:rsidP="00EF3367">
      <w:pPr>
        <w:pStyle w:val="FootnoteText"/>
      </w:pPr>
      <w:r w:rsidRPr="00282019">
        <w:rPr>
          <w:rStyle w:val="FootnoteReference"/>
        </w:rPr>
        <w:footnoteRef/>
      </w:r>
      <w:r w:rsidRPr="00282019">
        <w:t xml:space="preserve"> </w:t>
      </w:r>
      <w:r>
        <w:t>Saskaņā ar Regulas Nr.886/2013 2. panta n) punkta definīciju v</w:t>
      </w:r>
      <w:r w:rsidRPr="00282019">
        <w:t>ispārējās ar ceļu satiksmes drošību saistītās informācijas minimums – jebkādi estrahēti, apkopoti un pastrādāti ar ceļu satiksmes drošību saistīti dati, ko tiešajiem lietotājiem piedāvā publiskā un/vai privātā sektora ceļu pārvaldītāji un/vai pakalpojumu sniedzēji, izmantojot jebkādus izplatīšanas kanālus</w:t>
      </w:r>
      <w:r>
        <w:t>.</w:t>
      </w:r>
    </w:p>
  </w:footnote>
  <w:footnote w:id="7">
    <w:p w14:paraId="48DD1787" w14:textId="77777777" w:rsidR="00097075" w:rsidRPr="00282019" w:rsidRDefault="00097075" w:rsidP="00EF3367">
      <w:pPr>
        <w:pStyle w:val="FootnoteText"/>
      </w:pPr>
      <w:r w:rsidRPr="00282019">
        <w:rPr>
          <w:rStyle w:val="FootnoteReference"/>
        </w:rPr>
        <w:footnoteRef/>
      </w:r>
      <w:r w:rsidRPr="00282019">
        <w:t xml:space="preserve"> </w:t>
      </w:r>
      <w:r>
        <w:t>Saskaņā ar Regulas Nr.886/2013 2. panta l) punkta definīciju v</w:t>
      </w:r>
      <w:r w:rsidRPr="00282019">
        <w:t>ispārējās ar ceļu satiksmes drošību saistītās informācijas minimuma pakalpojums – reāllaika satiksmes informācijas pakalpojums, ar kuru nodrošina saskaņotu minimālu ar ceļu satiksmes drošību saistītu saturu, kuram ar minimālu piepūli var piekļūt pēc iespējas daudz tiešo lietotāju</w:t>
      </w:r>
      <w:r>
        <w:t>.</w:t>
      </w:r>
    </w:p>
  </w:footnote>
  <w:footnote w:id="8">
    <w:p w14:paraId="64DC7008" w14:textId="77777777" w:rsidR="00097075" w:rsidRDefault="00097075" w:rsidP="00EF3367">
      <w:pPr>
        <w:pStyle w:val="FootnoteText"/>
      </w:pPr>
      <w:r w:rsidRPr="00282019">
        <w:rPr>
          <w:rStyle w:val="FootnoteReference"/>
        </w:rPr>
        <w:footnoteRef/>
      </w:r>
      <w:r w:rsidRPr="00282019">
        <w:t xml:space="preserve"> Par Regulā Nr.886/2013 noteikto datu vākšanu skatīt </w:t>
      </w:r>
      <w:r>
        <w:t>p</w:t>
      </w:r>
      <w:r w:rsidRPr="00282019">
        <w:t>ielikuma 2.tabulā. Pielikuma 2.tabulas 1. kolonā ir regulā noteiktās datu kategorijas; 2. kolonā ir regulā noteiktās atbildīgās institūcijas; 4. kolonā ir ceļa tīkls uz kuru regulā ir attiecināta datu vākšana</w:t>
      </w:r>
      <w:r>
        <w:t>.</w:t>
      </w:r>
    </w:p>
  </w:footnote>
  <w:footnote w:id="9">
    <w:p w14:paraId="5F11D467" w14:textId="77777777" w:rsidR="00097075" w:rsidRDefault="00097075" w:rsidP="00EF3367">
      <w:pPr>
        <w:pStyle w:val="FootnoteText"/>
      </w:pPr>
      <w:r>
        <w:rPr>
          <w:rStyle w:val="FootnoteReference"/>
        </w:rPr>
        <w:footnoteRef/>
      </w:r>
      <w:r>
        <w:t xml:space="preserve"> </w:t>
      </w:r>
      <w:r w:rsidRPr="006F00FB">
        <w:t>Par Regulā Nr.201</w:t>
      </w:r>
      <w:r>
        <w:t>5</w:t>
      </w:r>
      <w:r w:rsidRPr="006F00FB">
        <w:t>/</w:t>
      </w:r>
      <w:r>
        <w:t>962</w:t>
      </w:r>
      <w:r w:rsidRPr="006F00FB">
        <w:t xml:space="preserve"> noteikto datu vākšanu skatīt </w:t>
      </w:r>
      <w:r>
        <w:t>p</w:t>
      </w:r>
      <w:r w:rsidRPr="006F00FB">
        <w:t xml:space="preserve">ielikuma </w:t>
      </w:r>
      <w:r>
        <w:t>3</w:t>
      </w:r>
      <w:r w:rsidRPr="006F00FB">
        <w:t xml:space="preserve">.tabulā. Pielikuma </w:t>
      </w:r>
      <w:r>
        <w:t>3</w:t>
      </w:r>
      <w:r w:rsidRPr="006F00FB">
        <w:t>.tabulas 1. kolonā ir regulā noteiktās datu kategorijas; 2. kolonā ir regulā noteiktās atbildīgās institūcijas; 4. kolonā ir ceļa tīkls uz kuru regulā ir attiecināta datu vākšana.</w:t>
      </w:r>
    </w:p>
  </w:footnote>
  <w:footnote w:id="10">
    <w:p w14:paraId="19382EAB" w14:textId="77777777" w:rsidR="00097075" w:rsidRDefault="00097075" w:rsidP="00EF3367">
      <w:pPr>
        <w:pStyle w:val="FootnoteText"/>
      </w:pPr>
      <w:r>
        <w:rPr>
          <w:rStyle w:val="FootnoteReference"/>
        </w:rPr>
        <w:footnoteRef/>
      </w:r>
      <w:r>
        <w:t xml:space="preserve"> </w:t>
      </w:r>
      <w:r w:rsidRPr="00282019">
        <w:t>Par Regulā Nr.</w:t>
      </w:r>
      <w:r>
        <w:t>2017/1926</w:t>
      </w:r>
      <w:r w:rsidRPr="00282019">
        <w:t xml:space="preserve"> noteikto datu vākšanu skatīt </w:t>
      </w:r>
      <w:r>
        <w:t>p</w:t>
      </w:r>
      <w:r w:rsidRPr="00282019">
        <w:t xml:space="preserve">ielikuma </w:t>
      </w:r>
      <w:r>
        <w:t>4</w:t>
      </w:r>
      <w:r w:rsidRPr="00282019">
        <w:t xml:space="preserve">.tabulā. Pielikuma </w:t>
      </w:r>
      <w:r>
        <w:t>4</w:t>
      </w:r>
      <w:r w:rsidRPr="00282019">
        <w:t>.tabulas 1. kolonā ir regulā noteiktās datu kategorijas; 2. kolonā ir regulā noteiktās atbildīgās institūcijas; 4. kolonā ir ceļa tīkls uz kuru regulā ir attiecināta datu vākšana</w:t>
      </w:r>
      <w:r>
        <w:t>.</w:t>
      </w:r>
    </w:p>
  </w:footnote>
  <w:footnote w:id="11">
    <w:p w14:paraId="1B631D4E" w14:textId="77777777" w:rsidR="00097075" w:rsidRPr="00BC5C97" w:rsidRDefault="00097075" w:rsidP="00EF3367">
      <w:pPr>
        <w:pStyle w:val="FootnoteText"/>
      </w:pPr>
      <w:r w:rsidRPr="00BC5C97">
        <w:rPr>
          <w:rStyle w:val="FootnoteReference"/>
        </w:rPr>
        <w:footnoteRef/>
      </w:r>
      <w:r w:rsidRPr="00BC5C97">
        <w:t xml:space="preserve"> API (Application programming interface) - lietojumprogrammu saskarne</w:t>
      </w:r>
      <w:r>
        <w:t>.</w:t>
      </w:r>
    </w:p>
  </w:footnote>
  <w:footnote w:id="12">
    <w:p w14:paraId="4E35FA70" w14:textId="77777777" w:rsidR="00097075" w:rsidRDefault="00097075" w:rsidP="00EF3367">
      <w:pPr>
        <w:pStyle w:val="FootnoteText"/>
      </w:pPr>
      <w:r>
        <w:rPr>
          <w:rStyle w:val="FootnoteReference"/>
        </w:rPr>
        <w:footnoteRef/>
      </w:r>
      <w:r>
        <w:t xml:space="preserve"> Skatīt: </w:t>
      </w:r>
      <w:hyperlink r:id="rId2" w:history="1">
        <w:r w:rsidRPr="00A25F4A">
          <w:rPr>
            <w:rStyle w:val="Hyperlink"/>
          </w:rPr>
          <w:t>https://eur-lex.</w:t>
        </w:r>
        <w:r>
          <w:rPr>
            <w:rStyle w:val="Hyperlink"/>
          </w:rPr>
          <w:t>EUR</w:t>
        </w:r>
        <w:r w:rsidRPr="00A25F4A">
          <w:rPr>
            <w:rStyle w:val="Hyperlink"/>
          </w:rPr>
          <w:t>pa.eu/legal-content/LV/TXT/?uri=CELEX%3A52016DC0587</w:t>
        </w:r>
      </w:hyperlink>
    </w:p>
  </w:footnote>
  <w:footnote w:id="13">
    <w:p w14:paraId="07D57129" w14:textId="77777777" w:rsidR="00097075" w:rsidRPr="00BC5C97" w:rsidRDefault="00097075" w:rsidP="00EF3367">
      <w:pPr>
        <w:pStyle w:val="FootnoteText"/>
      </w:pPr>
      <w:r w:rsidRPr="00BC5C97">
        <w:rPr>
          <w:rStyle w:val="FootnoteReference"/>
        </w:rPr>
        <w:footnoteRef/>
      </w:r>
      <w:r w:rsidRPr="00BC5C97">
        <w:t xml:space="preserve"> Daugavpils, Jelgava, Liepāj</w:t>
      </w:r>
      <w:r>
        <w:t>a</w:t>
      </w:r>
      <w:r w:rsidRPr="00BC5C97">
        <w:t>, Rīga</w:t>
      </w:r>
      <w:r>
        <w:t>.</w:t>
      </w:r>
    </w:p>
  </w:footnote>
  <w:footnote w:id="14">
    <w:p w14:paraId="2262D689" w14:textId="77777777" w:rsidR="00097075" w:rsidRPr="00BC5C97" w:rsidRDefault="00097075" w:rsidP="00EF3367">
      <w:pPr>
        <w:pStyle w:val="FootnoteText"/>
      </w:pPr>
      <w:r w:rsidRPr="00BC5C97">
        <w:rPr>
          <w:rStyle w:val="FootnoteReference"/>
        </w:rPr>
        <w:footnoteRef/>
      </w:r>
      <w:r w:rsidRPr="00BC5C97">
        <w:t xml:space="preserve"> Daugavpils, Liepāja, Rīga, Ventspils</w:t>
      </w:r>
      <w:r>
        <w:t>.</w:t>
      </w:r>
    </w:p>
  </w:footnote>
  <w:footnote w:id="15">
    <w:p w14:paraId="44CD18CA" w14:textId="77777777" w:rsidR="00097075" w:rsidRDefault="00097075" w:rsidP="00EF3367">
      <w:pPr>
        <w:pStyle w:val="FootnoteText"/>
      </w:pPr>
      <w:r>
        <w:rPr>
          <w:rStyle w:val="FootnoteReference"/>
        </w:rPr>
        <w:footnoteRef/>
      </w:r>
      <w:r>
        <w:t xml:space="preserve"> </w:t>
      </w:r>
      <w:r w:rsidRPr="00BC5C97">
        <w:t>“</w:t>
      </w:r>
      <w:r w:rsidRPr="00BC5C97">
        <w:rPr>
          <w:i/>
          <w:szCs w:val="24"/>
        </w:rPr>
        <w:t xml:space="preserve">Making 5G a success for </w:t>
      </w:r>
      <w:r>
        <w:rPr>
          <w:i/>
          <w:szCs w:val="24"/>
        </w:rPr>
        <w:t>EUR</w:t>
      </w:r>
      <w:r w:rsidRPr="00BC5C97">
        <w:rPr>
          <w:i/>
          <w:szCs w:val="24"/>
        </w:rPr>
        <w:t>pe</w:t>
      </w:r>
      <w:r w:rsidRPr="00BC5C97">
        <w:rPr>
          <w:szCs w:val="24"/>
        </w:rPr>
        <w:t xml:space="preserve">” – </w:t>
      </w:r>
      <w:r w:rsidRPr="007F4EE8">
        <w:rPr>
          <w:rStyle w:val="Hyperlink"/>
          <w:color w:val="auto"/>
          <w:szCs w:val="24"/>
        </w:rPr>
        <w:t>https://www.digital</w:t>
      </w:r>
      <w:r>
        <w:rPr>
          <w:rStyle w:val="Hyperlink"/>
          <w:color w:val="auto"/>
          <w:szCs w:val="24"/>
        </w:rPr>
        <w:t>EUR</w:t>
      </w:r>
      <w:r w:rsidRPr="007F4EE8">
        <w:rPr>
          <w:rStyle w:val="Hyperlink"/>
          <w:color w:val="auto"/>
          <w:szCs w:val="24"/>
        </w:rPr>
        <w:t>pe.org/wp/wp-content/uploads/2019/01/Ministerial%20declaration%205G_final_0.pdf</w:t>
      </w:r>
    </w:p>
  </w:footnote>
  <w:footnote w:id="16">
    <w:p w14:paraId="0B3CE11E" w14:textId="77777777" w:rsidR="00097075" w:rsidRPr="00D676B8" w:rsidRDefault="00097075" w:rsidP="00EF3367">
      <w:pPr>
        <w:pStyle w:val="FootnoteText"/>
      </w:pPr>
      <w:r w:rsidRPr="00BC5C97">
        <w:rPr>
          <w:rStyle w:val="FootnoteReference"/>
        </w:rPr>
        <w:footnoteRef/>
      </w:r>
      <w:r w:rsidRPr="00BC5C97">
        <w:t xml:space="preserve"> “</w:t>
      </w:r>
      <w:r w:rsidRPr="00BC5C97">
        <w:rPr>
          <w:i/>
        </w:rPr>
        <w:t>Network slicing”</w:t>
      </w:r>
      <w:r w:rsidRPr="00BC5C97">
        <w:t xml:space="preserve"> (tulk. “tīkla sadalīšana slāņos”) ļauj vienu fizisku sakaru tīklu programmatūras ietvaros sadalīt vairākos virtuālos tīklos, kas paredzēti dažādu pakalpojumu veidu nodrošināšanai un var tikt pielāgoti dažādu pakalpojumu kvalitātes līmeņu nodrošināšanai (</w:t>
      </w:r>
      <w:hyperlink r:id="rId3" w:history="1">
        <w:r w:rsidRPr="00BC5C97">
          <w:rPr>
            <w:rStyle w:val="Hyperlink"/>
            <w:i/>
            <w:color w:val="auto"/>
          </w:rPr>
          <w:t xml:space="preserve">Report on the exchange of Best Practices concerning national broadband strategies and 5G "path-to-deployment", </w:t>
        </w:r>
        <w:r>
          <w:rPr>
            <w:rStyle w:val="Hyperlink"/>
            <w:i/>
            <w:color w:val="auto"/>
          </w:rPr>
          <w:t>EUR</w:t>
        </w:r>
        <w:r w:rsidRPr="00BC5C97">
          <w:rPr>
            <w:rStyle w:val="Hyperlink"/>
            <w:i/>
            <w:color w:val="auto"/>
          </w:rPr>
          <w:t>pean Commission, COCOM18-06REV-2, 15 October 2018,</w:t>
        </w:r>
      </w:hyperlink>
      <w:r w:rsidRPr="00BC5C97">
        <w:rPr>
          <w:i/>
        </w:rPr>
        <w:t xml:space="preserve"> </w:t>
      </w:r>
      <w:r w:rsidRPr="00BC5C97">
        <w:t>15.lpp.).</w:t>
      </w:r>
      <w:r w:rsidRPr="00BC5C97">
        <w:rPr>
          <w:i/>
        </w:rPr>
        <w:t xml:space="preserve"> </w:t>
      </w:r>
      <w:r w:rsidRPr="00BC5C97">
        <w:t>Piemēram, atsevišķs virtuālā tīkla slānis lietu interneta vajadzībām saistībā ar automatizētiem transportlīdzekļiem ar pielāgotiem paramteriem, piemēram, maksimāli zemu latentuma jeb aiztures līmeni.</w:t>
      </w:r>
    </w:p>
  </w:footnote>
  <w:footnote w:id="17">
    <w:p w14:paraId="3D37A0F2" w14:textId="77777777" w:rsidR="00097075" w:rsidRDefault="00097075" w:rsidP="005B0CC4">
      <w:pPr>
        <w:pStyle w:val="FootnoteText"/>
      </w:pPr>
      <w:r>
        <w:rPr>
          <w:rStyle w:val="FootnoteReference"/>
        </w:rPr>
        <w:footnoteRef/>
      </w:r>
      <w:r>
        <w:t xml:space="preserve"> Valsts valodas centrs terminā “inteliģentas transporta sistēmas” vārda “inteliģents” vietā norāda lietot vārdu “intelektiskas”, tādējādi Ceļu satiksmes likumā ir nepieciešams grozīt vārdu “inteliģents”, lai būtu vienots terminoloģijas lietojums visos normatīvajos aktos.</w:t>
      </w:r>
    </w:p>
  </w:footnote>
  <w:footnote w:id="18">
    <w:p w14:paraId="6A64E016" w14:textId="43C5A014" w:rsidR="00097075" w:rsidRDefault="00097075" w:rsidP="005B0CC4">
      <w:pPr>
        <w:pStyle w:val="FootnoteText"/>
      </w:pPr>
      <w:r w:rsidRPr="002D7948">
        <w:rPr>
          <w:rStyle w:val="FootnoteReference"/>
        </w:rPr>
        <w:footnoteRef/>
      </w:r>
      <w:r w:rsidRPr="002D7948">
        <w:t xml:space="preserve"> Ņemot vērā, ka Eiropā ir ļoti atšķirīga pieredz NPP izveidē un izmaksās, kā arī pastāv dažādi </w:t>
      </w:r>
      <w:r>
        <w:t>projekta ieviešanas (publiskā iepirkuma u.c.)</w:t>
      </w:r>
      <w:r w:rsidRPr="002D7948">
        <w:t xml:space="preserve"> riski, kas ar šo rezervi tiek minimizēti.</w:t>
      </w:r>
    </w:p>
  </w:footnote>
  <w:footnote w:id="19">
    <w:p w14:paraId="3AF595A4" w14:textId="06A7D432" w:rsidR="00097075" w:rsidRPr="007A0955" w:rsidRDefault="00097075" w:rsidP="005B0CC4">
      <w:pPr>
        <w:pStyle w:val="FootnoteText"/>
      </w:pPr>
      <w:r w:rsidRPr="0065066A">
        <w:rPr>
          <w:rStyle w:val="FootnoteReference"/>
        </w:rPr>
        <w:footnoteRef/>
      </w:r>
      <w:r w:rsidRPr="0065066A">
        <w:t xml:space="preserve"> IKT infrastruktūras un sistēmu uzturēšanas izmaksas indikatīvi</w:t>
      </w:r>
      <w:r>
        <w:t xml:space="preserve"> un atbilstoši ES valstu praksei</w:t>
      </w:r>
      <w:r w:rsidRPr="0065066A">
        <w:t xml:space="preserve"> tiek vērtētas kā 10% gadā no to sākotnējās ieviešanas izmaksām</w:t>
      </w:r>
      <w:r>
        <w:t xml:space="preserve">. 10% tiek rēķināti no paredzētā piešķīruma 5 000 000 EUR apmērā no </w:t>
      </w:r>
      <w:r w:rsidRPr="00E24967">
        <w:t>ES fondu finansējum</w:t>
      </w:r>
      <w:r>
        <w:t>a un 882 353 EUR apmērā no valsts budžeta.</w:t>
      </w:r>
    </w:p>
  </w:footnote>
  <w:footnote w:id="20">
    <w:p w14:paraId="6DDE665F" w14:textId="1C1F682A" w:rsidR="00097075" w:rsidRDefault="00097075">
      <w:pPr>
        <w:pStyle w:val="FootnoteText"/>
      </w:pPr>
      <w:r>
        <w:rPr>
          <w:rStyle w:val="FootnoteReference"/>
        </w:rPr>
        <w:footnoteRef/>
      </w:r>
      <w:r>
        <w:t xml:space="preserve"> Sniegta informācija tikai par atbalstīšanai virzāmo risinājumu, ievērojot, ka MK un EK ir apstiprināti </w:t>
      </w:r>
      <w:r w:rsidRPr="00C65C16">
        <w:t>Darbības programmas grozījumi</w:t>
      </w:r>
      <w:r>
        <w:t>, kas paredz ES fondu atbalstu NPP izveidei.</w:t>
      </w:r>
    </w:p>
  </w:footnote>
  <w:footnote w:id="21">
    <w:p w14:paraId="5CBB2366" w14:textId="75A0EB56" w:rsidR="00097075" w:rsidRDefault="00097075" w:rsidP="000A0F4F">
      <w:pPr>
        <w:pStyle w:val="FootnoteText"/>
      </w:pPr>
      <w:r>
        <w:rPr>
          <w:rStyle w:val="FootnoteReference"/>
        </w:rPr>
        <w:footnoteRef/>
      </w:r>
      <w:r>
        <w:t xml:space="preserve"> NPP izveide plānota kā ES fondu projekts, finansējums jāplāno Satiksmes ministrijas </w:t>
      </w:r>
      <w:r w:rsidRPr="007672D9">
        <w:t>Eiropas Savienības politiku instrumentu un pārējās ārvalstu finanšu palīdzības līdzfinansēto projektu un p</w:t>
      </w:r>
      <w:r>
        <w:t>asākumu īstenošanai paredzētajā programmā</w:t>
      </w:r>
      <w:r w:rsidRPr="007672D9">
        <w:t>/apakšprogrammā</w:t>
      </w:r>
      <w:r>
        <w:t>,</w:t>
      </w:r>
      <w:r w:rsidRPr="007672D9" w:rsidDel="007672D9">
        <w:t xml:space="preserve"> </w:t>
      </w:r>
      <w:r>
        <w:t xml:space="preserve">kopējās izmaksas ir </w:t>
      </w:r>
      <w:r w:rsidRPr="00E96CC5">
        <w:t>5 882 353 EUR</w:t>
      </w:r>
      <w:r>
        <w:t xml:space="preserve">, t.sk. </w:t>
      </w:r>
      <w:r w:rsidRPr="00E96CC5">
        <w:t>ES fondu finansējum</w:t>
      </w:r>
      <w:r>
        <w:t>s</w:t>
      </w:r>
      <w:r w:rsidRPr="00E96CC5">
        <w:t xml:space="preserve"> 5 000 000 EUR apmērā un valsts budžeta finansējum</w:t>
      </w:r>
      <w:r>
        <w:t>s</w:t>
      </w:r>
      <w:r w:rsidRPr="00E96CC5">
        <w:t xml:space="preserve"> 882 353 EUR apmērā</w:t>
      </w:r>
      <w:r>
        <w:t>, p</w:t>
      </w:r>
      <w:r w:rsidRPr="00E96CC5">
        <w:t>rojekta īstenošanai nepieciešamie līdzekļi normatīvajos aktos noteiktajā kārtībā tiks pieprasīti no 74.resora “Gadskārtējā valsts budžeta izpildes procesā pārdalāmais finansējums” 80.00.00 programmas “Nesadalītais finansējums Eiropas Savienības politiku instrumentu un pārējās ārvalstu finanšu palīdzības līdzfinansēto projektu un pasākumu īstenošanai”</w:t>
      </w:r>
      <w:r>
        <w:t>.</w:t>
      </w:r>
    </w:p>
  </w:footnote>
  <w:footnote w:id="22">
    <w:p w14:paraId="06729CB6" w14:textId="033F7364" w:rsidR="00097075" w:rsidRDefault="00097075">
      <w:pPr>
        <w:pStyle w:val="FootnoteText"/>
      </w:pPr>
      <w:r>
        <w:rPr>
          <w:rStyle w:val="FootnoteReference"/>
        </w:rPr>
        <w:footnoteRef/>
      </w:r>
      <w:r>
        <w:t xml:space="preserve"> </w:t>
      </w:r>
      <w:r w:rsidRPr="003D1ECB">
        <w:t>LVC deleģētā funkcija</w:t>
      </w:r>
      <w:r>
        <w:t xml:space="preserve">, </w:t>
      </w:r>
      <w:r w:rsidRPr="003D1ECB">
        <w:t>piešķirams no valsts budžeta</w:t>
      </w:r>
      <w:r>
        <w:t xml:space="preserve">, </w:t>
      </w:r>
      <w:r w:rsidRPr="003D1ECB">
        <w:t>tiks pieprasīts normatīvajos aktos noteiktajā kārtībā.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747461"/>
      <w:docPartObj>
        <w:docPartGallery w:val="Page Numbers (Top of Page)"/>
        <w:docPartUnique/>
      </w:docPartObj>
    </w:sdtPr>
    <w:sdtEndPr>
      <w:rPr>
        <w:noProof/>
      </w:rPr>
    </w:sdtEndPr>
    <w:sdtContent>
      <w:p w:rsidR="00097075" w:rsidRDefault="00097075" w14:paraId="62C80147" w14:textId="64DFA530">
        <w:pPr>
          <w:pStyle w:val="Header"/>
          <w:jc w:val="center"/>
        </w:pPr>
        <w:r>
          <w:fldChar w:fldCharType="begin"/>
        </w:r>
        <w:r>
          <w:instrText xml:space="preserve"> PAGE   \* MERGEFORMAT </w:instrText>
        </w:r>
        <w:r>
          <w:fldChar w:fldCharType="separate"/>
        </w:r>
        <w:r>
          <w:rPr>
            <w:noProof/>
          </w:rPr>
          <w:t>2</w:t>
        </w:r>
        <w:r>
          <w:rPr>
            <w:noProof/>
          </w:rPr>
          <w:t>1</w:t>
        </w:r>
        <w:r>
          <w:rPr>
            <w:noProof/>
          </w:rPr>
          <w:fldChar w:fldCharType="end"/>
        </w:r>
      </w:p>
    </w:sdtContent>
  </w:sdt>
  <w:p w:rsidR="00097075" w:rsidRDefault="00097075" w14:paraId="3BD2F8B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24872"/>
    <w:multiLevelType w:val="hybridMultilevel"/>
    <w:tmpl w:val="E0D63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E33B93"/>
    <w:multiLevelType w:val="hybridMultilevel"/>
    <w:tmpl w:val="49FC982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3E729EE"/>
    <w:multiLevelType w:val="hybridMultilevel"/>
    <w:tmpl w:val="700C0F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5301214"/>
    <w:multiLevelType w:val="hybridMultilevel"/>
    <w:tmpl w:val="6122BE5A"/>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7A72027"/>
    <w:multiLevelType w:val="hybridMultilevel"/>
    <w:tmpl w:val="4AD4402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A0201F6"/>
    <w:multiLevelType w:val="hybridMultilevel"/>
    <w:tmpl w:val="C18A8086"/>
    <w:lvl w:ilvl="0" w:tplc="097E9508">
      <w:start w:val="1"/>
      <w:numFmt w:val="lowerLetter"/>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B7B640C"/>
    <w:multiLevelType w:val="hybridMultilevel"/>
    <w:tmpl w:val="DE96B06E"/>
    <w:lvl w:ilvl="0" w:tplc="04260001">
      <w:start w:val="1"/>
      <w:numFmt w:val="bullet"/>
      <w:lvlText w:val=""/>
      <w:lvlJc w:val="left"/>
      <w:pPr>
        <w:ind w:left="720" w:hanging="360"/>
      </w:pPr>
      <w:rPr>
        <w:rFonts w:ascii="Symbol" w:hAnsi="Symbol" w:hint="default"/>
        <w:color w:val="auto"/>
        <w:sz w:val="18"/>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E8B74EB"/>
    <w:multiLevelType w:val="multilevel"/>
    <w:tmpl w:val="8A881022"/>
    <w:lvl w:ilvl="0">
      <w:start w:val="1"/>
      <w:numFmt w:val="decimal"/>
      <w:pStyle w:val="Heading1"/>
      <w:lvlText w:val="%1."/>
      <w:lvlJc w:val="left"/>
      <w:pPr>
        <w:ind w:left="432" w:hanging="432"/>
      </w:pPr>
      <w:rPr>
        <w:rFonts w:hint="default"/>
        <w:b/>
        <w:i w:val="0"/>
      </w:rPr>
    </w:lvl>
    <w:lvl w:ilvl="1">
      <w:start w:val="1"/>
      <w:numFmt w:val="decimal"/>
      <w:pStyle w:val="Heading2"/>
      <w:lvlText w:val="%1.%2."/>
      <w:lvlJc w:val="left"/>
      <w:pPr>
        <w:ind w:left="576" w:hanging="576"/>
      </w:pPr>
      <w:rPr>
        <w:rFonts w:hint="default"/>
        <w:b/>
        <w:i w:val="0"/>
      </w:rPr>
    </w:lvl>
    <w:lvl w:ilvl="2">
      <w:start w:val="1"/>
      <w:numFmt w:val="decimal"/>
      <w:pStyle w:val="Heading3"/>
      <w:lvlText w:val="%1.%2.%3."/>
      <w:lvlJc w:val="left"/>
      <w:pPr>
        <w:ind w:left="720" w:hanging="720"/>
      </w:pPr>
      <w:rPr>
        <w:rFonts w:hint="default"/>
        <w:b/>
        <w:i w:val="0"/>
      </w:rPr>
    </w:lvl>
    <w:lvl w:ilvl="3">
      <w:start w:val="1"/>
      <w:numFmt w:val="decimal"/>
      <w:pStyle w:val="Heading4"/>
      <w:lvlText w:val="%1.%2.%3.%4."/>
      <w:lvlJc w:val="left"/>
      <w:pPr>
        <w:ind w:left="864" w:hanging="864"/>
      </w:pPr>
      <w:rPr>
        <w:rFonts w:hint="default"/>
        <w:b/>
        <w:i w:val="0"/>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15:restartNumberingAfterBreak="0">
    <w:nsid w:val="249F280F"/>
    <w:multiLevelType w:val="multilevel"/>
    <w:tmpl w:val="FCF6FE7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58067A5"/>
    <w:multiLevelType w:val="multilevel"/>
    <w:tmpl w:val="C988F5F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0" w:firstLine="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63F6BC1"/>
    <w:multiLevelType w:val="hybridMultilevel"/>
    <w:tmpl w:val="475027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0431B89"/>
    <w:multiLevelType w:val="hybridMultilevel"/>
    <w:tmpl w:val="CA4E89AE"/>
    <w:lvl w:ilvl="0" w:tplc="04260001">
      <w:start w:val="1"/>
      <w:numFmt w:val="bullet"/>
      <w:lvlText w:val=""/>
      <w:lvlJc w:val="left"/>
      <w:pPr>
        <w:ind w:left="720" w:hanging="360"/>
      </w:pPr>
      <w:rPr>
        <w:rFonts w:ascii="Symbol" w:hAnsi="Symbol" w:hint="default"/>
        <w:color w:val="auto"/>
        <w:sz w:val="18"/>
      </w:rPr>
    </w:lvl>
    <w:lvl w:ilvl="1" w:tplc="04260003">
      <w:start w:val="1"/>
      <w:numFmt w:val="bullet"/>
      <w:lvlText w:val="o"/>
      <w:lvlJc w:val="left"/>
      <w:pPr>
        <w:ind w:left="1440" w:hanging="360"/>
      </w:pPr>
      <w:rPr>
        <w:rFonts w:ascii="Courier New" w:hAnsi="Courier New" w:cs="Courier New" w:hint="default"/>
      </w:rPr>
    </w:lvl>
    <w:lvl w:ilvl="2" w:tplc="53AEAB08">
      <w:start w:val="2"/>
      <w:numFmt w:val="bullet"/>
      <w:lvlText w:val="•"/>
      <w:lvlJc w:val="left"/>
      <w:pPr>
        <w:ind w:left="2160" w:hanging="360"/>
      </w:pPr>
      <w:rPr>
        <w:rFonts w:ascii="Times New Roman" w:eastAsiaTheme="minorHAnsi" w:hAnsi="Times New Roman" w:cs="Times New Roman"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0D16603"/>
    <w:multiLevelType w:val="hybridMultilevel"/>
    <w:tmpl w:val="033C6054"/>
    <w:lvl w:ilvl="0" w:tplc="04090017">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139725E"/>
    <w:multiLevelType w:val="multilevel"/>
    <w:tmpl w:val="26BEC0D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5882685"/>
    <w:multiLevelType w:val="hybridMultilevel"/>
    <w:tmpl w:val="EAAEB6F8"/>
    <w:lvl w:ilvl="0" w:tplc="04260001">
      <w:start w:val="1"/>
      <w:numFmt w:val="bullet"/>
      <w:lvlText w:val=""/>
      <w:lvlJc w:val="left"/>
      <w:pPr>
        <w:ind w:left="1074" w:hanging="360"/>
      </w:pPr>
      <w:rPr>
        <w:rFonts w:ascii="Symbol" w:hAnsi="Symbol" w:hint="default"/>
        <w:color w:val="auto"/>
        <w:sz w:val="18"/>
      </w:rPr>
    </w:lvl>
    <w:lvl w:ilvl="1" w:tplc="04260003">
      <w:start w:val="1"/>
      <w:numFmt w:val="bullet"/>
      <w:lvlText w:val="o"/>
      <w:lvlJc w:val="left"/>
      <w:pPr>
        <w:ind w:left="1794" w:hanging="360"/>
      </w:pPr>
      <w:rPr>
        <w:rFonts w:ascii="Courier New" w:hAnsi="Courier New" w:cs="Courier New" w:hint="default"/>
      </w:rPr>
    </w:lvl>
    <w:lvl w:ilvl="2" w:tplc="04260005" w:tentative="1">
      <w:start w:val="1"/>
      <w:numFmt w:val="bullet"/>
      <w:lvlText w:val=""/>
      <w:lvlJc w:val="left"/>
      <w:pPr>
        <w:ind w:left="2514" w:hanging="360"/>
      </w:pPr>
      <w:rPr>
        <w:rFonts w:ascii="Wingdings" w:hAnsi="Wingdings" w:hint="default"/>
      </w:rPr>
    </w:lvl>
    <w:lvl w:ilvl="3" w:tplc="04260001" w:tentative="1">
      <w:start w:val="1"/>
      <w:numFmt w:val="bullet"/>
      <w:lvlText w:val=""/>
      <w:lvlJc w:val="left"/>
      <w:pPr>
        <w:ind w:left="3234" w:hanging="360"/>
      </w:pPr>
      <w:rPr>
        <w:rFonts w:ascii="Symbol" w:hAnsi="Symbol" w:hint="default"/>
      </w:rPr>
    </w:lvl>
    <w:lvl w:ilvl="4" w:tplc="04260003" w:tentative="1">
      <w:start w:val="1"/>
      <w:numFmt w:val="bullet"/>
      <w:lvlText w:val="o"/>
      <w:lvlJc w:val="left"/>
      <w:pPr>
        <w:ind w:left="3954" w:hanging="360"/>
      </w:pPr>
      <w:rPr>
        <w:rFonts w:ascii="Courier New" w:hAnsi="Courier New" w:cs="Courier New" w:hint="default"/>
      </w:rPr>
    </w:lvl>
    <w:lvl w:ilvl="5" w:tplc="04260005" w:tentative="1">
      <w:start w:val="1"/>
      <w:numFmt w:val="bullet"/>
      <w:lvlText w:val=""/>
      <w:lvlJc w:val="left"/>
      <w:pPr>
        <w:ind w:left="4674" w:hanging="360"/>
      </w:pPr>
      <w:rPr>
        <w:rFonts w:ascii="Wingdings" w:hAnsi="Wingdings" w:hint="default"/>
      </w:rPr>
    </w:lvl>
    <w:lvl w:ilvl="6" w:tplc="04260001" w:tentative="1">
      <w:start w:val="1"/>
      <w:numFmt w:val="bullet"/>
      <w:lvlText w:val=""/>
      <w:lvlJc w:val="left"/>
      <w:pPr>
        <w:ind w:left="5394" w:hanging="360"/>
      </w:pPr>
      <w:rPr>
        <w:rFonts w:ascii="Symbol" w:hAnsi="Symbol" w:hint="default"/>
      </w:rPr>
    </w:lvl>
    <w:lvl w:ilvl="7" w:tplc="04260003" w:tentative="1">
      <w:start w:val="1"/>
      <w:numFmt w:val="bullet"/>
      <w:lvlText w:val="o"/>
      <w:lvlJc w:val="left"/>
      <w:pPr>
        <w:ind w:left="6114" w:hanging="360"/>
      </w:pPr>
      <w:rPr>
        <w:rFonts w:ascii="Courier New" w:hAnsi="Courier New" w:cs="Courier New" w:hint="default"/>
      </w:rPr>
    </w:lvl>
    <w:lvl w:ilvl="8" w:tplc="04260005" w:tentative="1">
      <w:start w:val="1"/>
      <w:numFmt w:val="bullet"/>
      <w:lvlText w:val=""/>
      <w:lvlJc w:val="left"/>
      <w:pPr>
        <w:ind w:left="6834" w:hanging="360"/>
      </w:pPr>
      <w:rPr>
        <w:rFonts w:ascii="Wingdings" w:hAnsi="Wingdings" w:hint="default"/>
      </w:rPr>
    </w:lvl>
  </w:abstractNum>
  <w:abstractNum w:abstractNumId="15" w15:restartNumberingAfterBreak="0">
    <w:nsid w:val="461E1FB0"/>
    <w:multiLevelType w:val="hybridMultilevel"/>
    <w:tmpl w:val="46164A34"/>
    <w:lvl w:ilvl="0" w:tplc="CEF29E1C">
      <w:start w:val="1"/>
      <w:numFmt w:val="bullet"/>
      <w:pStyle w:val="ListBullet2"/>
      <w:lvlText w:val="►"/>
      <w:lvlJc w:val="left"/>
      <w:pPr>
        <w:ind w:left="360" w:hanging="360"/>
      </w:pPr>
      <w:rPr>
        <w:rFonts w:ascii="Times New Roman" w:hAnsi="Times New Roman" w:hint="default"/>
        <w:color w:val="auto"/>
        <w:sz w:val="18"/>
      </w:rPr>
    </w:lvl>
    <w:lvl w:ilvl="1" w:tplc="D714C6BC">
      <w:start w:val="1"/>
      <w:numFmt w:val="bullet"/>
      <w:lvlText w:val=""/>
      <w:lvlJc w:val="left"/>
      <w:pPr>
        <w:tabs>
          <w:tab w:val="num" w:pos="1353"/>
        </w:tabs>
        <w:ind w:left="1353" w:hanging="360"/>
      </w:pPr>
      <w:rPr>
        <w:rFonts w:ascii="Wingdings" w:hAnsi="Wingdings" w:hint="default"/>
        <w:color w:val="80808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9B7493"/>
    <w:multiLevelType w:val="hybridMultilevel"/>
    <w:tmpl w:val="1E9A76FC"/>
    <w:lvl w:ilvl="0" w:tplc="DB3C350A">
      <w:start w:val="1"/>
      <w:numFmt w:val="lowerLetter"/>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99A5E04"/>
    <w:multiLevelType w:val="hybridMultilevel"/>
    <w:tmpl w:val="08969E6E"/>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8" w15:restartNumberingAfterBreak="0">
    <w:nsid w:val="51056643"/>
    <w:multiLevelType w:val="hybridMultilevel"/>
    <w:tmpl w:val="41D024DE"/>
    <w:lvl w:ilvl="0" w:tplc="1826ACD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2247AB3"/>
    <w:multiLevelType w:val="multilevel"/>
    <w:tmpl w:val="FF5653F0"/>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539A1112"/>
    <w:multiLevelType w:val="hybridMultilevel"/>
    <w:tmpl w:val="6B5E724C"/>
    <w:lvl w:ilvl="0" w:tplc="0BE6FBC6">
      <w:start w:val="1"/>
      <w:numFmt w:val="bullet"/>
      <w:pStyle w:val="Bulletpoints"/>
      <w:lvlText w:val="►"/>
      <w:lvlJc w:val="left"/>
      <w:pPr>
        <w:ind w:left="9" w:hanging="360"/>
      </w:pPr>
      <w:rPr>
        <w:rFonts w:ascii="Times New Roman" w:hAnsi="Times New Roman" w:hint="default"/>
        <w:color w:val="auto"/>
        <w:sz w:val="18"/>
      </w:rPr>
    </w:lvl>
    <w:lvl w:ilvl="1" w:tplc="04260003">
      <w:start w:val="1"/>
      <w:numFmt w:val="bullet"/>
      <w:lvlText w:val="o"/>
      <w:lvlJc w:val="left"/>
      <w:pPr>
        <w:ind w:left="729" w:hanging="360"/>
      </w:pPr>
      <w:rPr>
        <w:rFonts w:ascii="Courier New" w:hAnsi="Courier New" w:cs="Courier New" w:hint="default"/>
      </w:rPr>
    </w:lvl>
    <w:lvl w:ilvl="2" w:tplc="04260005" w:tentative="1">
      <w:start w:val="1"/>
      <w:numFmt w:val="bullet"/>
      <w:lvlText w:val=""/>
      <w:lvlJc w:val="left"/>
      <w:pPr>
        <w:ind w:left="1449" w:hanging="360"/>
      </w:pPr>
      <w:rPr>
        <w:rFonts w:ascii="Wingdings" w:hAnsi="Wingdings" w:hint="default"/>
      </w:rPr>
    </w:lvl>
    <w:lvl w:ilvl="3" w:tplc="04260001" w:tentative="1">
      <w:start w:val="1"/>
      <w:numFmt w:val="bullet"/>
      <w:lvlText w:val=""/>
      <w:lvlJc w:val="left"/>
      <w:pPr>
        <w:ind w:left="2169" w:hanging="360"/>
      </w:pPr>
      <w:rPr>
        <w:rFonts w:ascii="Symbol" w:hAnsi="Symbol" w:hint="default"/>
      </w:rPr>
    </w:lvl>
    <w:lvl w:ilvl="4" w:tplc="04260003" w:tentative="1">
      <w:start w:val="1"/>
      <w:numFmt w:val="bullet"/>
      <w:lvlText w:val="o"/>
      <w:lvlJc w:val="left"/>
      <w:pPr>
        <w:ind w:left="2889" w:hanging="360"/>
      </w:pPr>
      <w:rPr>
        <w:rFonts w:ascii="Courier New" w:hAnsi="Courier New" w:cs="Courier New" w:hint="default"/>
      </w:rPr>
    </w:lvl>
    <w:lvl w:ilvl="5" w:tplc="04260005" w:tentative="1">
      <w:start w:val="1"/>
      <w:numFmt w:val="bullet"/>
      <w:lvlText w:val=""/>
      <w:lvlJc w:val="left"/>
      <w:pPr>
        <w:ind w:left="3609" w:hanging="360"/>
      </w:pPr>
      <w:rPr>
        <w:rFonts w:ascii="Wingdings" w:hAnsi="Wingdings" w:hint="default"/>
      </w:rPr>
    </w:lvl>
    <w:lvl w:ilvl="6" w:tplc="04260001" w:tentative="1">
      <w:start w:val="1"/>
      <w:numFmt w:val="bullet"/>
      <w:lvlText w:val=""/>
      <w:lvlJc w:val="left"/>
      <w:pPr>
        <w:ind w:left="4329" w:hanging="360"/>
      </w:pPr>
      <w:rPr>
        <w:rFonts w:ascii="Symbol" w:hAnsi="Symbol" w:hint="default"/>
      </w:rPr>
    </w:lvl>
    <w:lvl w:ilvl="7" w:tplc="04260003" w:tentative="1">
      <w:start w:val="1"/>
      <w:numFmt w:val="bullet"/>
      <w:lvlText w:val="o"/>
      <w:lvlJc w:val="left"/>
      <w:pPr>
        <w:ind w:left="5049" w:hanging="360"/>
      </w:pPr>
      <w:rPr>
        <w:rFonts w:ascii="Courier New" w:hAnsi="Courier New" w:cs="Courier New" w:hint="default"/>
      </w:rPr>
    </w:lvl>
    <w:lvl w:ilvl="8" w:tplc="04260005" w:tentative="1">
      <w:start w:val="1"/>
      <w:numFmt w:val="bullet"/>
      <w:lvlText w:val=""/>
      <w:lvlJc w:val="left"/>
      <w:pPr>
        <w:ind w:left="5769" w:hanging="360"/>
      </w:pPr>
      <w:rPr>
        <w:rFonts w:ascii="Wingdings" w:hAnsi="Wingdings" w:hint="default"/>
      </w:rPr>
    </w:lvl>
  </w:abstractNum>
  <w:abstractNum w:abstractNumId="21" w15:restartNumberingAfterBreak="0">
    <w:nsid w:val="548069E9"/>
    <w:multiLevelType w:val="hybridMultilevel"/>
    <w:tmpl w:val="C7D4847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F9768CB"/>
    <w:multiLevelType w:val="hybridMultilevel"/>
    <w:tmpl w:val="3530DD9E"/>
    <w:lvl w:ilvl="0" w:tplc="6270F5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9373844"/>
    <w:multiLevelType w:val="hybridMultilevel"/>
    <w:tmpl w:val="69E0563C"/>
    <w:lvl w:ilvl="0" w:tplc="04270011">
      <w:start w:val="1"/>
      <w:numFmt w:val="decimal"/>
      <w:pStyle w:val="9ptablebullet"/>
      <w:lvlText w:val="%1)"/>
      <w:lvlJc w:val="left"/>
      <w:pPr>
        <w:ind w:left="777" w:hanging="360"/>
      </w:pPr>
    </w:lvl>
    <w:lvl w:ilvl="1" w:tplc="04270019" w:tentative="1">
      <w:start w:val="1"/>
      <w:numFmt w:val="lowerLetter"/>
      <w:lvlText w:val="%2."/>
      <w:lvlJc w:val="left"/>
      <w:pPr>
        <w:ind w:left="1497" w:hanging="360"/>
      </w:pPr>
    </w:lvl>
    <w:lvl w:ilvl="2" w:tplc="0427001B" w:tentative="1">
      <w:start w:val="1"/>
      <w:numFmt w:val="lowerRoman"/>
      <w:lvlText w:val="%3."/>
      <w:lvlJc w:val="right"/>
      <w:pPr>
        <w:ind w:left="2217" w:hanging="180"/>
      </w:pPr>
    </w:lvl>
    <w:lvl w:ilvl="3" w:tplc="0427000F" w:tentative="1">
      <w:start w:val="1"/>
      <w:numFmt w:val="decimal"/>
      <w:lvlText w:val="%4."/>
      <w:lvlJc w:val="left"/>
      <w:pPr>
        <w:ind w:left="2937" w:hanging="360"/>
      </w:pPr>
    </w:lvl>
    <w:lvl w:ilvl="4" w:tplc="04270019" w:tentative="1">
      <w:start w:val="1"/>
      <w:numFmt w:val="lowerLetter"/>
      <w:lvlText w:val="%5."/>
      <w:lvlJc w:val="left"/>
      <w:pPr>
        <w:ind w:left="3657" w:hanging="360"/>
      </w:pPr>
    </w:lvl>
    <w:lvl w:ilvl="5" w:tplc="0427001B" w:tentative="1">
      <w:start w:val="1"/>
      <w:numFmt w:val="lowerRoman"/>
      <w:lvlText w:val="%6."/>
      <w:lvlJc w:val="right"/>
      <w:pPr>
        <w:ind w:left="4377" w:hanging="180"/>
      </w:pPr>
    </w:lvl>
    <w:lvl w:ilvl="6" w:tplc="0427000F" w:tentative="1">
      <w:start w:val="1"/>
      <w:numFmt w:val="decimal"/>
      <w:lvlText w:val="%7."/>
      <w:lvlJc w:val="left"/>
      <w:pPr>
        <w:ind w:left="5097" w:hanging="360"/>
      </w:pPr>
    </w:lvl>
    <w:lvl w:ilvl="7" w:tplc="04270019" w:tentative="1">
      <w:start w:val="1"/>
      <w:numFmt w:val="lowerLetter"/>
      <w:lvlText w:val="%8."/>
      <w:lvlJc w:val="left"/>
      <w:pPr>
        <w:ind w:left="5817" w:hanging="360"/>
      </w:pPr>
    </w:lvl>
    <w:lvl w:ilvl="8" w:tplc="0427001B" w:tentative="1">
      <w:start w:val="1"/>
      <w:numFmt w:val="lowerRoman"/>
      <w:lvlText w:val="%9."/>
      <w:lvlJc w:val="right"/>
      <w:pPr>
        <w:ind w:left="6537" w:hanging="180"/>
      </w:pPr>
    </w:lvl>
  </w:abstractNum>
  <w:abstractNum w:abstractNumId="24" w15:restartNumberingAfterBreak="0">
    <w:nsid w:val="6E6F72D8"/>
    <w:multiLevelType w:val="hybridMultilevel"/>
    <w:tmpl w:val="1CA0766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5" w15:restartNumberingAfterBreak="0">
    <w:nsid w:val="77362B06"/>
    <w:multiLevelType w:val="hybridMultilevel"/>
    <w:tmpl w:val="90BC19E0"/>
    <w:lvl w:ilvl="0" w:tplc="04260001">
      <w:start w:val="1"/>
      <w:numFmt w:val="bullet"/>
      <w:lvlText w:val=""/>
      <w:lvlJc w:val="left"/>
      <w:pPr>
        <w:ind w:left="720" w:hanging="360"/>
      </w:pPr>
      <w:rPr>
        <w:rFonts w:ascii="Symbol" w:hAnsi="Symbol" w:hint="default"/>
        <w:color w:val="auto"/>
        <w:sz w:val="18"/>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23"/>
  </w:num>
  <w:num w:numId="4">
    <w:abstractNumId w:val="24"/>
  </w:num>
  <w:num w:numId="5">
    <w:abstractNumId w:val="1"/>
  </w:num>
  <w:num w:numId="6">
    <w:abstractNumId w:val="7"/>
  </w:num>
  <w:num w:numId="7">
    <w:abstractNumId w:val="4"/>
  </w:num>
  <w:num w:numId="8">
    <w:abstractNumId w:val="13"/>
  </w:num>
  <w:num w:numId="9">
    <w:abstractNumId w:val="9"/>
  </w:num>
  <w:num w:numId="10">
    <w:abstractNumId w:val="18"/>
  </w:num>
  <w:num w:numId="11">
    <w:abstractNumId w:val="12"/>
  </w:num>
  <w:num w:numId="12">
    <w:abstractNumId w:val="22"/>
  </w:num>
  <w:num w:numId="13">
    <w:abstractNumId w:val="0"/>
  </w:num>
  <w:num w:numId="14">
    <w:abstractNumId w:val="7"/>
  </w:num>
  <w:num w:numId="15">
    <w:abstractNumId w:val="14"/>
  </w:num>
  <w:num w:numId="16">
    <w:abstractNumId w:val="25"/>
  </w:num>
  <w:num w:numId="17">
    <w:abstractNumId w:val="11"/>
  </w:num>
  <w:num w:numId="18">
    <w:abstractNumId w:val="6"/>
  </w:num>
  <w:num w:numId="19">
    <w:abstractNumId w:val="8"/>
  </w:num>
  <w:num w:numId="20">
    <w:abstractNumId w:val="3"/>
  </w:num>
  <w:num w:numId="21">
    <w:abstractNumId w:val="5"/>
  </w:num>
  <w:num w:numId="22">
    <w:abstractNumId w:val="21"/>
  </w:num>
  <w:num w:numId="23">
    <w:abstractNumId w:val="16"/>
  </w:num>
  <w:num w:numId="24">
    <w:abstractNumId w:val="17"/>
  </w:num>
  <w:num w:numId="25">
    <w:abstractNumId w:val="19"/>
  </w:num>
  <w:num w:numId="26">
    <w:abstractNumId w:val="2"/>
  </w:num>
  <w:num w:numId="27">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584"/>
    <w:rsid w:val="000012F6"/>
    <w:rsid w:val="000016C1"/>
    <w:rsid w:val="000022E6"/>
    <w:rsid w:val="000028F0"/>
    <w:rsid w:val="00002AB1"/>
    <w:rsid w:val="000030B4"/>
    <w:rsid w:val="000036A8"/>
    <w:rsid w:val="00003BFB"/>
    <w:rsid w:val="00003E52"/>
    <w:rsid w:val="0000466E"/>
    <w:rsid w:val="000049A9"/>
    <w:rsid w:val="00005CBF"/>
    <w:rsid w:val="0000777E"/>
    <w:rsid w:val="00011A1E"/>
    <w:rsid w:val="0001294E"/>
    <w:rsid w:val="00013B06"/>
    <w:rsid w:val="00015173"/>
    <w:rsid w:val="0001576B"/>
    <w:rsid w:val="00017003"/>
    <w:rsid w:val="00020BB4"/>
    <w:rsid w:val="000219B6"/>
    <w:rsid w:val="00022471"/>
    <w:rsid w:val="00022911"/>
    <w:rsid w:val="00022FE8"/>
    <w:rsid w:val="00024856"/>
    <w:rsid w:val="00024F46"/>
    <w:rsid w:val="00027FE2"/>
    <w:rsid w:val="000301C1"/>
    <w:rsid w:val="000306DE"/>
    <w:rsid w:val="000320E2"/>
    <w:rsid w:val="00032215"/>
    <w:rsid w:val="0003244E"/>
    <w:rsid w:val="00034B78"/>
    <w:rsid w:val="00034BBC"/>
    <w:rsid w:val="00034E0F"/>
    <w:rsid w:val="000368BB"/>
    <w:rsid w:val="000369CD"/>
    <w:rsid w:val="0003702D"/>
    <w:rsid w:val="000372A5"/>
    <w:rsid w:val="00037678"/>
    <w:rsid w:val="00037E12"/>
    <w:rsid w:val="00040A2B"/>
    <w:rsid w:val="00041817"/>
    <w:rsid w:val="000420A7"/>
    <w:rsid w:val="00042688"/>
    <w:rsid w:val="00042C56"/>
    <w:rsid w:val="0004387E"/>
    <w:rsid w:val="000439E0"/>
    <w:rsid w:val="00043ED4"/>
    <w:rsid w:val="00044355"/>
    <w:rsid w:val="00044F88"/>
    <w:rsid w:val="000454C8"/>
    <w:rsid w:val="00045E7F"/>
    <w:rsid w:val="00046402"/>
    <w:rsid w:val="000473D6"/>
    <w:rsid w:val="00047F8D"/>
    <w:rsid w:val="00051333"/>
    <w:rsid w:val="00051412"/>
    <w:rsid w:val="00052395"/>
    <w:rsid w:val="00052521"/>
    <w:rsid w:val="00052C77"/>
    <w:rsid w:val="000537EB"/>
    <w:rsid w:val="00054CEB"/>
    <w:rsid w:val="00055083"/>
    <w:rsid w:val="000552F1"/>
    <w:rsid w:val="00056B5F"/>
    <w:rsid w:val="00061F87"/>
    <w:rsid w:val="00062399"/>
    <w:rsid w:val="00062793"/>
    <w:rsid w:val="00062B92"/>
    <w:rsid w:val="000631F2"/>
    <w:rsid w:val="00063997"/>
    <w:rsid w:val="000669B9"/>
    <w:rsid w:val="000702FC"/>
    <w:rsid w:val="00070C20"/>
    <w:rsid w:val="00071735"/>
    <w:rsid w:val="0007262E"/>
    <w:rsid w:val="00072763"/>
    <w:rsid w:val="000742B9"/>
    <w:rsid w:val="000744A6"/>
    <w:rsid w:val="00074761"/>
    <w:rsid w:val="00075681"/>
    <w:rsid w:val="000756DC"/>
    <w:rsid w:val="000760E3"/>
    <w:rsid w:val="000760F1"/>
    <w:rsid w:val="00076F66"/>
    <w:rsid w:val="00076FE1"/>
    <w:rsid w:val="000770A9"/>
    <w:rsid w:val="00077BBD"/>
    <w:rsid w:val="00077BE1"/>
    <w:rsid w:val="00080DAA"/>
    <w:rsid w:val="000821C3"/>
    <w:rsid w:val="00083978"/>
    <w:rsid w:val="0008477D"/>
    <w:rsid w:val="00085887"/>
    <w:rsid w:val="00086866"/>
    <w:rsid w:val="0008742A"/>
    <w:rsid w:val="000876FE"/>
    <w:rsid w:val="00091A73"/>
    <w:rsid w:val="0009233D"/>
    <w:rsid w:val="00092846"/>
    <w:rsid w:val="00093AEC"/>
    <w:rsid w:val="00093C87"/>
    <w:rsid w:val="0009499D"/>
    <w:rsid w:val="0009578A"/>
    <w:rsid w:val="00095DF2"/>
    <w:rsid w:val="00097075"/>
    <w:rsid w:val="000978A1"/>
    <w:rsid w:val="00097A32"/>
    <w:rsid w:val="000A08CB"/>
    <w:rsid w:val="000A0F4F"/>
    <w:rsid w:val="000A1FAE"/>
    <w:rsid w:val="000A26FC"/>
    <w:rsid w:val="000A295A"/>
    <w:rsid w:val="000A2C4A"/>
    <w:rsid w:val="000A2E82"/>
    <w:rsid w:val="000A2FB0"/>
    <w:rsid w:val="000A3420"/>
    <w:rsid w:val="000A3F93"/>
    <w:rsid w:val="000A5ECD"/>
    <w:rsid w:val="000A7998"/>
    <w:rsid w:val="000B0176"/>
    <w:rsid w:val="000B19FF"/>
    <w:rsid w:val="000B3EB4"/>
    <w:rsid w:val="000B5B42"/>
    <w:rsid w:val="000B6FAE"/>
    <w:rsid w:val="000C1DCA"/>
    <w:rsid w:val="000C398F"/>
    <w:rsid w:val="000C40D3"/>
    <w:rsid w:val="000C5EFD"/>
    <w:rsid w:val="000C6806"/>
    <w:rsid w:val="000C6F24"/>
    <w:rsid w:val="000C737D"/>
    <w:rsid w:val="000C7851"/>
    <w:rsid w:val="000D02C9"/>
    <w:rsid w:val="000D0415"/>
    <w:rsid w:val="000D0CA5"/>
    <w:rsid w:val="000D20FA"/>
    <w:rsid w:val="000D29CF"/>
    <w:rsid w:val="000D4621"/>
    <w:rsid w:val="000D490E"/>
    <w:rsid w:val="000D5078"/>
    <w:rsid w:val="000D593A"/>
    <w:rsid w:val="000D5C3C"/>
    <w:rsid w:val="000D68D4"/>
    <w:rsid w:val="000D6B18"/>
    <w:rsid w:val="000D6F0B"/>
    <w:rsid w:val="000E1594"/>
    <w:rsid w:val="000E25BF"/>
    <w:rsid w:val="000E38C2"/>
    <w:rsid w:val="000E3D7A"/>
    <w:rsid w:val="000E40E8"/>
    <w:rsid w:val="000E40ED"/>
    <w:rsid w:val="000E42E4"/>
    <w:rsid w:val="000E4698"/>
    <w:rsid w:val="000E53E2"/>
    <w:rsid w:val="000E54FC"/>
    <w:rsid w:val="000E5AA1"/>
    <w:rsid w:val="000E5AEA"/>
    <w:rsid w:val="000E6252"/>
    <w:rsid w:val="000E7308"/>
    <w:rsid w:val="000F02E3"/>
    <w:rsid w:val="000F06BD"/>
    <w:rsid w:val="000F21B9"/>
    <w:rsid w:val="000F2F88"/>
    <w:rsid w:val="000F32B1"/>
    <w:rsid w:val="000F36DE"/>
    <w:rsid w:val="000F37B6"/>
    <w:rsid w:val="000F44C1"/>
    <w:rsid w:val="000F57B0"/>
    <w:rsid w:val="000F602B"/>
    <w:rsid w:val="000F75EF"/>
    <w:rsid w:val="000F7635"/>
    <w:rsid w:val="001007FB"/>
    <w:rsid w:val="00100F57"/>
    <w:rsid w:val="00101D41"/>
    <w:rsid w:val="00102A7E"/>
    <w:rsid w:val="00103961"/>
    <w:rsid w:val="00103A26"/>
    <w:rsid w:val="00104197"/>
    <w:rsid w:val="0011006B"/>
    <w:rsid w:val="00110474"/>
    <w:rsid w:val="00110D00"/>
    <w:rsid w:val="00110F27"/>
    <w:rsid w:val="001134B4"/>
    <w:rsid w:val="00113A30"/>
    <w:rsid w:val="00113FE8"/>
    <w:rsid w:val="001152F6"/>
    <w:rsid w:val="00116CBE"/>
    <w:rsid w:val="001204C8"/>
    <w:rsid w:val="00120675"/>
    <w:rsid w:val="00120D0A"/>
    <w:rsid w:val="001210B0"/>
    <w:rsid w:val="00121AAE"/>
    <w:rsid w:val="00122ED8"/>
    <w:rsid w:val="00123A9F"/>
    <w:rsid w:val="00124C50"/>
    <w:rsid w:val="001267AE"/>
    <w:rsid w:val="001300D9"/>
    <w:rsid w:val="0013042B"/>
    <w:rsid w:val="0013088E"/>
    <w:rsid w:val="00130AFB"/>
    <w:rsid w:val="00131017"/>
    <w:rsid w:val="001313B6"/>
    <w:rsid w:val="0013224D"/>
    <w:rsid w:val="00132B0E"/>
    <w:rsid w:val="0013318A"/>
    <w:rsid w:val="00134FAF"/>
    <w:rsid w:val="00135234"/>
    <w:rsid w:val="00135725"/>
    <w:rsid w:val="00140B26"/>
    <w:rsid w:val="00140DBB"/>
    <w:rsid w:val="00140FAA"/>
    <w:rsid w:val="00141333"/>
    <w:rsid w:val="0014185D"/>
    <w:rsid w:val="00141A9B"/>
    <w:rsid w:val="00142F36"/>
    <w:rsid w:val="001436E1"/>
    <w:rsid w:val="00143C77"/>
    <w:rsid w:val="00144816"/>
    <w:rsid w:val="0014497B"/>
    <w:rsid w:val="00145052"/>
    <w:rsid w:val="001512C2"/>
    <w:rsid w:val="00151389"/>
    <w:rsid w:val="0015247A"/>
    <w:rsid w:val="00154217"/>
    <w:rsid w:val="00155737"/>
    <w:rsid w:val="00155A78"/>
    <w:rsid w:val="00155AE6"/>
    <w:rsid w:val="00156D21"/>
    <w:rsid w:val="00161DED"/>
    <w:rsid w:val="0016261A"/>
    <w:rsid w:val="0016292A"/>
    <w:rsid w:val="00162D50"/>
    <w:rsid w:val="00164142"/>
    <w:rsid w:val="001643A8"/>
    <w:rsid w:val="00164BF5"/>
    <w:rsid w:val="00164E98"/>
    <w:rsid w:val="00165A59"/>
    <w:rsid w:val="00167235"/>
    <w:rsid w:val="00170A66"/>
    <w:rsid w:val="00170C4B"/>
    <w:rsid w:val="001727D5"/>
    <w:rsid w:val="001731F4"/>
    <w:rsid w:val="0017506B"/>
    <w:rsid w:val="00176A96"/>
    <w:rsid w:val="001770D8"/>
    <w:rsid w:val="00177478"/>
    <w:rsid w:val="0018137D"/>
    <w:rsid w:val="00181698"/>
    <w:rsid w:val="0018175F"/>
    <w:rsid w:val="001822C3"/>
    <w:rsid w:val="00183C04"/>
    <w:rsid w:val="001840A1"/>
    <w:rsid w:val="00185C7B"/>
    <w:rsid w:val="00187C51"/>
    <w:rsid w:val="001901A4"/>
    <w:rsid w:val="00190340"/>
    <w:rsid w:val="00192525"/>
    <w:rsid w:val="00192D12"/>
    <w:rsid w:val="00195369"/>
    <w:rsid w:val="00197367"/>
    <w:rsid w:val="001A0ADF"/>
    <w:rsid w:val="001A0E0E"/>
    <w:rsid w:val="001A176D"/>
    <w:rsid w:val="001A283D"/>
    <w:rsid w:val="001A2923"/>
    <w:rsid w:val="001A3BB3"/>
    <w:rsid w:val="001A4010"/>
    <w:rsid w:val="001A57F6"/>
    <w:rsid w:val="001A5960"/>
    <w:rsid w:val="001A5DBF"/>
    <w:rsid w:val="001A5E76"/>
    <w:rsid w:val="001B0863"/>
    <w:rsid w:val="001B0EA7"/>
    <w:rsid w:val="001B1168"/>
    <w:rsid w:val="001B176D"/>
    <w:rsid w:val="001B2F1F"/>
    <w:rsid w:val="001B39AE"/>
    <w:rsid w:val="001B5D29"/>
    <w:rsid w:val="001B6637"/>
    <w:rsid w:val="001B69E7"/>
    <w:rsid w:val="001B6EB8"/>
    <w:rsid w:val="001B73AD"/>
    <w:rsid w:val="001C04CA"/>
    <w:rsid w:val="001C2FEC"/>
    <w:rsid w:val="001C4638"/>
    <w:rsid w:val="001C4F6A"/>
    <w:rsid w:val="001C509F"/>
    <w:rsid w:val="001D0A52"/>
    <w:rsid w:val="001D0AC7"/>
    <w:rsid w:val="001D1373"/>
    <w:rsid w:val="001D1CE1"/>
    <w:rsid w:val="001D3BC1"/>
    <w:rsid w:val="001D3CDA"/>
    <w:rsid w:val="001D5F7A"/>
    <w:rsid w:val="001D6556"/>
    <w:rsid w:val="001D74FC"/>
    <w:rsid w:val="001D784B"/>
    <w:rsid w:val="001D7B7A"/>
    <w:rsid w:val="001D7CD4"/>
    <w:rsid w:val="001E01F7"/>
    <w:rsid w:val="001E0BDF"/>
    <w:rsid w:val="001E109D"/>
    <w:rsid w:val="001E1803"/>
    <w:rsid w:val="001E1D71"/>
    <w:rsid w:val="001E2672"/>
    <w:rsid w:val="001E281A"/>
    <w:rsid w:val="001E2990"/>
    <w:rsid w:val="001E3C9A"/>
    <w:rsid w:val="001E603C"/>
    <w:rsid w:val="001E7461"/>
    <w:rsid w:val="001E7EC4"/>
    <w:rsid w:val="001F0613"/>
    <w:rsid w:val="001F1179"/>
    <w:rsid w:val="001F1335"/>
    <w:rsid w:val="001F17F0"/>
    <w:rsid w:val="001F3BB1"/>
    <w:rsid w:val="001F6F0D"/>
    <w:rsid w:val="00200880"/>
    <w:rsid w:val="00200EA4"/>
    <w:rsid w:val="00201F8F"/>
    <w:rsid w:val="0020214E"/>
    <w:rsid w:val="00203A6D"/>
    <w:rsid w:val="00203C6D"/>
    <w:rsid w:val="00203E3B"/>
    <w:rsid w:val="002040CF"/>
    <w:rsid w:val="0020539B"/>
    <w:rsid w:val="00210544"/>
    <w:rsid w:val="002105B2"/>
    <w:rsid w:val="00210884"/>
    <w:rsid w:val="0021341C"/>
    <w:rsid w:val="00213E00"/>
    <w:rsid w:val="00214342"/>
    <w:rsid w:val="002146CC"/>
    <w:rsid w:val="00215AB0"/>
    <w:rsid w:val="00215E0A"/>
    <w:rsid w:val="00217B23"/>
    <w:rsid w:val="00217DB5"/>
    <w:rsid w:val="002201B6"/>
    <w:rsid w:val="00221252"/>
    <w:rsid w:val="00223811"/>
    <w:rsid w:val="002238A5"/>
    <w:rsid w:val="00224074"/>
    <w:rsid w:val="00224E24"/>
    <w:rsid w:val="002252F0"/>
    <w:rsid w:val="00226558"/>
    <w:rsid w:val="00226AD6"/>
    <w:rsid w:val="00226AF5"/>
    <w:rsid w:val="00230000"/>
    <w:rsid w:val="00230D80"/>
    <w:rsid w:val="002337BF"/>
    <w:rsid w:val="00234EDE"/>
    <w:rsid w:val="0023527B"/>
    <w:rsid w:val="00237B3A"/>
    <w:rsid w:val="00241365"/>
    <w:rsid w:val="002417D2"/>
    <w:rsid w:val="00241A8A"/>
    <w:rsid w:val="00243995"/>
    <w:rsid w:val="002446D6"/>
    <w:rsid w:val="00244EA6"/>
    <w:rsid w:val="0024590E"/>
    <w:rsid w:val="00245AD2"/>
    <w:rsid w:val="00246232"/>
    <w:rsid w:val="00246CF9"/>
    <w:rsid w:val="00246F58"/>
    <w:rsid w:val="0025101E"/>
    <w:rsid w:val="002513A5"/>
    <w:rsid w:val="002518B1"/>
    <w:rsid w:val="002526B0"/>
    <w:rsid w:val="00252FD8"/>
    <w:rsid w:val="00256956"/>
    <w:rsid w:val="00257D96"/>
    <w:rsid w:val="00257FB6"/>
    <w:rsid w:val="002600AA"/>
    <w:rsid w:val="002607F9"/>
    <w:rsid w:val="0026349F"/>
    <w:rsid w:val="002639B0"/>
    <w:rsid w:val="00264C23"/>
    <w:rsid w:val="00265EE2"/>
    <w:rsid w:val="002669EC"/>
    <w:rsid w:val="002675D8"/>
    <w:rsid w:val="00267C90"/>
    <w:rsid w:val="00270851"/>
    <w:rsid w:val="0027090D"/>
    <w:rsid w:val="00270BFF"/>
    <w:rsid w:val="00270E0A"/>
    <w:rsid w:val="002710DF"/>
    <w:rsid w:val="00274A70"/>
    <w:rsid w:val="002752CF"/>
    <w:rsid w:val="0027566A"/>
    <w:rsid w:val="00275790"/>
    <w:rsid w:val="00277853"/>
    <w:rsid w:val="002778B9"/>
    <w:rsid w:val="00280678"/>
    <w:rsid w:val="00282019"/>
    <w:rsid w:val="0028236B"/>
    <w:rsid w:val="002829C0"/>
    <w:rsid w:val="002829FA"/>
    <w:rsid w:val="00283EA3"/>
    <w:rsid w:val="00284719"/>
    <w:rsid w:val="00284BEF"/>
    <w:rsid w:val="002857DE"/>
    <w:rsid w:val="00285D98"/>
    <w:rsid w:val="0028695F"/>
    <w:rsid w:val="00286F99"/>
    <w:rsid w:val="002870B0"/>
    <w:rsid w:val="00291D7A"/>
    <w:rsid w:val="00292255"/>
    <w:rsid w:val="002922BA"/>
    <w:rsid w:val="0029257A"/>
    <w:rsid w:val="00292964"/>
    <w:rsid w:val="002941A3"/>
    <w:rsid w:val="00294A58"/>
    <w:rsid w:val="0029687D"/>
    <w:rsid w:val="002A0820"/>
    <w:rsid w:val="002A08B4"/>
    <w:rsid w:val="002A30A7"/>
    <w:rsid w:val="002A33CB"/>
    <w:rsid w:val="002A3D64"/>
    <w:rsid w:val="002A4A8B"/>
    <w:rsid w:val="002A544F"/>
    <w:rsid w:val="002A764D"/>
    <w:rsid w:val="002B0009"/>
    <w:rsid w:val="002B0370"/>
    <w:rsid w:val="002B2943"/>
    <w:rsid w:val="002B2B1C"/>
    <w:rsid w:val="002B328E"/>
    <w:rsid w:val="002B37F0"/>
    <w:rsid w:val="002B3B2A"/>
    <w:rsid w:val="002B45FE"/>
    <w:rsid w:val="002B4DDD"/>
    <w:rsid w:val="002B593A"/>
    <w:rsid w:val="002B5BF0"/>
    <w:rsid w:val="002C0CC8"/>
    <w:rsid w:val="002C1462"/>
    <w:rsid w:val="002C1B05"/>
    <w:rsid w:val="002C32B5"/>
    <w:rsid w:val="002C367E"/>
    <w:rsid w:val="002C3FBD"/>
    <w:rsid w:val="002C4969"/>
    <w:rsid w:val="002C4A17"/>
    <w:rsid w:val="002C4A88"/>
    <w:rsid w:val="002C5C18"/>
    <w:rsid w:val="002C68D4"/>
    <w:rsid w:val="002C705B"/>
    <w:rsid w:val="002C7DF6"/>
    <w:rsid w:val="002C7FC3"/>
    <w:rsid w:val="002D0EFE"/>
    <w:rsid w:val="002D1244"/>
    <w:rsid w:val="002D163D"/>
    <w:rsid w:val="002D1C0C"/>
    <w:rsid w:val="002D1C42"/>
    <w:rsid w:val="002D3EA0"/>
    <w:rsid w:val="002D41A4"/>
    <w:rsid w:val="002D51B8"/>
    <w:rsid w:val="002D6044"/>
    <w:rsid w:val="002D6905"/>
    <w:rsid w:val="002D69CE"/>
    <w:rsid w:val="002D6EE8"/>
    <w:rsid w:val="002D767B"/>
    <w:rsid w:val="002D7948"/>
    <w:rsid w:val="002D7AEF"/>
    <w:rsid w:val="002D7C4D"/>
    <w:rsid w:val="002E0730"/>
    <w:rsid w:val="002E07E2"/>
    <w:rsid w:val="002E0E4B"/>
    <w:rsid w:val="002E124C"/>
    <w:rsid w:val="002E184F"/>
    <w:rsid w:val="002E7E79"/>
    <w:rsid w:val="002F0614"/>
    <w:rsid w:val="002F154E"/>
    <w:rsid w:val="002F177C"/>
    <w:rsid w:val="002F1927"/>
    <w:rsid w:val="002F204E"/>
    <w:rsid w:val="002F24B5"/>
    <w:rsid w:val="002F326C"/>
    <w:rsid w:val="002F37E0"/>
    <w:rsid w:val="002F479D"/>
    <w:rsid w:val="002F5C35"/>
    <w:rsid w:val="002F6D45"/>
    <w:rsid w:val="002F70B8"/>
    <w:rsid w:val="00300D68"/>
    <w:rsid w:val="003018DD"/>
    <w:rsid w:val="00302532"/>
    <w:rsid w:val="00303A6B"/>
    <w:rsid w:val="00303C32"/>
    <w:rsid w:val="00304AD8"/>
    <w:rsid w:val="00304AE2"/>
    <w:rsid w:val="00304FC0"/>
    <w:rsid w:val="00305164"/>
    <w:rsid w:val="003063FC"/>
    <w:rsid w:val="00306D5A"/>
    <w:rsid w:val="00306D6E"/>
    <w:rsid w:val="003103DF"/>
    <w:rsid w:val="00310703"/>
    <w:rsid w:val="00310FB7"/>
    <w:rsid w:val="00312927"/>
    <w:rsid w:val="0031358C"/>
    <w:rsid w:val="00314654"/>
    <w:rsid w:val="00314FBE"/>
    <w:rsid w:val="0031589B"/>
    <w:rsid w:val="0031618D"/>
    <w:rsid w:val="00316C23"/>
    <w:rsid w:val="00317208"/>
    <w:rsid w:val="00317B39"/>
    <w:rsid w:val="0032026D"/>
    <w:rsid w:val="00320ABA"/>
    <w:rsid w:val="00320ADE"/>
    <w:rsid w:val="00321118"/>
    <w:rsid w:val="003214B6"/>
    <w:rsid w:val="00321FB3"/>
    <w:rsid w:val="00322CA7"/>
    <w:rsid w:val="00324558"/>
    <w:rsid w:val="003262A0"/>
    <w:rsid w:val="00327BE7"/>
    <w:rsid w:val="00327C0A"/>
    <w:rsid w:val="00327C34"/>
    <w:rsid w:val="00331305"/>
    <w:rsid w:val="00332064"/>
    <w:rsid w:val="003322C9"/>
    <w:rsid w:val="00332F21"/>
    <w:rsid w:val="00333344"/>
    <w:rsid w:val="00333A4A"/>
    <w:rsid w:val="0033554F"/>
    <w:rsid w:val="00335A93"/>
    <w:rsid w:val="00335DC5"/>
    <w:rsid w:val="00335FA9"/>
    <w:rsid w:val="0033608E"/>
    <w:rsid w:val="003375C8"/>
    <w:rsid w:val="00342BEC"/>
    <w:rsid w:val="00342D9F"/>
    <w:rsid w:val="003435D6"/>
    <w:rsid w:val="00343A93"/>
    <w:rsid w:val="003461A4"/>
    <w:rsid w:val="0034698B"/>
    <w:rsid w:val="00346E1D"/>
    <w:rsid w:val="00350A9E"/>
    <w:rsid w:val="00350D62"/>
    <w:rsid w:val="00351B62"/>
    <w:rsid w:val="00352E1B"/>
    <w:rsid w:val="00355110"/>
    <w:rsid w:val="00355D23"/>
    <w:rsid w:val="00356854"/>
    <w:rsid w:val="00356C91"/>
    <w:rsid w:val="00361DB8"/>
    <w:rsid w:val="00361DEF"/>
    <w:rsid w:val="003626AD"/>
    <w:rsid w:val="003627B2"/>
    <w:rsid w:val="003637B0"/>
    <w:rsid w:val="00363EC6"/>
    <w:rsid w:val="00365109"/>
    <w:rsid w:val="003664ED"/>
    <w:rsid w:val="0036667C"/>
    <w:rsid w:val="003677B2"/>
    <w:rsid w:val="0036790C"/>
    <w:rsid w:val="00370BF2"/>
    <w:rsid w:val="0037103C"/>
    <w:rsid w:val="003715FE"/>
    <w:rsid w:val="00371DDC"/>
    <w:rsid w:val="00374470"/>
    <w:rsid w:val="00374B39"/>
    <w:rsid w:val="00375952"/>
    <w:rsid w:val="00375A88"/>
    <w:rsid w:val="00376DBA"/>
    <w:rsid w:val="00377545"/>
    <w:rsid w:val="003812B1"/>
    <w:rsid w:val="00382BEC"/>
    <w:rsid w:val="00382DE4"/>
    <w:rsid w:val="00383C5E"/>
    <w:rsid w:val="00383FB7"/>
    <w:rsid w:val="00384056"/>
    <w:rsid w:val="0038441A"/>
    <w:rsid w:val="0038490D"/>
    <w:rsid w:val="00387505"/>
    <w:rsid w:val="003877C4"/>
    <w:rsid w:val="00390267"/>
    <w:rsid w:val="00391915"/>
    <w:rsid w:val="0039584B"/>
    <w:rsid w:val="00397DC6"/>
    <w:rsid w:val="00397EC2"/>
    <w:rsid w:val="003A21CD"/>
    <w:rsid w:val="003A297A"/>
    <w:rsid w:val="003A4C3C"/>
    <w:rsid w:val="003A4F9E"/>
    <w:rsid w:val="003A52A3"/>
    <w:rsid w:val="003B0627"/>
    <w:rsid w:val="003B092F"/>
    <w:rsid w:val="003B0FDC"/>
    <w:rsid w:val="003B1256"/>
    <w:rsid w:val="003B23B3"/>
    <w:rsid w:val="003B2E20"/>
    <w:rsid w:val="003B32C6"/>
    <w:rsid w:val="003B36F4"/>
    <w:rsid w:val="003B510D"/>
    <w:rsid w:val="003B5A6D"/>
    <w:rsid w:val="003B6561"/>
    <w:rsid w:val="003B6DD5"/>
    <w:rsid w:val="003B7E6B"/>
    <w:rsid w:val="003B7F21"/>
    <w:rsid w:val="003C02BA"/>
    <w:rsid w:val="003C0915"/>
    <w:rsid w:val="003C0F0D"/>
    <w:rsid w:val="003C1AD3"/>
    <w:rsid w:val="003C22E9"/>
    <w:rsid w:val="003C4286"/>
    <w:rsid w:val="003C49E8"/>
    <w:rsid w:val="003C5397"/>
    <w:rsid w:val="003C5A38"/>
    <w:rsid w:val="003C655E"/>
    <w:rsid w:val="003D110B"/>
    <w:rsid w:val="003D1ECB"/>
    <w:rsid w:val="003D349C"/>
    <w:rsid w:val="003D42D0"/>
    <w:rsid w:val="003D593C"/>
    <w:rsid w:val="003D64B2"/>
    <w:rsid w:val="003D69A3"/>
    <w:rsid w:val="003D7864"/>
    <w:rsid w:val="003D7BA7"/>
    <w:rsid w:val="003E0A13"/>
    <w:rsid w:val="003E0BBF"/>
    <w:rsid w:val="003E0C3F"/>
    <w:rsid w:val="003E2237"/>
    <w:rsid w:val="003E5DCD"/>
    <w:rsid w:val="003E6020"/>
    <w:rsid w:val="003E67CF"/>
    <w:rsid w:val="003E68BB"/>
    <w:rsid w:val="003E6B6B"/>
    <w:rsid w:val="003E6EED"/>
    <w:rsid w:val="003E74E8"/>
    <w:rsid w:val="003E7B62"/>
    <w:rsid w:val="003E7D1A"/>
    <w:rsid w:val="003F0509"/>
    <w:rsid w:val="003F0A61"/>
    <w:rsid w:val="003F15BE"/>
    <w:rsid w:val="003F15EA"/>
    <w:rsid w:val="003F1EF2"/>
    <w:rsid w:val="003F2059"/>
    <w:rsid w:val="003F2F0B"/>
    <w:rsid w:val="003F3922"/>
    <w:rsid w:val="003F5FA1"/>
    <w:rsid w:val="003F6E90"/>
    <w:rsid w:val="003F799E"/>
    <w:rsid w:val="00400823"/>
    <w:rsid w:val="00401B04"/>
    <w:rsid w:val="00401BE5"/>
    <w:rsid w:val="00401CF4"/>
    <w:rsid w:val="004030A1"/>
    <w:rsid w:val="00403B37"/>
    <w:rsid w:val="00403FF2"/>
    <w:rsid w:val="004048DE"/>
    <w:rsid w:val="00407AE9"/>
    <w:rsid w:val="00411BF4"/>
    <w:rsid w:val="00412445"/>
    <w:rsid w:val="004129C6"/>
    <w:rsid w:val="00412EC6"/>
    <w:rsid w:val="00415155"/>
    <w:rsid w:val="00415765"/>
    <w:rsid w:val="00416565"/>
    <w:rsid w:val="00416E1C"/>
    <w:rsid w:val="00421624"/>
    <w:rsid w:val="00422AD4"/>
    <w:rsid w:val="0042319D"/>
    <w:rsid w:val="0042338A"/>
    <w:rsid w:val="00423FBA"/>
    <w:rsid w:val="004240B3"/>
    <w:rsid w:val="004244A0"/>
    <w:rsid w:val="004244ED"/>
    <w:rsid w:val="0042455B"/>
    <w:rsid w:val="00424570"/>
    <w:rsid w:val="00424E11"/>
    <w:rsid w:val="0042582B"/>
    <w:rsid w:val="00426367"/>
    <w:rsid w:val="00427042"/>
    <w:rsid w:val="0043030F"/>
    <w:rsid w:val="00430940"/>
    <w:rsid w:val="00431494"/>
    <w:rsid w:val="00431B11"/>
    <w:rsid w:val="00431CB6"/>
    <w:rsid w:val="00432D52"/>
    <w:rsid w:val="00432F44"/>
    <w:rsid w:val="00433604"/>
    <w:rsid w:val="004339A1"/>
    <w:rsid w:val="0043507F"/>
    <w:rsid w:val="00436555"/>
    <w:rsid w:val="004375A6"/>
    <w:rsid w:val="004375A8"/>
    <w:rsid w:val="00437BE2"/>
    <w:rsid w:val="00440243"/>
    <w:rsid w:val="00440B6F"/>
    <w:rsid w:val="00441010"/>
    <w:rsid w:val="004413FB"/>
    <w:rsid w:val="0044247E"/>
    <w:rsid w:val="004425ED"/>
    <w:rsid w:val="00442CE3"/>
    <w:rsid w:val="004446CE"/>
    <w:rsid w:val="004455FC"/>
    <w:rsid w:val="00445703"/>
    <w:rsid w:val="00445987"/>
    <w:rsid w:val="0045024E"/>
    <w:rsid w:val="0045246B"/>
    <w:rsid w:val="004525F6"/>
    <w:rsid w:val="00452D84"/>
    <w:rsid w:val="00453280"/>
    <w:rsid w:val="00453A9A"/>
    <w:rsid w:val="00454043"/>
    <w:rsid w:val="00454115"/>
    <w:rsid w:val="004547CB"/>
    <w:rsid w:val="0045547E"/>
    <w:rsid w:val="00461058"/>
    <w:rsid w:val="004615BC"/>
    <w:rsid w:val="00461989"/>
    <w:rsid w:val="00461FCE"/>
    <w:rsid w:val="0046244E"/>
    <w:rsid w:val="004625FC"/>
    <w:rsid w:val="004628DA"/>
    <w:rsid w:val="00462A02"/>
    <w:rsid w:val="00462DA1"/>
    <w:rsid w:val="00464459"/>
    <w:rsid w:val="00465C34"/>
    <w:rsid w:val="0046636A"/>
    <w:rsid w:val="004666BE"/>
    <w:rsid w:val="004668E4"/>
    <w:rsid w:val="00466998"/>
    <w:rsid w:val="004672A1"/>
    <w:rsid w:val="00467985"/>
    <w:rsid w:val="00467CDB"/>
    <w:rsid w:val="00470A36"/>
    <w:rsid w:val="00471EC0"/>
    <w:rsid w:val="00472063"/>
    <w:rsid w:val="004721E6"/>
    <w:rsid w:val="0047221A"/>
    <w:rsid w:val="00472FDF"/>
    <w:rsid w:val="00473D69"/>
    <w:rsid w:val="004742E2"/>
    <w:rsid w:val="004747B9"/>
    <w:rsid w:val="00475A25"/>
    <w:rsid w:val="00477D17"/>
    <w:rsid w:val="004809C6"/>
    <w:rsid w:val="004820AE"/>
    <w:rsid w:val="004822DF"/>
    <w:rsid w:val="00482562"/>
    <w:rsid w:val="0048294B"/>
    <w:rsid w:val="004858B1"/>
    <w:rsid w:val="00485B5B"/>
    <w:rsid w:val="004865DB"/>
    <w:rsid w:val="00486B79"/>
    <w:rsid w:val="00487815"/>
    <w:rsid w:val="00487988"/>
    <w:rsid w:val="00487B8A"/>
    <w:rsid w:val="00487E83"/>
    <w:rsid w:val="00487E8E"/>
    <w:rsid w:val="0049517C"/>
    <w:rsid w:val="00495B16"/>
    <w:rsid w:val="004960A1"/>
    <w:rsid w:val="00497C1A"/>
    <w:rsid w:val="004A0057"/>
    <w:rsid w:val="004A03A7"/>
    <w:rsid w:val="004A10F4"/>
    <w:rsid w:val="004A1D62"/>
    <w:rsid w:val="004A2567"/>
    <w:rsid w:val="004A2A4E"/>
    <w:rsid w:val="004A3FEA"/>
    <w:rsid w:val="004A52A6"/>
    <w:rsid w:val="004A774E"/>
    <w:rsid w:val="004B20B6"/>
    <w:rsid w:val="004B2307"/>
    <w:rsid w:val="004B2617"/>
    <w:rsid w:val="004B2C30"/>
    <w:rsid w:val="004B2C5C"/>
    <w:rsid w:val="004B3495"/>
    <w:rsid w:val="004B3BD0"/>
    <w:rsid w:val="004B3F4A"/>
    <w:rsid w:val="004B5FD2"/>
    <w:rsid w:val="004B622E"/>
    <w:rsid w:val="004B6716"/>
    <w:rsid w:val="004B6A74"/>
    <w:rsid w:val="004C0747"/>
    <w:rsid w:val="004C2180"/>
    <w:rsid w:val="004C2DF5"/>
    <w:rsid w:val="004C3438"/>
    <w:rsid w:val="004C3AB5"/>
    <w:rsid w:val="004C481D"/>
    <w:rsid w:val="004C4904"/>
    <w:rsid w:val="004C5B84"/>
    <w:rsid w:val="004C6255"/>
    <w:rsid w:val="004C6305"/>
    <w:rsid w:val="004C67D9"/>
    <w:rsid w:val="004C699E"/>
    <w:rsid w:val="004C6F42"/>
    <w:rsid w:val="004D0040"/>
    <w:rsid w:val="004D357D"/>
    <w:rsid w:val="004D35B2"/>
    <w:rsid w:val="004D37C9"/>
    <w:rsid w:val="004D58E1"/>
    <w:rsid w:val="004D5A28"/>
    <w:rsid w:val="004D5BA9"/>
    <w:rsid w:val="004D5DA0"/>
    <w:rsid w:val="004E2126"/>
    <w:rsid w:val="004E221E"/>
    <w:rsid w:val="004E3778"/>
    <w:rsid w:val="004E6E57"/>
    <w:rsid w:val="004F0472"/>
    <w:rsid w:val="004F12AD"/>
    <w:rsid w:val="004F35D0"/>
    <w:rsid w:val="004F3B6B"/>
    <w:rsid w:val="004F40F8"/>
    <w:rsid w:val="004F7AF4"/>
    <w:rsid w:val="004F7FBC"/>
    <w:rsid w:val="00500115"/>
    <w:rsid w:val="00501299"/>
    <w:rsid w:val="00501649"/>
    <w:rsid w:val="005028B1"/>
    <w:rsid w:val="00505B07"/>
    <w:rsid w:val="0050783F"/>
    <w:rsid w:val="00507ADA"/>
    <w:rsid w:val="005113FC"/>
    <w:rsid w:val="00511FAB"/>
    <w:rsid w:val="00512DC1"/>
    <w:rsid w:val="005138AF"/>
    <w:rsid w:val="0051445E"/>
    <w:rsid w:val="00515A8B"/>
    <w:rsid w:val="00515B00"/>
    <w:rsid w:val="005160CA"/>
    <w:rsid w:val="0051629C"/>
    <w:rsid w:val="00516369"/>
    <w:rsid w:val="0051795E"/>
    <w:rsid w:val="00517AA7"/>
    <w:rsid w:val="005205D9"/>
    <w:rsid w:val="00520CFF"/>
    <w:rsid w:val="00520E35"/>
    <w:rsid w:val="00521540"/>
    <w:rsid w:val="005225B1"/>
    <w:rsid w:val="0052520B"/>
    <w:rsid w:val="0052617B"/>
    <w:rsid w:val="0052636F"/>
    <w:rsid w:val="005264BA"/>
    <w:rsid w:val="00526750"/>
    <w:rsid w:val="0052753A"/>
    <w:rsid w:val="005303E1"/>
    <w:rsid w:val="00531CAD"/>
    <w:rsid w:val="00532EC5"/>
    <w:rsid w:val="00533499"/>
    <w:rsid w:val="00533BF4"/>
    <w:rsid w:val="005358E3"/>
    <w:rsid w:val="0053626C"/>
    <w:rsid w:val="00537055"/>
    <w:rsid w:val="0053759A"/>
    <w:rsid w:val="00540C6C"/>
    <w:rsid w:val="0054118F"/>
    <w:rsid w:val="005419B4"/>
    <w:rsid w:val="005443BE"/>
    <w:rsid w:val="005454B2"/>
    <w:rsid w:val="005454EE"/>
    <w:rsid w:val="00545CCA"/>
    <w:rsid w:val="0054623D"/>
    <w:rsid w:val="0054739F"/>
    <w:rsid w:val="005478EB"/>
    <w:rsid w:val="00552CD6"/>
    <w:rsid w:val="0055315E"/>
    <w:rsid w:val="00553C8C"/>
    <w:rsid w:val="00553DC2"/>
    <w:rsid w:val="00555BC7"/>
    <w:rsid w:val="00555C18"/>
    <w:rsid w:val="00555CB9"/>
    <w:rsid w:val="0055713F"/>
    <w:rsid w:val="00562419"/>
    <w:rsid w:val="00562523"/>
    <w:rsid w:val="00563BAA"/>
    <w:rsid w:val="005642FC"/>
    <w:rsid w:val="0056562E"/>
    <w:rsid w:val="00565A63"/>
    <w:rsid w:val="00566445"/>
    <w:rsid w:val="005674F6"/>
    <w:rsid w:val="00570183"/>
    <w:rsid w:val="0057046B"/>
    <w:rsid w:val="005705BC"/>
    <w:rsid w:val="00570820"/>
    <w:rsid w:val="00572D71"/>
    <w:rsid w:val="00573BE4"/>
    <w:rsid w:val="005751F1"/>
    <w:rsid w:val="00575CDF"/>
    <w:rsid w:val="005760FA"/>
    <w:rsid w:val="00576922"/>
    <w:rsid w:val="00576A11"/>
    <w:rsid w:val="00576A97"/>
    <w:rsid w:val="00576B16"/>
    <w:rsid w:val="0057724E"/>
    <w:rsid w:val="00577B22"/>
    <w:rsid w:val="00577C05"/>
    <w:rsid w:val="00582672"/>
    <w:rsid w:val="0058345E"/>
    <w:rsid w:val="005837CA"/>
    <w:rsid w:val="00584152"/>
    <w:rsid w:val="0058417B"/>
    <w:rsid w:val="00584C9C"/>
    <w:rsid w:val="0058558F"/>
    <w:rsid w:val="005862FF"/>
    <w:rsid w:val="00586C9D"/>
    <w:rsid w:val="00587C51"/>
    <w:rsid w:val="005908E2"/>
    <w:rsid w:val="005934A6"/>
    <w:rsid w:val="0059388E"/>
    <w:rsid w:val="00593920"/>
    <w:rsid w:val="00594204"/>
    <w:rsid w:val="00594353"/>
    <w:rsid w:val="00594F7E"/>
    <w:rsid w:val="00597393"/>
    <w:rsid w:val="00597E40"/>
    <w:rsid w:val="005A1A2D"/>
    <w:rsid w:val="005A23F5"/>
    <w:rsid w:val="005A3E5C"/>
    <w:rsid w:val="005A3F20"/>
    <w:rsid w:val="005A4753"/>
    <w:rsid w:val="005A4886"/>
    <w:rsid w:val="005A4E0E"/>
    <w:rsid w:val="005A4F2C"/>
    <w:rsid w:val="005A52B6"/>
    <w:rsid w:val="005A5C65"/>
    <w:rsid w:val="005A5E71"/>
    <w:rsid w:val="005A6155"/>
    <w:rsid w:val="005A6A33"/>
    <w:rsid w:val="005A7991"/>
    <w:rsid w:val="005B00F7"/>
    <w:rsid w:val="005B0676"/>
    <w:rsid w:val="005B0CC4"/>
    <w:rsid w:val="005B1872"/>
    <w:rsid w:val="005B1C3A"/>
    <w:rsid w:val="005B2453"/>
    <w:rsid w:val="005B455C"/>
    <w:rsid w:val="005B79EC"/>
    <w:rsid w:val="005C0453"/>
    <w:rsid w:val="005C1A31"/>
    <w:rsid w:val="005C256B"/>
    <w:rsid w:val="005C3A4F"/>
    <w:rsid w:val="005C4AD2"/>
    <w:rsid w:val="005C5A3C"/>
    <w:rsid w:val="005C66AE"/>
    <w:rsid w:val="005C6871"/>
    <w:rsid w:val="005C7182"/>
    <w:rsid w:val="005D0F81"/>
    <w:rsid w:val="005D1727"/>
    <w:rsid w:val="005D3836"/>
    <w:rsid w:val="005D38EA"/>
    <w:rsid w:val="005D4978"/>
    <w:rsid w:val="005D4E5F"/>
    <w:rsid w:val="005D54E2"/>
    <w:rsid w:val="005D5E9C"/>
    <w:rsid w:val="005D645A"/>
    <w:rsid w:val="005D6659"/>
    <w:rsid w:val="005D6715"/>
    <w:rsid w:val="005E025E"/>
    <w:rsid w:val="005E13E5"/>
    <w:rsid w:val="005E1C25"/>
    <w:rsid w:val="005E2D77"/>
    <w:rsid w:val="005E32C4"/>
    <w:rsid w:val="005E330D"/>
    <w:rsid w:val="005E43B6"/>
    <w:rsid w:val="005E56FF"/>
    <w:rsid w:val="005E6F83"/>
    <w:rsid w:val="005E7030"/>
    <w:rsid w:val="005E7BDF"/>
    <w:rsid w:val="005E7CB3"/>
    <w:rsid w:val="005F0A80"/>
    <w:rsid w:val="005F13FA"/>
    <w:rsid w:val="005F210F"/>
    <w:rsid w:val="005F2764"/>
    <w:rsid w:val="005F3064"/>
    <w:rsid w:val="005F43D8"/>
    <w:rsid w:val="005F4E1D"/>
    <w:rsid w:val="005F57EC"/>
    <w:rsid w:val="005F6AB9"/>
    <w:rsid w:val="005F6EE7"/>
    <w:rsid w:val="005F734C"/>
    <w:rsid w:val="00600209"/>
    <w:rsid w:val="006009D7"/>
    <w:rsid w:val="00600D65"/>
    <w:rsid w:val="00601CB7"/>
    <w:rsid w:val="00601D0A"/>
    <w:rsid w:val="006023D0"/>
    <w:rsid w:val="006030C7"/>
    <w:rsid w:val="0060543B"/>
    <w:rsid w:val="006065A1"/>
    <w:rsid w:val="00606A48"/>
    <w:rsid w:val="00606F02"/>
    <w:rsid w:val="006074EE"/>
    <w:rsid w:val="00607AA0"/>
    <w:rsid w:val="00610CB2"/>
    <w:rsid w:val="006112FA"/>
    <w:rsid w:val="00612B49"/>
    <w:rsid w:val="00615CCE"/>
    <w:rsid w:val="00616BC6"/>
    <w:rsid w:val="006170DE"/>
    <w:rsid w:val="00617507"/>
    <w:rsid w:val="00623AE7"/>
    <w:rsid w:val="00624C4A"/>
    <w:rsid w:val="006255A6"/>
    <w:rsid w:val="0062564B"/>
    <w:rsid w:val="006257C7"/>
    <w:rsid w:val="006274AC"/>
    <w:rsid w:val="00630D1A"/>
    <w:rsid w:val="00631045"/>
    <w:rsid w:val="00631DC7"/>
    <w:rsid w:val="00632504"/>
    <w:rsid w:val="006332BF"/>
    <w:rsid w:val="006333C3"/>
    <w:rsid w:val="0063570C"/>
    <w:rsid w:val="006362A1"/>
    <w:rsid w:val="006368EF"/>
    <w:rsid w:val="00636C43"/>
    <w:rsid w:val="0063734A"/>
    <w:rsid w:val="0063777C"/>
    <w:rsid w:val="00640F20"/>
    <w:rsid w:val="006438BA"/>
    <w:rsid w:val="00643C62"/>
    <w:rsid w:val="006442EB"/>
    <w:rsid w:val="0064471F"/>
    <w:rsid w:val="006461AC"/>
    <w:rsid w:val="006469BB"/>
    <w:rsid w:val="00646A1D"/>
    <w:rsid w:val="00646D55"/>
    <w:rsid w:val="006475F6"/>
    <w:rsid w:val="00647B8B"/>
    <w:rsid w:val="00647E44"/>
    <w:rsid w:val="0065066A"/>
    <w:rsid w:val="006508BC"/>
    <w:rsid w:val="00651B6D"/>
    <w:rsid w:val="0065219D"/>
    <w:rsid w:val="00654683"/>
    <w:rsid w:val="006546D9"/>
    <w:rsid w:val="0065533F"/>
    <w:rsid w:val="0065751E"/>
    <w:rsid w:val="00657B3D"/>
    <w:rsid w:val="0066014D"/>
    <w:rsid w:val="00660BBD"/>
    <w:rsid w:val="006616F5"/>
    <w:rsid w:val="00661F2C"/>
    <w:rsid w:val="00662B73"/>
    <w:rsid w:val="0066324A"/>
    <w:rsid w:val="006644FD"/>
    <w:rsid w:val="006652AE"/>
    <w:rsid w:val="0066616E"/>
    <w:rsid w:val="00667827"/>
    <w:rsid w:val="006704AC"/>
    <w:rsid w:val="00670A1E"/>
    <w:rsid w:val="006714D4"/>
    <w:rsid w:val="00672374"/>
    <w:rsid w:val="00672F4B"/>
    <w:rsid w:val="00673244"/>
    <w:rsid w:val="00673C9A"/>
    <w:rsid w:val="006747A6"/>
    <w:rsid w:val="00674CE9"/>
    <w:rsid w:val="0067695A"/>
    <w:rsid w:val="00677DD9"/>
    <w:rsid w:val="00680133"/>
    <w:rsid w:val="00680236"/>
    <w:rsid w:val="006802F9"/>
    <w:rsid w:val="006816EA"/>
    <w:rsid w:val="00681A55"/>
    <w:rsid w:val="00682303"/>
    <w:rsid w:val="00683E4C"/>
    <w:rsid w:val="00684CD3"/>
    <w:rsid w:val="00686C00"/>
    <w:rsid w:val="00686D44"/>
    <w:rsid w:val="00687998"/>
    <w:rsid w:val="00691565"/>
    <w:rsid w:val="006929C0"/>
    <w:rsid w:val="00692E55"/>
    <w:rsid w:val="0069579A"/>
    <w:rsid w:val="006957DE"/>
    <w:rsid w:val="0069615A"/>
    <w:rsid w:val="006973AD"/>
    <w:rsid w:val="00697ACE"/>
    <w:rsid w:val="006A10F7"/>
    <w:rsid w:val="006A127C"/>
    <w:rsid w:val="006A1B09"/>
    <w:rsid w:val="006A4045"/>
    <w:rsid w:val="006A462C"/>
    <w:rsid w:val="006A485E"/>
    <w:rsid w:val="006A5C19"/>
    <w:rsid w:val="006A5E29"/>
    <w:rsid w:val="006A5EC0"/>
    <w:rsid w:val="006B1491"/>
    <w:rsid w:val="006B1B77"/>
    <w:rsid w:val="006B317F"/>
    <w:rsid w:val="006B32F9"/>
    <w:rsid w:val="006B37E4"/>
    <w:rsid w:val="006B48E5"/>
    <w:rsid w:val="006B6286"/>
    <w:rsid w:val="006B6F03"/>
    <w:rsid w:val="006B72E2"/>
    <w:rsid w:val="006B7782"/>
    <w:rsid w:val="006B7B70"/>
    <w:rsid w:val="006B7D1F"/>
    <w:rsid w:val="006B7F1E"/>
    <w:rsid w:val="006C0453"/>
    <w:rsid w:val="006C0C7B"/>
    <w:rsid w:val="006C15DF"/>
    <w:rsid w:val="006C2153"/>
    <w:rsid w:val="006C23B8"/>
    <w:rsid w:val="006C291D"/>
    <w:rsid w:val="006C3199"/>
    <w:rsid w:val="006C45E4"/>
    <w:rsid w:val="006C4AFE"/>
    <w:rsid w:val="006C4F41"/>
    <w:rsid w:val="006C512B"/>
    <w:rsid w:val="006C51C5"/>
    <w:rsid w:val="006C677C"/>
    <w:rsid w:val="006D0094"/>
    <w:rsid w:val="006D00A1"/>
    <w:rsid w:val="006D175B"/>
    <w:rsid w:val="006D249B"/>
    <w:rsid w:val="006D2D31"/>
    <w:rsid w:val="006D3932"/>
    <w:rsid w:val="006D3BD3"/>
    <w:rsid w:val="006D3CD5"/>
    <w:rsid w:val="006D43B2"/>
    <w:rsid w:val="006D48A1"/>
    <w:rsid w:val="006D5EFB"/>
    <w:rsid w:val="006E007C"/>
    <w:rsid w:val="006E0447"/>
    <w:rsid w:val="006E1BDD"/>
    <w:rsid w:val="006E2160"/>
    <w:rsid w:val="006E2A2E"/>
    <w:rsid w:val="006E6D8E"/>
    <w:rsid w:val="006E7C3F"/>
    <w:rsid w:val="006F00FB"/>
    <w:rsid w:val="006F03A4"/>
    <w:rsid w:val="006F0689"/>
    <w:rsid w:val="006F191C"/>
    <w:rsid w:val="006F19DD"/>
    <w:rsid w:val="006F2037"/>
    <w:rsid w:val="006F2F7F"/>
    <w:rsid w:val="006F430D"/>
    <w:rsid w:val="006F5397"/>
    <w:rsid w:val="007003D5"/>
    <w:rsid w:val="0070137C"/>
    <w:rsid w:val="0070142A"/>
    <w:rsid w:val="007014F7"/>
    <w:rsid w:val="00701D14"/>
    <w:rsid w:val="007025CE"/>
    <w:rsid w:val="00702A6F"/>
    <w:rsid w:val="007031D7"/>
    <w:rsid w:val="00703410"/>
    <w:rsid w:val="007035EC"/>
    <w:rsid w:val="00703DB2"/>
    <w:rsid w:val="007045FD"/>
    <w:rsid w:val="00704A54"/>
    <w:rsid w:val="007103F3"/>
    <w:rsid w:val="00711E30"/>
    <w:rsid w:val="00714194"/>
    <w:rsid w:val="00714416"/>
    <w:rsid w:val="007157B7"/>
    <w:rsid w:val="00716752"/>
    <w:rsid w:val="0071742D"/>
    <w:rsid w:val="00717735"/>
    <w:rsid w:val="00720494"/>
    <w:rsid w:val="00720A72"/>
    <w:rsid w:val="00720CDF"/>
    <w:rsid w:val="00722C7F"/>
    <w:rsid w:val="007232C3"/>
    <w:rsid w:val="00723BCB"/>
    <w:rsid w:val="00726450"/>
    <w:rsid w:val="00732162"/>
    <w:rsid w:val="007323D6"/>
    <w:rsid w:val="007326C7"/>
    <w:rsid w:val="00732903"/>
    <w:rsid w:val="007331BF"/>
    <w:rsid w:val="00733B87"/>
    <w:rsid w:val="00734EC3"/>
    <w:rsid w:val="00735648"/>
    <w:rsid w:val="0073778E"/>
    <w:rsid w:val="0074144A"/>
    <w:rsid w:val="007423C5"/>
    <w:rsid w:val="00743BCA"/>
    <w:rsid w:val="00745C0C"/>
    <w:rsid w:val="00745E04"/>
    <w:rsid w:val="007475C1"/>
    <w:rsid w:val="00747E1B"/>
    <w:rsid w:val="007500F0"/>
    <w:rsid w:val="007502A4"/>
    <w:rsid w:val="00753510"/>
    <w:rsid w:val="00756B83"/>
    <w:rsid w:val="0076086C"/>
    <w:rsid w:val="00763816"/>
    <w:rsid w:val="0076506F"/>
    <w:rsid w:val="007651F9"/>
    <w:rsid w:val="007672D9"/>
    <w:rsid w:val="00770287"/>
    <w:rsid w:val="00770738"/>
    <w:rsid w:val="00770BDC"/>
    <w:rsid w:val="00771521"/>
    <w:rsid w:val="007716FD"/>
    <w:rsid w:val="00771778"/>
    <w:rsid w:val="007719E7"/>
    <w:rsid w:val="00771AF7"/>
    <w:rsid w:val="00772503"/>
    <w:rsid w:val="00772C51"/>
    <w:rsid w:val="00772DF9"/>
    <w:rsid w:val="00772F24"/>
    <w:rsid w:val="007738E0"/>
    <w:rsid w:val="007740E8"/>
    <w:rsid w:val="00774A61"/>
    <w:rsid w:val="00774EEB"/>
    <w:rsid w:val="00775FAA"/>
    <w:rsid w:val="00776F81"/>
    <w:rsid w:val="007777B0"/>
    <w:rsid w:val="00780556"/>
    <w:rsid w:val="00780737"/>
    <w:rsid w:val="00781B36"/>
    <w:rsid w:val="00783870"/>
    <w:rsid w:val="00783896"/>
    <w:rsid w:val="00784816"/>
    <w:rsid w:val="00784C22"/>
    <w:rsid w:val="00785A0C"/>
    <w:rsid w:val="0078644A"/>
    <w:rsid w:val="007868E7"/>
    <w:rsid w:val="00786A23"/>
    <w:rsid w:val="00790383"/>
    <w:rsid w:val="007916AC"/>
    <w:rsid w:val="00791DA8"/>
    <w:rsid w:val="00792089"/>
    <w:rsid w:val="00792239"/>
    <w:rsid w:val="007924DD"/>
    <w:rsid w:val="00794364"/>
    <w:rsid w:val="00794B98"/>
    <w:rsid w:val="007958D5"/>
    <w:rsid w:val="00795EC4"/>
    <w:rsid w:val="00796A3B"/>
    <w:rsid w:val="007971C5"/>
    <w:rsid w:val="007974D6"/>
    <w:rsid w:val="00797AAE"/>
    <w:rsid w:val="00797DDA"/>
    <w:rsid w:val="007A0955"/>
    <w:rsid w:val="007A15B0"/>
    <w:rsid w:val="007A2532"/>
    <w:rsid w:val="007A3AFA"/>
    <w:rsid w:val="007A4652"/>
    <w:rsid w:val="007A543C"/>
    <w:rsid w:val="007A664D"/>
    <w:rsid w:val="007A67E3"/>
    <w:rsid w:val="007A688F"/>
    <w:rsid w:val="007A6F39"/>
    <w:rsid w:val="007B05D8"/>
    <w:rsid w:val="007B1AA6"/>
    <w:rsid w:val="007B25F8"/>
    <w:rsid w:val="007B3210"/>
    <w:rsid w:val="007B78B2"/>
    <w:rsid w:val="007C07BA"/>
    <w:rsid w:val="007C13F0"/>
    <w:rsid w:val="007C2032"/>
    <w:rsid w:val="007C2158"/>
    <w:rsid w:val="007C2219"/>
    <w:rsid w:val="007C3907"/>
    <w:rsid w:val="007C3A10"/>
    <w:rsid w:val="007C4BB5"/>
    <w:rsid w:val="007C53A5"/>
    <w:rsid w:val="007C5A10"/>
    <w:rsid w:val="007C7752"/>
    <w:rsid w:val="007D0B36"/>
    <w:rsid w:val="007D1008"/>
    <w:rsid w:val="007D1A39"/>
    <w:rsid w:val="007D1C89"/>
    <w:rsid w:val="007D228E"/>
    <w:rsid w:val="007D2D69"/>
    <w:rsid w:val="007D2F5A"/>
    <w:rsid w:val="007D50EB"/>
    <w:rsid w:val="007D5353"/>
    <w:rsid w:val="007D56C9"/>
    <w:rsid w:val="007D6A58"/>
    <w:rsid w:val="007D7C19"/>
    <w:rsid w:val="007E0916"/>
    <w:rsid w:val="007E0BDC"/>
    <w:rsid w:val="007E13DF"/>
    <w:rsid w:val="007E18ED"/>
    <w:rsid w:val="007E1BB5"/>
    <w:rsid w:val="007E1DF3"/>
    <w:rsid w:val="007E21B6"/>
    <w:rsid w:val="007E5643"/>
    <w:rsid w:val="007E6AEC"/>
    <w:rsid w:val="007E7456"/>
    <w:rsid w:val="007F0F7D"/>
    <w:rsid w:val="007F167C"/>
    <w:rsid w:val="007F28BD"/>
    <w:rsid w:val="007F2DEA"/>
    <w:rsid w:val="007F4EE8"/>
    <w:rsid w:val="007F641A"/>
    <w:rsid w:val="007F6BD3"/>
    <w:rsid w:val="007F7D59"/>
    <w:rsid w:val="00800217"/>
    <w:rsid w:val="008022CE"/>
    <w:rsid w:val="00802A84"/>
    <w:rsid w:val="00804423"/>
    <w:rsid w:val="008048B7"/>
    <w:rsid w:val="008057E2"/>
    <w:rsid w:val="00806464"/>
    <w:rsid w:val="00806B77"/>
    <w:rsid w:val="00807C97"/>
    <w:rsid w:val="0081069A"/>
    <w:rsid w:val="00812EB1"/>
    <w:rsid w:val="008132CF"/>
    <w:rsid w:val="008152BE"/>
    <w:rsid w:val="008155B6"/>
    <w:rsid w:val="0081711C"/>
    <w:rsid w:val="008178D8"/>
    <w:rsid w:val="00821D62"/>
    <w:rsid w:val="00821EAE"/>
    <w:rsid w:val="00822280"/>
    <w:rsid w:val="008231C0"/>
    <w:rsid w:val="00823B87"/>
    <w:rsid w:val="008242CA"/>
    <w:rsid w:val="00824B93"/>
    <w:rsid w:val="00824BD1"/>
    <w:rsid w:val="00825136"/>
    <w:rsid w:val="00825259"/>
    <w:rsid w:val="00825A68"/>
    <w:rsid w:val="00825CF0"/>
    <w:rsid w:val="00827041"/>
    <w:rsid w:val="00827FA5"/>
    <w:rsid w:val="00830B68"/>
    <w:rsid w:val="008321C3"/>
    <w:rsid w:val="00833047"/>
    <w:rsid w:val="008337E2"/>
    <w:rsid w:val="00833E81"/>
    <w:rsid w:val="00834D91"/>
    <w:rsid w:val="008354D2"/>
    <w:rsid w:val="00836DD8"/>
    <w:rsid w:val="00837B03"/>
    <w:rsid w:val="00837B32"/>
    <w:rsid w:val="008417DF"/>
    <w:rsid w:val="008422DD"/>
    <w:rsid w:val="0084316F"/>
    <w:rsid w:val="008432ED"/>
    <w:rsid w:val="00851BB3"/>
    <w:rsid w:val="00855538"/>
    <w:rsid w:val="00856287"/>
    <w:rsid w:val="00856521"/>
    <w:rsid w:val="008578CD"/>
    <w:rsid w:val="0086080F"/>
    <w:rsid w:val="008611CA"/>
    <w:rsid w:val="00861A60"/>
    <w:rsid w:val="00861BD8"/>
    <w:rsid w:val="00862812"/>
    <w:rsid w:val="0086381F"/>
    <w:rsid w:val="0086422E"/>
    <w:rsid w:val="00864460"/>
    <w:rsid w:val="00867584"/>
    <w:rsid w:val="00867C44"/>
    <w:rsid w:val="008715FB"/>
    <w:rsid w:val="00871BD5"/>
    <w:rsid w:val="008721EB"/>
    <w:rsid w:val="00873FBA"/>
    <w:rsid w:val="008768BB"/>
    <w:rsid w:val="00880798"/>
    <w:rsid w:val="00881406"/>
    <w:rsid w:val="00881C03"/>
    <w:rsid w:val="00883F6C"/>
    <w:rsid w:val="0088409C"/>
    <w:rsid w:val="0088432A"/>
    <w:rsid w:val="00884C53"/>
    <w:rsid w:val="00885A1C"/>
    <w:rsid w:val="008862B2"/>
    <w:rsid w:val="00890E10"/>
    <w:rsid w:val="008930B5"/>
    <w:rsid w:val="00895A61"/>
    <w:rsid w:val="008961DF"/>
    <w:rsid w:val="00896A5D"/>
    <w:rsid w:val="00897E1D"/>
    <w:rsid w:val="008A098A"/>
    <w:rsid w:val="008A0ECC"/>
    <w:rsid w:val="008A1700"/>
    <w:rsid w:val="008A17F4"/>
    <w:rsid w:val="008A26AF"/>
    <w:rsid w:val="008A2F4E"/>
    <w:rsid w:val="008A2F86"/>
    <w:rsid w:val="008A3450"/>
    <w:rsid w:val="008A3C2D"/>
    <w:rsid w:val="008A4217"/>
    <w:rsid w:val="008A62A7"/>
    <w:rsid w:val="008A6752"/>
    <w:rsid w:val="008A7AA6"/>
    <w:rsid w:val="008B0F87"/>
    <w:rsid w:val="008B136C"/>
    <w:rsid w:val="008B1A7E"/>
    <w:rsid w:val="008B20AA"/>
    <w:rsid w:val="008B48FF"/>
    <w:rsid w:val="008B4A9B"/>
    <w:rsid w:val="008B4C22"/>
    <w:rsid w:val="008B507C"/>
    <w:rsid w:val="008B53EF"/>
    <w:rsid w:val="008B59B2"/>
    <w:rsid w:val="008B66C4"/>
    <w:rsid w:val="008B71AF"/>
    <w:rsid w:val="008B7E2B"/>
    <w:rsid w:val="008C050C"/>
    <w:rsid w:val="008C3009"/>
    <w:rsid w:val="008C3159"/>
    <w:rsid w:val="008C498E"/>
    <w:rsid w:val="008C6550"/>
    <w:rsid w:val="008C797D"/>
    <w:rsid w:val="008D1BC0"/>
    <w:rsid w:val="008D1F76"/>
    <w:rsid w:val="008D391E"/>
    <w:rsid w:val="008D43B1"/>
    <w:rsid w:val="008D576A"/>
    <w:rsid w:val="008D6B14"/>
    <w:rsid w:val="008E15A9"/>
    <w:rsid w:val="008E18D8"/>
    <w:rsid w:val="008E27DD"/>
    <w:rsid w:val="008E28FC"/>
    <w:rsid w:val="008E2BEA"/>
    <w:rsid w:val="008E4E7E"/>
    <w:rsid w:val="008E5344"/>
    <w:rsid w:val="008E5D7D"/>
    <w:rsid w:val="008E7922"/>
    <w:rsid w:val="008F05E2"/>
    <w:rsid w:val="008F0A05"/>
    <w:rsid w:val="008F116B"/>
    <w:rsid w:val="008F1B2B"/>
    <w:rsid w:val="008F1C5E"/>
    <w:rsid w:val="008F3F85"/>
    <w:rsid w:val="008F4B08"/>
    <w:rsid w:val="008F5585"/>
    <w:rsid w:val="008F5B27"/>
    <w:rsid w:val="008F640B"/>
    <w:rsid w:val="008F6EF2"/>
    <w:rsid w:val="008F7BFF"/>
    <w:rsid w:val="00900635"/>
    <w:rsid w:val="00901E52"/>
    <w:rsid w:val="00903CA6"/>
    <w:rsid w:val="00904B07"/>
    <w:rsid w:val="009102C5"/>
    <w:rsid w:val="00911E4C"/>
    <w:rsid w:val="00912553"/>
    <w:rsid w:val="00914262"/>
    <w:rsid w:val="00914310"/>
    <w:rsid w:val="009155D6"/>
    <w:rsid w:val="00915D37"/>
    <w:rsid w:val="00916045"/>
    <w:rsid w:val="00916904"/>
    <w:rsid w:val="00920652"/>
    <w:rsid w:val="00920E7E"/>
    <w:rsid w:val="0092233A"/>
    <w:rsid w:val="00925104"/>
    <w:rsid w:val="0092619B"/>
    <w:rsid w:val="00927662"/>
    <w:rsid w:val="0093008E"/>
    <w:rsid w:val="00931392"/>
    <w:rsid w:val="0093194B"/>
    <w:rsid w:val="00932125"/>
    <w:rsid w:val="00932485"/>
    <w:rsid w:val="009325F3"/>
    <w:rsid w:val="00932966"/>
    <w:rsid w:val="009368FD"/>
    <w:rsid w:val="00936EAD"/>
    <w:rsid w:val="0094040E"/>
    <w:rsid w:val="00940833"/>
    <w:rsid w:val="0094126D"/>
    <w:rsid w:val="009412E2"/>
    <w:rsid w:val="0094132A"/>
    <w:rsid w:val="009415E3"/>
    <w:rsid w:val="00941D2A"/>
    <w:rsid w:val="009428F5"/>
    <w:rsid w:val="009439FC"/>
    <w:rsid w:val="00945777"/>
    <w:rsid w:val="0094585E"/>
    <w:rsid w:val="00945B77"/>
    <w:rsid w:val="00946786"/>
    <w:rsid w:val="00950160"/>
    <w:rsid w:val="0095028F"/>
    <w:rsid w:val="009511C2"/>
    <w:rsid w:val="009512F2"/>
    <w:rsid w:val="009513FC"/>
    <w:rsid w:val="009515B1"/>
    <w:rsid w:val="009524A4"/>
    <w:rsid w:val="00952CC1"/>
    <w:rsid w:val="009540E5"/>
    <w:rsid w:val="009542B7"/>
    <w:rsid w:val="00954312"/>
    <w:rsid w:val="0095468D"/>
    <w:rsid w:val="00954B82"/>
    <w:rsid w:val="00954E91"/>
    <w:rsid w:val="00955536"/>
    <w:rsid w:val="00955A6F"/>
    <w:rsid w:val="00955E0F"/>
    <w:rsid w:val="00955F00"/>
    <w:rsid w:val="009566AB"/>
    <w:rsid w:val="009579EF"/>
    <w:rsid w:val="0096034B"/>
    <w:rsid w:val="00960679"/>
    <w:rsid w:val="009606C5"/>
    <w:rsid w:val="0096180C"/>
    <w:rsid w:val="009618D5"/>
    <w:rsid w:val="00961EE3"/>
    <w:rsid w:val="0096363E"/>
    <w:rsid w:val="00963AAA"/>
    <w:rsid w:val="009644CF"/>
    <w:rsid w:val="0096649C"/>
    <w:rsid w:val="0096694A"/>
    <w:rsid w:val="00972308"/>
    <w:rsid w:val="00973195"/>
    <w:rsid w:val="00974785"/>
    <w:rsid w:val="00974BB2"/>
    <w:rsid w:val="00974D97"/>
    <w:rsid w:val="00974D9E"/>
    <w:rsid w:val="00974EC2"/>
    <w:rsid w:val="00975114"/>
    <w:rsid w:val="009755D0"/>
    <w:rsid w:val="0097587B"/>
    <w:rsid w:val="00975CF0"/>
    <w:rsid w:val="00975F79"/>
    <w:rsid w:val="00975FD5"/>
    <w:rsid w:val="00976515"/>
    <w:rsid w:val="00976C0A"/>
    <w:rsid w:val="0097703D"/>
    <w:rsid w:val="009800A2"/>
    <w:rsid w:val="0098011F"/>
    <w:rsid w:val="0098018B"/>
    <w:rsid w:val="009804B7"/>
    <w:rsid w:val="009807C5"/>
    <w:rsid w:val="00980D28"/>
    <w:rsid w:val="00981F64"/>
    <w:rsid w:val="00981F9F"/>
    <w:rsid w:val="00983BCD"/>
    <w:rsid w:val="00983C4A"/>
    <w:rsid w:val="00985172"/>
    <w:rsid w:val="0098522D"/>
    <w:rsid w:val="00985AA2"/>
    <w:rsid w:val="00985B9F"/>
    <w:rsid w:val="00986475"/>
    <w:rsid w:val="009864C8"/>
    <w:rsid w:val="00987E50"/>
    <w:rsid w:val="00987F7C"/>
    <w:rsid w:val="0099085E"/>
    <w:rsid w:val="00990E14"/>
    <w:rsid w:val="00991600"/>
    <w:rsid w:val="00992799"/>
    <w:rsid w:val="0099289A"/>
    <w:rsid w:val="009953CE"/>
    <w:rsid w:val="00997899"/>
    <w:rsid w:val="009979A4"/>
    <w:rsid w:val="00997A6D"/>
    <w:rsid w:val="009A0047"/>
    <w:rsid w:val="009A0AED"/>
    <w:rsid w:val="009A2A82"/>
    <w:rsid w:val="009A3975"/>
    <w:rsid w:val="009A3D3D"/>
    <w:rsid w:val="009A4801"/>
    <w:rsid w:val="009A4F99"/>
    <w:rsid w:val="009A5EEB"/>
    <w:rsid w:val="009A6560"/>
    <w:rsid w:val="009A71E8"/>
    <w:rsid w:val="009A7503"/>
    <w:rsid w:val="009A7D08"/>
    <w:rsid w:val="009B0243"/>
    <w:rsid w:val="009B0CFD"/>
    <w:rsid w:val="009B1140"/>
    <w:rsid w:val="009B161D"/>
    <w:rsid w:val="009B1DE3"/>
    <w:rsid w:val="009B2A94"/>
    <w:rsid w:val="009B2BCD"/>
    <w:rsid w:val="009B3931"/>
    <w:rsid w:val="009B3DA5"/>
    <w:rsid w:val="009B5316"/>
    <w:rsid w:val="009B53FB"/>
    <w:rsid w:val="009B5E2A"/>
    <w:rsid w:val="009B73CA"/>
    <w:rsid w:val="009B7865"/>
    <w:rsid w:val="009B7999"/>
    <w:rsid w:val="009B7C62"/>
    <w:rsid w:val="009C1058"/>
    <w:rsid w:val="009C116D"/>
    <w:rsid w:val="009C14C6"/>
    <w:rsid w:val="009C31C2"/>
    <w:rsid w:val="009C552B"/>
    <w:rsid w:val="009C6527"/>
    <w:rsid w:val="009C662C"/>
    <w:rsid w:val="009C6E7E"/>
    <w:rsid w:val="009C754D"/>
    <w:rsid w:val="009C763B"/>
    <w:rsid w:val="009C7A81"/>
    <w:rsid w:val="009D18A0"/>
    <w:rsid w:val="009D1CE9"/>
    <w:rsid w:val="009D218F"/>
    <w:rsid w:val="009D344D"/>
    <w:rsid w:val="009D7992"/>
    <w:rsid w:val="009D7E99"/>
    <w:rsid w:val="009E00B7"/>
    <w:rsid w:val="009E03DA"/>
    <w:rsid w:val="009E1C07"/>
    <w:rsid w:val="009E1DE0"/>
    <w:rsid w:val="009E1E24"/>
    <w:rsid w:val="009E2B31"/>
    <w:rsid w:val="009E2E6E"/>
    <w:rsid w:val="009E479A"/>
    <w:rsid w:val="009E485B"/>
    <w:rsid w:val="009E74F8"/>
    <w:rsid w:val="009F0676"/>
    <w:rsid w:val="009F2329"/>
    <w:rsid w:val="009F2EB4"/>
    <w:rsid w:val="009F323F"/>
    <w:rsid w:val="009F435F"/>
    <w:rsid w:val="009F4564"/>
    <w:rsid w:val="009F4F1B"/>
    <w:rsid w:val="009F5D8E"/>
    <w:rsid w:val="009F6358"/>
    <w:rsid w:val="009F6590"/>
    <w:rsid w:val="00A004B1"/>
    <w:rsid w:val="00A022CA"/>
    <w:rsid w:val="00A04A5D"/>
    <w:rsid w:val="00A0512E"/>
    <w:rsid w:val="00A05269"/>
    <w:rsid w:val="00A05EEE"/>
    <w:rsid w:val="00A07DA6"/>
    <w:rsid w:val="00A133F4"/>
    <w:rsid w:val="00A141B8"/>
    <w:rsid w:val="00A14233"/>
    <w:rsid w:val="00A14E65"/>
    <w:rsid w:val="00A15911"/>
    <w:rsid w:val="00A1626B"/>
    <w:rsid w:val="00A1790E"/>
    <w:rsid w:val="00A2129A"/>
    <w:rsid w:val="00A22252"/>
    <w:rsid w:val="00A2335D"/>
    <w:rsid w:val="00A2501F"/>
    <w:rsid w:val="00A25073"/>
    <w:rsid w:val="00A253DC"/>
    <w:rsid w:val="00A256F6"/>
    <w:rsid w:val="00A25F4A"/>
    <w:rsid w:val="00A306B0"/>
    <w:rsid w:val="00A3084B"/>
    <w:rsid w:val="00A30A00"/>
    <w:rsid w:val="00A30C86"/>
    <w:rsid w:val="00A31484"/>
    <w:rsid w:val="00A33AAB"/>
    <w:rsid w:val="00A410D9"/>
    <w:rsid w:val="00A42A44"/>
    <w:rsid w:val="00A441DF"/>
    <w:rsid w:val="00A4440F"/>
    <w:rsid w:val="00A447AF"/>
    <w:rsid w:val="00A45447"/>
    <w:rsid w:val="00A45C81"/>
    <w:rsid w:val="00A50848"/>
    <w:rsid w:val="00A50F37"/>
    <w:rsid w:val="00A5147F"/>
    <w:rsid w:val="00A51F12"/>
    <w:rsid w:val="00A5256B"/>
    <w:rsid w:val="00A54AF1"/>
    <w:rsid w:val="00A5500C"/>
    <w:rsid w:val="00A57531"/>
    <w:rsid w:val="00A57913"/>
    <w:rsid w:val="00A57FAC"/>
    <w:rsid w:val="00A60942"/>
    <w:rsid w:val="00A62C10"/>
    <w:rsid w:val="00A62CF8"/>
    <w:rsid w:val="00A62D62"/>
    <w:rsid w:val="00A634AB"/>
    <w:rsid w:val="00A63E03"/>
    <w:rsid w:val="00A65D6F"/>
    <w:rsid w:val="00A65E6C"/>
    <w:rsid w:val="00A66674"/>
    <w:rsid w:val="00A66A04"/>
    <w:rsid w:val="00A67BC7"/>
    <w:rsid w:val="00A700BD"/>
    <w:rsid w:val="00A70434"/>
    <w:rsid w:val="00A7270A"/>
    <w:rsid w:val="00A729F4"/>
    <w:rsid w:val="00A72D9E"/>
    <w:rsid w:val="00A73231"/>
    <w:rsid w:val="00A7362D"/>
    <w:rsid w:val="00A7364C"/>
    <w:rsid w:val="00A74CC7"/>
    <w:rsid w:val="00A76CBA"/>
    <w:rsid w:val="00A772DB"/>
    <w:rsid w:val="00A81641"/>
    <w:rsid w:val="00A8187E"/>
    <w:rsid w:val="00A81BC5"/>
    <w:rsid w:val="00A838A3"/>
    <w:rsid w:val="00A838B7"/>
    <w:rsid w:val="00A83CFF"/>
    <w:rsid w:val="00A84278"/>
    <w:rsid w:val="00A8464E"/>
    <w:rsid w:val="00A8524E"/>
    <w:rsid w:val="00A85893"/>
    <w:rsid w:val="00A864E7"/>
    <w:rsid w:val="00A86707"/>
    <w:rsid w:val="00A86F07"/>
    <w:rsid w:val="00A87142"/>
    <w:rsid w:val="00A87166"/>
    <w:rsid w:val="00A9011C"/>
    <w:rsid w:val="00A909BC"/>
    <w:rsid w:val="00A90AB1"/>
    <w:rsid w:val="00A90FFD"/>
    <w:rsid w:val="00A91B9C"/>
    <w:rsid w:val="00A934CA"/>
    <w:rsid w:val="00A936CD"/>
    <w:rsid w:val="00A93E9F"/>
    <w:rsid w:val="00A94E73"/>
    <w:rsid w:val="00A966CC"/>
    <w:rsid w:val="00A96C36"/>
    <w:rsid w:val="00A970BF"/>
    <w:rsid w:val="00A971CE"/>
    <w:rsid w:val="00A97BB6"/>
    <w:rsid w:val="00AA0259"/>
    <w:rsid w:val="00AA050C"/>
    <w:rsid w:val="00AA0D7A"/>
    <w:rsid w:val="00AA0EE7"/>
    <w:rsid w:val="00AA3C68"/>
    <w:rsid w:val="00AA4F3A"/>
    <w:rsid w:val="00AA4FAD"/>
    <w:rsid w:val="00AA53C4"/>
    <w:rsid w:val="00AA5BD3"/>
    <w:rsid w:val="00AA5BE6"/>
    <w:rsid w:val="00AA6661"/>
    <w:rsid w:val="00AA7A59"/>
    <w:rsid w:val="00AB0617"/>
    <w:rsid w:val="00AB5097"/>
    <w:rsid w:val="00AB684E"/>
    <w:rsid w:val="00AB6C0C"/>
    <w:rsid w:val="00AC1391"/>
    <w:rsid w:val="00AC1603"/>
    <w:rsid w:val="00AC1D2D"/>
    <w:rsid w:val="00AC1EA5"/>
    <w:rsid w:val="00AC26D2"/>
    <w:rsid w:val="00AC276C"/>
    <w:rsid w:val="00AC2A27"/>
    <w:rsid w:val="00AC56AD"/>
    <w:rsid w:val="00AC5CA7"/>
    <w:rsid w:val="00AC5FEE"/>
    <w:rsid w:val="00AC7CC7"/>
    <w:rsid w:val="00AD0D8F"/>
    <w:rsid w:val="00AD0E60"/>
    <w:rsid w:val="00AD1A79"/>
    <w:rsid w:val="00AD23EB"/>
    <w:rsid w:val="00AD2A81"/>
    <w:rsid w:val="00AD2E24"/>
    <w:rsid w:val="00AD4FE2"/>
    <w:rsid w:val="00AD6339"/>
    <w:rsid w:val="00AD792B"/>
    <w:rsid w:val="00AD7CA9"/>
    <w:rsid w:val="00AE3BC0"/>
    <w:rsid w:val="00AE60D6"/>
    <w:rsid w:val="00AF10B3"/>
    <w:rsid w:val="00AF1B70"/>
    <w:rsid w:val="00AF1E29"/>
    <w:rsid w:val="00AF3330"/>
    <w:rsid w:val="00AF3D9F"/>
    <w:rsid w:val="00AF5BC0"/>
    <w:rsid w:val="00AF7A6B"/>
    <w:rsid w:val="00B000F9"/>
    <w:rsid w:val="00B00684"/>
    <w:rsid w:val="00B0109F"/>
    <w:rsid w:val="00B01541"/>
    <w:rsid w:val="00B02EB4"/>
    <w:rsid w:val="00B03530"/>
    <w:rsid w:val="00B03B36"/>
    <w:rsid w:val="00B03E0B"/>
    <w:rsid w:val="00B04187"/>
    <w:rsid w:val="00B0423A"/>
    <w:rsid w:val="00B06181"/>
    <w:rsid w:val="00B07727"/>
    <w:rsid w:val="00B10839"/>
    <w:rsid w:val="00B10F03"/>
    <w:rsid w:val="00B119A0"/>
    <w:rsid w:val="00B11C0E"/>
    <w:rsid w:val="00B11F99"/>
    <w:rsid w:val="00B13042"/>
    <w:rsid w:val="00B13CD7"/>
    <w:rsid w:val="00B14257"/>
    <w:rsid w:val="00B14DA7"/>
    <w:rsid w:val="00B15B76"/>
    <w:rsid w:val="00B211C2"/>
    <w:rsid w:val="00B24465"/>
    <w:rsid w:val="00B25774"/>
    <w:rsid w:val="00B26A68"/>
    <w:rsid w:val="00B26ED7"/>
    <w:rsid w:val="00B27CE3"/>
    <w:rsid w:val="00B318B2"/>
    <w:rsid w:val="00B320B0"/>
    <w:rsid w:val="00B3214B"/>
    <w:rsid w:val="00B3246E"/>
    <w:rsid w:val="00B327BB"/>
    <w:rsid w:val="00B3384A"/>
    <w:rsid w:val="00B33A29"/>
    <w:rsid w:val="00B340E4"/>
    <w:rsid w:val="00B34E16"/>
    <w:rsid w:val="00B3516A"/>
    <w:rsid w:val="00B35578"/>
    <w:rsid w:val="00B35B81"/>
    <w:rsid w:val="00B37C42"/>
    <w:rsid w:val="00B41EFC"/>
    <w:rsid w:val="00B41FAD"/>
    <w:rsid w:val="00B439ED"/>
    <w:rsid w:val="00B448B7"/>
    <w:rsid w:val="00B45331"/>
    <w:rsid w:val="00B45491"/>
    <w:rsid w:val="00B461FA"/>
    <w:rsid w:val="00B46591"/>
    <w:rsid w:val="00B47CDB"/>
    <w:rsid w:val="00B47FD5"/>
    <w:rsid w:val="00B522F3"/>
    <w:rsid w:val="00B5239A"/>
    <w:rsid w:val="00B53BCB"/>
    <w:rsid w:val="00B54157"/>
    <w:rsid w:val="00B5429F"/>
    <w:rsid w:val="00B5508B"/>
    <w:rsid w:val="00B551A7"/>
    <w:rsid w:val="00B55536"/>
    <w:rsid w:val="00B559CA"/>
    <w:rsid w:val="00B56194"/>
    <w:rsid w:val="00B56852"/>
    <w:rsid w:val="00B56BD4"/>
    <w:rsid w:val="00B578AE"/>
    <w:rsid w:val="00B60B0A"/>
    <w:rsid w:val="00B614FF"/>
    <w:rsid w:val="00B61CE6"/>
    <w:rsid w:val="00B63C73"/>
    <w:rsid w:val="00B64035"/>
    <w:rsid w:val="00B65062"/>
    <w:rsid w:val="00B66086"/>
    <w:rsid w:val="00B71F18"/>
    <w:rsid w:val="00B72756"/>
    <w:rsid w:val="00B76EA4"/>
    <w:rsid w:val="00B80A2E"/>
    <w:rsid w:val="00B834F6"/>
    <w:rsid w:val="00B85141"/>
    <w:rsid w:val="00B8541A"/>
    <w:rsid w:val="00B85F44"/>
    <w:rsid w:val="00B85F74"/>
    <w:rsid w:val="00B86525"/>
    <w:rsid w:val="00B90179"/>
    <w:rsid w:val="00B9426B"/>
    <w:rsid w:val="00B948CA"/>
    <w:rsid w:val="00B961FC"/>
    <w:rsid w:val="00B96A73"/>
    <w:rsid w:val="00BA03A2"/>
    <w:rsid w:val="00BA05BB"/>
    <w:rsid w:val="00BA0720"/>
    <w:rsid w:val="00BA2E82"/>
    <w:rsid w:val="00BA3BC4"/>
    <w:rsid w:val="00BA4435"/>
    <w:rsid w:val="00BA6081"/>
    <w:rsid w:val="00BA6D00"/>
    <w:rsid w:val="00BA6ED5"/>
    <w:rsid w:val="00BA7507"/>
    <w:rsid w:val="00BB0CE1"/>
    <w:rsid w:val="00BB104C"/>
    <w:rsid w:val="00BB176A"/>
    <w:rsid w:val="00BB1A5A"/>
    <w:rsid w:val="00BB1C88"/>
    <w:rsid w:val="00BB2010"/>
    <w:rsid w:val="00BB26F7"/>
    <w:rsid w:val="00BB2877"/>
    <w:rsid w:val="00BB2A82"/>
    <w:rsid w:val="00BB2B6D"/>
    <w:rsid w:val="00BB4458"/>
    <w:rsid w:val="00BB473C"/>
    <w:rsid w:val="00BB55EC"/>
    <w:rsid w:val="00BB6D7F"/>
    <w:rsid w:val="00BB7099"/>
    <w:rsid w:val="00BC214B"/>
    <w:rsid w:val="00BC21DD"/>
    <w:rsid w:val="00BC37A7"/>
    <w:rsid w:val="00BC48D6"/>
    <w:rsid w:val="00BC5C97"/>
    <w:rsid w:val="00BC5F8B"/>
    <w:rsid w:val="00BC6714"/>
    <w:rsid w:val="00BD0197"/>
    <w:rsid w:val="00BD0A28"/>
    <w:rsid w:val="00BD1039"/>
    <w:rsid w:val="00BD1E8F"/>
    <w:rsid w:val="00BD2BC1"/>
    <w:rsid w:val="00BD2DD8"/>
    <w:rsid w:val="00BD3427"/>
    <w:rsid w:val="00BD4A7E"/>
    <w:rsid w:val="00BD4FD1"/>
    <w:rsid w:val="00BD6588"/>
    <w:rsid w:val="00BD6C21"/>
    <w:rsid w:val="00BD76E3"/>
    <w:rsid w:val="00BD7A09"/>
    <w:rsid w:val="00BD7D35"/>
    <w:rsid w:val="00BE0308"/>
    <w:rsid w:val="00BE0A91"/>
    <w:rsid w:val="00BE1200"/>
    <w:rsid w:val="00BE1D27"/>
    <w:rsid w:val="00BE2D69"/>
    <w:rsid w:val="00BE2DD2"/>
    <w:rsid w:val="00BE3C72"/>
    <w:rsid w:val="00BE5BC3"/>
    <w:rsid w:val="00BE6C7B"/>
    <w:rsid w:val="00BE7770"/>
    <w:rsid w:val="00BF0489"/>
    <w:rsid w:val="00BF0A48"/>
    <w:rsid w:val="00BF0D73"/>
    <w:rsid w:val="00BF1F97"/>
    <w:rsid w:val="00BF1FD7"/>
    <w:rsid w:val="00BF209E"/>
    <w:rsid w:val="00BF291D"/>
    <w:rsid w:val="00BF4091"/>
    <w:rsid w:val="00BF49A1"/>
    <w:rsid w:val="00BF54DF"/>
    <w:rsid w:val="00BF5765"/>
    <w:rsid w:val="00BF6010"/>
    <w:rsid w:val="00BF6364"/>
    <w:rsid w:val="00BF663F"/>
    <w:rsid w:val="00BF712E"/>
    <w:rsid w:val="00C01080"/>
    <w:rsid w:val="00C01862"/>
    <w:rsid w:val="00C019E8"/>
    <w:rsid w:val="00C01B10"/>
    <w:rsid w:val="00C0267B"/>
    <w:rsid w:val="00C030E8"/>
    <w:rsid w:val="00C03DC0"/>
    <w:rsid w:val="00C04BE2"/>
    <w:rsid w:val="00C05204"/>
    <w:rsid w:val="00C05803"/>
    <w:rsid w:val="00C07283"/>
    <w:rsid w:val="00C07BC1"/>
    <w:rsid w:val="00C1052A"/>
    <w:rsid w:val="00C10856"/>
    <w:rsid w:val="00C12540"/>
    <w:rsid w:val="00C1320C"/>
    <w:rsid w:val="00C14B32"/>
    <w:rsid w:val="00C16B9B"/>
    <w:rsid w:val="00C17CCB"/>
    <w:rsid w:val="00C17D00"/>
    <w:rsid w:val="00C20C8A"/>
    <w:rsid w:val="00C21650"/>
    <w:rsid w:val="00C21A6A"/>
    <w:rsid w:val="00C21BCD"/>
    <w:rsid w:val="00C22C18"/>
    <w:rsid w:val="00C241E8"/>
    <w:rsid w:val="00C25237"/>
    <w:rsid w:val="00C26F4B"/>
    <w:rsid w:val="00C2791F"/>
    <w:rsid w:val="00C309CC"/>
    <w:rsid w:val="00C30F85"/>
    <w:rsid w:val="00C377F7"/>
    <w:rsid w:val="00C41310"/>
    <w:rsid w:val="00C4354B"/>
    <w:rsid w:val="00C43EDA"/>
    <w:rsid w:val="00C44B56"/>
    <w:rsid w:val="00C45251"/>
    <w:rsid w:val="00C47E84"/>
    <w:rsid w:val="00C50579"/>
    <w:rsid w:val="00C511FC"/>
    <w:rsid w:val="00C52FDF"/>
    <w:rsid w:val="00C537C5"/>
    <w:rsid w:val="00C5569F"/>
    <w:rsid w:val="00C5581D"/>
    <w:rsid w:val="00C56154"/>
    <w:rsid w:val="00C56421"/>
    <w:rsid w:val="00C56ECD"/>
    <w:rsid w:val="00C602F0"/>
    <w:rsid w:val="00C60E25"/>
    <w:rsid w:val="00C6272C"/>
    <w:rsid w:val="00C63878"/>
    <w:rsid w:val="00C63940"/>
    <w:rsid w:val="00C63AD6"/>
    <w:rsid w:val="00C64F79"/>
    <w:rsid w:val="00C6593C"/>
    <w:rsid w:val="00C65C16"/>
    <w:rsid w:val="00C65CB9"/>
    <w:rsid w:val="00C66780"/>
    <w:rsid w:val="00C668D9"/>
    <w:rsid w:val="00C66DE6"/>
    <w:rsid w:val="00C66DF5"/>
    <w:rsid w:val="00C6711D"/>
    <w:rsid w:val="00C67B68"/>
    <w:rsid w:val="00C700F8"/>
    <w:rsid w:val="00C70340"/>
    <w:rsid w:val="00C70DEF"/>
    <w:rsid w:val="00C710CB"/>
    <w:rsid w:val="00C71395"/>
    <w:rsid w:val="00C72703"/>
    <w:rsid w:val="00C7351F"/>
    <w:rsid w:val="00C73BF6"/>
    <w:rsid w:val="00C752D6"/>
    <w:rsid w:val="00C763ED"/>
    <w:rsid w:val="00C77603"/>
    <w:rsid w:val="00C819EA"/>
    <w:rsid w:val="00C820BE"/>
    <w:rsid w:val="00C83930"/>
    <w:rsid w:val="00C83A87"/>
    <w:rsid w:val="00C851B2"/>
    <w:rsid w:val="00C855A0"/>
    <w:rsid w:val="00C85C47"/>
    <w:rsid w:val="00C85F5B"/>
    <w:rsid w:val="00C86424"/>
    <w:rsid w:val="00C86441"/>
    <w:rsid w:val="00C864C2"/>
    <w:rsid w:val="00C8663C"/>
    <w:rsid w:val="00C86A94"/>
    <w:rsid w:val="00C87552"/>
    <w:rsid w:val="00C9192C"/>
    <w:rsid w:val="00C931BF"/>
    <w:rsid w:val="00C9396F"/>
    <w:rsid w:val="00C93D9F"/>
    <w:rsid w:val="00C949D4"/>
    <w:rsid w:val="00C94B5F"/>
    <w:rsid w:val="00C94CA1"/>
    <w:rsid w:val="00C96644"/>
    <w:rsid w:val="00C97A0C"/>
    <w:rsid w:val="00CA0592"/>
    <w:rsid w:val="00CA0EB9"/>
    <w:rsid w:val="00CA1440"/>
    <w:rsid w:val="00CA188F"/>
    <w:rsid w:val="00CA1C20"/>
    <w:rsid w:val="00CA2869"/>
    <w:rsid w:val="00CA4902"/>
    <w:rsid w:val="00CB129D"/>
    <w:rsid w:val="00CB142A"/>
    <w:rsid w:val="00CB2BA0"/>
    <w:rsid w:val="00CB4D05"/>
    <w:rsid w:val="00CB4EFA"/>
    <w:rsid w:val="00CB5636"/>
    <w:rsid w:val="00CC0A8A"/>
    <w:rsid w:val="00CC1015"/>
    <w:rsid w:val="00CC192E"/>
    <w:rsid w:val="00CC2325"/>
    <w:rsid w:val="00CC372D"/>
    <w:rsid w:val="00CC4405"/>
    <w:rsid w:val="00CC63F7"/>
    <w:rsid w:val="00CC7908"/>
    <w:rsid w:val="00CD0A7C"/>
    <w:rsid w:val="00CD28F2"/>
    <w:rsid w:val="00CD441B"/>
    <w:rsid w:val="00CD6E01"/>
    <w:rsid w:val="00CD6F8C"/>
    <w:rsid w:val="00CD7BF7"/>
    <w:rsid w:val="00CE0413"/>
    <w:rsid w:val="00CE1F85"/>
    <w:rsid w:val="00CE1F9F"/>
    <w:rsid w:val="00CE228E"/>
    <w:rsid w:val="00CE3AD0"/>
    <w:rsid w:val="00CE6435"/>
    <w:rsid w:val="00CE6550"/>
    <w:rsid w:val="00CE6E02"/>
    <w:rsid w:val="00CE734D"/>
    <w:rsid w:val="00CE7ED4"/>
    <w:rsid w:val="00CF04B8"/>
    <w:rsid w:val="00CF0538"/>
    <w:rsid w:val="00CF37D2"/>
    <w:rsid w:val="00CF5F8D"/>
    <w:rsid w:val="00CF6242"/>
    <w:rsid w:val="00CF7D19"/>
    <w:rsid w:val="00D00F14"/>
    <w:rsid w:val="00D01937"/>
    <w:rsid w:val="00D01CA4"/>
    <w:rsid w:val="00D050C8"/>
    <w:rsid w:val="00D0599B"/>
    <w:rsid w:val="00D06F2D"/>
    <w:rsid w:val="00D07A1F"/>
    <w:rsid w:val="00D07DA8"/>
    <w:rsid w:val="00D07EAB"/>
    <w:rsid w:val="00D1135F"/>
    <w:rsid w:val="00D134C0"/>
    <w:rsid w:val="00D1422D"/>
    <w:rsid w:val="00D14BAE"/>
    <w:rsid w:val="00D15435"/>
    <w:rsid w:val="00D154A7"/>
    <w:rsid w:val="00D15594"/>
    <w:rsid w:val="00D16B68"/>
    <w:rsid w:val="00D208EB"/>
    <w:rsid w:val="00D2216E"/>
    <w:rsid w:val="00D224EE"/>
    <w:rsid w:val="00D2283B"/>
    <w:rsid w:val="00D23756"/>
    <w:rsid w:val="00D23F73"/>
    <w:rsid w:val="00D2462F"/>
    <w:rsid w:val="00D250DF"/>
    <w:rsid w:val="00D25505"/>
    <w:rsid w:val="00D26782"/>
    <w:rsid w:val="00D267DE"/>
    <w:rsid w:val="00D26932"/>
    <w:rsid w:val="00D3040E"/>
    <w:rsid w:val="00D32200"/>
    <w:rsid w:val="00D32758"/>
    <w:rsid w:val="00D32875"/>
    <w:rsid w:val="00D33959"/>
    <w:rsid w:val="00D34081"/>
    <w:rsid w:val="00D3620F"/>
    <w:rsid w:val="00D3730C"/>
    <w:rsid w:val="00D3739C"/>
    <w:rsid w:val="00D40432"/>
    <w:rsid w:val="00D40448"/>
    <w:rsid w:val="00D40674"/>
    <w:rsid w:val="00D43206"/>
    <w:rsid w:val="00D43C20"/>
    <w:rsid w:val="00D43D87"/>
    <w:rsid w:val="00D46633"/>
    <w:rsid w:val="00D46746"/>
    <w:rsid w:val="00D475D6"/>
    <w:rsid w:val="00D50B46"/>
    <w:rsid w:val="00D50D7A"/>
    <w:rsid w:val="00D50DC0"/>
    <w:rsid w:val="00D51485"/>
    <w:rsid w:val="00D51AC3"/>
    <w:rsid w:val="00D53720"/>
    <w:rsid w:val="00D53B8E"/>
    <w:rsid w:val="00D53EA6"/>
    <w:rsid w:val="00D54270"/>
    <w:rsid w:val="00D55972"/>
    <w:rsid w:val="00D561A5"/>
    <w:rsid w:val="00D571A2"/>
    <w:rsid w:val="00D57354"/>
    <w:rsid w:val="00D57EA4"/>
    <w:rsid w:val="00D57F89"/>
    <w:rsid w:val="00D613D0"/>
    <w:rsid w:val="00D6274E"/>
    <w:rsid w:val="00D62C3E"/>
    <w:rsid w:val="00D63292"/>
    <w:rsid w:val="00D63615"/>
    <w:rsid w:val="00D65508"/>
    <w:rsid w:val="00D655B4"/>
    <w:rsid w:val="00D655EA"/>
    <w:rsid w:val="00D6710E"/>
    <w:rsid w:val="00D700C7"/>
    <w:rsid w:val="00D70348"/>
    <w:rsid w:val="00D704F9"/>
    <w:rsid w:val="00D70984"/>
    <w:rsid w:val="00D71834"/>
    <w:rsid w:val="00D71CCB"/>
    <w:rsid w:val="00D738D8"/>
    <w:rsid w:val="00D73C3D"/>
    <w:rsid w:val="00D7518B"/>
    <w:rsid w:val="00D751D9"/>
    <w:rsid w:val="00D760A0"/>
    <w:rsid w:val="00D76530"/>
    <w:rsid w:val="00D76BB5"/>
    <w:rsid w:val="00D77DA1"/>
    <w:rsid w:val="00D8072A"/>
    <w:rsid w:val="00D818A8"/>
    <w:rsid w:val="00D83492"/>
    <w:rsid w:val="00D84A05"/>
    <w:rsid w:val="00D85E46"/>
    <w:rsid w:val="00D87224"/>
    <w:rsid w:val="00D90330"/>
    <w:rsid w:val="00D908FC"/>
    <w:rsid w:val="00D90AB1"/>
    <w:rsid w:val="00D910C8"/>
    <w:rsid w:val="00D91744"/>
    <w:rsid w:val="00D93771"/>
    <w:rsid w:val="00D93D86"/>
    <w:rsid w:val="00D93E68"/>
    <w:rsid w:val="00D94447"/>
    <w:rsid w:val="00D95FFC"/>
    <w:rsid w:val="00D960D5"/>
    <w:rsid w:val="00D96E75"/>
    <w:rsid w:val="00D972C6"/>
    <w:rsid w:val="00DA026F"/>
    <w:rsid w:val="00DA07AE"/>
    <w:rsid w:val="00DA08E1"/>
    <w:rsid w:val="00DA146D"/>
    <w:rsid w:val="00DA1F71"/>
    <w:rsid w:val="00DA2616"/>
    <w:rsid w:val="00DA2CB8"/>
    <w:rsid w:val="00DA3D47"/>
    <w:rsid w:val="00DA3D5C"/>
    <w:rsid w:val="00DA66E9"/>
    <w:rsid w:val="00DA702E"/>
    <w:rsid w:val="00DB00BD"/>
    <w:rsid w:val="00DB0B77"/>
    <w:rsid w:val="00DB0E5E"/>
    <w:rsid w:val="00DB0F51"/>
    <w:rsid w:val="00DB197E"/>
    <w:rsid w:val="00DB276F"/>
    <w:rsid w:val="00DB2D38"/>
    <w:rsid w:val="00DB6646"/>
    <w:rsid w:val="00DB675F"/>
    <w:rsid w:val="00DB7321"/>
    <w:rsid w:val="00DC08BA"/>
    <w:rsid w:val="00DC1711"/>
    <w:rsid w:val="00DC1819"/>
    <w:rsid w:val="00DC2351"/>
    <w:rsid w:val="00DC300B"/>
    <w:rsid w:val="00DC31AE"/>
    <w:rsid w:val="00DC35F0"/>
    <w:rsid w:val="00DC4487"/>
    <w:rsid w:val="00DC47C6"/>
    <w:rsid w:val="00DC70AC"/>
    <w:rsid w:val="00DC7EA0"/>
    <w:rsid w:val="00DD073E"/>
    <w:rsid w:val="00DD096E"/>
    <w:rsid w:val="00DD0B41"/>
    <w:rsid w:val="00DD0DCE"/>
    <w:rsid w:val="00DD21D8"/>
    <w:rsid w:val="00DD222C"/>
    <w:rsid w:val="00DD2699"/>
    <w:rsid w:val="00DD3667"/>
    <w:rsid w:val="00DD3B82"/>
    <w:rsid w:val="00DD3F59"/>
    <w:rsid w:val="00DD529B"/>
    <w:rsid w:val="00DD5A8A"/>
    <w:rsid w:val="00DD744A"/>
    <w:rsid w:val="00DD7E13"/>
    <w:rsid w:val="00DE0903"/>
    <w:rsid w:val="00DE0F33"/>
    <w:rsid w:val="00DE205B"/>
    <w:rsid w:val="00DE2358"/>
    <w:rsid w:val="00DE248D"/>
    <w:rsid w:val="00DE29AF"/>
    <w:rsid w:val="00DE484E"/>
    <w:rsid w:val="00DE4CB3"/>
    <w:rsid w:val="00DE62C3"/>
    <w:rsid w:val="00DE71D5"/>
    <w:rsid w:val="00DF03B8"/>
    <w:rsid w:val="00DF1AA7"/>
    <w:rsid w:val="00DF1B91"/>
    <w:rsid w:val="00DF4B11"/>
    <w:rsid w:val="00DF4ED0"/>
    <w:rsid w:val="00DF56ED"/>
    <w:rsid w:val="00DF57EE"/>
    <w:rsid w:val="00DF5881"/>
    <w:rsid w:val="00DF6B8C"/>
    <w:rsid w:val="00DF6E9F"/>
    <w:rsid w:val="00DF6F0C"/>
    <w:rsid w:val="00DF73DB"/>
    <w:rsid w:val="00E0239D"/>
    <w:rsid w:val="00E0309B"/>
    <w:rsid w:val="00E04CB9"/>
    <w:rsid w:val="00E0638A"/>
    <w:rsid w:val="00E070A1"/>
    <w:rsid w:val="00E102BB"/>
    <w:rsid w:val="00E114C4"/>
    <w:rsid w:val="00E11E4F"/>
    <w:rsid w:val="00E12BB2"/>
    <w:rsid w:val="00E14791"/>
    <w:rsid w:val="00E147C8"/>
    <w:rsid w:val="00E15A10"/>
    <w:rsid w:val="00E164D8"/>
    <w:rsid w:val="00E17194"/>
    <w:rsid w:val="00E175F3"/>
    <w:rsid w:val="00E1784B"/>
    <w:rsid w:val="00E17A05"/>
    <w:rsid w:val="00E20BB8"/>
    <w:rsid w:val="00E2118D"/>
    <w:rsid w:val="00E226F3"/>
    <w:rsid w:val="00E228B8"/>
    <w:rsid w:val="00E2344F"/>
    <w:rsid w:val="00E23697"/>
    <w:rsid w:val="00E236F5"/>
    <w:rsid w:val="00E24854"/>
    <w:rsid w:val="00E24967"/>
    <w:rsid w:val="00E252D5"/>
    <w:rsid w:val="00E25CA2"/>
    <w:rsid w:val="00E26649"/>
    <w:rsid w:val="00E26D32"/>
    <w:rsid w:val="00E26F8C"/>
    <w:rsid w:val="00E27007"/>
    <w:rsid w:val="00E27076"/>
    <w:rsid w:val="00E27170"/>
    <w:rsid w:val="00E2763C"/>
    <w:rsid w:val="00E3006F"/>
    <w:rsid w:val="00E300E3"/>
    <w:rsid w:val="00E30669"/>
    <w:rsid w:val="00E31F31"/>
    <w:rsid w:val="00E32C46"/>
    <w:rsid w:val="00E32DE2"/>
    <w:rsid w:val="00E33682"/>
    <w:rsid w:val="00E34A9E"/>
    <w:rsid w:val="00E34AF7"/>
    <w:rsid w:val="00E362A9"/>
    <w:rsid w:val="00E3707C"/>
    <w:rsid w:val="00E372B7"/>
    <w:rsid w:val="00E40D3C"/>
    <w:rsid w:val="00E40F67"/>
    <w:rsid w:val="00E410F0"/>
    <w:rsid w:val="00E42100"/>
    <w:rsid w:val="00E42981"/>
    <w:rsid w:val="00E43E10"/>
    <w:rsid w:val="00E44802"/>
    <w:rsid w:val="00E448E7"/>
    <w:rsid w:val="00E449C0"/>
    <w:rsid w:val="00E45B52"/>
    <w:rsid w:val="00E47420"/>
    <w:rsid w:val="00E47A18"/>
    <w:rsid w:val="00E5006E"/>
    <w:rsid w:val="00E509D6"/>
    <w:rsid w:val="00E51134"/>
    <w:rsid w:val="00E514C9"/>
    <w:rsid w:val="00E52F8A"/>
    <w:rsid w:val="00E532B7"/>
    <w:rsid w:val="00E53498"/>
    <w:rsid w:val="00E53F95"/>
    <w:rsid w:val="00E552A2"/>
    <w:rsid w:val="00E561B7"/>
    <w:rsid w:val="00E5659B"/>
    <w:rsid w:val="00E57E2A"/>
    <w:rsid w:val="00E60BBF"/>
    <w:rsid w:val="00E60CA0"/>
    <w:rsid w:val="00E61635"/>
    <w:rsid w:val="00E632D0"/>
    <w:rsid w:val="00E63B28"/>
    <w:rsid w:val="00E65036"/>
    <w:rsid w:val="00E651A5"/>
    <w:rsid w:val="00E67552"/>
    <w:rsid w:val="00E70079"/>
    <w:rsid w:val="00E708C4"/>
    <w:rsid w:val="00E71971"/>
    <w:rsid w:val="00E73429"/>
    <w:rsid w:val="00E73EEE"/>
    <w:rsid w:val="00E7470E"/>
    <w:rsid w:val="00E756DC"/>
    <w:rsid w:val="00E75E49"/>
    <w:rsid w:val="00E775D8"/>
    <w:rsid w:val="00E7796B"/>
    <w:rsid w:val="00E8028C"/>
    <w:rsid w:val="00E80BD2"/>
    <w:rsid w:val="00E81A5B"/>
    <w:rsid w:val="00E81B71"/>
    <w:rsid w:val="00E81CB4"/>
    <w:rsid w:val="00E81E88"/>
    <w:rsid w:val="00E8279A"/>
    <w:rsid w:val="00E84872"/>
    <w:rsid w:val="00E86936"/>
    <w:rsid w:val="00E86D81"/>
    <w:rsid w:val="00E903E6"/>
    <w:rsid w:val="00E90718"/>
    <w:rsid w:val="00E908B2"/>
    <w:rsid w:val="00E9296A"/>
    <w:rsid w:val="00E9329F"/>
    <w:rsid w:val="00E940E9"/>
    <w:rsid w:val="00E957CE"/>
    <w:rsid w:val="00E95970"/>
    <w:rsid w:val="00E96272"/>
    <w:rsid w:val="00E96CC5"/>
    <w:rsid w:val="00E97169"/>
    <w:rsid w:val="00E97858"/>
    <w:rsid w:val="00EA03D7"/>
    <w:rsid w:val="00EA1D27"/>
    <w:rsid w:val="00EA23B8"/>
    <w:rsid w:val="00EA265F"/>
    <w:rsid w:val="00EA32E0"/>
    <w:rsid w:val="00EA4F09"/>
    <w:rsid w:val="00EA541E"/>
    <w:rsid w:val="00EA64C6"/>
    <w:rsid w:val="00EB0BE5"/>
    <w:rsid w:val="00EB1D0E"/>
    <w:rsid w:val="00EB281A"/>
    <w:rsid w:val="00EB3AF7"/>
    <w:rsid w:val="00EB3E03"/>
    <w:rsid w:val="00EB4F57"/>
    <w:rsid w:val="00EB522C"/>
    <w:rsid w:val="00EB5791"/>
    <w:rsid w:val="00EB5FF9"/>
    <w:rsid w:val="00EB65AD"/>
    <w:rsid w:val="00EC0A4C"/>
    <w:rsid w:val="00EC1127"/>
    <w:rsid w:val="00EC1F81"/>
    <w:rsid w:val="00EC2C77"/>
    <w:rsid w:val="00EC2CEA"/>
    <w:rsid w:val="00EC4098"/>
    <w:rsid w:val="00EC4623"/>
    <w:rsid w:val="00ED0090"/>
    <w:rsid w:val="00ED035D"/>
    <w:rsid w:val="00ED0430"/>
    <w:rsid w:val="00ED14A8"/>
    <w:rsid w:val="00ED3311"/>
    <w:rsid w:val="00ED3B3F"/>
    <w:rsid w:val="00ED41C5"/>
    <w:rsid w:val="00ED5D04"/>
    <w:rsid w:val="00ED7084"/>
    <w:rsid w:val="00ED708F"/>
    <w:rsid w:val="00EE1203"/>
    <w:rsid w:val="00EE13A9"/>
    <w:rsid w:val="00EE32DD"/>
    <w:rsid w:val="00EE39E9"/>
    <w:rsid w:val="00EE7CD3"/>
    <w:rsid w:val="00EF0274"/>
    <w:rsid w:val="00EF0A53"/>
    <w:rsid w:val="00EF1D35"/>
    <w:rsid w:val="00EF2395"/>
    <w:rsid w:val="00EF2B39"/>
    <w:rsid w:val="00EF3367"/>
    <w:rsid w:val="00EF3BDB"/>
    <w:rsid w:val="00EF54A7"/>
    <w:rsid w:val="00EF6664"/>
    <w:rsid w:val="00EF6CEE"/>
    <w:rsid w:val="00EF7D02"/>
    <w:rsid w:val="00F006CC"/>
    <w:rsid w:val="00F010B0"/>
    <w:rsid w:val="00F02D3C"/>
    <w:rsid w:val="00F04158"/>
    <w:rsid w:val="00F05AEF"/>
    <w:rsid w:val="00F06256"/>
    <w:rsid w:val="00F06D37"/>
    <w:rsid w:val="00F10414"/>
    <w:rsid w:val="00F11D91"/>
    <w:rsid w:val="00F13020"/>
    <w:rsid w:val="00F14217"/>
    <w:rsid w:val="00F15811"/>
    <w:rsid w:val="00F15C26"/>
    <w:rsid w:val="00F15DA5"/>
    <w:rsid w:val="00F15E93"/>
    <w:rsid w:val="00F174FD"/>
    <w:rsid w:val="00F17A59"/>
    <w:rsid w:val="00F20056"/>
    <w:rsid w:val="00F2093C"/>
    <w:rsid w:val="00F20D72"/>
    <w:rsid w:val="00F212FC"/>
    <w:rsid w:val="00F21AED"/>
    <w:rsid w:val="00F21BB8"/>
    <w:rsid w:val="00F22386"/>
    <w:rsid w:val="00F22660"/>
    <w:rsid w:val="00F22A53"/>
    <w:rsid w:val="00F22B5A"/>
    <w:rsid w:val="00F2309F"/>
    <w:rsid w:val="00F233AA"/>
    <w:rsid w:val="00F23CD9"/>
    <w:rsid w:val="00F245C2"/>
    <w:rsid w:val="00F246EA"/>
    <w:rsid w:val="00F24E41"/>
    <w:rsid w:val="00F251F6"/>
    <w:rsid w:val="00F2556B"/>
    <w:rsid w:val="00F25754"/>
    <w:rsid w:val="00F25E70"/>
    <w:rsid w:val="00F3048C"/>
    <w:rsid w:val="00F31427"/>
    <w:rsid w:val="00F3346B"/>
    <w:rsid w:val="00F34F95"/>
    <w:rsid w:val="00F3525E"/>
    <w:rsid w:val="00F36371"/>
    <w:rsid w:val="00F37DBF"/>
    <w:rsid w:val="00F40A22"/>
    <w:rsid w:val="00F40F1D"/>
    <w:rsid w:val="00F4199C"/>
    <w:rsid w:val="00F41C6A"/>
    <w:rsid w:val="00F4390E"/>
    <w:rsid w:val="00F43F93"/>
    <w:rsid w:val="00F44EFD"/>
    <w:rsid w:val="00F45B50"/>
    <w:rsid w:val="00F46F69"/>
    <w:rsid w:val="00F478E6"/>
    <w:rsid w:val="00F47D88"/>
    <w:rsid w:val="00F51F4C"/>
    <w:rsid w:val="00F527D7"/>
    <w:rsid w:val="00F53374"/>
    <w:rsid w:val="00F54B11"/>
    <w:rsid w:val="00F56090"/>
    <w:rsid w:val="00F56526"/>
    <w:rsid w:val="00F569E3"/>
    <w:rsid w:val="00F57729"/>
    <w:rsid w:val="00F6000F"/>
    <w:rsid w:val="00F6020C"/>
    <w:rsid w:val="00F61033"/>
    <w:rsid w:val="00F63639"/>
    <w:rsid w:val="00F63AC8"/>
    <w:rsid w:val="00F648A8"/>
    <w:rsid w:val="00F65C0E"/>
    <w:rsid w:val="00F67A94"/>
    <w:rsid w:val="00F70456"/>
    <w:rsid w:val="00F71D4E"/>
    <w:rsid w:val="00F722B2"/>
    <w:rsid w:val="00F74222"/>
    <w:rsid w:val="00F75277"/>
    <w:rsid w:val="00F76125"/>
    <w:rsid w:val="00F76DB6"/>
    <w:rsid w:val="00F7714F"/>
    <w:rsid w:val="00F7718F"/>
    <w:rsid w:val="00F77EEB"/>
    <w:rsid w:val="00F80882"/>
    <w:rsid w:val="00F81411"/>
    <w:rsid w:val="00F8199E"/>
    <w:rsid w:val="00F8240B"/>
    <w:rsid w:val="00F83376"/>
    <w:rsid w:val="00F850C3"/>
    <w:rsid w:val="00F85150"/>
    <w:rsid w:val="00F869E5"/>
    <w:rsid w:val="00F87792"/>
    <w:rsid w:val="00F8780A"/>
    <w:rsid w:val="00F903EB"/>
    <w:rsid w:val="00F9389E"/>
    <w:rsid w:val="00F94558"/>
    <w:rsid w:val="00F96013"/>
    <w:rsid w:val="00F9686D"/>
    <w:rsid w:val="00F97650"/>
    <w:rsid w:val="00F97F6A"/>
    <w:rsid w:val="00FA0832"/>
    <w:rsid w:val="00FA2ADF"/>
    <w:rsid w:val="00FA3209"/>
    <w:rsid w:val="00FA64D2"/>
    <w:rsid w:val="00FA64D4"/>
    <w:rsid w:val="00FA65D7"/>
    <w:rsid w:val="00FA6DF9"/>
    <w:rsid w:val="00FA7649"/>
    <w:rsid w:val="00FB0237"/>
    <w:rsid w:val="00FB0328"/>
    <w:rsid w:val="00FB066B"/>
    <w:rsid w:val="00FB0998"/>
    <w:rsid w:val="00FB09A4"/>
    <w:rsid w:val="00FB135B"/>
    <w:rsid w:val="00FB1786"/>
    <w:rsid w:val="00FB1AA7"/>
    <w:rsid w:val="00FB1AEA"/>
    <w:rsid w:val="00FB3D18"/>
    <w:rsid w:val="00FB60CC"/>
    <w:rsid w:val="00FB632C"/>
    <w:rsid w:val="00FB6C15"/>
    <w:rsid w:val="00FB7FCD"/>
    <w:rsid w:val="00FC0410"/>
    <w:rsid w:val="00FC1337"/>
    <w:rsid w:val="00FC22F9"/>
    <w:rsid w:val="00FC34BE"/>
    <w:rsid w:val="00FC3A22"/>
    <w:rsid w:val="00FC4D86"/>
    <w:rsid w:val="00FC5732"/>
    <w:rsid w:val="00FC5F9D"/>
    <w:rsid w:val="00FC638B"/>
    <w:rsid w:val="00FC741A"/>
    <w:rsid w:val="00FC7828"/>
    <w:rsid w:val="00FC78B2"/>
    <w:rsid w:val="00FD0187"/>
    <w:rsid w:val="00FD080E"/>
    <w:rsid w:val="00FD184D"/>
    <w:rsid w:val="00FD2060"/>
    <w:rsid w:val="00FD3166"/>
    <w:rsid w:val="00FD4585"/>
    <w:rsid w:val="00FD4725"/>
    <w:rsid w:val="00FD4A23"/>
    <w:rsid w:val="00FD69BC"/>
    <w:rsid w:val="00FD6A16"/>
    <w:rsid w:val="00FD776C"/>
    <w:rsid w:val="00FE0D99"/>
    <w:rsid w:val="00FE1B53"/>
    <w:rsid w:val="00FE2352"/>
    <w:rsid w:val="00FE2888"/>
    <w:rsid w:val="00FE3578"/>
    <w:rsid w:val="00FE3AB7"/>
    <w:rsid w:val="00FE5844"/>
    <w:rsid w:val="00FE5F2F"/>
    <w:rsid w:val="00FE6481"/>
    <w:rsid w:val="00FE6F02"/>
    <w:rsid w:val="00FE7990"/>
    <w:rsid w:val="00FE7C22"/>
    <w:rsid w:val="00FF0960"/>
    <w:rsid w:val="00FF0E7D"/>
    <w:rsid w:val="00FF114F"/>
    <w:rsid w:val="00FF18F2"/>
    <w:rsid w:val="00FF212E"/>
    <w:rsid w:val="00FF32FE"/>
    <w:rsid w:val="00FF3D5A"/>
    <w:rsid w:val="00FF52C7"/>
    <w:rsid w:val="00FF73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6AE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222"/>
    <w:pPr>
      <w:ind w:firstLine="720"/>
      <w:contextualSpacing/>
      <w:jc w:val="both"/>
    </w:pPr>
  </w:style>
  <w:style w:type="paragraph" w:styleId="Heading1">
    <w:name w:val="heading 1"/>
    <w:basedOn w:val="Normal"/>
    <w:next w:val="Normal"/>
    <w:link w:val="Heading1Char"/>
    <w:uiPriority w:val="9"/>
    <w:qFormat/>
    <w:rsid w:val="00515A8B"/>
    <w:pPr>
      <w:keepNext/>
      <w:numPr>
        <w:numId w:val="6"/>
      </w:numPr>
      <w:spacing w:before="240" w:after="240"/>
      <w:jc w:val="left"/>
      <w:outlineLvl w:val="0"/>
    </w:pPr>
    <w:rPr>
      <w:rFonts w:cs="Times New Roman"/>
      <w:b/>
      <w:caps/>
      <w:sz w:val="28"/>
    </w:rPr>
  </w:style>
  <w:style w:type="paragraph" w:styleId="Heading2">
    <w:name w:val="heading 2"/>
    <w:basedOn w:val="Normal"/>
    <w:next w:val="Normal"/>
    <w:link w:val="Heading2Char"/>
    <w:uiPriority w:val="9"/>
    <w:unhideWhenUsed/>
    <w:qFormat/>
    <w:rsid w:val="004B2C5C"/>
    <w:pPr>
      <w:keepNext/>
      <w:keepLines/>
      <w:numPr>
        <w:ilvl w:val="1"/>
        <w:numId w:val="6"/>
      </w:numPr>
      <w:spacing w:before="240" w:after="240"/>
      <w:jc w:val="left"/>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4B2C5C"/>
    <w:pPr>
      <w:keepNext/>
      <w:keepLines/>
      <w:numPr>
        <w:ilvl w:val="2"/>
        <w:numId w:val="6"/>
      </w:numPr>
      <w:spacing w:before="240" w:after="240"/>
      <w:jc w:val="left"/>
      <w:outlineLvl w:val="2"/>
    </w:pPr>
    <w:rPr>
      <w:rFonts w:eastAsiaTheme="majorEastAsia" w:cs="Times New Roman"/>
      <w:b/>
      <w:bCs/>
    </w:rPr>
  </w:style>
  <w:style w:type="paragraph" w:styleId="Heading4">
    <w:name w:val="heading 4"/>
    <w:basedOn w:val="Normal"/>
    <w:next w:val="Normal"/>
    <w:link w:val="Heading4Char"/>
    <w:uiPriority w:val="9"/>
    <w:unhideWhenUsed/>
    <w:qFormat/>
    <w:rsid w:val="006816EA"/>
    <w:pPr>
      <w:keepNext/>
      <w:numPr>
        <w:ilvl w:val="3"/>
        <w:numId w:val="6"/>
      </w:numPr>
      <w:spacing w:before="240" w:after="240"/>
      <w:jc w:val="left"/>
      <w:outlineLvl w:val="3"/>
    </w:pPr>
    <w:rPr>
      <w:b/>
    </w:rPr>
  </w:style>
  <w:style w:type="paragraph" w:styleId="Heading5">
    <w:name w:val="heading 5"/>
    <w:basedOn w:val="Heading4"/>
    <w:next w:val="Heading4"/>
    <w:link w:val="Heading5Char"/>
    <w:uiPriority w:val="9"/>
    <w:unhideWhenUsed/>
    <w:qFormat/>
    <w:rsid w:val="00217B23"/>
    <w:pPr>
      <w:keepLines/>
      <w:numPr>
        <w:ilvl w:val="4"/>
      </w:numPr>
      <w:spacing w:before="20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F74222"/>
    <w:pPr>
      <w:keepNext/>
      <w:keepLines/>
      <w:numPr>
        <w:ilvl w:val="5"/>
        <w:numId w:val="6"/>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F74222"/>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74222"/>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74222"/>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next w:val="Normal"/>
    <w:link w:val="ListBullet2Char"/>
    <w:qFormat/>
    <w:rsid w:val="00F74222"/>
    <w:pPr>
      <w:numPr>
        <w:numId w:val="1"/>
      </w:numPr>
      <w:spacing w:before="100" w:beforeAutospacing="1" w:after="100" w:afterAutospacing="1"/>
      <w:ind w:left="0" w:firstLine="0"/>
    </w:pPr>
    <w:rPr>
      <w:rFonts w:ascii="Arial" w:eastAsia="Times New Roman" w:hAnsi="Arial" w:cs="Times New Roman"/>
      <w:lang w:eastAsia="lv-LV"/>
    </w:rPr>
  </w:style>
  <w:style w:type="paragraph" w:styleId="FootnoteText">
    <w:name w:val="footnote text"/>
    <w:aliases w:val="fn,FT,ft,SD Footnote Text,Footnote Text AG,Fußnote"/>
    <w:basedOn w:val="Normal"/>
    <w:link w:val="FootnoteTextChar"/>
    <w:uiPriority w:val="99"/>
    <w:unhideWhenUsed/>
    <w:rsid w:val="00F74222"/>
    <w:rPr>
      <w:sz w:val="20"/>
      <w:szCs w:val="20"/>
    </w:rPr>
  </w:style>
  <w:style w:type="character" w:customStyle="1" w:styleId="FootnoteTextChar">
    <w:name w:val="Footnote Text Char"/>
    <w:aliases w:val="fn Char,FT Char,ft Char,SD Footnote Text Char,Footnote Text AG Char,Fußnote Char"/>
    <w:basedOn w:val="DefaultParagraphFont"/>
    <w:link w:val="FootnoteText"/>
    <w:uiPriority w:val="99"/>
    <w:rsid w:val="00F74222"/>
    <w:rPr>
      <w:sz w:val="20"/>
      <w:szCs w:val="20"/>
    </w:rPr>
  </w:style>
  <w:style w:type="character" w:customStyle="1" w:styleId="ListBullet2Char">
    <w:name w:val="List Bullet 2 Char"/>
    <w:link w:val="ListBullet2"/>
    <w:rsid w:val="00F74222"/>
    <w:rPr>
      <w:rFonts w:ascii="Arial" w:eastAsia="Times New Roman" w:hAnsi="Arial" w:cs="Times New Roman"/>
      <w:lang w:eastAsia="lv-LV"/>
    </w:rPr>
  </w:style>
  <w:style w:type="character" w:styleId="FootnoteReference">
    <w:name w:val="footnote reference"/>
    <w:aliases w:val="SUPERS,Footnote symbo,Times 10 Point,Exposant 3 Point,Footnote,fr,Footnote symbol"/>
    <w:basedOn w:val="DefaultParagraphFont"/>
    <w:uiPriority w:val="99"/>
    <w:unhideWhenUsed/>
    <w:rsid w:val="00F74222"/>
    <w:rPr>
      <w:vertAlign w:val="superscript"/>
    </w:rPr>
  </w:style>
  <w:style w:type="character" w:styleId="CommentReference">
    <w:name w:val="annotation reference"/>
    <w:uiPriority w:val="99"/>
    <w:rsid w:val="00F74222"/>
    <w:rPr>
      <w:sz w:val="16"/>
      <w:szCs w:val="16"/>
    </w:rPr>
  </w:style>
  <w:style w:type="paragraph" w:styleId="CommentText">
    <w:name w:val="annotation text"/>
    <w:basedOn w:val="Normal"/>
    <w:link w:val="CommentTextChar"/>
    <w:uiPriority w:val="99"/>
    <w:rsid w:val="00F74222"/>
    <w:pPr>
      <w:spacing w:after="160" w:line="259" w:lineRule="auto"/>
    </w:pPr>
    <w:rPr>
      <w:rFonts w:ascii="Arial" w:eastAsia="Times New Roman" w:hAnsi="Arial" w:cs="Times New Roman"/>
      <w:sz w:val="20"/>
      <w:szCs w:val="20"/>
      <w:lang w:eastAsia="lv-LV"/>
    </w:rPr>
  </w:style>
  <w:style w:type="character" w:customStyle="1" w:styleId="CommentTextChar">
    <w:name w:val="Comment Text Char"/>
    <w:basedOn w:val="DefaultParagraphFont"/>
    <w:link w:val="CommentText"/>
    <w:uiPriority w:val="99"/>
    <w:rsid w:val="00F74222"/>
    <w:rPr>
      <w:rFonts w:ascii="Arial" w:eastAsia="Times New Roman" w:hAnsi="Arial" w:cs="Times New Roman"/>
      <w:sz w:val="20"/>
      <w:szCs w:val="20"/>
      <w:lang w:eastAsia="lv-LV"/>
    </w:rPr>
  </w:style>
  <w:style w:type="paragraph" w:styleId="Caption">
    <w:name w:val="caption"/>
    <w:aliases w:val="(Caption Figure&amp;Table)"/>
    <w:basedOn w:val="Normal"/>
    <w:next w:val="Normal"/>
    <w:autoRedefine/>
    <w:uiPriority w:val="35"/>
    <w:unhideWhenUsed/>
    <w:qFormat/>
    <w:rsid w:val="0029257A"/>
    <w:pPr>
      <w:spacing w:after="120"/>
      <w:jc w:val="center"/>
    </w:pPr>
    <w:rPr>
      <w:b/>
      <w:bCs/>
      <w:sz w:val="20"/>
      <w:szCs w:val="18"/>
    </w:rPr>
  </w:style>
  <w:style w:type="paragraph" w:customStyle="1" w:styleId="Bulletpoints">
    <w:name w:val="Bullet points"/>
    <w:basedOn w:val="ListBullet2"/>
    <w:qFormat/>
    <w:rsid w:val="00F74222"/>
    <w:pPr>
      <w:numPr>
        <w:numId w:val="2"/>
      </w:numPr>
      <w:spacing w:before="0" w:beforeAutospacing="0" w:after="0" w:afterAutospacing="0"/>
    </w:pPr>
    <w:rPr>
      <w:rFonts w:ascii="Times New Roman" w:hAnsi="Times New Roman"/>
    </w:rPr>
  </w:style>
  <w:style w:type="paragraph" w:customStyle="1" w:styleId="headingEY">
    <w:name w:val="headingEY"/>
    <w:basedOn w:val="Normal"/>
    <w:link w:val="headingEYChar"/>
    <w:qFormat/>
    <w:rsid w:val="00F74222"/>
    <w:pPr>
      <w:keepNext/>
      <w:pageBreakBefore/>
      <w:spacing w:after="240" w:line="259" w:lineRule="auto"/>
      <w:outlineLvl w:val="0"/>
    </w:pPr>
    <w:rPr>
      <w:rFonts w:ascii="Arial" w:eastAsia="Times New Roman" w:hAnsi="Arial" w:cs="Times New Roman"/>
      <w:b/>
      <w:color w:val="7F7E82"/>
      <w:kern w:val="12"/>
      <w:sz w:val="28"/>
      <w:lang w:eastAsia="lv-LV"/>
    </w:rPr>
  </w:style>
  <w:style w:type="character" w:customStyle="1" w:styleId="headingEYChar">
    <w:name w:val="headingEY Char"/>
    <w:link w:val="headingEY"/>
    <w:rsid w:val="00F74222"/>
    <w:rPr>
      <w:rFonts w:ascii="Arial" w:eastAsia="Times New Roman" w:hAnsi="Arial" w:cs="Times New Roman"/>
      <w:b/>
      <w:color w:val="7F7E82"/>
      <w:kern w:val="12"/>
      <w:sz w:val="28"/>
      <w:lang w:eastAsia="lv-LV"/>
    </w:rPr>
  </w:style>
  <w:style w:type="paragraph" w:customStyle="1" w:styleId="footnotes">
    <w:name w:val="footnotes"/>
    <w:basedOn w:val="FootnoteText"/>
    <w:link w:val="footnotesChar"/>
    <w:qFormat/>
    <w:rsid w:val="00F74222"/>
    <w:rPr>
      <w:color w:val="000000"/>
      <w:sz w:val="16"/>
      <w:szCs w:val="16"/>
    </w:rPr>
  </w:style>
  <w:style w:type="character" w:customStyle="1" w:styleId="footnotesChar">
    <w:name w:val="footnotes Char"/>
    <w:link w:val="footnotes"/>
    <w:rsid w:val="00F74222"/>
    <w:rPr>
      <w:color w:val="000000"/>
      <w:sz w:val="16"/>
      <w:szCs w:val="16"/>
    </w:rPr>
  </w:style>
  <w:style w:type="paragraph" w:styleId="E-mailSignature">
    <w:name w:val="E-mail Signature"/>
    <w:basedOn w:val="Normal"/>
    <w:link w:val="E-mailSignatureChar"/>
    <w:uiPriority w:val="99"/>
    <w:semiHidden/>
    <w:unhideWhenUsed/>
    <w:rsid w:val="00F74222"/>
  </w:style>
  <w:style w:type="character" w:customStyle="1" w:styleId="E-mailSignatureChar">
    <w:name w:val="E-mail Signature Char"/>
    <w:basedOn w:val="DefaultParagraphFont"/>
    <w:link w:val="E-mailSignature"/>
    <w:uiPriority w:val="99"/>
    <w:semiHidden/>
    <w:rsid w:val="00F74222"/>
  </w:style>
  <w:style w:type="paragraph" w:styleId="BalloonText">
    <w:name w:val="Balloon Text"/>
    <w:basedOn w:val="Normal"/>
    <w:link w:val="BalloonTextChar"/>
    <w:uiPriority w:val="99"/>
    <w:semiHidden/>
    <w:unhideWhenUsed/>
    <w:rsid w:val="00F74222"/>
    <w:rPr>
      <w:rFonts w:ascii="Tahoma" w:hAnsi="Tahoma" w:cs="Tahoma"/>
      <w:sz w:val="16"/>
      <w:szCs w:val="16"/>
    </w:rPr>
  </w:style>
  <w:style w:type="character" w:customStyle="1" w:styleId="BalloonTextChar">
    <w:name w:val="Balloon Text Char"/>
    <w:basedOn w:val="DefaultParagraphFont"/>
    <w:link w:val="BalloonText"/>
    <w:uiPriority w:val="99"/>
    <w:semiHidden/>
    <w:rsid w:val="00F74222"/>
    <w:rPr>
      <w:rFonts w:ascii="Tahoma" w:hAnsi="Tahoma" w:cs="Tahoma"/>
      <w:sz w:val="16"/>
      <w:szCs w:val="16"/>
    </w:rPr>
  </w:style>
  <w:style w:type="character" w:customStyle="1" w:styleId="Heading1Char">
    <w:name w:val="Heading 1 Char"/>
    <w:basedOn w:val="DefaultParagraphFont"/>
    <w:link w:val="Heading1"/>
    <w:uiPriority w:val="9"/>
    <w:rsid w:val="00515A8B"/>
    <w:rPr>
      <w:rFonts w:cs="Times New Roman"/>
      <w:b/>
      <w:caps/>
      <w:sz w:val="28"/>
    </w:rPr>
  </w:style>
  <w:style w:type="character" w:customStyle="1" w:styleId="Heading2Char">
    <w:name w:val="Heading 2 Char"/>
    <w:basedOn w:val="DefaultParagraphFont"/>
    <w:link w:val="Heading2"/>
    <w:uiPriority w:val="9"/>
    <w:rsid w:val="004B2C5C"/>
    <w:rPr>
      <w:rFonts w:eastAsiaTheme="majorEastAsia" w:cstheme="majorBidi"/>
      <w:b/>
      <w:bCs/>
      <w:szCs w:val="26"/>
    </w:rPr>
  </w:style>
  <w:style w:type="character" w:customStyle="1" w:styleId="Heading3Char">
    <w:name w:val="Heading 3 Char"/>
    <w:basedOn w:val="DefaultParagraphFont"/>
    <w:link w:val="Heading3"/>
    <w:uiPriority w:val="9"/>
    <w:rsid w:val="004B2C5C"/>
    <w:rPr>
      <w:rFonts w:eastAsiaTheme="majorEastAsia" w:cs="Times New Roman"/>
      <w:b/>
      <w:bCs/>
    </w:rPr>
  </w:style>
  <w:style w:type="character" w:customStyle="1" w:styleId="Heading4Char">
    <w:name w:val="Heading 4 Char"/>
    <w:basedOn w:val="DefaultParagraphFont"/>
    <w:link w:val="Heading4"/>
    <w:uiPriority w:val="9"/>
    <w:rsid w:val="006816EA"/>
    <w:rPr>
      <w:b/>
    </w:rPr>
  </w:style>
  <w:style w:type="character" w:customStyle="1" w:styleId="Heading5Char">
    <w:name w:val="Heading 5 Char"/>
    <w:basedOn w:val="DefaultParagraphFont"/>
    <w:link w:val="Heading5"/>
    <w:uiPriority w:val="9"/>
    <w:rsid w:val="00217B23"/>
    <w:rPr>
      <w:rFonts w:eastAsiaTheme="majorEastAsia" w:cstheme="majorBidi"/>
      <w:b/>
    </w:rPr>
  </w:style>
  <w:style w:type="character" w:customStyle="1" w:styleId="Heading6Char">
    <w:name w:val="Heading 6 Char"/>
    <w:basedOn w:val="DefaultParagraphFont"/>
    <w:link w:val="Heading6"/>
    <w:uiPriority w:val="9"/>
    <w:semiHidden/>
    <w:rsid w:val="00F74222"/>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F7422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7422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74222"/>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qFormat/>
    <w:rsid w:val="00F74222"/>
    <w:pPr>
      <w:spacing w:after="120" w:line="259" w:lineRule="auto"/>
    </w:pPr>
    <w:rPr>
      <w:rFonts w:ascii="Arial" w:eastAsia="Times New Roman" w:hAnsi="Arial" w:cs="Times New Roman"/>
      <w:sz w:val="20"/>
      <w:lang w:eastAsia="lv-LV"/>
    </w:rPr>
  </w:style>
  <w:style w:type="character" w:customStyle="1" w:styleId="BodyTextChar">
    <w:name w:val="Body Text Char"/>
    <w:basedOn w:val="DefaultParagraphFont"/>
    <w:link w:val="BodyText"/>
    <w:rsid w:val="00F74222"/>
    <w:rPr>
      <w:rFonts w:ascii="Arial" w:eastAsia="Times New Roman" w:hAnsi="Arial" w:cs="Times New Roman"/>
      <w:sz w:val="20"/>
      <w:lang w:eastAsia="lv-LV"/>
    </w:rPr>
  </w:style>
  <w:style w:type="paragraph" w:styleId="ListParagraph">
    <w:name w:val="List Paragraph"/>
    <w:aliases w:val="Numbering,ERP-List Paragraph,List Paragraph1,List Paragraph11,Paragraph,Bullet EY,List Paragraph2,Bullet List,Normal bullet 2,List L1,List not in Table,List Paragraph21,Lentele,List Paragraph Red,VARNELES,Bullet PP,lp1,ITS_Bullets"/>
    <w:basedOn w:val="Normal"/>
    <w:link w:val="ListParagraphChar"/>
    <w:uiPriority w:val="34"/>
    <w:qFormat/>
    <w:rsid w:val="00F74222"/>
    <w:pPr>
      <w:ind w:left="720"/>
    </w:pPr>
  </w:style>
  <w:style w:type="paragraph" w:customStyle="1" w:styleId="9ptablebullet">
    <w:name w:val="9p table bullet"/>
    <w:basedOn w:val="ListBullet2"/>
    <w:qFormat/>
    <w:rsid w:val="00F74222"/>
    <w:pPr>
      <w:numPr>
        <w:numId w:val="3"/>
      </w:numPr>
    </w:pPr>
    <w:rPr>
      <w:sz w:val="18"/>
    </w:rPr>
  </w:style>
  <w:style w:type="character" w:customStyle="1" w:styleId="ListParagraphChar">
    <w:name w:val="List Paragraph Char"/>
    <w:aliases w:val="Numbering Char,ERP-List Paragraph Char,List Paragraph1 Char,List Paragraph11 Char,Paragraph Char,Bullet EY Char,List Paragraph2 Char,Bullet List Char,Normal bullet 2 Char,List L1 Char,List not in Table Char,List Paragraph21 Char"/>
    <w:link w:val="ListParagraph"/>
    <w:uiPriority w:val="34"/>
    <w:locked/>
    <w:rsid w:val="00F74222"/>
  </w:style>
  <w:style w:type="paragraph" w:styleId="Header">
    <w:name w:val="header"/>
    <w:basedOn w:val="Normal"/>
    <w:link w:val="HeaderChar"/>
    <w:uiPriority w:val="99"/>
    <w:unhideWhenUsed/>
    <w:rsid w:val="00F74222"/>
    <w:pPr>
      <w:tabs>
        <w:tab w:val="center" w:pos="4153"/>
        <w:tab w:val="right" w:pos="8306"/>
      </w:tabs>
    </w:pPr>
  </w:style>
  <w:style w:type="character" w:customStyle="1" w:styleId="HeaderChar">
    <w:name w:val="Header Char"/>
    <w:basedOn w:val="DefaultParagraphFont"/>
    <w:link w:val="Header"/>
    <w:uiPriority w:val="99"/>
    <w:rsid w:val="00F74222"/>
  </w:style>
  <w:style w:type="paragraph" w:styleId="Footer">
    <w:name w:val="footer"/>
    <w:basedOn w:val="Normal"/>
    <w:link w:val="FooterChar"/>
    <w:uiPriority w:val="99"/>
    <w:unhideWhenUsed/>
    <w:rsid w:val="00F74222"/>
    <w:pPr>
      <w:tabs>
        <w:tab w:val="center" w:pos="4153"/>
        <w:tab w:val="right" w:pos="8306"/>
      </w:tabs>
    </w:pPr>
  </w:style>
  <w:style w:type="character" w:customStyle="1" w:styleId="FooterChar">
    <w:name w:val="Footer Char"/>
    <w:basedOn w:val="DefaultParagraphFont"/>
    <w:link w:val="Footer"/>
    <w:uiPriority w:val="99"/>
    <w:rsid w:val="00F74222"/>
  </w:style>
  <w:style w:type="paragraph" w:styleId="TOCHeading">
    <w:name w:val="TOC Heading"/>
    <w:basedOn w:val="Heading1"/>
    <w:next w:val="Normal"/>
    <w:uiPriority w:val="39"/>
    <w:unhideWhenUsed/>
    <w:qFormat/>
    <w:rsid w:val="00F74222"/>
    <w:pPr>
      <w:keepLines/>
      <w:numPr>
        <w:numId w:val="0"/>
      </w:numPr>
      <w:spacing w:after="0" w:line="259" w:lineRule="auto"/>
      <w:contextualSpacing w:val="0"/>
      <w:outlineLvl w:val="9"/>
    </w:pPr>
    <w:rPr>
      <w:rFonts w:asciiTheme="majorHAnsi" w:eastAsiaTheme="majorEastAsia" w:hAnsiTheme="majorHAnsi" w:cstheme="majorBidi"/>
      <w:b w:val="0"/>
      <w:caps w:val="0"/>
      <w:color w:val="2E74B5" w:themeColor="accent1" w:themeShade="BF"/>
      <w:sz w:val="32"/>
      <w:szCs w:val="32"/>
      <w:lang w:val="en-US"/>
    </w:rPr>
  </w:style>
  <w:style w:type="paragraph" w:styleId="TOC1">
    <w:name w:val="toc 1"/>
    <w:basedOn w:val="Normal"/>
    <w:next w:val="Normal"/>
    <w:autoRedefine/>
    <w:uiPriority w:val="39"/>
    <w:unhideWhenUsed/>
    <w:rsid w:val="00FF18F2"/>
    <w:pPr>
      <w:spacing w:after="100"/>
    </w:pPr>
    <w:rPr>
      <w:b/>
    </w:rPr>
  </w:style>
  <w:style w:type="paragraph" w:styleId="TOC3">
    <w:name w:val="toc 3"/>
    <w:basedOn w:val="Normal"/>
    <w:next w:val="Normal"/>
    <w:autoRedefine/>
    <w:uiPriority w:val="39"/>
    <w:unhideWhenUsed/>
    <w:rsid w:val="00F74222"/>
    <w:pPr>
      <w:spacing w:after="100"/>
      <w:ind w:left="480"/>
    </w:pPr>
  </w:style>
  <w:style w:type="paragraph" w:styleId="TOC2">
    <w:name w:val="toc 2"/>
    <w:basedOn w:val="Normal"/>
    <w:next w:val="Normal"/>
    <w:autoRedefine/>
    <w:uiPriority w:val="39"/>
    <w:unhideWhenUsed/>
    <w:rsid w:val="00F74222"/>
    <w:pPr>
      <w:spacing w:after="100"/>
      <w:ind w:left="240"/>
    </w:pPr>
  </w:style>
  <w:style w:type="character" w:styleId="Hyperlink">
    <w:name w:val="Hyperlink"/>
    <w:basedOn w:val="DefaultParagraphFont"/>
    <w:uiPriority w:val="99"/>
    <w:unhideWhenUsed/>
    <w:rsid w:val="00F74222"/>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F74222"/>
    <w:pPr>
      <w:spacing w:after="0" w:line="240" w:lineRule="auto"/>
      <w:jc w:val="left"/>
    </w:pPr>
    <w:rPr>
      <w:b/>
      <w:bCs/>
    </w:rPr>
  </w:style>
  <w:style w:type="character" w:customStyle="1" w:styleId="CommentSubjectChar">
    <w:name w:val="Comment Subject Char"/>
    <w:basedOn w:val="CommentTextChar"/>
    <w:link w:val="CommentSubject"/>
    <w:uiPriority w:val="99"/>
    <w:semiHidden/>
    <w:rsid w:val="00F74222"/>
    <w:rPr>
      <w:rFonts w:ascii="Arial" w:eastAsia="Times New Roman" w:hAnsi="Arial" w:cs="Times New Roman"/>
      <w:b/>
      <w:bCs/>
      <w:sz w:val="20"/>
      <w:szCs w:val="20"/>
      <w:lang w:eastAsia="lv-LV"/>
    </w:rPr>
  </w:style>
  <w:style w:type="paragraph" w:styleId="Revision">
    <w:name w:val="Revision"/>
    <w:hidden/>
    <w:uiPriority w:val="99"/>
    <w:semiHidden/>
    <w:rsid w:val="00F74222"/>
  </w:style>
  <w:style w:type="table" w:styleId="TableGrid">
    <w:name w:val="Table Grid"/>
    <w:basedOn w:val="TableNormal"/>
    <w:uiPriority w:val="59"/>
    <w:rsid w:val="00F74222"/>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F74222"/>
    <w:pPr>
      <w:contextualSpacing/>
    </w:pPr>
  </w:style>
  <w:style w:type="character" w:styleId="PlaceholderText">
    <w:name w:val="Placeholder Text"/>
    <w:basedOn w:val="DefaultParagraphFont"/>
    <w:uiPriority w:val="99"/>
    <w:semiHidden/>
    <w:rsid w:val="00F74222"/>
    <w:rPr>
      <w:color w:val="808080"/>
    </w:rPr>
  </w:style>
  <w:style w:type="character" w:customStyle="1" w:styleId="NoSpacingChar">
    <w:name w:val="No Spacing Char"/>
    <w:basedOn w:val="DefaultParagraphFont"/>
    <w:link w:val="NoSpacing"/>
    <w:uiPriority w:val="1"/>
    <w:rsid w:val="00F74222"/>
  </w:style>
  <w:style w:type="paragraph" w:styleId="TOC4">
    <w:name w:val="toc 4"/>
    <w:basedOn w:val="Normal"/>
    <w:next w:val="Normal"/>
    <w:autoRedefine/>
    <w:uiPriority w:val="39"/>
    <w:unhideWhenUsed/>
    <w:rsid w:val="00F74222"/>
    <w:pPr>
      <w:spacing w:after="100"/>
      <w:ind w:left="720"/>
    </w:pPr>
  </w:style>
  <w:style w:type="paragraph" w:styleId="Bibliography">
    <w:name w:val="Bibliography"/>
    <w:basedOn w:val="Normal"/>
    <w:next w:val="Normal"/>
    <w:uiPriority w:val="37"/>
    <w:unhideWhenUsed/>
    <w:rsid w:val="00F74222"/>
  </w:style>
  <w:style w:type="character" w:styleId="FollowedHyperlink">
    <w:name w:val="FollowedHyperlink"/>
    <w:basedOn w:val="DefaultParagraphFont"/>
    <w:uiPriority w:val="99"/>
    <w:semiHidden/>
    <w:unhideWhenUsed/>
    <w:rsid w:val="00F74222"/>
    <w:rPr>
      <w:color w:val="954F72" w:themeColor="followedHyperlink"/>
      <w:u w:val="single"/>
    </w:rPr>
  </w:style>
  <w:style w:type="paragraph" w:customStyle="1" w:styleId="Normal1">
    <w:name w:val="Normal1"/>
    <w:basedOn w:val="Normal"/>
    <w:rsid w:val="00E81A5B"/>
    <w:pPr>
      <w:spacing w:before="100" w:beforeAutospacing="1" w:after="100" w:afterAutospacing="1"/>
      <w:ind w:firstLine="0"/>
      <w:contextualSpacing w:val="0"/>
      <w:jc w:val="left"/>
    </w:pPr>
    <w:rPr>
      <w:rFonts w:eastAsia="Times New Roman" w:cs="Times New Roman"/>
      <w:lang w:eastAsia="lv-LV"/>
    </w:rPr>
  </w:style>
  <w:style w:type="character" w:customStyle="1" w:styleId="italic">
    <w:name w:val="italic"/>
    <w:basedOn w:val="DefaultParagraphFont"/>
    <w:rsid w:val="00E81A5B"/>
  </w:style>
  <w:style w:type="numbering" w:customStyle="1" w:styleId="NoList1">
    <w:name w:val="No List1"/>
    <w:next w:val="NoList"/>
    <w:uiPriority w:val="99"/>
    <w:semiHidden/>
    <w:unhideWhenUsed/>
    <w:rsid w:val="00203E3B"/>
  </w:style>
  <w:style w:type="paragraph" w:customStyle="1" w:styleId="Parasts1">
    <w:name w:val="Parasts1"/>
    <w:basedOn w:val="Normal"/>
    <w:rsid w:val="00203E3B"/>
    <w:pPr>
      <w:spacing w:before="100" w:beforeAutospacing="1" w:after="100" w:afterAutospacing="1"/>
      <w:ind w:firstLine="0"/>
      <w:contextualSpacing w:val="0"/>
      <w:jc w:val="left"/>
    </w:pPr>
    <w:rPr>
      <w:rFonts w:eastAsia="Times New Roman" w:cs="Times New Roman"/>
      <w:lang w:eastAsia="lv-LV"/>
    </w:rPr>
  </w:style>
  <w:style w:type="table" w:customStyle="1" w:styleId="TableGrid1">
    <w:name w:val="Table Grid1"/>
    <w:basedOn w:val="TableNormal"/>
    <w:next w:val="TableGrid"/>
    <w:uiPriority w:val="39"/>
    <w:rsid w:val="00203E3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Normal"/>
    <w:rsid w:val="00203E3B"/>
    <w:pPr>
      <w:spacing w:before="100" w:beforeAutospacing="1" w:after="100" w:afterAutospacing="1"/>
      <w:ind w:firstLine="0"/>
      <w:contextualSpacing w:val="0"/>
      <w:jc w:val="left"/>
    </w:pPr>
    <w:rPr>
      <w:rFonts w:eastAsia="Times New Roman" w:cs="Times New Roman"/>
      <w:lang w:eastAsia="lv-LV"/>
    </w:rPr>
  </w:style>
  <w:style w:type="character" w:customStyle="1" w:styleId="bold">
    <w:name w:val="bold"/>
    <w:basedOn w:val="DefaultParagraphFont"/>
    <w:rsid w:val="00203E3B"/>
  </w:style>
  <w:style w:type="paragraph" w:customStyle="1" w:styleId="Normal2">
    <w:name w:val="Normal2"/>
    <w:basedOn w:val="Normal"/>
    <w:rsid w:val="00203E3B"/>
    <w:pPr>
      <w:spacing w:before="100" w:beforeAutospacing="1" w:after="100" w:afterAutospacing="1"/>
      <w:ind w:firstLine="0"/>
      <w:contextualSpacing w:val="0"/>
      <w:jc w:val="left"/>
    </w:pPr>
    <w:rPr>
      <w:rFonts w:eastAsia="Times New Roman" w:cs="Times New Roman"/>
      <w:lang w:eastAsia="lv-LV"/>
    </w:rPr>
  </w:style>
  <w:style w:type="paragraph" w:customStyle="1" w:styleId="Normal3">
    <w:name w:val="Normal3"/>
    <w:basedOn w:val="Normal"/>
    <w:rsid w:val="00203E3B"/>
    <w:pPr>
      <w:spacing w:before="100" w:beforeAutospacing="1" w:after="100" w:afterAutospacing="1"/>
      <w:ind w:firstLine="0"/>
      <w:contextualSpacing w:val="0"/>
      <w:jc w:val="left"/>
    </w:pPr>
    <w:rPr>
      <w:rFonts w:eastAsia="Times New Roman" w:cs="Times New Roman"/>
      <w:lang w:val="en-US"/>
    </w:rPr>
  </w:style>
  <w:style w:type="character" w:customStyle="1" w:styleId="Nessuno">
    <w:name w:val="Nessuno"/>
    <w:rsid w:val="00210544"/>
    <w:rPr>
      <w:lang w:val="lv-LV"/>
    </w:rPr>
  </w:style>
  <w:style w:type="paragraph" w:styleId="NormalWeb">
    <w:name w:val="Normal (Web)"/>
    <w:basedOn w:val="Normal"/>
    <w:uiPriority w:val="99"/>
    <w:unhideWhenUsed/>
    <w:rsid w:val="008A4217"/>
    <w:pPr>
      <w:spacing w:before="100" w:beforeAutospacing="1" w:after="100" w:afterAutospacing="1"/>
      <w:ind w:firstLine="0"/>
      <w:contextualSpacing w:val="0"/>
      <w:jc w:val="left"/>
    </w:pPr>
    <w:rPr>
      <w:rFonts w:eastAsia="Times New Roman" w:cs="Times New Roman"/>
      <w:lang w:eastAsia="lv-LV"/>
    </w:rPr>
  </w:style>
  <w:style w:type="character" w:styleId="HTMLCite">
    <w:name w:val="HTML Cite"/>
    <w:basedOn w:val="DefaultParagraphFont"/>
    <w:uiPriority w:val="99"/>
    <w:semiHidden/>
    <w:unhideWhenUsed/>
    <w:rsid w:val="007C07BA"/>
    <w:rPr>
      <w:i w:val="0"/>
      <w:iCs w:val="0"/>
      <w:color w:val="006D21"/>
    </w:rPr>
  </w:style>
  <w:style w:type="paragraph" w:customStyle="1" w:styleId="CM1">
    <w:name w:val="CM1"/>
    <w:basedOn w:val="Normal"/>
    <w:next w:val="Normal"/>
    <w:uiPriority w:val="99"/>
    <w:rsid w:val="002941A3"/>
    <w:pPr>
      <w:autoSpaceDE w:val="0"/>
      <w:autoSpaceDN w:val="0"/>
      <w:adjustRightInd w:val="0"/>
      <w:ind w:firstLine="0"/>
      <w:contextualSpacing w:val="0"/>
      <w:jc w:val="left"/>
    </w:pPr>
    <w:rPr>
      <w:rFonts w:ascii="EUAlbertina" w:hAnsi="EUAlbertina"/>
    </w:rPr>
  </w:style>
  <w:style w:type="paragraph" w:customStyle="1" w:styleId="CM3">
    <w:name w:val="CM3"/>
    <w:basedOn w:val="Normal"/>
    <w:next w:val="Normal"/>
    <w:uiPriority w:val="99"/>
    <w:rsid w:val="002941A3"/>
    <w:pPr>
      <w:autoSpaceDE w:val="0"/>
      <w:autoSpaceDN w:val="0"/>
      <w:adjustRightInd w:val="0"/>
      <w:ind w:firstLine="0"/>
      <w:contextualSpacing w:val="0"/>
      <w:jc w:val="left"/>
    </w:pPr>
    <w:rPr>
      <w:rFonts w:ascii="EUAlbertina" w:hAnsi="EUAlbertina"/>
    </w:rPr>
  </w:style>
  <w:style w:type="character" w:customStyle="1" w:styleId="UnresolvedMention1">
    <w:name w:val="Unresolved Mention1"/>
    <w:basedOn w:val="DefaultParagraphFont"/>
    <w:uiPriority w:val="99"/>
    <w:semiHidden/>
    <w:unhideWhenUsed/>
    <w:rsid w:val="00AB684E"/>
    <w:rPr>
      <w:color w:val="605E5C"/>
      <w:shd w:val="clear" w:color="auto" w:fill="E1DFDD"/>
    </w:rPr>
  </w:style>
  <w:style w:type="paragraph" w:styleId="EndnoteText">
    <w:name w:val="endnote text"/>
    <w:basedOn w:val="Normal"/>
    <w:link w:val="EndnoteTextChar"/>
    <w:uiPriority w:val="99"/>
    <w:semiHidden/>
    <w:unhideWhenUsed/>
    <w:rsid w:val="00C65C16"/>
    <w:rPr>
      <w:sz w:val="20"/>
      <w:szCs w:val="20"/>
    </w:rPr>
  </w:style>
  <w:style w:type="character" w:customStyle="1" w:styleId="EndnoteTextChar">
    <w:name w:val="Endnote Text Char"/>
    <w:basedOn w:val="DefaultParagraphFont"/>
    <w:link w:val="EndnoteText"/>
    <w:uiPriority w:val="99"/>
    <w:semiHidden/>
    <w:rsid w:val="00C65C16"/>
    <w:rPr>
      <w:sz w:val="20"/>
      <w:szCs w:val="20"/>
    </w:rPr>
  </w:style>
  <w:style w:type="character" w:styleId="EndnoteReference">
    <w:name w:val="endnote reference"/>
    <w:basedOn w:val="DefaultParagraphFont"/>
    <w:uiPriority w:val="99"/>
    <w:semiHidden/>
    <w:unhideWhenUsed/>
    <w:rsid w:val="00C65C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860115">
      <w:bodyDiv w:val="1"/>
      <w:marLeft w:val="0"/>
      <w:marRight w:val="0"/>
      <w:marTop w:val="0"/>
      <w:marBottom w:val="0"/>
      <w:divBdr>
        <w:top w:val="none" w:sz="0" w:space="0" w:color="auto"/>
        <w:left w:val="none" w:sz="0" w:space="0" w:color="auto"/>
        <w:bottom w:val="none" w:sz="0" w:space="0" w:color="auto"/>
        <w:right w:val="none" w:sz="0" w:space="0" w:color="auto"/>
      </w:divBdr>
    </w:div>
    <w:div w:id="52803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vceli.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34.246.163.16/wp-content/uploads/2018/11/COCOM5Gworkinggroupreportonbestpracticesfor5GNationalRoadmaps.pdf" TargetMode="External"/><Relationship Id="rId2" Type="http://schemas.openxmlformats.org/officeDocument/2006/relationships/hyperlink" Target="https://eur-lex.europa.eu/legal-content/LV/TXT/?uri=CELEX%3A52016DC0587" TargetMode="External"/><Relationship Id="rId1" Type="http://schemas.openxmlformats.org/officeDocument/2006/relationships/hyperlink" Target="https://lvceli.lv/wp-content/uploads/2020/04/LV-ITS-Strategy-and-Action-Plan_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6BF1C-4360-4092-B036-DF274E653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31847</Words>
  <Characters>18153</Characters>
  <Application>Microsoft Office Word</Application>
  <DocSecurity>0</DocSecurity>
  <Lines>151</Lines>
  <Paragraphs>99</Paragraphs>
  <ScaleCrop>false</ScaleCrop>
  <HeadingPairs>
    <vt:vector size="2" baseType="variant">
      <vt:variant>
        <vt:lpstr>Title</vt:lpstr>
      </vt:variant>
      <vt:variant>
        <vt:i4>1</vt:i4>
      </vt:variant>
    </vt:vector>
  </HeadingPairs>
  <TitlesOfParts>
    <vt:vector size="1" baseType="lpstr">
      <vt:lpstr>Konceptuālais ziņojums par intelektisko transporta sistēmu ieviešanu Latvijas autotransporta jomā un to saskarnēm ar citiem transporta veidiem.</vt:lpstr>
    </vt:vector>
  </TitlesOfParts>
  <LinksUpToDate>false</LinksUpToDate>
  <CharactersWithSpaces>49901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Konceptuālais ziņojums par intelektisko transporta sistēmu ieviešanu Latvijas autotransporta jomā un to saskarnēm ar citiem transporta veidiem.</dc:title>
  <dc:creator/>
  <cp:keywords>Konceptuālais ziņojums</cp:keywords>
  <dc:description>67028045, edgars.leonovs@sam.gov.lv</dc:description>
  <cp:lastModifiedBy/>
  <cp:revision>1</cp:revision>
  <dcterms:created xsi:type="dcterms:W3CDTF">2020-05-20T07:51:00Z</dcterms:created>
  <dcterms:modified xsi:type="dcterms:W3CDTF">2020-06-01T11:51:00Z</dcterms:modified>
</cp:coreProperties>
</file>