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24C2" w:rsidR="00843C92" w:rsidP="00EC51A4" w:rsidRDefault="00843C92" w14:paraId="65DB5D7A" w14:textId="77777777">
      <w:pPr>
        <w:jc w:val="right"/>
        <w:outlineLvl w:val="0"/>
        <w:rPr>
          <w:i/>
        </w:rPr>
      </w:pPr>
      <w:bookmarkStart w:name="OLE_LINK5" w:id="0"/>
      <w:bookmarkStart w:name="OLE_LINK6" w:id="1"/>
      <w:r w:rsidRPr="00DB24C2">
        <w:rPr>
          <w:i/>
        </w:rPr>
        <w:t>Projekts</w:t>
      </w:r>
    </w:p>
    <w:p w:rsidRPr="00DB24C2" w:rsidR="008566F0" w:rsidP="00AC37DB" w:rsidRDefault="008566F0" w14:paraId="2B9DF534" w14:textId="77777777">
      <w:pPr>
        <w:jc w:val="center"/>
        <w:outlineLvl w:val="0"/>
        <w:rPr>
          <w:b/>
        </w:rPr>
      </w:pPr>
    </w:p>
    <w:p w:rsidRPr="00DB24C2" w:rsidR="005C0DF5" w:rsidP="00AC37DB" w:rsidRDefault="00C07E72" w14:paraId="65D4843C" w14:textId="790C76B0">
      <w:pPr>
        <w:jc w:val="center"/>
        <w:outlineLvl w:val="0"/>
        <w:rPr>
          <w:b/>
          <w:bCs/>
          <w:lang w:bidi="ml-IN"/>
        </w:rPr>
      </w:pPr>
      <w:r w:rsidRPr="00DB24C2">
        <w:rPr>
          <w:b/>
        </w:rPr>
        <w:t>Informatīvais ziņojums</w:t>
      </w:r>
      <w:r w:rsidRPr="00DB24C2" w:rsidR="00AC37DB">
        <w:rPr>
          <w:b/>
        </w:rPr>
        <w:t xml:space="preserve"> </w:t>
      </w:r>
      <w:r w:rsidRPr="00DB24C2" w:rsidR="005E580E">
        <w:rPr>
          <w:b/>
          <w:bCs/>
          <w:lang w:bidi="ml-IN"/>
        </w:rPr>
        <w:t>"</w:t>
      </w:r>
      <w:r w:rsidR="00401818">
        <w:rPr>
          <w:b/>
          <w:bCs/>
          <w:lang w:bidi="ml-IN"/>
        </w:rPr>
        <w:t>Publiskā sektora iesniegtās pārsūdzības a</w:t>
      </w:r>
      <w:r w:rsidR="008271D0">
        <w:rPr>
          <w:b/>
          <w:bCs/>
          <w:lang w:bidi="ml-IN"/>
        </w:rPr>
        <w:t>dministratīvā pārkāpuma procesā</w:t>
      </w:r>
      <w:r w:rsidRPr="00DB24C2" w:rsidR="005E580E">
        <w:rPr>
          <w:b/>
          <w:bCs/>
          <w:lang w:bidi="ml-IN"/>
        </w:rPr>
        <w:t>"</w:t>
      </w:r>
    </w:p>
    <w:p w:rsidR="00A20714" w:rsidP="00382FB6" w:rsidRDefault="00A20714" w14:paraId="24E1E26B" w14:textId="36627C3D">
      <w:pPr>
        <w:jc w:val="center"/>
        <w:rPr>
          <w:b/>
          <w:bCs/>
          <w:lang w:bidi="ml-IN"/>
        </w:rPr>
      </w:pPr>
    </w:p>
    <w:bookmarkEnd w:id="0"/>
    <w:bookmarkEnd w:id="1"/>
    <w:p w:rsidR="004E55E0" w:rsidP="00900EBC" w:rsidRDefault="004E55E0" w14:paraId="050AE845" w14:textId="77777777">
      <w:pPr>
        <w:pStyle w:val="NoSpacing"/>
        <w:ind w:firstLine="720"/>
        <w:jc w:val="both"/>
      </w:pPr>
    </w:p>
    <w:p w:rsidR="00900EBC" w:rsidP="00900EBC" w:rsidRDefault="00900EBC" w14:paraId="16CC6EF3" w14:textId="5131C7D6">
      <w:pPr>
        <w:pStyle w:val="NoSpacing"/>
        <w:ind w:firstLine="720"/>
        <w:jc w:val="both"/>
      </w:pPr>
      <w:r w:rsidRPr="00DB24C2">
        <w:t>Informatīvais ziņojums "</w:t>
      </w:r>
      <w:r w:rsidRPr="00401818" w:rsidR="00401818">
        <w:t>Publiskā sektora iesniegtās pārsūdzības administratīvā pārkāpuma procesā</w:t>
      </w:r>
      <w:r w:rsidRPr="00DB24C2">
        <w:t>"</w:t>
      </w:r>
      <w:r w:rsidR="00C76470">
        <w:t xml:space="preserve"> </w:t>
      </w:r>
      <w:r w:rsidRPr="00DB24C2">
        <w:t>ir izstrādāts atbilstoši</w:t>
      </w:r>
      <w:r w:rsidR="005F538B">
        <w:t xml:space="preserve"> </w:t>
      </w:r>
      <w:r w:rsidRPr="009702D2" w:rsidR="009702D2">
        <w:t>Valdības rīcības plān</w:t>
      </w:r>
      <w:r w:rsidR="007356ED">
        <w:t>a</w:t>
      </w:r>
      <w:r w:rsidR="005F538B">
        <w:t xml:space="preserve"> </w:t>
      </w:r>
      <w:r w:rsidRPr="009702D2" w:rsidR="009702D2">
        <w:t>Deklarācijas par Artura Krišjāņa Kariņa vadītā Ministru kabineta iecerēto darbību īstenošanai</w:t>
      </w:r>
      <w:r w:rsidR="005F538B">
        <w:t xml:space="preserve"> (apstiprināts a</w:t>
      </w:r>
      <w:r w:rsidRPr="009702D2" w:rsidR="005F538B">
        <w:t>r Ministru kabineta 2019. gada 7. maija rīkojumu Nr. 210 "Par Valdības rīcības plānu Deklarācijas par Artura Krišjāņa Kariņa vadītā Ministru kabineta iecerēto darbību īstenošanai"</w:t>
      </w:r>
      <w:r w:rsidR="005F538B">
        <w:t xml:space="preserve">) </w:t>
      </w:r>
      <w:r w:rsidRPr="000732B2" w:rsidR="00B17258">
        <w:t>175.6. pasākum</w:t>
      </w:r>
      <w:r w:rsidR="00B17258">
        <w:t xml:space="preserve">am, kas </w:t>
      </w:r>
      <w:r w:rsidRPr="000732B2" w:rsidR="00B17258">
        <w:t>paredz izvērtēt esošo praksi attiecībā uz publiskā sektora iesniegtajām pārsūdzībām par pirmās instances tiesu spriedumiem un līdz 2020. gada 31. martam Ministru kabinetā iesniegt informatīvo ziņojumu par administratīvā pārkāpuma procesa ietvaros iesniegtajām publiskā sektora pārsūdzībām.</w:t>
      </w:r>
    </w:p>
    <w:p w:rsidRPr="005F538B" w:rsidR="00F90279" w:rsidP="00900EBC" w:rsidRDefault="00F90279" w14:paraId="38BFAEBC" w14:textId="24F43758">
      <w:pPr>
        <w:pStyle w:val="NoSpacing"/>
        <w:ind w:firstLine="720"/>
        <w:jc w:val="both"/>
      </w:pPr>
      <w:r w:rsidRPr="005F538B">
        <w:t xml:space="preserve">Lai izvērtētu esošo praksi, Tieslietu ministrija noskaidroja </w:t>
      </w:r>
      <w:r w:rsidRPr="005F538B" w:rsidR="00513DFD">
        <w:t>Rīgas, Kurzemes, Latgales, Vidzemes un Zemgales apgabaltiesas viedokli par publiskā sektora iesniegto pārsūdzību ietekmi uz tiesas darbu</w:t>
      </w:r>
      <w:r w:rsidRPr="005F538B" w:rsidR="00B668B5">
        <w:t>, kā arī</w:t>
      </w:r>
      <w:r w:rsidRPr="005F538B" w:rsidR="006E74E8">
        <w:t xml:space="preserve"> izlases veidā analizēja tiesu nolēmumus administratīvo pārkāpumu lietās. Tā rezultātā konstatēti </w:t>
      </w:r>
      <w:r w:rsidRPr="005F538B" w:rsidR="00AB2EF6">
        <w:t>arī</w:t>
      </w:r>
      <w:r w:rsidRPr="005F538B" w:rsidR="006477FE">
        <w:t xml:space="preserve"> </w:t>
      </w:r>
      <w:r w:rsidRPr="005F538B" w:rsidR="006E74E8">
        <w:t>iespējami pilnveidojumi publiskā sektora darbībā, kas ļautu s</w:t>
      </w:r>
      <w:r w:rsidRPr="005F538B" w:rsidR="00FE06B7">
        <w:t>amazināt apelācijas tiesvedību skaitu</w:t>
      </w:r>
      <w:r w:rsidRPr="005F538B" w:rsidR="007C61CE">
        <w:t>.</w:t>
      </w:r>
    </w:p>
    <w:p w:rsidR="000F4BAD" w:rsidP="00900EBC" w:rsidRDefault="000F4BAD" w14:paraId="404E8F5E" w14:textId="20DED50E">
      <w:pPr>
        <w:pStyle w:val="NoSpacing"/>
        <w:ind w:firstLine="720"/>
        <w:jc w:val="both"/>
      </w:pPr>
    </w:p>
    <w:p w:rsidR="000F4BAD" w:rsidP="00036591" w:rsidRDefault="00036591" w14:paraId="1FA02DA4" w14:textId="3FF34EFA">
      <w:pPr>
        <w:pStyle w:val="NoSpacing"/>
        <w:jc w:val="center"/>
      </w:pPr>
      <w:r w:rsidRPr="00036591">
        <w:rPr>
          <w:b/>
          <w:bCs/>
        </w:rPr>
        <w:t>Administratīvo pārkāpumu lietu izskatīšana apelācijas instances tiesā</w:t>
      </w:r>
    </w:p>
    <w:p w:rsidR="004E55E0" w:rsidP="00036591" w:rsidRDefault="004E55E0" w14:paraId="1EC75B7F" w14:textId="641AFF73">
      <w:pPr>
        <w:pStyle w:val="NoSpacing"/>
        <w:jc w:val="both"/>
      </w:pPr>
    </w:p>
    <w:p w:rsidR="002C7814" w:rsidP="00036591" w:rsidRDefault="002C7814" w14:paraId="7AC6D4A3" w14:textId="333593FA">
      <w:pPr>
        <w:pStyle w:val="NoSpacing"/>
        <w:jc w:val="both"/>
      </w:pPr>
      <w:r>
        <w:tab/>
      </w:r>
      <w:r w:rsidR="00D7732F">
        <w:t xml:space="preserve">Saskaņā ar </w:t>
      </w:r>
      <w:r w:rsidRPr="001B064A" w:rsidR="001B064A">
        <w:t>Latvijas Administratīvo pārkāpumu kodeks</w:t>
      </w:r>
      <w:r w:rsidR="001B064A">
        <w:t>a</w:t>
      </w:r>
      <w:r w:rsidR="001C0C1E">
        <w:t xml:space="preserve"> (turpmāk – LAPK) 289.</w:t>
      </w:r>
      <w:r w:rsidRPr="001C0C1E" w:rsidR="001C0C1E">
        <w:rPr>
          <w:vertAlign w:val="superscript"/>
        </w:rPr>
        <w:t>17</w:t>
      </w:r>
      <w:r w:rsidR="001C0C1E">
        <w:t xml:space="preserve"> un </w:t>
      </w:r>
      <w:r w:rsidR="00FB158A">
        <w:t>289.</w:t>
      </w:r>
      <w:r w:rsidRPr="00FB158A" w:rsidR="00FB158A">
        <w:rPr>
          <w:vertAlign w:val="superscript"/>
        </w:rPr>
        <w:t>18</w:t>
      </w:r>
      <w:r w:rsidR="00FB158A">
        <w:t> pantu r</w:t>
      </w:r>
      <w:r w:rsidRPr="007D050F" w:rsidR="007D050F">
        <w:t>ajona (pilsētas) tiesas pieņemtu nolēmumu administratīvā pārkāpuma lietas dalībnieks var pārsūdzēt</w:t>
      </w:r>
      <w:r w:rsidR="007D050F">
        <w:t xml:space="preserve"> </w:t>
      </w:r>
      <w:r w:rsidR="00D7732F">
        <w:t>apelācijas instances tiesā.</w:t>
      </w:r>
      <w:r w:rsidR="00FB158A">
        <w:t xml:space="preserve"> </w:t>
      </w:r>
      <w:r w:rsidR="00C36E50">
        <w:t xml:space="preserve">Šādas tiesības ir paredzētas arī </w:t>
      </w:r>
      <w:r w:rsidR="005C0B34">
        <w:t>Administratīvās atbildības likuma</w:t>
      </w:r>
      <w:r w:rsidR="00606FF6">
        <w:t xml:space="preserve"> (turpmāk – AAL)</w:t>
      </w:r>
      <w:r w:rsidR="009C6F40">
        <w:t xml:space="preserve">, kas stāsies spēkā </w:t>
      </w:r>
      <w:r w:rsidR="001543AA">
        <w:t>2020. gada 1. jūlijā</w:t>
      </w:r>
      <w:r w:rsidR="00B47A24">
        <w:t xml:space="preserve">, </w:t>
      </w:r>
      <w:r w:rsidR="00681A4F">
        <w:t>242. pantā.</w:t>
      </w:r>
    </w:p>
    <w:p w:rsidR="00337662" w:rsidP="00036591" w:rsidRDefault="00337662" w14:paraId="7A81A1D4" w14:textId="7DCC33BB">
      <w:pPr>
        <w:pStyle w:val="NoSpacing"/>
        <w:jc w:val="both"/>
      </w:pPr>
      <w:r>
        <w:tab/>
        <w:t xml:space="preserve">Iestāde, kuras amatpersona ir izskatījusi administratīvā pārkāpuma lietu, ir </w:t>
      </w:r>
      <w:r w:rsidR="0038703B">
        <w:t>procesa dalībnieks administratīvā pārkāpuma procesā tiesā (</w:t>
      </w:r>
      <w:r w:rsidR="0038703B">
        <w:t xml:space="preserve">AAL </w:t>
      </w:r>
      <w:r w:rsidR="003B798D">
        <w:t>39. panta 1. punkta</w:t>
      </w:r>
      <w:r w:rsidR="00F501FE">
        <w:t xml:space="preserve"> </w:t>
      </w:r>
      <w:r w:rsidR="007D141D">
        <w:t>"</w:t>
      </w:r>
      <w:proofErr w:type="spellStart"/>
      <w:r w:rsidR="00F501FE">
        <w:t>e</w:t>
      </w:r>
      <w:r w:rsidR="007D141D">
        <w:t>"</w:t>
      </w:r>
      <w:r w:rsidR="002E37AA">
        <w:t> </w:t>
      </w:r>
      <w:r w:rsidR="00F501FE">
        <w:t>apakšpunkts</w:t>
      </w:r>
      <w:proofErr w:type="spellEnd"/>
      <w:r w:rsidR="00F501FE">
        <w:t>).</w:t>
      </w:r>
      <w:r w:rsidR="003479BA">
        <w:t xml:space="preserve"> </w:t>
      </w:r>
      <w:r w:rsidR="00E96D6A">
        <w:t xml:space="preserve">Tādējādi iestādei ir tiesības </w:t>
      </w:r>
      <w:r w:rsidR="005635DB">
        <w:t>pārsūdzēt rajona (pilsētas) tiesas pieņemtu nolēmumu.</w:t>
      </w:r>
    </w:p>
    <w:p w:rsidR="00E9518F" w:rsidP="00036591" w:rsidRDefault="00E9518F" w14:paraId="69283CE8" w14:textId="7661A8F4">
      <w:pPr>
        <w:pStyle w:val="NoSpacing"/>
        <w:jc w:val="both"/>
      </w:pPr>
      <w:r>
        <w:tab/>
        <w:t xml:space="preserve">Administratīvā pārkāpuma procesā </w:t>
      </w:r>
      <w:r w:rsidR="00B87000">
        <w:t>darbojas sacīkstes princips.</w:t>
      </w:r>
      <w:r w:rsidR="00B87000">
        <w:rPr>
          <w:rStyle w:val="FootnoteReference"/>
        </w:rPr>
        <w:footnoteReference w:id="2"/>
      </w:r>
      <w:r w:rsidR="003E098E">
        <w:t xml:space="preserve"> </w:t>
      </w:r>
      <w:r w:rsidR="00AD0164">
        <w:t>Izstrādājot AAL, tiesvedības process tika veidots, balstoties uz tiem pama</w:t>
      </w:r>
      <w:r w:rsidR="00D90773">
        <w:t>telementiem, pēc kādiem norit tiesvedība kriminālprocesā. Lai nodrošinātu sacīkstes principa īstenošanu, kontrolējošā iestāde ties</w:t>
      </w:r>
      <w:r w:rsidR="00F16347">
        <w:t xml:space="preserve">ā </w:t>
      </w:r>
      <w:r w:rsidR="00D90773">
        <w:t xml:space="preserve">uzstājas kā </w:t>
      </w:r>
      <w:r w:rsidR="003E6713">
        <w:t>procesuālais dalībnieks, ka</w:t>
      </w:r>
      <w:r w:rsidR="00F16347">
        <w:t xml:space="preserve">m </w:t>
      </w:r>
      <w:r w:rsidR="003E6713">
        <w:t>jāpierāda personas vaina (vainojamība).</w:t>
      </w:r>
      <w:r w:rsidR="003E6713">
        <w:rPr>
          <w:rStyle w:val="FootnoteReference"/>
        </w:rPr>
        <w:footnoteReference w:id="3"/>
      </w:r>
    </w:p>
    <w:p w:rsidR="005324A5" w:rsidP="00036591" w:rsidRDefault="003E098E" w14:paraId="37C171EB" w14:textId="4F3A81E7">
      <w:pPr>
        <w:pStyle w:val="NoSpacing"/>
        <w:jc w:val="both"/>
      </w:pPr>
      <w:r>
        <w:tab/>
        <w:t xml:space="preserve">AAL 39. panta 1. punktā ietverts procesa dalībnieku uzskaitījums. </w:t>
      </w:r>
      <w:r w:rsidR="006072C1">
        <w:t xml:space="preserve">Procesa dalībnieki no citām personām atšķiras </w:t>
      </w:r>
      <w:r w:rsidR="00A83BBB">
        <w:t>ar savu subjektīvo interesi procesa ietvaros un lietas iznā</w:t>
      </w:r>
      <w:r w:rsidR="002243C9">
        <w:t>k</w:t>
      </w:r>
      <w:r w:rsidR="00A83BBB">
        <w:t>umā.</w:t>
      </w:r>
      <w:r w:rsidR="00A83BBB">
        <w:rPr>
          <w:rStyle w:val="FootnoteReference"/>
        </w:rPr>
        <w:footnoteReference w:id="4"/>
      </w:r>
      <w:r w:rsidR="002243C9">
        <w:t xml:space="preserve"> Līdzās pie administratīvās atbildības saucamai personai, sodītajai personai, cietušajam un aizskartajam mantas īpašniekam</w:t>
      </w:r>
      <w:r w:rsidR="005324A5">
        <w:t xml:space="preserve"> AAL 39. panta 1. punktā ir minēta arī iestāde (tiesā). Protams, šajā gadījumā tikai nosacīti var runāt par iestādes "subjektīvo interesi"</w:t>
      </w:r>
      <w:r w:rsidR="005779D3">
        <w:rPr>
          <w:rStyle w:val="FootnoteReference"/>
        </w:rPr>
        <w:footnoteReference w:id="5"/>
      </w:r>
      <w:r w:rsidR="005324A5">
        <w:t xml:space="preserve"> procesā</w:t>
      </w:r>
      <w:r w:rsidR="0030364E">
        <w:t>,</w:t>
      </w:r>
      <w:r w:rsidR="00566760">
        <w:t xml:space="preserve"> tomēr iestāde tiesā ir līdztiesīgs procesa dalībnieks</w:t>
      </w:r>
      <w:r w:rsidR="005779D3">
        <w:t xml:space="preserve"> pie atbildības saucamai personai.</w:t>
      </w:r>
      <w:r w:rsidR="00272E3A">
        <w:t xml:space="preserve"> </w:t>
      </w:r>
    </w:p>
    <w:p w:rsidR="00272E3A" w:rsidP="00036591" w:rsidRDefault="00272E3A" w14:paraId="78230C03" w14:textId="1DE988B8">
      <w:pPr>
        <w:pStyle w:val="NoSpacing"/>
        <w:jc w:val="both"/>
      </w:pPr>
      <w:r>
        <w:tab/>
        <w:t>Līdz ar to AAL ir saglabātas iestādes tiesības pārsūdzēt rajona (pilsētas) tiesas pieņemtus nolēmumus.</w:t>
      </w:r>
    </w:p>
    <w:p w:rsidR="005635DB" w:rsidP="00036591" w:rsidRDefault="005635DB" w14:paraId="12093E39" w14:textId="379C0971">
      <w:pPr>
        <w:pStyle w:val="NoSpacing"/>
        <w:jc w:val="both"/>
      </w:pPr>
      <w:r>
        <w:lastRenderedPageBreak/>
        <w:tab/>
      </w:r>
      <w:r w:rsidR="00710C83">
        <w:t>Kopumā apelācijas instanc</w:t>
      </w:r>
      <w:r w:rsidR="0028766B">
        <w:t xml:space="preserve">es tiesās </w:t>
      </w:r>
      <w:r w:rsidR="00710C83">
        <w:t xml:space="preserve">saņemto </w:t>
      </w:r>
      <w:r w:rsidR="00F37949">
        <w:t xml:space="preserve">administratīvo pārkāpumu </w:t>
      </w:r>
      <w:r w:rsidR="00710C83">
        <w:t xml:space="preserve">lietu skaits </w:t>
      </w:r>
      <w:r w:rsidR="00B809BD">
        <w:t xml:space="preserve">nepārsniedz </w:t>
      </w:r>
      <w:r w:rsidR="00B52213">
        <w:t>17</w:t>
      </w:r>
      <w:r w:rsidR="00BF0AB5">
        <w:t> </w:t>
      </w:r>
      <w:r w:rsidR="00B809BD">
        <w:t xml:space="preserve">% no </w:t>
      </w:r>
      <w:r w:rsidR="006E4BE4">
        <w:t>pirm</w:t>
      </w:r>
      <w:r w:rsidR="0028766B">
        <w:t>ās</w:t>
      </w:r>
      <w:r w:rsidR="006E4BE4">
        <w:t xml:space="preserve"> instanc</w:t>
      </w:r>
      <w:r w:rsidR="0028766B">
        <w:t xml:space="preserve">es tiesās </w:t>
      </w:r>
      <w:r w:rsidR="00190C45">
        <w:t>saņemto lietu skaita.</w:t>
      </w:r>
      <w:r w:rsidR="00150000">
        <w:rPr>
          <w:rStyle w:val="FootnoteReference"/>
        </w:rPr>
        <w:footnoteReference w:id="6"/>
      </w:r>
      <w:r w:rsidR="00DC1A06">
        <w:t xml:space="preserve"> </w:t>
      </w:r>
    </w:p>
    <w:p w:rsidR="00190C45" w:rsidP="00036591" w:rsidRDefault="00190C45" w14:paraId="22EFD88C" w14:textId="77777777">
      <w:pPr>
        <w:pStyle w:val="NoSpacing"/>
        <w:jc w:val="both"/>
      </w:pPr>
    </w:p>
    <w:tbl>
      <w:tblPr>
        <w:tblStyle w:val="TableGrid"/>
        <w:tblW w:w="0" w:type="auto"/>
        <w:tblLook w:val="04A0" w:firstRow="1" w:lastRow="0" w:firstColumn="1" w:lastColumn="0" w:noHBand="0" w:noVBand="1"/>
      </w:tblPr>
      <w:tblGrid>
        <w:gridCol w:w="1812"/>
        <w:gridCol w:w="1812"/>
        <w:gridCol w:w="1812"/>
        <w:gridCol w:w="1812"/>
        <w:gridCol w:w="1813"/>
      </w:tblGrid>
      <w:tr w:rsidRPr="000732B2" w:rsidR="00E34EC2" w:rsidTr="00182392" w14:paraId="723AC552" w14:textId="77777777">
        <w:tc>
          <w:tcPr>
            <w:tcW w:w="1812" w:type="dxa"/>
            <w:vMerge w:val="restart"/>
            <w:vAlign w:val="center"/>
          </w:tcPr>
          <w:p w:rsidRPr="000732B2" w:rsidR="00E34EC2" w:rsidP="00182392" w:rsidRDefault="00E34EC2" w14:paraId="437B533B" w14:textId="77777777">
            <w:pPr>
              <w:jc w:val="center"/>
              <w:rPr>
                <w:b/>
                <w:bCs/>
              </w:rPr>
            </w:pPr>
            <w:r w:rsidRPr="000732B2">
              <w:rPr>
                <w:b/>
                <w:bCs/>
              </w:rPr>
              <w:t>Gads</w:t>
            </w:r>
          </w:p>
        </w:tc>
        <w:tc>
          <w:tcPr>
            <w:tcW w:w="3624" w:type="dxa"/>
            <w:gridSpan w:val="2"/>
            <w:vAlign w:val="center"/>
          </w:tcPr>
          <w:p w:rsidRPr="000732B2" w:rsidR="00E34EC2" w:rsidP="00182392" w:rsidRDefault="00E34EC2" w14:paraId="6D34C41D" w14:textId="77777777">
            <w:pPr>
              <w:jc w:val="center"/>
              <w:rPr>
                <w:b/>
                <w:bCs/>
              </w:rPr>
            </w:pPr>
            <w:r w:rsidRPr="000732B2">
              <w:rPr>
                <w:b/>
                <w:bCs/>
              </w:rPr>
              <w:t>Pirmā instance</w:t>
            </w:r>
          </w:p>
        </w:tc>
        <w:tc>
          <w:tcPr>
            <w:tcW w:w="3625" w:type="dxa"/>
            <w:gridSpan w:val="2"/>
            <w:vAlign w:val="center"/>
          </w:tcPr>
          <w:p w:rsidRPr="000732B2" w:rsidR="00E34EC2" w:rsidP="00182392" w:rsidRDefault="00E34EC2" w14:paraId="1C5489E5" w14:textId="77777777">
            <w:pPr>
              <w:jc w:val="center"/>
              <w:rPr>
                <w:b/>
                <w:bCs/>
              </w:rPr>
            </w:pPr>
            <w:r w:rsidRPr="000732B2">
              <w:rPr>
                <w:b/>
                <w:bCs/>
              </w:rPr>
              <w:t>Apelācijas instance</w:t>
            </w:r>
          </w:p>
        </w:tc>
      </w:tr>
      <w:tr w:rsidRPr="000732B2" w:rsidR="00E34EC2" w:rsidTr="00182392" w14:paraId="3E9200DB" w14:textId="77777777">
        <w:tc>
          <w:tcPr>
            <w:tcW w:w="1812" w:type="dxa"/>
            <w:vMerge/>
            <w:vAlign w:val="center"/>
          </w:tcPr>
          <w:p w:rsidRPr="000732B2" w:rsidR="00E34EC2" w:rsidP="00182392" w:rsidRDefault="00E34EC2" w14:paraId="53B0BE4B" w14:textId="77777777">
            <w:pPr>
              <w:jc w:val="center"/>
            </w:pPr>
          </w:p>
        </w:tc>
        <w:tc>
          <w:tcPr>
            <w:tcW w:w="1812" w:type="dxa"/>
            <w:vAlign w:val="center"/>
          </w:tcPr>
          <w:p w:rsidRPr="000732B2" w:rsidR="00E34EC2" w:rsidP="00182392" w:rsidRDefault="00E34EC2" w14:paraId="3E81257A" w14:textId="77777777">
            <w:pPr>
              <w:jc w:val="center"/>
              <w:rPr>
                <w:i/>
                <w:iCs/>
              </w:rPr>
            </w:pPr>
            <w:r w:rsidRPr="000732B2">
              <w:rPr>
                <w:i/>
                <w:iCs/>
              </w:rPr>
              <w:t>Saņemtās lietas</w:t>
            </w:r>
          </w:p>
        </w:tc>
        <w:tc>
          <w:tcPr>
            <w:tcW w:w="1812" w:type="dxa"/>
            <w:vAlign w:val="center"/>
          </w:tcPr>
          <w:p w:rsidRPr="000732B2" w:rsidR="00E34EC2" w:rsidP="00182392" w:rsidRDefault="00E34EC2" w14:paraId="7B87982D" w14:textId="77777777">
            <w:pPr>
              <w:jc w:val="center"/>
              <w:rPr>
                <w:i/>
                <w:iCs/>
              </w:rPr>
            </w:pPr>
            <w:r w:rsidRPr="000732B2">
              <w:rPr>
                <w:i/>
                <w:iCs/>
              </w:rPr>
              <w:t>Izskatītās lietas</w:t>
            </w:r>
          </w:p>
        </w:tc>
        <w:tc>
          <w:tcPr>
            <w:tcW w:w="1812" w:type="dxa"/>
            <w:vAlign w:val="center"/>
          </w:tcPr>
          <w:p w:rsidRPr="000732B2" w:rsidR="00E34EC2" w:rsidP="00182392" w:rsidRDefault="00E34EC2" w14:paraId="1BE5F4E7" w14:textId="77777777">
            <w:pPr>
              <w:jc w:val="center"/>
              <w:rPr>
                <w:i/>
                <w:iCs/>
              </w:rPr>
            </w:pPr>
            <w:r w:rsidRPr="000732B2">
              <w:rPr>
                <w:i/>
                <w:iCs/>
              </w:rPr>
              <w:t>Saņemtās lietas</w:t>
            </w:r>
          </w:p>
        </w:tc>
        <w:tc>
          <w:tcPr>
            <w:tcW w:w="1813" w:type="dxa"/>
            <w:vAlign w:val="center"/>
          </w:tcPr>
          <w:p w:rsidRPr="000732B2" w:rsidR="00E34EC2" w:rsidP="00182392" w:rsidRDefault="00E34EC2" w14:paraId="5FF113D0" w14:textId="77777777">
            <w:pPr>
              <w:jc w:val="center"/>
              <w:rPr>
                <w:i/>
                <w:iCs/>
              </w:rPr>
            </w:pPr>
            <w:r w:rsidRPr="000732B2">
              <w:rPr>
                <w:i/>
                <w:iCs/>
              </w:rPr>
              <w:t>Izskatītās lietas</w:t>
            </w:r>
          </w:p>
        </w:tc>
      </w:tr>
      <w:tr w:rsidRPr="000732B2" w:rsidR="00E34EC2" w:rsidTr="00182392" w14:paraId="3D3BB4E8" w14:textId="77777777">
        <w:tc>
          <w:tcPr>
            <w:tcW w:w="1812" w:type="dxa"/>
          </w:tcPr>
          <w:p w:rsidRPr="000732B2" w:rsidR="00E34EC2" w:rsidP="00182392" w:rsidRDefault="00E34EC2" w14:paraId="0237B9CA" w14:textId="77777777">
            <w:r w:rsidRPr="000732B2">
              <w:t>2015</w:t>
            </w:r>
          </w:p>
        </w:tc>
        <w:tc>
          <w:tcPr>
            <w:tcW w:w="1812" w:type="dxa"/>
          </w:tcPr>
          <w:p w:rsidRPr="000732B2" w:rsidR="00E34EC2" w:rsidP="00182392" w:rsidRDefault="00E34EC2" w14:paraId="2EDF20E6" w14:textId="77777777">
            <w:pPr>
              <w:jc w:val="right"/>
            </w:pPr>
            <w:r w:rsidRPr="000732B2">
              <w:t>8193</w:t>
            </w:r>
          </w:p>
        </w:tc>
        <w:tc>
          <w:tcPr>
            <w:tcW w:w="1812" w:type="dxa"/>
          </w:tcPr>
          <w:p w:rsidRPr="000732B2" w:rsidR="00E34EC2" w:rsidP="00182392" w:rsidRDefault="00E34EC2" w14:paraId="40FDD8F8" w14:textId="77777777">
            <w:pPr>
              <w:jc w:val="right"/>
            </w:pPr>
            <w:r w:rsidRPr="000732B2">
              <w:t>8321</w:t>
            </w:r>
          </w:p>
        </w:tc>
        <w:tc>
          <w:tcPr>
            <w:tcW w:w="1812" w:type="dxa"/>
          </w:tcPr>
          <w:p w:rsidRPr="000732B2" w:rsidR="00E34EC2" w:rsidP="00182392" w:rsidRDefault="00E34EC2" w14:paraId="65798286" w14:textId="77777777">
            <w:pPr>
              <w:jc w:val="right"/>
            </w:pPr>
            <w:r w:rsidRPr="000732B2">
              <w:t>1330</w:t>
            </w:r>
          </w:p>
        </w:tc>
        <w:tc>
          <w:tcPr>
            <w:tcW w:w="1813" w:type="dxa"/>
          </w:tcPr>
          <w:p w:rsidRPr="000732B2" w:rsidR="00E34EC2" w:rsidP="00182392" w:rsidRDefault="00E34EC2" w14:paraId="0191461F" w14:textId="77777777">
            <w:pPr>
              <w:jc w:val="right"/>
            </w:pPr>
            <w:r w:rsidRPr="000732B2">
              <w:t>1325</w:t>
            </w:r>
          </w:p>
        </w:tc>
      </w:tr>
      <w:tr w:rsidRPr="000732B2" w:rsidR="00E34EC2" w:rsidTr="00182392" w14:paraId="0B707D4B" w14:textId="77777777">
        <w:tc>
          <w:tcPr>
            <w:tcW w:w="1812" w:type="dxa"/>
          </w:tcPr>
          <w:p w:rsidRPr="000732B2" w:rsidR="00E34EC2" w:rsidP="00182392" w:rsidRDefault="00E34EC2" w14:paraId="3697F11D" w14:textId="77777777">
            <w:r w:rsidRPr="000732B2">
              <w:t>2016</w:t>
            </w:r>
          </w:p>
        </w:tc>
        <w:tc>
          <w:tcPr>
            <w:tcW w:w="1812" w:type="dxa"/>
          </w:tcPr>
          <w:p w:rsidRPr="000732B2" w:rsidR="00E34EC2" w:rsidP="00182392" w:rsidRDefault="00E34EC2" w14:paraId="7E09B9C0" w14:textId="77777777">
            <w:pPr>
              <w:jc w:val="right"/>
            </w:pPr>
            <w:r w:rsidRPr="000732B2">
              <w:t>8209</w:t>
            </w:r>
          </w:p>
        </w:tc>
        <w:tc>
          <w:tcPr>
            <w:tcW w:w="1812" w:type="dxa"/>
          </w:tcPr>
          <w:p w:rsidRPr="000732B2" w:rsidR="00E34EC2" w:rsidP="00182392" w:rsidRDefault="00E34EC2" w14:paraId="5628013F" w14:textId="77777777">
            <w:pPr>
              <w:jc w:val="right"/>
            </w:pPr>
            <w:r w:rsidRPr="000732B2">
              <w:t>8235</w:t>
            </w:r>
          </w:p>
        </w:tc>
        <w:tc>
          <w:tcPr>
            <w:tcW w:w="1812" w:type="dxa"/>
          </w:tcPr>
          <w:p w:rsidRPr="000732B2" w:rsidR="00E34EC2" w:rsidP="00182392" w:rsidRDefault="00E34EC2" w14:paraId="57C4A986" w14:textId="77777777">
            <w:pPr>
              <w:jc w:val="right"/>
            </w:pPr>
            <w:r w:rsidRPr="000732B2">
              <w:t>1384</w:t>
            </w:r>
          </w:p>
        </w:tc>
        <w:tc>
          <w:tcPr>
            <w:tcW w:w="1813" w:type="dxa"/>
          </w:tcPr>
          <w:p w:rsidRPr="000732B2" w:rsidR="00E34EC2" w:rsidP="00182392" w:rsidRDefault="00E34EC2" w14:paraId="2EA85924" w14:textId="77777777">
            <w:pPr>
              <w:jc w:val="right"/>
            </w:pPr>
            <w:r w:rsidRPr="000732B2">
              <w:t>1562</w:t>
            </w:r>
          </w:p>
        </w:tc>
      </w:tr>
      <w:tr w:rsidRPr="000732B2" w:rsidR="00E34EC2" w:rsidTr="00182392" w14:paraId="2FE90BD4" w14:textId="77777777">
        <w:tc>
          <w:tcPr>
            <w:tcW w:w="1812" w:type="dxa"/>
          </w:tcPr>
          <w:p w:rsidRPr="000732B2" w:rsidR="00E34EC2" w:rsidP="00182392" w:rsidRDefault="00E34EC2" w14:paraId="75835719" w14:textId="77777777">
            <w:r w:rsidRPr="000732B2">
              <w:t>2017</w:t>
            </w:r>
          </w:p>
        </w:tc>
        <w:tc>
          <w:tcPr>
            <w:tcW w:w="1812" w:type="dxa"/>
          </w:tcPr>
          <w:p w:rsidRPr="000732B2" w:rsidR="00E34EC2" w:rsidP="00182392" w:rsidRDefault="00E34EC2" w14:paraId="4AB14468" w14:textId="77777777">
            <w:pPr>
              <w:jc w:val="right"/>
            </w:pPr>
            <w:r w:rsidRPr="000732B2">
              <w:t>8143</w:t>
            </w:r>
          </w:p>
        </w:tc>
        <w:tc>
          <w:tcPr>
            <w:tcW w:w="1812" w:type="dxa"/>
          </w:tcPr>
          <w:p w:rsidRPr="000732B2" w:rsidR="00E34EC2" w:rsidP="00182392" w:rsidRDefault="00E34EC2" w14:paraId="0D9A1A08" w14:textId="77777777">
            <w:pPr>
              <w:jc w:val="right"/>
            </w:pPr>
            <w:r w:rsidRPr="000732B2">
              <w:t>8362</w:t>
            </w:r>
          </w:p>
        </w:tc>
        <w:tc>
          <w:tcPr>
            <w:tcW w:w="1812" w:type="dxa"/>
          </w:tcPr>
          <w:p w:rsidRPr="000732B2" w:rsidR="00E34EC2" w:rsidP="00182392" w:rsidRDefault="00E34EC2" w14:paraId="6BE56CFC" w14:textId="77777777">
            <w:pPr>
              <w:jc w:val="right"/>
            </w:pPr>
            <w:r w:rsidRPr="000732B2">
              <w:t>1170</w:t>
            </w:r>
          </w:p>
        </w:tc>
        <w:tc>
          <w:tcPr>
            <w:tcW w:w="1813" w:type="dxa"/>
          </w:tcPr>
          <w:p w:rsidRPr="000732B2" w:rsidR="00E34EC2" w:rsidP="00182392" w:rsidRDefault="00E34EC2" w14:paraId="5B92F5B5" w14:textId="77777777">
            <w:pPr>
              <w:jc w:val="right"/>
            </w:pPr>
            <w:r w:rsidRPr="000732B2">
              <w:t>1232</w:t>
            </w:r>
          </w:p>
        </w:tc>
      </w:tr>
      <w:tr w:rsidRPr="000732B2" w:rsidR="00E34EC2" w:rsidTr="00182392" w14:paraId="675B5844" w14:textId="77777777">
        <w:tc>
          <w:tcPr>
            <w:tcW w:w="1812" w:type="dxa"/>
          </w:tcPr>
          <w:p w:rsidRPr="000732B2" w:rsidR="00E34EC2" w:rsidP="00182392" w:rsidRDefault="00E34EC2" w14:paraId="1A778D26" w14:textId="77777777">
            <w:r w:rsidRPr="000732B2">
              <w:t>2018</w:t>
            </w:r>
          </w:p>
        </w:tc>
        <w:tc>
          <w:tcPr>
            <w:tcW w:w="1812" w:type="dxa"/>
          </w:tcPr>
          <w:p w:rsidRPr="000732B2" w:rsidR="00E34EC2" w:rsidP="00182392" w:rsidRDefault="00E34EC2" w14:paraId="776EA911" w14:textId="77777777">
            <w:pPr>
              <w:jc w:val="right"/>
            </w:pPr>
            <w:r w:rsidRPr="000732B2">
              <w:t>7747</w:t>
            </w:r>
          </w:p>
        </w:tc>
        <w:tc>
          <w:tcPr>
            <w:tcW w:w="1812" w:type="dxa"/>
          </w:tcPr>
          <w:p w:rsidRPr="000732B2" w:rsidR="00E34EC2" w:rsidP="00182392" w:rsidRDefault="00E34EC2" w14:paraId="6B58EF34" w14:textId="77777777">
            <w:pPr>
              <w:jc w:val="right"/>
            </w:pPr>
            <w:r w:rsidRPr="000732B2">
              <w:t>7595</w:t>
            </w:r>
          </w:p>
        </w:tc>
        <w:tc>
          <w:tcPr>
            <w:tcW w:w="1812" w:type="dxa"/>
          </w:tcPr>
          <w:p w:rsidRPr="000732B2" w:rsidR="00E34EC2" w:rsidP="00182392" w:rsidRDefault="00E34EC2" w14:paraId="4DDD8BCF" w14:textId="77777777">
            <w:pPr>
              <w:jc w:val="right"/>
            </w:pPr>
            <w:r w:rsidRPr="000732B2">
              <w:t>1143</w:t>
            </w:r>
          </w:p>
        </w:tc>
        <w:tc>
          <w:tcPr>
            <w:tcW w:w="1813" w:type="dxa"/>
          </w:tcPr>
          <w:p w:rsidRPr="000732B2" w:rsidR="00E34EC2" w:rsidP="00182392" w:rsidRDefault="00E34EC2" w14:paraId="47497005" w14:textId="77777777">
            <w:pPr>
              <w:jc w:val="right"/>
            </w:pPr>
            <w:r w:rsidRPr="000732B2">
              <w:t>1099</w:t>
            </w:r>
          </w:p>
        </w:tc>
      </w:tr>
      <w:tr w:rsidRPr="000732B2" w:rsidR="00E34EC2" w:rsidTr="00182392" w14:paraId="54AC17C5" w14:textId="77777777">
        <w:tc>
          <w:tcPr>
            <w:tcW w:w="1812" w:type="dxa"/>
          </w:tcPr>
          <w:p w:rsidRPr="000732B2" w:rsidR="00E34EC2" w:rsidP="00182392" w:rsidRDefault="00E34EC2" w14:paraId="36560A7C" w14:textId="77777777">
            <w:r w:rsidRPr="000732B2">
              <w:t>2019</w:t>
            </w:r>
          </w:p>
        </w:tc>
        <w:tc>
          <w:tcPr>
            <w:tcW w:w="1812" w:type="dxa"/>
          </w:tcPr>
          <w:p w:rsidRPr="000732B2" w:rsidR="00E34EC2" w:rsidP="00182392" w:rsidRDefault="00E34EC2" w14:paraId="1DDD1276" w14:textId="77777777">
            <w:pPr>
              <w:jc w:val="right"/>
            </w:pPr>
            <w:r w:rsidRPr="000732B2">
              <w:t>8561</w:t>
            </w:r>
          </w:p>
        </w:tc>
        <w:tc>
          <w:tcPr>
            <w:tcW w:w="1812" w:type="dxa"/>
          </w:tcPr>
          <w:p w:rsidRPr="000732B2" w:rsidR="00E34EC2" w:rsidP="00182392" w:rsidRDefault="00E34EC2" w14:paraId="451A036C" w14:textId="77777777">
            <w:pPr>
              <w:jc w:val="right"/>
            </w:pPr>
            <w:r w:rsidRPr="000732B2">
              <w:t>8019</w:t>
            </w:r>
          </w:p>
        </w:tc>
        <w:tc>
          <w:tcPr>
            <w:tcW w:w="1812" w:type="dxa"/>
          </w:tcPr>
          <w:p w:rsidRPr="000732B2" w:rsidR="00E34EC2" w:rsidP="00182392" w:rsidRDefault="00E34EC2" w14:paraId="120215D0" w14:textId="77777777">
            <w:pPr>
              <w:jc w:val="right"/>
            </w:pPr>
            <w:r w:rsidRPr="000732B2">
              <w:t>1333</w:t>
            </w:r>
          </w:p>
        </w:tc>
        <w:tc>
          <w:tcPr>
            <w:tcW w:w="1813" w:type="dxa"/>
          </w:tcPr>
          <w:p w:rsidRPr="000732B2" w:rsidR="00E34EC2" w:rsidP="00182392" w:rsidRDefault="00E34EC2" w14:paraId="750B7C4A" w14:textId="77777777">
            <w:pPr>
              <w:jc w:val="right"/>
            </w:pPr>
            <w:r w:rsidRPr="000732B2">
              <w:t>1262</w:t>
            </w:r>
          </w:p>
        </w:tc>
      </w:tr>
    </w:tbl>
    <w:p w:rsidR="00F66825" w:rsidP="00036591" w:rsidRDefault="00F66825" w14:paraId="03096F26" w14:textId="2B2C1561">
      <w:pPr>
        <w:pStyle w:val="NoSpacing"/>
        <w:jc w:val="both"/>
      </w:pPr>
    </w:p>
    <w:p w:rsidRPr="00AF1EEA" w:rsidR="00E07E44" w:rsidP="00046B5F" w:rsidRDefault="00C25EE4" w14:paraId="574C540E" w14:textId="1054101E">
      <w:pPr>
        <w:pStyle w:val="NoSpacing"/>
        <w:jc w:val="both"/>
      </w:pPr>
      <w:r w:rsidRPr="00AF1EEA">
        <w:tab/>
      </w:r>
      <w:r w:rsidRPr="00AF1EEA" w:rsidR="00B77C8F">
        <w:t xml:space="preserve">Šobrīd atsevišķi netiek apkopoti dati par to, ka apelācijas sūdzības iesniedzējs ir iestāde. </w:t>
      </w:r>
      <w:r w:rsidRPr="00AF1EEA" w:rsidR="008E5053">
        <w:t>Līdz ar to precīzu skaitu, cik apelācijas sūdzību par pirmās instances tiesas nolēmumiem iepriekš norādītajā laika posmā ir iesniegušas iestādes (valsts un pašvaldību institūcijas), drošticami noteikt ir sarežģīti un prasa lielu resursu patēriņu</w:t>
      </w:r>
      <w:r w:rsidRPr="00AF1EEA" w:rsidR="0000026D">
        <w:t>.</w:t>
      </w:r>
    </w:p>
    <w:p w:rsidR="003703DD" w:rsidP="00046B5F" w:rsidRDefault="00B77C8F" w14:paraId="52C9087C" w14:textId="4DA1E7F4">
      <w:pPr>
        <w:pStyle w:val="NoSpacing"/>
        <w:jc w:val="both"/>
      </w:pPr>
      <w:r>
        <w:t xml:space="preserve"> </w:t>
      </w:r>
    </w:p>
    <w:p w:rsidR="00046B5F" w:rsidP="003703DD" w:rsidRDefault="003C657E" w14:paraId="219BFD9E" w14:textId="73680BE6">
      <w:pPr>
        <w:pStyle w:val="NoSpacing"/>
        <w:ind w:firstLine="720"/>
        <w:jc w:val="both"/>
      </w:pPr>
      <w:r>
        <w:t xml:space="preserve">Lai izvērtētu </w:t>
      </w:r>
      <w:r w:rsidRPr="003C657E">
        <w:t>esošo praksi attiecībā uz publiskā sektora iesniegtajām pārsūdzībām par pirmās instances tiesu spriedumiem administratīvā pārkāpuma procesā</w:t>
      </w:r>
      <w:r>
        <w:t xml:space="preserve"> un nepieciešamību saglabāt iestāžu tiesības iesniegt apelācijas sūdzības, Tieslietu ministrija lūdza apgabaltiesas</w:t>
      </w:r>
      <w:r w:rsidR="00EF3B4B">
        <w:t xml:space="preserve"> </w:t>
      </w:r>
      <w:r>
        <w:t>atb</w:t>
      </w:r>
      <w:r w:rsidR="00994E52">
        <w:t>ildēt uz šādiem jautājumiem:</w:t>
      </w:r>
    </w:p>
    <w:p w:rsidR="005A54FC" w:rsidP="005A54FC" w:rsidRDefault="005A54FC" w14:paraId="2ED38145" w14:textId="21C9C236">
      <w:pPr>
        <w:ind w:right="-2" w:firstLine="720"/>
        <w:jc w:val="both"/>
      </w:pPr>
      <w:r>
        <w:t>1. Vai administratīvā pārkāpuma procesā valsts un pašvaldību institūciju (turpmāk – iestāde) iesniegto apelācijas sūdzību skaits, salīdzinot ar visām iesniegtajām apelācijas sūdzībām, būtiski ietekmē apgabaltiesas darbu?</w:t>
      </w:r>
    </w:p>
    <w:p w:rsidRPr="00BB5543" w:rsidR="005A54FC" w:rsidP="005A54FC" w:rsidRDefault="005A54FC" w14:paraId="03130C69" w14:textId="3A90CE49">
      <w:pPr>
        <w:ind w:right="-2" w:firstLine="720"/>
        <w:jc w:val="both"/>
      </w:pPr>
      <w:r>
        <w:t xml:space="preserve">2. Vai turpmāk būtu saglabājamas iestāžu tiesības iesniegt apelācijas sūdzības, ievērojot arī to, ka </w:t>
      </w:r>
      <w:r w:rsidR="004652BE">
        <w:t>AAL</w:t>
      </w:r>
      <w:r>
        <w:t xml:space="preserve"> </w:t>
      </w:r>
      <w:r w:rsidRPr="00656ECB">
        <w:t>v</w:t>
      </w:r>
      <w:r w:rsidRPr="00656ECB">
        <w:t xml:space="preserve">airs neparedzēs </w:t>
      </w:r>
      <w:r>
        <w:t xml:space="preserve">rajona (pilsētas) </w:t>
      </w:r>
      <w:r w:rsidRPr="00656ECB">
        <w:t>tiesas pienākumu darboties kā sākotnējai iestādei lietas izskatīšanā</w:t>
      </w:r>
      <w:r>
        <w:t xml:space="preserve"> (</w:t>
      </w:r>
      <w:r w:rsidR="00AF1EEA">
        <w:t>LAPK</w:t>
      </w:r>
      <w:r>
        <w:t xml:space="preserve"> 213. pants)?</w:t>
      </w:r>
    </w:p>
    <w:p w:rsidR="005A54FC" w:rsidP="005A54FC" w:rsidRDefault="005A54FC" w14:paraId="0CCFD18B" w14:textId="77777777">
      <w:pPr>
        <w:ind w:right="-2" w:firstLine="720"/>
        <w:jc w:val="both"/>
      </w:pPr>
      <w:r>
        <w:t xml:space="preserve">3. Vai šobrīd iestāžu iesniegtās apelācijas sūdzības kopumā pozitīvi ietekmē administratīvo pārkāpumu lietu izskatīšanu tiesā (uzlabo procesa kvalitāti, sūdzības pamatā ir kvalitatīvi sagatavotas un pamatotas, veicina judikatūras attīstību u. tml.)? </w:t>
      </w:r>
    </w:p>
    <w:p w:rsidR="002C3766" w:rsidP="00046B5F" w:rsidRDefault="00A11A84" w14:paraId="24E1B728" w14:textId="29565DF5">
      <w:pPr>
        <w:pStyle w:val="NoSpacing"/>
        <w:jc w:val="both"/>
      </w:pPr>
      <w:r>
        <w:tab/>
      </w:r>
      <w:r w:rsidRPr="00A11A84">
        <w:t xml:space="preserve">Tieslietu ministrija saņēma atbildi no Rīgas apgabaltiesas, Kurzemes apgabaltiesas, </w:t>
      </w:r>
      <w:r w:rsidR="009B592F">
        <w:t xml:space="preserve">Latgales apgabaltiesas, </w:t>
      </w:r>
      <w:r w:rsidRPr="00A11A84">
        <w:t>Vidzemes apgabaltiesas un Zemgales apgabaltiesas</w:t>
      </w:r>
      <w:r>
        <w:t>.</w:t>
      </w:r>
    </w:p>
    <w:p w:rsidR="00A11A84" w:rsidP="00046B5F" w:rsidRDefault="00A11A84" w14:paraId="6361A1F4" w14:textId="77777777">
      <w:pPr>
        <w:pStyle w:val="NoSpacing"/>
        <w:jc w:val="both"/>
      </w:pPr>
    </w:p>
    <w:p w:rsidR="00054E23" w:rsidP="00046B5F" w:rsidRDefault="00E23713" w14:paraId="0475E230" w14:textId="65F1E7FB">
      <w:pPr>
        <w:pStyle w:val="NoSpacing"/>
        <w:jc w:val="both"/>
        <w:rPr>
          <w:b/>
          <w:bCs/>
        </w:rPr>
      </w:pPr>
      <w:r>
        <w:rPr>
          <w:b/>
          <w:bCs/>
        </w:rPr>
        <w:t>Rīgas apgabaltiesa</w:t>
      </w:r>
    </w:p>
    <w:p w:rsidR="00554DD0" w:rsidP="00046B5F" w:rsidRDefault="00554DD0" w14:paraId="0C5D6E3D" w14:textId="77777777">
      <w:pPr>
        <w:pStyle w:val="NoSpacing"/>
        <w:jc w:val="both"/>
        <w:rPr>
          <w:b/>
          <w:bCs/>
        </w:rPr>
      </w:pPr>
    </w:p>
    <w:tbl>
      <w:tblPr>
        <w:tblStyle w:val="TableGrid"/>
        <w:tblW w:w="0" w:type="auto"/>
        <w:tblLook w:val="04A0" w:firstRow="1" w:lastRow="0" w:firstColumn="1" w:lastColumn="0" w:noHBand="0" w:noVBand="1"/>
      </w:tblPr>
      <w:tblGrid>
        <w:gridCol w:w="2405"/>
        <w:gridCol w:w="6656"/>
      </w:tblGrid>
      <w:tr w:rsidR="00E23713" w:rsidTr="00F76F0B" w14:paraId="7A351B14" w14:textId="77777777">
        <w:tc>
          <w:tcPr>
            <w:tcW w:w="2405" w:type="dxa"/>
            <w:shd w:val="clear" w:color="auto" w:fill="E5DFEC" w:themeFill="accent4" w:themeFillTint="33"/>
          </w:tcPr>
          <w:p w:rsidR="00E23713" w:rsidP="00E6591F" w:rsidRDefault="00E6591F" w14:paraId="3B2C18FF" w14:textId="352B35DC">
            <w:pPr>
              <w:pStyle w:val="NoSpacing"/>
            </w:pPr>
            <w:r>
              <w:t>1. </w:t>
            </w:r>
            <w:r w:rsidR="0015319C">
              <w:t>Iestāžu iesniegto apelācijas sūdzību skaits</w:t>
            </w:r>
          </w:p>
        </w:tc>
        <w:tc>
          <w:tcPr>
            <w:tcW w:w="6656" w:type="dxa"/>
          </w:tcPr>
          <w:p w:rsidR="00E23713" w:rsidP="00F05408" w:rsidRDefault="00E06B61" w14:paraId="71017173" w14:textId="06B3F97F">
            <w:pPr>
              <w:pStyle w:val="NoSpacing"/>
              <w:jc w:val="both"/>
            </w:pPr>
            <w:r w:rsidRPr="00E06B61">
              <w:t>Rīgas apgabaltiesā 2019.</w:t>
            </w:r>
            <w:r>
              <w:t> </w:t>
            </w:r>
            <w:r w:rsidRPr="00E06B61">
              <w:t>gadā ar apelācijas sūdzībām pavisam saņemtas 735</w:t>
            </w:r>
            <w:r w:rsidR="00CC19CB">
              <w:t> </w:t>
            </w:r>
            <w:r w:rsidRPr="00E06B61">
              <w:t>administratīvā pārkāpuma lietas. 288</w:t>
            </w:r>
            <w:r w:rsidR="00CC19CB">
              <w:t> </w:t>
            </w:r>
            <w:r w:rsidRPr="00E06B61">
              <w:t xml:space="preserve">lietās apelācijas sūdzības iesniedzēja bijusi </w:t>
            </w:r>
            <w:r w:rsidR="00AF1EEA">
              <w:t>iestāde</w:t>
            </w:r>
            <w:r w:rsidRPr="00E06B61">
              <w:t>, kas ir aptuveni 39</w:t>
            </w:r>
            <w:r w:rsidR="00F05408">
              <w:t> </w:t>
            </w:r>
            <w:r w:rsidRPr="00E06B61">
              <w:t>% no visām Rīgas apgabaltiesā ar apelācijas sūdzībām saņemtajām lietām. Tādējādi atbilstošās lietas apgabaltiesas darbu ietekmē ievērojami.</w:t>
            </w:r>
          </w:p>
          <w:p w:rsidR="00F05408" w:rsidP="00F05408" w:rsidRDefault="00F05408" w14:paraId="25C7B9F1" w14:textId="0C59EDB8">
            <w:pPr>
              <w:pStyle w:val="NoSpacing"/>
              <w:jc w:val="both"/>
            </w:pPr>
          </w:p>
        </w:tc>
      </w:tr>
      <w:tr w:rsidR="00E23713" w:rsidTr="00F76F0B" w14:paraId="1077BA97" w14:textId="77777777">
        <w:tc>
          <w:tcPr>
            <w:tcW w:w="2405" w:type="dxa"/>
            <w:shd w:val="clear" w:color="auto" w:fill="E5DFEC" w:themeFill="accent4" w:themeFillTint="33"/>
          </w:tcPr>
          <w:p w:rsidR="00E23713" w:rsidP="00E6591F" w:rsidRDefault="00E6591F" w14:paraId="625CC7DF" w14:textId="777CFC9F">
            <w:pPr>
              <w:pStyle w:val="NoSpacing"/>
            </w:pPr>
            <w:r>
              <w:t>2. </w:t>
            </w:r>
            <w:r w:rsidR="00953AEC">
              <w:t>Iestāžu tiesību iesniegt apelācijas</w:t>
            </w:r>
            <w:r>
              <w:t xml:space="preserve"> sūdzības</w:t>
            </w:r>
            <w:r w:rsidR="00953AEC">
              <w:t xml:space="preserve"> nepiecie</w:t>
            </w:r>
            <w:r w:rsidR="003B43FF">
              <w:t>šamība</w:t>
            </w:r>
          </w:p>
        </w:tc>
        <w:tc>
          <w:tcPr>
            <w:tcW w:w="6656" w:type="dxa"/>
          </w:tcPr>
          <w:p w:rsidRPr="00831EF8" w:rsidR="00831EF8" w:rsidP="00831EF8" w:rsidRDefault="00831EF8" w14:paraId="0A247C3A" w14:textId="129FBB66">
            <w:pPr>
              <w:pStyle w:val="NoSpacing"/>
              <w:jc w:val="both"/>
            </w:pPr>
            <w:r w:rsidRPr="00831EF8">
              <w:t>Ir jāsaglabā iestāžu procesuālās tiesības pirmās instances tiesas nolēmuma tiesiskuma pārbaudei iesniegt apelācijas sūdzību. Iestādei jābūt paredzētām tiesībām pamatot sava lēmuma tiesiskumu arī apelācijas kārtībā, jo īpaši gadījumos, kad ar pirmās instances tiesas spriedumu atcelts iestādes lēmums un izbeigta administratīvā pārkāpuma lietvedīb</w:t>
            </w:r>
            <w:r w:rsidR="00D02AEB">
              <w:t>a</w:t>
            </w:r>
            <w:r w:rsidRPr="00831EF8">
              <w:t>.</w:t>
            </w:r>
          </w:p>
          <w:p w:rsidR="00E23713" w:rsidP="00046B5F" w:rsidRDefault="00E23713" w14:paraId="1C6CAEB9" w14:textId="77777777">
            <w:pPr>
              <w:pStyle w:val="NoSpacing"/>
              <w:jc w:val="both"/>
            </w:pPr>
          </w:p>
        </w:tc>
      </w:tr>
      <w:tr w:rsidR="00E23713" w:rsidTr="00F76F0B" w14:paraId="05F111B4" w14:textId="77777777">
        <w:tc>
          <w:tcPr>
            <w:tcW w:w="2405" w:type="dxa"/>
            <w:shd w:val="clear" w:color="auto" w:fill="E5DFEC" w:themeFill="accent4" w:themeFillTint="33"/>
          </w:tcPr>
          <w:p w:rsidR="00E23713" w:rsidP="00E6591F" w:rsidRDefault="00E6591F" w14:paraId="5C3DDBFD" w14:textId="6957C39C">
            <w:pPr>
              <w:pStyle w:val="NoSpacing"/>
            </w:pPr>
            <w:r>
              <w:lastRenderedPageBreak/>
              <w:t>3. </w:t>
            </w:r>
            <w:r w:rsidR="003B43FF">
              <w:t>Iestāžu iesniegto apelācijas sūdzību ietekme</w:t>
            </w:r>
          </w:p>
        </w:tc>
        <w:tc>
          <w:tcPr>
            <w:tcW w:w="6656" w:type="dxa"/>
          </w:tcPr>
          <w:p w:rsidRPr="00B11535" w:rsidR="00B11535" w:rsidP="00B11535" w:rsidRDefault="00B11535" w14:paraId="56379238" w14:textId="77777777">
            <w:pPr>
              <w:pStyle w:val="NoSpacing"/>
              <w:jc w:val="both"/>
            </w:pPr>
            <w:r w:rsidRPr="00B11535">
              <w:t>Iestāžu iesniegtās apelācijas sūdzības kopumā pozitīvi ietekmē administratīvo pārkāpumu lietu izskatīšanu tiesā, tās lielākoties ir kvalitatīvi sagatavotas un pamatotas.</w:t>
            </w:r>
          </w:p>
          <w:p w:rsidR="00E23713" w:rsidP="00046B5F" w:rsidRDefault="00E23713" w14:paraId="4C2D6E66" w14:textId="77777777">
            <w:pPr>
              <w:pStyle w:val="NoSpacing"/>
              <w:jc w:val="both"/>
            </w:pPr>
          </w:p>
        </w:tc>
      </w:tr>
    </w:tbl>
    <w:p w:rsidRPr="00E23713" w:rsidR="00E23713" w:rsidP="00046B5F" w:rsidRDefault="00E23713" w14:paraId="78C9AE8D" w14:textId="77777777">
      <w:pPr>
        <w:pStyle w:val="NoSpacing"/>
        <w:jc w:val="both"/>
      </w:pPr>
    </w:p>
    <w:p w:rsidR="004E55E0" w:rsidP="00F76F0B" w:rsidRDefault="00B60D02" w14:paraId="4D3675D9" w14:textId="477EA0A3">
      <w:pPr>
        <w:pStyle w:val="NoSpacing"/>
        <w:jc w:val="both"/>
        <w:rPr>
          <w:b/>
          <w:bCs/>
        </w:rPr>
      </w:pPr>
      <w:r>
        <w:rPr>
          <w:b/>
          <w:bCs/>
        </w:rPr>
        <w:t>Kurzemes apgabaltiesa</w:t>
      </w:r>
    </w:p>
    <w:p w:rsidR="00E82CFE" w:rsidP="00F76F0B" w:rsidRDefault="00E82CFE" w14:paraId="5FE5555F" w14:textId="77777777">
      <w:pPr>
        <w:pStyle w:val="NoSpacing"/>
        <w:jc w:val="both"/>
        <w:rPr>
          <w:b/>
          <w:bCs/>
        </w:rPr>
      </w:pPr>
    </w:p>
    <w:tbl>
      <w:tblPr>
        <w:tblStyle w:val="TableGrid"/>
        <w:tblW w:w="0" w:type="auto"/>
        <w:tblLook w:val="04A0" w:firstRow="1" w:lastRow="0" w:firstColumn="1" w:lastColumn="0" w:noHBand="0" w:noVBand="1"/>
      </w:tblPr>
      <w:tblGrid>
        <w:gridCol w:w="2405"/>
        <w:gridCol w:w="6656"/>
      </w:tblGrid>
      <w:tr w:rsidR="00B60D02" w:rsidTr="00182392" w14:paraId="19204504" w14:textId="77777777">
        <w:tc>
          <w:tcPr>
            <w:tcW w:w="2405" w:type="dxa"/>
            <w:shd w:val="clear" w:color="auto" w:fill="E5DFEC" w:themeFill="accent4" w:themeFillTint="33"/>
          </w:tcPr>
          <w:p w:rsidR="00B60D02" w:rsidP="00182392" w:rsidRDefault="00B60D02" w14:paraId="0D25C9A0" w14:textId="77777777">
            <w:pPr>
              <w:pStyle w:val="NoSpacing"/>
            </w:pPr>
            <w:r>
              <w:t>1. Iestāžu iesniegto apelācijas sūdzību skaits</w:t>
            </w:r>
          </w:p>
        </w:tc>
        <w:tc>
          <w:tcPr>
            <w:tcW w:w="6656" w:type="dxa"/>
          </w:tcPr>
          <w:p w:rsidRPr="008D594F" w:rsidR="008D594F" w:rsidP="008D594F" w:rsidRDefault="008D594F" w14:paraId="44F70008" w14:textId="62EE658A">
            <w:pPr>
              <w:pStyle w:val="NoSpacing"/>
              <w:jc w:val="both"/>
            </w:pPr>
            <w:r w:rsidRPr="008D594F">
              <w:t>2019. gadā Kurzemes apgabaltiesā tika saņemtas izskatīšanai apelācijas kārtībā 147 administratīvo pārkāpumu lietas, no tām 18 lietās apelācijas sūdzību iesniegusi iestāde. Šajā statistikā iekļautas arī 76 administratīvo pārkāpumu lietas par iebraukšanu īpaša režīma zonā Jūrmalas pilsētas administratīvajā teritorijā, vienai konkrētai uzņēmējsabiedrībai neiegādājoties caurlaidi (no tām piecās lietās sūdzību iesniegusi iestāde). Šo situāciju uzskatām par izņēmumu, kas, iespējams, turpmāk neatkārto</w:t>
            </w:r>
            <w:r w:rsidR="005F538B">
              <w:t>s</w:t>
            </w:r>
            <w:r w:rsidRPr="008D594F">
              <w:t>ies. Šādu vienveidīgu lietu apjoma izskatīšanu apelācijas kārtībā atrisinājām, lietas apvienojot.</w:t>
            </w:r>
          </w:p>
          <w:p w:rsidRPr="008D594F" w:rsidR="008D594F" w:rsidP="005A5DEB" w:rsidRDefault="008D594F" w14:paraId="52C911C4" w14:textId="0C74E83E">
            <w:pPr>
              <w:pStyle w:val="NoSpacing"/>
              <w:jc w:val="both"/>
            </w:pPr>
            <w:r w:rsidRPr="008D594F">
              <w:t>Salīdzinoši ar 2018. gadu, kad tiesā tika saņemtas</w:t>
            </w:r>
            <w:r w:rsidR="005A5DEB">
              <w:t xml:space="preserve"> </w:t>
            </w:r>
            <w:r w:rsidRPr="008D594F">
              <w:t xml:space="preserve">66 administratīvo pārkāpumu lietas, no kurām 6 lietās apelācijas sūdzību iesniegusi iestāde, lietu statistika būtiski nemainās. Pie šādas situācijas tiesa neuzskata, ka administratīvo pārkāpumu procesā </w:t>
            </w:r>
            <w:r w:rsidR="00AE0B66">
              <w:t xml:space="preserve">iestāžu </w:t>
            </w:r>
            <w:r w:rsidRPr="008D594F">
              <w:t>iesniegto apelācijas sūdzību skaits, salīdzinot ar visām iesniegtajām apelācijas sūdzībām, būtiski ietekmē apgabaltiesas darbu.</w:t>
            </w:r>
          </w:p>
          <w:p w:rsidR="00B60D02" w:rsidP="00182392" w:rsidRDefault="00B60D02" w14:paraId="7DB4B8BE" w14:textId="77777777">
            <w:pPr>
              <w:pStyle w:val="NoSpacing"/>
              <w:jc w:val="both"/>
            </w:pPr>
          </w:p>
        </w:tc>
      </w:tr>
      <w:tr w:rsidR="00B60D02" w:rsidTr="00182392" w14:paraId="247B10AF" w14:textId="77777777">
        <w:tc>
          <w:tcPr>
            <w:tcW w:w="2405" w:type="dxa"/>
            <w:shd w:val="clear" w:color="auto" w:fill="E5DFEC" w:themeFill="accent4" w:themeFillTint="33"/>
          </w:tcPr>
          <w:p w:rsidR="00B60D02" w:rsidP="00182392" w:rsidRDefault="00B60D02" w14:paraId="060464D3" w14:textId="77777777">
            <w:pPr>
              <w:pStyle w:val="NoSpacing"/>
            </w:pPr>
            <w:r>
              <w:t>2. Iestāžu tiesību iesniegt apelācijas sūdzības nepieciešamība</w:t>
            </w:r>
          </w:p>
        </w:tc>
        <w:tc>
          <w:tcPr>
            <w:tcW w:w="6656" w:type="dxa"/>
          </w:tcPr>
          <w:p w:rsidRPr="000678F4" w:rsidR="000678F4" w:rsidP="000678F4" w:rsidRDefault="000678F4" w14:paraId="37C444AD" w14:textId="77777777">
            <w:pPr>
              <w:pStyle w:val="NoSpacing"/>
              <w:jc w:val="both"/>
            </w:pPr>
            <w:r w:rsidRPr="000678F4">
              <w:t>Lai īstenotu uzdevumu – kontrolēt nolēmumu tiesiskumu un pamatotību, Kurzemes apgabaltiesa uzskata, ka arī turpmāk būtu saglabājamas iestāžu tiesības iesniegt apelācijas sūdzības.</w:t>
            </w:r>
          </w:p>
          <w:p w:rsidR="00B60D02" w:rsidP="00182392" w:rsidRDefault="00B60D02" w14:paraId="719CB93B" w14:textId="77777777">
            <w:pPr>
              <w:pStyle w:val="NoSpacing"/>
              <w:jc w:val="both"/>
            </w:pPr>
          </w:p>
        </w:tc>
      </w:tr>
      <w:tr w:rsidR="00B60D02" w:rsidTr="00182392" w14:paraId="5D2C279F" w14:textId="77777777">
        <w:tc>
          <w:tcPr>
            <w:tcW w:w="2405" w:type="dxa"/>
            <w:shd w:val="clear" w:color="auto" w:fill="E5DFEC" w:themeFill="accent4" w:themeFillTint="33"/>
          </w:tcPr>
          <w:p w:rsidR="00B60D02" w:rsidP="00182392" w:rsidRDefault="00B60D02" w14:paraId="203BD3FB" w14:textId="77777777">
            <w:pPr>
              <w:pStyle w:val="NoSpacing"/>
            </w:pPr>
            <w:r>
              <w:t>3. Iestāžu iesniegto apelācijas sūdzību ietekme</w:t>
            </w:r>
          </w:p>
        </w:tc>
        <w:tc>
          <w:tcPr>
            <w:tcW w:w="6656" w:type="dxa"/>
          </w:tcPr>
          <w:p w:rsidRPr="00325414" w:rsidR="00325414" w:rsidP="00325414" w:rsidRDefault="00325414" w14:paraId="06A4E6EF" w14:textId="6C7CF9C8">
            <w:pPr>
              <w:pStyle w:val="NoSpacing"/>
              <w:jc w:val="both"/>
            </w:pPr>
            <w:r w:rsidRPr="00325414">
              <w:t>Izvērtējot iepriekšējo tiesu praksi un pieredzi šo kategoriju lietu izskatīšanā, Kurzemes apgabaltiesa secina, ka šobrīd iestāžu iesniegtās apelācijas sūdzības administratīvo pārkāpumu lietās ir kvalitatīvi sagatavotas (tās sastāda juristi), tādējādi kopumā tās pozitīvi ietekmē administratīvo pārkāpumu lietu izskatīšanu tiesā, attiecīgi veicina arī judikatūras attīstību, jo jaunais regulējums [</w:t>
            </w:r>
            <w:r w:rsidR="00EA0BE1">
              <w:t>AAL</w:t>
            </w:r>
            <w:r w:rsidRPr="00325414">
              <w:t>] paredz apelācijas instances tiesai arī pienākumu nodrošināt materiālo tiesību normu pareizu iztulkošanu un piemērošanu, kā arī procesuālo tiesību normu ievērošanu.</w:t>
            </w:r>
          </w:p>
          <w:p w:rsidR="00B60D02" w:rsidP="00182392" w:rsidRDefault="00B60D02" w14:paraId="324005D2" w14:textId="77777777">
            <w:pPr>
              <w:pStyle w:val="NoSpacing"/>
              <w:jc w:val="both"/>
            </w:pPr>
          </w:p>
        </w:tc>
      </w:tr>
    </w:tbl>
    <w:p w:rsidR="00B60D02" w:rsidP="00F76F0B" w:rsidRDefault="00B60D02" w14:paraId="0BEFE4B6" w14:textId="7C08F446">
      <w:pPr>
        <w:pStyle w:val="NoSpacing"/>
        <w:jc w:val="both"/>
        <w:rPr>
          <w:b/>
          <w:bCs/>
        </w:rPr>
      </w:pPr>
    </w:p>
    <w:p w:rsidR="005906D1" w:rsidP="005906D1" w:rsidRDefault="005906D1" w14:paraId="65DBF51B" w14:textId="77777777">
      <w:pPr>
        <w:pStyle w:val="NoSpacing"/>
        <w:jc w:val="both"/>
        <w:rPr>
          <w:b/>
          <w:bCs/>
        </w:rPr>
      </w:pPr>
      <w:r>
        <w:rPr>
          <w:b/>
          <w:bCs/>
        </w:rPr>
        <w:t>Latgales apgabaltiesa</w:t>
      </w:r>
    </w:p>
    <w:p w:rsidR="005906D1" w:rsidP="005906D1" w:rsidRDefault="005906D1" w14:paraId="42570BD0" w14:textId="77777777">
      <w:pPr>
        <w:pStyle w:val="NoSpacing"/>
        <w:jc w:val="both"/>
        <w:rPr>
          <w:b/>
          <w:bCs/>
        </w:rPr>
      </w:pPr>
    </w:p>
    <w:tbl>
      <w:tblPr>
        <w:tblStyle w:val="TableGrid"/>
        <w:tblW w:w="0" w:type="auto"/>
        <w:tblLook w:val="04A0" w:firstRow="1" w:lastRow="0" w:firstColumn="1" w:lastColumn="0" w:noHBand="0" w:noVBand="1"/>
      </w:tblPr>
      <w:tblGrid>
        <w:gridCol w:w="2405"/>
        <w:gridCol w:w="6656"/>
      </w:tblGrid>
      <w:tr w:rsidR="005906D1" w:rsidTr="004A156A" w14:paraId="4CBED16A" w14:textId="77777777">
        <w:tc>
          <w:tcPr>
            <w:tcW w:w="2405" w:type="dxa"/>
            <w:shd w:val="clear" w:color="auto" w:fill="E5DFEC" w:themeFill="accent4" w:themeFillTint="33"/>
          </w:tcPr>
          <w:p w:rsidR="005906D1" w:rsidP="004A156A" w:rsidRDefault="005906D1" w14:paraId="206CFFD5" w14:textId="77777777">
            <w:pPr>
              <w:pStyle w:val="NoSpacing"/>
            </w:pPr>
            <w:r>
              <w:t>1. Iestāžu iesniegto apelācijas sūdzību skaits</w:t>
            </w:r>
          </w:p>
        </w:tc>
        <w:tc>
          <w:tcPr>
            <w:tcW w:w="6656" w:type="dxa"/>
          </w:tcPr>
          <w:p w:rsidR="005906D1" w:rsidP="004A156A" w:rsidRDefault="005906D1" w14:paraId="109F5CFB" w14:textId="49A0876A">
            <w:pPr>
              <w:pStyle w:val="NoSpacing"/>
              <w:jc w:val="both"/>
            </w:pPr>
            <w:r>
              <w:t xml:space="preserve">Iestāžu </w:t>
            </w:r>
            <w:r w:rsidRPr="00671B28">
              <w:t xml:space="preserve">iesniegto apelācijas sūdzību skaits administratīvo </w:t>
            </w:r>
            <w:r w:rsidRPr="00671B28">
              <w:t>pārkāpumu lietās nekāda veidā neietekmē Latgales apgabaltiesas darbu</w:t>
            </w:r>
            <w:r>
              <w:t>. A</w:t>
            </w:r>
            <w:r w:rsidRPr="00671B28">
              <w:t>pgabaltiesai kā apelācijas instances tiesai nav īpašas nozīmes, kur</w:t>
            </w:r>
            <w:r>
              <w:t>š</w:t>
            </w:r>
            <w:r w:rsidRPr="00671B28">
              <w:t xml:space="preserve"> pārsūdz pirmo instanču tiesu nolēmumu</w:t>
            </w:r>
            <w:r w:rsidR="006403F0">
              <w:t>s</w:t>
            </w:r>
            <w:r w:rsidRPr="00671B28">
              <w:t xml:space="preserve">. Var atzīmēt, ka </w:t>
            </w:r>
            <w:r>
              <w:t>i</w:t>
            </w:r>
            <w:r w:rsidRPr="00671B28">
              <w:t>estāžu iesniegtās apelācijas sūdzības ir kvalitatīvākas, pareizāk argumentētas</w:t>
            </w:r>
            <w:r>
              <w:t>.</w:t>
            </w:r>
          </w:p>
        </w:tc>
      </w:tr>
      <w:tr w:rsidR="005906D1" w:rsidTr="004A156A" w14:paraId="5628BB11" w14:textId="77777777">
        <w:tc>
          <w:tcPr>
            <w:tcW w:w="2405" w:type="dxa"/>
            <w:shd w:val="clear" w:color="auto" w:fill="E5DFEC" w:themeFill="accent4" w:themeFillTint="33"/>
          </w:tcPr>
          <w:p w:rsidR="005906D1" w:rsidP="004A156A" w:rsidRDefault="005906D1" w14:paraId="4F74AD3E" w14:textId="77777777">
            <w:pPr>
              <w:pStyle w:val="NoSpacing"/>
            </w:pPr>
            <w:r>
              <w:t>2. Iestāžu tiesību iesniegt apelācijas sūdzības nepieciešamība</w:t>
            </w:r>
          </w:p>
        </w:tc>
        <w:tc>
          <w:tcPr>
            <w:tcW w:w="6656" w:type="dxa"/>
          </w:tcPr>
          <w:p w:rsidR="005906D1" w:rsidP="004A156A" w:rsidRDefault="005906D1" w14:paraId="4A270647" w14:textId="77777777">
            <w:pPr>
              <w:pStyle w:val="NoSpacing"/>
              <w:jc w:val="both"/>
            </w:pPr>
            <w:r>
              <w:t>T</w:t>
            </w:r>
            <w:r w:rsidRPr="00D41ADA">
              <w:t xml:space="preserve">iesības uz taisnīgu tiesu un izveidojušos tiesisko attiecību taisnīgu noregulējumu ir gan </w:t>
            </w:r>
            <w:r>
              <w:t>i</w:t>
            </w:r>
            <w:r w:rsidRPr="00D41ADA">
              <w:t xml:space="preserve">estādei, kas darbojas valsts un sabiedrības interesēs, gan indivīdam, kurš aizstāv savas intereses, tāpēc likumā ir jāsaglabā </w:t>
            </w:r>
            <w:r>
              <w:t>i</w:t>
            </w:r>
            <w:r w:rsidRPr="00D41ADA">
              <w:t xml:space="preserve">estāžu tiesības pārsūdzēt pirmo instanču tiesu </w:t>
            </w:r>
            <w:r w:rsidRPr="00D41ADA">
              <w:lastRenderedPageBreak/>
              <w:t>nolēmumus apelācijas kārtībā. Vairāk uzmanības būtu jāpievērš jautājumam, cik profesionāli sagatavot</w:t>
            </w:r>
            <w:r>
              <w:t>i kadri str</w:t>
            </w:r>
            <w:r w:rsidRPr="00D41ADA">
              <w:t xml:space="preserve">ādā </w:t>
            </w:r>
            <w:r>
              <w:t>i</w:t>
            </w:r>
            <w:r w:rsidRPr="00D41ADA">
              <w:t>estādēs</w:t>
            </w:r>
            <w:r>
              <w:t>.</w:t>
            </w:r>
          </w:p>
        </w:tc>
      </w:tr>
      <w:tr w:rsidR="005906D1" w:rsidTr="004A156A" w14:paraId="00FDAF9D" w14:textId="77777777">
        <w:tc>
          <w:tcPr>
            <w:tcW w:w="2405" w:type="dxa"/>
            <w:shd w:val="clear" w:color="auto" w:fill="E5DFEC" w:themeFill="accent4" w:themeFillTint="33"/>
          </w:tcPr>
          <w:p w:rsidR="005906D1" w:rsidP="004A156A" w:rsidRDefault="005906D1" w14:paraId="739D5CE1" w14:textId="77777777">
            <w:pPr>
              <w:pStyle w:val="NoSpacing"/>
            </w:pPr>
            <w:r>
              <w:lastRenderedPageBreak/>
              <w:t>3. Iestāžu iesniegto apelācijas sūdzību ietekme</w:t>
            </w:r>
          </w:p>
        </w:tc>
        <w:tc>
          <w:tcPr>
            <w:tcW w:w="6656" w:type="dxa"/>
          </w:tcPr>
          <w:p w:rsidR="005906D1" w:rsidP="004A156A" w:rsidRDefault="005906D1" w14:paraId="77011E8B" w14:textId="77777777">
            <w:pPr>
              <w:pStyle w:val="NoSpacing"/>
              <w:jc w:val="both"/>
            </w:pPr>
            <w:r w:rsidRPr="007565C8">
              <w:t>Iestāžu iesniegtās apelācijas sūdzības ir kvalitatīvākas, pareizāk argumentētas un dažreiz veicina judikatūras attīstību</w:t>
            </w:r>
            <w:r>
              <w:t>.</w:t>
            </w:r>
          </w:p>
        </w:tc>
      </w:tr>
    </w:tbl>
    <w:p w:rsidR="005906D1" w:rsidP="005906D1" w:rsidRDefault="005906D1" w14:paraId="1F46C9EB" w14:textId="77777777">
      <w:pPr>
        <w:pStyle w:val="NoSpacing"/>
        <w:jc w:val="both"/>
        <w:rPr>
          <w:b/>
          <w:bCs/>
        </w:rPr>
      </w:pPr>
    </w:p>
    <w:p w:rsidR="00E82CFE" w:rsidP="00F76F0B" w:rsidRDefault="00E82CFE" w14:paraId="7E902EAB" w14:textId="5FBD638E">
      <w:pPr>
        <w:pStyle w:val="NoSpacing"/>
        <w:jc w:val="both"/>
        <w:rPr>
          <w:b/>
          <w:bCs/>
        </w:rPr>
      </w:pPr>
      <w:r>
        <w:rPr>
          <w:b/>
          <w:bCs/>
        </w:rPr>
        <w:t>Vidzemes apgabaltiesa</w:t>
      </w:r>
    </w:p>
    <w:p w:rsidR="00E82CFE" w:rsidP="00F76F0B" w:rsidRDefault="00E82CFE" w14:paraId="5429ABF9" w14:textId="5DB73FA1">
      <w:pPr>
        <w:pStyle w:val="NoSpacing"/>
        <w:jc w:val="both"/>
        <w:rPr>
          <w:b/>
          <w:bCs/>
        </w:rPr>
      </w:pPr>
    </w:p>
    <w:tbl>
      <w:tblPr>
        <w:tblStyle w:val="TableGrid"/>
        <w:tblW w:w="0" w:type="auto"/>
        <w:tblLook w:val="04A0" w:firstRow="1" w:lastRow="0" w:firstColumn="1" w:lastColumn="0" w:noHBand="0" w:noVBand="1"/>
      </w:tblPr>
      <w:tblGrid>
        <w:gridCol w:w="2405"/>
        <w:gridCol w:w="6656"/>
      </w:tblGrid>
      <w:tr w:rsidR="00E82CFE" w:rsidTr="00182392" w14:paraId="7284222A" w14:textId="77777777">
        <w:tc>
          <w:tcPr>
            <w:tcW w:w="2405" w:type="dxa"/>
            <w:shd w:val="clear" w:color="auto" w:fill="E5DFEC" w:themeFill="accent4" w:themeFillTint="33"/>
          </w:tcPr>
          <w:p w:rsidR="00E82CFE" w:rsidP="00182392" w:rsidRDefault="00E82CFE" w14:paraId="57CAA5DD" w14:textId="77777777">
            <w:pPr>
              <w:pStyle w:val="NoSpacing"/>
            </w:pPr>
            <w:r>
              <w:t>1. Iestāžu iesniegto apelācijas sūdzību skaits</w:t>
            </w:r>
          </w:p>
        </w:tc>
        <w:tc>
          <w:tcPr>
            <w:tcW w:w="6656" w:type="dxa"/>
          </w:tcPr>
          <w:p w:rsidRPr="008624EF" w:rsidR="008624EF" w:rsidP="008624EF" w:rsidRDefault="008624EF" w14:paraId="04BB6C98" w14:textId="3C3990B5">
            <w:pPr>
              <w:pStyle w:val="NoSpacing"/>
              <w:jc w:val="both"/>
              <w:rPr>
                <w:i/>
              </w:rPr>
            </w:pPr>
            <w:r w:rsidRPr="008624EF">
              <w:t xml:space="preserve">Administratīvo pārkāpumu lietās </w:t>
            </w:r>
            <w:r w:rsidR="00D0062E">
              <w:t>iestāžu</w:t>
            </w:r>
            <w:r w:rsidRPr="008624EF">
              <w:t xml:space="preserve"> iesniegto apelācijas sūdzību skaits būtiski neietekmē Vidzemes apgabaltiesas darbu.</w:t>
            </w:r>
            <w:r w:rsidRPr="008624EF">
              <w:rPr>
                <w:i/>
              </w:rPr>
              <w:t xml:space="preserve"> </w:t>
            </w:r>
            <w:r w:rsidRPr="008624EF">
              <w:t>2019.</w:t>
            </w:r>
            <w:r w:rsidR="001034B8">
              <w:t> </w:t>
            </w:r>
            <w:r w:rsidRPr="008624EF">
              <w:t>gadā no 106</w:t>
            </w:r>
            <w:r w:rsidR="001034B8">
              <w:t> </w:t>
            </w:r>
            <w:r w:rsidRPr="008624EF">
              <w:t>izskatītām lietām 15</w:t>
            </w:r>
            <w:r w:rsidR="001034B8">
              <w:t> </w:t>
            </w:r>
            <w:r w:rsidRPr="008624EF">
              <w:t xml:space="preserve">lietas tika skatītas pēc </w:t>
            </w:r>
            <w:r w:rsidR="00D0062E">
              <w:t>iest</w:t>
            </w:r>
            <w:r w:rsidRPr="00D0062E" w:rsidR="00D0062E">
              <w:t>āžu</w:t>
            </w:r>
            <w:r w:rsidR="00D0062E">
              <w:t xml:space="preserve"> </w:t>
            </w:r>
            <w:r w:rsidRPr="008624EF">
              <w:t>iesniegtajām sūdzībām, bet 2018.</w:t>
            </w:r>
            <w:r w:rsidR="001034B8">
              <w:t> </w:t>
            </w:r>
            <w:r w:rsidRPr="008624EF">
              <w:t>gadā bija 11</w:t>
            </w:r>
            <w:r w:rsidR="001034B8">
              <w:t> </w:t>
            </w:r>
            <w:r w:rsidRPr="008624EF">
              <w:t>sūdzības.</w:t>
            </w:r>
          </w:p>
          <w:p w:rsidR="00E82CFE" w:rsidP="00182392" w:rsidRDefault="00E82CFE" w14:paraId="1449E934" w14:textId="77777777">
            <w:pPr>
              <w:pStyle w:val="NoSpacing"/>
              <w:jc w:val="both"/>
            </w:pPr>
          </w:p>
        </w:tc>
      </w:tr>
      <w:tr w:rsidR="00E82CFE" w:rsidTr="00182392" w14:paraId="281E18EF" w14:textId="77777777">
        <w:tc>
          <w:tcPr>
            <w:tcW w:w="2405" w:type="dxa"/>
            <w:shd w:val="clear" w:color="auto" w:fill="E5DFEC" w:themeFill="accent4" w:themeFillTint="33"/>
          </w:tcPr>
          <w:p w:rsidR="00E82CFE" w:rsidP="00182392" w:rsidRDefault="00E82CFE" w14:paraId="521FA0E4" w14:textId="77777777">
            <w:pPr>
              <w:pStyle w:val="NoSpacing"/>
            </w:pPr>
            <w:r>
              <w:t>2. Iestāžu tiesību iesniegt apelācijas sūdzības nepieciešamība</w:t>
            </w:r>
          </w:p>
        </w:tc>
        <w:tc>
          <w:tcPr>
            <w:tcW w:w="6656" w:type="dxa"/>
          </w:tcPr>
          <w:p w:rsidRPr="00577EAF" w:rsidR="00577EAF" w:rsidP="00577EAF" w:rsidRDefault="00577EAF" w14:paraId="09B1323C" w14:textId="77777777">
            <w:pPr>
              <w:pStyle w:val="NoSpacing"/>
              <w:jc w:val="both"/>
            </w:pPr>
            <w:r w:rsidRPr="00577EAF">
              <w:t>Arī turpmāk varētu saglabāt iestāžu tiesības iesniegt apelācijas sūdzības.</w:t>
            </w:r>
          </w:p>
          <w:p w:rsidR="00E82CFE" w:rsidP="00182392" w:rsidRDefault="00E82CFE" w14:paraId="226C1994" w14:textId="77777777">
            <w:pPr>
              <w:pStyle w:val="NoSpacing"/>
              <w:jc w:val="both"/>
            </w:pPr>
          </w:p>
        </w:tc>
      </w:tr>
      <w:tr w:rsidR="00E82CFE" w:rsidTr="00182392" w14:paraId="5B4288B1" w14:textId="77777777">
        <w:tc>
          <w:tcPr>
            <w:tcW w:w="2405" w:type="dxa"/>
            <w:shd w:val="clear" w:color="auto" w:fill="E5DFEC" w:themeFill="accent4" w:themeFillTint="33"/>
          </w:tcPr>
          <w:p w:rsidR="00E82CFE" w:rsidP="00182392" w:rsidRDefault="00E82CFE" w14:paraId="25AF5E52" w14:textId="77777777">
            <w:pPr>
              <w:pStyle w:val="NoSpacing"/>
            </w:pPr>
            <w:r>
              <w:t>3. Iestāžu iesniegto apelācijas sūdzību ietekme</w:t>
            </w:r>
          </w:p>
        </w:tc>
        <w:tc>
          <w:tcPr>
            <w:tcW w:w="6656" w:type="dxa"/>
          </w:tcPr>
          <w:p w:rsidR="00E82CFE" w:rsidP="00B9749C" w:rsidRDefault="00B9749C" w14:paraId="53C22CEE" w14:textId="4089831E">
            <w:pPr>
              <w:pStyle w:val="NoSpacing"/>
              <w:jc w:val="both"/>
            </w:pPr>
            <w:r w:rsidRPr="00B9749C">
              <w:t>Tā kā daļa no iesniegtajām sūdzībām tiek apmierinātas, tad kopumā tiek uzlabota procesa kvalitāte, labotas pirmās instances tiesas pieļautās kļūdas, veicinot judikatūras attīstību. Iesniegtās sūdzības ne vienmēr ir kvalitatīvi sagatavotas.</w:t>
            </w:r>
          </w:p>
        </w:tc>
      </w:tr>
    </w:tbl>
    <w:p w:rsidR="00E82CFE" w:rsidP="00F76F0B" w:rsidRDefault="00E82CFE" w14:paraId="5A10F66D" w14:textId="2282CD2A">
      <w:pPr>
        <w:pStyle w:val="NoSpacing"/>
        <w:jc w:val="both"/>
        <w:rPr>
          <w:b/>
          <w:bCs/>
        </w:rPr>
      </w:pPr>
    </w:p>
    <w:p w:rsidR="00E82CFE" w:rsidP="00F76F0B" w:rsidRDefault="00E82CFE" w14:paraId="0F057617" w14:textId="54095D53">
      <w:pPr>
        <w:pStyle w:val="NoSpacing"/>
        <w:jc w:val="both"/>
        <w:rPr>
          <w:b/>
          <w:bCs/>
        </w:rPr>
      </w:pPr>
      <w:r>
        <w:rPr>
          <w:b/>
          <w:bCs/>
        </w:rPr>
        <w:t>Zemgales apgabaltiesa</w:t>
      </w:r>
    </w:p>
    <w:p w:rsidR="00E82CFE" w:rsidP="00F76F0B" w:rsidRDefault="00E82CFE" w14:paraId="064E0E46" w14:textId="7B865417">
      <w:pPr>
        <w:pStyle w:val="NoSpacing"/>
        <w:jc w:val="both"/>
        <w:rPr>
          <w:b/>
          <w:bCs/>
        </w:rPr>
      </w:pPr>
    </w:p>
    <w:tbl>
      <w:tblPr>
        <w:tblStyle w:val="TableGrid"/>
        <w:tblW w:w="0" w:type="auto"/>
        <w:tblLook w:val="04A0" w:firstRow="1" w:lastRow="0" w:firstColumn="1" w:lastColumn="0" w:noHBand="0" w:noVBand="1"/>
      </w:tblPr>
      <w:tblGrid>
        <w:gridCol w:w="2405"/>
        <w:gridCol w:w="6656"/>
      </w:tblGrid>
      <w:tr w:rsidR="00E82CFE" w:rsidTr="00182392" w14:paraId="7B9F4EB2" w14:textId="77777777">
        <w:tc>
          <w:tcPr>
            <w:tcW w:w="2405" w:type="dxa"/>
            <w:shd w:val="clear" w:color="auto" w:fill="E5DFEC" w:themeFill="accent4" w:themeFillTint="33"/>
          </w:tcPr>
          <w:p w:rsidR="00E82CFE" w:rsidP="00182392" w:rsidRDefault="00E82CFE" w14:paraId="341C4DF0" w14:textId="77777777">
            <w:pPr>
              <w:pStyle w:val="NoSpacing"/>
            </w:pPr>
            <w:r>
              <w:t>1. Iestāžu iesniegto apelācijas sūdzību skaits</w:t>
            </w:r>
          </w:p>
        </w:tc>
        <w:tc>
          <w:tcPr>
            <w:tcW w:w="6656" w:type="dxa"/>
          </w:tcPr>
          <w:p w:rsidRPr="00BC5EFF" w:rsidR="00BC5EFF" w:rsidP="00BC5EFF" w:rsidRDefault="00BC5EFF" w14:paraId="6BD34BF2" w14:textId="45DB7144">
            <w:pPr>
              <w:pStyle w:val="NoSpacing"/>
              <w:jc w:val="both"/>
            </w:pPr>
            <w:r w:rsidRPr="00BC5EFF">
              <w:t xml:space="preserve">Ņemot vērā, ka tiesas tikai aptuveni 12 % no visiem pārsūdzētajiem lēmumiem atceļ, tad iestāžu iesniegto apelācijas sūdzību skaits būtiski nav tik liels, lai ietekmētu apgabaltiesas darbu. Turklāt jaunais </w:t>
            </w:r>
            <w:r w:rsidR="00EA0BE1">
              <w:t xml:space="preserve">AAL </w:t>
            </w:r>
            <w:r w:rsidRPr="00BC5EFF">
              <w:t xml:space="preserve">ievieš jaunu kārtību, proti, no sodītās personas tiks piedzīti visi procesuālie izdevumi. Tas varētu un tam vajadzētu atturēt sūdzību iesniegšanu principa pēc, un sūdzību skaitam vajadzētu samazināties, jo sūdzības iesniedzējam būtu īpaši jāizsver iespējas tiesvedību uzvarēt. </w:t>
            </w:r>
          </w:p>
          <w:p w:rsidR="00E82CFE" w:rsidP="00182392" w:rsidRDefault="00E82CFE" w14:paraId="3CE6C1A3" w14:textId="77777777">
            <w:pPr>
              <w:pStyle w:val="NoSpacing"/>
              <w:jc w:val="both"/>
            </w:pPr>
          </w:p>
        </w:tc>
      </w:tr>
      <w:tr w:rsidR="00E82CFE" w:rsidTr="00182392" w14:paraId="3A0CB5F5" w14:textId="77777777">
        <w:tc>
          <w:tcPr>
            <w:tcW w:w="2405" w:type="dxa"/>
            <w:shd w:val="clear" w:color="auto" w:fill="E5DFEC" w:themeFill="accent4" w:themeFillTint="33"/>
          </w:tcPr>
          <w:p w:rsidR="00E82CFE" w:rsidP="00182392" w:rsidRDefault="00E82CFE" w14:paraId="299B039E" w14:textId="77777777">
            <w:pPr>
              <w:pStyle w:val="NoSpacing"/>
            </w:pPr>
            <w:r>
              <w:t>2. Iestāžu tiesību iesniegt apelācijas sūdzības nepieciešamība</w:t>
            </w:r>
          </w:p>
        </w:tc>
        <w:tc>
          <w:tcPr>
            <w:tcW w:w="6656" w:type="dxa"/>
          </w:tcPr>
          <w:p w:rsidRPr="002916C2" w:rsidR="002916C2" w:rsidP="002916C2" w:rsidRDefault="002916C2" w14:paraId="59241042" w14:textId="054FAD1E">
            <w:pPr>
              <w:pStyle w:val="NoSpacing"/>
              <w:jc w:val="both"/>
            </w:pPr>
            <w:r w:rsidRPr="002916C2">
              <w:t xml:space="preserve">Iestādes loma un nozīme jau izsvērta </w:t>
            </w:r>
            <w:r w:rsidR="001E1613">
              <w:t xml:space="preserve">LAPK </w:t>
            </w:r>
            <w:r w:rsidRPr="002916C2">
              <w:t>2012. gada grozījumos. Iestāde atzīta par pilntiesīgu procesa dalībnieku tiesā un nav nekāda pamata pārdomāt. Iestāde ir un būs lietas dalībnieks. Šobrīd nav neviena vērā ņemama argumenta, kāpēc vienu procesa dalībnieku būtu jānostāda nevienlīdzīgākā situācijā ar citiem. Proti</w:t>
            </w:r>
            <w:r w:rsidR="00F151B3">
              <w:t>,</w:t>
            </w:r>
            <w:r w:rsidRPr="002916C2">
              <w:t xml:space="preserve"> sodītā persona, cietušais un aizskartais mantas īpašnieks var pārsūdzēt, kāpēc iestāde nevarētu. Ja tiešām Latvijā ir daudz nepamatotu iestāžu sūdzību, un statistika to apliecina, varbūt varētu runāt par iestādes tiesībām vērsties prokuratūrā ar lūgumu iesniegt protestu. Bet par to var diskutēt, vai vajag apgrūtināt prokurorus, ja iestāde pati var sagatavot un iesniegt apelācijas sūdzību. Turklāt apelācijas sūdzības saturam izvirzītas nopietnas prasības, kas jāievēro arī iestādēm.</w:t>
            </w:r>
          </w:p>
          <w:p w:rsidR="00E82CFE" w:rsidP="00182392" w:rsidRDefault="00E82CFE" w14:paraId="3AE68F1A" w14:textId="77777777">
            <w:pPr>
              <w:pStyle w:val="NoSpacing"/>
              <w:jc w:val="both"/>
            </w:pPr>
          </w:p>
        </w:tc>
      </w:tr>
      <w:tr w:rsidR="00E82CFE" w:rsidTr="00182392" w14:paraId="637C18F6" w14:textId="77777777">
        <w:tc>
          <w:tcPr>
            <w:tcW w:w="2405" w:type="dxa"/>
            <w:shd w:val="clear" w:color="auto" w:fill="E5DFEC" w:themeFill="accent4" w:themeFillTint="33"/>
          </w:tcPr>
          <w:p w:rsidR="00E82CFE" w:rsidP="00182392" w:rsidRDefault="00E82CFE" w14:paraId="14AD45DB" w14:textId="77777777">
            <w:pPr>
              <w:pStyle w:val="NoSpacing"/>
            </w:pPr>
            <w:r>
              <w:t>3. Iestāžu iesniegto apelācijas sūdzību ietekme</w:t>
            </w:r>
          </w:p>
        </w:tc>
        <w:tc>
          <w:tcPr>
            <w:tcW w:w="6656" w:type="dxa"/>
          </w:tcPr>
          <w:p w:rsidR="00DD1E60" w:rsidP="001E638D" w:rsidRDefault="001E638D" w14:paraId="11A4EC8C" w14:textId="77777777">
            <w:pPr>
              <w:pStyle w:val="NoSpacing"/>
              <w:jc w:val="both"/>
            </w:pPr>
            <w:r w:rsidRPr="001E638D">
              <w:t xml:space="preserve">Šajās lietās nav stabilas tiesu prakses, nav judikatūras. Tiesu prakse vienādos jautājumos ir ļoti atšķirīga. Pētot nolēmumus, redzams, ka nereti rajona tiesa iestādes lēmumu atceļ, bet apgabaltiesa atceļ </w:t>
            </w:r>
            <w:r w:rsidRPr="001E638D">
              <w:lastRenderedPageBreak/>
              <w:t xml:space="preserve">rajona tiesas spriedumu un atzīst, ka iestādes lēmums ir tiesisks un pamatots. Taisot nolēmumu, svarīgi ir saprast procesu iestādē. </w:t>
            </w:r>
          </w:p>
          <w:p w:rsidR="00E82CFE" w:rsidP="001E638D" w:rsidRDefault="001E638D" w14:paraId="565DB1D5" w14:textId="5D284657">
            <w:pPr>
              <w:pStyle w:val="NoSpacing"/>
              <w:jc w:val="both"/>
            </w:pPr>
            <w:r w:rsidRPr="001E638D">
              <w:t>Tomēr, lai arī kādas būtu iestādes sagatavotās apelācijas sūdzības, potenciāla iespēja tādu iesniegt tikai disciplinēs nolēmuma pieņēmēju pirmajā instancē, turklāt iespēja pārsūdzēt nolēmumu ir arī tiesību uz taisnīgu tiesu garants</w:t>
            </w:r>
            <w:r w:rsidR="00991316">
              <w:t>.</w:t>
            </w:r>
          </w:p>
        </w:tc>
      </w:tr>
    </w:tbl>
    <w:p w:rsidR="00E82CFE" w:rsidP="00F76F0B" w:rsidRDefault="00E82CFE" w14:paraId="6B54ED30" w14:textId="3D0E4400">
      <w:pPr>
        <w:pStyle w:val="NoSpacing"/>
        <w:jc w:val="both"/>
      </w:pPr>
    </w:p>
    <w:p w:rsidR="006671E9" w:rsidP="00F76F0B" w:rsidRDefault="006671E9" w14:paraId="6753963B" w14:textId="77777777">
      <w:pPr>
        <w:pStyle w:val="NoSpacing"/>
        <w:jc w:val="both"/>
      </w:pPr>
    </w:p>
    <w:p w:rsidR="00EA0BE1" w:rsidP="00EA0BE1" w:rsidRDefault="000B7E16" w14:paraId="06EE9DA4" w14:textId="29956D32">
      <w:pPr>
        <w:pStyle w:val="NoSpacing"/>
        <w:ind w:firstLine="720"/>
        <w:jc w:val="both"/>
      </w:pPr>
      <w:r>
        <w:t xml:space="preserve">No tiesām saņemtā informācija liecina, ka </w:t>
      </w:r>
      <w:r w:rsidR="00991316">
        <w:t>iestāžu</w:t>
      </w:r>
      <w:r>
        <w:t xml:space="preserve"> iesniegto apelācijas sūdzību skaits Rīgas apgabaltiesā ir gandrīz 40% no visu apelācijas sūdzību skaita</w:t>
      </w:r>
      <w:r w:rsidR="00733DD5">
        <w:t>.</w:t>
      </w:r>
      <w:r w:rsidR="00E26268">
        <w:t xml:space="preserve"> </w:t>
      </w:r>
      <w:r>
        <w:t>Kurzemes</w:t>
      </w:r>
      <w:r w:rsidR="00E26268">
        <w:t xml:space="preserve"> un </w:t>
      </w:r>
      <w:r>
        <w:t>Vidzemes</w:t>
      </w:r>
      <w:r w:rsidR="00E26268">
        <w:t xml:space="preserve"> </w:t>
      </w:r>
      <w:r>
        <w:t>apgabaltiesā izskatīto iestāžu</w:t>
      </w:r>
      <w:r w:rsidR="00503136">
        <w:t xml:space="preserve"> iesniegto </w:t>
      </w:r>
      <w:r>
        <w:t>apelācijas sūdzību skaits nepārsniedz 15%</w:t>
      </w:r>
      <w:r w:rsidR="003515DE">
        <w:t xml:space="preserve">, </w:t>
      </w:r>
      <w:r w:rsidR="008D6CDB">
        <w:t xml:space="preserve">arī </w:t>
      </w:r>
      <w:r w:rsidR="000A2504">
        <w:t>Zemg</w:t>
      </w:r>
      <w:r w:rsidR="00931206">
        <w:t>ales</w:t>
      </w:r>
      <w:r w:rsidR="00317D6C">
        <w:t xml:space="preserve"> un Latgales </w:t>
      </w:r>
      <w:r w:rsidR="00931206">
        <w:t>apgabaltiesā</w:t>
      </w:r>
      <w:r w:rsidR="002A2883">
        <w:t xml:space="preserve"> to skaits būtiski neietekmē tiesas darbu</w:t>
      </w:r>
      <w:r>
        <w:t>.</w:t>
      </w:r>
      <w:r w:rsidR="00E64433">
        <w:t xml:space="preserve"> Vienlaikus</w:t>
      </w:r>
      <w:r w:rsidR="00764FC4">
        <w:t xml:space="preserve"> tiesas norāda, ka</w:t>
      </w:r>
      <w:r w:rsidR="00F52130">
        <w:t xml:space="preserve"> </w:t>
      </w:r>
      <w:r w:rsidRPr="00477599" w:rsidR="00477599">
        <w:t>turpmāk varētu saglabāt iestāžu tiesības iesniegt apelācijas sūdzības</w:t>
      </w:r>
      <w:r w:rsidR="00B03D23">
        <w:t xml:space="preserve"> un kopumā</w:t>
      </w:r>
      <w:r w:rsidR="00152C2C">
        <w:t xml:space="preserve"> </w:t>
      </w:r>
      <w:r w:rsidR="006537FA">
        <w:t xml:space="preserve">tās </w:t>
      </w:r>
      <w:r w:rsidR="00152C2C">
        <w:t xml:space="preserve">pozitīvi ietekmē </w:t>
      </w:r>
      <w:r w:rsidR="00D16762">
        <w:t>administratīvo pārkāpumu lietu izskatīšanu tiesā.</w:t>
      </w:r>
    </w:p>
    <w:p w:rsidR="00EA0BE1" w:rsidP="00EA0BE1" w:rsidRDefault="00EA0BE1" w14:paraId="3C6EF164" w14:textId="77777777">
      <w:pPr>
        <w:pStyle w:val="NoSpacing"/>
        <w:ind w:firstLine="720"/>
        <w:jc w:val="both"/>
      </w:pPr>
    </w:p>
    <w:p w:rsidR="00215AC6" w:rsidP="00215AC6" w:rsidRDefault="0078094B" w14:paraId="51576A55" w14:textId="04E94530">
      <w:pPr>
        <w:pStyle w:val="NoSpacing"/>
        <w:jc w:val="center"/>
        <w:rPr>
          <w:b/>
          <w:bCs/>
        </w:rPr>
      </w:pPr>
      <w:r w:rsidRPr="00834505">
        <w:rPr>
          <w:b/>
          <w:bCs/>
        </w:rPr>
        <w:t xml:space="preserve">Apelācijas tiesvedības </w:t>
      </w:r>
      <w:r w:rsidRPr="00834505" w:rsidR="00834505">
        <w:rPr>
          <w:b/>
          <w:bCs/>
        </w:rPr>
        <w:t>ierosināšanas pamati</w:t>
      </w:r>
    </w:p>
    <w:p w:rsidR="00215AC6" w:rsidP="00215AC6" w:rsidRDefault="00215AC6" w14:paraId="040FEA24" w14:textId="71961981">
      <w:pPr>
        <w:pStyle w:val="NoSpacing"/>
        <w:jc w:val="both"/>
      </w:pPr>
    </w:p>
    <w:p w:rsidR="00215AC6" w:rsidP="00215AC6" w:rsidRDefault="003B2942" w14:paraId="265D4D12" w14:textId="716E14DF">
      <w:pPr>
        <w:pStyle w:val="NoSpacing"/>
        <w:jc w:val="both"/>
      </w:pPr>
      <w:r>
        <w:tab/>
        <w:t xml:space="preserve">Saskaņā ar LAPK </w:t>
      </w:r>
      <w:r w:rsidR="00A17AB7">
        <w:t>289.</w:t>
      </w:r>
      <w:r w:rsidR="00A17AB7">
        <w:rPr>
          <w:vertAlign w:val="superscript"/>
        </w:rPr>
        <w:t>17</w:t>
      </w:r>
      <w:r w:rsidR="00A17AB7">
        <w:t xml:space="preserve"> panta </w:t>
      </w:r>
      <w:r w:rsidR="00314930">
        <w:t>trešo daļu</w:t>
      </w:r>
      <w:r w:rsidR="002A1E9F">
        <w:rPr>
          <w:rStyle w:val="FootnoteReference"/>
        </w:rPr>
        <w:footnoteReference w:id="7"/>
      </w:r>
      <w:r w:rsidR="00314930">
        <w:t xml:space="preserve"> </w:t>
      </w:r>
      <w:r w:rsidR="00BB3746">
        <w:t>a</w:t>
      </w:r>
      <w:r w:rsidRPr="00BB3746" w:rsidR="00BB3746">
        <w:t>pelācijas sūdzībā papildus norāda apelācijas tiesvedības ierosināšanas pamatu</w:t>
      </w:r>
      <w:r w:rsidR="00BB3746">
        <w:t>:</w:t>
      </w:r>
    </w:p>
    <w:p w:rsidR="00BB3746" w:rsidP="00BB3746" w:rsidRDefault="00BB3746" w14:paraId="66468DBC" w14:textId="4B80A1CB">
      <w:pPr>
        <w:pStyle w:val="NoSpacing"/>
        <w:ind w:firstLine="720"/>
        <w:jc w:val="both"/>
      </w:pPr>
      <w:r>
        <w:t>1) </w:t>
      </w:r>
      <w:r w:rsidRPr="00312DC9" w:rsidR="00312DC9">
        <w:t>kādu materiālo tiesību normu rajona (pilsētas) tiesa nepareizi piemērojusi vai iztulkojusi vai kādu procesuālo tiesību normu pārkāpusi un kā tas ietekmējis lietas izspriešanu;</w:t>
      </w:r>
    </w:p>
    <w:p w:rsidRPr="00A17AB7" w:rsidR="00312DC9" w:rsidP="00BB3746" w:rsidRDefault="00312DC9" w14:paraId="20CBD5EB" w14:textId="787FAA46">
      <w:pPr>
        <w:pStyle w:val="NoSpacing"/>
        <w:ind w:firstLine="720"/>
        <w:jc w:val="both"/>
      </w:pPr>
      <w:r>
        <w:t>2) </w:t>
      </w:r>
      <w:r w:rsidRPr="001B72DE" w:rsidR="001B72DE">
        <w:t>kādus pierādījumus rajona (pilsētas) tiesa nepareizi novērtējusi, kā izpaužas lietas apstākļu juridiskā novērtējuma nepareizība un kā tas ietekmējis lietas izspriešanu.</w:t>
      </w:r>
    </w:p>
    <w:p w:rsidR="0014224A" w:rsidP="00900EBC" w:rsidRDefault="0014224A" w14:paraId="7DC90C23" w14:textId="77777777">
      <w:pPr>
        <w:pStyle w:val="NoSpacing"/>
        <w:ind w:firstLine="720"/>
        <w:jc w:val="both"/>
      </w:pPr>
    </w:p>
    <w:p w:rsidR="0014224A" w:rsidP="00900EBC" w:rsidRDefault="004B09B7" w14:paraId="417C6324" w14:textId="608C6DCE">
      <w:pPr>
        <w:pStyle w:val="NoSpacing"/>
        <w:ind w:firstLine="720"/>
        <w:jc w:val="both"/>
      </w:pPr>
      <w:r>
        <w:t xml:space="preserve">Lai noskaidrotu tipiskākos </w:t>
      </w:r>
      <w:r w:rsidR="00305402">
        <w:t xml:space="preserve">iestāžu motīvus apelācijas sūdzības iesniegšanai, Tieslietu ministrija izvērtēja </w:t>
      </w:r>
      <w:r w:rsidR="00A86FBD">
        <w:t>2019. gadā</w:t>
      </w:r>
      <w:r w:rsidR="00055C4F">
        <w:t xml:space="preserve"> pieņemtos</w:t>
      </w:r>
      <w:r w:rsidR="00D0062E">
        <w:rPr>
          <w:rStyle w:val="FootnoteReference"/>
        </w:rPr>
        <w:footnoteReference w:id="8"/>
      </w:r>
      <w:r w:rsidR="00055C4F">
        <w:t xml:space="preserve"> apelācijas instances nolēmumus lietās, kur apelācijas sūdzību bija iesniegusi iestāde</w:t>
      </w:r>
      <w:r w:rsidR="001B407F">
        <w:t>:</w:t>
      </w:r>
    </w:p>
    <w:p w:rsidR="00621CE9" w:rsidP="00D9325D" w:rsidRDefault="00F50A03" w14:paraId="6A2A45CA" w14:textId="77777777">
      <w:pPr>
        <w:pStyle w:val="NoSpacing"/>
        <w:ind w:firstLine="720"/>
        <w:jc w:val="both"/>
      </w:pPr>
      <w:r w:rsidRPr="00F50A03">
        <w:t>1.</w:t>
      </w:r>
      <w:r>
        <w:rPr>
          <w:b/>
          <w:bCs/>
        </w:rPr>
        <w:t> </w:t>
      </w:r>
      <w:r w:rsidRPr="00BF0322" w:rsidR="00E23D84">
        <w:rPr>
          <w:i/>
          <w:iCs/>
        </w:rPr>
        <w:t>Latgales apgabaltiesas 2019. gada 3. janvāra spriedums lietā Nr. 1A12006918 (ECLI:LV:LAAT:2019:0103.1A12006918.6.S).</w:t>
      </w:r>
      <w:r w:rsidRPr="006905A4" w:rsidR="00E23D84">
        <w:t xml:space="preserve"> </w:t>
      </w:r>
    </w:p>
    <w:p w:rsidR="00D16F4D" w:rsidP="00D9325D" w:rsidRDefault="00E23D84" w14:paraId="0F2C730E" w14:textId="6FFA53E4">
      <w:pPr>
        <w:pStyle w:val="NoSpacing"/>
        <w:ind w:firstLine="720"/>
        <w:jc w:val="both"/>
      </w:pPr>
      <w:r>
        <w:t xml:space="preserve">Apelācijas sūdzību iesniedza Daugavpils pilsētas domes Administratīvā komisija. </w:t>
      </w:r>
      <w:r w:rsidR="00D9325D">
        <w:t>Pirmās instances tiesa secināja, ka ar lietā esošajiem pierādījumiem nav pierādīts Daugavpils pilsētas domes saistošajos noteikumos paredzētā administratīvā pārkāpuma sastāvs</w:t>
      </w:r>
      <w:r w:rsidR="00193C9A">
        <w:t>.</w:t>
      </w:r>
      <w:r w:rsidR="00E7078D">
        <w:t xml:space="preserve"> </w:t>
      </w:r>
      <w:r w:rsidRPr="00667F80" w:rsidR="00667F80">
        <w:t>Sūdzībā norādīts, ka pamats apelācijas tiesvedības ierosināšanai ir tas, ka Daugavpils tiesa nepareizi piemēroja un iztulkoja materiālo tiesību normas, nepareizi novērtēja pierādījumus un lietas apstākļus, kā arī tas, ka Daugavpils pilsētas domes Administratīvās komisijas lēmuma sagatavošanas procesā pieļauta pārrakstīšanās kļūda.</w:t>
      </w:r>
      <w:r w:rsidR="00125910">
        <w:t xml:space="preserve"> Latgales apgabaltiesa apel</w:t>
      </w:r>
      <w:r w:rsidR="00705576">
        <w:t xml:space="preserve">ācijas sūdzību noraidīja un atstāja negrozītu </w:t>
      </w:r>
      <w:r w:rsidR="00AA4AF6">
        <w:t>Daugavpils tiesas spriedumu.</w:t>
      </w:r>
    </w:p>
    <w:p w:rsidR="0014224A" w:rsidP="0055453E" w:rsidRDefault="00F50A03" w14:paraId="3BE6B094" w14:textId="77777777">
      <w:pPr>
        <w:ind w:firstLine="720"/>
        <w:jc w:val="both"/>
      </w:pPr>
      <w:r w:rsidRPr="00F50A03">
        <w:t>2.</w:t>
      </w:r>
      <w:r>
        <w:rPr>
          <w:b/>
          <w:bCs/>
        </w:rPr>
        <w:t> </w:t>
      </w:r>
      <w:r w:rsidRPr="00BF0322" w:rsidR="00E8369E">
        <w:rPr>
          <w:i/>
          <w:iCs/>
        </w:rPr>
        <w:t>Rīgas apgabaltiesas Krimināllietu tiesas kolēģijas 2019. gada 7. janvāra spriedums lietā Nr. 1A30009818 (ECLI:LV:RAT:2019:0107.1A30009818.6.S).</w:t>
      </w:r>
      <w:r w:rsidR="0055453E">
        <w:t xml:space="preserve"> </w:t>
      </w:r>
    </w:p>
    <w:p w:rsidR="00E8369E" w:rsidP="0055453E" w:rsidRDefault="008B5CF2" w14:paraId="0A1A9822" w14:textId="18637E08">
      <w:pPr>
        <w:ind w:firstLine="720"/>
        <w:jc w:val="both"/>
      </w:pPr>
      <w:r>
        <w:t>Apelācijas sūdzību iesniedza Rīgas pašvaldības policijas pilnvarotais pārstāvis</w:t>
      </w:r>
      <w:r w:rsidR="008A23BF">
        <w:t xml:space="preserve">, norādot, ka pirmās instances tiesa nav pietiekami novērtējusi lietā esošos pierādījumus. </w:t>
      </w:r>
      <w:r w:rsidR="008333E5">
        <w:t>Rīgas apgabaltiesa noraidīja apelācijas sūdzību un atstāja negrozītu</w:t>
      </w:r>
      <w:r w:rsidR="0055453E">
        <w:t xml:space="preserve"> pirmās instances tiesas spriedumu.</w:t>
      </w:r>
    </w:p>
    <w:p w:rsidR="0014224A" w:rsidP="005B56D2" w:rsidRDefault="0055453E" w14:paraId="51BB69B2" w14:textId="77777777">
      <w:pPr>
        <w:jc w:val="both"/>
      </w:pPr>
      <w:r>
        <w:rPr>
          <w:i/>
          <w:iCs/>
        </w:rPr>
        <w:tab/>
      </w:r>
      <w:r w:rsidRPr="00F50A03" w:rsidR="00F50A03">
        <w:t>3. </w:t>
      </w:r>
      <w:r w:rsidRPr="00BF0322" w:rsidR="005B56D2">
        <w:rPr>
          <w:i/>
          <w:iCs/>
        </w:rPr>
        <w:t>Kurzemes apgabaltiesas 2019. gada 17. janvāra lēmums lietā Nr. 1A69006718 (ECLI:LV:KUAT:2019:0117.1A69006718.9.S).</w:t>
      </w:r>
      <w:r w:rsidR="005B56D2">
        <w:t xml:space="preserve"> </w:t>
      </w:r>
    </w:p>
    <w:p w:rsidR="005B56D2" w:rsidP="0014224A" w:rsidRDefault="0020779A" w14:paraId="70AA5E34" w14:textId="1C10F609">
      <w:pPr>
        <w:ind w:firstLine="720"/>
        <w:jc w:val="both"/>
      </w:pPr>
      <w:r>
        <w:t>Apelācijas sūdzību iesniedza Kuldīgas novada domes Administratīvās komisijas priek</w:t>
      </w:r>
      <w:r w:rsidR="0030295C">
        <w:t>šsēdētāj</w:t>
      </w:r>
      <w:r w:rsidR="004B297B">
        <w:t>s</w:t>
      </w:r>
      <w:r w:rsidR="00993493">
        <w:t xml:space="preserve">, norādot, ka </w:t>
      </w:r>
      <w:r w:rsidR="006C5484">
        <w:t xml:space="preserve">pirmās instances tiesas spriedumā norādītā </w:t>
      </w:r>
      <w:r w:rsidR="00612266">
        <w:t xml:space="preserve">argumentācija iestādes lēmuma atcelšanai ir uzskatāma par tiesību normām neatbilstošu. </w:t>
      </w:r>
      <w:r w:rsidR="000C09CC">
        <w:t>Apgabaltiesa konstatē</w:t>
      </w:r>
      <w:r w:rsidR="009206F9">
        <w:t>ja</w:t>
      </w:r>
      <w:r w:rsidR="000C09CC">
        <w:t xml:space="preserve">, ka </w:t>
      </w:r>
      <w:r w:rsidR="000C09CC">
        <w:lastRenderedPageBreak/>
        <w:t xml:space="preserve">persona </w:t>
      </w:r>
      <w:r w:rsidR="008C413D">
        <w:t>sodīta par to pašu pārkāpumu, par kuru</w:t>
      </w:r>
      <w:r w:rsidR="00F62411">
        <w:t xml:space="preserve"> tikusi sodīta jau ieprie</w:t>
      </w:r>
      <w:r w:rsidR="009206F9">
        <w:t>kš, un izbeidza administratīvā pārkāpuma lietu.</w:t>
      </w:r>
    </w:p>
    <w:p w:rsidR="0014224A" w:rsidP="00D4626D" w:rsidRDefault="00893804" w14:paraId="44D214A7" w14:textId="77777777">
      <w:pPr>
        <w:jc w:val="both"/>
      </w:pPr>
      <w:r>
        <w:tab/>
      </w:r>
      <w:r w:rsidR="00F50A03">
        <w:t>4. </w:t>
      </w:r>
      <w:r w:rsidRPr="00BF0322" w:rsidR="00D4626D">
        <w:rPr>
          <w:i/>
          <w:iCs/>
        </w:rPr>
        <w:t>Latgales apgabaltiesas 2019. gada 22. janvāra spriedums lietā Nr. 1A12009018 (ECLI:LV:LAAT:2019:0122.1A12009018.7.S)</w:t>
      </w:r>
      <w:r w:rsidRPr="00BF0322" w:rsidR="00645366">
        <w:rPr>
          <w:i/>
          <w:iCs/>
        </w:rPr>
        <w:t>.</w:t>
      </w:r>
      <w:r w:rsidRPr="006905A4" w:rsidR="00716C95">
        <w:t xml:space="preserve"> </w:t>
      </w:r>
    </w:p>
    <w:p w:rsidR="00D4626D" w:rsidP="0014224A" w:rsidRDefault="00B512E9" w14:paraId="085253B9" w14:textId="40818B84">
      <w:pPr>
        <w:ind w:firstLine="720"/>
        <w:jc w:val="both"/>
      </w:pPr>
      <w:r>
        <w:t>Apelācijas sūdzību iesniedza Valsts ieņēmu</w:t>
      </w:r>
      <w:r w:rsidR="00615424">
        <w:t>m</w:t>
      </w:r>
      <w:r>
        <w:t>u dienests</w:t>
      </w:r>
      <w:r w:rsidR="00B238FE">
        <w:t xml:space="preserve">, </w:t>
      </w:r>
      <w:r w:rsidR="00E46C1C">
        <w:t xml:space="preserve">norādot, ka pirmās instances tiesa nepamatoti samazināja </w:t>
      </w:r>
      <w:r w:rsidR="0024423E">
        <w:t>piemēroto naudas soda apmēru. Ap</w:t>
      </w:r>
      <w:r w:rsidR="001E3499">
        <w:t>gabaltiesa noraidīja apelācijas sūdzību</w:t>
      </w:r>
      <w:r w:rsidR="00DD66C2">
        <w:t xml:space="preserve"> un atstāja negrozītu pirmās instances tiesas spriedumu.</w:t>
      </w:r>
    </w:p>
    <w:p w:rsidR="00174519" w:rsidP="00D4626D" w:rsidRDefault="00716C95" w14:paraId="1E8F36D0" w14:textId="77777777">
      <w:pPr>
        <w:jc w:val="both"/>
      </w:pPr>
      <w:r>
        <w:tab/>
      </w:r>
      <w:r w:rsidR="00F50A03">
        <w:t>5. </w:t>
      </w:r>
      <w:r w:rsidRPr="00BF0322" w:rsidR="002A7703">
        <w:rPr>
          <w:i/>
          <w:iCs/>
        </w:rPr>
        <w:t>Latgales apgabaltiesas 2019. gada 29. janvāra spriedums lietā Nr. 1A12010118 (ECLI:LV:LAAT:2019:0129.1A12010118.6.S).</w:t>
      </w:r>
      <w:r w:rsidRPr="006905A4" w:rsidR="002A7703">
        <w:t xml:space="preserve"> </w:t>
      </w:r>
    </w:p>
    <w:p w:rsidR="00716C95" w:rsidP="00174519" w:rsidRDefault="002A7703" w14:paraId="48EACD14" w14:textId="6B13211D">
      <w:pPr>
        <w:ind w:firstLine="720"/>
        <w:jc w:val="both"/>
      </w:pPr>
      <w:r>
        <w:t>Apelācijas sūdzību iesniedz</w:t>
      </w:r>
      <w:r w:rsidR="00991316">
        <w:t>a</w:t>
      </w:r>
      <w:r>
        <w:t xml:space="preserve"> Valsts ieņēmumu dienests</w:t>
      </w:r>
      <w:r w:rsidR="00C920BD">
        <w:t xml:space="preserve">, lūdzot atcelt pirmās instances tiesas spiedumu daļā par </w:t>
      </w:r>
      <w:r w:rsidR="007B58AE">
        <w:t>personai piemērotā papildsoda – konfiskācijas – atcelšanu</w:t>
      </w:r>
      <w:r w:rsidR="00116728">
        <w:t xml:space="preserve">. </w:t>
      </w:r>
      <w:r w:rsidR="00633155">
        <w:t>Sūdzībā norādīts, ka pirmās instances tiesa nepareizi (nepilnīgi) novērtējusi lietā esošos pierādījumus.</w:t>
      </w:r>
      <w:r w:rsidR="009470A1">
        <w:t xml:space="preserve"> Apgabaltiesa atstāja negrozītu pirmās instances tiesas spriedumu, bet Valsts ieņēmumu dienesta apelācijas sūdzību noraidīja.</w:t>
      </w:r>
    </w:p>
    <w:p w:rsidR="00174519" w:rsidP="009D1061" w:rsidRDefault="009470A1" w14:paraId="01592F72" w14:textId="77777777">
      <w:pPr>
        <w:jc w:val="both"/>
      </w:pPr>
      <w:r>
        <w:tab/>
      </w:r>
      <w:r w:rsidR="00F50A03">
        <w:t>6. </w:t>
      </w:r>
      <w:r w:rsidRPr="00BF0322" w:rsidR="009D1061">
        <w:rPr>
          <w:i/>
          <w:iCs/>
        </w:rPr>
        <w:t>Latgales apgabaltiesas 2019. gada 5. februāra spriedums lietā Nr. 112031318 (ECLI:LV:LAAT:2019:0205.112031318.5.S).</w:t>
      </w:r>
      <w:r w:rsidRPr="006905A4" w:rsidR="009D1061">
        <w:t xml:space="preserve"> </w:t>
      </w:r>
    </w:p>
    <w:p w:rsidR="009D1061" w:rsidP="00174519" w:rsidRDefault="00E40A93" w14:paraId="2AC75CAC" w14:textId="57EA427B">
      <w:pPr>
        <w:ind w:firstLine="720"/>
        <w:jc w:val="both"/>
      </w:pPr>
      <w:r>
        <w:t>Apelācijas sūdzību iesniedz</w:t>
      </w:r>
      <w:r w:rsidR="00991316">
        <w:t>a</w:t>
      </w:r>
      <w:r>
        <w:t xml:space="preserve"> Valsts policijas Latgales reģiona pārvaldes Preiļu iecirkņa Kārtības policijas priekšnieks</w:t>
      </w:r>
      <w:r w:rsidR="0071334A">
        <w:t>, norādot, ka pirmās instances tiesa nav pārbaudījusi lietā iegūtos pierādījumus un izvērtējusi protokolā izteiktā atzinuma pamatotību. Apgabaltiesa atstāja negrozītu pirmās insta</w:t>
      </w:r>
      <w:r w:rsidR="006E519C">
        <w:t>nces tiesas spriedumu, bet apelācijas sūdzību noraidīja.</w:t>
      </w:r>
    </w:p>
    <w:p w:rsidR="00174519" w:rsidP="00CF6729" w:rsidRDefault="006E519C" w14:paraId="583B8D92" w14:textId="77777777">
      <w:pPr>
        <w:jc w:val="both"/>
      </w:pPr>
      <w:r>
        <w:tab/>
      </w:r>
      <w:r w:rsidR="00F50A03">
        <w:t>7. </w:t>
      </w:r>
      <w:r w:rsidRPr="00BF0322" w:rsidR="00CF6729">
        <w:rPr>
          <w:i/>
          <w:iCs/>
        </w:rPr>
        <w:t>Vidzemes apgabaltiesas 2019. gada 27. februāra spriedums lietā Nr. 1A71013718 (ECLI:LV:VAT:2019:0227.1A71013718.8.S).</w:t>
      </w:r>
      <w:r w:rsidRPr="006905A4" w:rsidR="00CF6729">
        <w:t xml:space="preserve"> </w:t>
      </w:r>
    </w:p>
    <w:p w:rsidR="00CF6729" w:rsidP="00174519" w:rsidRDefault="005878C4" w14:paraId="2651A539" w14:textId="557DDAB1">
      <w:pPr>
        <w:ind w:firstLine="720"/>
        <w:jc w:val="both"/>
      </w:pPr>
      <w:r>
        <w:t>Apelācijas sūdzību iesniedza Valsts policija</w:t>
      </w:r>
      <w:r w:rsidR="00B54C31">
        <w:t>, norādot, ka Ceļu</w:t>
      </w:r>
      <w:r w:rsidRPr="006C665B" w:rsidR="006C665B">
        <w:t xml:space="preserve"> satiksmes likums neuzliek par pienākumu policijas amatpersonām pēc savas iniciatīvas noskaidrot administratīvo pārkāpumu izdarījušo personu</w:t>
      </w:r>
      <w:r w:rsidR="006C665B">
        <w:t xml:space="preserve">, ja administratīvais pārkāpums fiksēts ar tehniskajiem līdzekļiem, neapturot transportlīdzekli. </w:t>
      </w:r>
      <w:r w:rsidR="001B650E">
        <w:t>Apgabaltiesa noraid</w:t>
      </w:r>
      <w:r w:rsidR="00934088">
        <w:t xml:space="preserve">īja </w:t>
      </w:r>
      <w:r w:rsidR="001B650E">
        <w:t>Valsts policijas apelācijas sūdzību un at</w:t>
      </w:r>
      <w:r w:rsidR="00934088">
        <w:t xml:space="preserve">stāja negrozītu </w:t>
      </w:r>
      <w:r w:rsidR="00731CA3">
        <w:t>pirmās instances tiesas spriedumu.</w:t>
      </w:r>
    </w:p>
    <w:p w:rsidR="00174519" w:rsidP="000531C2" w:rsidRDefault="00731CA3" w14:paraId="0F4B7007" w14:textId="77777777">
      <w:pPr>
        <w:jc w:val="both"/>
      </w:pPr>
      <w:r>
        <w:tab/>
      </w:r>
      <w:r w:rsidR="00F50A03">
        <w:t>8. </w:t>
      </w:r>
      <w:r w:rsidRPr="00BF0322" w:rsidR="000531C2">
        <w:rPr>
          <w:i/>
          <w:iCs/>
        </w:rPr>
        <w:t>Rīgas apgabaltiesas Krimināllietu tiesas kolēģijas 2019. gada 8. marta spriedums lietā Nr. 130081018 (ECLI:LV:RAT:2019:0308.130081018.4.S).</w:t>
      </w:r>
      <w:r w:rsidRPr="006905A4" w:rsidR="000531C2">
        <w:t xml:space="preserve"> </w:t>
      </w:r>
    </w:p>
    <w:p w:rsidR="000531C2" w:rsidP="00174519" w:rsidRDefault="000531C2" w14:paraId="5294C218" w14:textId="7FB2F419">
      <w:pPr>
        <w:ind w:firstLine="720"/>
        <w:jc w:val="both"/>
      </w:pPr>
      <w:r>
        <w:t xml:space="preserve">Apelācijas </w:t>
      </w:r>
      <w:r w:rsidR="00BB3E13">
        <w:t xml:space="preserve">sūdzību iesniedza Valsts policijas Rīgas reģiona pārvaldes Kārtības policijas pārvaldes </w:t>
      </w:r>
      <w:r w:rsidR="00E532B3">
        <w:t>pilnvarotā pārstāve</w:t>
      </w:r>
      <w:r w:rsidR="0052722E">
        <w:t xml:space="preserve">, norādot, ka pirmās instances tiesa nepareizi novērtējusi lietas apstākļus to kopumā un nepamatoti nav konstatējusi personas rīcības neatbilstību likuma prasībām. </w:t>
      </w:r>
      <w:r w:rsidR="00A927F6">
        <w:t xml:space="preserve">Apgabaltiesa atzina, ka pirmās instances tiesas spriedums </w:t>
      </w:r>
      <w:r w:rsidR="00D06A77">
        <w:t>ir atceļams un administratīvā pārkāpuma lietā taisāms spriedums</w:t>
      </w:r>
      <w:r w:rsidR="00B75A78">
        <w:t>, ar kuru konstatējama personas vaina</w:t>
      </w:r>
      <w:r w:rsidR="002A2E88">
        <w:t xml:space="preserve"> administratīvā pārkāpuma izdarīšanā un viņai nosakāms sods.</w:t>
      </w:r>
    </w:p>
    <w:p w:rsidR="007A49C6" w:rsidP="001E54EB" w:rsidRDefault="002A2E88" w14:paraId="68D0C399" w14:textId="77777777">
      <w:pPr>
        <w:jc w:val="both"/>
      </w:pPr>
      <w:r>
        <w:tab/>
      </w:r>
      <w:r w:rsidR="00B8640E">
        <w:t>9. </w:t>
      </w:r>
      <w:r w:rsidRPr="00BF0322" w:rsidR="001E54EB">
        <w:rPr>
          <w:i/>
          <w:iCs/>
        </w:rPr>
        <w:t>Rīgas apgabaltiesas Krimināllietu tiesas kolēģijas 2019. gada 15. marta spriedums lietā Nr. 1A29017918 (ECLI:LV:RAT:2019:0315.1A29017918.8.S).</w:t>
      </w:r>
      <w:r w:rsidRPr="006905A4" w:rsidR="001E54EB">
        <w:t xml:space="preserve"> </w:t>
      </w:r>
    </w:p>
    <w:p w:rsidR="001E54EB" w:rsidP="007A49C6" w:rsidRDefault="007B0780" w14:paraId="0B424AD0" w14:textId="5F00FDA1">
      <w:pPr>
        <w:ind w:firstLine="720"/>
        <w:jc w:val="both"/>
      </w:pPr>
      <w:r>
        <w:t>Apelācijas sūdzību iesniedza</w:t>
      </w:r>
      <w:r w:rsidR="0026146C">
        <w:t xml:space="preserve"> </w:t>
      </w:r>
      <w:r>
        <w:t xml:space="preserve">Valsts ieņēmumu </w:t>
      </w:r>
      <w:r w:rsidR="00E00586">
        <w:t>dienest</w:t>
      </w:r>
      <w:r w:rsidR="00532DB9">
        <w:t>s, pārsūdzot pirmās instances tiesas spriedumu daļā par</w:t>
      </w:r>
      <w:r w:rsidR="00D80645">
        <w:t xml:space="preserve"> Valsts ieņēmumu dienesta noteiktā soda mēra grozīšanu</w:t>
      </w:r>
      <w:r w:rsidR="0084272A">
        <w:t xml:space="preserve">. </w:t>
      </w:r>
      <w:r w:rsidR="00C05974">
        <w:t xml:space="preserve">Apgabaltiesa </w:t>
      </w:r>
      <w:r w:rsidR="00CD72CD">
        <w:t>noraid</w:t>
      </w:r>
      <w:r w:rsidR="00F32AFC">
        <w:t>īj</w:t>
      </w:r>
      <w:r w:rsidR="00CD72CD">
        <w:t xml:space="preserve">a apelācijas </w:t>
      </w:r>
      <w:r w:rsidR="00991316">
        <w:t xml:space="preserve">sūdzību </w:t>
      </w:r>
      <w:r w:rsidR="0026146C">
        <w:t>un atstāja negrozītu pirmās instances tiesas spriedumu.</w:t>
      </w:r>
    </w:p>
    <w:p w:rsidR="007A49C6" w:rsidP="00542ED6" w:rsidRDefault="00542ED6" w14:paraId="317D7047" w14:textId="77777777">
      <w:pPr>
        <w:jc w:val="both"/>
      </w:pPr>
      <w:r>
        <w:tab/>
      </w:r>
      <w:r w:rsidR="00B8640E">
        <w:t>10. </w:t>
      </w:r>
      <w:r w:rsidRPr="00BF0322">
        <w:rPr>
          <w:i/>
          <w:iCs/>
        </w:rPr>
        <w:t>Latgales apgabaltiesas 2019. gada 27. marta spriedums lietā Nr. 1A12011018 (ECLI:LV:LAAT:2019:0327.1A12011018.6.S).</w:t>
      </w:r>
      <w:r>
        <w:t xml:space="preserve"> </w:t>
      </w:r>
    </w:p>
    <w:p w:rsidR="00542ED6" w:rsidP="007A49C6" w:rsidRDefault="00542ED6" w14:paraId="24281C26" w14:textId="2BECAB89">
      <w:pPr>
        <w:ind w:firstLine="720"/>
        <w:jc w:val="both"/>
      </w:pPr>
      <w:r>
        <w:t xml:space="preserve">Apelācijas sūdzību iesniedza </w:t>
      </w:r>
      <w:r w:rsidR="00D231CD">
        <w:t>Valsts policijas Zemgales reģiona pārvalde</w:t>
      </w:r>
      <w:r w:rsidR="00324E58">
        <w:t xml:space="preserve">, norādot, ka </w:t>
      </w:r>
      <w:r w:rsidR="00CF7702">
        <w:t xml:space="preserve">Valsts policija ir kļūdījusies, inkriminējot attiecīgo </w:t>
      </w:r>
      <w:r w:rsidR="00F5219A">
        <w:t xml:space="preserve">noteikumu pārkāpumu, bet arī </w:t>
      </w:r>
      <w:r w:rsidRPr="00F5219A" w:rsidR="00F5219A">
        <w:t>tiesa tiesvedības procesā ir tiesīga</w:t>
      </w:r>
      <w:r w:rsidR="00F5219A">
        <w:t xml:space="preserve"> </w:t>
      </w:r>
      <w:r w:rsidRPr="00F5219A" w:rsidR="00F5219A">
        <w:t>atcelt iestādes lēmumu un taisīt spriedumu, ar kuru konstatē personas vainu administratīvā pārkāpuma izdarīšanā un uzlikt sodu</w:t>
      </w:r>
      <w:r w:rsidR="00F5219A">
        <w:t xml:space="preserve">. </w:t>
      </w:r>
      <w:r w:rsidR="00282F4B">
        <w:t>Apgabaltiesa</w:t>
      </w:r>
      <w:r w:rsidR="00243652">
        <w:t xml:space="preserve"> noraidīja apelācijas sūdzību un atstāja </w:t>
      </w:r>
      <w:r w:rsidR="00494E76">
        <w:t>negrozītu pirmās instances tiesas spriedumu.</w:t>
      </w:r>
    </w:p>
    <w:p w:rsidR="009D2296" w:rsidP="00156422" w:rsidRDefault="00156422" w14:paraId="4B6C651D" w14:textId="77777777">
      <w:pPr>
        <w:jc w:val="both"/>
      </w:pPr>
      <w:r>
        <w:tab/>
      </w:r>
      <w:r w:rsidR="00B8640E">
        <w:t>11. </w:t>
      </w:r>
      <w:r w:rsidRPr="00BF0322">
        <w:rPr>
          <w:i/>
          <w:iCs/>
        </w:rPr>
        <w:t>Zemgales apgabaltiesas 2019. gada 28. marta spriedums lietā Nr. 1A73022918 (ECLI:LV:ZAT:2019:0328.1A73022918.9.S)</w:t>
      </w:r>
      <w:r w:rsidRPr="00BF0322" w:rsidR="00612FD0">
        <w:rPr>
          <w:i/>
          <w:iCs/>
        </w:rPr>
        <w:t>.</w:t>
      </w:r>
      <w:r w:rsidRPr="006905A4" w:rsidR="00612FD0">
        <w:t xml:space="preserve"> </w:t>
      </w:r>
    </w:p>
    <w:p w:rsidR="00156422" w:rsidP="009D2296" w:rsidRDefault="00637DBB" w14:paraId="51ABF188" w14:textId="36D8FE5E">
      <w:pPr>
        <w:ind w:firstLine="720"/>
        <w:jc w:val="both"/>
      </w:pPr>
      <w:r>
        <w:lastRenderedPageBreak/>
        <w:t xml:space="preserve">Apelācijas sūdzību iesniedza </w:t>
      </w:r>
      <w:r w:rsidR="00612FD0">
        <w:t>Korupcijas novēršanas un apkarošanas biroj</w:t>
      </w:r>
      <w:r>
        <w:t xml:space="preserve">s. Tajā </w:t>
      </w:r>
      <w:r w:rsidR="00612FD0">
        <w:t>norādīts</w:t>
      </w:r>
      <w:r w:rsidRPr="00612FD0" w:rsidR="00612FD0">
        <w:t xml:space="preserve">, ka pirmās instances tiesa spriedumā esot sniegusi </w:t>
      </w:r>
      <w:r w:rsidRPr="00612FD0" w:rsidR="00991316">
        <w:t>nepareiz</w:t>
      </w:r>
      <w:r w:rsidR="00991316">
        <w:t>u</w:t>
      </w:r>
      <w:r w:rsidRPr="00612FD0" w:rsidR="00991316">
        <w:t xml:space="preserve"> </w:t>
      </w:r>
      <w:r w:rsidRPr="00612FD0" w:rsidR="00612FD0">
        <w:t>lietas faktisko apstākļu juridisko novērtējumu</w:t>
      </w:r>
      <w:r w:rsidR="00DA5593">
        <w:t xml:space="preserve"> un </w:t>
      </w:r>
      <w:r w:rsidR="00211D61">
        <w:t xml:space="preserve">nepamatoti konstatējusi pārkāpuma </w:t>
      </w:r>
      <w:r w:rsidR="007A1E23">
        <w:t>izdarīšanas dienu.</w:t>
      </w:r>
      <w:r w:rsidR="00077C38">
        <w:t xml:space="preserve"> Apgabaltiesa</w:t>
      </w:r>
      <w:r w:rsidR="00C93E49">
        <w:t xml:space="preserve"> noraidīj</w:t>
      </w:r>
      <w:r w:rsidR="000E3B00">
        <w:t xml:space="preserve">a apelācijas sūdzību un </w:t>
      </w:r>
      <w:r w:rsidR="00591DB0">
        <w:t>atstāja negrozītu</w:t>
      </w:r>
      <w:r w:rsidR="00C93E49">
        <w:t xml:space="preserve"> pirmās instances tiesas spriedumu.</w:t>
      </w:r>
    </w:p>
    <w:p w:rsidR="000D4B51" w:rsidP="00E55815" w:rsidRDefault="000E3B00" w14:paraId="547D43BD" w14:textId="77777777">
      <w:pPr>
        <w:jc w:val="both"/>
      </w:pPr>
      <w:r>
        <w:tab/>
      </w:r>
      <w:r w:rsidR="00B8640E">
        <w:t>12. </w:t>
      </w:r>
      <w:r w:rsidRPr="00BF0322" w:rsidR="00E55815">
        <w:rPr>
          <w:i/>
          <w:iCs/>
        </w:rPr>
        <w:t>Latgales apgabaltiesas 2019. gada 3. maija spriedums lietā Nr. 1A26007118 (ECLI:LV:LAAT:2019:0503.1A26007118.5.S).</w:t>
      </w:r>
      <w:r w:rsidRPr="006905A4" w:rsidR="00E55815">
        <w:t xml:space="preserve"> </w:t>
      </w:r>
    </w:p>
    <w:p w:rsidR="00E55815" w:rsidP="000D4B51" w:rsidRDefault="00E55815" w14:paraId="73A4009A" w14:textId="1DC2C7F2">
      <w:pPr>
        <w:ind w:firstLine="720"/>
        <w:jc w:val="both"/>
      </w:pPr>
      <w:r>
        <w:t>Apelācijas sūdzību iesniedza Valsts policija</w:t>
      </w:r>
      <w:r w:rsidR="00CF7D3D">
        <w:t>, norādot, ka pirmās instances tiesa nav pilnvērtīgi iepazinusies un izvērtējusi visus lietā esošos pierādījumus.</w:t>
      </w:r>
      <w:r w:rsidR="00A2068A">
        <w:t xml:space="preserve"> Apgabaltiesa noraidīja apelācijas sūdzību un atstāja negrozītu pirmās instances tiesas spriedumu.</w:t>
      </w:r>
    </w:p>
    <w:p w:rsidR="00187E07" w:rsidP="003325B5" w:rsidRDefault="00BE526A" w14:paraId="305A7E23" w14:textId="77777777">
      <w:pPr>
        <w:jc w:val="both"/>
      </w:pPr>
      <w:r>
        <w:tab/>
      </w:r>
      <w:r w:rsidR="00B8640E">
        <w:t>13. </w:t>
      </w:r>
      <w:r w:rsidRPr="00BF0322">
        <w:rPr>
          <w:i/>
          <w:iCs/>
        </w:rPr>
        <w:t>Rīgas apgabaltiesas Krimināllietu tiesas kolēģijas 2019. gada 17. maija spriedums lietā Nr. 1A68016318 (ECLI:LV:RAT:2019:0517.1A68016318.6.S).</w:t>
      </w:r>
      <w:r w:rsidRPr="006905A4">
        <w:t xml:space="preserve"> </w:t>
      </w:r>
    </w:p>
    <w:p w:rsidR="00BE526A" w:rsidP="00187E07" w:rsidRDefault="003325B5" w14:paraId="62E01D08" w14:textId="40C51C4F">
      <w:pPr>
        <w:ind w:firstLine="720"/>
        <w:jc w:val="both"/>
      </w:pPr>
      <w:r>
        <w:t>Apelācijas sūdzību iesniedza</w:t>
      </w:r>
      <w:r w:rsidR="00D500D6">
        <w:t xml:space="preserve"> </w:t>
      </w:r>
      <w:r>
        <w:t>Valsts ieņēmumu dienests, lūdzot atcelt pirmās instances tiesas spriedumu daļā par personai noteik</w:t>
      </w:r>
      <w:r w:rsidR="0085620E">
        <w:t>to sodu. Apgabaltiesa noraidīja apelācijas sūdzību un atstāja negrozītu pirmās instances tiesas spriedumu.</w:t>
      </w:r>
    </w:p>
    <w:p w:rsidR="00187E07" w:rsidP="00561009" w:rsidRDefault="00561009" w14:paraId="64838B5B" w14:textId="77777777">
      <w:pPr>
        <w:jc w:val="both"/>
      </w:pPr>
      <w:r>
        <w:tab/>
      </w:r>
      <w:r w:rsidR="00B8640E">
        <w:t>14. </w:t>
      </w:r>
      <w:r w:rsidRPr="00BF0322">
        <w:rPr>
          <w:i/>
          <w:iCs/>
        </w:rPr>
        <w:t>Zemgales apgabaltiesas 2019. gada 27. maija spriedums lietā Nr. 1A73024018 (ECLI:LV:ZAT:2019:0527.1A73024018.8.S).</w:t>
      </w:r>
      <w:r w:rsidRPr="006905A4">
        <w:t xml:space="preserve"> </w:t>
      </w:r>
    </w:p>
    <w:p w:rsidR="00561009" w:rsidP="00187E07" w:rsidRDefault="00402103" w14:paraId="4A92D9E5" w14:textId="1AA5C502">
      <w:pPr>
        <w:ind w:firstLine="720"/>
        <w:jc w:val="both"/>
      </w:pPr>
      <w:r>
        <w:t>Apelācijas sūdzību iesniedza Valsts ieņēmumu dienests, lūdzot atcelt pirmās instances tiesas spriedumu daļā</w:t>
      </w:r>
      <w:r w:rsidR="00C1031A">
        <w:t xml:space="preserve"> par noteiktā papildsoda samazināšanu. </w:t>
      </w:r>
      <w:r w:rsidR="000C669D">
        <w:t>Apgabaltiesa noraidīja apelācijas sūdzību un atstāja negrozītu pirmās instances tiesas spriedumu.</w:t>
      </w:r>
    </w:p>
    <w:p w:rsidR="00187E07" w:rsidP="00B350B1" w:rsidRDefault="000C669D" w14:paraId="23ACAF3B" w14:textId="77777777">
      <w:pPr>
        <w:jc w:val="both"/>
      </w:pPr>
      <w:r>
        <w:tab/>
      </w:r>
      <w:r w:rsidR="00B8640E">
        <w:t>15. </w:t>
      </w:r>
      <w:r w:rsidRPr="00BF0322" w:rsidR="00B350B1">
        <w:rPr>
          <w:i/>
          <w:iCs/>
        </w:rPr>
        <w:t>Zemgales apgabaltiesas 2019. gada 17. jūnija spriedums lietā Nr. 1A73018818 (ECLI:LV:ZAT:2019:0617.1A73018818.8.S)</w:t>
      </w:r>
      <w:r w:rsidRPr="00BF0322" w:rsidR="00AA7961">
        <w:rPr>
          <w:i/>
          <w:iCs/>
        </w:rPr>
        <w:t>.</w:t>
      </w:r>
      <w:r w:rsidRPr="006905A4" w:rsidR="00AA7961">
        <w:t xml:space="preserve"> </w:t>
      </w:r>
    </w:p>
    <w:p w:rsidR="00B350B1" w:rsidP="00187E07" w:rsidRDefault="00AA7961" w14:paraId="4CD5736C" w14:textId="258613A7">
      <w:pPr>
        <w:ind w:firstLine="720"/>
        <w:jc w:val="both"/>
      </w:pPr>
      <w:r>
        <w:t>Apelācijas sūdzību iesniedza Valsts policija, norādot, ka pirmās instances tiesa ir grozījusi lietas faktiskos apstākļus, nav pilnvērtīgi iepazinusies un izvērtējusi visus lietā esošos materiālus. Apgabaltiesa noraidīja apelācijas sūdzību un atstāja negrozītu pirmās instances tiesas spriedumu.</w:t>
      </w:r>
    </w:p>
    <w:p w:rsidR="00187E07" w:rsidP="00684BBF" w:rsidRDefault="00AA7961" w14:paraId="3AA8275F" w14:textId="77777777">
      <w:pPr>
        <w:jc w:val="both"/>
      </w:pPr>
      <w:r>
        <w:tab/>
      </w:r>
      <w:r w:rsidR="00B8640E">
        <w:t>16. </w:t>
      </w:r>
      <w:r w:rsidRPr="00BF0322" w:rsidR="00684BBF">
        <w:rPr>
          <w:i/>
          <w:iCs/>
        </w:rPr>
        <w:t>Zemgales apgabaltiesas 2019. gada 17. jūnija spriedums lietā Nr. 1A73011719 (ECLI:LV:ZAT:2019:0617.1A73011719.6.S).</w:t>
      </w:r>
      <w:r w:rsidRPr="006905A4" w:rsidR="00684BBF">
        <w:t xml:space="preserve"> </w:t>
      </w:r>
    </w:p>
    <w:p w:rsidR="00684BBF" w:rsidP="00187E07" w:rsidRDefault="00684BBF" w14:paraId="134CDEA3" w14:textId="32CB41CD">
      <w:pPr>
        <w:ind w:firstLine="720"/>
        <w:jc w:val="both"/>
      </w:pPr>
      <w:r>
        <w:t>Apelācijas sūdzību iesniedza Valsts policija, norādot, ka pirmās instances tiesas spriedums ir nepamatots</w:t>
      </w:r>
      <w:r w:rsidR="00FB5C0D">
        <w:t xml:space="preserve"> (tiesību normu interpretācijas jautājums). </w:t>
      </w:r>
      <w:r w:rsidR="00330B36">
        <w:t>Apgabaltiesa noraidīja apelācijas sūdzību un atstāja negrozītu pirmās instances tiesas spriedumu.</w:t>
      </w:r>
    </w:p>
    <w:p w:rsidR="00187E07" w:rsidP="000B1959" w:rsidRDefault="00330B36" w14:paraId="4257EA47" w14:textId="77777777">
      <w:pPr>
        <w:jc w:val="both"/>
      </w:pPr>
      <w:r>
        <w:tab/>
      </w:r>
      <w:r w:rsidR="00B8640E">
        <w:t>17. </w:t>
      </w:r>
      <w:r w:rsidRPr="00BF0322" w:rsidR="000B1959">
        <w:rPr>
          <w:i/>
          <w:iCs/>
        </w:rPr>
        <w:t>Rīgas apgabaltiesas Krimināllietu tiesas kolēģijas 2019. gada 28. jūnija spriedums lietā Nr. 1A29019418 (ECLI:LV:RAT:2019:0628.1A29019418.9.S).</w:t>
      </w:r>
      <w:r w:rsidRPr="006905A4" w:rsidR="000B1959">
        <w:t xml:space="preserve"> </w:t>
      </w:r>
    </w:p>
    <w:p w:rsidR="000B1959" w:rsidP="00187E07" w:rsidRDefault="001346A8" w14:paraId="55A3F58D" w14:textId="0C72D494">
      <w:pPr>
        <w:ind w:firstLine="720"/>
        <w:jc w:val="both"/>
      </w:pPr>
      <w:r>
        <w:t>Apelācijas sūdzību iesniedza Valsts ieņēmumu dienests</w:t>
      </w:r>
      <w:r w:rsidR="005F3CC9">
        <w:t xml:space="preserve">, lūdzot atcelt pirmās instances spriedumu daļā par papildsoda nepiemērošanu. </w:t>
      </w:r>
      <w:r w:rsidR="00AD5EB1">
        <w:t>Apgabaltiesa piekrīt sūdzībā norādītajam</w:t>
      </w:r>
      <w:r w:rsidR="00915336">
        <w:t xml:space="preserve"> argumentam</w:t>
      </w:r>
      <w:r w:rsidR="00AD5EB1">
        <w:t>, ka papildsodu var piemērot neatkarīgi no tā, vai pārkāpējam ir noteikts maksimālais naudas soda apmērs, tomēr</w:t>
      </w:r>
      <w:r w:rsidR="00915336">
        <w:t xml:space="preserve"> kopumā apelācijas sūdzību noraidīja un atstāja negrozītu pirmās instances </w:t>
      </w:r>
      <w:r w:rsidR="00C309C0">
        <w:t>tiesas spriedumu.</w:t>
      </w:r>
    </w:p>
    <w:p w:rsidR="00187E07" w:rsidP="00564E82" w:rsidRDefault="00D21CC9" w14:paraId="0212F1E7" w14:textId="77777777">
      <w:pPr>
        <w:jc w:val="both"/>
      </w:pPr>
      <w:r>
        <w:tab/>
      </w:r>
      <w:r w:rsidR="00B8640E">
        <w:t>18. </w:t>
      </w:r>
      <w:r w:rsidRPr="00BF0322" w:rsidR="00564E82">
        <w:rPr>
          <w:i/>
          <w:iCs/>
        </w:rPr>
        <w:t>Rīgas apgabaltiesas Krimināllietu tiesas kolēģijas 2019. gada 28. jūnija spriedums lietā Nr. 1A33042618 (ECLI:LV:RAT:2019:0628.</w:t>
      </w:r>
      <w:bookmarkStart w:name="_Hlk34221003" w:id="2"/>
      <w:r w:rsidRPr="00BF0322" w:rsidR="00564E82">
        <w:rPr>
          <w:i/>
          <w:iCs/>
        </w:rPr>
        <w:t>1A33042618</w:t>
      </w:r>
      <w:bookmarkEnd w:id="2"/>
      <w:r w:rsidRPr="00BF0322" w:rsidR="00564E82">
        <w:rPr>
          <w:i/>
          <w:iCs/>
        </w:rPr>
        <w:t>.5.S).</w:t>
      </w:r>
      <w:r w:rsidRPr="006905A4" w:rsidR="00564E82">
        <w:t xml:space="preserve"> </w:t>
      </w:r>
    </w:p>
    <w:p w:rsidRPr="00564E82" w:rsidR="00E23FBF" w:rsidP="00187E07" w:rsidRDefault="00564E82" w14:paraId="525E0C95" w14:textId="41C372AB">
      <w:pPr>
        <w:ind w:firstLine="720"/>
        <w:jc w:val="both"/>
      </w:pPr>
      <w:r>
        <w:t>Apelācijas sūdzību iesniedza Veselības inspekcija</w:t>
      </w:r>
      <w:r w:rsidR="00E23FBF">
        <w:t>,</w:t>
      </w:r>
      <w:r>
        <w:t xml:space="preserve"> </w:t>
      </w:r>
      <w:r w:rsidR="00F65DA0">
        <w:t xml:space="preserve">norādot, ka </w:t>
      </w:r>
      <w:r w:rsidR="00171FF3">
        <w:t xml:space="preserve">tiesa nepamatoti noteikusi, ka vienīgais pierādījums lietā ir </w:t>
      </w:r>
      <w:r w:rsidR="00E23FBF">
        <w:t>sagatavotais atzinums, kuru tiesa nav atzinusi par ticamu un pieļaujamu. Apgabaltiesa noraidīja apelācijas sūdzību un atstāja negrozītu pirmās instances tiesas spriedumu.</w:t>
      </w:r>
    </w:p>
    <w:p w:rsidR="00813845" w:rsidP="008373F2" w:rsidRDefault="008373F2" w14:paraId="07FB7AD3" w14:textId="77777777">
      <w:pPr>
        <w:jc w:val="both"/>
      </w:pPr>
      <w:r>
        <w:tab/>
      </w:r>
      <w:r w:rsidR="00B8640E">
        <w:t>19. </w:t>
      </w:r>
      <w:r w:rsidRPr="00BF0322">
        <w:rPr>
          <w:i/>
          <w:iCs/>
        </w:rPr>
        <w:t>Latgales apgabaltiesas 2019. gada 27. augusta spriedums lietā Nr. 1A12008618 (ECLI:LV:LAAT:2019:0827.1A12008618.6.S).</w:t>
      </w:r>
      <w:r w:rsidRPr="006905A4">
        <w:t xml:space="preserve"> </w:t>
      </w:r>
    </w:p>
    <w:p w:rsidR="008373F2" w:rsidP="00813845" w:rsidRDefault="008373F2" w14:paraId="2A784D12" w14:textId="7E511765">
      <w:pPr>
        <w:ind w:firstLine="720"/>
        <w:jc w:val="both"/>
      </w:pPr>
      <w:r>
        <w:t>Apelācijas sūdzību iesniedza Valsts policijas Rīgas reģiona pārvaldes Kārtības policijas pār</w:t>
      </w:r>
      <w:r w:rsidR="00ED58A5">
        <w:t>valde, nepie</w:t>
      </w:r>
      <w:r w:rsidR="00B71054">
        <w:t>krītot pirmās instances tiesas secinājumam, ka lietā iegūtie pierādījumi nav pietiekami un ir savstarpēji pretrunīgi.</w:t>
      </w:r>
      <w:r w:rsidR="00EF585E">
        <w:t xml:space="preserve"> Apgabaltiesa noraidīja apelācijas sūdzību un atstāja negrozītu pirmās instances tiesas spriedumu.</w:t>
      </w:r>
    </w:p>
    <w:p w:rsidR="00813845" w:rsidP="00EF202C" w:rsidRDefault="00EF585E" w14:paraId="03D640E7" w14:textId="77777777">
      <w:pPr>
        <w:jc w:val="both"/>
      </w:pPr>
      <w:r>
        <w:tab/>
      </w:r>
      <w:r w:rsidR="00B8640E">
        <w:t>20. </w:t>
      </w:r>
      <w:r w:rsidRPr="00BF0322" w:rsidR="00EF202C">
        <w:rPr>
          <w:i/>
          <w:iCs/>
        </w:rPr>
        <w:t>Zemgales apgabaltiesas 2019. gada 28. augusta spriedums lietā Nr. 1A73011919 (ECLI:LV:ZAT:2019:0828.</w:t>
      </w:r>
      <w:bookmarkStart w:name="_Hlk34229092" w:id="3"/>
      <w:r w:rsidRPr="00BF0322" w:rsidR="00EF202C">
        <w:rPr>
          <w:i/>
          <w:iCs/>
        </w:rPr>
        <w:t>1A73011919</w:t>
      </w:r>
      <w:bookmarkEnd w:id="3"/>
      <w:r w:rsidRPr="00BF0322" w:rsidR="00EF202C">
        <w:rPr>
          <w:i/>
          <w:iCs/>
        </w:rPr>
        <w:t>.7.S).</w:t>
      </w:r>
      <w:r w:rsidRPr="00E816DA" w:rsidR="00EF202C">
        <w:t xml:space="preserve"> </w:t>
      </w:r>
    </w:p>
    <w:p w:rsidRPr="00EF202C" w:rsidR="00EF202C" w:rsidP="00813845" w:rsidRDefault="00E816DA" w14:paraId="7CB81083" w14:textId="3C0D46C0">
      <w:pPr>
        <w:ind w:firstLine="720"/>
        <w:jc w:val="both"/>
      </w:pPr>
      <w:r w:rsidRPr="00E816DA">
        <w:lastRenderedPageBreak/>
        <w:t>Apelācijas</w:t>
      </w:r>
      <w:r>
        <w:t xml:space="preserve"> sūdzību iesniedza Valsts policija, norādot, ka </w:t>
      </w:r>
      <w:r w:rsidR="00F45443">
        <w:t>pirmās instances tiesa nepareizi iztulkojusi tiesību normas</w:t>
      </w:r>
      <w:r w:rsidR="00B1037C">
        <w:t xml:space="preserve">. </w:t>
      </w:r>
      <w:r w:rsidR="004C5BBC">
        <w:t xml:space="preserve">Apgabaltiesa </w:t>
      </w:r>
      <w:r w:rsidR="00CF4DC6">
        <w:t>atstāj</w:t>
      </w:r>
      <w:r w:rsidR="00E203C7">
        <w:t>a</w:t>
      </w:r>
      <w:r w:rsidR="00CF4DC6">
        <w:t xml:space="preserve"> negrozītu pirmās </w:t>
      </w:r>
      <w:r w:rsidR="00991316">
        <w:t xml:space="preserve">instances tiesas spriedumu </w:t>
      </w:r>
      <w:r w:rsidR="00E203C7">
        <w:t xml:space="preserve">un noraidīja </w:t>
      </w:r>
      <w:r w:rsidR="00E12BB4">
        <w:t>apelācijas sūdzību.</w:t>
      </w:r>
    </w:p>
    <w:p w:rsidR="00813845" w:rsidP="00163135" w:rsidRDefault="00163135" w14:paraId="72435BEE" w14:textId="77777777">
      <w:pPr>
        <w:jc w:val="both"/>
      </w:pPr>
      <w:r>
        <w:tab/>
      </w:r>
      <w:r w:rsidR="00B8640E">
        <w:t>21. </w:t>
      </w:r>
      <w:r w:rsidRPr="00BF0322">
        <w:rPr>
          <w:i/>
          <w:iCs/>
        </w:rPr>
        <w:t>Zemgales apgabaltiesas 2019. gada 4. septembra spriedums lietā Nr. 1A73009419 (ECLI:LV:ZAT:2019:0904.1A73009419.6.S).</w:t>
      </w:r>
      <w:r w:rsidRPr="006905A4">
        <w:t xml:space="preserve"> </w:t>
      </w:r>
    </w:p>
    <w:p w:rsidRPr="00EA1BC8" w:rsidR="00163135" w:rsidP="00813845" w:rsidRDefault="00EA1BC8" w14:paraId="3841DB1C" w14:textId="16DFD603">
      <w:pPr>
        <w:ind w:firstLine="720"/>
        <w:jc w:val="both"/>
      </w:pPr>
      <w:r>
        <w:t xml:space="preserve">Apelācijas sūdzību iesniedza </w:t>
      </w:r>
      <w:r w:rsidR="00F338B7">
        <w:t>Korupcijas novēršanas un apkarošanas birojs</w:t>
      </w:r>
      <w:r w:rsidR="004F15E2">
        <w:t xml:space="preserve">, uzskatot, ka </w:t>
      </w:r>
      <w:r w:rsidRPr="004F15E2" w:rsidR="004F15E2">
        <w:t>pirmās instances tiesa spriedumā ir sniegusi nepareizu lietas faktisko apstākļu juridisko novērtējumu.</w:t>
      </w:r>
      <w:r w:rsidR="00791104">
        <w:t xml:space="preserve"> Apgabaltiesa atstāja negrozītu pirmās instances tiesas spriedumu un </w:t>
      </w:r>
      <w:r w:rsidR="0074526B">
        <w:t xml:space="preserve">noraidīja </w:t>
      </w:r>
      <w:r w:rsidR="00791104">
        <w:t>apelācijas sūdzību.</w:t>
      </w:r>
    </w:p>
    <w:p w:rsidR="00813845" w:rsidP="00C21D63" w:rsidRDefault="00C21D63" w14:paraId="081F232B" w14:textId="77777777">
      <w:pPr>
        <w:jc w:val="both"/>
      </w:pPr>
      <w:r>
        <w:tab/>
      </w:r>
      <w:r w:rsidR="00B8640E">
        <w:t>22. </w:t>
      </w:r>
      <w:r w:rsidRPr="00BF0322">
        <w:rPr>
          <w:i/>
          <w:iCs/>
        </w:rPr>
        <w:t>Rīgas apgabaltiesas Krimināllietu tiesas kolēģijas 2019. gada 6. septembra spriedums lietā Nr. 1A29007719 (ECLI:LV:RAT:2019:0906.1A29007719.6.S).</w:t>
      </w:r>
      <w:r w:rsidRPr="006905A4">
        <w:t xml:space="preserve"> </w:t>
      </w:r>
    </w:p>
    <w:p w:rsidR="00C21D63" w:rsidP="00813845" w:rsidRDefault="008C7E7C" w14:paraId="51D242EE" w14:textId="0C91A11D">
      <w:pPr>
        <w:ind w:firstLine="720"/>
        <w:jc w:val="both"/>
      </w:pPr>
      <w:r>
        <w:t>Apelācijas sūdzību iesniedza Jūrmalas pilsētas pašvaldības policija</w:t>
      </w:r>
      <w:r w:rsidR="00FD1368">
        <w:t xml:space="preserve">, nepiekrītot </w:t>
      </w:r>
      <w:r w:rsidR="006E35AF">
        <w:t xml:space="preserve">pirmās instances tiesas secinājumam, ka </w:t>
      </w:r>
      <w:r w:rsidRPr="00C17133" w:rsidR="006E35AF">
        <w:t>liet</w:t>
      </w:r>
      <w:r w:rsidRPr="00C17133" w:rsidR="006D60BD">
        <w:t>vedība konkrētajā admini</w:t>
      </w:r>
      <w:r w:rsidRPr="00C17133" w:rsidR="00FC6199">
        <w:t>stratīvā pārkāpuma lietā nav uzs</w:t>
      </w:r>
      <w:r w:rsidRPr="00C17133" w:rsidR="00B8787D">
        <w:t>ākta</w:t>
      </w:r>
      <w:r w:rsidR="00C17133">
        <w:t xml:space="preserve">, proti, </w:t>
      </w:r>
      <w:r w:rsidR="0050398E">
        <w:t>lietas materiālos nav dokumenta par lietvedības uzsākšanu</w:t>
      </w:r>
      <w:r w:rsidR="00B8787D">
        <w:t>.</w:t>
      </w:r>
      <w:r w:rsidR="00381CA1">
        <w:t xml:space="preserve"> Apgabaltiesa noraidīja apelācijas sūdzību un atstāja negrozītu pirmās instances tiesas spriedumu.</w:t>
      </w:r>
    </w:p>
    <w:p w:rsidR="003F7EBD" w:rsidP="00062C08" w:rsidRDefault="00381CA1" w14:paraId="04337BBC" w14:textId="77777777">
      <w:pPr>
        <w:jc w:val="both"/>
      </w:pPr>
      <w:r>
        <w:tab/>
      </w:r>
      <w:r w:rsidR="00B8640E">
        <w:t>23. </w:t>
      </w:r>
      <w:r w:rsidRPr="00BF0322" w:rsidR="00062C08">
        <w:rPr>
          <w:i/>
          <w:iCs/>
        </w:rPr>
        <w:t>Kurzemes apgabaltiesas 2019. gada 13. septembra spriedums lietā Nr. 1A69005519 (ECLI:LV:KUAT:2019:0913.1A69005519.8.S).</w:t>
      </w:r>
      <w:r w:rsidR="007E1A58">
        <w:t xml:space="preserve"> </w:t>
      </w:r>
    </w:p>
    <w:p w:rsidR="00062C08" w:rsidP="003F7EBD" w:rsidRDefault="000A36E3" w14:paraId="4499B9CD" w14:textId="41D785C4">
      <w:pPr>
        <w:ind w:firstLine="720"/>
        <w:jc w:val="both"/>
      </w:pPr>
      <w:r>
        <w:t>Apelācijas sūdzību iesniedza Ventspils novada dome</w:t>
      </w:r>
      <w:r w:rsidR="00A575DC">
        <w:t xml:space="preserve">, norādot, ka </w:t>
      </w:r>
      <w:r w:rsidR="000C1607">
        <w:t xml:space="preserve">pirmās instances tiesa nav ievērojusi </w:t>
      </w:r>
      <w:r w:rsidRPr="000C1607" w:rsidR="000C1607">
        <w:t>prasības par pierādījumu novērtēšanu, pēc būtības neizvērtējot administratīvā pārkāpuma lietai pievienotos pierādījumus, un izdarījusi lietas tiesiskajiem un faktiskajiem apstākļiem neatbilstošus secinājumus, uz kuru pamata taisījusi materiālām un procesuālām tiesību normām neatbilstošu nolēmumu.</w:t>
      </w:r>
      <w:r w:rsidR="00042FBE">
        <w:t xml:space="preserve"> Apgabaltiesa noraidīja apelācijas sūdzību un atstāja negrozītu pirmās instances tiesas spriedumu.</w:t>
      </w:r>
    </w:p>
    <w:p w:rsidR="003F7EBD" w:rsidP="00016AB1" w:rsidRDefault="00EA636B" w14:paraId="1DE20D65" w14:textId="77777777">
      <w:pPr>
        <w:jc w:val="both"/>
      </w:pPr>
      <w:r>
        <w:tab/>
      </w:r>
      <w:r w:rsidR="00B8640E">
        <w:t>24. </w:t>
      </w:r>
      <w:r w:rsidRPr="00BF0322" w:rsidR="00016AB1">
        <w:rPr>
          <w:i/>
          <w:iCs/>
        </w:rPr>
        <w:t>Latgales apgabaltiesas 2019. gada 26. septembra spriedums lietā Nr. 1A26003619 (ECLI:LV:LAAT:2019:0926.1A26003619.5.S).</w:t>
      </w:r>
      <w:r w:rsidRPr="006905A4" w:rsidR="00016AB1">
        <w:t xml:space="preserve"> </w:t>
      </w:r>
    </w:p>
    <w:p w:rsidR="00016AB1" w:rsidP="003F7EBD" w:rsidRDefault="00016AB1" w14:paraId="1C629108" w14:textId="461E925E">
      <w:pPr>
        <w:ind w:firstLine="720"/>
        <w:jc w:val="both"/>
      </w:pPr>
      <w:r>
        <w:t>Apelācijas sūdzību iesniedza Valsts ieņēmumu dienests</w:t>
      </w:r>
      <w:r w:rsidR="00247818">
        <w:t xml:space="preserve">, norādot, ka pirmās instances tiesa nepareizi piemērojusi </w:t>
      </w:r>
      <w:r w:rsidRPr="00247818" w:rsidR="00247818">
        <w:t>vispārīgos noteikumus soda uzlikšanai par administratīvo pārkāpumu un nepareizi novērtēj</w:t>
      </w:r>
      <w:r w:rsidR="00247818">
        <w:t>usi</w:t>
      </w:r>
      <w:r w:rsidRPr="00247818" w:rsidR="00247818">
        <w:t xml:space="preserve"> administratīvā pārkāpuma lietā savāktos pierādījumus</w:t>
      </w:r>
      <w:r w:rsidR="00B659E1">
        <w:t xml:space="preserve">, atceļot </w:t>
      </w:r>
      <w:r w:rsidR="000C0956">
        <w:t>piemēroto papildsodu</w:t>
      </w:r>
      <w:r w:rsidR="00247818">
        <w:t>.</w:t>
      </w:r>
      <w:r w:rsidR="00370CD7">
        <w:t xml:space="preserve"> Apgabaltiesa noraidīja apelācijas sūdzību un atstāja negrozītu pirmās instances tiesas spriedumu.</w:t>
      </w:r>
    </w:p>
    <w:p w:rsidR="003F7EBD" w:rsidP="00E5786C" w:rsidRDefault="00370CD7" w14:paraId="27D1BF34" w14:textId="77777777">
      <w:pPr>
        <w:jc w:val="both"/>
      </w:pPr>
      <w:r>
        <w:tab/>
      </w:r>
      <w:r w:rsidR="00B8640E">
        <w:t>25. </w:t>
      </w:r>
      <w:r w:rsidRPr="00BF0322" w:rsidR="00E5786C">
        <w:rPr>
          <w:i/>
          <w:iCs/>
        </w:rPr>
        <w:t>Rīgas apgabaltiesas 2019. gada 30. septembra spriedums lietā Nr. 1A29010019 (ECLI:LV:RAT:2019:0930.1A29010019.6.S).</w:t>
      </w:r>
      <w:r w:rsidRPr="006905A4" w:rsidR="00E5786C">
        <w:t xml:space="preserve"> </w:t>
      </w:r>
    </w:p>
    <w:p w:rsidRPr="00E5786C" w:rsidR="00E5786C" w:rsidP="003F7EBD" w:rsidRDefault="00E5786C" w14:paraId="0A7EFDEE" w14:textId="0428AF17">
      <w:pPr>
        <w:ind w:firstLine="720"/>
        <w:jc w:val="both"/>
      </w:pPr>
      <w:r>
        <w:t xml:space="preserve">Apelācijas sūdzību iesniedza Jūrmalas pilsētas pašvaldības policija, </w:t>
      </w:r>
      <w:r w:rsidR="009D2307">
        <w:t xml:space="preserve">nepiekrītot pirmās instances tiesas secinājumam, ka </w:t>
      </w:r>
      <w:r w:rsidRPr="00F91453" w:rsidR="00F91453">
        <w:t>lietas materiālos nevienā dokumentā nav lēmuma vai rezolūcijas par lietvedības uzsākšanu</w:t>
      </w:r>
      <w:r w:rsidR="00F91453">
        <w:t xml:space="preserve">. </w:t>
      </w:r>
      <w:r w:rsidR="001438A4">
        <w:t>Apgabaltiesa noraidīja apelācijas sūdzību un atstāja negrozītu pirmās instances tiesas spriedumu.</w:t>
      </w:r>
    </w:p>
    <w:p w:rsidR="003F7EBD" w:rsidP="00016AB1" w:rsidRDefault="00194A67" w14:paraId="1C4015D2" w14:textId="3B687BAB">
      <w:pPr>
        <w:jc w:val="both"/>
      </w:pPr>
      <w:r>
        <w:tab/>
      </w:r>
      <w:r w:rsidR="00B8640E">
        <w:t>26. </w:t>
      </w:r>
      <w:r w:rsidRPr="00BF0322">
        <w:rPr>
          <w:i/>
          <w:iCs/>
        </w:rPr>
        <w:t>Rīgas apgabaltiesas Krimināllietu tiesas kolēģijas</w:t>
      </w:r>
      <w:r w:rsidR="007C36CA">
        <w:rPr>
          <w:i/>
          <w:iCs/>
        </w:rPr>
        <w:t xml:space="preserve"> </w:t>
      </w:r>
      <w:r w:rsidRPr="00BF0322">
        <w:rPr>
          <w:i/>
          <w:iCs/>
        </w:rPr>
        <w:t>2019.</w:t>
      </w:r>
      <w:r w:rsidR="007C36CA">
        <w:rPr>
          <w:i/>
          <w:iCs/>
        </w:rPr>
        <w:t> </w:t>
      </w:r>
      <w:r w:rsidRPr="00BF0322">
        <w:rPr>
          <w:i/>
          <w:iCs/>
        </w:rPr>
        <w:t>gada 7. oktobra spriedums lietā Nr. 1A29011819 (ECLI:LV:RAT:2019:1007.1A29011819.7.S)</w:t>
      </w:r>
      <w:r w:rsidRPr="00BF0322" w:rsidR="00C14534">
        <w:rPr>
          <w:i/>
          <w:iCs/>
        </w:rPr>
        <w:t>.</w:t>
      </w:r>
      <w:r w:rsidRPr="006905A4" w:rsidR="00C14534">
        <w:t xml:space="preserve"> </w:t>
      </w:r>
    </w:p>
    <w:p w:rsidRPr="00C14534" w:rsidR="00370CD7" w:rsidP="003F7EBD" w:rsidRDefault="00C14534" w14:paraId="2CDFC212" w14:textId="46591D85">
      <w:pPr>
        <w:ind w:firstLine="720"/>
        <w:jc w:val="both"/>
      </w:pPr>
      <w:r>
        <w:t>Apelācijas sūdzību iesniedz</w:t>
      </w:r>
      <w:r w:rsidR="003D130C">
        <w:t>a</w:t>
      </w:r>
      <w:r>
        <w:t xml:space="preserve"> Valsts policija</w:t>
      </w:r>
      <w:r w:rsidR="00553A18">
        <w:t>, nepiekrītot pierādījumu vērtējumam (argumentu par apsnigušām ceļa zīmēm uzskata par pieņēmumu, k</w:t>
      </w:r>
      <w:r w:rsidR="00B5012D">
        <w:t>o</w:t>
      </w:r>
      <w:r w:rsidR="00553A18">
        <w:t xml:space="preserve"> neapstiprin</w:t>
      </w:r>
      <w:r w:rsidR="00B5012D">
        <w:t>a</w:t>
      </w:r>
      <w:r w:rsidR="00553A18">
        <w:t xml:space="preserve"> lietas materiāl</w:t>
      </w:r>
      <w:r w:rsidR="00B5012D">
        <w:t>i</w:t>
      </w:r>
      <w:r w:rsidR="00553A18">
        <w:t>).</w:t>
      </w:r>
      <w:r w:rsidR="008A2DEA">
        <w:t xml:space="preserve"> Apgabaltiesa noraidīja apelācijas sūdzību un atstāja negrozītu pirmās instances tiesas spriedumu.</w:t>
      </w:r>
    </w:p>
    <w:p w:rsidR="003F7EBD" w:rsidP="008D2B27" w:rsidRDefault="008D2B27" w14:paraId="347169F5" w14:textId="77777777">
      <w:pPr>
        <w:jc w:val="both"/>
      </w:pPr>
      <w:r>
        <w:tab/>
      </w:r>
      <w:r w:rsidR="00B8640E">
        <w:t>27. </w:t>
      </w:r>
      <w:r w:rsidRPr="00BF0322">
        <w:rPr>
          <w:i/>
          <w:iCs/>
        </w:rPr>
        <w:t>Rīgas apgabaltiesas Krimināllietu tiesas kolēģijas 2019. gada 11. oktobra spriedums lietā Nr. 1A29011419 (ECLI:LV:RAT:2019:1011.1A29011419.7.S).</w:t>
      </w:r>
      <w:r w:rsidRPr="006905A4">
        <w:t xml:space="preserve"> </w:t>
      </w:r>
    </w:p>
    <w:p w:rsidRPr="008D2B27" w:rsidR="008D2B27" w:rsidP="003F7EBD" w:rsidRDefault="008D2B27" w14:paraId="5DBCDD9E" w14:textId="6191E0FE">
      <w:pPr>
        <w:ind w:firstLine="720"/>
        <w:jc w:val="both"/>
        <w:rPr>
          <w:b/>
          <w:bCs/>
        </w:rPr>
      </w:pPr>
      <w:r>
        <w:t xml:space="preserve">Apelācijas sūdzību iesniedza Jūrmalas pilsētas pašvaldības policija, nepiekrītot pirmās instances tiesas secinājumam, ka </w:t>
      </w:r>
      <w:r w:rsidR="00410174">
        <w:t>l</w:t>
      </w:r>
      <w:r w:rsidRPr="00410174" w:rsidR="00410174">
        <w:t>ietas materiālos nevienā dokumentā nav lēmuma vai rezolūcijas par lietvedības uzsākšanu</w:t>
      </w:r>
      <w:r>
        <w:t>.</w:t>
      </w:r>
      <w:r w:rsidR="00410174">
        <w:t xml:space="preserve"> </w:t>
      </w:r>
      <w:r>
        <w:t>Apgabaltiesa noraidīja apelācijas sūdzību un atstāja negrozītu pirmās instances tiesas spriedumu.</w:t>
      </w:r>
    </w:p>
    <w:p w:rsidR="00D17EA3" w:rsidP="00116378" w:rsidRDefault="008B3A71" w14:paraId="5E9D74DB" w14:textId="77777777">
      <w:pPr>
        <w:jc w:val="both"/>
      </w:pPr>
      <w:r>
        <w:tab/>
      </w:r>
      <w:r w:rsidR="00B8640E">
        <w:t>28. </w:t>
      </w:r>
      <w:r w:rsidRPr="00BF0322">
        <w:rPr>
          <w:i/>
          <w:iCs/>
        </w:rPr>
        <w:t>Vidzemes apgabaltiesas 2019. gada 16. oktobra spriedums lietā Nr. 1A71005019 (ECLI:LV:VAT:2019:1016.1A71005019.6.S)</w:t>
      </w:r>
      <w:r w:rsidRPr="00BF0322" w:rsidR="00567A36">
        <w:rPr>
          <w:i/>
          <w:iCs/>
        </w:rPr>
        <w:t>.</w:t>
      </w:r>
      <w:r w:rsidRPr="006905A4" w:rsidR="00567A36">
        <w:t xml:space="preserve"> </w:t>
      </w:r>
    </w:p>
    <w:p w:rsidR="00116378" w:rsidP="00D17EA3" w:rsidRDefault="004376B5" w14:paraId="096CEC82" w14:textId="7579D997">
      <w:pPr>
        <w:ind w:firstLine="720"/>
        <w:jc w:val="both"/>
      </w:pPr>
      <w:r>
        <w:lastRenderedPageBreak/>
        <w:t xml:space="preserve">Apelācijas sūdzību iesniedza </w:t>
      </w:r>
      <w:r w:rsidR="00E7001B">
        <w:t xml:space="preserve">Valsts </w:t>
      </w:r>
      <w:r w:rsidR="00906516">
        <w:t>policija,</w:t>
      </w:r>
      <w:r w:rsidR="007C204A">
        <w:t xml:space="preserve"> apstrīdot pirmās instances tiesas secinājumu par Ministru kabineta noteikumu </w:t>
      </w:r>
      <w:r w:rsidR="009E2E30">
        <w:t>interpretāciju. Apgabaltiesa noraidīja apelācijas sūdzību un atstāja negrozītu pirmās instances tiesas spriedumu.</w:t>
      </w:r>
    </w:p>
    <w:p w:rsidR="00D17EA3" w:rsidP="00AA742D" w:rsidRDefault="00B8640E" w14:paraId="6F5AA889" w14:textId="77777777">
      <w:pPr>
        <w:ind w:firstLine="720"/>
        <w:jc w:val="both"/>
      </w:pPr>
      <w:r w:rsidRPr="00B8640E">
        <w:t>29. </w:t>
      </w:r>
      <w:r w:rsidRPr="00BF0322" w:rsidR="00116378">
        <w:rPr>
          <w:i/>
          <w:iCs/>
        </w:rPr>
        <w:t>Vidzemes apgabaltiesas 2019. gada 18. oktobra spriedums lietā Nr. 171038219 (ECLI:LV:VAT:2019:1018.171038219.6.S).</w:t>
      </w:r>
    </w:p>
    <w:p w:rsidR="00E91071" w:rsidP="00AA742D" w:rsidRDefault="00116378" w14:paraId="005C47F8" w14:textId="5B6C9345">
      <w:pPr>
        <w:ind w:firstLine="720"/>
        <w:jc w:val="both"/>
      </w:pPr>
      <w:r>
        <w:t xml:space="preserve">Apelācijas sūdzību iesniedza </w:t>
      </w:r>
      <w:r w:rsidR="00A6736E">
        <w:t>Valsts policijas Vidzemes reģiona pārvaldes Kārtības policijas birojs</w:t>
      </w:r>
      <w:r w:rsidR="00E91071">
        <w:t>, pārsūdzot tiesas spriedumu pilnā apjomā, jo tiesa nepareizi izvērtējusi pierādījumus.</w:t>
      </w:r>
      <w:r w:rsidR="00AA742D">
        <w:t xml:space="preserve"> </w:t>
      </w:r>
      <w:r w:rsidR="00287370">
        <w:t>Apgabaltiesa noraidīja apelācijas sūdzību un atstāja negrozītu pirmās instances tiesas spriedumu.</w:t>
      </w:r>
    </w:p>
    <w:p w:rsidR="00D17EA3" w:rsidP="007D1D8E" w:rsidRDefault="00B8640E" w14:paraId="2543EDC2" w14:textId="77777777">
      <w:pPr>
        <w:ind w:firstLine="720"/>
        <w:jc w:val="both"/>
      </w:pPr>
      <w:r>
        <w:t>30. </w:t>
      </w:r>
      <w:r w:rsidRPr="00BF0322" w:rsidR="007D1D8E">
        <w:rPr>
          <w:i/>
          <w:iCs/>
        </w:rPr>
        <w:t>Rīgas apgabaltiesas Krimināllietu tiesas kolēģijas 2019. gada 23. oktobra spriedums lietā Nr. 1A68011619 (ECLI:LV:RAT:2019:1023.1A68011619.5.S).</w:t>
      </w:r>
      <w:r w:rsidRPr="006905A4" w:rsidR="007D1D8E">
        <w:t xml:space="preserve"> </w:t>
      </w:r>
    </w:p>
    <w:p w:rsidR="007D1D8E" w:rsidP="007D1D8E" w:rsidRDefault="007D1D8E" w14:paraId="59C9839A" w14:textId="0400943F">
      <w:pPr>
        <w:ind w:firstLine="720"/>
        <w:jc w:val="both"/>
      </w:pPr>
      <w:r>
        <w:t>Apelācijas sūdzību iesniedza Valsts policijas Rīgas reģiona pārvaldes Kārtības policijas pārvalde, nepiekrītot pirmās instances tiesas secinājumam, ka lietas materiālos nav pierādījumu apstāklim, ka būtu noticis ceļu satiksmes negadījums. Apgabaltiesa noraidīja apelācijas sūdzību un atstāja negrozītu pirmās instances tiesas spriedumu.</w:t>
      </w:r>
    </w:p>
    <w:p w:rsidR="00D17EA3" w:rsidP="00182A48" w:rsidRDefault="00B8640E" w14:paraId="6CE36F05" w14:textId="77777777">
      <w:pPr>
        <w:ind w:firstLine="720"/>
        <w:jc w:val="both"/>
      </w:pPr>
      <w:r w:rsidRPr="00B8640E">
        <w:t>31. </w:t>
      </w:r>
      <w:r w:rsidRPr="00BF0322" w:rsidR="000620CB">
        <w:rPr>
          <w:i/>
          <w:iCs/>
        </w:rPr>
        <w:t>Vidzemes apgabaltiesas 2019. gada 27. decembra spriedums lietā Nr. 1A71008719 (ECLI:LV:VAT:2019:1227.1A71008719.6.S).</w:t>
      </w:r>
      <w:r w:rsidR="00202563">
        <w:t xml:space="preserve"> </w:t>
      </w:r>
    </w:p>
    <w:p w:rsidR="00182A48" w:rsidP="00182A48" w:rsidRDefault="000620CB" w14:paraId="2E02E103" w14:textId="3A050025">
      <w:pPr>
        <w:ind w:firstLine="720"/>
        <w:jc w:val="both"/>
      </w:pPr>
      <w:r>
        <w:t xml:space="preserve">Apelācijas sūdzību iesniedza Valsts ieņēmumu dienests, </w:t>
      </w:r>
      <w:r w:rsidR="00CA466B">
        <w:t>lūdzot atcelt pirmās instances tiesas spriedumu da</w:t>
      </w:r>
      <w:r w:rsidR="0051537F">
        <w:t>ļā par papildsodu</w:t>
      </w:r>
      <w:r w:rsidR="00F72C4E">
        <w:t xml:space="preserve"> (atcelts lēmums par </w:t>
      </w:r>
      <w:r w:rsidR="00524F11">
        <w:t>autobusa konfiskāciju).</w:t>
      </w:r>
      <w:r w:rsidR="00202563">
        <w:t xml:space="preserve"> </w:t>
      </w:r>
      <w:r w:rsidR="00524F11">
        <w:t>Apgabaltiesa noraidīja apelācijas sūdzību un atstāja negrozītu pirmās instances tiesas spriedumu.</w:t>
      </w:r>
    </w:p>
    <w:p w:rsidR="00745C7E" w:rsidP="00182A48" w:rsidRDefault="00745C7E" w14:paraId="36FCD041" w14:textId="77777777">
      <w:pPr>
        <w:ind w:firstLine="720"/>
        <w:jc w:val="both"/>
      </w:pPr>
    </w:p>
    <w:p w:rsidR="00182A48" w:rsidP="00182A48" w:rsidRDefault="00182A48" w14:paraId="1FB1DBE3" w14:textId="5DC66F97">
      <w:pPr>
        <w:ind w:firstLine="720"/>
        <w:jc w:val="both"/>
      </w:pPr>
      <w:r>
        <w:t>Apkopojot un vispārinot tiesu nolēmumos minēto</w:t>
      </w:r>
      <w:r w:rsidR="007D4E62">
        <w:t xml:space="preserve">s </w:t>
      </w:r>
      <w:r>
        <w:t>apelācijas sūdzības iesniegšanas pama</w:t>
      </w:r>
      <w:r w:rsidR="007D4E62">
        <w:t xml:space="preserve">tojumus, secināms, ka nosacīti </w:t>
      </w:r>
      <w:r w:rsidR="00775DE8">
        <w:t xml:space="preserve">izšķirami vairāki </w:t>
      </w:r>
      <w:r w:rsidR="00E90A2B">
        <w:t>tipisk</w:t>
      </w:r>
      <w:r w:rsidR="002A1DB0">
        <w:t>i</w:t>
      </w:r>
      <w:r w:rsidR="00E21CEF">
        <w:t xml:space="preserve"> jautājumi</w:t>
      </w:r>
      <w:r w:rsidR="00745C7E">
        <w:t xml:space="preserve">, kas ir </w:t>
      </w:r>
      <w:r w:rsidR="00221BAF">
        <w:t xml:space="preserve">iestāžu iesniegto </w:t>
      </w:r>
      <w:r w:rsidR="00745C7E">
        <w:t>apelācijas sūdzību pamatā.</w:t>
      </w:r>
    </w:p>
    <w:p w:rsidR="00745C7E" w:rsidP="00182A48" w:rsidRDefault="00745C7E" w14:paraId="661E63E9" w14:textId="1F87B8BB">
      <w:pPr>
        <w:ind w:firstLine="720"/>
        <w:jc w:val="both"/>
      </w:pPr>
      <w:r>
        <w:t xml:space="preserve">Pirmkārt, tie ir dažādi jautājumi, kas saistīti ar </w:t>
      </w:r>
      <w:r w:rsidR="0027286E">
        <w:t>pierādījumu novērtēšan</w:t>
      </w:r>
      <w:r w:rsidR="00686857">
        <w:t xml:space="preserve">as pareizību </w:t>
      </w:r>
      <w:r w:rsidR="0027286E">
        <w:t>pirmās instances tiesas nolēmumā.</w:t>
      </w:r>
      <w:r w:rsidR="00307019">
        <w:t xml:space="preserve"> Otrkārt, iestādes mēdz iesniegt apelācijas sūdzīb</w:t>
      </w:r>
      <w:r w:rsidR="008B142D">
        <w:t>as</w:t>
      </w:r>
      <w:r w:rsidR="00307019">
        <w:t>, nepiekrītot</w:t>
      </w:r>
      <w:r w:rsidR="00A43145">
        <w:t xml:space="preserve"> tam, ka pirmās instances tiesa ir samazin</w:t>
      </w:r>
      <w:r w:rsidR="006561AF">
        <w:t>ājusi soda apmēru vai atcēlusi iestādes lēmumu daļā par papildsoda piemērošanu.</w:t>
      </w:r>
      <w:r w:rsidR="000D6148">
        <w:t xml:space="preserve"> Treškārt, apelācijas sūdzība</w:t>
      </w:r>
      <w:r w:rsidR="00807A69">
        <w:t>s tiek iesniegtas, jo iestāde nepiekrīt tiesību normu interpretācijai pirmās ins</w:t>
      </w:r>
      <w:r w:rsidR="002B2F24">
        <w:t>tances tiesas nolēmumā vai uzskata, ka ir pieļauti citi materiālo vai procesuālo tiesību normu pārkāpumi.</w:t>
      </w:r>
      <w:r w:rsidR="006858E4">
        <w:t xml:space="preserve"> Dažkārt </w:t>
      </w:r>
      <w:r w:rsidR="00491279">
        <w:t>apelācijas sūdzības tiek iesniegtas vienlaikus par vairākiem iepriekšminētajiem jautājumiem.</w:t>
      </w:r>
    </w:p>
    <w:p w:rsidR="00987606" w:rsidP="00083662" w:rsidRDefault="00366FAA" w14:paraId="0B23E052" w14:textId="2421E817">
      <w:pPr>
        <w:ind w:firstLine="720"/>
        <w:jc w:val="both"/>
      </w:pPr>
      <w:r>
        <w:t>Pierādījumu novērtēšan</w:t>
      </w:r>
      <w:r w:rsidR="00CD5301">
        <w:t>u</w:t>
      </w:r>
      <w:r>
        <w:t xml:space="preserve"> un </w:t>
      </w:r>
      <w:r w:rsidR="00337F3F">
        <w:t>soda piemēroša</w:t>
      </w:r>
      <w:r w:rsidR="00CD5301">
        <w:t>nu ietekmē daudzi apstākļi</w:t>
      </w:r>
      <w:r w:rsidR="0058216C">
        <w:t xml:space="preserve"> un apsvērumi.</w:t>
      </w:r>
      <w:r w:rsidR="00C327AC">
        <w:t xml:space="preserve"> </w:t>
      </w:r>
      <w:r w:rsidR="00672354">
        <w:t xml:space="preserve">Tiesa </w:t>
      </w:r>
      <w:r w:rsidR="007F2E98">
        <w:t xml:space="preserve">pierādījumus </w:t>
      </w:r>
      <w:r w:rsidRPr="007F2E98" w:rsidR="007F2E98">
        <w:t>novērtē pēc savas iekšējās pārliecības, kas pamatota uz vispusīgi, pilnīgi un objektīvi izpētītiem visiem lietas apstākļiem to kopumā, pēc likuma un tiesiskās apziņas</w:t>
      </w:r>
      <w:r w:rsidR="009D61BC">
        <w:t xml:space="preserve"> (LAPK </w:t>
      </w:r>
      <w:r w:rsidR="001D1602">
        <w:t>244. pants</w:t>
      </w:r>
      <w:r w:rsidR="008622F1">
        <w:t>).</w:t>
      </w:r>
      <w:r w:rsidR="003D7384">
        <w:rPr>
          <w:rStyle w:val="FootnoteReference"/>
        </w:rPr>
        <w:footnoteReference w:id="9"/>
      </w:r>
      <w:r w:rsidR="00C327AC">
        <w:t xml:space="preserve"> </w:t>
      </w:r>
      <w:r w:rsidR="00647A8B">
        <w:t xml:space="preserve">Savukārt, </w:t>
      </w:r>
      <w:r w:rsidR="00294BDD">
        <w:t>uzliekot</w:t>
      </w:r>
      <w:r w:rsidR="00C54357">
        <w:t xml:space="preserve"> </w:t>
      </w:r>
      <w:r w:rsidRPr="009213B5" w:rsidR="009213B5">
        <w:t>sodu, ņem vērā izdarītā pārkāpuma raksturu, pārkāpēja personību, viņa vainas pakāpi, mantisko stāvokli, atbildību mīkstinošos un pastiprinošos apstākļus</w:t>
      </w:r>
      <w:r w:rsidR="009213B5">
        <w:t xml:space="preserve"> (LAPK </w:t>
      </w:r>
      <w:r w:rsidR="009A286C">
        <w:t>32. panta otrā daļa).</w:t>
      </w:r>
      <w:r w:rsidR="00294BDD">
        <w:rPr>
          <w:rStyle w:val="FootnoteReference"/>
        </w:rPr>
        <w:footnoteReference w:id="10"/>
      </w:r>
      <w:r w:rsidR="008C1141">
        <w:t xml:space="preserve"> </w:t>
      </w:r>
      <w:r w:rsidR="00D272A8">
        <w:t>Līdz ar to ir sarežģīti pamatot tiesas nolēmuma nepareizību šajos jautājum</w:t>
      </w:r>
      <w:r w:rsidR="00557F4E">
        <w:t>os</w:t>
      </w:r>
      <w:r w:rsidR="005641AB">
        <w:t>, kā</w:t>
      </w:r>
      <w:r w:rsidR="00E15E48">
        <w:t xml:space="preserve"> to apliecina iepriekš</w:t>
      </w:r>
      <w:r w:rsidR="00E56660">
        <w:t xml:space="preserve"> </w:t>
      </w:r>
      <w:r w:rsidR="00994BBA">
        <w:t>minētie</w:t>
      </w:r>
      <w:r w:rsidR="00E15E48">
        <w:t xml:space="preserve"> tiesu nolēmumi.</w:t>
      </w:r>
      <w:r w:rsidR="00F2600C">
        <w:t xml:space="preserve"> </w:t>
      </w:r>
      <w:r w:rsidR="00E15E48">
        <w:t>Turklāt</w:t>
      </w:r>
      <w:r w:rsidR="006950EF">
        <w:t xml:space="preserve"> pierādījumu novērtēšana un soda piemērošana</w:t>
      </w:r>
      <w:r w:rsidR="005E31AE">
        <w:t xml:space="preserve"> ir cieši saistīta ar konkrētās lietas apstākļiem</w:t>
      </w:r>
      <w:r w:rsidR="00A7226D">
        <w:t>.</w:t>
      </w:r>
      <w:r w:rsidR="002032BF">
        <w:t xml:space="preserve"> Atsevišķa nolēmuma vai tā daļas nepareizība pamatā</w:t>
      </w:r>
      <w:r w:rsidR="008A56C5">
        <w:t xml:space="preserve"> būtiski neietekmē tiesību normu piemērošanu cit</w:t>
      </w:r>
      <w:r w:rsidR="00A952D5">
        <w:t>os administratīvā pārkāpuma procesos</w:t>
      </w:r>
      <w:r w:rsidR="008A56C5">
        <w:t>.</w:t>
      </w:r>
    </w:p>
    <w:p w:rsidR="00991316" w:rsidP="00083662" w:rsidRDefault="0046561C" w14:paraId="3FFA0FF1" w14:textId="4168B725">
      <w:pPr>
        <w:ind w:firstLine="720"/>
        <w:jc w:val="both"/>
      </w:pPr>
      <w:r>
        <w:t xml:space="preserve">Tāpat </w:t>
      </w:r>
      <w:r w:rsidR="0059613C">
        <w:t>konstatējams, ka apelācijas instancē</w:t>
      </w:r>
      <w:r w:rsidR="009B0674">
        <w:t xml:space="preserve"> </w:t>
      </w:r>
      <w:r w:rsidR="00E2676F">
        <w:t xml:space="preserve">secīgi </w:t>
      </w:r>
      <w:r w:rsidR="009B0674">
        <w:t xml:space="preserve">tiek skatītas </w:t>
      </w:r>
      <w:r w:rsidR="00E557B2">
        <w:t xml:space="preserve">vairākas </w:t>
      </w:r>
      <w:r w:rsidR="009B0674">
        <w:t>lietas par identiskiem vai līdzīgiem jautājumiem</w:t>
      </w:r>
      <w:r w:rsidR="00C07B63">
        <w:t>.</w:t>
      </w:r>
      <w:r w:rsidR="00151BA0">
        <w:t xml:space="preserve"> Piemēram, iestāde</w:t>
      </w:r>
      <w:r w:rsidR="006F069F">
        <w:t xml:space="preserve"> ir piemērojusi sodu</w:t>
      </w:r>
      <w:r w:rsidR="007F3DFC">
        <w:t xml:space="preserve"> par vairākiem</w:t>
      </w:r>
      <w:r w:rsidR="00710530">
        <w:t xml:space="preserve"> līdzīgiem pārkāpumiem, pirmās instances tiesa ir pieņēmusi līdzīgus nolēmumus šajās lietās un iestāde pēc tam iesniedz </w:t>
      </w:r>
      <w:r w:rsidR="00D34AFC">
        <w:t xml:space="preserve">vairākas </w:t>
      </w:r>
      <w:r w:rsidR="00710530">
        <w:t xml:space="preserve">līdzīga satura apelācijas sūdzības. </w:t>
      </w:r>
      <w:r w:rsidR="00DA0741">
        <w:t>Apelācijas instance</w:t>
      </w:r>
      <w:r w:rsidR="00991316">
        <w:t>s</w:t>
      </w:r>
      <w:r w:rsidR="00DA0741">
        <w:t xml:space="preserve"> ties</w:t>
      </w:r>
      <w:r w:rsidR="00FE2D52">
        <w:t xml:space="preserve">a pēc tam </w:t>
      </w:r>
      <w:r w:rsidR="00080CFC">
        <w:t xml:space="preserve">pieņem </w:t>
      </w:r>
      <w:r w:rsidR="00A207FD">
        <w:t>būtībā vienādus</w:t>
      </w:r>
      <w:r w:rsidR="007D6DF2">
        <w:t xml:space="preserve"> nolēmumus</w:t>
      </w:r>
      <w:r w:rsidR="002A3AD7">
        <w:t>. Tas liecina, ka iestādes</w:t>
      </w:r>
      <w:r w:rsidR="00C13111">
        <w:t xml:space="preserve"> dažkārt nepietiekami izvērtē </w:t>
      </w:r>
      <w:r w:rsidR="00DD7D97">
        <w:t xml:space="preserve">tiesu praksi (judikatūru) un neizmanto tiesības </w:t>
      </w:r>
      <w:r w:rsidR="00FE45A6">
        <w:t xml:space="preserve">atsaukt iesniegtās apelācijas sūdzības </w:t>
      </w:r>
      <w:r w:rsidRPr="00DD7D97" w:rsidR="00DD7D97">
        <w:t>(LAPK 289.</w:t>
      </w:r>
      <w:r w:rsidRPr="00DD7D97" w:rsidR="00DD7D97">
        <w:rPr>
          <w:vertAlign w:val="superscript"/>
        </w:rPr>
        <w:t>21</w:t>
      </w:r>
      <w:r w:rsidRPr="00DD7D97" w:rsidR="00DD7D97">
        <w:t> panta septītā daļa</w:t>
      </w:r>
      <w:r w:rsidR="00F538E9">
        <w:t xml:space="preserve">, AAL </w:t>
      </w:r>
      <w:r w:rsidR="00611862">
        <w:t xml:space="preserve">223. panta pirmās daļas </w:t>
      </w:r>
      <w:r w:rsidR="001E6C8A">
        <w:t>2. punkts</w:t>
      </w:r>
      <w:r w:rsidRPr="00DD7D97" w:rsidR="00DD7D97">
        <w:t>).</w:t>
      </w:r>
    </w:p>
    <w:p w:rsidR="00FB79B5" w:rsidP="00FB79B5" w:rsidRDefault="00FB79B5" w14:paraId="0194ADDD" w14:textId="5B1CA57D">
      <w:pPr>
        <w:jc w:val="center"/>
        <w:rPr>
          <w:b/>
          <w:bCs/>
        </w:rPr>
      </w:pPr>
      <w:r>
        <w:rPr>
          <w:b/>
          <w:bCs/>
        </w:rPr>
        <w:lastRenderedPageBreak/>
        <w:t>Secinājumi</w:t>
      </w:r>
    </w:p>
    <w:p w:rsidR="00D25549" w:rsidP="00D25549" w:rsidRDefault="00D25549" w14:paraId="7C46B7FA" w14:textId="695B89D3"/>
    <w:p w:rsidR="00F43C2D" w:rsidP="00FB79B5" w:rsidRDefault="00FB79B5" w14:paraId="76194F32" w14:textId="68655ED0">
      <w:pPr>
        <w:jc w:val="both"/>
      </w:pPr>
      <w:r>
        <w:tab/>
      </w:r>
      <w:r w:rsidR="00CC1466">
        <w:t>1. </w:t>
      </w:r>
      <w:r w:rsidR="00F43C2D">
        <w:t>Iestāde (tiesā) ir viens no procesa dalībniekiem līdzās pie administratīvās atbildība</w:t>
      </w:r>
      <w:r w:rsidR="008E7D50">
        <w:t>s</w:t>
      </w:r>
      <w:r w:rsidR="00F43C2D">
        <w:t xml:space="preserve"> saucamai personai</w:t>
      </w:r>
      <w:r w:rsidR="00833849">
        <w:t xml:space="preserve">, sodītajai personai, cietušajam un aizskartajam mantas īpašniekam. Iestādei </w:t>
      </w:r>
      <w:r w:rsidR="0076516B">
        <w:t>nodrošināmas līdzvērtīgas tiesības, ja vien nav objektīva pamatojuma paredzēt izņēmumu.</w:t>
      </w:r>
    </w:p>
    <w:p w:rsidR="00FB79B5" w:rsidP="00F43C2D" w:rsidRDefault="00F43C2D" w14:paraId="58C9FC30" w14:textId="6AAB1954">
      <w:pPr>
        <w:ind w:firstLine="720"/>
        <w:jc w:val="both"/>
      </w:pPr>
      <w:r>
        <w:t>2. </w:t>
      </w:r>
      <w:r w:rsidR="00D46983">
        <w:t>Iestāžu iesniegtās apelācijas sūdzības</w:t>
      </w:r>
      <w:r w:rsidR="00E47077">
        <w:t xml:space="preserve"> administratīvā pārkāpuma procesā</w:t>
      </w:r>
      <w:r w:rsidR="00EA7A79">
        <w:t xml:space="preserve"> šobrīd </w:t>
      </w:r>
      <w:r w:rsidR="00D46983">
        <w:t>būtiski neietekmē</w:t>
      </w:r>
      <w:r w:rsidR="00FE0159">
        <w:t xml:space="preserve"> apelācijas instan</w:t>
      </w:r>
      <w:r w:rsidR="00C20F01">
        <w:t>ces tiesu</w:t>
      </w:r>
      <w:r w:rsidR="00FE0159">
        <w:t> – apgabaltiesu – da</w:t>
      </w:r>
      <w:r w:rsidR="004B6542">
        <w:t>rbu</w:t>
      </w:r>
      <w:r w:rsidR="00F15D7D">
        <w:t>.</w:t>
      </w:r>
      <w:r w:rsidR="00702A6E">
        <w:t xml:space="preserve"> I</w:t>
      </w:r>
      <w:r w:rsidR="00765DA2">
        <w:t>zņēmums ir Rīgas apgabaltiesa</w:t>
      </w:r>
      <w:r w:rsidR="00F81241">
        <w:t>.</w:t>
      </w:r>
      <w:r w:rsidR="00B2570A">
        <w:t xml:space="preserve"> </w:t>
      </w:r>
      <w:r w:rsidR="004C52A2">
        <w:t xml:space="preserve">Tiesas uzskata, ka arī turpmāk būtu saglabājamas iestāžu tiesības iesniegt apelācijas sūdzības, kā arī </w:t>
      </w:r>
      <w:r w:rsidRPr="00325414" w:rsidR="004C52A2">
        <w:t>kopumā tās pozitīvi ietekmē administratīvo pārkāpumu lietu izskatīšanu tiesā</w:t>
      </w:r>
      <w:r w:rsidR="00C623A0">
        <w:t>.</w:t>
      </w:r>
    </w:p>
    <w:p w:rsidR="004F04D4" w:rsidP="00F43C2D" w:rsidRDefault="004F04D4" w14:paraId="40F7A3C7" w14:textId="2C8195F3">
      <w:pPr>
        <w:ind w:firstLine="720"/>
        <w:jc w:val="both"/>
      </w:pPr>
      <w:r>
        <w:t>3. </w:t>
      </w:r>
      <w:r w:rsidR="00154C4F">
        <w:t xml:space="preserve">Lai </w:t>
      </w:r>
      <w:r w:rsidR="00D155DB">
        <w:t xml:space="preserve">gan </w:t>
      </w:r>
      <w:r w:rsidR="00154C4F">
        <w:t>iestāžu iesniegtās apelācijas sūdzības</w:t>
      </w:r>
      <w:r w:rsidR="00821F47">
        <w:t xml:space="preserve"> </w:t>
      </w:r>
      <w:r w:rsidR="006E4656">
        <w:t xml:space="preserve">salīdzinoši </w:t>
      </w:r>
      <w:r w:rsidR="00821F47">
        <w:t xml:space="preserve">reti </w:t>
      </w:r>
      <w:r w:rsidR="00D155DB">
        <w:t>tiek apmierināt</w:t>
      </w:r>
      <w:r w:rsidR="008E7D50">
        <w:t>a</w:t>
      </w:r>
      <w:r w:rsidR="00D155DB">
        <w:t>s, tām</w:t>
      </w:r>
      <w:r w:rsidR="00734F8B">
        <w:t xml:space="preserve"> tomēr ir arī pozitīva ietekme.</w:t>
      </w:r>
      <w:r w:rsidR="00327905">
        <w:t xml:space="preserve"> Pirmkārt</w:t>
      </w:r>
      <w:r w:rsidR="000B57E8">
        <w:t xml:space="preserve">, tiesa </w:t>
      </w:r>
      <w:r w:rsidR="006E4656">
        <w:t xml:space="preserve">analizē </w:t>
      </w:r>
      <w:r w:rsidR="000B57E8">
        <w:t xml:space="preserve">sūdzībā norādītos argumentus un, pat ja tā rezultātā nolēmums netiek atcelts, </w:t>
      </w:r>
      <w:r w:rsidR="004F3D61">
        <w:t>tiesas piekrišana kādam iestādes argumentam vai tā noraidīšana</w:t>
      </w:r>
      <w:r w:rsidR="009E706E">
        <w:t xml:space="preserve"> pilnveido </w:t>
      </w:r>
      <w:r w:rsidR="00E640BD">
        <w:t>gan iestāžu, gan tiesu praksi.</w:t>
      </w:r>
      <w:r w:rsidR="00741ED8">
        <w:t xml:space="preserve"> </w:t>
      </w:r>
      <w:r w:rsidR="00327905">
        <w:t>Otrkārt, tiesa atkārtoti izvērtē pieņemto nolēmumu un var konstatēt apstākļus, kas ir pamats pirmās instances tiesas nolēmuma atcelšanai</w:t>
      </w:r>
      <w:r w:rsidR="0091108F">
        <w:t xml:space="preserve"> neatkarīgi no sūdzībā norādītajiem motīviem</w:t>
      </w:r>
      <w:r w:rsidR="00327905">
        <w:t>.</w:t>
      </w:r>
    </w:p>
    <w:p w:rsidR="00457DA7" w:rsidP="00F43C2D" w:rsidRDefault="00457DA7" w14:paraId="17E17815" w14:textId="05C9B2FC">
      <w:pPr>
        <w:ind w:firstLine="720"/>
        <w:jc w:val="both"/>
      </w:pPr>
      <w:r>
        <w:t>4. Iestādes ne vienmēr pietiekami izvērtē</w:t>
      </w:r>
      <w:r w:rsidR="00FC5D52">
        <w:t xml:space="preserve"> nepieciešamību iesniegt apelācijas sūdzīb</w:t>
      </w:r>
      <w:r w:rsidR="00893635">
        <w:t>as</w:t>
      </w:r>
      <w:r w:rsidR="00444132">
        <w:t>, it īpaši jautājumos, kas saistīti ar soda apmēru vai pierādījumu novērtējumu.</w:t>
      </w:r>
      <w:r w:rsidR="00DD7B71">
        <w:t xml:space="preserve"> </w:t>
      </w:r>
      <w:r w:rsidR="001325C9">
        <w:t xml:space="preserve">Pienācīgs un sistēmisks izvērtējums </w:t>
      </w:r>
      <w:r w:rsidR="005F50EB">
        <w:t xml:space="preserve">jūtami </w:t>
      </w:r>
      <w:r w:rsidR="001325C9">
        <w:t>samazinātu iestāžu iesniegto apelācijas sūdzību skaitu</w:t>
      </w:r>
      <w:r w:rsidR="00D81830">
        <w:t>.</w:t>
      </w:r>
    </w:p>
    <w:p w:rsidR="004C52A2" w:rsidP="00FB79B5" w:rsidRDefault="004C52A2" w14:paraId="52A45E02" w14:textId="4A8CC791">
      <w:pPr>
        <w:jc w:val="both"/>
      </w:pPr>
      <w:r>
        <w:tab/>
      </w:r>
      <w:r w:rsidR="00FC7336">
        <w:t>5</w:t>
      </w:r>
      <w:r>
        <w:t>. </w:t>
      </w:r>
      <w:r w:rsidR="001C2351">
        <w:t>Iestādēm n</w:t>
      </w:r>
      <w:r w:rsidR="00DA2B2B">
        <w:t xml:space="preserve">epieciešams izvērtēt apelācijas sūdzības iesniegšanas lietderību </w:t>
      </w:r>
      <w:r w:rsidR="00F15D7D">
        <w:t xml:space="preserve">katrā gadījumā </w:t>
      </w:r>
      <w:r w:rsidR="00DA2B2B">
        <w:t>un līdzšinējo tiesu praksi (judikatūru)</w:t>
      </w:r>
      <w:r w:rsidR="00ED2794">
        <w:t xml:space="preserve"> attiecīgajā jautājumā</w:t>
      </w:r>
      <w:r w:rsidR="00DA2B2B">
        <w:t>.</w:t>
      </w:r>
      <w:r w:rsidR="006F2BD1">
        <w:t xml:space="preserve"> Turklāt izvērtējams, vai lietas rezultāts </w:t>
      </w:r>
      <w:r w:rsidR="009D37A2">
        <w:t xml:space="preserve">kopumā </w:t>
      </w:r>
      <w:r w:rsidR="006F2BD1">
        <w:t>būs atšķirīgs,</w:t>
      </w:r>
      <w:r w:rsidR="009D37A2">
        <w:t xml:space="preserve"> ja apelācijas sūdzībā norādīto</w:t>
      </w:r>
      <w:r w:rsidR="00CA5EEA">
        <w:t>s</w:t>
      </w:r>
      <w:r w:rsidR="009D37A2">
        <w:t xml:space="preserve"> argumentu</w:t>
      </w:r>
      <w:r w:rsidR="00CA5EEA">
        <w:t>s</w:t>
      </w:r>
      <w:r w:rsidR="009D37A2">
        <w:t xml:space="preserve"> tiesa atzīs par pamatot</w:t>
      </w:r>
      <w:r w:rsidR="00CA5EEA">
        <w:t>iem</w:t>
      </w:r>
      <w:r w:rsidR="009D37A2">
        <w:t>, vai jautājumam ir būtiska nozīme vienotas tiesu prakses veidošanā vai tiesību tālākveidošanā.</w:t>
      </w:r>
    </w:p>
    <w:p w:rsidRPr="00CE2A35" w:rsidR="00901540" w:rsidP="00FB79B5" w:rsidRDefault="00901540" w14:paraId="1FF703D1" w14:textId="0A606E04">
      <w:pPr>
        <w:jc w:val="both"/>
      </w:pPr>
      <w:r>
        <w:tab/>
      </w:r>
      <w:r w:rsidR="00FC7336">
        <w:t>6</w:t>
      </w:r>
      <w:r>
        <w:t>. </w:t>
      </w:r>
      <w:r w:rsidR="00CE2A35">
        <w:t>Jautājumos, kas skar piemē</w:t>
      </w:r>
      <w:r w:rsidR="00375AC7">
        <w:t xml:space="preserve">rotos sodus vai pierādījumu vērtēšanu, apelācijas sūdzība būtu iesniedzama </w:t>
      </w:r>
      <w:r w:rsidR="001D233A">
        <w:t>tikai izņēmuma gadījum</w:t>
      </w:r>
      <w:r w:rsidR="002F06DB">
        <w:t>ā</w:t>
      </w:r>
      <w:r w:rsidR="00FF689A">
        <w:t xml:space="preserve"> (piemēram, ja tiesas nolēmums acīmredzami neatbilst pastāvošajai</w:t>
      </w:r>
      <w:r w:rsidR="00E42117">
        <w:t xml:space="preserve"> judikatūrai</w:t>
      </w:r>
      <w:r w:rsidR="00D23B80">
        <w:t xml:space="preserve"> un nolēmumā</w:t>
      </w:r>
      <w:r w:rsidR="00B2614D">
        <w:t xml:space="preserve"> šis aspekts </w:t>
      </w:r>
      <w:r w:rsidR="00D23B80">
        <w:t>nav vērtēts).</w:t>
      </w:r>
    </w:p>
    <w:p w:rsidRPr="00DB24C2" w:rsidR="004E55E0" w:rsidP="002631CB" w:rsidRDefault="000F059E" w14:paraId="16E10334" w14:textId="505C2017">
      <w:pPr>
        <w:jc w:val="both"/>
      </w:pPr>
      <w:r>
        <w:tab/>
      </w:r>
      <w:r w:rsidR="00FC7336">
        <w:t>7</w:t>
      </w:r>
      <w:r>
        <w:t>. Ja</w:t>
      </w:r>
      <w:r w:rsidR="00553810">
        <w:t xml:space="preserve"> ir</w:t>
      </w:r>
      <w:r w:rsidR="006E2D9F">
        <w:t xml:space="preserve"> </w:t>
      </w:r>
      <w:r>
        <w:t>vairāki administratīvā pārkāpuma procesi par identisku vai līdzīgu gadījumu</w:t>
      </w:r>
      <w:r w:rsidR="00722DC3">
        <w:t xml:space="preserve"> </w:t>
      </w:r>
      <w:r w:rsidR="00B439E6">
        <w:t>un</w:t>
      </w:r>
      <w:r w:rsidR="0039533D">
        <w:t xml:space="preserve"> </w:t>
      </w:r>
      <w:r w:rsidR="00B57FEE">
        <w:t xml:space="preserve">iestādes </w:t>
      </w:r>
      <w:r w:rsidR="00B439E6">
        <w:t>ir iesnie</w:t>
      </w:r>
      <w:r w:rsidR="00B57FEE">
        <w:t xml:space="preserve">gušas vairākas </w:t>
      </w:r>
      <w:r w:rsidR="00EA5A3F">
        <w:t xml:space="preserve">apelācijas sūdzības, tad pēc </w:t>
      </w:r>
      <w:r w:rsidR="002631CB">
        <w:t>pirmā apelācijas instances tiesas nolēmuma izvērtējama nepieciešamība</w:t>
      </w:r>
      <w:r w:rsidR="007C519A">
        <w:t xml:space="preserve"> </w:t>
      </w:r>
      <w:r w:rsidR="005B4B23">
        <w:t xml:space="preserve">atsaukt </w:t>
      </w:r>
      <w:r w:rsidR="002906A6">
        <w:t xml:space="preserve">pārējās </w:t>
      </w:r>
      <w:r w:rsidR="005B4B23">
        <w:t>apelācijas sūdzības</w:t>
      </w:r>
      <w:r w:rsidR="004A2E6A">
        <w:t>.</w:t>
      </w:r>
    </w:p>
    <w:p w:rsidRPr="00DB24C2" w:rsidR="00FC6403" w:rsidP="00695479" w:rsidRDefault="00FC6403" w14:paraId="0FAF859F" w14:textId="77777777">
      <w:pPr>
        <w:jc w:val="center"/>
      </w:pPr>
    </w:p>
    <w:p w:rsidRPr="00DB24C2" w:rsidR="00584373" w:rsidP="00247FB0" w:rsidRDefault="00584373" w14:paraId="38A2D976" w14:textId="77777777">
      <w:pPr>
        <w:jc w:val="both"/>
      </w:pPr>
    </w:p>
    <w:p w:rsidRPr="00DB24C2" w:rsidR="00871636" w:rsidP="009852A7" w:rsidRDefault="00871636" w14:paraId="26651B0E" w14:textId="77777777">
      <w:pPr>
        <w:jc w:val="both"/>
      </w:pPr>
      <w:r w:rsidRPr="00DB24C2">
        <w:t>Ministru prezidenta biedrs,</w:t>
      </w:r>
    </w:p>
    <w:p w:rsidR="006E6CE8" w:rsidP="009852A7" w:rsidRDefault="00871636" w14:paraId="41C24CD1" w14:textId="3743040D">
      <w:pPr>
        <w:jc w:val="both"/>
      </w:pPr>
      <w:r w:rsidRPr="00DB24C2">
        <w:t>t</w:t>
      </w:r>
      <w:r w:rsidRPr="00DB24C2" w:rsidR="00C66D24">
        <w:t>ieslietu ministrs</w:t>
      </w:r>
      <w:r w:rsidRPr="00DB24C2" w:rsidR="005275F7">
        <w:tab/>
      </w:r>
      <w:r w:rsidRPr="00DB24C2">
        <w:tab/>
      </w:r>
      <w:r w:rsidRPr="00DB24C2" w:rsidR="005275F7">
        <w:tab/>
      </w:r>
      <w:r w:rsidRPr="00DB24C2" w:rsidR="005275F7">
        <w:tab/>
      </w:r>
      <w:r w:rsidRPr="00DB24C2" w:rsidR="005275F7">
        <w:tab/>
      </w:r>
      <w:r w:rsidRPr="00DB24C2" w:rsidR="000B67B4">
        <w:tab/>
      </w:r>
      <w:r w:rsidRPr="00DB24C2" w:rsidR="000B67B4">
        <w:tab/>
      </w:r>
      <w:r w:rsidRPr="00DB24C2" w:rsidR="000B67B4">
        <w:tab/>
      </w:r>
      <w:r w:rsidR="00381D2C">
        <w:t xml:space="preserve">         </w:t>
      </w:r>
      <w:r w:rsidRPr="00DB24C2">
        <w:t>Jānis</w:t>
      </w:r>
      <w:r w:rsidRPr="00DB24C2" w:rsidR="00F9600A">
        <w:t xml:space="preserve"> </w:t>
      </w:r>
      <w:r w:rsidRPr="00DB24C2">
        <w:t>Bordāns</w:t>
      </w:r>
    </w:p>
    <w:p w:rsidR="003B56ED" w:rsidP="003B56ED" w:rsidRDefault="003B56ED" w14:paraId="454C4A1D" w14:textId="64C3CFDE"/>
    <w:p w:rsidR="00650D7F" w:rsidP="003B56ED" w:rsidRDefault="00650D7F" w14:paraId="470A5515" w14:textId="77777777"/>
    <w:p w:rsidRPr="00B75947" w:rsidR="003B56ED" w:rsidP="003B56ED" w:rsidRDefault="003B56ED" w14:paraId="500F66D6" w14:textId="77777777">
      <w:pPr>
        <w:rPr>
          <w:sz w:val="20"/>
          <w:szCs w:val="20"/>
        </w:rPr>
      </w:pPr>
      <w:r w:rsidRPr="00B75947">
        <w:rPr>
          <w:sz w:val="20"/>
          <w:szCs w:val="20"/>
        </w:rPr>
        <w:t>Vilcāns 67036901</w:t>
      </w:r>
    </w:p>
    <w:p w:rsidRPr="003B56ED" w:rsidR="003B56ED" w:rsidP="003B56ED" w:rsidRDefault="003B56ED" w14:paraId="1D408A89" w14:textId="4FEDB3F6">
      <w:r>
        <w:rPr>
          <w:sz w:val="20"/>
          <w:szCs w:val="20"/>
        </w:rPr>
        <w:t>Sandis.Vilcans@tm.gov.lv</w:t>
      </w:r>
    </w:p>
    <w:sectPr w:rsidRPr="003B56ED" w:rsidR="003B56ED" w:rsidSect="00EC51A4">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7946" w14:textId="77777777" w:rsidR="00FF6F6B" w:rsidRDefault="00FF6F6B">
      <w:r>
        <w:separator/>
      </w:r>
    </w:p>
  </w:endnote>
  <w:endnote w:type="continuationSeparator" w:id="0">
    <w:p w14:paraId="22B36B8A" w14:textId="77777777" w:rsidR="00FF6F6B" w:rsidRDefault="00FF6F6B">
      <w:r>
        <w:continuationSeparator/>
      </w:r>
    </w:p>
  </w:endnote>
  <w:endnote w:type="continuationNotice" w:id="1">
    <w:p w14:paraId="75CA63DB" w14:textId="77777777" w:rsidR="00FF6F6B" w:rsidRDefault="00FF6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BF50" w14:textId="6CDCA145" w:rsidR="006B6C8D" w:rsidRPr="00316C43" w:rsidRDefault="00AC159E" w:rsidP="00F119D2">
    <w:pPr>
      <w:pStyle w:val="Footer"/>
      <w:jc w:val="both"/>
      <w:rPr>
        <w:sz w:val="20"/>
        <w:szCs w:val="22"/>
        <w:lang w:val="lv-LV"/>
      </w:rPr>
    </w:pPr>
    <w:r>
      <w:rPr>
        <w:sz w:val="20"/>
        <w:szCs w:val="22"/>
      </w:rPr>
      <w:fldChar w:fldCharType="begin"/>
    </w:r>
    <w:r>
      <w:rPr>
        <w:sz w:val="20"/>
        <w:szCs w:val="22"/>
      </w:rPr>
      <w:instrText xml:space="preserve"> FILENAME   \* MERGEFORMAT </w:instrText>
    </w:r>
    <w:r>
      <w:rPr>
        <w:sz w:val="20"/>
        <w:szCs w:val="22"/>
      </w:rPr>
      <w:fldChar w:fldCharType="separate"/>
    </w:r>
    <w:r w:rsidR="008337A5">
      <w:rPr>
        <w:noProof/>
        <w:sz w:val="20"/>
        <w:szCs w:val="22"/>
      </w:rPr>
      <w:t>TMzin_290520_APKparsudz</w:t>
    </w:r>
    <w:r>
      <w:rPr>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900" w14:textId="040C2F1E" w:rsidR="003344D6" w:rsidRPr="00316C43" w:rsidRDefault="00AC159E" w:rsidP="008845F6">
    <w:pPr>
      <w:pStyle w:val="Footer"/>
      <w:jc w:val="both"/>
      <w:rPr>
        <w:sz w:val="20"/>
        <w:szCs w:val="22"/>
      </w:rPr>
    </w:pPr>
    <w:r>
      <w:rPr>
        <w:sz w:val="20"/>
        <w:szCs w:val="22"/>
      </w:rPr>
      <w:fldChar w:fldCharType="begin"/>
    </w:r>
    <w:r>
      <w:rPr>
        <w:sz w:val="20"/>
        <w:szCs w:val="22"/>
      </w:rPr>
      <w:instrText xml:space="preserve"> FILENAME   \* MERGEFORMAT </w:instrText>
    </w:r>
    <w:r>
      <w:rPr>
        <w:sz w:val="20"/>
        <w:szCs w:val="22"/>
      </w:rPr>
      <w:fldChar w:fldCharType="separate"/>
    </w:r>
    <w:r w:rsidR="008337A5">
      <w:rPr>
        <w:noProof/>
        <w:sz w:val="20"/>
        <w:szCs w:val="22"/>
      </w:rPr>
      <w:t>TMzin_290520_APKparsudz</w:t>
    </w:r>
    <w:r>
      <w:rPr>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5A83" w14:textId="77777777" w:rsidR="00FF6F6B" w:rsidRDefault="00FF6F6B">
      <w:r>
        <w:separator/>
      </w:r>
    </w:p>
  </w:footnote>
  <w:footnote w:type="continuationSeparator" w:id="0">
    <w:p w14:paraId="2D9D6A67" w14:textId="77777777" w:rsidR="00FF6F6B" w:rsidRDefault="00FF6F6B">
      <w:r>
        <w:continuationSeparator/>
      </w:r>
    </w:p>
  </w:footnote>
  <w:footnote w:type="continuationNotice" w:id="1">
    <w:p w14:paraId="40EBA43E" w14:textId="77777777" w:rsidR="00FF6F6B" w:rsidRDefault="00FF6F6B"/>
  </w:footnote>
  <w:footnote w:id="2">
    <w:p w14:paraId="41FB6B36" w14:textId="57BF3B7B" w:rsidR="00B87000" w:rsidRPr="008A6653" w:rsidRDefault="00B87000">
      <w:pPr>
        <w:pStyle w:val="FootnoteText"/>
        <w:rPr>
          <w:lang w:val="lv-LV"/>
        </w:rPr>
      </w:pPr>
      <w:r w:rsidRPr="008A6653">
        <w:rPr>
          <w:rStyle w:val="FootnoteReference"/>
          <w:lang w:val="lv-LV"/>
        </w:rPr>
        <w:footnoteRef/>
      </w:r>
      <w:r w:rsidRPr="008A6653">
        <w:rPr>
          <w:lang w:val="lv-LV"/>
        </w:rPr>
        <w:t xml:space="preserve"> Sk., piem., Administratīvās rajona tiesas 2013. gada 22. novembra spriedum</w:t>
      </w:r>
      <w:r w:rsidR="00F03EB2" w:rsidRPr="008A6653">
        <w:rPr>
          <w:lang w:val="lv-LV"/>
        </w:rPr>
        <w:t>a</w:t>
      </w:r>
      <w:r w:rsidRPr="008A6653">
        <w:rPr>
          <w:lang w:val="lv-LV"/>
        </w:rPr>
        <w:t xml:space="preserve"> lietā Nr. </w:t>
      </w:r>
      <w:r w:rsidR="00F03EB2" w:rsidRPr="008A6653">
        <w:rPr>
          <w:lang w:val="lv-LV"/>
        </w:rPr>
        <w:t xml:space="preserve">142284112 </w:t>
      </w:r>
      <w:r w:rsidRPr="008A6653">
        <w:rPr>
          <w:lang w:val="lv-LV"/>
        </w:rPr>
        <w:t>10. punktu.</w:t>
      </w:r>
    </w:p>
  </w:footnote>
  <w:footnote w:id="3">
    <w:p w14:paraId="01A9E0B9" w14:textId="67350681" w:rsidR="003E6713" w:rsidRPr="008A6653" w:rsidRDefault="003E6713" w:rsidP="00F756BA">
      <w:pPr>
        <w:pStyle w:val="FootnoteText"/>
        <w:jc w:val="both"/>
        <w:rPr>
          <w:lang w:val="lv-LV"/>
        </w:rPr>
      </w:pPr>
      <w:r w:rsidRPr="008A6653">
        <w:rPr>
          <w:rStyle w:val="FootnoteReference"/>
          <w:lang w:val="lv-LV"/>
        </w:rPr>
        <w:footnoteRef/>
      </w:r>
      <w:r w:rsidRPr="008A6653">
        <w:rPr>
          <w:lang w:val="lv-LV"/>
        </w:rPr>
        <w:t xml:space="preserve"> Administratīvo sodu sistēmas attīstības koncepcija</w:t>
      </w:r>
      <w:r w:rsidR="00003C83">
        <w:rPr>
          <w:lang w:val="lv-LV"/>
        </w:rPr>
        <w:t>. Apstiprināta ar Ministru kabineta 2013. gada 4. februāra rīkojumu Nr. 38</w:t>
      </w:r>
      <w:r w:rsidR="00F756BA">
        <w:rPr>
          <w:lang w:val="lv-LV"/>
        </w:rPr>
        <w:t xml:space="preserve">; </w:t>
      </w:r>
      <w:r w:rsidRPr="008A6653">
        <w:rPr>
          <w:lang w:val="lv-LV"/>
        </w:rPr>
        <w:t>17. </w:t>
      </w:r>
      <w:r w:rsidRPr="008A6653">
        <w:rPr>
          <w:lang w:val="lv-LV"/>
        </w:rPr>
        <w:t>lp.</w:t>
      </w:r>
      <w:r w:rsidR="0025354A">
        <w:rPr>
          <w:lang w:val="lv-LV"/>
        </w:rPr>
        <w:t xml:space="preserve"> Pieejama: </w:t>
      </w:r>
      <w:hyperlink r:id="rId1" w:history="1">
        <w:r w:rsidR="0025354A" w:rsidRPr="00C7738D">
          <w:rPr>
            <w:rStyle w:val="Hyperlink"/>
            <w:lang w:val="lv-LV"/>
          </w:rPr>
          <w:t>http://polsis.mk.gov.lv/documents/4220</w:t>
        </w:r>
      </w:hyperlink>
      <w:r w:rsidR="0025354A">
        <w:rPr>
          <w:lang w:val="lv-LV"/>
        </w:rPr>
        <w:t xml:space="preserve"> </w:t>
      </w:r>
    </w:p>
  </w:footnote>
  <w:footnote w:id="4">
    <w:p w14:paraId="36D3E7D5" w14:textId="2D97CBA7" w:rsidR="00A83BBB" w:rsidRPr="00A83BBB" w:rsidRDefault="00A83BBB" w:rsidP="00E85E08">
      <w:pPr>
        <w:pStyle w:val="FootnoteText"/>
        <w:jc w:val="both"/>
        <w:rPr>
          <w:lang w:val="lv-LV"/>
        </w:rPr>
      </w:pPr>
      <w:r>
        <w:rPr>
          <w:rStyle w:val="FootnoteReference"/>
        </w:rPr>
        <w:footnoteRef/>
      </w:r>
      <w:r>
        <w:t xml:space="preserve"> </w:t>
      </w:r>
      <w:r>
        <w:rPr>
          <w:lang w:val="lv-LV"/>
        </w:rPr>
        <w:t>Putra I. 6. nodaļa. Personas statuss administratīvā pārkāpuma procesā. Skaidrojumi. Grām.:</w:t>
      </w:r>
      <w:r w:rsidR="00E85E08">
        <w:rPr>
          <w:lang w:val="lv-LV"/>
        </w:rPr>
        <w:t xml:space="preserve"> Administratīvo pārkāpumu tiesības. Administratīvās atbildības likuma skaidrojumi. Sagatavojis autoru kolektīvs. E. Danovska un G. Kūtra zinātniskajā redakcijā. Rīga: Tiesu namu aģentūra, 2020, 199. lpp.</w:t>
      </w:r>
    </w:p>
  </w:footnote>
  <w:footnote w:id="5">
    <w:p w14:paraId="3179D977" w14:textId="1FA938A5" w:rsidR="005779D3" w:rsidRPr="005779D3" w:rsidRDefault="005779D3">
      <w:pPr>
        <w:pStyle w:val="FootnoteText"/>
        <w:rPr>
          <w:lang w:val="lv-LV"/>
        </w:rPr>
      </w:pPr>
      <w:r>
        <w:rPr>
          <w:rStyle w:val="FootnoteReference"/>
        </w:rPr>
        <w:footnoteRef/>
      </w:r>
      <w:r>
        <w:t xml:space="preserve"> </w:t>
      </w:r>
      <w:r>
        <w:rPr>
          <w:lang w:val="lv-LV"/>
        </w:rPr>
        <w:t xml:space="preserve">Iestādei, tostarp administratīvā pārkāpuma procesā, nav savu interešu. </w:t>
      </w:r>
      <w:r w:rsidR="0093313E">
        <w:rPr>
          <w:lang w:val="lv-LV"/>
        </w:rPr>
        <w:t xml:space="preserve">Tā darbojas </w:t>
      </w:r>
      <w:r w:rsidR="00E5701F">
        <w:rPr>
          <w:lang w:val="lv-LV"/>
        </w:rPr>
        <w:t>sabiedrības interesēs (Valsts pārvaldes iekārtas likuma 10. panta trešā un ceturtā daļa).</w:t>
      </w:r>
    </w:p>
  </w:footnote>
  <w:footnote w:id="6">
    <w:p w14:paraId="65510927" w14:textId="0319A57F" w:rsidR="00150000" w:rsidRPr="008A6653" w:rsidRDefault="00150000">
      <w:pPr>
        <w:pStyle w:val="FootnoteText"/>
        <w:rPr>
          <w:lang w:val="lv-LV"/>
        </w:rPr>
      </w:pPr>
      <w:r w:rsidRPr="008A6653">
        <w:rPr>
          <w:rStyle w:val="FootnoteReference"/>
          <w:lang w:val="lv-LV"/>
        </w:rPr>
        <w:footnoteRef/>
      </w:r>
      <w:r w:rsidRPr="008A6653">
        <w:rPr>
          <w:lang w:val="lv-LV"/>
        </w:rPr>
        <w:t xml:space="preserve"> </w:t>
      </w:r>
      <w:r w:rsidR="00872FA1" w:rsidRPr="008A6653">
        <w:rPr>
          <w:lang w:val="lv-LV"/>
        </w:rPr>
        <w:t>Saņemtās un izskatītās lietas.</w:t>
      </w:r>
      <w:r w:rsidR="00CF4CF4" w:rsidRPr="008A6653">
        <w:rPr>
          <w:lang w:val="lv-LV"/>
        </w:rPr>
        <w:t xml:space="preserve"> Administratīvo pārkāpumu lietas. Pieejams: </w:t>
      </w:r>
      <w:hyperlink r:id="rId2" w:history="1">
        <w:r w:rsidR="00646A36" w:rsidRPr="008A6653">
          <w:rPr>
            <w:rStyle w:val="Hyperlink"/>
            <w:lang w:val="lv-LV"/>
          </w:rPr>
          <w:t>https://dati.ta.gov.lv</w:t>
        </w:r>
      </w:hyperlink>
    </w:p>
  </w:footnote>
  <w:footnote w:id="7">
    <w:p w14:paraId="2723949E" w14:textId="78477A98" w:rsidR="002A1E9F" w:rsidRPr="008A6653" w:rsidRDefault="002A1E9F" w:rsidP="00964701">
      <w:pPr>
        <w:pStyle w:val="FootnoteText"/>
        <w:jc w:val="both"/>
        <w:rPr>
          <w:lang w:val="lv-LV"/>
        </w:rPr>
      </w:pPr>
      <w:r w:rsidRPr="008A6653">
        <w:rPr>
          <w:rStyle w:val="FootnoteReference"/>
          <w:lang w:val="lv-LV"/>
        </w:rPr>
        <w:footnoteRef/>
      </w:r>
      <w:r w:rsidRPr="008A6653">
        <w:rPr>
          <w:lang w:val="lv-LV"/>
        </w:rPr>
        <w:t xml:space="preserve"> </w:t>
      </w:r>
      <w:r w:rsidR="00A676E6" w:rsidRPr="008A6653">
        <w:rPr>
          <w:lang w:val="lv-LV"/>
        </w:rPr>
        <w:t xml:space="preserve">Līdzīgi apelācijas tiesvedības ierosināšanas pamati ir paredzēti </w:t>
      </w:r>
      <w:r w:rsidR="00167678">
        <w:rPr>
          <w:lang w:val="lv-LV"/>
        </w:rPr>
        <w:t>AAL</w:t>
      </w:r>
      <w:r w:rsidR="00CF2426" w:rsidRPr="008A6653">
        <w:rPr>
          <w:lang w:val="lv-LV"/>
        </w:rPr>
        <w:t xml:space="preserve"> 244. pantā.</w:t>
      </w:r>
    </w:p>
  </w:footnote>
  <w:footnote w:id="8">
    <w:p w14:paraId="065D7040" w14:textId="77777777" w:rsidR="00D0062E" w:rsidRPr="008A6653" w:rsidRDefault="00D0062E" w:rsidP="00D0062E">
      <w:pPr>
        <w:pStyle w:val="FootnoteText"/>
        <w:jc w:val="both"/>
        <w:rPr>
          <w:lang w:val="lv-LV"/>
        </w:rPr>
      </w:pPr>
      <w:r w:rsidRPr="008A6653">
        <w:rPr>
          <w:rStyle w:val="FootnoteReference"/>
          <w:lang w:val="lv-LV"/>
        </w:rPr>
        <w:footnoteRef/>
      </w:r>
      <w:r w:rsidRPr="008A6653">
        <w:rPr>
          <w:lang w:val="lv-LV"/>
        </w:rPr>
        <w:t xml:space="preserve"> </w:t>
      </w:r>
      <w:r w:rsidRPr="008A6653">
        <w:rPr>
          <w:lang w:val="lv-LV"/>
        </w:rPr>
        <w:t xml:space="preserve">Izmantoti </w:t>
      </w:r>
      <w:r>
        <w:rPr>
          <w:lang w:val="lv-LV"/>
        </w:rPr>
        <w:t xml:space="preserve">tikai </w:t>
      </w:r>
      <w:r w:rsidRPr="008A6653">
        <w:rPr>
          <w:lang w:val="lv-LV"/>
        </w:rPr>
        <w:t xml:space="preserve">portālā </w:t>
      </w:r>
      <w:proofErr w:type="spellStart"/>
      <w:r w:rsidRPr="008A6653">
        <w:rPr>
          <w:i/>
          <w:iCs/>
          <w:lang w:val="lv-LV"/>
        </w:rPr>
        <w:t>manas.tiesas.lv</w:t>
      </w:r>
      <w:proofErr w:type="spellEnd"/>
      <w:r w:rsidRPr="008A6653">
        <w:rPr>
          <w:i/>
          <w:iCs/>
          <w:lang w:val="lv-LV"/>
        </w:rPr>
        <w:t xml:space="preserve"> </w:t>
      </w:r>
      <w:r w:rsidRPr="008A6653">
        <w:rPr>
          <w:lang w:val="lv-LV"/>
        </w:rPr>
        <w:t xml:space="preserve">pieejamie </w:t>
      </w:r>
      <w:proofErr w:type="spellStart"/>
      <w:r w:rsidRPr="008A6653">
        <w:rPr>
          <w:lang w:val="lv-LV"/>
        </w:rPr>
        <w:t>anonimizētie</w:t>
      </w:r>
      <w:proofErr w:type="spellEnd"/>
      <w:r w:rsidRPr="008A6653">
        <w:rPr>
          <w:lang w:val="lv-LV"/>
        </w:rPr>
        <w:t xml:space="preserve"> nolēmumi, atlasot administratīvo pārkāpumu lietas apelācijas instancē pēc datuma (01.01.2019. – 31.12.2019.).</w:t>
      </w:r>
    </w:p>
  </w:footnote>
  <w:footnote w:id="9">
    <w:p w14:paraId="53F3D720" w14:textId="564C8095" w:rsidR="003D7384" w:rsidRPr="008A6653" w:rsidRDefault="003D7384">
      <w:pPr>
        <w:pStyle w:val="FootnoteText"/>
        <w:rPr>
          <w:lang w:val="lv-LV"/>
        </w:rPr>
      </w:pPr>
      <w:r w:rsidRPr="008A6653">
        <w:rPr>
          <w:rStyle w:val="FootnoteReference"/>
          <w:lang w:val="lv-LV"/>
        </w:rPr>
        <w:footnoteRef/>
      </w:r>
      <w:r w:rsidRPr="008A6653">
        <w:rPr>
          <w:lang w:val="lv-LV"/>
        </w:rPr>
        <w:t xml:space="preserve"> </w:t>
      </w:r>
      <w:r w:rsidR="00294BDD" w:rsidRPr="008A6653">
        <w:rPr>
          <w:lang w:val="lv-LV"/>
        </w:rPr>
        <w:t xml:space="preserve">Šādi pierādījumu novērtēšanas kritēriji paredzēti </w:t>
      </w:r>
      <w:r w:rsidR="00294BDD" w:rsidRPr="008A6653">
        <w:rPr>
          <w:lang w:val="lv-LV"/>
        </w:rPr>
        <w:t xml:space="preserve">arī </w:t>
      </w:r>
      <w:r w:rsidR="00E72B29">
        <w:rPr>
          <w:lang w:val="lv-LV"/>
        </w:rPr>
        <w:t>AAL</w:t>
      </w:r>
      <w:r w:rsidR="00294BDD" w:rsidRPr="008A6653">
        <w:rPr>
          <w:lang w:val="lv-LV"/>
        </w:rPr>
        <w:t xml:space="preserve"> </w:t>
      </w:r>
      <w:r w:rsidR="006D1485" w:rsidRPr="008A6653">
        <w:rPr>
          <w:lang w:val="lv-LV"/>
        </w:rPr>
        <w:t>94. pant</w:t>
      </w:r>
      <w:r w:rsidR="00294BDD" w:rsidRPr="008A6653">
        <w:rPr>
          <w:lang w:val="lv-LV"/>
        </w:rPr>
        <w:t>ā</w:t>
      </w:r>
      <w:r w:rsidR="006D1485" w:rsidRPr="008A6653">
        <w:rPr>
          <w:lang w:val="lv-LV"/>
        </w:rPr>
        <w:t>.</w:t>
      </w:r>
    </w:p>
  </w:footnote>
  <w:footnote w:id="10">
    <w:p w14:paraId="08354A73" w14:textId="43D17A45" w:rsidR="00294BDD" w:rsidRPr="008A6653" w:rsidRDefault="00294BDD" w:rsidP="00C12AA7">
      <w:pPr>
        <w:pStyle w:val="FootnoteText"/>
        <w:jc w:val="both"/>
        <w:rPr>
          <w:lang w:val="lv-LV"/>
        </w:rPr>
      </w:pPr>
      <w:r w:rsidRPr="008A6653">
        <w:rPr>
          <w:rStyle w:val="FootnoteReference"/>
          <w:lang w:val="lv-LV"/>
        </w:rPr>
        <w:footnoteRef/>
      </w:r>
      <w:r w:rsidRPr="008A6653">
        <w:rPr>
          <w:lang w:val="lv-LV"/>
        </w:rPr>
        <w:t xml:space="preserve"> </w:t>
      </w:r>
      <w:r w:rsidR="00783D79" w:rsidRPr="008A6653">
        <w:rPr>
          <w:lang w:val="lv-LV"/>
        </w:rPr>
        <w:t xml:space="preserve">Līdzīgu regulējumu paredz arī </w:t>
      </w:r>
      <w:r w:rsidR="00E72B29">
        <w:rPr>
          <w:lang w:val="lv-LV"/>
        </w:rPr>
        <w:t>AAL</w:t>
      </w:r>
      <w:r w:rsidR="00783D79" w:rsidRPr="008A6653">
        <w:rPr>
          <w:lang w:val="lv-LV"/>
        </w:rPr>
        <w:t xml:space="preserve"> </w:t>
      </w:r>
      <w:r w:rsidR="00D50E9E" w:rsidRPr="008A6653">
        <w:rPr>
          <w:lang w:val="lv-LV"/>
        </w:rPr>
        <w:t>19. panta otrā daļa</w:t>
      </w:r>
      <w:r w:rsidR="00B95A3C" w:rsidRPr="008A6653">
        <w:rPr>
          <w:lang w:val="lv-LV"/>
        </w:rPr>
        <w:t>, izņemot to, ka</w:t>
      </w:r>
      <w:r w:rsidR="00C12AA7" w:rsidRPr="008A6653">
        <w:rPr>
          <w:lang w:val="lv-LV"/>
        </w:rPr>
        <w:t xml:space="preserve"> šajā likumā vairs netiek</w:t>
      </w:r>
      <w:r w:rsidR="005D006C" w:rsidRPr="008A6653">
        <w:rPr>
          <w:lang w:val="lv-LV"/>
        </w:rPr>
        <w:t xml:space="preserve"> paredzēta norāde uz vainas pakāpi</w:t>
      </w:r>
      <w:r w:rsidR="00C12AA7" w:rsidRPr="008A6653">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4D6" w:rsidRDefault="00766C3B" w14:paraId="23F3B38A" w14:textId="77777777">
    <w:pPr>
      <w:framePr w:wrap="auto" w:hAnchor="margin" w:vAnchor="text" w:xAlign="center" w:y="1"/>
    </w:pPr>
    <w:r>
      <w:fldChar w:fldCharType="begin"/>
    </w:r>
    <w:r>
      <w:instrText xml:space="preserve">PAGE  </w:instrText>
    </w:r>
    <w:r>
      <w:fldChar w:fldCharType="separate"/>
    </w:r>
    <w:r w:rsidR="00991316">
      <w:rPr>
        <w:noProof/>
      </w:rPr>
      <w:t>9</w:t>
    </w:r>
    <w:r>
      <w:rPr>
        <w:noProof/>
      </w:rPr>
      <w:fldChar w:fldCharType="end"/>
    </w:r>
  </w:p>
  <w:p w:rsidR="003344D6" w:rsidRDefault="003344D6" w14:paraId="573B8C46" w14:textId="7777777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E7C2F" w:rsidR="003344D6" w:rsidP="00AC37DB" w:rsidRDefault="003344D6" w14:paraId="137BEDB4" w14:textId="77777777">
    <w:pPr>
      <w:jc w:val="right"/>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1" w15:restartNumberingAfterBreak="0">
    <w:nsid w:val="05954FCC"/>
    <w:multiLevelType w:val="hybridMultilevel"/>
    <w:tmpl w:val="179627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6F6A30"/>
    <w:multiLevelType w:val="hybridMultilevel"/>
    <w:tmpl w:val="092059E6"/>
    <w:lvl w:ilvl="0" w:tplc="0426000F">
      <w:start w:val="1"/>
      <w:numFmt w:val="decimal"/>
      <w:lvlText w:val="%1."/>
      <w:lvlJc w:val="left"/>
      <w:pPr>
        <w:ind w:left="502"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CF241EE"/>
    <w:multiLevelType w:val="hybridMultilevel"/>
    <w:tmpl w:val="95F2DB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0E41F38"/>
    <w:multiLevelType w:val="hybridMultilevel"/>
    <w:tmpl w:val="BACA8C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48309DC"/>
    <w:multiLevelType w:val="hybridMultilevel"/>
    <w:tmpl w:val="D708E0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8D307B1"/>
    <w:multiLevelType w:val="hybridMultilevel"/>
    <w:tmpl w:val="CE46E15A"/>
    <w:lvl w:ilvl="0" w:tplc="28AE225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1B930B01"/>
    <w:multiLevelType w:val="hybridMultilevel"/>
    <w:tmpl w:val="2F2AB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E542E43"/>
    <w:multiLevelType w:val="hybridMultilevel"/>
    <w:tmpl w:val="DAB26CC4"/>
    <w:lvl w:ilvl="0" w:tplc="04260001">
      <w:start w:val="1"/>
      <w:numFmt w:val="bullet"/>
      <w:lvlText w:val=""/>
      <w:lvlJc w:val="left"/>
      <w:pPr>
        <w:ind w:left="1800" w:hanging="360"/>
      </w:pPr>
      <w:rPr>
        <w:rFonts w:ascii="Symbol" w:hAnsi="Symbol" w:hint="default"/>
      </w:rPr>
    </w:lvl>
    <w:lvl w:ilvl="1" w:tplc="0426000F">
      <w:start w:val="1"/>
      <w:numFmt w:val="decimal"/>
      <w:lvlText w:val="%2."/>
      <w:lvlJc w:val="left"/>
      <w:pPr>
        <w:ind w:left="2520" w:hanging="360"/>
      </w:pPr>
      <w:rPr>
        <w:rFont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03A7908"/>
    <w:multiLevelType w:val="hybridMultilevel"/>
    <w:tmpl w:val="A09AD692"/>
    <w:lvl w:ilvl="0" w:tplc="1D1E5FF6">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BE64EC"/>
    <w:multiLevelType w:val="hybridMultilevel"/>
    <w:tmpl w:val="D9A29E84"/>
    <w:lvl w:ilvl="0" w:tplc="0DAE5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4F72C02"/>
    <w:multiLevelType w:val="hybridMultilevel"/>
    <w:tmpl w:val="EB4C4A9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4FB45BB"/>
    <w:multiLevelType w:val="multilevel"/>
    <w:tmpl w:val="1E6EB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F47D99"/>
    <w:multiLevelType w:val="hybridMultilevel"/>
    <w:tmpl w:val="E22A2A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A8D7ECD"/>
    <w:multiLevelType w:val="hybridMultilevel"/>
    <w:tmpl w:val="FF6A4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97751A"/>
    <w:multiLevelType w:val="hybridMultilevel"/>
    <w:tmpl w:val="7AA8F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A33CE0"/>
    <w:multiLevelType w:val="hybridMultilevel"/>
    <w:tmpl w:val="8A80FA3A"/>
    <w:lvl w:ilvl="0" w:tplc="F26CA4DE">
      <w:start w:val="2"/>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E0718E9"/>
    <w:multiLevelType w:val="hybridMultilevel"/>
    <w:tmpl w:val="63A2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16D61"/>
    <w:multiLevelType w:val="hybridMultilevel"/>
    <w:tmpl w:val="8362BE6E"/>
    <w:lvl w:ilvl="0" w:tplc="BD54D4E2">
      <w:start w:val="1"/>
      <w:numFmt w:val="decimal"/>
      <w:lvlText w:val="%1."/>
      <w:lvlJc w:val="left"/>
      <w:pPr>
        <w:ind w:left="1429" w:hanging="360"/>
      </w:pPr>
      <w:rPr>
        <w:b/>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5689021E"/>
    <w:multiLevelType w:val="hybridMultilevel"/>
    <w:tmpl w:val="E960CE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A74BE"/>
    <w:multiLevelType w:val="multilevel"/>
    <w:tmpl w:val="6FAC7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FF51D0"/>
    <w:multiLevelType w:val="multilevel"/>
    <w:tmpl w:val="0FB845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3D4652"/>
    <w:multiLevelType w:val="hybridMultilevel"/>
    <w:tmpl w:val="E4B48D00"/>
    <w:lvl w:ilvl="0" w:tplc="E2C6411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576BA"/>
    <w:multiLevelType w:val="hybridMultilevel"/>
    <w:tmpl w:val="83A853A4"/>
    <w:lvl w:ilvl="0" w:tplc="26E2EF08">
      <w:start w:val="2008"/>
      <w:numFmt w:val="bullet"/>
      <w:lvlText w:val="-"/>
      <w:lvlJc w:val="left"/>
      <w:pPr>
        <w:ind w:left="1572" w:hanging="360"/>
      </w:pPr>
      <w:rPr>
        <w:rFonts w:ascii="Times New Roman" w:eastAsia="Times New Roman" w:hAnsi="Times New Roman" w:cs="Times New Roman"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24" w15:restartNumberingAfterBreak="0">
    <w:nsid w:val="73415632"/>
    <w:multiLevelType w:val="hybridMultilevel"/>
    <w:tmpl w:val="8BB4E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7607FB"/>
    <w:multiLevelType w:val="hybridMultilevel"/>
    <w:tmpl w:val="226C139E"/>
    <w:lvl w:ilvl="0" w:tplc="89585660">
      <w:start w:val="2007"/>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F730F"/>
    <w:multiLevelType w:val="hybridMultilevel"/>
    <w:tmpl w:val="83A24578"/>
    <w:lvl w:ilvl="0" w:tplc="35D22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6"/>
  </w:num>
  <w:num w:numId="3">
    <w:abstractNumId w:val="11"/>
  </w:num>
  <w:num w:numId="4">
    <w:abstractNumId w:val="25"/>
  </w:num>
  <w:num w:numId="5">
    <w:abstractNumId w:val="13"/>
  </w:num>
  <w:num w:numId="6">
    <w:abstractNumId w:val="16"/>
  </w:num>
  <w:num w:numId="7">
    <w:abstractNumId w:val="7"/>
  </w:num>
  <w:num w:numId="8">
    <w:abstractNumId w:val="4"/>
  </w:num>
  <w:num w:numId="9">
    <w:abstractNumId w:val="22"/>
  </w:num>
  <w:num w:numId="10">
    <w:abstractNumId w:val="9"/>
  </w:num>
  <w:num w:numId="11">
    <w:abstractNumId w:val="5"/>
  </w:num>
  <w:num w:numId="12">
    <w:abstractNumId w:val="12"/>
  </w:num>
  <w:num w:numId="13">
    <w:abstractNumId w:val="20"/>
  </w:num>
  <w:num w:numId="14">
    <w:abstractNumId w:val="21"/>
  </w:num>
  <w:num w:numId="15">
    <w:abstractNumId w:val="19"/>
  </w:num>
  <w:num w:numId="16">
    <w:abstractNumId w:val="24"/>
  </w:num>
  <w:num w:numId="17">
    <w:abstractNumId w:val="1"/>
  </w:num>
  <w:num w:numId="18">
    <w:abstractNumId w:val="14"/>
  </w:num>
  <w:num w:numId="19">
    <w:abstractNumId w:val="15"/>
  </w:num>
  <w:num w:numId="20">
    <w:abstractNumId w:val="23"/>
  </w:num>
  <w:num w:numId="21">
    <w:abstractNumId w:val="0"/>
  </w:num>
  <w:num w:numId="22">
    <w:abstractNumId w:val="8"/>
  </w:num>
  <w:num w:numId="23">
    <w:abstractNumId w:val="18"/>
  </w:num>
  <w:num w:numId="24">
    <w:abstractNumId w:val="26"/>
  </w:num>
  <w:num w:numId="25">
    <w:abstractNumId w:val="10"/>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72"/>
    <w:rsid w:val="000000EB"/>
    <w:rsid w:val="0000026D"/>
    <w:rsid w:val="000002AE"/>
    <w:rsid w:val="0000101F"/>
    <w:rsid w:val="000038CE"/>
    <w:rsid w:val="00003C83"/>
    <w:rsid w:val="00004EA5"/>
    <w:rsid w:val="0000603B"/>
    <w:rsid w:val="00006FE2"/>
    <w:rsid w:val="00007287"/>
    <w:rsid w:val="00010024"/>
    <w:rsid w:val="000107A3"/>
    <w:rsid w:val="0001097E"/>
    <w:rsid w:val="00010D4A"/>
    <w:rsid w:val="00013EBE"/>
    <w:rsid w:val="00015480"/>
    <w:rsid w:val="00015783"/>
    <w:rsid w:val="00016098"/>
    <w:rsid w:val="00016AB1"/>
    <w:rsid w:val="00016B57"/>
    <w:rsid w:val="000175AC"/>
    <w:rsid w:val="00017ADF"/>
    <w:rsid w:val="0002219A"/>
    <w:rsid w:val="00024E91"/>
    <w:rsid w:val="0002515F"/>
    <w:rsid w:val="00025227"/>
    <w:rsid w:val="00026077"/>
    <w:rsid w:val="00026299"/>
    <w:rsid w:val="000266ED"/>
    <w:rsid w:val="000269C8"/>
    <w:rsid w:val="00026E95"/>
    <w:rsid w:val="00027098"/>
    <w:rsid w:val="000273DF"/>
    <w:rsid w:val="000275A2"/>
    <w:rsid w:val="0003055F"/>
    <w:rsid w:val="000306B1"/>
    <w:rsid w:val="000327FF"/>
    <w:rsid w:val="0003321E"/>
    <w:rsid w:val="00033CE5"/>
    <w:rsid w:val="000341F2"/>
    <w:rsid w:val="00034C8B"/>
    <w:rsid w:val="00035D36"/>
    <w:rsid w:val="00035E68"/>
    <w:rsid w:val="00036591"/>
    <w:rsid w:val="000371C2"/>
    <w:rsid w:val="0003732F"/>
    <w:rsid w:val="00041275"/>
    <w:rsid w:val="00041532"/>
    <w:rsid w:val="0004169B"/>
    <w:rsid w:val="00041EE3"/>
    <w:rsid w:val="00042FBE"/>
    <w:rsid w:val="00044D17"/>
    <w:rsid w:val="00046B5F"/>
    <w:rsid w:val="000472AC"/>
    <w:rsid w:val="00050524"/>
    <w:rsid w:val="00051F72"/>
    <w:rsid w:val="00052AA6"/>
    <w:rsid w:val="000531C2"/>
    <w:rsid w:val="000532BD"/>
    <w:rsid w:val="00054158"/>
    <w:rsid w:val="000543C0"/>
    <w:rsid w:val="00054E23"/>
    <w:rsid w:val="00055C4F"/>
    <w:rsid w:val="00060D7F"/>
    <w:rsid w:val="00061204"/>
    <w:rsid w:val="000612AE"/>
    <w:rsid w:val="000613BF"/>
    <w:rsid w:val="00061B06"/>
    <w:rsid w:val="000620CB"/>
    <w:rsid w:val="00062C08"/>
    <w:rsid w:val="000632EF"/>
    <w:rsid w:val="000640ED"/>
    <w:rsid w:val="0006518B"/>
    <w:rsid w:val="00065587"/>
    <w:rsid w:val="00065FFA"/>
    <w:rsid w:val="0006709C"/>
    <w:rsid w:val="00067331"/>
    <w:rsid w:val="000674CE"/>
    <w:rsid w:val="000678F4"/>
    <w:rsid w:val="00073E0A"/>
    <w:rsid w:val="0007477A"/>
    <w:rsid w:val="00074FD0"/>
    <w:rsid w:val="00074FD7"/>
    <w:rsid w:val="0007556A"/>
    <w:rsid w:val="00077648"/>
    <w:rsid w:val="00077C38"/>
    <w:rsid w:val="00080CFC"/>
    <w:rsid w:val="0008152F"/>
    <w:rsid w:val="00083662"/>
    <w:rsid w:val="00083A53"/>
    <w:rsid w:val="00083A5A"/>
    <w:rsid w:val="00083B42"/>
    <w:rsid w:val="00083BB6"/>
    <w:rsid w:val="00083CFF"/>
    <w:rsid w:val="00084B9C"/>
    <w:rsid w:val="00084FB5"/>
    <w:rsid w:val="00085039"/>
    <w:rsid w:val="00085F11"/>
    <w:rsid w:val="00087A9F"/>
    <w:rsid w:val="00087B28"/>
    <w:rsid w:val="00090C4A"/>
    <w:rsid w:val="000917DC"/>
    <w:rsid w:val="000927D6"/>
    <w:rsid w:val="00093594"/>
    <w:rsid w:val="00094C4C"/>
    <w:rsid w:val="00095155"/>
    <w:rsid w:val="00096940"/>
    <w:rsid w:val="00096A11"/>
    <w:rsid w:val="00097263"/>
    <w:rsid w:val="000A05C1"/>
    <w:rsid w:val="000A148F"/>
    <w:rsid w:val="000A17A3"/>
    <w:rsid w:val="000A182B"/>
    <w:rsid w:val="000A2504"/>
    <w:rsid w:val="000A32C8"/>
    <w:rsid w:val="000A36E3"/>
    <w:rsid w:val="000A4365"/>
    <w:rsid w:val="000A5026"/>
    <w:rsid w:val="000A5FC7"/>
    <w:rsid w:val="000A7365"/>
    <w:rsid w:val="000A73C7"/>
    <w:rsid w:val="000A7EA6"/>
    <w:rsid w:val="000B0001"/>
    <w:rsid w:val="000B0AE6"/>
    <w:rsid w:val="000B0C04"/>
    <w:rsid w:val="000B0DCB"/>
    <w:rsid w:val="000B151D"/>
    <w:rsid w:val="000B1959"/>
    <w:rsid w:val="000B1ECA"/>
    <w:rsid w:val="000B2128"/>
    <w:rsid w:val="000B2CA8"/>
    <w:rsid w:val="000B310C"/>
    <w:rsid w:val="000B3357"/>
    <w:rsid w:val="000B3BE9"/>
    <w:rsid w:val="000B4185"/>
    <w:rsid w:val="000B4897"/>
    <w:rsid w:val="000B57E8"/>
    <w:rsid w:val="000B67B4"/>
    <w:rsid w:val="000B6F7F"/>
    <w:rsid w:val="000B7AF5"/>
    <w:rsid w:val="000B7BE0"/>
    <w:rsid w:val="000B7E16"/>
    <w:rsid w:val="000C0956"/>
    <w:rsid w:val="000C09CC"/>
    <w:rsid w:val="000C0A3B"/>
    <w:rsid w:val="000C157F"/>
    <w:rsid w:val="000C1607"/>
    <w:rsid w:val="000C1A36"/>
    <w:rsid w:val="000C2239"/>
    <w:rsid w:val="000C22F7"/>
    <w:rsid w:val="000C5922"/>
    <w:rsid w:val="000C5F4B"/>
    <w:rsid w:val="000C669D"/>
    <w:rsid w:val="000C697D"/>
    <w:rsid w:val="000C6E4E"/>
    <w:rsid w:val="000C7094"/>
    <w:rsid w:val="000C7E1E"/>
    <w:rsid w:val="000D39B2"/>
    <w:rsid w:val="000D3B23"/>
    <w:rsid w:val="000D436F"/>
    <w:rsid w:val="000D4444"/>
    <w:rsid w:val="000D446D"/>
    <w:rsid w:val="000D4B51"/>
    <w:rsid w:val="000D4DF6"/>
    <w:rsid w:val="000D6148"/>
    <w:rsid w:val="000D6747"/>
    <w:rsid w:val="000D768C"/>
    <w:rsid w:val="000D7F80"/>
    <w:rsid w:val="000E16A6"/>
    <w:rsid w:val="000E3B00"/>
    <w:rsid w:val="000E3B4F"/>
    <w:rsid w:val="000E3CD8"/>
    <w:rsid w:val="000E42A0"/>
    <w:rsid w:val="000E4A45"/>
    <w:rsid w:val="000E4DB7"/>
    <w:rsid w:val="000E5D13"/>
    <w:rsid w:val="000E76D5"/>
    <w:rsid w:val="000F0061"/>
    <w:rsid w:val="000F059E"/>
    <w:rsid w:val="000F060A"/>
    <w:rsid w:val="000F161F"/>
    <w:rsid w:val="000F19E3"/>
    <w:rsid w:val="000F2ED4"/>
    <w:rsid w:val="000F3807"/>
    <w:rsid w:val="000F4BAD"/>
    <w:rsid w:val="000F6B98"/>
    <w:rsid w:val="00101377"/>
    <w:rsid w:val="001016EC"/>
    <w:rsid w:val="001028C2"/>
    <w:rsid w:val="00102AAB"/>
    <w:rsid w:val="00103267"/>
    <w:rsid w:val="001034B8"/>
    <w:rsid w:val="00104279"/>
    <w:rsid w:val="001045CC"/>
    <w:rsid w:val="001053F6"/>
    <w:rsid w:val="00105EA9"/>
    <w:rsid w:val="00106014"/>
    <w:rsid w:val="0010642A"/>
    <w:rsid w:val="00106767"/>
    <w:rsid w:val="00106A0D"/>
    <w:rsid w:val="00106F64"/>
    <w:rsid w:val="0010778E"/>
    <w:rsid w:val="00111981"/>
    <w:rsid w:val="00112726"/>
    <w:rsid w:val="0011286D"/>
    <w:rsid w:val="00113231"/>
    <w:rsid w:val="00113CB2"/>
    <w:rsid w:val="0011449A"/>
    <w:rsid w:val="001146B2"/>
    <w:rsid w:val="00114779"/>
    <w:rsid w:val="00115EEF"/>
    <w:rsid w:val="00116378"/>
    <w:rsid w:val="001165FA"/>
    <w:rsid w:val="00116728"/>
    <w:rsid w:val="00117F58"/>
    <w:rsid w:val="00120056"/>
    <w:rsid w:val="0012103A"/>
    <w:rsid w:val="00122515"/>
    <w:rsid w:val="00122EDB"/>
    <w:rsid w:val="001233BE"/>
    <w:rsid w:val="00123A60"/>
    <w:rsid w:val="0012416F"/>
    <w:rsid w:val="001244E4"/>
    <w:rsid w:val="00124863"/>
    <w:rsid w:val="00125910"/>
    <w:rsid w:val="001303BF"/>
    <w:rsid w:val="00130B31"/>
    <w:rsid w:val="00130D93"/>
    <w:rsid w:val="001325C9"/>
    <w:rsid w:val="00133C60"/>
    <w:rsid w:val="001346A8"/>
    <w:rsid w:val="001357FF"/>
    <w:rsid w:val="0013606A"/>
    <w:rsid w:val="00136825"/>
    <w:rsid w:val="001402C2"/>
    <w:rsid w:val="00141948"/>
    <w:rsid w:val="00141E7C"/>
    <w:rsid w:val="0014224A"/>
    <w:rsid w:val="001424ED"/>
    <w:rsid w:val="001428FA"/>
    <w:rsid w:val="00142FD6"/>
    <w:rsid w:val="0014306A"/>
    <w:rsid w:val="001438A4"/>
    <w:rsid w:val="00143C0A"/>
    <w:rsid w:val="00145250"/>
    <w:rsid w:val="00146E9D"/>
    <w:rsid w:val="001473B2"/>
    <w:rsid w:val="00147570"/>
    <w:rsid w:val="00147ACC"/>
    <w:rsid w:val="00150000"/>
    <w:rsid w:val="0015022D"/>
    <w:rsid w:val="001505D1"/>
    <w:rsid w:val="00151428"/>
    <w:rsid w:val="00151BA0"/>
    <w:rsid w:val="001523F0"/>
    <w:rsid w:val="00152C2C"/>
    <w:rsid w:val="00152D13"/>
    <w:rsid w:val="00152E04"/>
    <w:rsid w:val="0015319C"/>
    <w:rsid w:val="001543AA"/>
    <w:rsid w:val="00154C4F"/>
    <w:rsid w:val="00156422"/>
    <w:rsid w:val="00156E0C"/>
    <w:rsid w:val="001604DD"/>
    <w:rsid w:val="00162410"/>
    <w:rsid w:val="001630F4"/>
    <w:rsid w:val="00163135"/>
    <w:rsid w:val="001636F5"/>
    <w:rsid w:val="001637F1"/>
    <w:rsid w:val="00164555"/>
    <w:rsid w:val="00164C3F"/>
    <w:rsid w:val="0016501E"/>
    <w:rsid w:val="001668BE"/>
    <w:rsid w:val="00166962"/>
    <w:rsid w:val="00166A07"/>
    <w:rsid w:val="00166B7F"/>
    <w:rsid w:val="00166F06"/>
    <w:rsid w:val="00166F90"/>
    <w:rsid w:val="00167678"/>
    <w:rsid w:val="00171FF3"/>
    <w:rsid w:val="00172FFE"/>
    <w:rsid w:val="001732E3"/>
    <w:rsid w:val="0017423C"/>
    <w:rsid w:val="00174519"/>
    <w:rsid w:val="001753A2"/>
    <w:rsid w:val="00175AE4"/>
    <w:rsid w:val="001760C5"/>
    <w:rsid w:val="0017668D"/>
    <w:rsid w:val="00176D2B"/>
    <w:rsid w:val="00176FD9"/>
    <w:rsid w:val="0017718A"/>
    <w:rsid w:val="00182805"/>
    <w:rsid w:val="00182A48"/>
    <w:rsid w:val="00182CE3"/>
    <w:rsid w:val="00184AE6"/>
    <w:rsid w:val="001851A9"/>
    <w:rsid w:val="00186DFC"/>
    <w:rsid w:val="00187E07"/>
    <w:rsid w:val="00190887"/>
    <w:rsid w:val="00190C45"/>
    <w:rsid w:val="001912F5"/>
    <w:rsid w:val="0019272A"/>
    <w:rsid w:val="00192DD3"/>
    <w:rsid w:val="00193134"/>
    <w:rsid w:val="0019361C"/>
    <w:rsid w:val="0019378F"/>
    <w:rsid w:val="00193886"/>
    <w:rsid w:val="00193C9A"/>
    <w:rsid w:val="00194112"/>
    <w:rsid w:val="001944AF"/>
    <w:rsid w:val="00194746"/>
    <w:rsid w:val="00194A67"/>
    <w:rsid w:val="001973AB"/>
    <w:rsid w:val="001A1206"/>
    <w:rsid w:val="001A1B7C"/>
    <w:rsid w:val="001A575E"/>
    <w:rsid w:val="001A6507"/>
    <w:rsid w:val="001A7576"/>
    <w:rsid w:val="001B064A"/>
    <w:rsid w:val="001B0E1B"/>
    <w:rsid w:val="001B1214"/>
    <w:rsid w:val="001B1E4D"/>
    <w:rsid w:val="001B2225"/>
    <w:rsid w:val="001B2702"/>
    <w:rsid w:val="001B3E28"/>
    <w:rsid w:val="001B407F"/>
    <w:rsid w:val="001B465D"/>
    <w:rsid w:val="001B4D85"/>
    <w:rsid w:val="001B650E"/>
    <w:rsid w:val="001B72DE"/>
    <w:rsid w:val="001C0C1E"/>
    <w:rsid w:val="001C17A3"/>
    <w:rsid w:val="001C2351"/>
    <w:rsid w:val="001C2AF6"/>
    <w:rsid w:val="001C3140"/>
    <w:rsid w:val="001C35AE"/>
    <w:rsid w:val="001C47CD"/>
    <w:rsid w:val="001C4F7A"/>
    <w:rsid w:val="001C517F"/>
    <w:rsid w:val="001C51ED"/>
    <w:rsid w:val="001C5A93"/>
    <w:rsid w:val="001C6F8C"/>
    <w:rsid w:val="001C7A84"/>
    <w:rsid w:val="001D1602"/>
    <w:rsid w:val="001D18BB"/>
    <w:rsid w:val="001D1D67"/>
    <w:rsid w:val="001D233A"/>
    <w:rsid w:val="001D322A"/>
    <w:rsid w:val="001D38B4"/>
    <w:rsid w:val="001D4B8F"/>
    <w:rsid w:val="001D4D38"/>
    <w:rsid w:val="001D5567"/>
    <w:rsid w:val="001D5AB4"/>
    <w:rsid w:val="001D6A45"/>
    <w:rsid w:val="001E0173"/>
    <w:rsid w:val="001E0443"/>
    <w:rsid w:val="001E0B06"/>
    <w:rsid w:val="001E1613"/>
    <w:rsid w:val="001E249F"/>
    <w:rsid w:val="001E3499"/>
    <w:rsid w:val="001E4743"/>
    <w:rsid w:val="001E4E3F"/>
    <w:rsid w:val="001E54EB"/>
    <w:rsid w:val="001E638D"/>
    <w:rsid w:val="001E6C8A"/>
    <w:rsid w:val="001F0BD6"/>
    <w:rsid w:val="001F0F79"/>
    <w:rsid w:val="001F1976"/>
    <w:rsid w:val="001F21A2"/>
    <w:rsid w:val="001F2E8E"/>
    <w:rsid w:val="001F447A"/>
    <w:rsid w:val="001F4CBD"/>
    <w:rsid w:val="001F6A46"/>
    <w:rsid w:val="001F73C1"/>
    <w:rsid w:val="001F7AB2"/>
    <w:rsid w:val="002010C0"/>
    <w:rsid w:val="0020175D"/>
    <w:rsid w:val="00202563"/>
    <w:rsid w:val="0020280F"/>
    <w:rsid w:val="002032BF"/>
    <w:rsid w:val="00203465"/>
    <w:rsid w:val="00203EC8"/>
    <w:rsid w:val="00204CC8"/>
    <w:rsid w:val="00204F5F"/>
    <w:rsid w:val="002059BD"/>
    <w:rsid w:val="00205B1A"/>
    <w:rsid w:val="0020641A"/>
    <w:rsid w:val="00206A68"/>
    <w:rsid w:val="00206FBA"/>
    <w:rsid w:val="0020703A"/>
    <w:rsid w:val="0020779A"/>
    <w:rsid w:val="00207D56"/>
    <w:rsid w:val="002104FB"/>
    <w:rsid w:val="002113D6"/>
    <w:rsid w:val="00211828"/>
    <w:rsid w:val="00211C27"/>
    <w:rsid w:val="00211D61"/>
    <w:rsid w:val="00211E19"/>
    <w:rsid w:val="0021250C"/>
    <w:rsid w:val="00212E38"/>
    <w:rsid w:val="00213754"/>
    <w:rsid w:val="002138F7"/>
    <w:rsid w:val="0021488A"/>
    <w:rsid w:val="00215AC6"/>
    <w:rsid w:val="00215AE4"/>
    <w:rsid w:val="00216245"/>
    <w:rsid w:val="00216DEF"/>
    <w:rsid w:val="00221BAF"/>
    <w:rsid w:val="00222EDA"/>
    <w:rsid w:val="002242D8"/>
    <w:rsid w:val="002243C9"/>
    <w:rsid w:val="00224F99"/>
    <w:rsid w:val="00224FFA"/>
    <w:rsid w:val="00225741"/>
    <w:rsid w:val="00225A5A"/>
    <w:rsid w:val="002344D4"/>
    <w:rsid w:val="00234630"/>
    <w:rsid w:val="002350B7"/>
    <w:rsid w:val="00235BB4"/>
    <w:rsid w:val="002365AF"/>
    <w:rsid w:val="00236989"/>
    <w:rsid w:val="00236E03"/>
    <w:rsid w:val="00237485"/>
    <w:rsid w:val="00237BDA"/>
    <w:rsid w:val="00240B22"/>
    <w:rsid w:val="00240D4C"/>
    <w:rsid w:val="00240DB1"/>
    <w:rsid w:val="00243652"/>
    <w:rsid w:val="0024423E"/>
    <w:rsid w:val="00244A42"/>
    <w:rsid w:val="00245CA0"/>
    <w:rsid w:val="00245FA9"/>
    <w:rsid w:val="0024626C"/>
    <w:rsid w:val="00247818"/>
    <w:rsid w:val="00247FB0"/>
    <w:rsid w:val="00250361"/>
    <w:rsid w:val="002504F9"/>
    <w:rsid w:val="0025354A"/>
    <w:rsid w:val="00253701"/>
    <w:rsid w:val="00253CA0"/>
    <w:rsid w:val="002546FE"/>
    <w:rsid w:val="00254A25"/>
    <w:rsid w:val="00254F0F"/>
    <w:rsid w:val="00256513"/>
    <w:rsid w:val="0025696B"/>
    <w:rsid w:val="00256BC6"/>
    <w:rsid w:val="00257749"/>
    <w:rsid w:val="00260664"/>
    <w:rsid w:val="00261079"/>
    <w:rsid w:val="0026146C"/>
    <w:rsid w:val="00261B88"/>
    <w:rsid w:val="00261F2C"/>
    <w:rsid w:val="00262609"/>
    <w:rsid w:val="00262944"/>
    <w:rsid w:val="002631CB"/>
    <w:rsid w:val="0026374B"/>
    <w:rsid w:val="00263948"/>
    <w:rsid w:val="00263C94"/>
    <w:rsid w:val="00264070"/>
    <w:rsid w:val="0026444D"/>
    <w:rsid w:val="00265F14"/>
    <w:rsid w:val="0026622C"/>
    <w:rsid w:val="002662AB"/>
    <w:rsid w:val="002672C2"/>
    <w:rsid w:val="0026739E"/>
    <w:rsid w:val="00267F32"/>
    <w:rsid w:val="00270B09"/>
    <w:rsid w:val="00272123"/>
    <w:rsid w:val="0027286E"/>
    <w:rsid w:val="00272B3F"/>
    <w:rsid w:val="00272BE4"/>
    <w:rsid w:val="00272E3A"/>
    <w:rsid w:val="00274064"/>
    <w:rsid w:val="002753C0"/>
    <w:rsid w:val="00275F67"/>
    <w:rsid w:val="00277FBA"/>
    <w:rsid w:val="0028016F"/>
    <w:rsid w:val="00280506"/>
    <w:rsid w:val="00280CBF"/>
    <w:rsid w:val="00282F4B"/>
    <w:rsid w:val="00284A2A"/>
    <w:rsid w:val="00284FFC"/>
    <w:rsid w:val="00285E44"/>
    <w:rsid w:val="00287370"/>
    <w:rsid w:val="00287437"/>
    <w:rsid w:val="0028766B"/>
    <w:rsid w:val="00287B52"/>
    <w:rsid w:val="002906A6"/>
    <w:rsid w:val="0029106D"/>
    <w:rsid w:val="002913D3"/>
    <w:rsid w:val="002916C2"/>
    <w:rsid w:val="00291D3C"/>
    <w:rsid w:val="0029267C"/>
    <w:rsid w:val="002934EA"/>
    <w:rsid w:val="00293EDB"/>
    <w:rsid w:val="0029436C"/>
    <w:rsid w:val="00294BDD"/>
    <w:rsid w:val="002957C8"/>
    <w:rsid w:val="00297E0C"/>
    <w:rsid w:val="00297E9F"/>
    <w:rsid w:val="002A0D0C"/>
    <w:rsid w:val="002A1915"/>
    <w:rsid w:val="002A1DB0"/>
    <w:rsid w:val="002A1E9F"/>
    <w:rsid w:val="002A2883"/>
    <w:rsid w:val="002A2E14"/>
    <w:rsid w:val="002A2E80"/>
    <w:rsid w:val="002A2E88"/>
    <w:rsid w:val="002A3AD7"/>
    <w:rsid w:val="002A3C4A"/>
    <w:rsid w:val="002A4291"/>
    <w:rsid w:val="002A46D0"/>
    <w:rsid w:val="002A56ED"/>
    <w:rsid w:val="002A5F2F"/>
    <w:rsid w:val="002A7703"/>
    <w:rsid w:val="002A7DAF"/>
    <w:rsid w:val="002B022D"/>
    <w:rsid w:val="002B067B"/>
    <w:rsid w:val="002B0B76"/>
    <w:rsid w:val="002B0BE8"/>
    <w:rsid w:val="002B1B82"/>
    <w:rsid w:val="002B2297"/>
    <w:rsid w:val="002B2F24"/>
    <w:rsid w:val="002B33EC"/>
    <w:rsid w:val="002B3D62"/>
    <w:rsid w:val="002B5B8A"/>
    <w:rsid w:val="002B6745"/>
    <w:rsid w:val="002B71FD"/>
    <w:rsid w:val="002B767D"/>
    <w:rsid w:val="002B7A79"/>
    <w:rsid w:val="002B7B18"/>
    <w:rsid w:val="002C0BF4"/>
    <w:rsid w:val="002C190B"/>
    <w:rsid w:val="002C3766"/>
    <w:rsid w:val="002C3ADF"/>
    <w:rsid w:val="002C4116"/>
    <w:rsid w:val="002C7814"/>
    <w:rsid w:val="002C7D80"/>
    <w:rsid w:val="002D0E9B"/>
    <w:rsid w:val="002D24B7"/>
    <w:rsid w:val="002D2B43"/>
    <w:rsid w:val="002D51FC"/>
    <w:rsid w:val="002D6AF0"/>
    <w:rsid w:val="002D7D8E"/>
    <w:rsid w:val="002E37AA"/>
    <w:rsid w:val="002E4527"/>
    <w:rsid w:val="002E5CD5"/>
    <w:rsid w:val="002E622B"/>
    <w:rsid w:val="002F06DB"/>
    <w:rsid w:val="002F1D71"/>
    <w:rsid w:val="002F37B2"/>
    <w:rsid w:val="002F3B2D"/>
    <w:rsid w:val="002F3C47"/>
    <w:rsid w:val="002F4511"/>
    <w:rsid w:val="002F4D34"/>
    <w:rsid w:val="002F6D67"/>
    <w:rsid w:val="00300360"/>
    <w:rsid w:val="003009EE"/>
    <w:rsid w:val="00300D15"/>
    <w:rsid w:val="0030295C"/>
    <w:rsid w:val="00303452"/>
    <w:rsid w:val="003035EB"/>
    <w:rsid w:val="0030364E"/>
    <w:rsid w:val="00304476"/>
    <w:rsid w:val="00305402"/>
    <w:rsid w:val="00307019"/>
    <w:rsid w:val="003102E2"/>
    <w:rsid w:val="00310A1F"/>
    <w:rsid w:val="00311404"/>
    <w:rsid w:val="00312C71"/>
    <w:rsid w:val="00312DC9"/>
    <w:rsid w:val="003142C6"/>
    <w:rsid w:val="00314930"/>
    <w:rsid w:val="0031632E"/>
    <w:rsid w:val="00316C43"/>
    <w:rsid w:val="00317D6C"/>
    <w:rsid w:val="00317E71"/>
    <w:rsid w:val="0032057E"/>
    <w:rsid w:val="00320BD2"/>
    <w:rsid w:val="0032227A"/>
    <w:rsid w:val="00323B65"/>
    <w:rsid w:val="00324372"/>
    <w:rsid w:val="00324A76"/>
    <w:rsid w:val="00324B4C"/>
    <w:rsid w:val="00324E58"/>
    <w:rsid w:val="00325414"/>
    <w:rsid w:val="00327905"/>
    <w:rsid w:val="00330B36"/>
    <w:rsid w:val="0033179E"/>
    <w:rsid w:val="003325B5"/>
    <w:rsid w:val="00333818"/>
    <w:rsid w:val="00333D5A"/>
    <w:rsid w:val="00333EA6"/>
    <w:rsid w:val="0033415D"/>
    <w:rsid w:val="0033427D"/>
    <w:rsid w:val="003344D6"/>
    <w:rsid w:val="00334964"/>
    <w:rsid w:val="00335A6A"/>
    <w:rsid w:val="0033641B"/>
    <w:rsid w:val="00337612"/>
    <w:rsid w:val="00337662"/>
    <w:rsid w:val="00337F3F"/>
    <w:rsid w:val="003404E8"/>
    <w:rsid w:val="00340C11"/>
    <w:rsid w:val="003430E8"/>
    <w:rsid w:val="00343408"/>
    <w:rsid w:val="0034512D"/>
    <w:rsid w:val="003452CF"/>
    <w:rsid w:val="00345F58"/>
    <w:rsid w:val="00346ACC"/>
    <w:rsid w:val="00346C11"/>
    <w:rsid w:val="003479BA"/>
    <w:rsid w:val="00347A02"/>
    <w:rsid w:val="00350894"/>
    <w:rsid w:val="003508C0"/>
    <w:rsid w:val="0035100E"/>
    <w:rsid w:val="00351180"/>
    <w:rsid w:val="003515DE"/>
    <w:rsid w:val="00353A05"/>
    <w:rsid w:val="00353C47"/>
    <w:rsid w:val="00354247"/>
    <w:rsid w:val="00354876"/>
    <w:rsid w:val="003550D5"/>
    <w:rsid w:val="003555BB"/>
    <w:rsid w:val="003569D5"/>
    <w:rsid w:val="00356AC8"/>
    <w:rsid w:val="00356CCC"/>
    <w:rsid w:val="00356E92"/>
    <w:rsid w:val="00356F2B"/>
    <w:rsid w:val="003575B5"/>
    <w:rsid w:val="0035762C"/>
    <w:rsid w:val="0035786E"/>
    <w:rsid w:val="003610A0"/>
    <w:rsid w:val="00363783"/>
    <w:rsid w:val="00363FF7"/>
    <w:rsid w:val="00365421"/>
    <w:rsid w:val="00365A28"/>
    <w:rsid w:val="00366FAA"/>
    <w:rsid w:val="00367A6D"/>
    <w:rsid w:val="00367B3C"/>
    <w:rsid w:val="003703DD"/>
    <w:rsid w:val="00370CD7"/>
    <w:rsid w:val="003711E9"/>
    <w:rsid w:val="00371F5F"/>
    <w:rsid w:val="0037215B"/>
    <w:rsid w:val="00372241"/>
    <w:rsid w:val="00373E84"/>
    <w:rsid w:val="00373F22"/>
    <w:rsid w:val="00374320"/>
    <w:rsid w:val="00374620"/>
    <w:rsid w:val="00374FF3"/>
    <w:rsid w:val="00375AC7"/>
    <w:rsid w:val="00376066"/>
    <w:rsid w:val="003765AD"/>
    <w:rsid w:val="00377402"/>
    <w:rsid w:val="00377F0E"/>
    <w:rsid w:val="00380945"/>
    <w:rsid w:val="0038149F"/>
    <w:rsid w:val="00381CA1"/>
    <w:rsid w:val="00381D2C"/>
    <w:rsid w:val="00382FB6"/>
    <w:rsid w:val="003838DD"/>
    <w:rsid w:val="0038516A"/>
    <w:rsid w:val="003855A2"/>
    <w:rsid w:val="003860D6"/>
    <w:rsid w:val="00386F24"/>
    <w:rsid w:val="0038703B"/>
    <w:rsid w:val="0039041C"/>
    <w:rsid w:val="003904B0"/>
    <w:rsid w:val="0039054A"/>
    <w:rsid w:val="00391A64"/>
    <w:rsid w:val="00392BF6"/>
    <w:rsid w:val="00394C88"/>
    <w:rsid w:val="0039533D"/>
    <w:rsid w:val="0039603C"/>
    <w:rsid w:val="0039609B"/>
    <w:rsid w:val="00396153"/>
    <w:rsid w:val="00396185"/>
    <w:rsid w:val="00396C30"/>
    <w:rsid w:val="00397421"/>
    <w:rsid w:val="00397D9C"/>
    <w:rsid w:val="003A00A4"/>
    <w:rsid w:val="003A0D46"/>
    <w:rsid w:val="003A0FF1"/>
    <w:rsid w:val="003A1424"/>
    <w:rsid w:val="003A1492"/>
    <w:rsid w:val="003A2D00"/>
    <w:rsid w:val="003A3C6C"/>
    <w:rsid w:val="003A4D88"/>
    <w:rsid w:val="003A52F1"/>
    <w:rsid w:val="003A5851"/>
    <w:rsid w:val="003A5AC3"/>
    <w:rsid w:val="003A72D1"/>
    <w:rsid w:val="003A76F5"/>
    <w:rsid w:val="003A795B"/>
    <w:rsid w:val="003B0487"/>
    <w:rsid w:val="003B0E5E"/>
    <w:rsid w:val="003B14B9"/>
    <w:rsid w:val="003B1911"/>
    <w:rsid w:val="003B1D41"/>
    <w:rsid w:val="003B2942"/>
    <w:rsid w:val="003B2DD0"/>
    <w:rsid w:val="003B407A"/>
    <w:rsid w:val="003B43FF"/>
    <w:rsid w:val="003B4AF4"/>
    <w:rsid w:val="003B50AC"/>
    <w:rsid w:val="003B56ED"/>
    <w:rsid w:val="003B5A83"/>
    <w:rsid w:val="003B5BC4"/>
    <w:rsid w:val="003B798D"/>
    <w:rsid w:val="003B7A5B"/>
    <w:rsid w:val="003C08F9"/>
    <w:rsid w:val="003C1A37"/>
    <w:rsid w:val="003C1AFE"/>
    <w:rsid w:val="003C1F17"/>
    <w:rsid w:val="003C3352"/>
    <w:rsid w:val="003C4553"/>
    <w:rsid w:val="003C4958"/>
    <w:rsid w:val="003C50E9"/>
    <w:rsid w:val="003C5FEE"/>
    <w:rsid w:val="003C60BA"/>
    <w:rsid w:val="003C657E"/>
    <w:rsid w:val="003D026D"/>
    <w:rsid w:val="003D0483"/>
    <w:rsid w:val="003D0BA9"/>
    <w:rsid w:val="003D130C"/>
    <w:rsid w:val="003D135A"/>
    <w:rsid w:val="003D1D40"/>
    <w:rsid w:val="003D1F92"/>
    <w:rsid w:val="003D343A"/>
    <w:rsid w:val="003D3621"/>
    <w:rsid w:val="003D41CE"/>
    <w:rsid w:val="003D45CA"/>
    <w:rsid w:val="003D56CA"/>
    <w:rsid w:val="003D61D0"/>
    <w:rsid w:val="003D7384"/>
    <w:rsid w:val="003D746D"/>
    <w:rsid w:val="003E02AD"/>
    <w:rsid w:val="003E05CE"/>
    <w:rsid w:val="003E098E"/>
    <w:rsid w:val="003E0AEF"/>
    <w:rsid w:val="003E1457"/>
    <w:rsid w:val="003E3397"/>
    <w:rsid w:val="003E3470"/>
    <w:rsid w:val="003E34E3"/>
    <w:rsid w:val="003E3CC7"/>
    <w:rsid w:val="003E46D9"/>
    <w:rsid w:val="003E57F4"/>
    <w:rsid w:val="003E5A31"/>
    <w:rsid w:val="003E5ADC"/>
    <w:rsid w:val="003E6693"/>
    <w:rsid w:val="003E6713"/>
    <w:rsid w:val="003E7078"/>
    <w:rsid w:val="003E7C2F"/>
    <w:rsid w:val="003F135C"/>
    <w:rsid w:val="003F1777"/>
    <w:rsid w:val="003F1F77"/>
    <w:rsid w:val="003F2C77"/>
    <w:rsid w:val="003F454C"/>
    <w:rsid w:val="003F556D"/>
    <w:rsid w:val="003F61E6"/>
    <w:rsid w:val="003F7358"/>
    <w:rsid w:val="003F7EBD"/>
    <w:rsid w:val="004002FF"/>
    <w:rsid w:val="0040118F"/>
    <w:rsid w:val="004011DF"/>
    <w:rsid w:val="0040164C"/>
    <w:rsid w:val="00401818"/>
    <w:rsid w:val="00402103"/>
    <w:rsid w:val="0040225A"/>
    <w:rsid w:val="00402847"/>
    <w:rsid w:val="00402D9B"/>
    <w:rsid w:val="00403C59"/>
    <w:rsid w:val="004042C9"/>
    <w:rsid w:val="00404301"/>
    <w:rsid w:val="00404480"/>
    <w:rsid w:val="00404A57"/>
    <w:rsid w:val="00405E3E"/>
    <w:rsid w:val="004061F2"/>
    <w:rsid w:val="0040669F"/>
    <w:rsid w:val="00407A69"/>
    <w:rsid w:val="00407A8E"/>
    <w:rsid w:val="00407DD3"/>
    <w:rsid w:val="00410174"/>
    <w:rsid w:val="004107A1"/>
    <w:rsid w:val="00410C1F"/>
    <w:rsid w:val="00412C66"/>
    <w:rsid w:val="004155BE"/>
    <w:rsid w:val="00416D6C"/>
    <w:rsid w:val="0041713F"/>
    <w:rsid w:val="0041751E"/>
    <w:rsid w:val="00421748"/>
    <w:rsid w:val="00421A31"/>
    <w:rsid w:val="00422CF6"/>
    <w:rsid w:val="004230C6"/>
    <w:rsid w:val="00423774"/>
    <w:rsid w:val="00424261"/>
    <w:rsid w:val="00424745"/>
    <w:rsid w:val="0042539D"/>
    <w:rsid w:val="004256B8"/>
    <w:rsid w:val="00430656"/>
    <w:rsid w:val="00431728"/>
    <w:rsid w:val="00431A54"/>
    <w:rsid w:val="00432F0D"/>
    <w:rsid w:val="004349CC"/>
    <w:rsid w:val="0043698A"/>
    <w:rsid w:val="00436C8D"/>
    <w:rsid w:val="00437597"/>
    <w:rsid w:val="004376B5"/>
    <w:rsid w:val="00437944"/>
    <w:rsid w:val="00437977"/>
    <w:rsid w:val="00440493"/>
    <w:rsid w:val="00441636"/>
    <w:rsid w:val="00442682"/>
    <w:rsid w:val="004426D5"/>
    <w:rsid w:val="004433D7"/>
    <w:rsid w:val="00443852"/>
    <w:rsid w:val="00443DCC"/>
    <w:rsid w:val="00444132"/>
    <w:rsid w:val="0044490F"/>
    <w:rsid w:val="0044495B"/>
    <w:rsid w:val="004453F4"/>
    <w:rsid w:val="004472FB"/>
    <w:rsid w:val="00447837"/>
    <w:rsid w:val="00450E6B"/>
    <w:rsid w:val="004510C8"/>
    <w:rsid w:val="004515BC"/>
    <w:rsid w:val="00452CBB"/>
    <w:rsid w:val="004549D3"/>
    <w:rsid w:val="004558FE"/>
    <w:rsid w:val="00455CC8"/>
    <w:rsid w:val="00456DAC"/>
    <w:rsid w:val="00456F5B"/>
    <w:rsid w:val="00457278"/>
    <w:rsid w:val="00457DA7"/>
    <w:rsid w:val="00461C0C"/>
    <w:rsid w:val="00463F92"/>
    <w:rsid w:val="00464033"/>
    <w:rsid w:val="004651A7"/>
    <w:rsid w:val="00465212"/>
    <w:rsid w:val="004652BE"/>
    <w:rsid w:val="0046561C"/>
    <w:rsid w:val="00465D64"/>
    <w:rsid w:val="004666C6"/>
    <w:rsid w:val="00466910"/>
    <w:rsid w:val="00466B80"/>
    <w:rsid w:val="00467293"/>
    <w:rsid w:val="004700ED"/>
    <w:rsid w:val="00470491"/>
    <w:rsid w:val="00471B88"/>
    <w:rsid w:val="00472DD9"/>
    <w:rsid w:val="00473481"/>
    <w:rsid w:val="004737D3"/>
    <w:rsid w:val="00474FBB"/>
    <w:rsid w:val="00475973"/>
    <w:rsid w:val="00475CA0"/>
    <w:rsid w:val="00475D9A"/>
    <w:rsid w:val="00476212"/>
    <w:rsid w:val="0047636C"/>
    <w:rsid w:val="00477599"/>
    <w:rsid w:val="00481CC2"/>
    <w:rsid w:val="00481F9B"/>
    <w:rsid w:val="00482626"/>
    <w:rsid w:val="00482A4A"/>
    <w:rsid w:val="00484A07"/>
    <w:rsid w:val="00484BA5"/>
    <w:rsid w:val="004863F1"/>
    <w:rsid w:val="004867B7"/>
    <w:rsid w:val="00487807"/>
    <w:rsid w:val="00490EF5"/>
    <w:rsid w:val="00491279"/>
    <w:rsid w:val="004947B3"/>
    <w:rsid w:val="00494BF5"/>
    <w:rsid w:val="00494E76"/>
    <w:rsid w:val="00495725"/>
    <w:rsid w:val="0049699F"/>
    <w:rsid w:val="00497EB9"/>
    <w:rsid w:val="004A00C2"/>
    <w:rsid w:val="004A020B"/>
    <w:rsid w:val="004A0247"/>
    <w:rsid w:val="004A0746"/>
    <w:rsid w:val="004A2511"/>
    <w:rsid w:val="004A2E6A"/>
    <w:rsid w:val="004A3A78"/>
    <w:rsid w:val="004A5227"/>
    <w:rsid w:val="004A5492"/>
    <w:rsid w:val="004A74E9"/>
    <w:rsid w:val="004A7903"/>
    <w:rsid w:val="004B0493"/>
    <w:rsid w:val="004B05C1"/>
    <w:rsid w:val="004B0656"/>
    <w:rsid w:val="004B09B7"/>
    <w:rsid w:val="004B297B"/>
    <w:rsid w:val="004B2EEB"/>
    <w:rsid w:val="004B3318"/>
    <w:rsid w:val="004B3BA6"/>
    <w:rsid w:val="004B422D"/>
    <w:rsid w:val="004B4292"/>
    <w:rsid w:val="004B59EE"/>
    <w:rsid w:val="004B6542"/>
    <w:rsid w:val="004B69A5"/>
    <w:rsid w:val="004B73A1"/>
    <w:rsid w:val="004B788D"/>
    <w:rsid w:val="004C0D27"/>
    <w:rsid w:val="004C35A0"/>
    <w:rsid w:val="004C52A2"/>
    <w:rsid w:val="004C5933"/>
    <w:rsid w:val="004C5BBC"/>
    <w:rsid w:val="004C7046"/>
    <w:rsid w:val="004C76E4"/>
    <w:rsid w:val="004D0A7B"/>
    <w:rsid w:val="004D0CD7"/>
    <w:rsid w:val="004D14F2"/>
    <w:rsid w:val="004D1F1B"/>
    <w:rsid w:val="004D2526"/>
    <w:rsid w:val="004D3323"/>
    <w:rsid w:val="004D4213"/>
    <w:rsid w:val="004D47C0"/>
    <w:rsid w:val="004D4BD5"/>
    <w:rsid w:val="004D5D6E"/>
    <w:rsid w:val="004E0071"/>
    <w:rsid w:val="004E0347"/>
    <w:rsid w:val="004E042E"/>
    <w:rsid w:val="004E0DDB"/>
    <w:rsid w:val="004E277B"/>
    <w:rsid w:val="004E3093"/>
    <w:rsid w:val="004E351A"/>
    <w:rsid w:val="004E50CD"/>
    <w:rsid w:val="004E55E0"/>
    <w:rsid w:val="004E623D"/>
    <w:rsid w:val="004E7096"/>
    <w:rsid w:val="004E7531"/>
    <w:rsid w:val="004F01F9"/>
    <w:rsid w:val="004F04D4"/>
    <w:rsid w:val="004F0C1B"/>
    <w:rsid w:val="004F15E2"/>
    <w:rsid w:val="004F18E8"/>
    <w:rsid w:val="004F1BCB"/>
    <w:rsid w:val="004F1C3C"/>
    <w:rsid w:val="004F352D"/>
    <w:rsid w:val="004F3D61"/>
    <w:rsid w:val="004F4036"/>
    <w:rsid w:val="004F5F70"/>
    <w:rsid w:val="004F665D"/>
    <w:rsid w:val="004F71CB"/>
    <w:rsid w:val="004F73B7"/>
    <w:rsid w:val="004F7724"/>
    <w:rsid w:val="004F7D81"/>
    <w:rsid w:val="004F7E2A"/>
    <w:rsid w:val="0050075F"/>
    <w:rsid w:val="0050273E"/>
    <w:rsid w:val="00503136"/>
    <w:rsid w:val="0050398E"/>
    <w:rsid w:val="0050474A"/>
    <w:rsid w:val="00504BE9"/>
    <w:rsid w:val="0050522B"/>
    <w:rsid w:val="00506133"/>
    <w:rsid w:val="005066FC"/>
    <w:rsid w:val="00506A4E"/>
    <w:rsid w:val="005077F8"/>
    <w:rsid w:val="00510112"/>
    <w:rsid w:val="00513B26"/>
    <w:rsid w:val="00513DFD"/>
    <w:rsid w:val="00513E54"/>
    <w:rsid w:val="0051537F"/>
    <w:rsid w:val="0051632F"/>
    <w:rsid w:val="00516841"/>
    <w:rsid w:val="00516A4F"/>
    <w:rsid w:val="00516DAA"/>
    <w:rsid w:val="005176CA"/>
    <w:rsid w:val="005215E4"/>
    <w:rsid w:val="005219D4"/>
    <w:rsid w:val="005248AE"/>
    <w:rsid w:val="00524F11"/>
    <w:rsid w:val="00526784"/>
    <w:rsid w:val="0052722E"/>
    <w:rsid w:val="005275F7"/>
    <w:rsid w:val="005324A5"/>
    <w:rsid w:val="005327EC"/>
    <w:rsid w:val="0053292D"/>
    <w:rsid w:val="00532DB9"/>
    <w:rsid w:val="00532F20"/>
    <w:rsid w:val="00533417"/>
    <w:rsid w:val="00533AAE"/>
    <w:rsid w:val="005349E8"/>
    <w:rsid w:val="005350AE"/>
    <w:rsid w:val="00537058"/>
    <w:rsid w:val="00540CCC"/>
    <w:rsid w:val="00541005"/>
    <w:rsid w:val="00541B9C"/>
    <w:rsid w:val="00542A55"/>
    <w:rsid w:val="00542ED6"/>
    <w:rsid w:val="00543D03"/>
    <w:rsid w:val="005450E5"/>
    <w:rsid w:val="005455B1"/>
    <w:rsid w:val="005455C5"/>
    <w:rsid w:val="005501FF"/>
    <w:rsid w:val="005504C2"/>
    <w:rsid w:val="00550B23"/>
    <w:rsid w:val="00550C22"/>
    <w:rsid w:val="00550D00"/>
    <w:rsid w:val="00550EEC"/>
    <w:rsid w:val="00551198"/>
    <w:rsid w:val="005514D7"/>
    <w:rsid w:val="00553810"/>
    <w:rsid w:val="00553A18"/>
    <w:rsid w:val="0055453E"/>
    <w:rsid w:val="00554DD0"/>
    <w:rsid w:val="005555EA"/>
    <w:rsid w:val="00555C80"/>
    <w:rsid w:val="00555D61"/>
    <w:rsid w:val="00556C1C"/>
    <w:rsid w:val="005575B2"/>
    <w:rsid w:val="00557F4E"/>
    <w:rsid w:val="00561009"/>
    <w:rsid w:val="00561AC9"/>
    <w:rsid w:val="00562387"/>
    <w:rsid w:val="00562712"/>
    <w:rsid w:val="0056276B"/>
    <w:rsid w:val="005632B4"/>
    <w:rsid w:val="005635DB"/>
    <w:rsid w:val="005641AB"/>
    <w:rsid w:val="00564668"/>
    <w:rsid w:val="00564E82"/>
    <w:rsid w:val="00566477"/>
    <w:rsid w:val="00566760"/>
    <w:rsid w:val="00567687"/>
    <w:rsid w:val="00567A36"/>
    <w:rsid w:val="00567A38"/>
    <w:rsid w:val="00570051"/>
    <w:rsid w:val="00571983"/>
    <w:rsid w:val="00571B85"/>
    <w:rsid w:val="00571FF2"/>
    <w:rsid w:val="00572B9B"/>
    <w:rsid w:val="00574EB7"/>
    <w:rsid w:val="0057675C"/>
    <w:rsid w:val="00576A03"/>
    <w:rsid w:val="00576E5F"/>
    <w:rsid w:val="005773FE"/>
    <w:rsid w:val="005779D3"/>
    <w:rsid w:val="00577EAF"/>
    <w:rsid w:val="00577FBA"/>
    <w:rsid w:val="005808D1"/>
    <w:rsid w:val="0058092B"/>
    <w:rsid w:val="00580F39"/>
    <w:rsid w:val="005818A4"/>
    <w:rsid w:val="00581D1B"/>
    <w:rsid w:val="0058216C"/>
    <w:rsid w:val="0058229B"/>
    <w:rsid w:val="005822FC"/>
    <w:rsid w:val="00583E01"/>
    <w:rsid w:val="00583EB1"/>
    <w:rsid w:val="00584373"/>
    <w:rsid w:val="00584890"/>
    <w:rsid w:val="005853A7"/>
    <w:rsid w:val="00585A48"/>
    <w:rsid w:val="00585FDA"/>
    <w:rsid w:val="005861C3"/>
    <w:rsid w:val="005864F4"/>
    <w:rsid w:val="00586B74"/>
    <w:rsid w:val="005870F1"/>
    <w:rsid w:val="005875BE"/>
    <w:rsid w:val="005878C4"/>
    <w:rsid w:val="00590504"/>
    <w:rsid w:val="005906D1"/>
    <w:rsid w:val="00591183"/>
    <w:rsid w:val="00591341"/>
    <w:rsid w:val="0059172D"/>
    <w:rsid w:val="00591DB0"/>
    <w:rsid w:val="00592670"/>
    <w:rsid w:val="00592E10"/>
    <w:rsid w:val="00593E61"/>
    <w:rsid w:val="005946CD"/>
    <w:rsid w:val="00594C17"/>
    <w:rsid w:val="0059613C"/>
    <w:rsid w:val="0059691A"/>
    <w:rsid w:val="005969E2"/>
    <w:rsid w:val="00597B64"/>
    <w:rsid w:val="005A083F"/>
    <w:rsid w:val="005A1224"/>
    <w:rsid w:val="005A1C12"/>
    <w:rsid w:val="005A2162"/>
    <w:rsid w:val="005A2DC5"/>
    <w:rsid w:val="005A46DD"/>
    <w:rsid w:val="005A4735"/>
    <w:rsid w:val="005A5225"/>
    <w:rsid w:val="005A5421"/>
    <w:rsid w:val="005A54FC"/>
    <w:rsid w:val="005A5D3D"/>
    <w:rsid w:val="005A5DEB"/>
    <w:rsid w:val="005A6094"/>
    <w:rsid w:val="005A6E3F"/>
    <w:rsid w:val="005A7EAC"/>
    <w:rsid w:val="005B08A9"/>
    <w:rsid w:val="005B0D8F"/>
    <w:rsid w:val="005B154C"/>
    <w:rsid w:val="005B16D3"/>
    <w:rsid w:val="005B1B86"/>
    <w:rsid w:val="005B2BEE"/>
    <w:rsid w:val="005B3A1F"/>
    <w:rsid w:val="005B4B23"/>
    <w:rsid w:val="005B553E"/>
    <w:rsid w:val="005B56D2"/>
    <w:rsid w:val="005B5A47"/>
    <w:rsid w:val="005C006A"/>
    <w:rsid w:val="005C02CF"/>
    <w:rsid w:val="005C0B34"/>
    <w:rsid w:val="005C0DF5"/>
    <w:rsid w:val="005C2C97"/>
    <w:rsid w:val="005C3FE0"/>
    <w:rsid w:val="005C4C81"/>
    <w:rsid w:val="005C58A0"/>
    <w:rsid w:val="005C78DF"/>
    <w:rsid w:val="005D006C"/>
    <w:rsid w:val="005D0946"/>
    <w:rsid w:val="005D1396"/>
    <w:rsid w:val="005D1E37"/>
    <w:rsid w:val="005D281C"/>
    <w:rsid w:val="005D2C32"/>
    <w:rsid w:val="005D4447"/>
    <w:rsid w:val="005D522C"/>
    <w:rsid w:val="005D5559"/>
    <w:rsid w:val="005D77EB"/>
    <w:rsid w:val="005D7D0F"/>
    <w:rsid w:val="005E0C31"/>
    <w:rsid w:val="005E0E1F"/>
    <w:rsid w:val="005E15D9"/>
    <w:rsid w:val="005E31AE"/>
    <w:rsid w:val="005E3589"/>
    <w:rsid w:val="005E4038"/>
    <w:rsid w:val="005E41E3"/>
    <w:rsid w:val="005E580E"/>
    <w:rsid w:val="005E5E59"/>
    <w:rsid w:val="005E600C"/>
    <w:rsid w:val="005E63D9"/>
    <w:rsid w:val="005E6722"/>
    <w:rsid w:val="005E674E"/>
    <w:rsid w:val="005E6926"/>
    <w:rsid w:val="005E6F72"/>
    <w:rsid w:val="005F0596"/>
    <w:rsid w:val="005F0766"/>
    <w:rsid w:val="005F1DC2"/>
    <w:rsid w:val="005F215E"/>
    <w:rsid w:val="005F3093"/>
    <w:rsid w:val="005F3CC9"/>
    <w:rsid w:val="005F44F2"/>
    <w:rsid w:val="005F4849"/>
    <w:rsid w:val="005F4F7D"/>
    <w:rsid w:val="005F50EB"/>
    <w:rsid w:val="005F538B"/>
    <w:rsid w:val="005F5AC4"/>
    <w:rsid w:val="005F5E91"/>
    <w:rsid w:val="005F6C4E"/>
    <w:rsid w:val="005F6D81"/>
    <w:rsid w:val="005F75AC"/>
    <w:rsid w:val="006059B5"/>
    <w:rsid w:val="006061BE"/>
    <w:rsid w:val="006066D0"/>
    <w:rsid w:val="00606FF6"/>
    <w:rsid w:val="0060705B"/>
    <w:rsid w:val="006072C1"/>
    <w:rsid w:val="006102A0"/>
    <w:rsid w:val="006107F2"/>
    <w:rsid w:val="00610ADB"/>
    <w:rsid w:val="006111FA"/>
    <w:rsid w:val="0061160A"/>
    <w:rsid w:val="006116C6"/>
    <w:rsid w:val="00611862"/>
    <w:rsid w:val="00612266"/>
    <w:rsid w:val="006125FE"/>
    <w:rsid w:val="00612FD0"/>
    <w:rsid w:val="00614BB2"/>
    <w:rsid w:val="00614CD5"/>
    <w:rsid w:val="00615424"/>
    <w:rsid w:val="0061578D"/>
    <w:rsid w:val="00616237"/>
    <w:rsid w:val="0061654E"/>
    <w:rsid w:val="0061763C"/>
    <w:rsid w:val="0061771B"/>
    <w:rsid w:val="00621C95"/>
    <w:rsid w:val="00621CE9"/>
    <w:rsid w:val="00622CBF"/>
    <w:rsid w:val="00623121"/>
    <w:rsid w:val="00624439"/>
    <w:rsid w:val="0062452E"/>
    <w:rsid w:val="0062495B"/>
    <w:rsid w:val="00626FFE"/>
    <w:rsid w:val="00627BFB"/>
    <w:rsid w:val="00630E54"/>
    <w:rsid w:val="00631180"/>
    <w:rsid w:val="006311C4"/>
    <w:rsid w:val="00631988"/>
    <w:rsid w:val="00631AD4"/>
    <w:rsid w:val="00633155"/>
    <w:rsid w:val="006339AB"/>
    <w:rsid w:val="006345A6"/>
    <w:rsid w:val="0063638A"/>
    <w:rsid w:val="00636D51"/>
    <w:rsid w:val="00636F0A"/>
    <w:rsid w:val="00637DBB"/>
    <w:rsid w:val="00640346"/>
    <w:rsid w:val="006403F0"/>
    <w:rsid w:val="00640460"/>
    <w:rsid w:val="0064066C"/>
    <w:rsid w:val="00640769"/>
    <w:rsid w:val="00640EC7"/>
    <w:rsid w:val="00641039"/>
    <w:rsid w:val="00641FD8"/>
    <w:rsid w:val="00642175"/>
    <w:rsid w:val="00643C3F"/>
    <w:rsid w:val="006445FD"/>
    <w:rsid w:val="00644C72"/>
    <w:rsid w:val="00644DDB"/>
    <w:rsid w:val="00645366"/>
    <w:rsid w:val="00645AAB"/>
    <w:rsid w:val="00646A36"/>
    <w:rsid w:val="006477FE"/>
    <w:rsid w:val="00647A8B"/>
    <w:rsid w:val="00647F8B"/>
    <w:rsid w:val="00650D7F"/>
    <w:rsid w:val="00651CDB"/>
    <w:rsid w:val="00651CE4"/>
    <w:rsid w:val="0065285A"/>
    <w:rsid w:val="006528EC"/>
    <w:rsid w:val="00653562"/>
    <w:rsid w:val="006537FA"/>
    <w:rsid w:val="00653EF8"/>
    <w:rsid w:val="0065459F"/>
    <w:rsid w:val="006551E5"/>
    <w:rsid w:val="00655677"/>
    <w:rsid w:val="006559E7"/>
    <w:rsid w:val="006561AF"/>
    <w:rsid w:val="00656CD5"/>
    <w:rsid w:val="00657BAE"/>
    <w:rsid w:val="00660865"/>
    <w:rsid w:val="0066246A"/>
    <w:rsid w:val="006624AB"/>
    <w:rsid w:val="006632B1"/>
    <w:rsid w:val="00663C04"/>
    <w:rsid w:val="00663D89"/>
    <w:rsid w:val="00664569"/>
    <w:rsid w:val="00664C63"/>
    <w:rsid w:val="00664D2F"/>
    <w:rsid w:val="00665A74"/>
    <w:rsid w:val="006671E9"/>
    <w:rsid w:val="00667F80"/>
    <w:rsid w:val="00667FC0"/>
    <w:rsid w:val="006717F5"/>
    <w:rsid w:val="00672354"/>
    <w:rsid w:val="006724E1"/>
    <w:rsid w:val="006727CD"/>
    <w:rsid w:val="0067337A"/>
    <w:rsid w:val="00673E6D"/>
    <w:rsid w:val="0067614E"/>
    <w:rsid w:val="0067685D"/>
    <w:rsid w:val="00676966"/>
    <w:rsid w:val="0067719D"/>
    <w:rsid w:val="00680311"/>
    <w:rsid w:val="00681185"/>
    <w:rsid w:val="00681557"/>
    <w:rsid w:val="00681A4F"/>
    <w:rsid w:val="0068264F"/>
    <w:rsid w:val="00682B28"/>
    <w:rsid w:val="00683F8B"/>
    <w:rsid w:val="00684614"/>
    <w:rsid w:val="00684BBF"/>
    <w:rsid w:val="00684F61"/>
    <w:rsid w:val="006854DF"/>
    <w:rsid w:val="006858E4"/>
    <w:rsid w:val="00686857"/>
    <w:rsid w:val="006868B4"/>
    <w:rsid w:val="00687F1D"/>
    <w:rsid w:val="0069013D"/>
    <w:rsid w:val="006905A4"/>
    <w:rsid w:val="00690622"/>
    <w:rsid w:val="00691B50"/>
    <w:rsid w:val="00691D72"/>
    <w:rsid w:val="006924A7"/>
    <w:rsid w:val="0069257F"/>
    <w:rsid w:val="00693DAF"/>
    <w:rsid w:val="006950EF"/>
    <w:rsid w:val="00695479"/>
    <w:rsid w:val="00695C24"/>
    <w:rsid w:val="00697F97"/>
    <w:rsid w:val="006A076D"/>
    <w:rsid w:val="006A0F97"/>
    <w:rsid w:val="006A227D"/>
    <w:rsid w:val="006A248D"/>
    <w:rsid w:val="006A2529"/>
    <w:rsid w:val="006A44F2"/>
    <w:rsid w:val="006A4806"/>
    <w:rsid w:val="006A60A1"/>
    <w:rsid w:val="006A7AF0"/>
    <w:rsid w:val="006A7E06"/>
    <w:rsid w:val="006B1110"/>
    <w:rsid w:val="006B11F9"/>
    <w:rsid w:val="006B1A0F"/>
    <w:rsid w:val="006B2508"/>
    <w:rsid w:val="006B3E84"/>
    <w:rsid w:val="006B5524"/>
    <w:rsid w:val="006B5D1D"/>
    <w:rsid w:val="006B62D9"/>
    <w:rsid w:val="006B6C59"/>
    <w:rsid w:val="006B6C8D"/>
    <w:rsid w:val="006C246F"/>
    <w:rsid w:val="006C2AEC"/>
    <w:rsid w:val="006C385B"/>
    <w:rsid w:val="006C4405"/>
    <w:rsid w:val="006C4AE3"/>
    <w:rsid w:val="006C4B14"/>
    <w:rsid w:val="006C5484"/>
    <w:rsid w:val="006C6155"/>
    <w:rsid w:val="006C665B"/>
    <w:rsid w:val="006C6918"/>
    <w:rsid w:val="006C7AE8"/>
    <w:rsid w:val="006D005B"/>
    <w:rsid w:val="006D1165"/>
    <w:rsid w:val="006D1485"/>
    <w:rsid w:val="006D60BD"/>
    <w:rsid w:val="006D6256"/>
    <w:rsid w:val="006D6419"/>
    <w:rsid w:val="006D6589"/>
    <w:rsid w:val="006D6EEA"/>
    <w:rsid w:val="006D74C3"/>
    <w:rsid w:val="006E061E"/>
    <w:rsid w:val="006E0A1E"/>
    <w:rsid w:val="006E22B7"/>
    <w:rsid w:val="006E2D9F"/>
    <w:rsid w:val="006E2F50"/>
    <w:rsid w:val="006E33F2"/>
    <w:rsid w:val="006E35AF"/>
    <w:rsid w:val="006E3CF5"/>
    <w:rsid w:val="006E4656"/>
    <w:rsid w:val="006E4948"/>
    <w:rsid w:val="006E4BE4"/>
    <w:rsid w:val="006E519C"/>
    <w:rsid w:val="006E524B"/>
    <w:rsid w:val="006E6939"/>
    <w:rsid w:val="006E6AA6"/>
    <w:rsid w:val="006E6CE8"/>
    <w:rsid w:val="006E735E"/>
    <w:rsid w:val="006E74E8"/>
    <w:rsid w:val="006F069F"/>
    <w:rsid w:val="006F102E"/>
    <w:rsid w:val="006F1478"/>
    <w:rsid w:val="006F1D1B"/>
    <w:rsid w:val="006F2BD1"/>
    <w:rsid w:val="006F3A07"/>
    <w:rsid w:val="006F42E8"/>
    <w:rsid w:val="006F4A4F"/>
    <w:rsid w:val="006F5922"/>
    <w:rsid w:val="006F5C0F"/>
    <w:rsid w:val="006F6D36"/>
    <w:rsid w:val="00701970"/>
    <w:rsid w:val="0070259D"/>
    <w:rsid w:val="00702A6E"/>
    <w:rsid w:val="00703CDF"/>
    <w:rsid w:val="00705576"/>
    <w:rsid w:val="00705EAB"/>
    <w:rsid w:val="007070DA"/>
    <w:rsid w:val="007071F0"/>
    <w:rsid w:val="00707A8F"/>
    <w:rsid w:val="00710530"/>
    <w:rsid w:val="00710C83"/>
    <w:rsid w:val="00711116"/>
    <w:rsid w:val="0071263B"/>
    <w:rsid w:val="0071294F"/>
    <w:rsid w:val="00712A2B"/>
    <w:rsid w:val="0071334A"/>
    <w:rsid w:val="007150AF"/>
    <w:rsid w:val="007154DB"/>
    <w:rsid w:val="00715C94"/>
    <w:rsid w:val="00716C95"/>
    <w:rsid w:val="00716E48"/>
    <w:rsid w:val="007206D3"/>
    <w:rsid w:val="00722BE7"/>
    <w:rsid w:val="00722DC3"/>
    <w:rsid w:val="007233BA"/>
    <w:rsid w:val="00723BDE"/>
    <w:rsid w:val="0072405A"/>
    <w:rsid w:val="00725203"/>
    <w:rsid w:val="00726118"/>
    <w:rsid w:val="00727DE7"/>
    <w:rsid w:val="0073016E"/>
    <w:rsid w:val="00730F49"/>
    <w:rsid w:val="00731CA3"/>
    <w:rsid w:val="00733149"/>
    <w:rsid w:val="00733DD5"/>
    <w:rsid w:val="007349EC"/>
    <w:rsid w:val="00734F8B"/>
    <w:rsid w:val="007356ED"/>
    <w:rsid w:val="007401A5"/>
    <w:rsid w:val="007402AC"/>
    <w:rsid w:val="00740F97"/>
    <w:rsid w:val="00741844"/>
    <w:rsid w:val="00741ED8"/>
    <w:rsid w:val="00742652"/>
    <w:rsid w:val="00742DAD"/>
    <w:rsid w:val="007450C7"/>
    <w:rsid w:val="0074526B"/>
    <w:rsid w:val="00745458"/>
    <w:rsid w:val="0074552F"/>
    <w:rsid w:val="00745C7E"/>
    <w:rsid w:val="0074674A"/>
    <w:rsid w:val="00746ADD"/>
    <w:rsid w:val="00751302"/>
    <w:rsid w:val="00752AE6"/>
    <w:rsid w:val="007535AB"/>
    <w:rsid w:val="00753F7A"/>
    <w:rsid w:val="0075510D"/>
    <w:rsid w:val="00756488"/>
    <w:rsid w:val="00756AA1"/>
    <w:rsid w:val="00757E4B"/>
    <w:rsid w:val="00757E8C"/>
    <w:rsid w:val="00760EFA"/>
    <w:rsid w:val="00761DF5"/>
    <w:rsid w:val="00762266"/>
    <w:rsid w:val="007623E7"/>
    <w:rsid w:val="007641A7"/>
    <w:rsid w:val="007649E5"/>
    <w:rsid w:val="00764FC4"/>
    <w:rsid w:val="0076516B"/>
    <w:rsid w:val="00765DA2"/>
    <w:rsid w:val="00766AF4"/>
    <w:rsid w:val="00766C3B"/>
    <w:rsid w:val="00767ECF"/>
    <w:rsid w:val="00771F31"/>
    <w:rsid w:val="00772ADD"/>
    <w:rsid w:val="00773AFA"/>
    <w:rsid w:val="00774188"/>
    <w:rsid w:val="0077574F"/>
    <w:rsid w:val="00775843"/>
    <w:rsid w:val="00775AE8"/>
    <w:rsid w:val="00775DE8"/>
    <w:rsid w:val="007764DA"/>
    <w:rsid w:val="00776A32"/>
    <w:rsid w:val="00776DD2"/>
    <w:rsid w:val="007774C3"/>
    <w:rsid w:val="007778EC"/>
    <w:rsid w:val="00777EC4"/>
    <w:rsid w:val="0078058D"/>
    <w:rsid w:val="0078094B"/>
    <w:rsid w:val="00781F35"/>
    <w:rsid w:val="007820A1"/>
    <w:rsid w:val="007825E5"/>
    <w:rsid w:val="00783D79"/>
    <w:rsid w:val="00785548"/>
    <w:rsid w:val="00785756"/>
    <w:rsid w:val="00786B2D"/>
    <w:rsid w:val="00786FB1"/>
    <w:rsid w:val="007873F8"/>
    <w:rsid w:val="007877C8"/>
    <w:rsid w:val="00791104"/>
    <w:rsid w:val="00792ED4"/>
    <w:rsid w:val="00792FDF"/>
    <w:rsid w:val="00793F1A"/>
    <w:rsid w:val="007959AA"/>
    <w:rsid w:val="00796065"/>
    <w:rsid w:val="007A16AA"/>
    <w:rsid w:val="007A1CD5"/>
    <w:rsid w:val="007A1D5A"/>
    <w:rsid w:val="007A1E23"/>
    <w:rsid w:val="007A20B5"/>
    <w:rsid w:val="007A3055"/>
    <w:rsid w:val="007A40C9"/>
    <w:rsid w:val="007A49C6"/>
    <w:rsid w:val="007A4A5C"/>
    <w:rsid w:val="007A4FD2"/>
    <w:rsid w:val="007A5FD2"/>
    <w:rsid w:val="007A6722"/>
    <w:rsid w:val="007A6F36"/>
    <w:rsid w:val="007B0780"/>
    <w:rsid w:val="007B0BC1"/>
    <w:rsid w:val="007B21BF"/>
    <w:rsid w:val="007B2264"/>
    <w:rsid w:val="007B2600"/>
    <w:rsid w:val="007B492A"/>
    <w:rsid w:val="007B58AE"/>
    <w:rsid w:val="007B789C"/>
    <w:rsid w:val="007C1F99"/>
    <w:rsid w:val="007C204A"/>
    <w:rsid w:val="007C2E74"/>
    <w:rsid w:val="007C36CA"/>
    <w:rsid w:val="007C4F5E"/>
    <w:rsid w:val="007C4F74"/>
    <w:rsid w:val="007C5057"/>
    <w:rsid w:val="007C519A"/>
    <w:rsid w:val="007C61CE"/>
    <w:rsid w:val="007C6670"/>
    <w:rsid w:val="007C6E82"/>
    <w:rsid w:val="007C74C3"/>
    <w:rsid w:val="007C7977"/>
    <w:rsid w:val="007D050F"/>
    <w:rsid w:val="007D0B67"/>
    <w:rsid w:val="007D141D"/>
    <w:rsid w:val="007D1D8E"/>
    <w:rsid w:val="007D2CBA"/>
    <w:rsid w:val="007D2FD9"/>
    <w:rsid w:val="007D3CF2"/>
    <w:rsid w:val="007D3EA5"/>
    <w:rsid w:val="007D4E62"/>
    <w:rsid w:val="007D5534"/>
    <w:rsid w:val="007D5BE7"/>
    <w:rsid w:val="007D6DF2"/>
    <w:rsid w:val="007D7B0E"/>
    <w:rsid w:val="007D7C4C"/>
    <w:rsid w:val="007D7E40"/>
    <w:rsid w:val="007E1114"/>
    <w:rsid w:val="007E13FA"/>
    <w:rsid w:val="007E1A58"/>
    <w:rsid w:val="007E280F"/>
    <w:rsid w:val="007E2F44"/>
    <w:rsid w:val="007E3A0B"/>
    <w:rsid w:val="007E40B1"/>
    <w:rsid w:val="007E4580"/>
    <w:rsid w:val="007E4F77"/>
    <w:rsid w:val="007E50BC"/>
    <w:rsid w:val="007E724C"/>
    <w:rsid w:val="007E747D"/>
    <w:rsid w:val="007E7A6E"/>
    <w:rsid w:val="007F082F"/>
    <w:rsid w:val="007F0AC0"/>
    <w:rsid w:val="007F2104"/>
    <w:rsid w:val="007F24E8"/>
    <w:rsid w:val="007F2E98"/>
    <w:rsid w:val="007F3DFC"/>
    <w:rsid w:val="007F49F6"/>
    <w:rsid w:val="007F5894"/>
    <w:rsid w:val="007F75C2"/>
    <w:rsid w:val="00802945"/>
    <w:rsid w:val="00804613"/>
    <w:rsid w:val="00807161"/>
    <w:rsid w:val="00807198"/>
    <w:rsid w:val="008073A0"/>
    <w:rsid w:val="00807411"/>
    <w:rsid w:val="00807A69"/>
    <w:rsid w:val="0081014A"/>
    <w:rsid w:val="00810907"/>
    <w:rsid w:val="00810F7C"/>
    <w:rsid w:val="0081218F"/>
    <w:rsid w:val="00813845"/>
    <w:rsid w:val="00813B59"/>
    <w:rsid w:val="00817393"/>
    <w:rsid w:val="00820A38"/>
    <w:rsid w:val="00820F9C"/>
    <w:rsid w:val="00821F47"/>
    <w:rsid w:val="008221D4"/>
    <w:rsid w:val="00822D94"/>
    <w:rsid w:val="008231C2"/>
    <w:rsid w:val="008236B7"/>
    <w:rsid w:val="00823F0E"/>
    <w:rsid w:val="0082525E"/>
    <w:rsid w:val="008252F2"/>
    <w:rsid w:val="00825C2D"/>
    <w:rsid w:val="00826B41"/>
    <w:rsid w:val="00826B66"/>
    <w:rsid w:val="008271D0"/>
    <w:rsid w:val="008310A3"/>
    <w:rsid w:val="008315E3"/>
    <w:rsid w:val="008315E5"/>
    <w:rsid w:val="00831660"/>
    <w:rsid w:val="008318B7"/>
    <w:rsid w:val="00831E54"/>
    <w:rsid w:val="00831EF8"/>
    <w:rsid w:val="00833185"/>
    <w:rsid w:val="008333E5"/>
    <w:rsid w:val="008337A5"/>
    <w:rsid w:val="00833849"/>
    <w:rsid w:val="00834505"/>
    <w:rsid w:val="008365B1"/>
    <w:rsid w:val="008373F2"/>
    <w:rsid w:val="0083744E"/>
    <w:rsid w:val="0084140C"/>
    <w:rsid w:val="00841554"/>
    <w:rsid w:val="0084263C"/>
    <w:rsid w:val="0084272A"/>
    <w:rsid w:val="00843BCF"/>
    <w:rsid w:val="00843C92"/>
    <w:rsid w:val="008449C5"/>
    <w:rsid w:val="0084636F"/>
    <w:rsid w:val="00846578"/>
    <w:rsid w:val="00850F88"/>
    <w:rsid w:val="00851DCA"/>
    <w:rsid w:val="00852C80"/>
    <w:rsid w:val="00852DFC"/>
    <w:rsid w:val="008532F5"/>
    <w:rsid w:val="008541F7"/>
    <w:rsid w:val="00854DBE"/>
    <w:rsid w:val="008550B8"/>
    <w:rsid w:val="0085620E"/>
    <w:rsid w:val="008566F0"/>
    <w:rsid w:val="008568D2"/>
    <w:rsid w:val="0085741E"/>
    <w:rsid w:val="0086175B"/>
    <w:rsid w:val="00861C71"/>
    <w:rsid w:val="00862090"/>
    <w:rsid w:val="008622F1"/>
    <w:rsid w:val="0086249E"/>
    <w:rsid w:val="008624EF"/>
    <w:rsid w:val="00862793"/>
    <w:rsid w:val="00863426"/>
    <w:rsid w:val="00864773"/>
    <w:rsid w:val="00865079"/>
    <w:rsid w:val="00865489"/>
    <w:rsid w:val="00866414"/>
    <w:rsid w:val="0086714B"/>
    <w:rsid w:val="00867379"/>
    <w:rsid w:val="00867E73"/>
    <w:rsid w:val="008704CB"/>
    <w:rsid w:val="00871636"/>
    <w:rsid w:val="00871D0B"/>
    <w:rsid w:val="00872FA1"/>
    <w:rsid w:val="00873C15"/>
    <w:rsid w:val="00873E78"/>
    <w:rsid w:val="00875315"/>
    <w:rsid w:val="00875667"/>
    <w:rsid w:val="00876296"/>
    <w:rsid w:val="008763CD"/>
    <w:rsid w:val="00880871"/>
    <w:rsid w:val="00881F90"/>
    <w:rsid w:val="008821CC"/>
    <w:rsid w:val="00883303"/>
    <w:rsid w:val="00883772"/>
    <w:rsid w:val="008845F6"/>
    <w:rsid w:val="00884D96"/>
    <w:rsid w:val="00885D0C"/>
    <w:rsid w:val="00886449"/>
    <w:rsid w:val="00886957"/>
    <w:rsid w:val="00886BDF"/>
    <w:rsid w:val="0088734E"/>
    <w:rsid w:val="0089034E"/>
    <w:rsid w:val="00890F25"/>
    <w:rsid w:val="008913F5"/>
    <w:rsid w:val="00891734"/>
    <w:rsid w:val="00891C7C"/>
    <w:rsid w:val="00891F7F"/>
    <w:rsid w:val="00893635"/>
    <w:rsid w:val="00893804"/>
    <w:rsid w:val="00893A37"/>
    <w:rsid w:val="00893F06"/>
    <w:rsid w:val="008940FA"/>
    <w:rsid w:val="00894BAF"/>
    <w:rsid w:val="00895D37"/>
    <w:rsid w:val="0089633F"/>
    <w:rsid w:val="008976FF"/>
    <w:rsid w:val="00897A8A"/>
    <w:rsid w:val="008A0702"/>
    <w:rsid w:val="008A0CB5"/>
    <w:rsid w:val="008A187A"/>
    <w:rsid w:val="008A23BF"/>
    <w:rsid w:val="008A29AD"/>
    <w:rsid w:val="008A2DEA"/>
    <w:rsid w:val="008A3BC0"/>
    <w:rsid w:val="008A45ED"/>
    <w:rsid w:val="008A5407"/>
    <w:rsid w:val="008A56C5"/>
    <w:rsid w:val="008A5AAF"/>
    <w:rsid w:val="008A6653"/>
    <w:rsid w:val="008A7399"/>
    <w:rsid w:val="008A7BF9"/>
    <w:rsid w:val="008A7E3C"/>
    <w:rsid w:val="008B142D"/>
    <w:rsid w:val="008B2026"/>
    <w:rsid w:val="008B336F"/>
    <w:rsid w:val="008B3A3D"/>
    <w:rsid w:val="008B3A71"/>
    <w:rsid w:val="008B3D28"/>
    <w:rsid w:val="008B416A"/>
    <w:rsid w:val="008B5CF2"/>
    <w:rsid w:val="008B6E41"/>
    <w:rsid w:val="008B7C1C"/>
    <w:rsid w:val="008C0ECE"/>
    <w:rsid w:val="008C1141"/>
    <w:rsid w:val="008C151C"/>
    <w:rsid w:val="008C1CBD"/>
    <w:rsid w:val="008C37D4"/>
    <w:rsid w:val="008C3CB5"/>
    <w:rsid w:val="008C413D"/>
    <w:rsid w:val="008C4F29"/>
    <w:rsid w:val="008C5097"/>
    <w:rsid w:val="008C7E7C"/>
    <w:rsid w:val="008D0E3F"/>
    <w:rsid w:val="008D0F27"/>
    <w:rsid w:val="008D13B7"/>
    <w:rsid w:val="008D18EC"/>
    <w:rsid w:val="008D2147"/>
    <w:rsid w:val="008D2B27"/>
    <w:rsid w:val="008D594F"/>
    <w:rsid w:val="008D5BA8"/>
    <w:rsid w:val="008D5BB7"/>
    <w:rsid w:val="008D5CE1"/>
    <w:rsid w:val="008D63CC"/>
    <w:rsid w:val="008D6CDB"/>
    <w:rsid w:val="008E0170"/>
    <w:rsid w:val="008E0A83"/>
    <w:rsid w:val="008E168C"/>
    <w:rsid w:val="008E5053"/>
    <w:rsid w:val="008E57FF"/>
    <w:rsid w:val="008E5A6E"/>
    <w:rsid w:val="008E6E6D"/>
    <w:rsid w:val="008E7444"/>
    <w:rsid w:val="008E7693"/>
    <w:rsid w:val="008E7D50"/>
    <w:rsid w:val="008E7F9C"/>
    <w:rsid w:val="008F059C"/>
    <w:rsid w:val="008F0EBB"/>
    <w:rsid w:val="008F0EDD"/>
    <w:rsid w:val="008F18F0"/>
    <w:rsid w:val="008F2691"/>
    <w:rsid w:val="008F278C"/>
    <w:rsid w:val="008F31D5"/>
    <w:rsid w:val="008F41D5"/>
    <w:rsid w:val="008F503E"/>
    <w:rsid w:val="008F5668"/>
    <w:rsid w:val="008F62D7"/>
    <w:rsid w:val="008F65BE"/>
    <w:rsid w:val="00900996"/>
    <w:rsid w:val="00900B54"/>
    <w:rsid w:val="00900EBC"/>
    <w:rsid w:val="00901540"/>
    <w:rsid w:val="00901AD0"/>
    <w:rsid w:val="00901B40"/>
    <w:rsid w:val="00903435"/>
    <w:rsid w:val="00903622"/>
    <w:rsid w:val="009058BD"/>
    <w:rsid w:val="00905F6D"/>
    <w:rsid w:val="00906516"/>
    <w:rsid w:val="00906859"/>
    <w:rsid w:val="00907F08"/>
    <w:rsid w:val="0091003A"/>
    <w:rsid w:val="00910E66"/>
    <w:rsid w:val="0091108F"/>
    <w:rsid w:val="009131FC"/>
    <w:rsid w:val="00913644"/>
    <w:rsid w:val="00914455"/>
    <w:rsid w:val="009145B3"/>
    <w:rsid w:val="00914B5E"/>
    <w:rsid w:val="00914F44"/>
    <w:rsid w:val="00915336"/>
    <w:rsid w:val="0091658E"/>
    <w:rsid w:val="009206F9"/>
    <w:rsid w:val="00920E31"/>
    <w:rsid w:val="00920E3C"/>
    <w:rsid w:val="009213B5"/>
    <w:rsid w:val="00922BDE"/>
    <w:rsid w:val="009232DB"/>
    <w:rsid w:val="009245AB"/>
    <w:rsid w:val="00924964"/>
    <w:rsid w:val="009251BD"/>
    <w:rsid w:val="00925485"/>
    <w:rsid w:val="00926184"/>
    <w:rsid w:val="009264FF"/>
    <w:rsid w:val="00926A6F"/>
    <w:rsid w:val="00926B2B"/>
    <w:rsid w:val="00926CD1"/>
    <w:rsid w:val="00927B81"/>
    <w:rsid w:val="00931206"/>
    <w:rsid w:val="009318CF"/>
    <w:rsid w:val="00932242"/>
    <w:rsid w:val="0093313E"/>
    <w:rsid w:val="00933161"/>
    <w:rsid w:val="00933327"/>
    <w:rsid w:val="009338B4"/>
    <w:rsid w:val="00934088"/>
    <w:rsid w:val="0093410F"/>
    <w:rsid w:val="00934758"/>
    <w:rsid w:val="0093579D"/>
    <w:rsid w:val="0093587E"/>
    <w:rsid w:val="00936CA6"/>
    <w:rsid w:val="00940431"/>
    <w:rsid w:val="00940F03"/>
    <w:rsid w:val="00941544"/>
    <w:rsid w:val="00941987"/>
    <w:rsid w:val="00941C62"/>
    <w:rsid w:val="00941FB5"/>
    <w:rsid w:val="00942B20"/>
    <w:rsid w:val="00944703"/>
    <w:rsid w:val="009449B5"/>
    <w:rsid w:val="0094501A"/>
    <w:rsid w:val="009456C9"/>
    <w:rsid w:val="00945719"/>
    <w:rsid w:val="00945B4F"/>
    <w:rsid w:val="00946822"/>
    <w:rsid w:val="009470A1"/>
    <w:rsid w:val="00950102"/>
    <w:rsid w:val="00950BAC"/>
    <w:rsid w:val="0095140A"/>
    <w:rsid w:val="00951EE6"/>
    <w:rsid w:val="0095305C"/>
    <w:rsid w:val="0095374D"/>
    <w:rsid w:val="00953AEC"/>
    <w:rsid w:val="0095463F"/>
    <w:rsid w:val="00954B33"/>
    <w:rsid w:val="009563CB"/>
    <w:rsid w:val="009615CD"/>
    <w:rsid w:val="00962A78"/>
    <w:rsid w:val="00962DC9"/>
    <w:rsid w:val="009644A1"/>
    <w:rsid w:val="00964701"/>
    <w:rsid w:val="00964BF2"/>
    <w:rsid w:val="00965924"/>
    <w:rsid w:val="009663AF"/>
    <w:rsid w:val="00966B84"/>
    <w:rsid w:val="00966DD0"/>
    <w:rsid w:val="009702D2"/>
    <w:rsid w:val="00970696"/>
    <w:rsid w:val="00971552"/>
    <w:rsid w:val="00972039"/>
    <w:rsid w:val="009727C7"/>
    <w:rsid w:val="00974F37"/>
    <w:rsid w:val="0097516B"/>
    <w:rsid w:val="0097572B"/>
    <w:rsid w:val="00975883"/>
    <w:rsid w:val="00977846"/>
    <w:rsid w:val="00980E7F"/>
    <w:rsid w:val="00982636"/>
    <w:rsid w:val="0098403D"/>
    <w:rsid w:val="009852A7"/>
    <w:rsid w:val="009869F7"/>
    <w:rsid w:val="00987606"/>
    <w:rsid w:val="00990B7F"/>
    <w:rsid w:val="00990D9A"/>
    <w:rsid w:val="0099100A"/>
    <w:rsid w:val="00991316"/>
    <w:rsid w:val="00992D90"/>
    <w:rsid w:val="00993116"/>
    <w:rsid w:val="00993493"/>
    <w:rsid w:val="00994BBA"/>
    <w:rsid w:val="00994E52"/>
    <w:rsid w:val="009951C7"/>
    <w:rsid w:val="00995937"/>
    <w:rsid w:val="00996C15"/>
    <w:rsid w:val="00997960"/>
    <w:rsid w:val="009A06C3"/>
    <w:rsid w:val="009A0EF4"/>
    <w:rsid w:val="009A22EE"/>
    <w:rsid w:val="009A286C"/>
    <w:rsid w:val="009A2B66"/>
    <w:rsid w:val="009A7189"/>
    <w:rsid w:val="009B0674"/>
    <w:rsid w:val="009B155E"/>
    <w:rsid w:val="009B240C"/>
    <w:rsid w:val="009B2B36"/>
    <w:rsid w:val="009B40C5"/>
    <w:rsid w:val="009B4A58"/>
    <w:rsid w:val="009B5318"/>
    <w:rsid w:val="009B54A0"/>
    <w:rsid w:val="009B56E0"/>
    <w:rsid w:val="009B58FA"/>
    <w:rsid w:val="009B592F"/>
    <w:rsid w:val="009B5C2B"/>
    <w:rsid w:val="009B7933"/>
    <w:rsid w:val="009B7AA1"/>
    <w:rsid w:val="009C0B7D"/>
    <w:rsid w:val="009C0D34"/>
    <w:rsid w:val="009C0F9F"/>
    <w:rsid w:val="009C2079"/>
    <w:rsid w:val="009C3255"/>
    <w:rsid w:val="009C3289"/>
    <w:rsid w:val="009C3589"/>
    <w:rsid w:val="009C3C44"/>
    <w:rsid w:val="009C42B5"/>
    <w:rsid w:val="009C609E"/>
    <w:rsid w:val="009C6380"/>
    <w:rsid w:val="009C63CB"/>
    <w:rsid w:val="009C6F40"/>
    <w:rsid w:val="009C76AF"/>
    <w:rsid w:val="009C7B9D"/>
    <w:rsid w:val="009D1061"/>
    <w:rsid w:val="009D1632"/>
    <w:rsid w:val="009D20F3"/>
    <w:rsid w:val="009D2296"/>
    <w:rsid w:val="009D2307"/>
    <w:rsid w:val="009D2506"/>
    <w:rsid w:val="009D2C41"/>
    <w:rsid w:val="009D3203"/>
    <w:rsid w:val="009D3697"/>
    <w:rsid w:val="009D37A2"/>
    <w:rsid w:val="009D3E05"/>
    <w:rsid w:val="009D4E6A"/>
    <w:rsid w:val="009D5264"/>
    <w:rsid w:val="009D61BC"/>
    <w:rsid w:val="009E0409"/>
    <w:rsid w:val="009E080B"/>
    <w:rsid w:val="009E0BAC"/>
    <w:rsid w:val="009E1908"/>
    <w:rsid w:val="009E2E30"/>
    <w:rsid w:val="009E3C5F"/>
    <w:rsid w:val="009E40CC"/>
    <w:rsid w:val="009E4EF4"/>
    <w:rsid w:val="009E706E"/>
    <w:rsid w:val="009E758C"/>
    <w:rsid w:val="009F04FA"/>
    <w:rsid w:val="009F5B66"/>
    <w:rsid w:val="009F7222"/>
    <w:rsid w:val="009F7722"/>
    <w:rsid w:val="00A026E3"/>
    <w:rsid w:val="00A038A6"/>
    <w:rsid w:val="00A0448A"/>
    <w:rsid w:val="00A044D5"/>
    <w:rsid w:val="00A06D98"/>
    <w:rsid w:val="00A11A84"/>
    <w:rsid w:val="00A11F38"/>
    <w:rsid w:val="00A13D3B"/>
    <w:rsid w:val="00A158C9"/>
    <w:rsid w:val="00A179CC"/>
    <w:rsid w:val="00A17AB7"/>
    <w:rsid w:val="00A2068A"/>
    <w:rsid w:val="00A20714"/>
    <w:rsid w:val="00A207FD"/>
    <w:rsid w:val="00A20D96"/>
    <w:rsid w:val="00A216F0"/>
    <w:rsid w:val="00A227FA"/>
    <w:rsid w:val="00A23150"/>
    <w:rsid w:val="00A23622"/>
    <w:rsid w:val="00A24D34"/>
    <w:rsid w:val="00A25E1E"/>
    <w:rsid w:val="00A2774E"/>
    <w:rsid w:val="00A2786C"/>
    <w:rsid w:val="00A318D6"/>
    <w:rsid w:val="00A319A0"/>
    <w:rsid w:val="00A31BA8"/>
    <w:rsid w:val="00A33E7D"/>
    <w:rsid w:val="00A34AB9"/>
    <w:rsid w:val="00A35DF3"/>
    <w:rsid w:val="00A36BAC"/>
    <w:rsid w:val="00A36D22"/>
    <w:rsid w:val="00A37F61"/>
    <w:rsid w:val="00A408FC"/>
    <w:rsid w:val="00A42924"/>
    <w:rsid w:val="00A43145"/>
    <w:rsid w:val="00A43CA1"/>
    <w:rsid w:val="00A43EE9"/>
    <w:rsid w:val="00A44E5C"/>
    <w:rsid w:val="00A452CE"/>
    <w:rsid w:val="00A45ED7"/>
    <w:rsid w:val="00A46609"/>
    <w:rsid w:val="00A46F83"/>
    <w:rsid w:val="00A47BDF"/>
    <w:rsid w:val="00A47DF6"/>
    <w:rsid w:val="00A501C1"/>
    <w:rsid w:val="00A50F29"/>
    <w:rsid w:val="00A51287"/>
    <w:rsid w:val="00A53896"/>
    <w:rsid w:val="00A54425"/>
    <w:rsid w:val="00A5444D"/>
    <w:rsid w:val="00A575DC"/>
    <w:rsid w:val="00A60E06"/>
    <w:rsid w:val="00A62440"/>
    <w:rsid w:val="00A6246A"/>
    <w:rsid w:val="00A62A7C"/>
    <w:rsid w:val="00A6366F"/>
    <w:rsid w:val="00A63BBC"/>
    <w:rsid w:val="00A6407B"/>
    <w:rsid w:val="00A6736E"/>
    <w:rsid w:val="00A676E6"/>
    <w:rsid w:val="00A70072"/>
    <w:rsid w:val="00A703B9"/>
    <w:rsid w:val="00A70BAC"/>
    <w:rsid w:val="00A70DFA"/>
    <w:rsid w:val="00A71452"/>
    <w:rsid w:val="00A7226D"/>
    <w:rsid w:val="00A726B1"/>
    <w:rsid w:val="00A72FD9"/>
    <w:rsid w:val="00A73ACD"/>
    <w:rsid w:val="00A745FF"/>
    <w:rsid w:val="00A74BD7"/>
    <w:rsid w:val="00A76057"/>
    <w:rsid w:val="00A77EA9"/>
    <w:rsid w:val="00A77F88"/>
    <w:rsid w:val="00A8162F"/>
    <w:rsid w:val="00A816FB"/>
    <w:rsid w:val="00A81F74"/>
    <w:rsid w:val="00A821B5"/>
    <w:rsid w:val="00A82503"/>
    <w:rsid w:val="00A837B1"/>
    <w:rsid w:val="00A83937"/>
    <w:rsid w:val="00A83BBB"/>
    <w:rsid w:val="00A84AA9"/>
    <w:rsid w:val="00A86142"/>
    <w:rsid w:val="00A86FBD"/>
    <w:rsid w:val="00A90C10"/>
    <w:rsid w:val="00A927F6"/>
    <w:rsid w:val="00A952D5"/>
    <w:rsid w:val="00A95B44"/>
    <w:rsid w:val="00A97231"/>
    <w:rsid w:val="00A97329"/>
    <w:rsid w:val="00A97877"/>
    <w:rsid w:val="00A978E3"/>
    <w:rsid w:val="00AA4AF6"/>
    <w:rsid w:val="00AA587F"/>
    <w:rsid w:val="00AA680B"/>
    <w:rsid w:val="00AA6D08"/>
    <w:rsid w:val="00AA6F2E"/>
    <w:rsid w:val="00AA7235"/>
    <w:rsid w:val="00AA742D"/>
    <w:rsid w:val="00AA7711"/>
    <w:rsid w:val="00AA7961"/>
    <w:rsid w:val="00AA7C43"/>
    <w:rsid w:val="00AA7EF6"/>
    <w:rsid w:val="00AB0A13"/>
    <w:rsid w:val="00AB106F"/>
    <w:rsid w:val="00AB167A"/>
    <w:rsid w:val="00AB2540"/>
    <w:rsid w:val="00AB2AE4"/>
    <w:rsid w:val="00AB2EF6"/>
    <w:rsid w:val="00AB4950"/>
    <w:rsid w:val="00AB51C0"/>
    <w:rsid w:val="00AB5D1D"/>
    <w:rsid w:val="00AB62E7"/>
    <w:rsid w:val="00AB65BB"/>
    <w:rsid w:val="00AB6923"/>
    <w:rsid w:val="00AB7A82"/>
    <w:rsid w:val="00AB7BBA"/>
    <w:rsid w:val="00AB7E94"/>
    <w:rsid w:val="00AC03CB"/>
    <w:rsid w:val="00AC159E"/>
    <w:rsid w:val="00AC37DB"/>
    <w:rsid w:val="00AC3AEA"/>
    <w:rsid w:val="00AC3F85"/>
    <w:rsid w:val="00AC5243"/>
    <w:rsid w:val="00AC532E"/>
    <w:rsid w:val="00AC54BD"/>
    <w:rsid w:val="00AC5E48"/>
    <w:rsid w:val="00AD0164"/>
    <w:rsid w:val="00AD0805"/>
    <w:rsid w:val="00AD08FC"/>
    <w:rsid w:val="00AD288E"/>
    <w:rsid w:val="00AD3825"/>
    <w:rsid w:val="00AD5501"/>
    <w:rsid w:val="00AD5EB1"/>
    <w:rsid w:val="00AD7CD9"/>
    <w:rsid w:val="00AD7D52"/>
    <w:rsid w:val="00AE0B66"/>
    <w:rsid w:val="00AE1958"/>
    <w:rsid w:val="00AE28BE"/>
    <w:rsid w:val="00AE3C0D"/>
    <w:rsid w:val="00AE5D53"/>
    <w:rsid w:val="00AF07D0"/>
    <w:rsid w:val="00AF0A28"/>
    <w:rsid w:val="00AF0C8D"/>
    <w:rsid w:val="00AF1EEA"/>
    <w:rsid w:val="00AF2006"/>
    <w:rsid w:val="00AF26C9"/>
    <w:rsid w:val="00AF291B"/>
    <w:rsid w:val="00AF3252"/>
    <w:rsid w:val="00AF3858"/>
    <w:rsid w:val="00AF4EDC"/>
    <w:rsid w:val="00AF505B"/>
    <w:rsid w:val="00AF5568"/>
    <w:rsid w:val="00AF59D8"/>
    <w:rsid w:val="00AF5A21"/>
    <w:rsid w:val="00AF642A"/>
    <w:rsid w:val="00AF7013"/>
    <w:rsid w:val="00AF7BB6"/>
    <w:rsid w:val="00B018DD"/>
    <w:rsid w:val="00B03D23"/>
    <w:rsid w:val="00B03DCF"/>
    <w:rsid w:val="00B054DD"/>
    <w:rsid w:val="00B0681C"/>
    <w:rsid w:val="00B06ECD"/>
    <w:rsid w:val="00B077E8"/>
    <w:rsid w:val="00B07AD8"/>
    <w:rsid w:val="00B07BC8"/>
    <w:rsid w:val="00B07FC9"/>
    <w:rsid w:val="00B102A8"/>
    <w:rsid w:val="00B1037C"/>
    <w:rsid w:val="00B11535"/>
    <w:rsid w:val="00B146F5"/>
    <w:rsid w:val="00B159E8"/>
    <w:rsid w:val="00B1627F"/>
    <w:rsid w:val="00B162FB"/>
    <w:rsid w:val="00B17258"/>
    <w:rsid w:val="00B17EA7"/>
    <w:rsid w:val="00B2016D"/>
    <w:rsid w:val="00B21488"/>
    <w:rsid w:val="00B21AAB"/>
    <w:rsid w:val="00B21C70"/>
    <w:rsid w:val="00B21FB4"/>
    <w:rsid w:val="00B22D8B"/>
    <w:rsid w:val="00B238FE"/>
    <w:rsid w:val="00B23DE0"/>
    <w:rsid w:val="00B245C6"/>
    <w:rsid w:val="00B2570A"/>
    <w:rsid w:val="00B259D1"/>
    <w:rsid w:val="00B25AB8"/>
    <w:rsid w:val="00B25B94"/>
    <w:rsid w:val="00B2614D"/>
    <w:rsid w:val="00B26723"/>
    <w:rsid w:val="00B2740D"/>
    <w:rsid w:val="00B30A1D"/>
    <w:rsid w:val="00B310D1"/>
    <w:rsid w:val="00B31226"/>
    <w:rsid w:val="00B31CDB"/>
    <w:rsid w:val="00B31D1D"/>
    <w:rsid w:val="00B32844"/>
    <w:rsid w:val="00B32D45"/>
    <w:rsid w:val="00B340EA"/>
    <w:rsid w:val="00B3411D"/>
    <w:rsid w:val="00B350B1"/>
    <w:rsid w:val="00B368FA"/>
    <w:rsid w:val="00B37291"/>
    <w:rsid w:val="00B376CF"/>
    <w:rsid w:val="00B40E04"/>
    <w:rsid w:val="00B40F91"/>
    <w:rsid w:val="00B40FC5"/>
    <w:rsid w:val="00B41BEF"/>
    <w:rsid w:val="00B427DE"/>
    <w:rsid w:val="00B431C7"/>
    <w:rsid w:val="00B4392E"/>
    <w:rsid w:val="00B439E6"/>
    <w:rsid w:val="00B45443"/>
    <w:rsid w:val="00B4613D"/>
    <w:rsid w:val="00B461DC"/>
    <w:rsid w:val="00B464FB"/>
    <w:rsid w:val="00B47A24"/>
    <w:rsid w:val="00B5012D"/>
    <w:rsid w:val="00B50D77"/>
    <w:rsid w:val="00B512E9"/>
    <w:rsid w:val="00B520EE"/>
    <w:rsid w:val="00B52213"/>
    <w:rsid w:val="00B537F5"/>
    <w:rsid w:val="00B54476"/>
    <w:rsid w:val="00B545D1"/>
    <w:rsid w:val="00B54885"/>
    <w:rsid w:val="00B54C31"/>
    <w:rsid w:val="00B54FCE"/>
    <w:rsid w:val="00B5684A"/>
    <w:rsid w:val="00B56F36"/>
    <w:rsid w:val="00B5714E"/>
    <w:rsid w:val="00B57422"/>
    <w:rsid w:val="00B57FEE"/>
    <w:rsid w:val="00B6020E"/>
    <w:rsid w:val="00B60D02"/>
    <w:rsid w:val="00B6222F"/>
    <w:rsid w:val="00B63383"/>
    <w:rsid w:val="00B63960"/>
    <w:rsid w:val="00B64B3E"/>
    <w:rsid w:val="00B659E1"/>
    <w:rsid w:val="00B668B5"/>
    <w:rsid w:val="00B675D4"/>
    <w:rsid w:val="00B71054"/>
    <w:rsid w:val="00B722AD"/>
    <w:rsid w:val="00B729C8"/>
    <w:rsid w:val="00B74295"/>
    <w:rsid w:val="00B744B8"/>
    <w:rsid w:val="00B75A78"/>
    <w:rsid w:val="00B75B8E"/>
    <w:rsid w:val="00B76290"/>
    <w:rsid w:val="00B767E8"/>
    <w:rsid w:val="00B77C8F"/>
    <w:rsid w:val="00B809BD"/>
    <w:rsid w:val="00B816DA"/>
    <w:rsid w:val="00B82F4A"/>
    <w:rsid w:val="00B83754"/>
    <w:rsid w:val="00B84E78"/>
    <w:rsid w:val="00B8561C"/>
    <w:rsid w:val="00B8640E"/>
    <w:rsid w:val="00B86654"/>
    <w:rsid w:val="00B87000"/>
    <w:rsid w:val="00B87778"/>
    <w:rsid w:val="00B8787D"/>
    <w:rsid w:val="00B9046A"/>
    <w:rsid w:val="00B9210E"/>
    <w:rsid w:val="00B93C01"/>
    <w:rsid w:val="00B95A3C"/>
    <w:rsid w:val="00B95CF6"/>
    <w:rsid w:val="00B964B2"/>
    <w:rsid w:val="00B9652A"/>
    <w:rsid w:val="00B9689D"/>
    <w:rsid w:val="00B96EF9"/>
    <w:rsid w:val="00B9749C"/>
    <w:rsid w:val="00B97727"/>
    <w:rsid w:val="00B97D58"/>
    <w:rsid w:val="00BA02CF"/>
    <w:rsid w:val="00BA110D"/>
    <w:rsid w:val="00BA193B"/>
    <w:rsid w:val="00BA673C"/>
    <w:rsid w:val="00BA7703"/>
    <w:rsid w:val="00BB0A17"/>
    <w:rsid w:val="00BB143F"/>
    <w:rsid w:val="00BB23E2"/>
    <w:rsid w:val="00BB2A4E"/>
    <w:rsid w:val="00BB3746"/>
    <w:rsid w:val="00BB3C81"/>
    <w:rsid w:val="00BB3E13"/>
    <w:rsid w:val="00BB4342"/>
    <w:rsid w:val="00BB7721"/>
    <w:rsid w:val="00BC1E7E"/>
    <w:rsid w:val="00BC1F3D"/>
    <w:rsid w:val="00BC2380"/>
    <w:rsid w:val="00BC2787"/>
    <w:rsid w:val="00BC5E1F"/>
    <w:rsid w:val="00BC5EFF"/>
    <w:rsid w:val="00BC6114"/>
    <w:rsid w:val="00BC7AC5"/>
    <w:rsid w:val="00BD0820"/>
    <w:rsid w:val="00BD0A3C"/>
    <w:rsid w:val="00BD1437"/>
    <w:rsid w:val="00BD1E2B"/>
    <w:rsid w:val="00BD1F4D"/>
    <w:rsid w:val="00BD3593"/>
    <w:rsid w:val="00BD3EE6"/>
    <w:rsid w:val="00BD47D1"/>
    <w:rsid w:val="00BD4CE6"/>
    <w:rsid w:val="00BD5C00"/>
    <w:rsid w:val="00BD6987"/>
    <w:rsid w:val="00BD6AEC"/>
    <w:rsid w:val="00BD7A36"/>
    <w:rsid w:val="00BD7C27"/>
    <w:rsid w:val="00BE1641"/>
    <w:rsid w:val="00BE3534"/>
    <w:rsid w:val="00BE393B"/>
    <w:rsid w:val="00BE3AED"/>
    <w:rsid w:val="00BE3CD9"/>
    <w:rsid w:val="00BE4563"/>
    <w:rsid w:val="00BE526A"/>
    <w:rsid w:val="00BE629F"/>
    <w:rsid w:val="00BE7E92"/>
    <w:rsid w:val="00BF0322"/>
    <w:rsid w:val="00BF0401"/>
    <w:rsid w:val="00BF072D"/>
    <w:rsid w:val="00BF0AB5"/>
    <w:rsid w:val="00BF1789"/>
    <w:rsid w:val="00BF18CA"/>
    <w:rsid w:val="00BF3715"/>
    <w:rsid w:val="00BF6256"/>
    <w:rsid w:val="00BF6427"/>
    <w:rsid w:val="00BF7A54"/>
    <w:rsid w:val="00BF7FAE"/>
    <w:rsid w:val="00C00238"/>
    <w:rsid w:val="00C02287"/>
    <w:rsid w:val="00C02A2F"/>
    <w:rsid w:val="00C04643"/>
    <w:rsid w:val="00C05576"/>
    <w:rsid w:val="00C05974"/>
    <w:rsid w:val="00C05A2E"/>
    <w:rsid w:val="00C06043"/>
    <w:rsid w:val="00C07176"/>
    <w:rsid w:val="00C07347"/>
    <w:rsid w:val="00C07728"/>
    <w:rsid w:val="00C07B63"/>
    <w:rsid w:val="00C07C30"/>
    <w:rsid w:val="00C07E72"/>
    <w:rsid w:val="00C1031A"/>
    <w:rsid w:val="00C127A9"/>
    <w:rsid w:val="00C12938"/>
    <w:rsid w:val="00C12AA7"/>
    <w:rsid w:val="00C12DED"/>
    <w:rsid w:val="00C12F22"/>
    <w:rsid w:val="00C13111"/>
    <w:rsid w:val="00C13702"/>
    <w:rsid w:val="00C14203"/>
    <w:rsid w:val="00C14534"/>
    <w:rsid w:val="00C14658"/>
    <w:rsid w:val="00C14B67"/>
    <w:rsid w:val="00C1677D"/>
    <w:rsid w:val="00C16A01"/>
    <w:rsid w:val="00C16DDE"/>
    <w:rsid w:val="00C17133"/>
    <w:rsid w:val="00C1717D"/>
    <w:rsid w:val="00C17191"/>
    <w:rsid w:val="00C179D4"/>
    <w:rsid w:val="00C2076E"/>
    <w:rsid w:val="00C209DF"/>
    <w:rsid w:val="00C20DA2"/>
    <w:rsid w:val="00C20EC9"/>
    <w:rsid w:val="00C20F01"/>
    <w:rsid w:val="00C21D63"/>
    <w:rsid w:val="00C22EA9"/>
    <w:rsid w:val="00C22EFB"/>
    <w:rsid w:val="00C2327C"/>
    <w:rsid w:val="00C238DF"/>
    <w:rsid w:val="00C2420A"/>
    <w:rsid w:val="00C249D4"/>
    <w:rsid w:val="00C25156"/>
    <w:rsid w:val="00C25677"/>
    <w:rsid w:val="00C25E2F"/>
    <w:rsid w:val="00C25EE4"/>
    <w:rsid w:val="00C26606"/>
    <w:rsid w:val="00C30435"/>
    <w:rsid w:val="00C309C0"/>
    <w:rsid w:val="00C31584"/>
    <w:rsid w:val="00C327AC"/>
    <w:rsid w:val="00C329E3"/>
    <w:rsid w:val="00C34020"/>
    <w:rsid w:val="00C341E0"/>
    <w:rsid w:val="00C348B6"/>
    <w:rsid w:val="00C36E50"/>
    <w:rsid w:val="00C36FA7"/>
    <w:rsid w:val="00C37217"/>
    <w:rsid w:val="00C402A7"/>
    <w:rsid w:val="00C4044E"/>
    <w:rsid w:val="00C4123C"/>
    <w:rsid w:val="00C41524"/>
    <w:rsid w:val="00C41A2A"/>
    <w:rsid w:val="00C41D12"/>
    <w:rsid w:val="00C42976"/>
    <w:rsid w:val="00C42B1A"/>
    <w:rsid w:val="00C437CE"/>
    <w:rsid w:val="00C45711"/>
    <w:rsid w:val="00C46A5B"/>
    <w:rsid w:val="00C4710F"/>
    <w:rsid w:val="00C47675"/>
    <w:rsid w:val="00C47D56"/>
    <w:rsid w:val="00C50B85"/>
    <w:rsid w:val="00C50C19"/>
    <w:rsid w:val="00C50CA2"/>
    <w:rsid w:val="00C5123D"/>
    <w:rsid w:val="00C51676"/>
    <w:rsid w:val="00C52084"/>
    <w:rsid w:val="00C52679"/>
    <w:rsid w:val="00C52C28"/>
    <w:rsid w:val="00C52D06"/>
    <w:rsid w:val="00C54357"/>
    <w:rsid w:val="00C55808"/>
    <w:rsid w:val="00C55A2E"/>
    <w:rsid w:val="00C55C7E"/>
    <w:rsid w:val="00C57B14"/>
    <w:rsid w:val="00C57E6B"/>
    <w:rsid w:val="00C603CA"/>
    <w:rsid w:val="00C604E4"/>
    <w:rsid w:val="00C6083D"/>
    <w:rsid w:val="00C623A0"/>
    <w:rsid w:val="00C6241C"/>
    <w:rsid w:val="00C6257E"/>
    <w:rsid w:val="00C62C6B"/>
    <w:rsid w:val="00C6349D"/>
    <w:rsid w:val="00C6542C"/>
    <w:rsid w:val="00C654FC"/>
    <w:rsid w:val="00C6561E"/>
    <w:rsid w:val="00C66D24"/>
    <w:rsid w:val="00C70838"/>
    <w:rsid w:val="00C70A87"/>
    <w:rsid w:val="00C70C58"/>
    <w:rsid w:val="00C71294"/>
    <w:rsid w:val="00C71D4E"/>
    <w:rsid w:val="00C72A95"/>
    <w:rsid w:val="00C72F36"/>
    <w:rsid w:val="00C73224"/>
    <w:rsid w:val="00C75288"/>
    <w:rsid w:val="00C75476"/>
    <w:rsid w:val="00C757D5"/>
    <w:rsid w:val="00C76470"/>
    <w:rsid w:val="00C77027"/>
    <w:rsid w:val="00C7779B"/>
    <w:rsid w:val="00C80057"/>
    <w:rsid w:val="00C803A5"/>
    <w:rsid w:val="00C80D3A"/>
    <w:rsid w:val="00C811F1"/>
    <w:rsid w:val="00C8336B"/>
    <w:rsid w:val="00C8488E"/>
    <w:rsid w:val="00C84DF2"/>
    <w:rsid w:val="00C850CB"/>
    <w:rsid w:val="00C8513F"/>
    <w:rsid w:val="00C86DF5"/>
    <w:rsid w:val="00C902A0"/>
    <w:rsid w:val="00C90BF5"/>
    <w:rsid w:val="00C90FDD"/>
    <w:rsid w:val="00C91DD3"/>
    <w:rsid w:val="00C920BD"/>
    <w:rsid w:val="00C92268"/>
    <w:rsid w:val="00C9268E"/>
    <w:rsid w:val="00C92CF7"/>
    <w:rsid w:val="00C93A65"/>
    <w:rsid w:val="00C93E49"/>
    <w:rsid w:val="00C94ADF"/>
    <w:rsid w:val="00C94E45"/>
    <w:rsid w:val="00C97DD0"/>
    <w:rsid w:val="00C97ED0"/>
    <w:rsid w:val="00CA0173"/>
    <w:rsid w:val="00CA1BBD"/>
    <w:rsid w:val="00CA237A"/>
    <w:rsid w:val="00CA2752"/>
    <w:rsid w:val="00CA4345"/>
    <w:rsid w:val="00CA466B"/>
    <w:rsid w:val="00CA5702"/>
    <w:rsid w:val="00CA5EEA"/>
    <w:rsid w:val="00CA6C0C"/>
    <w:rsid w:val="00CB02F1"/>
    <w:rsid w:val="00CB0C93"/>
    <w:rsid w:val="00CB1357"/>
    <w:rsid w:val="00CB4B5B"/>
    <w:rsid w:val="00CB6956"/>
    <w:rsid w:val="00CB7194"/>
    <w:rsid w:val="00CC0A09"/>
    <w:rsid w:val="00CC0C3C"/>
    <w:rsid w:val="00CC1466"/>
    <w:rsid w:val="00CC19CB"/>
    <w:rsid w:val="00CC247A"/>
    <w:rsid w:val="00CC266E"/>
    <w:rsid w:val="00CC2771"/>
    <w:rsid w:val="00CC3035"/>
    <w:rsid w:val="00CC374E"/>
    <w:rsid w:val="00CC4493"/>
    <w:rsid w:val="00CC51BD"/>
    <w:rsid w:val="00CC542B"/>
    <w:rsid w:val="00CC7094"/>
    <w:rsid w:val="00CC7A23"/>
    <w:rsid w:val="00CC7AD8"/>
    <w:rsid w:val="00CD1D5F"/>
    <w:rsid w:val="00CD325B"/>
    <w:rsid w:val="00CD3AF6"/>
    <w:rsid w:val="00CD469F"/>
    <w:rsid w:val="00CD4A70"/>
    <w:rsid w:val="00CD5301"/>
    <w:rsid w:val="00CD72CD"/>
    <w:rsid w:val="00CE24D4"/>
    <w:rsid w:val="00CE2A35"/>
    <w:rsid w:val="00CE2C86"/>
    <w:rsid w:val="00CE34C9"/>
    <w:rsid w:val="00CE4910"/>
    <w:rsid w:val="00CE51A0"/>
    <w:rsid w:val="00CE5884"/>
    <w:rsid w:val="00CE5AAA"/>
    <w:rsid w:val="00CE5DC1"/>
    <w:rsid w:val="00CE7DD9"/>
    <w:rsid w:val="00CF16D1"/>
    <w:rsid w:val="00CF1916"/>
    <w:rsid w:val="00CF1AAA"/>
    <w:rsid w:val="00CF2426"/>
    <w:rsid w:val="00CF2FBB"/>
    <w:rsid w:val="00CF368A"/>
    <w:rsid w:val="00CF37EC"/>
    <w:rsid w:val="00CF385C"/>
    <w:rsid w:val="00CF4231"/>
    <w:rsid w:val="00CF4A33"/>
    <w:rsid w:val="00CF4CF4"/>
    <w:rsid w:val="00CF4DC6"/>
    <w:rsid w:val="00CF5CF2"/>
    <w:rsid w:val="00CF5D46"/>
    <w:rsid w:val="00CF6729"/>
    <w:rsid w:val="00CF7213"/>
    <w:rsid w:val="00CF7702"/>
    <w:rsid w:val="00CF7D3D"/>
    <w:rsid w:val="00D0062E"/>
    <w:rsid w:val="00D00AE5"/>
    <w:rsid w:val="00D02AEB"/>
    <w:rsid w:val="00D034E2"/>
    <w:rsid w:val="00D03D8B"/>
    <w:rsid w:val="00D0454B"/>
    <w:rsid w:val="00D0535F"/>
    <w:rsid w:val="00D06A77"/>
    <w:rsid w:val="00D06F53"/>
    <w:rsid w:val="00D100C6"/>
    <w:rsid w:val="00D1043C"/>
    <w:rsid w:val="00D10536"/>
    <w:rsid w:val="00D1096D"/>
    <w:rsid w:val="00D11434"/>
    <w:rsid w:val="00D1201C"/>
    <w:rsid w:val="00D137E3"/>
    <w:rsid w:val="00D13808"/>
    <w:rsid w:val="00D13FE3"/>
    <w:rsid w:val="00D142A2"/>
    <w:rsid w:val="00D155DB"/>
    <w:rsid w:val="00D159A7"/>
    <w:rsid w:val="00D16762"/>
    <w:rsid w:val="00D16B55"/>
    <w:rsid w:val="00D16F4D"/>
    <w:rsid w:val="00D17A66"/>
    <w:rsid w:val="00D17EA3"/>
    <w:rsid w:val="00D209E0"/>
    <w:rsid w:val="00D21CC9"/>
    <w:rsid w:val="00D231CD"/>
    <w:rsid w:val="00D23899"/>
    <w:rsid w:val="00D23B80"/>
    <w:rsid w:val="00D24D33"/>
    <w:rsid w:val="00D25549"/>
    <w:rsid w:val="00D272A8"/>
    <w:rsid w:val="00D30257"/>
    <w:rsid w:val="00D30E17"/>
    <w:rsid w:val="00D32164"/>
    <w:rsid w:val="00D3220C"/>
    <w:rsid w:val="00D336E5"/>
    <w:rsid w:val="00D3453C"/>
    <w:rsid w:val="00D34AFC"/>
    <w:rsid w:val="00D3561A"/>
    <w:rsid w:val="00D35766"/>
    <w:rsid w:val="00D3605E"/>
    <w:rsid w:val="00D36227"/>
    <w:rsid w:val="00D364B7"/>
    <w:rsid w:val="00D36936"/>
    <w:rsid w:val="00D40C41"/>
    <w:rsid w:val="00D4308D"/>
    <w:rsid w:val="00D4357D"/>
    <w:rsid w:val="00D43FCB"/>
    <w:rsid w:val="00D45491"/>
    <w:rsid w:val="00D45612"/>
    <w:rsid w:val="00D46138"/>
    <w:rsid w:val="00D4626D"/>
    <w:rsid w:val="00D46983"/>
    <w:rsid w:val="00D469A7"/>
    <w:rsid w:val="00D46C0C"/>
    <w:rsid w:val="00D47A84"/>
    <w:rsid w:val="00D47CA0"/>
    <w:rsid w:val="00D47E05"/>
    <w:rsid w:val="00D500D6"/>
    <w:rsid w:val="00D50440"/>
    <w:rsid w:val="00D509EC"/>
    <w:rsid w:val="00D50E9E"/>
    <w:rsid w:val="00D51F5C"/>
    <w:rsid w:val="00D53039"/>
    <w:rsid w:val="00D53110"/>
    <w:rsid w:val="00D5392C"/>
    <w:rsid w:val="00D54061"/>
    <w:rsid w:val="00D54B5E"/>
    <w:rsid w:val="00D55242"/>
    <w:rsid w:val="00D55E34"/>
    <w:rsid w:val="00D56FBA"/>
    <w:rsid w:val="00D5720C"/>
    <w:rsid w:val="00D60D28"/>
    <w:rsid w:val="00D6117E"/>
    <w:rsid w:val="00D61D21"/>
    <w:rsid w:val="00D65B6F"/>
    <w:rsid w:val="00D679FC"/>
    <w:rsid w:val="00D70631"/>
    <w:rsid w:val="00D7153D"/>
    <w:rsid w:val="00D72233"/>
    <w:rsid w:val="00D72426"/>
    <w:rsid w:val="00D74235"/>
    <w:rsid w:val="00D74B53"/>
    <w:rsid w:val="00D7732F"/>
    <w:rsid w:val="00D7787D"/>
    <w:rsid w:val="00D80645"/>
    <w:rsid w:val="00D80FC9"/>
    <w:rsid w:val="00D81320"/>
    <w:rsid w:val="00D81830"/>
    <w:rsid w:val="00D81FA3"/>
    <w:rsid w:val="00D81FD0"/>
    <w:rsid w:val="00D82120"/>
    <w:rsid w:val="00D8241E"/>
    <w:rsid w:val="00D829B1"/>
    <w:rsid w:val="00D83AC1"/>
    <w:rsid w:val="00D84282"/>
    <w:rsid w:val="00D84500"/>
    <w:rsid w:val="00D84560"/>
    <w:rsid w:val="00D84D6B"/>
    <w:rsid w:val="00D8518A"/>
    <w:rsid w:val="00D8577D"/>
    <w:rsid w:val="00D85B03"/>
    <w:rsid w:val="00D85FD2"/>
    <w:rsid w:val="00D86EEF"/>
    <w:rsid w:val="00D87F63"/>
    <w:rsid w:val="00D90773"/>
    <w:rsid w:val="00D91AB1"/>
    <w:rsid w:val="00D93011"/>
    <w:rsid w:val="00D9325D"/>
    <w:rsid w:val="00D93559"/>
    <w:rsid w:val="00D93991"/>
    <w:rsid w:val="00D957C4"/>
    <w:rsid w:val="00D95811"/>
    <w:rsid w:val="00D96512"/>
    <w:rsid w:val="00D975B8"/>
    <w:rsid w:val="00D97A00"/>
    <w:rsid w:val="00DA0741"/>
    <w:rsid w:val="00DA0D91"/>
    <w:rsid w:val="00DA2B2B"/>
    <w:rsid w:val="00DA2DF6"/>
    <w:rsid w:val="00DA429A"/>
    <w:rsid w:val="00DA5593"/>
    <w:rsid w:val="00DA5B77"/>
    <w:rsid w:val="00DA5F1A"/>
    <w:rsid w:val="00DA614E"/>
    <w:rsid w:val="00DA69B2"/>
    <w:rsid w:val="00DA69E8"/>
    <w:rsid w:val="00DB008C"/>
    <w:rsid w:val="00DB2186"/>
    <w:rsid w:val="00DB24C2"/>
    <w:rsid w:val="00DB46CE"/>
    <w:rsid w:val="00DB5434"/>
    <w:rsid w:val="00DB5714"/>
    <w:rsid w:val="00DB5A61"/>
    <w:rsid w:val="00DB5F58"/>
    <w:rsid w:val="00DB7A99"/>
    <w:rsid w:val="00DB7F45"/>
    <w:rsid w:val="00DC0E91"/>
    <w:rsid w:val="00DC1A06"/>
    <w:rsid w:val="00DC5484"/>
    <w:rsid w:val="00DC6607"/>
    <w:rsid w:val="00DC6961"/>
    <w:rsid w:val="00DC6C6A"/>
    <w:rsid w:val="00DC711B"/>
    <w:rsid w:val="00DC7A94"/>
    <w:rsid w:val="00DD063A"/>
    <w:rsid w:val="00DD1E60"/>
    <w:rsid w:val="00DD2DE4"/>
    <w:rsid w:val="00DD35AC"/>
    <w:rsid w:val="00DD55ED"/>
    <w:rsid w:val="00DD5DD2"/>
    <w:rsid w:val="00DD66C2"/>
    <w:rsid w:val="00DD753F"/>
    <w:rsid w:val="00DD7B4B"/>
    <w:rsid w:val="00DD7B71"/>
    <w:rsid w:val="00DD7D97"/>
    <w:rsid w:val="00DE1AAF"/>
    <w:rsid w:val="00DE2624"/>
    <w:rsid w:val="00DE296D"/>
    <w:rsid w:val="00DE297A"/>
    <w:rsid w:val="00DE2E79"/>
    <w:rsid w:val="00DE6D39"/>
    <w:rsid w:val="00DE6EB9"/>
    <w:rsid w:val="00DE722D"/>
    <w:rsid w:val="00DE7626"/>
    <w:rsid w:val="00DF0CA4"/>
    <w:rsid w:val="00DF7B0F"/>
    <w:rsid w:val="00E00341"/>
    <w:rsid w:val="00E00586"/>
    <w:rsid w:val="00E016DC"/>
    <w:rsid w:val="00E0203B"/>
    <w:rsid w:val="00E0380A"/>
    <w:rsid w:val="00E056F5"/>
    <w:rsid w:val="00E059CF"/>
    <w:rsid w:val="00E06B61"/>
    <w:rsid w:val="00E0725F"/>
    <w:rsid w:val="00E0747D"/>
    <w:rsid w:val="00E077BB"/>
    <w:rsid w:val="00E07E44"/>
    <w:rsid w:val="00E111BF"/>
    <w:rsid w:val="00E114DE"/>
    <w:rsid w:val="00E12BB4"/>
    <w:rsid w:val="00E12C61"/>
    <w:rsid w:val="00E13A52"/>
    <w:rsid w:val="00E13B1F"/>
    <w:rsid w:val="00E13B9A"/>
    <w:rsid w:val="00E145A3"/>
    <w:rsid w:val="00E15596"/>
    <w:rsid w:val="00E15E48"/>
    <w:rsid w:val="00E17214"/>
    <w:rsid w:val="00E2039B"/>
    <w:rsid w:val="00E203C7"/>
    <w:rsid w:val="00E20B98"/>
    <w:rsid w:val="00E20FDC"/>
    <w:rsid w:val="00E210C4"/>
    <w:rsid w:val="00E2112D"/>
    <w:rsid w:val="00E2129C"/>
    <w:rsid w:val="00E21CEF"/>
    <w:rsid w:val="00E220E2"/>
    <w:rsid w:val="00E224EE"/>
    <w:rsid w:val="00E22FCD"/>
    <w:rsid w:val="00E23352"/>
    <w:rsid w:val="00E23713"/>
    <w:rsid w:val="00E23899"/>
    <w:rsid w:val="00E23D84"/>
    <w:rsid w:val="00E23F06"/>
    <w:rsid w:val="00E23FBF"/>
    <w:rsid w:val="00E2521A"/>
    <w:rsid w:val="00E253BC"/>
    <w:rsid w:val="00E26268"/>
    <w:rsid w:val="00E2676F"/>
    <w:rsid w:val="00E26983"/>
    <w:rsid w:val="00E27FF3"/>
    <w:rsid w:val="00E3004A"/>
    <w:rsid w:val="00E314B1"/>
    <w:rsid w:val="00E31D48"/>
    <w:rsid w:val="00E32F78"/>
    <w:rsid w:val="00E32F87"/>
    <w:rsid w:val="00E330BC"/>
    <w:rsid w:val="00E34EC2"/>
    <w:rsid w:val="00E34F9C"/>
    <w:rsid w:val="00E36AA4"/>
    <w:rsid w:val="00E37253"/>
    <w:rsid w:val="00E376FD"/>
    <w:rsid w:val="00E4052B"/>
    <w:rsid w:val="00E40564"/>
    <w:rsid w:val="00E40A93"/>
    <w:rsid w:val="00E42117"/>
    <w:rsid w:val="00E4297F"/>
    <w:rsid w:val="00E42B93"/>
    <w:rsid w:val="00E4339F"/>
    <w:rsid w:val="00E44B05"/>
    <w:rsid w:val="00E45AB0"/>
    <w:rsid w:val="00E46C1C"/>
    <w:rsid w:val="00E47077"/>
    <w:rsid w:val="00E47D45"/>
    <w:rsid w:val="00E520B5"/>
    <w:rsid w:val="00E52203"/>
    <w:rsid w:val="00E532B3"/>
    <w:rsid w:val="00E5381C"/>
    <w:rsid w:val="00E53B68"/>
    <w:rsid w:val="00E53C18"/>
    <w:rsid w:val="00E544B2"/>
    <w:rsid w:val="00E557B2"/>
    <w:rsid w:val="00E55815"/>
    <w:rsid w:val="00E56364"/>
    <w:rsid w:val="00E56641"/>
    <w:rsid w:val="00E56660"/>
    <w:rsid w:val="00E56B68"/>
    <w:rsid w:val="00E56C7C"/>
    <w:rsid w:val="00E5701F"/>
    <w:rsid w:val="00E57778"/>
    <w:rsid w:val="00E5786C"/>
    <w:rsid w:val="00E579A3"/>
    <w:rsid w:val="00E57C4B"/>
    <w:rsid w:val="00E6023A"/>
    <w:rsid w:val="00E611BE"/>
    <w:rsid w:val="00E6261D"/>
    <w:rsid w:val="00E633D7"/>
    <w:rsid w:val="00E637E0"/>
    <w:rsid w:val="00E63B41"/>
    <w:rsid w:val="00E640BD"/>
    <w:rsid w:val="00E64433"/>
    <w:rsid w:val="00E64A46"/>
    <w:rsid w:val="00E64D80"/>
    <w:rsid w:val="00E657A3"/>
    <w:rsid w:val="00E6591F"/>
    <w:rsid w:val="00E65F5E"/>
    <w:rsid w:val="00E66624"/>
    <w:rsid w:val="00E6662B"/>
    <w:rsid w:val="00E668FF"/>
    <w:rsid w:val="00E7001B"/>
    <w:rsid w:val="00E70037"/>
    <w:rsid w:val="00E7077A"/>
    <w:rsid w:val="00E7078D"/>
    <w:rsid w:val="00E70D34"/>
    <w:rsid w:val="00E70FE2"/>
    <w:rsid w:val="00E717F5"/>
    <w:rsid w:val="00E72907"/>
    <w:rsid w:val="00E72B29"/>
    <w:rsid w:val="00E76652"/>
    <w:rsid w:val="00E773F7"/>
    <w:rsid w:val="00E77699"/>
    <w:rsid w:val="00E77927"/>
    <w:rsid w:val="00E80197"/>
    <w:rsid w:val="00E80DB0"/>
    <w:rsid w:val="00E813C5"/>
    <w:rsid w:val="00E816DA"/>
    <w:rsid w:val="00E825D0"/>
    <w:rsid w:val="00E82CFE"/>
    <w:rsid w:val="00E8348D"/>
    <w:rsid w:val="00E8369E"/>
    <w:rsid w:val="00E85C31"/>
    <w:rsid w:val="00E85E08"/>
    <w:rsid w:val="00E868D5"/>
    <w:rsid w:val="00E873B3"/>
    <w:rsid w:val="00E87FC7"/>
    <w:rsid w:val="00E90820"/>
    <w:rsid w:val="00E9092B"/>
    <w:rsid w:val="00E90997"/>
    <w:rsid w:val="00E90A2B"/>
    <w:rsid w:val="00E90B53"/>
    <w:rsid w:val="00E91071"/>
    <w:rsid w:val="00E9165A"/>
    <w:rsid w:val="00E921C2"/>
    <w:rsid w:val="00E925FF"/>
    <w:rsid w:val="00E94CCA"/>
    <w:rsid w:val="00E9518F"/>
    <w:rsid w:val="00E9527D"/>
    <w:rsid w:val="00E96D6A"/>
    <w:rsid w:val="00E9726E"/>
    <w:rsid w:val="00E979A4"/>
    <w:rsid w:val="00E97F80"/>
    <w:rsid w:val="00EA04C6"/>
    <w:rsid w:val="00EA0BE1"/>
    <w:rsid w:val="00EA1BC8"/>
    <w:rsid w:val="00EA2AC3"/>
    <w:rsid w:val="00EA30DE"/>
    <w:rsid w:val="00EA5A3F"/>
    <w:rsid w:val="00EA6369"/>
    <w:rsid w:val="00EA636B"/>
    <w:rsid w:val="00EA7534"/>
    <w:rsid w:val="00EA7A79"/>
    <w:rsid w:val="00EB0A6C"/>
    <w:rsid w:val="00EB0E9B"/>
    <w:rsid w:val="00EB0EE9"/>
    <w:rsid w:val="00EB34B7"/>
    <w:rsid w:val="00EB6848"/>
    <w:rsid w:val="00EB73DA"/>
    <w:rsid w:val="00EB7949"/>
    <w:rsid w:val="00EB795C"/>
    <w:rsid w:val="00EC0CB6"/>
    <w:rsid w:val="00EC1748"/>
    <w:rsid w:val="00EC18F6"/>
    <w:rsid w:val="00EC2DFD"/>
    <w:rsid w:val="00EC3726"/>
    <w:rsid w:val="00EC46F8"/>
    <w:rsid w:val="00EC4BBD"/>
    <w:rsid w:val="00EC51A4"/>
    <w:rsid w:val="00ED0264"/>
    <w:rsid w:val="00ED1824"/>
    <w:rsid w:val="00ED24F3"/>
    <w:rsid w:val="00ED2673"/>
    <w:rsid w:val="00ED2794"/>
    <w:rsid w:val="00ED3E5A"/>
    <w:rsid w:val="00ED3EC2"/>
    <w:rsid w:val="00ED435C"/>
    <w:rsid w:val="00ED58A5"/>
    <w:rsid w:val="00ED58F3"/>
    <w:rsid w:val="00ED62AF"/>
    <w:rsid w:val="00ED67F3"/>
    <w:rsid w:val="00ED6C17"/>
    <w:rsid w:val="00ED77F9"/>
    <w:rsid w:val="00ED7F1A"/>
    <w:rsid w:val="00EE0873"/>
    <w:rsid w:val="00EE131C"/>
    <w:rsid w:val="00EE1909"/>
    <w:rsid w:val="00EE220F"/>
    <w:rsid w:val="00EE2BC0"/>
    <w:rsid w:val="00EE32B3"/>
    <w:rsid w:val="00EE3D1C"/>
    <w:rsid w:val="00EE3F7D"/>
    <w:rsid w:val="00EE4FDB"/>
    <w:rsid w:val="00EE5709"/>
    <w:rsid w:val="00EE7882"/>
    <w:rsid w:val="00EE7D28"/>
    <w:rsid w:val="00EF0B54"/>
    <w:rsid w:val="00EF1923"/>
    <w:rsid w:val="00EF1AC3"/>
    <w:rsid w:val="00EF202C"/>
    <w:rsid w:val="00EF2E94"/>
    <w:rsid w:val="00EF3B4B"/>
    <w:rsid w:val="00EF5190"/>
    <w:rsid w:val="00EF585E"/>
    <w:rsid w:val="00EF58FC"/>
    <w:rsid w:val="00EF6A79"/>
    <w:rsid w:val="00EF73DC"/>
    <w:rsid w:val="00EF7B72"/>
    <w:rsid w:val="00F00275"/>
    <w:rsid w:val="00F021F7"/>
    <w:rsid w:val="00F02BDE"/>
    <w:rsid w:val="00F03EB2"/>
    <w:rsid w:val="00F04771"/>
    <w:rsid w:val="00F05408"/>
    <w:rsid w:val="00F05847"/>
    <w:rsid w:val="00F06E0F"/>
    <w:rsid w:val="00F0722C"/>
    <w:rsid w:val="00F07BA2"/>
    <w:rsid w:val="00F10ED6"/>
    <w:rsid w:val="00F111A5"/>
    <w:rsid w:val="00F119D2"/>
    <w:rsid w:val="00F11AB1"/>
    <w:rsid w:val="00F11BC4"/>
    <w:rsid w:val="00F13253"/>
    <w:rsid w:val="00F151B3"/>
    <w:rsid w:val="00F156AC"/>
    <w:rsid w:val="00F15CB2"/>
    <w:rsid w:val="00F15D7D"/>
    <w:rsid w:val="00F16347"/>
    <w:rsid w:val="00F165E1"/>
    <w:rsid w:val="00F176A4"/>
    <w:rsid w:val="00F17FD5"/>
    <w:rsid w:val="00F20A11"/>
    <w:rsid w:val="00F21ACD"/>
    <w:rsid w:val="00F22B12"/>
    <w:rsid w:val="00F23265"/>
    <w:rsid w:val="00F239FD"/>
    <w:rsid w:val="00F249B1"/>
    <w:rsid w:val="00F25520"/>
    <w:rsid w:val="00F2600C"/>
    <w:rsid w:val="00F2717D"/>
    <w:rsid w:val="00F273DB"/>
    <w:rsid w:val="00F27635"/>
    <w:rsid w:val="00F305CE"/>
    <w:rsid w:val="00F31BA8"/>
    <w:rsid w:val="00F31C62"/>
    <w:rsid w:val="00F32AFC"/>
    <w:rsid w:val="00F331C0"/>
    <w:rsid w:val="00F338B7"/>
    <w:rsid w:val="00F34B08"/>
    <w:rsid w:val="00F351AD"/>
    <w:rsid w:val="00F372AF"/>
    <w:rsid w:val="00F37949"/>
    <w:rsid w:val="00F402E8"/>
    <w:rsid w:val="00F40625"/>
    <w:rsid w:val="00F40ADA"/>
    <w:rsid w:val="00F43C2D"/>
    <w:rsid w:val="00F44505"/>
    <w:rsid w:val="00F44B19"/>
    <w:rsid w:val="00F45443"/>
    <w:rsid w:val="00F470C9"/>
    <w:rsid w:val="00F501FE"/>
    <w:rsid w:val="00F50A03"/>
    <w:rsid w:val="00F50EAC"/>
    <w:rsid w:val="00F52130"/>
    <w:rsid w:val="00F5219A"/>
    <w:rsid w:val="00F52448"/>
    <w:rsid w:val="00F52E27"/>
    <w:rsid w:val="00F538E9"/>
    <w:rsid w:val="00F544E7"/>
    <w:rsid w:val="00F55856"/>
    <w:rsid w:val="00F5666D"/>
    <w:rsid w:val="00F56CD3"/>
    <w:rsid w:val="00F60AAD"/>
    <w:rsid w:val="00F60C0A"/>
    <w:rsid w:val="00F6129D"/>
    <w:rsid w:val="00F61575"/>
    <w:rsid w:val="00F62411"/>
    <w:rsid w:val="00F62D1B"/>
    <w:rsid w:val="00F630E3"/>
    <w:rsid w:val="00F64D96"/>
    <w:rsid w:val="00F65DA0"/>
    <w:rsid w:val="00F66825"/>
    <w:rsid w:val="00F706F9"/>
    <w:rsid w:val="00F70B65"/>
    <w:rsid w:val="00F70D78"/>
    <w:rsid w:val="00F7125C"/>
    <w:rsid w:val="00F716F7"/>
    <w:rsid w:val="00F729C1"/>
    <w:rsid w:val="00F72C4E"/>
    <w:rsid w:val="00F7346D"/>
    <w:rsid w:val="00F73887"/>
    <w:rsid w:val="00F74DD1"/>
    <w:rsid w:val="00F7522D"/>
    <w:rsid w:val="00F756BA"/>
    <w:rsid w:val="00F761D9"/>
    <w:rsid w:val="00F76D14"/>
    <w:rsid w:val="00F76F0B"/>
    <w:rsid w:val="00F77265"/>
    <w:rsid w:val="00F8018D"/>
    <w:rsid w:val="00F805F2"/>
    <w:rsid w:val="00F80CA7"/>
    <w:rsid w:val="00F81241"/>
    <w:rsid w:val="00F81CD6"/>
    <w:rsid w:val="00F81F75"/>
    <w:rsid w:val="00F8339F"/>
    <w:rsid w:val="00F839B5"/>
    <w:rsid w:val="00F847A8"/>
    <w:rsid w:val="00F84DFE"/>
    <w:rsid w:val="00F855F2"/>
    <w:rsid w:val="00F8688B"/>
    <w:rsid w:val="00F869CA"/>
    <w:rsid w:val="00F879C1"/>
    <w:rsid w:val="00F90279"/>
    <w:rsid w:val="00F90EFC"/>
    <w:rsid w:val="00F91453"/>
    <w:rsid w:val="00F919DB"/>
    <w:rsid w:val="00F91FAE"/>
    <w:rsid w:val="00F92053"/>
    <w:rsid w:val="00F923B3"/>
    <w:rsid w:val="00F95EE6"/>
    <w:rsid w:val="00F95FA9"/>
    <w:rsid w:val="00F9600A"/>
    <w:rsid w:val="00F9623C"/>
    <w:rsid w:val="00F96935"/>
    <w:rsid w:val="00F976A9"/>
    <w:rsid w:val="00FA06F7"/>
    <w:rsid w:val="00FA0E6D"/>
    <w:rsid w:val="00FA1AB0"/>
    <w:rsid w:val="00FA2196"/>
    <w:rsid w:val="00FA2296"/>
    <w:rsid w:val="00FA3067"/>
    <w:rsid w:val="00FA36C6"/>
    <w:rsid w:val="00FA46F9"/>
    <w:rsid w:val="00FA4845"/>
    <w:rsid w:val="00FA4CFE"/>
    <w:rsid w:val="00FA5639"/>
    <w:rsid w:val="00FA5BC3"/>
    <w:rsid w:val="00FB06F4"/>
    <w:rsid w:val="00FB158A"/>
    <w:rsid w:val="00FB36ED"/>
    <w:rsid w:val="00FB5123"/>
    <w:rsid w:val="00FB5C0D"/>
    <w:rsid w:val="00FB6317"/>
    <w:rsid w:val="00FB63E0"/>
    <w:rsid w:val="00FB669E"/>
    <w:rsid w:val="00FB7258"/>
    <w:rsid w:val="00FB79B5"/>
    <w:rsid w:val="00FC0AFA"/>
    <w:rsid w:val="00FC1C94"/>
    <w:rsid w:val="00FC1D7B"/>
    <w:rsid w:val="00FC220F"/>
    <w:rsid w:val="00FC2F64"/>
    <w:rsid w:val="00FC3080"/>
    <w:rsid w:val="00FC30BA"/>
    <w:rsid w:val="00FC434F"/>
    <w:rsid w:val="00FC5BC4"/>
    <w:rsid w:val="00FC5D52"/>
    <w:rsid w:val="00FC6199"/>
    <w:rsid w:val="00FC6403"/>
    <w:rsid w:val="00FC6A24"/>
    <w:rsid w:val="00FC6AD3"/>
    <w:rsid w:val="00FC7336"/>
    <w:rsid w:val="00FC7698"/>
    <w:rsid w:val="00FD02E3"/>
    <w:rsid w:val="00FD1368"/>
    <w:rsid w:val="00FD2558"/>
    <w:rsid w:val="00FD2B70"/>
    <w:rsid w:val="00FD3371"/>
    <w:rsid w:val="00FD3B9D"/>
    <w:rsid w:val="00FD3C63"/>
    <w:rsid w:val="00FD4B46"/>
    <w:rsid w:val="00FD74D9"/>
    <w:rsid w:val="00FE0159"/>
    <w:rsid w:val="00FE06B7"/>
    <w:rsid w:val="00FE0B7A"/>
    <w:rsid w:val="00FE0C8F"/>
    <w:rsid w:val="00FE2422"/>
    <w:rsid w:val="00FE2D52"/>
    <w:rsid w:val="00FE3887"/>
    <w:rsid w:val="00FE3C0E"/>
    <w:rsid w:val="00FE4558"/>
    <w:rsid w:val="00FE45A6"/>
    <w:rsid w:val="00FE557A"/>
    <w:rsid w:val="00FE55F2"/>
    <w:rsid w:val="00FF03E8"/>
    <w:rsid w:val="00FF13D9"/>
    <w:rsid w:val="00FF1D0D"/>
    <w:rsid w:val="00FF3531"/>
    <w:rsid w:val="00FF382B"/>
    <w:rsid w:val="00FF3B39"/>
    <w:rsid w:val="00FF48EE"/>
    <w:rsid w:val="00FF494A"/>
    <w:rsid w:val="00FF4DB1"/>
    <w:rsid w:val="00FF4E44"/>
    <w:rsid w:val="00FF5042"/>
    <w:rsid w:val="00FF689A"/>
    <w:rsid w:val="00FF6F6B"/>
    <w:rsid w:val="00FF7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6C5E6"/>
  <w15:docId w15:val="{3EC77104-8108-4688-953D-DD2BEDAF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CFE"/>
    <w:rPr>
      <w:sz w:val="24"/>
      <w:szCs w:val="24"/>
      <w:lang w:eastAsia="en-US"/>
    </w:rPr>
  </w:style>
  <w:style w:type="paragraph" w:styleId="Heading1">
    <w:name w:val="heading 1"/>
    <w:basedOn w:val="Normal"/>
    <w:next w:val="Normal"/>
    <w:link w:val="Heading1Char"/>
    <w:qFormat/>
    <w:rsid w:val="00166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C07E72"/>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B7F"/>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rsid w:val="00C07E72"/>
    <w:pPr>
      <w:tabs>
        <w:tab w:val="center" w:pos="4320"/>
        <w:tab w:val="right" w:pos="8640"/>
      </w:tabs>
    </w:pPr>
    <w:rPr>
      <w:lang w:val="en-US"/>
    </w:rPr>
  </w:style>
  <w:style w:type="character" w:customStyle="1" w:styleId="FooterChar">
    <w:name w:val="Footer Char"/>
    <w:basedOn w:val="DefaultParagraphFont"/>
    <w:link w:val="Footer"/>
    <w:uiPriority w:val="99"/>
    <w:rsid w:val="00D83AC1"/>
    <w:rPr>
      <w:sz w:val="24"/>
      <w:szCs w:val="24"/>
      <w:lang w:val="en-US" w:eastAsia="en-US"/>
    </w:rPr>
  </w:style>
  <w:style w:type="paragraph" w:styleId="Header">
    <w:name w:val="header"/>
    <w:basedOn w:val="Normal"/>
    <w:link w:val="HeaderChar"/>
    <w:rsid w:val="00C07E72"/>
    <w:pPr>
      <w:tabs>
        <w:tab w:val="center" w:pos="4153"/>
        <w:tab w:val="right" w:pos="8306"/>
      </w:tabs>
    </w:pPr>
  </w:style>
  <w:style w:type="character" w:customStyle="1" w:styleId="HeaderChar">
    <w:name w:val="Header Char"/>
    <w:basedOn w:val="DefaultParagraphFont"/>
    <w:link w:val="Header"/>
    <w:uiPriority w:val="99"/>
    <w:rsid w:val="00D83AC1"/>
    <w:rPr>
      <w:sz w:val="24"/>
      <w:szCs w:val="24"/>
      <w:lang w:eastAsia="en-US"/>
    </w:rPr>
  </w:style>
  <w:style w:type="paragraph" w:styleId="BodyText2">
    <w:name w:val="Body Text 2"/>
    <w:basedOn w:val="Normal"/>
    <w:rsid w:val="00C07E72"/>
    <w:pPr>
      <w:jc w:val="center"/>
    </w:pPr>
    <w:rPr>
      <w:sz w:val="32"/>
      <w:szCs w:val="32"/>
    </w:rPr>
  </w:style>
  <w:style w:type="paragraph" w:styleId="CommentText">
    <w:name w:val="annotation text"/>
    <w:basedOn w:val="Normal"/>
    <w:link w:val="CommentTextChar"/>
    <w:rsid w:val="00C07E72"/>
    <w:rPr>
      <w:sz w:val="20"/>
      <w:szCs w:val="20"/>
    </w:rPr>
  </w:style>
  <w:style w:type="character" w:styleId="PageNumber">
    <w:name w:val="page number"/>
    <w:basedOn w:val="DefaultParagraphFont"/>
    <w:rsid w:val="00C07E72"/>
    <w:rPr>
      <w:rFonts w:cs="Times New Roman"/>
    </w:rPr>
  </w:style>
  <w:style w:type="paragraph" w:styleId="BodyText">
    <w:name w:val="Body Text"/>
    <w:basedOn w:val="Normal"/>
    <w:link w:val="BodyTextChar"/>
    <w:rsid w:val="00C07E72"/>
    <w:pPr>
      <w:spacing w:after="120"/>
    </w:pPr>
  </w:style>
  <w:style w:type="character" w:customStyle="1" w:styleId="BodyTextChar">
    <w:name w:val="Body Text Char"/>
    <w:link w:val="BodyText"/>
    <w:rsid w:val="00D83AC1"/>
    <w:rPr>
      <w:sz w:val="24"/>
      <w:szCs w:val="24"/>
      <w:lang w:eastAsia="en-US"/>
    </w:rPr>
  </w:style>
  <w:style w:type="paragraph" w:styleId="Title">
    <w:name w:val="Title"/>
    <w:basedOn w:val="Normal"/>
    <w:link w:val="TitleChar"/>
    <w:qFormat/>
    <w:rsid w:val="00C07E72"/>
    <w:pPr>
      <w:jc w:val="center"/>
    </w:pPr>
    <w:rPr>
      <w:b/>
      <w:bCs/>
    </w:rPr>
  </w:style>
  <w:style w:type="character" w:customStyle="1" w:styleId="TitleChar">
    <w:name w:val="Title Char"/>
    <w:basedOn w:val="DefaultParagraphFont"/>
    <w:link w:val="Title"/>
    <w:rsid w:val="0058092B"/>
    <w:rPr>
      <w:b/>
      <w:bCs/>
      <w:sz w:val="24"/>
      <w:szCs w:val="24"/>
      <w:lang w:eastAsia="en-US"/>
    </w:rPr>
  </w:style>
  <w:style w:type="character" w:customStyle="1" w:styleId="Point1Char">
    <w:name w:val="Point 1 Char"/>
    <w:basedOn w:val="DefaultParagraphFont"/>
    <w:rsid w:val="00C07E72"/>
    <w:rPr>
      <w:sz w:val="24"/>
      <w:lang w:val="en-GB" w:eastAsia="en-GB" w:bidi="ar-SA"/>
    </w:rPr>
  </w:style>
  <w:style w:type="paragraph" w:customStyle="1" w:styleId="ManualNumPar1">
    <w:name w:val="Manual NumPar 1"/>
    <w:basedOn w:val="Normal"/>
    <w:next w:val="Normal"/>
    <w:rsid w:val="00C07E72"/>
    <w:pPr>
      <w:spacing w:before="120" w:after="120"/>
      <w:ind w:left="850" w:hanging="850"/>
      <w:jc w:val="both"/>
    </w:pPr>
    <w:rPr>
      <w:snapToGrid w:val="0"/>
      <w:lang w:val="en-GB" w:eastAsia="fr-BE"/>
    </w:rPr>
  </w:style>
  <w:style w:type="paragraph" w:customStyle="1" w:styleId="ManualConsidrant">
    <w:name w:val="Manual Considérant"/>
    <w:basedOn w:val="Normal"/>
    <w:rsid w:val="00C07E72"/>
    <w:pPr>
      <w:spacing w:before="120" w:after="120" w:line="360" w:lineRule="auto"/>
      <w:ind w:left="850" w:hanging="850"/>
      <w:jc w:val="both"/>
    </w:pPr>
    <w:rPr>
      <w:szCs w:val="20"/>
      <w:lang w:val="lt-LT"/>
    </w:rPr>
  </w:style>
  <w:style w:type="paragraph" w:customStyle="1" w:styleId="naiskr">
    <w:name w:val="naiskr"/>
    <w:basedOn w:val="Normal"/>
    <w:rsid w:val="00C07E72"/>
    <w:pPr>
      <w:spacing w:before="100" w:beforeAutospacing="1" w:after="100" w:afterAutospacing="1"/>
    </w:pPr>
    <w:rPr>
      <w:lang w:eastAsia="lv-LV"/>
    </w:rPr>
  </w:style>
  <w:style w:type="paragraph" w:styleId="NormalWeb">
    <w:name w:val="Normal (Web)"/>
    <w:basedOn w:val="Normal"/>
    <w:uiPriority w:val="99"/>
    <w:rsid w:val="006A227D"/>
    <w:pPr>
      <w:spacing w:before="88" w:after="88"/>
    </w:pPr>
    <w:rPr>
      <w:rFonts w:ascii="Verdana" w:hAnsi="Verdana"/>
      <w:color w:val="000000"/>
      <w:sz w:val="20"/>
      <w:szCs w:val="20"/>
      <w:lang w:eastAsia="lv-LV"/>
    </w:rPr>
  </w:style>
  <w:style w:type="paragraph" w:styleId="PlainText">
    <w:name w:val="Plain Text"/>
    <w:basedOn w:val="Normal"/>
    <w:link w:val="PlainTextChar"/>
    <w:rsid w:val="00F76D14"/>
    <w:pPr>
      <w:widowControl w:val="0"/>
      <w:jc w:val="both"/>
    </w:pPr>
    <w:rPr>
      <w:snapToGrid w:val="0"/>
      <w:sz w:val="22"/>
      <w:szCs w:val="20"/>
      <w:lang w:val="en-GB"/>
    </w:rPr>
  </w:style>
  <w:style w:type="character" w:customStyle="1" w:styleId="PlainTextChar">
    <w:name w:val="Plain Text Char"/>
    <w:basedOn w:val="DefaultParagraphFont"/>
    <w:link w:val="PlainText"/>
    <w:rsid w:val="00F76D14"/>
    <w:rPr>
      <w:snapToGrid w:val="0"/>
      <w:sz w:val="22"/>
      <w:lang w:val="en-GB" w:eastAsia="en-US" w:bidi="ar-SA"/>
    </w:rPr>
  </w:style>
  <w:style w:type="paragraph" w:styleId="BalloonText">
    <w:name w:val="Balloon Text"/>
    <w:basedOn w:val="Normal"/>
    <w:link w:val="BalloonTextChar"/>
    <w:uiPriority w:val="99"/>
    <w:semiHidden/>
    <w:rsid w:val="00715C94"/>
    <w:rPr>
      <w:rFonts w:ascii="Tahoma" w:hAnsi="Tahoma" w:cs="Tahoma"/>
      <w:sz w:val="16"/>
      <w:szCs w:val="16"/>
    </w:rPr>
  </w:style>
  <w:style w:type="character" w:customStyle="1" w:styleId="BalloonTextChar">
    <w:name w:val="Balloon Text Char"/>
    <w:link w:val="BalloonText"/>
    <w:uiPriority w:val="99"/>
    <w:semiHidden/>
    <w:rsid w:val="00D83AC1"/>
    <w:rPr>
      <w:rFonts w:ascii="Tahoma" w:hAnsi="Tahoma" w:cs="Tahoma"/>
      <w:sz w:val="16"/>
      <w:szCs w:val="16"/>
      <w:lang w:eastAsia="en-US"/>
    </w:rPr>
  </w:style>
  <w:style w:type="paragraph" w:customStyle="1" w:styleId="naispant">
    <w:name w:val="naispant"/>
    <w:basedOn w:val="Normal"/>
    <w:rsid w:val="002D2B43"/>
    <w:pPr>
      <w:spacing w:before="100" w:beforeAutospacing="1" w:after="100" w:afterAutospacing="1"/>
    </w:pPr>
    <w:rPr>
      <w:lang w:eastAsia="lv-LV"/>
    </w:rPr>
  </w:style>
  <w:style w:type="paragraph" w:customStyle="1" w:styleId="naisf">
    <w:name w:val="naisf"/>
    <w:basedOn w:val="Normal"/>
    <w:rsid w:val="002D2B43"/>
    <w:pPr>
      <w:spacing w:before="100" w:beforeAutospacing="1" w:after="100" w:afterAutospacing="1"/>
    </w:pPr>
    <w:rPr>
      <w:lang w:eastAsia="lv-LV"/>
    </w:rPr>
  </w:style>
  <w:style w:type="table" w:styleId="TableGrid">
    <w:name w:val="Table Grid"/>
    <w:basedOn w:val="TableNormal"/>
    <w:uiPriority w:val="39"/>
    <w:rsid w:val="0025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Normal"/>
    <w:rsid w:val="004A5492"/>
    <w:pPr>
      <w:jc w:val="both"/>
    </w:pPr>
  </w:style>
  <w:style w:type="character" w:customStyle="1" w:styleId="apple-style-span">
    <w:name w:val="apple-style-span"/>
    <w:basedOn w:val="DefaultParagraphFont"/>
    <w:rsid w:val="004A5492"/>
  </w:style>
  <w:style w:type="character" w:customStyle="1" w:styleId="apple-converted-space">
    <w:name w:val="apple-converted-space"/>
    <w:basedOn w:val="DefaultParagraphFont"/>
    <w:rsid w:val="004A5492"/>
  </w:style>
  <w:style w:type="paragraph" w:styleId="BodyTextIndent">
    <w:name w:val="Body Text Indent"/>
    <w:basedOn w:val="Normal"/>
    <w:link w:val="BodyTextIndentChar"/>
    <w:rsid w:val="007649E5"/>
    <w:pPr>
      <w:spacing w:after="120"/>
      <w:ind w:left="283"/>
    </w:pPr>
  </w:style>
  <w:style w:type="character" w:customStyle="1" w:styleId="BodyTextIndentChar">
    <w:name w:val="Body Text Indent Char"/>
    <w:basedOn w:val="DefaultParagraphFont"/>
    <w:link w:val="BodyTextIndent"/>
    <w:rsid w:val="007649E5"/>
    <w:rPr>
      <w:sz w:val="24"/>
      <w:szCs w:val="24"/>
      <w:lang w:eastAsia="en-US"/>
    </w:rPr>
  </w:style>
  <w:style w:type="character" w:styleId="Hyperlink">
    <w:name w:val="Hyperlink"/>
    <w:basedOn w:val="DefaultParagraphFont"/>
    <w:uiPriority w:val="99"/>
    <w:rsid w:val="00B54885"/>
    <w:rPr>
      <w:color w:val="0000FF"/>
      <w:u w:val="single"/>
    </w:rPr>
  </w:style>
  <w:style w:type="paragraph" w:customStyle="1" w:styleId="Style3">
    <w:name w:val="Style3"/>
    <w:basedOn w:val="Normal"/>
    <w:rsid w:val="00AF642A"/>
    <w:pPr>
      <w:widowControl w:val="0"/>
      <w:autoSpaceDE w:val="0"/>
      <w:autoSpaceDN w:val="0"/>
      <w:adjustRightInd w:val="0"/>
    </w:pPr>
    <w:rPr>
      <w:lang w:eastAsia="lv-LV"/>
    </w:rPr>
  </w:style>
  <w:style w:type="paragraph" w:styleId="BodyTextIndent2">
    <w:name w:val="Body Text Indent 2"/>
    <w:basedOn w:val="Normal"/>
    <w:link w:val="BodyTextIndent2Char"/>
    <w:rsid w:val="00FE3C0E"/>
    <w:pPr>
      <w:spacing w:after="120" w:line="480" w:lineRule="auto"/>
      <w:ind w:left="283"/>
    </w:pPr>
  </w:style>
  <w:style w:type="character" w:customStyle="1" w:styleId="BodyTextIndent2Char">
    <w:name w:val="Body Text Indent 2 Char"/>
    <w:basedOn w:val="DefaultParagraphFont"/>
    <w:link w:val="BodyTextIndent2"/>
    <w:rsid w:val="00FE3C0E"/>
    <w:rPr>
      <w:sz w:val="24"/>
      <w:szCs w:val="24"/>
      <w:lang w:eastAsia="en-US"/>
    </w:rPr>
  </w:style>
  <w:style w:type="paragraph" w:styleId="FootnoteText">
    <w:name w:val="footnote text"/>
    <w:basedOn w:val="Normal"/>
    <w:link w:val="FootnoteTextChar"/>
    <w:rsid w:val="00FE3C0E"/>
    <w:rPr>
      <w:sz w:val="20"/>
      <w:szCs w:val="20"/>
      <w:lang w:val="en-GB"/>
    </w:rPr>
  </w:style>
  <w:style w:type="character" w:customStyle="1" w:styleId="FootnoteTextChar">
    <w:name w:val="Footnote Text Char"/>
    <w:basedOn w:val="DefaultParagraphFont"/>
    <w:link w:val="FootnoteText"/>
    <w:rsid w:val="00FE3C0E"/>
    <w:rPr>
      <w:lang w:val="en-GB" w:eastAsia="en-US"/>
    </w:rPr>
  </w:style>
  <w:style w:type="character" w:styleId="FootnoteReference">
    <w:name w:val="footnote reference"/>
    <w:basedOn w:val="DefaultParagraphFont"/>
    <w:rsid w:val="00FE3C0E"/>
    <w:rPr>
      <w:vertAlign w:val="superscript"/>
    </w:rPr>
  </w:style>
  <w:style w:type="paragraph" w:customStyle="1" w:styleId="naisc">
    <w:name w:val="naisc"/>
    <w:basedOn w:val="Normal"/>
    <w:rsid w:val="009A0EF4"/>
    <w:pPr>
      <w:spacing w:before="450" w:after="375"/>
      <w:jc w:val="center"/>
    </w:pPr>
    <w:rPr>
      <w:lang w:eastAsia="lv-LV"/>
    </w:rPr>
  </w:style>
  <w:style w:type="paragraph" w:customStyle="1" w:styleId="TableHeading">
    <w:name w:val="Table Heading"/>
    <w:basedOn w:val="Normal"/>
    <w:rsid w:val="0015022D"/>
    <w:pPr>
      <w:suppressLineNumbers/>
      <w:suppressAutoHyphens/>
      <w:jc w:val="center"/>
    </w:pPr>
    <w:rPr>
      <w:b/>
      <w:bCs/>
      <w:lang w:val="en-GB" w:eastAsia="ar-SA"/>
    </w:rPr>
  </w:style>
  <w:style w:type="paragraph" w:styleId="ListParagraph">
    <w:name w:val="List Paragraph"/>
    <w:basedOn w:val="Normal"/>
    <w:uiPriority w:val="34"/>
    <w:qFormat/>
    <w:rsid w:val="00831E5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unhideWhenUsed/>
    <w:rsid w:val="007E4580"/>
    <w:rPr>
      <w:color w:val="800080"/>
      <w:u w:val="single"/>
    </w:rPr>
  </w:style>
  <w:style w:type="paragraph" w:customStyle="1" w:styleId="xl63">
    <w:name w:val="xl63"/>
    <w:basedOn w:val="Normal"/>
    <w:rsid w:val="007E4580"/>
    <w:pPr>
      <w:spacing w:before="100" w:beforeAutospacing="1" w:after="100" w:afterAutospacing="1"/>
      <w:jc w:val="center"/>
      <w:textAlignment w:val="top"/>
    </w:pPr>
    <w:rPr>
      <w:lang w:eastAsia="lv-LV"/>
    </w:rPr>
  </w:style>
  <w:style w:type="paragraph" w:customStyle="1" w:styleId="xl64">
    <w:name w:val="xl64"/>
    <w:basedOn w:val="Normal"/>
    <w:rsid w:val="007E4580"/>
    <w:pPr>
      <w:spacing w:before="100" w:beforeAutospacing="1" w:after="100" w:afterAutospacing="1"/>
      <w:textAlignment w:val="center"/>
    </w:pPr>
    <w:rPr>
      <w:lang w:eastAsia="lv-LV"/>
    </w:rPr>
  </w:style>
  <w:style w:type="paragraph" w:customStyle="1" w:styleId="xl65">
    <w:name w:val="xl65"/>
    <w:basedOn w:val="Normal"/>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6">
    <w:name w:val="xl66"/>
    <w:basedOn w:val="Normal"/>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67">
    <w:name w:val="xl67"/>
    <w:basedOn w:val="Normal"/>
    <w:rsid w:val="007E4580"/>
    <w:pPr>
      <w:pBdr>
        <w:top w:val="single" w:sz="4" w:space="0" w:color="auto"/>
        <w:left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8">
    <w:name w:val="xl68"/>
    <w:basedOn w:val="Normal"/>
    <w:rsid w:val="007E4580"/>
    <w:pPr>
      <w:pBdr>
        <w:top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9">
    <w:name w:val="xl69"/>
    <w:basedOn w:val="Normal"/>
    <w:rsid w:val="007E4580"/>
    <w:pPr>
      <w:pBdr>
        <w:top w:val="single" w:sz="4" w:space="0" w:color="auto"/>
        <w:bottom w:val="single" w:sz="4" w:space="0" w:color="auto"/>
        <w:right w:val="single" w:sz="4" w:space="0" w:color="auto"/>
      </w:pBdr>
      <w:spacing w:before="100" w:beforeAutospacing="1" w:after="100" w:afterAutospacing="1"/>
      <w:jc w:val="center"/>
      <w:textAlignment w:val="top"/>
    </w:pPr>
    <w:rPr>
      <w:b/>
      <w:bCs/>
      <w:sz w:val="36"/>
      <w:szCs w:val="36"/>
      <w:lang w:eastAsia="lv-LV"/>
    </w:rPr>
  </w:style>
  <w:style w:type="paragraph" w:customStyle="1" w:styleId="H4">
    <w:name w:val="H4"/>
    <w:rsid w:val="00192DD3"/>
    <w:pPr>
      <w:spacing w:after="120"/>
      <w:jc w:val="center"/>
      <w:outlineLvl w:val="3"/>
    </w:pPr>
    <w:rPr>
      <w:b/>
      <w:sz w:val="28"/>
      <w:lang w:eastAsia="zh-CN"/>
    </w:rPr>
  </w:style>
  <w:style w:type="character" w:customStyle="1" w:styleId="CommentTextChar">
    <w:name w:val="Comment Text Char"/>
    <w:basedOn w:val="DefaultParagraphFont"/>
    <w:link w:val="CommentText"/>
    <w:rsid w:val="00862090"/>
    <w:rPr>
      <w:lang w:eastAsia="en-US"/>
    </w:rPr>
  </w:style>
  <w:style w:type="paragraph" w:customStyle="1" w:styleId="Normal1">
    <w:name w:val="Normal1"/>
    <w:basedOn w:val="Normal"/>
    <w:rsid w:val="007C1F99"/>
    <w:pPr>
      <w:spacing w:after="200" w:line="276" w:lineRule="auto"/>
    </w:pPr>
    <w:rPr>
      <w:rFonts w:ascii="Calibri" w:eastAsia="Calibri" w:hAnsi="Calibri"/>
      <w:sz w:val="22"/>
      <w:szCs w:val="20"/>
      <w:lang w:val="en-US"/>
    </w:rPr>
  </w:style>
  <w:style w:type="paragraph" w:customStyle="1" w:styleId="Sarakstarindkopa3">
    <w:name w:val="Saraksta rindkopa3"/>
    <w:basedOn w:val="Normal"/>
    <w:uiPriority w:val="34"/>
    <w:qFormat/>
    <w:rsid w:val="007C1F99"/>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011DF"/>
    <w:rPr>
      <w:sz w:val="16"/>
      <w:szCs w:val="16"/>
    </w:rPr>
  </w:style>
  <w:style w:type="paragraph" w:styleId="CommentSubject">
    <w:name w:val="annotation subject"/>
    <w:basedOn w:val="CommentText"/>
    <w:next w:val="CommentText"/>
    <w:link w:val="CommentSubjectChar"/>
    <w:rsid w:val="004011DF"/>
    <w:rPr>
      <w:b/>
      <w:bCs/>
    </w:rPr>
  </w:style>
  <w:style w:type="character" w:customStyle="1" w:styleId="CommentSubjectChar">
    <w:name w:val="Comment Subject Char"/>
    <w:basedOn w:val="CommentTextChar"/>
    <w:link w:val="CommentSubject"/>
    <w:rsid w:val="004011DF"/>
    <w:rPr>
      <w:b/>
      <w:bCs/>
      <w:lang w:eastAsia="en-US"/>
    </w:rPr>
  </w:style>
  <w:style w:type="paragraph" w:styleId="NoSpacing">
    <w:name w:val="No Spacing"/>
    <w:uiPriority w:val="1"/>
    <w:qFormat/>
    <w:rsid w:val="00061B06"/>
    <w:rPr>
      <w:sz w:val="24"/>
      <w:szCs w:val="24"/>
      <w:lang w:eastAsia="en-US"/>
    </w:rPr>
  </w:style>
  <w:style w:type="character" w:customStyle="1" w:styleId="spelle">
    <w:name w:val="spelle"/>
    <w:basedOn w:val="DefaultParagraphFont"/>
    <w:rsid w:val="00F119D2"/>
  </w:style>
  <w:style w:type="paragraph" w:customStyle="1" w:styleId="tv2131">
    <w:name w:val="tv2131"/>
    <w:basedOn w:val="Normal"/>
    <w:rsid w:val="00CB02F1"/>
    <w:pPr>
      <w:spacing w:line="360" w:lineRule="auto"/>
      <w:ind w:firstLine="300"/>
    </w:pPr>
    <w:rPr>
      <w:color w:val="414142"/>
      <w:sz w:val="20"/>
      <w:szCs w:val="20"/>
      <w:lang w:eastAsia="lv-LV"/>
    </w:rPr>
  </w:style>
  <w:style w:type="character" w:customStyle="1" w:styleId="Neatrisintapieminana1">
    <w:name w:val="Neatrisināta pieminēšana1"/>
    <w:basedOn w:val="DefaultParagraphFont"/>
    <w:uiPriority w:val="99"/>
    <w:semiHidden/>
    <w:unhideWhenUsed/>
    <w:rsid w:val="00646A36"/>
    <w:rPr>
      <w:color w:val="605E5C"/>
      <w:shd w:val="clear" w:color="auto" w:fill="E1DFDD"/>
    </w:rPr>
  </w:style>
  <w:style w:type="paragraph" w:customStyle="1" w:styleId="tv213">
    <w:name w:val="tv213"/>
    <w:basedOn w:val="Normal"/>
    <w:rsid w:val="00E23F06"/>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25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8696">
      <w:bodyDiv w:val="1"/>
      <w:marLeft w:val="0"/>
      <w:marRight w:val="0"/>
      <w:marTop w:val="0"/>
      <w:marBottom w:val="0"/>
      <w:divBdr>
        <w:top w:val="none" w:sz="0" w:space="0" w:color="auto"/>
        <w:left w:val="none" w:sz="0" w:space="0" w:color="auto"/>
        <w:bottom w:val="none" w:sz="0" w:space="0" w:color="auto"/>
        <w:right w:val="none" w:sz="0" w:space="0" w:color="auto"/>
      </w:divBdr>
      <w:divsChild>
        <w:div w:id="369500462">
          <w:marLeft w:val="0"/>
          <w:marRight w:val="0"/>
          <w:marTop w:val="0"/>
          <w:marBottom w:val="0"/>
          <w:divBdr>
            <w:top w:val="none" w:sz="0" w:space="0" w:color="auto"/>
            <w:left w:val="none" w:sz="0" w:space="0" w:color="auto"/>
            <w:bottom w:val="none" w:sz="0" w:space="0" w:color="auto"/>
            <w:right w:val="none" w:sz="0" w:space="0" w:color="auto"/>
          </w:divBdr>
          <w:divsChild>
            <w:div w:id="597449241">
              <w:marLeft w:val="0"/>
              <w:marRight w:val="0"/>
              <w:marTop w:val="0"/>
              <w:marBottom w:val="0"/>
              <w:divBdr>
                <w:top w:val="none" w:sz="0" w:space="0" w:color="auto"/>
                <w:left w:val="none" w:sz="0" w:space="0" w:color="auto"/>
                <w:bottom w:val="none" w:sz="0" w:space="0" w:color="auto"/>
                <w:right w:val="none" w:sz="0" w:space="0" w:color="auto"/>
              </w:divBdr>
              <w:divsChild>
                <w:div w:id="1701976574">
                  <w:marLeft w:val="0"/>
                  <w:marRight w:val="0"/>
                  <w:marTop w:val="0"/>
                  <w:marBottom w:val="0"/>
                  <w:divBdr>
                    <w:top w:val="none" w:sz="0" w:space="0" w:color="auto"/>
                    <w:left w:val="none" w:sz="0" w:space="0" w:color="auto"/>
                    <w:bottom w:val="none" w:sz="0" w:space="0" w:color="auto"/>
                    <w:right w:val="none" w:sz="0" w:space="0" w:color="auto"/>
                  </w:divBdr>
                  <w:divsChild>
                    <w:div w:id="1698578713">
                      <w:marLeft w:val="0"/>
                      <w:marRight w:val="0"/>
                      <w:marTop w:val="0"/>
                      <w:marBottom w:val="0"/>
                      <w:divBdr>
                        <w:top w:val="none" w:sz="0" w:space="0" w:color="auto"/>
                        <w:left w:val="none" w:sz="0" w:space="0" w:color="auto"/>
                        <w:bottom w:val="none" w:sz="0" w:space="0" w:color="auto"/>
                        <w:right w:val="none" w:sz="0" w:space="0" w:color="auto"/>
                      </w:divBdr>
                      <w:divsChild>
                        <w:div w:id="1509372427">
                          <w:marLeft w:val="0"/>
                          <w:marRight w:val="0"/>
                          <w:marTop w:val="0"/>
                          <w:marBottom w:val="0"/>
                          <w:divBdr>
                            <w:top w:val="none" w:sz="0" w:space="0" w:color="auto"/>
                            <w:left w:val="none" w:sz="0" w:space="0" w:color="auto"/>
                            <w:bottom w:val="none" w:sz="0" w:space="0" w:color="auto"/>
                            <w:right w:val="none" w:sz="0" w:space="0" w:color="auto"/>
                          </w:divBdr>
                          <w:divsChild>
                            <w:div w:id="13735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9199">
      <w:bodyDiv w:val="1"/>
      <w:marLeft w:val="0"/>
      <w:marRight w:val="0"/>
      <w:marTop w:val="0"/>
      <w:marBottom w:val="0"/>
      <w:divBdr>
        <w:top w:val="none" w:sz="0" w:space="0" w:color="auto"/>
        <w:left w:val="none" w:sz="0" w:space="0" w:color="auto"/>
        <w:bottom w:val="none" w:sz="0" w:space="0" w:color="auto"/>
        <w:right w:val="none" w:sz="0" w:space="0" w:color="auto"/>
      </w:divBdr>
    </w:div>
    <w:div w:id="165288894">
      <w:bodyDiv w:val="1"/>
      <w:marLeft w:val="0"/>
      <w:marRight w:val="0"/>
      <w:marTop w:val="0"/>
      <w:marBottom w:val="0"/>
      <w:divBdr>
        <w:top w:val="none" w:sz="0" w:space="0" w:color="auto"/>
        <w:left w:val="none" w:sz="0" w:space="0" w:color="auto"/>
        <w:bottom w:val="none" w:sz="0" w:space="0" w:color="auto"/>
        <w:right w:val="none" w:sz="0" w:space="0" w:color="auto"/>
      </w:divBdr>
    </w:div>
    <w:div w:id="170877968">
      <w:bodyDiv w:val="1"/>
      <w:marLeft w:val="0"/>
      <w:marRight w:val="0"/>
      <w:marTop w:val="0"/>
      <w:marBottom w:val="0"/>
      <w:divBdr>
        <w:top w:val="none" w:sz="0" w:space="0" w:color="auto"/>
        <w:left w:val="none" w:sz="0" w:space="0" w:color="auto"/>
        <w:bottom w:val="none" w:sz="0" w:space="0" w:color="auto"/>
        <w:right w:val="none" w:sz="0" w:space="0" w:color="auto"/>
      </w:divBdr>
      <w:divsChild>
        <w:div w:id="943851477">
          <w:marLeft w:val="0"/>
          <w:marRight w:val="0"/>
          <w:marTop w:val="0"/>
          <w:marBottom w:val="0"/>
          <w:divBdr>
            <w:top w:val="none" w:sz="0" w:space="0" w:color="auto"/>
            <w:left w:val="none" w:sz="0" w:space="0" w:color="auto"/>
            <w:bottom w:val="none" w:sz="0" w:space="0" w:color="auto"/>
            <w:right w:val="none" w:sz="0" w:space="0" w:color="auto"/>
          </w:divBdr>
          <w:divsChild>
            <w:div w:id="1261330327">
              <w:marLeft w:val="0"/>
              <w:marRight w:val="0"/>
              <w:marTop w:val="0"/>
              <w:marBottom w:val="0"/>
              <w:divBdr>
                <w:top w:val="none" w:sz="0" w:space="0" w:color="auto"/>
                <w:left w:val="none" w:sz="0" w:space="0" w:color="auto"/>
                <w:bottom w:val="none" w:sz="0" w:space="0" w:color="auto"/>
                <w:right w:val="none" w:sz="0" w:space="0" w:color="auto"/>
              </w:divBdr>
              <w:divsChild>
                <w:div w:id="519513736">
                  <w:marLeft w:val="0"/>
                  <w:marRight w:val="0"/>
                  <w:marTop w:val="0"/>
                  <w:marBottom w:val="0"/>
                  <w:divBdr>
                    <w:top w:val="none" w:sz="0" w:space="0" w:color="auto"/>
                    <w:left w:val="none" w:sz="0" w:space="0" w:color="auto"/>
                    <w:bottom w:val="none" w:sz="0" w:space="0" w:color="auto"/>
                    <w:right w:val="none" w:sz="0" w:space="0" w:color="auto"/>
                  </w:divBdr>
                  <w:divsChild>
                    <w:div w:id="718554508">
                      <w:marLeft w:val="0"/>
                      <w:marRight w:val="0"/>
                      <w:marTop w:val="0"/>
                      <w:marBottom w:val="0"/>
                      <w:divBdr>
                        <w:top w:val="none" w:sz="0" w:space="0" w:color="auto"/>
                        <w:left w:val="none" w:sz="0" w:space="0" w:color="auto"/>
                        <w:bottom w:val="none" w:sz="0" w:space="0" w:color="auto"/>
                        <w:right w:val="none" w:sz="0" w:space="0" w:color="auto"/>
                      </w:divBdr>
                      <w:divsChild>
                        <w:div w:id="1356346896">
                          <w:marLeft w:val="0"/>
                          <w:marRight w:val="0"/>
                          <w:marTop w:val="0"/>
                          <w:marBottom w:val="0"/>
                          <w:divBdr>
                            <w:top w:val="none" w:sz="0" w:space="0" w:color="auto"/>
                            <w:left w:val="none" w:sz="0" w:space="0" w:color="auto"/>
                            <w:bottom w:val="none" w:sz="0" w:space="0" w:color="auto"/>
                            <w:right w:val="none" w:sz="0" w:space="0" w:color="auto"/>
                          </w:divBdr>
                          <w:divsChild>
                            <w:div w:id="1125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2633">
      <w:bodyDiv w:val="1"/>
      <w:marLeft w:val="0"/>
      <w:marRight w:val="0"/>
      <w:marTop w:val="0"/>
      <w:marBottom w:val="0"/>
      <w:divBdr>
        <w:top w:val="none" w:sz="0" w:space="0" w:color="auto"/>
        <w:left w:val="none" w:sz="0" w:space="0" w:color="auto"/>
        <w:bottom w:val="none" w:sz="0" w:space="0" w:color="auto"/>
        <w:right w:val="none" w:sz="0" w:space="0" w:color="auto"/>
      </w:divBdr>
    </w:div>
    <w:div w:id="227568904">
      <w:bodyDiv w:val="1"/>
      <w:marLeft w:val="0"/>
      <w:marRight w:val="0"/>
      <w:marTop w:val="0"/>
      <w:marBottom w:val="0"/>
      <w:divBdr>
        <w:top w:val="none" w:sz="0" w:space="0" w:color="auto"/>
        <w:left w:val="none" w:sz="0" w:space="0" w:color="auto"/>
        <w:bottom w:val="none" w:sz="0" w:space="0" w:color="auto"/>
        <w:right w:val="none" w:sz="0" w:space="0" w:color="auto"/>
      </w:divBdr>
    </w:div>
    <w:div w:id="537543821">
      <w:bodyDiv w:val="1"/>
      <w:marLeft w:val="0"/>
      <w:marRight w:val="0"/>
      <w:marTop w:val="0"/>
      <w:marBottom w:val="0"/>
      <w:divBdr>
        <w:top w:val="none" w:sz="0" w:space="0" w:color="auto"/>
        <w:left w:val="none" w:sz="0" w:space="0" w:color="auto"/>
        <w:bottom w:val="none" w:sz="0" w:space="0" w:color="auto"/>
        <w:right w:val="none" w:sz="0" w:space="0" w:color="auto"/>
      </w:divBdr>
    </w:div>
    <w:div w:id="578516384">
      <w:bodyDiv w:val="1"/>
      <w:marLeft w:val="0"/>
      <w:marRight w:val="0"/>
      <w:marTop w:val="0"/>
      <w:marBottom w:val="0"/>
      <w:divBdr>
        <w:top w:val="none" w:sz="0" w:space="0" w:color="auto"/>
        <w:left w:val="none" w:sz="0" w:space="0" w:color="auto"/>
        <w:bottom w:val="none" w:sz="0" w:space="0" w:color="auto"/>
        <w:right w:val="none" w:sz="0" w:space="0" w:color="auto"/>
      </w:divBdr>
    </w:div>
    <w:div w:id="803039867">
      <w:bodyDiv w:val="1"/>
      <w:marLeft w:val="0"/>
      <w:marRight w:val="0"/>
      <w:marTop w:val="0"/>
      <w:marBottom w:val="0"/>
      <w:divBdr>
        <w:top w:val="none" w:sz="0" w:space="0" w:color="auto"/>
        <w:left w:val="none" w:sz="0" w:space="0" w:color="auto"/>
        <w:bottom w:val="none" w:sz="0" w:space="0" w:color="auto"/>
        <w:right w:val="none" w:sz="0" w:space="0" w:color="auto"/>
      </w:divBdr>
    </w:div>
    <w:div w:id="846555036">
      <w:bodyDiv w:val="1"/>
      <w:marLeft w:val="0"/>
      <w:marRight w:val="0"/>
      <w:marTop w:val="0"/>
      <w:marBottom w:val="0"/>
      <w:divBdr>
        <w:top w:val="none" w:sz="0" w:space="0" w:color="auto"/>
        <w:left w:val="none" w:sz="0" w:space="0" w:color="auto"/>
        <w:bottom w:val="none" w:sz="0" w:space="0" w:color="auto"/>
        <w:right w:val="none" w:sz="0" w:space="0" w:color="auto"/>
      </w:divBdr>
    </w:div>
    <w:div w:id="905720486">
      <w:bodyDiv w:val="1"/>
      <w:marLeft w:val="0"/>
      <w:marRight w:val="0"/>
      <w:marTop w:val="0"/>
      <w:marBottom w:val="0"/>
      <w:divBdr>
        <w:top w:val="none" w:sz="0" w:space="0" w:color="auto"/>
        <w:left w:val="none" w:sz="0" w:space="0" w:color="auto"/>
        <w:bottom w:val="none" w:sz="0" w:space="0" w:color="auto"/>
        <w:right w:val="none" w:sz="0" w:space="0" w:color="auto"/>
      </w:divBdr>
    </w:div>
    <w:div w:id="906184546">
      <w:bodyDiv w:val="1"/>
      <w:marLeft w:val="0"/>
      <w:marRight w:val="0"/>
      <w:marTop w:val="0"/>
      <w:marBottom w:val="0"/>
      <w:divBdr>
        <w:top w:val="none" w:sz="0" w:space="0" w:color="auto"/>
        <w:left w:val="none" w:sz="0" w:space="0" w:color="auto"/>
        <w:bottom w:val="none" w:sz="0" w:space="0" w:color="auto"/>
        <w:right w:val="none" w:sz="0" w:space="0" w:color="auto"/>
      </w:divBdr>
    </w:div>
    <w:div w:id="932131738">
      <w:bodyDiv w:val="1"/>
      <w:marLeft w:val="0"/>
      <w:marRight w:val="0"/>
      <w:marTop w:val="0"/>
      <w:marBottom w:val="0"/>
      <w:divBdr>
        <w:top w:val="none" w:sz="0" w:space="0" w:color="auto"/>
        <w:left w:val="none" w:sz="0" w:space="0" w:color="auto"/>
        <w:bottom w:val="none" w:sz="0" w:space="0" w:color="auto"/>
        <w:right w:val="none" w:sz="0" w:space="0" w:color="auto"/>
      </w:divBdr>
    </w:div>
    <w:div w:id="967666246">
      <w:bodyDiv w:val="1"/>
      <w:marLeft w:val="0"/>
      <w:marRight w:val="0"/>
      <w:marTop w:val="0"/>
      <w:marBottom w:val="0"/>
      <w:divBdr>
        <w:top w:val="none" w:sz="0" w:space="0" w:color="auto"/>
        <w:left w:val="none" w:sz="0" w:space="0" w:color="auto"/>
        <w:bottom w:val="none" w:sz="0" w:space="0" w:color="auto"/>
        <w:right w:val="none" w:sz="0" w:space="0" w:color="auto"/>
      </w:divBdr>
    </w:div>
    <w:div w:id="1001858220">
      <w:bodyDiv w:val="1"/>
      <w:marLeft w:val="0"/>
      <w:marRight w:val="0"/>
      <w:marTop w:val="0"/>
      <w:marBottom w:val="0"/>
      <w:divBdr>
        <w:top w:val="none" w:sz="0" w:space="0" w:color="auto"/>
        <w:left w:val="none" w:sz="0" w:space="0" w:color="auto"/>
        <w:bottom w:val="none" w:sz="0" w:space="0" w:color="auto"/>
        <w:right w:val="none" w:sz="0" w:space="0" w:color="auto"/>
      </w:divBdr>
    </w:div>
    <w:div w:id="1106386696">
      <w:bodyDiv w:val="1"/>
      <w:marLeft w:val="0"/>
      <w:marRight w:val="0"/>
      <w:marTop w:val="0"/>
      <w:marBottom w:val="0"/>
      <w:divBdr>
        <w:top w:val="none" w:sz="0" w:space="0" w:color="auto"/>
        <w:left w:val="none" w:sz="0" w:space="0" w:color="auto"/>
        <w:bottom w:val="none" w:sz="0" w:space="0" w:color="auto"/>
        <w:right w:val="none" w:sz="0" w:space="0" w:color="auto"/>
      </w:divBdr>
    </w:div>
    <w:div w:id="1270313870">
      <w:bodyDiv w:val="1"/>
      <w:marLeft w:val="0"/>
      <w:marRight w:val="0"/>
      <w:marTop w:val="0"/>
      <w:marBottom w:val="0"/>
      <w:divBdr>
        <w:top w:val="none" w:sz="0" w:space="0" w:color="auto"/>
        <w:left w:val="none" w:sz="0" w:space="0" w:color="auto"/>
        <w:bottom w:val="none" w:sz="0" w:space="0" w:color="auto"/>
        <w:right w:val="none" w:sz="0" w:space="0" w:color="auto"/>
      </w:divBdr>
    </w:div>
    <w:div w:id="1292128976">
      <w:bodyDiv w:val="1"/>
      <w:marLeft w:val="0"/>
      <w:marRight w:val="0"/>
      <w:marTop w:val="0"/>
      <w:marBottom w:val="0"/>
      <w:divBdr>
        <w:top w:val="none" w:sz="0" w:space="0" w:color="auto"/>
        <w:left w:val="none" w:sz="0" w:space="0" w:color="auto"/>
        <w:bottom w:val="none" w:sz="0" w:space="0" w:color="auto"/>
        <w:right w:val="none" w:sz="0" w:space="0" w:color="auto"/>
      </w:divBdr>
    </w:div>
    <w:div w:id="1451895337">
      <w:bodyDiv w:val="1"/>
      <w:marLeft w:val="0"/>
      <w:marRight w:val="0"/>
      <w:marTop w:val="0"/>
      <w:marBottom w:val="0"/>
      <w:divBdr>
        <w:top w:val="none" w:sz="0" w:space="0" w:color="auto"/>
        <w:left w:val="none" w:sz="0" w:space="0" w:color="auto"/>
        <w:bottom w:val="none" w:sz="0" w:space="0" w:color="auto"/>
        <w:right w:val="none" w:sz="0" w:space="0" w:color="auto"/>
      </w:divBdr>
    </w:div>
    <w:div w:id="1680278730">
      <w:bodyDiv w:val="1"/>
      <w:marLeft w:val="0"/>
      <w:marRight w:val="0"/>
      <w:marTop w:val="0"/>
      <w:marBottom w:val="0"/>
      <w:divBdr>
        <w:top w:val="none" w:sz="0" w:space="0" w:color="auto"/>
        <w:left w:val="none" w:sz="0" w:space="0" w:color="auto"/>
        <w:bottom w:val="none" w:sz="0" w:space="0" w:color="auto"/>
        <w:right w:val="none" w:sz="0" w:space="0" w:color="auto"/>
      </w:divBdr>
    </w:div>
    <w:div w:id="1697929190">
      <w:bodyDiv w:val="1"/>
      <w:marLeft w:val="0"/>
      <w:marRight w:val="0"/>
      <w:marTop w:val="0"/>
      <w:marBottom w:val="0"/>
      <w:divBdr>
        <w:top w:val="none" w:sz="0" w:space="0" w:color="auto"/>
        <w:left w:val="none" w:sz="0" w:space="0" w:color="auto"/>
        <w:bottom w:val="none" w:sz="0" w:space="0" w:color="auto"/>
        <w:right w:val="none" w:sz="0" w:space="0" w:color="auto"/>
      </w:divBdr>
    </w:div>
    <w:div w:id="1722750948">
      <w:bodyDiv w:val="1"/>
      <w:marLeft w:val="0"/>
      <w:marRight w:val="0"/>
      <w:marTop w:val="0"/>
      <w:marBottom w:val="0"/>
      <w:divBdr>
        <w:top w:val="none" w:sz="0" w:space="0" w:color="auto"/>
        <w:left w:val="none" w:sz="0" w:space="0" w:color="auto"/>
        <w:bottom w:val="none" w:sz="0" w:space="0" w:color="auto"/>
        <w:right w:val="none" w:sz="0" w:space="0" w:color="auto"/>
      </w:divBdr>
    </w:div>
    <w:div w:id="1765953060">
      <w:bodyDiv w:val="1"/>
      <w:marLeft w:val="0"/>
      <w:marRight w:val="0"/>
      <w:marTop w:val="0"/>
      <w:marBottom w:val="0"/>
      <w:divBdr>
        <w:top w:val="none" w:sz="0" w:space="0" w:color="auto"/>
        <w:left w:val="none" w:sz="0" w:space="0" w:color="auto"/>
        <w:bottom w:val="none" w:sz="0" w:space="0" w:color="auto"/>
        <w:right w:val="none" w:sz="0" w:space="0" w:color="auto"/>
      </w:divBdr>
    </w:div>
    <w:div w:id="1773628775">
      <w:bodyDiv w:val="1"/>
      <w:marLeft w:val="0"/>
      <w:marRight w:val="0"/>
      <w:marTop w:val="0"/>
      <w:marBottom w:val="0"/>
      <w:divBdr>
        <w:top w:val="none" w:sz="0" w:space="0" w:color="auto"/>
        <w:left w:val="none" w:sz="0" w:space="0" w:color="auto"/>
        <w:bottom w:val="none" w:sz="0" w:space="0" w:color="auto"/>
        <w:right w:val="none" w:sz="0" w:space="0" w:color="auto"/>
      </w:divBdr>
    </w:div>
    <w:div w:id="1829898092">
      <w:bodyDiv w:val="1"/>
      <w:marLeft w:val="0"/>
      <w:marRight w:val="0"/>
      <w:marTop w:val="0"/>
      <w:marBottom w:val="0"/>
      <w:divBdr>
        <w:top w:val="none" w:sz="0" w:space="0" w:color="auto"/>
        <w:left w:val="none" w:sz="0" w:space="0" w:color="auto"/>
        <w:bottom w:val="none" w:sz="0" w:space="0" w:color="auto"/>
        <w:right w:val="none" w:sz="0" w:space="0" w:color="auto"/>
      </w:divBdr>
    </w:div>
    <w:div w:id="1855337102">
      <w:bodyDiv w:val="1"/>
      <w:marLeft w:val="0"/>
      <w:marRight w:val="0"/>
      <w:marTop w:val="0"/>
      <w:marBottom w:val="0"/>
      <w:divBdr>
        <w:top w:val="none" w:sz="0" w:space="0" w:color="auto"/>
        <w:left w:val="none" w:sz="0" w:space="0" w:color="auto"/>
        <w:bottom w:val="none" w:sz="0" w:space="0" w:color="auto"/>
        <w:right w:val="none" w:sz="0" w:space="0" w:color="auto"/>
      </w:divBdr>
      <w:divsChild>
        <w:div w:id="1476139646">
          <w:marLeft w:val="0"/>
          <w:marRight w:val="0"/>
          <w:marTop w:val="0"/>
          <w:marBottom w:val="0"/>
          <w:divBdr>
            <w:top w:val="none" w:sz="0" w:space="0" w:color="auto"/>
            <w:left w:val="none" w:sz="0" w:space="0" w:color="auto"/>
            <w:bottom w:val="none" w:sz="0" w:space="0" w:color="auto"/>
            <w:right w:val="none" w:sz="0" w:space="0" w:color="auto"/>
          </w:divBdr>
        </w:div>
      </w:divsChild>
    </w:div>
    <w:div w:id="1895004815">
      <w:bodyDiv w:val="1"/>
      <w:marLeft w:val="0"/>
      <w:marRight w:val="0"/>
      <w:marTop w:val="0"/>
      <w:marBottom w:val="0"/>
      <w:divBdr>
        <w:top w:val="none" w:sz="0" w:space="0" w:color="auto"/>
        <w:left w:val="none" w:sz="0" w:space="0" w:color="auto"/>
        <w:bottom w:val="none" w:sz="0" w:space="0" w:color="auto"/>
        <w:right w:val="none" w:sz="0" w:space="0" w:color="auto"/>
      </w:divBdr>
    </w:div>
    <w:div w:id="1985767311">
      <w:bodyDiv w:val="1"/>
      <w:marLeft w:val="0"/>
      <w:marRight w:val="0"/>
      <w:marTop w:val="0"/>
      <w:marBottom w:val="0"/>
      <w:divBdr>
        <w:top w:val="none" w:sz="0" w:space="0" w:color="auto"/>
        <w:left w:val="none" w:sz="0" w:space="0" w:color="auto"/>
        <w:bottom w:val="none" w:sz="0" w:space="0" w:color="auto"/>
        <w:right w:val="none" w:sz="0" w:space="0" w:color="auto"/>
      </w:divBdr>
    </w:div>
    <w:div w:id="20185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ati.ta.gov.lv" TargetMode="External"/><Relationship Id="rId1" Type="http://schemas.openxmlformats.org/officeDocument/2006/relationships/hyperlink" Target="http://polsis.mk.gov.lv/documents/4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09b75612c77bd1695c27a9901028afd1">
  <xsd:schema xmlns:xsd="http://www.w3.org/2001/XMLSchema" xmlns:xs="http://www.w3.org/2001/XMLSchema" xmlns:p="http://schemas.microsoft.com/office/2006/metadata/properties" xmlns:ns3="9a943975-fc5f-4377-8fb1-a7f89b4d6adb" xmlns:ns4="f005a88b-18e0-4d33-a6be-fb09f3f8a15f" targetNamespace="http://schemas.microsoft.com/office/2006/metadata/properties" ma:root="true" ma:fieldsID="7e722ab65db7fe530a1dda4c259f43fa" ns3:_="" ns4:_="">
    <xsd:import namespace="9a943975-fc5f-4377-8fb1-a7f89b4d6adb"/>
    <xsd:import namespace="f005a88b-18e0-4d33-a6be-fb09f3f8a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92F1F-B3BC-4EFB-906F-A1FF6A24062B}">
  <ds:schemaRefs>
    <ds:schemaRef ds:uri="http://schemas.openxmlformats.org/officeDocument/2006/bibliography"/>
  </ds:schemaRefs>
</ds:datastoreItem>
</file>

<file path=customXml/itemProps2.xml><?xml version="1.0" encoding="utf-8"?>
<ds:datastoreItem xmlns:ds="http://schemas.openxmlformats.org/officeDocument/2006/customXml" ds:itemID="{01065ADB-1295-403B-AEE6-26C1ECAF2217}">
  <ds:schemaRefs>
    <ds:schemaRef ds:uri="http://schemas.microsoft.com/sharepoint/v3/contenttype/forms"/>
  </ds:schemaRefs>
</ds:datastoreItem>
</file>

<file path=customXml/itemProps3.xml><?xml version="1.0" encoding="utf-8"?>
<ds:datastoreItem xmlns:ds="http://schemas.openxmlformats.org/officeDocument/2006/customXml" ds:itemID="{2230CF1D-F111-4408-B92A-BF51FA316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3975-fc5f-4377-8fb1-a7f89b4d6adb"/>
    <ds:schemaRef ds:uri="f005a88b-18e0-4d33-a6be-fb09f3f8a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F0082-0E35-4472-B5CC-BC1B3A771C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10</Pages>
  <Words>3785</Words>
  <Characters>28243</Characters>
  <Application>Microsoft Office Word</Application>
  <DocSecurity>0</DocSecurity>
  <Lines>564</Lines>
  <Paragraphs>192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"Publiskā sektora iesniegtās pārsūdzības administratīvā pārkāpuma procesā"</vt:lpstr>
      <vt:lpstr>Informatīvais ziņojums "Publiskā sektora iesniegtās pārsūdzības administratīvā pārkāpuma procesā"</vt:lpstr>
    </vt:vector>
  </TitlesOfParts>
  <Manager/>
  <Company>Tieslietu ministrija</Company>
  <LinksUpToDate>false</LinksUpToDate>
  <CharactersWithSpaces>31836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"Publiskā sektora iesniegtās pārsūdzības administratīvā pārkāpuma procesā"</dc:title>
  <dc:subject>Informatīvais ziņojums</dc:subject>
  <dc:creator>Sandis Vilcāns</dc:creator>
  <cp:keywords/>
  <dc:description>67036901, Sandis.Vilcans@tm.gov.lv</dc:description>
  <cp:lastModifiedBy>Sandis Vilcāns</cp:lastModifiedBy>
  <cp:revision>26</cp:revision>
  <cp:lastPrinted>2020-02-11T06:00:00Z</cp:lastPrinted>
  <dcterms:created xsi:type="dcterms:W3CDTF">2020-03-25T06:09:00Z</dcterms:created>
  <dcterms:modified xsi:type="dcterms:W3CDTF">2020-05-29T06:46:00Z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